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EDD5F" w14:textId="0D5F7E3A" w:rsidR="00845BE9" w:rsidRDefault="00845BE9" w:rsidP="00A96836">
      <w:pPr>
        <w:spacing w:line="360" w:lineRule="auto"/>
        <w:jc w:val="both"/>
        <w:rPr>
          <w:rFonts w:ascii="Times New Roman" w:eastAsia="Times New Roman" w:hAnsi="Times New Roman" w:cs="Times New Roman"/>
        </w:rPr>
      </w:pPr>
    </w:p>
    <w:p w14:paraId="7112581A" w14:textId="71E5DC75" w:rsidR="00690B99" w:rsidRPr="00690B99" w:rsidRDefault="00690B99" w:rsidP="00A96836">
      <w:pPr>
        <w:spacing w:line="360" w:lineRule="auto"/>
        <w:jc w:val="both"/>
        <w:rPr>
          <w:rFonts w:ascii="Times New Roman" w:eastAsia="Times New Roman" w:hAnsi="Times New Roman" w:cs="Times New Roman"/>
          <w:i/>
          <w:iCs/>
          <w:u w:val="single"/>
        </w:rPr>
      </w:pPr>
      <w:r w:rsidRPr="00690B99">
        <w:rPr>
          <w:rFonts w:ascii="Times New Roman" w:eastAsia="Times New Roman" w:hAnsi="Times New Roman" w:cs="Times New Roman"/>
          <w:i/>
          <w:iCs/>
          <w:u w:val="single"/>
        </w:rPr>
        <w:t>Original Research Article</w:t>
      </w:r>
    </w:p>
    <w:p w14:paraId="237A1C29" w14:textId="1E97275D" w:rsidR="00845BE9" w:rsidRDefault="00845BE9" w:rsidP="00A96836">
      <w:pPr>
        <w:spacing w:line="360" w:lineRule="auto"/>
        <w:jc w:val="both"/>
        <w:rPr>
          <w:rFonts w:ascii="Times New Roman" w:eastAsia="Times New Roman" w:hAnsi="Times New Roman" w:cs="Times New Roman"/>
        </w:rPr>
      </w:pPr>
    </w:p>
    <w:p w14:paraId="5A8E16F2" w14:textId="4AD7F58A" w:rsidR="00B30724" w:rsidRPr="00D66B1C" w:rsidRDefault="00845BE9" w:rsidP="00845BE9">
      <w:pPr>
        <w:spacing w:line="360" w:lineRule="auto"/>
        <w:jc w:val="both"/>
        <w:rPr>
          <w:rFonts w:ascii="Times New Roman" w:eastAsia="Times New Roman" w:hAnsi="Times New Roman" w:cs="Times New Roman"/>
          <w:b/>
          <w:bCs/>
        </w:rPr>
      </w:pPr>
      <w:bookmarkStart w:id="0" w:name="_Hlk202174633"/>
      <w:r w:rsidRPr="00D66B1C">
        <w:rPr>
          <w:rFonts w:ascii="Times New Roman" w:eastAsia="Times New Roman" w:hAnsi="Times New Roman" w:cs="Times New Roman"/>
          <w:b/>
          <w:bCs/>
        </w:rPr>
        <w:t>Efficacy of Limited Cyclophotocoagulation in Glaucoma Therapy Among Adult Patients with Refractory Glaucoma at KCMC Eye Department 2023-2024</w:t>
      </w:r>
    </w:p>
    <w:p w14:paraId="6DCC03E6" w14:textId="77777777" w:rsidR="004747BC" w:rsidRDefault="004747BC" w:rsidP="00845BE9">
      <w:pPr>
        <w:spacing w:line="360" w:lineRule="auto"/>
        <w:jc w:val="both"/>
        <w:rPr>
          <w:rFonts w:ascii="Times New Roman" w:eastAsia="Times New Roman" w:hAnsi="Times New Roman" w:cs="Times New Roman"/>
          <w:b/>
          <w:bCs/>
        </w:rPr>
      </w:pPr>
    </w:p>
    <w:bookmarkEnd w:id="0"/>
    <w:p w14:paraId="1350C936" w14:textId="4765A7A5" w:rsidR="00C3277B" w:rsidRDefault="005230D8" w:rsidP="00A96836">
      <w:pPr>
        <w:pStyle w:val="NormalWeb"/>
        <w:spacing w:line="360" w:lineRule="auto"/>
        <w:jc w:val="both"/>
        <w:rPr>
          <w:rStyle w:val="Strong"/>
        </w:rPr>
      </w:pPr>
      <w:r w:rsidRPr="00A96836">
        <w:rPr>
          <w:rStyle w:val="Strong"/>
        </w:rPr>
        <w:t>Abstract</w:t>
      </w:r>
    </w:p>
    <w:p w14:paraId="21DD447A" w14:textId="616921FA" w:rsidR="00C3277B" w:rsidRDefault="00C3277B" w:rsidP="00A96836">
      <w:pPr>
        <w:pStyle w:val="NormalWeb"/>
        <w:spacing w:line="360" w:lineRule="auto"/>
        <w:jc w:val="both"/>
        <w:rPr>
          <w:rStyle w:val="Strong"/>
          <w:b w:val="0"/>
          <w:bCs w:val="0"/>
        </w:rPr>
      </w:pPr>
      <w:r>
        <w:rPr>
          <w:rStyle w:val="Strong"/>
        </w:rPr>
        <w:t xml:space="preserve">Background: </w:t>
      </w:r>
      <w:r w:rsidRPr="00C3277B">
        <w:rPr>
          <w:rStyle w:val="Strong"/>
          <w:b w:val="0"/>
          <w:bCs w:val="0"/>
        </w:rPr>
        <w:t>Refractory glaucoma</w:t>
      </w:r>
      <w:r>
        <w:rPr>
          <w:rStyle w:val="Strong"/>
          <w:b w:val="0"/>
          <w:bCs w:val="0"/>
        </w:rPr>
        <w:t xml:space="preserve"> </w:t>
      </w:r>
      <w:proofErr w:type="gramStart"/>
      <w:r w:rsidR="00B84548">
        <w:rPr>
          <w:rStyle w:val="Strong"/>
          <w:b w:val="0"/>
          <w:bCs w:val="0"/>
        </w:rPr>
        <w:t>possess</w:t>
      </w:r>
      <w:proofErr w:type="gramEnd"/>
      <w:r>
        <w:rPr>
          <w:rStyle w:val="Strong"/>
          <w:b w:val="0"/>
          <w:bCs w:val="0"/>
        </w:rPr>
        <w:t xml:space="preserve"> a therapeutic challenge due to poor response to standard medical and surgical treatments. Cyclophotocoagulation (CPC)</w:t>
      </w:r>
      <w:r w:rsidR="00CB7BAD">
        <w:rPr>
          <w:rStyle w:val="Strong"/>
          <w:b w:val="0"/>
          <w:bCs w:val="0"/>
        </w:rPr>
        <w:t xml:space="preserve"> is an alternative method for lowering intraocular pressure (IOP) in such cases, however its use is often limited to advanced disease due to variable outcomes and complications</w:t>
      </w:r>
      <w:r w:rsidR="00CA3EFF">
        <w:rPr>
          <w:rStyle w:val="Strong"/>
          <w:b w:val="0"/>
          <w:bCs w:val="0"/>
        </w:rPr>
        <w:t xml:space="preserve"> after destructive procedure on the ciliary body.</w:t>
      </w:r>
    </w:p>
    <w:p w14:paraId="5C2C9AAE" w14:textId="560D9E47" w:rsidR="00CB7BAD" w:rsidRDefault="00CB7BAD" w:rsidP="00A96836">
      <w:pPr>
        <w:pStyle w:val="NormalWeb"/>
        <w:spacing w:line="360" w:lineRule="auto"/>
        <w:jc w:val="both"/>
        <w:rPr>
          <w:rStyle w:val="Strong"/>
          <w:b w:val="0"/>
          <w:bCs w:val="0"/>
        </w:rPr>
      </w:pPr>
      <w:r w:rsidRPr="00CB7BAD">
        <w:rPr>
          <w:rStyle w:val="Strong"/>
        </w:rPr>
        <w:t>Objective</w:t>
      </w:r>
      <w:r>
        <w:rPr>
          <w:rStyle w:val="Strong"/>
        </w:rPr>
        <w:t xml:space="preserve">: </w:t>
      </w:r>
      <w:r w:rsidRPr="00CB7BAD">
        <w:rPr>
          <w:rStyle w:val="Strong"/>
          <w:b w:val="0"/>
          <w:bCs w:val="0"/>
        </w:rPr>
        <w:t>To assess</w:t>
      </w:r>
      <w:r>
        <w:rPr>
          <w:rStyle w:val="Strong"/>
          <w:b w:val="0"/>
          <w:bCs w:val="0"/>
        </w:rPr>
        <w:t xml:space="preserve"> the efficacy of limited CPC in reducing</w:t>
      </w:r>
      <w:r w:rsidR="00A25D30">
        <w:rPr>
          <w:rStyle w:val="Strong"/>
          <w:b w:val="0"/>
          <w:bCs w:val="0"/>
        </w:rPr>
        <w:t xml:space="preserve"> IOP among adult patients with refractory glaucoma at Kilimanjaro Cristian Medical Center, Eye department between 2023 and 2024.</w:t>
      </w:r>
    </w:p>
    <w:p w14:paraId="637DE594" w14:textId="5F8A2DE7" w:rsidR="00A25D30" w:rsidRDefault="00A25D30" w:rsidP="00A96836">
      <w:pPr>
        <w:pStyle w:val="NormalWeb"/>
        <w:spacing w:line="360" w:lineRule="auto"/>
        <w:jc w:val="both"/>
      </w:pPr>
      <w:r w:rsidRPr="00A25D30">
        <w:rPr>
          <w:rStyle w:val="Strong"/>
        </w:rPr>
        <w:t>Methodology:</w:t>
      </w:r>
      <w:r>
        <w:rPr>
          <w:rStyle w:val="Strong"/>
        </w:rPr>
        <w:t xml:space="preserve"> </w:t>
      </w:r>
      <w:r w:rsidRPr="00A25D30">
        <w:rPr>
          <w:rStyle w:val="Strong"/>
          <w:b w:val="0"/>
          <w:bCs w:val="0"/>
        </w:rPr>
        <w:t>A prospective study</w:t>
      </w:r>
      <w:r>
        <w:rPr>
          <w:rStyle w:val="Strong"/>
          <w:b w:val="0"/>
          <w:bCs w:val="0"/>
        </w:rPr>
        <w:t xml:space="preserve"> was conducted involving 74 patients who underwent transscleral CPC.</w:t>
      </w:r>
      <w:r w:rsidR="00911B44">
        <w:rPr>
          <w:rStyle w:val="Strong"/>
          <w:b w:val="0"/>
          <w:bCs w:val="0"/>
        </w:rPr>
        <w:t xml:space="preserve"> Laser was applied to the inferior </w:t>
      </w:r>
      <w:r w:rsidR="00911B44" w:rsidRPr="00A96836">
        <w:t>180°</w:t>
      </w:r>
      <w:r w:rsidR="00911B44">
        <w:t xml:space="preserve"> of the ciliary body with 10 burns per quadrant at 2000 </w:t>
      </w:r>
      <w:proofErr w:type="spellStart"/>
      <w:r w:rsidR="00911B44">
        <w:t>mW</w:t>
      </w:r>
      <w:proofErr w:type="spellEnd"/>
      <w:r w:rsidR="00911B44">
        <w:t xml:space="preserve"> for 2 seconds per burn. Treatment success was defined as achieving an IOP ≤ 21 mmHg and ≥ a 20% reduction from baseline at three months with or without treatment. </w:t>
      </w:r>
    </w:p>
    <w:p w14:paraId="7E591F18" w14:textId="74C2FBEF" w:rsidR="005230D8" w:rsidRDefault="00911B44" w:rsidP="00A96836">
      <w:pPr>
        <w:pStyle w:val="NormalWeb"/>
        <w:spacing w:line="360" w:lineRule="auto"/>
        <w:jc w:val="both"/>
      </w:pPr>
      <w:r w:rsidRPr="00911B44">
        <w:rPr>
          <w:b/>
          <w:bCs/>
        </w:rPr>
        <w:t>Results:</w:t>
      </w:r>
      <w:r>
        <w:t xml:space="preserve"> At three months, 36 patients (48.6%) achieved target IOP (≤ 21mmHg and ≥ 20% reduction), while 63 (85.1%) had at least 20% reduction in IOP. The median baseline IOP decreased </w:t>
      </w:r>
      <w:r w:rsidR="0012128A">
        <w:t>from 46.5 mmHg (IQR 39-56) to 25mmHg (IQR 18-38). Lower pre</w:t>
      </w:r>
      <w:r w:rsidR="00EE5012">
        <w:t>-</w:t>
      </w:r>
      <w:r w:rsidR="0012128A">
        <w:t xml:space="preserve">treatment IOP (AHR=0.95; 95% CI: 0.91-0.99; P= 0.015) and optic </w:t>
      </w:r>
      <w:r w:rsidR="00EE5012">
        <w:t>disc</w:t>
      </w:r>
      <w:r w:rsidR="0012128A">
        <w:t xml:space="preserve"> notching were positively associated with treatment success, while ocular comorbidities were negatively associated (AHR = 0.33; 95% CI: 0.14-0.74; P=0.007). The most common complications were transient uveitis (10.8%) and cystoid macular edema (8.1%).</w:t>
      </w:r>
    </w:p>
    <w:p w14:paraId="21385265" w14:textId="4010A22C" w:rsidR="009B6F69" w:rsidRDefault="009B6F69" w:rsidP="00A96836">
      <w:pPr>
        <w:pStyle w:val="NormalWeb"/>
        <w:spacing w:line="360" w:lineRule="auto"/>
        <w:jc w:val="both"/>
      </w:pPr>
      <w:r w:rsidRPr="000B092B">
        <w:rPr>
          <w:b/>
          <w:bCs/>
        </w:rPr>
        <w:lastRenderedPageBreak/>
        <w:t>Conclusion:</w:t>
      </w:r>
      <w:r>
        <w:t xml:space="preserve"> Limited CPC showed moderate effectiveness in lowering IOP after a single session, with minimal complications. However, nearly half of the patients required a repeat procedure to achieve target IOP at three months.</w:t>
      </w:r>
    </w:p>
    <w:p w14:paraId="0860B3F9" w14:textId="238633D5" w:rsidR="00013502" w:rsidRPr="00A96836" w:rsidRDefault="00797BF8" w:rsidP="00A96836">
      <w:pPr>
        <w:pStyle w:val="NormalWeb"/>
        <w:spacing w:line="360" w:lineRule="auto"/>
        <w:jc w:val="both"/>
      </w:pPr>
      <w:r w:rsidRPr="00797BF8">
        <w:rPr>
          <w:b/>
          <w:bCs/>
        </w:rPr>
        <w:t>Key words:</w:t>
      </w:r>
      <w:r>
        <w:t xml:space="preserve"> Refractory glaucoma, Limited cyclophotocoagulation, Transscleral CPC, Intraocular Pressure Reduction, Laser Therapy Complications.</w:t>
      </w:r>
    </w:p>
    <w:p w14:paraId="3C0AE3CA" w14:textId="639B99A9" w:rsidR="005230D8" w:rsidRPr="00A96836" w:rsidRDefault="005230D8" w:rsidP="00A96836">
      <w:pPr>
        <w:pStyle w:val="NormalWeb"/>
        <w:spacing w:line="360" w:lineRule="auto"/>
        <w:jc w:val="both"/>
      </w:pPr>
    </w:p>
    <w:p w14:paraId="5D7837BB" w14:textId="77777777" w:rsidR="00F20C1C" w:rsidRPr="00A96836" w:rsidRDefault="00F20C1C" w:rsidP="00A96836">
      <w:pPr>
        <w:spacing w:line="360" w:lineRule="auto"/>
        <w:jc w:val="both"/>
        <w:rPr>
          <w:rFonts w:ascii="Times New Roman" w:eastAsia="Times New Roman" w:hAnsi="Times New Roman" w:cs="Times New Roman"/>
        </w:rPr>
      </w:pPr>
    </w:p>
    <w:p w14:paraId="2D1FABB2" w14:textId="22D0F911" w:rsidR="000415FE" w:rsidRPr="00FA5C49" w:rsidRDefault="00732592" w:rsidP="00A96836">
      <w:pPr>
        <w:pStyle w:val="NormalWeb"/>
        <w:spacing w:line="360" w:lineRule="auto"/>
        <w:jc w:val="both"/>
        <w:rPr>
          <w:b/>
          <w:bCs/>
        </w:rPr>
      </w:pPr>
      <w:r w:rsidRPr="00A96836">
        <w:rPr>
          <w:rStyle w:val="Strong"/>
        </w:rPr>
        <w:t>Introduction</w:t>
      </w:r>
    </w:p>
    <w:p w14:paraId="36CB51EB" w14:textId="6F550C87" w:rsidR="00732592" w:rsidRDefault="000415FE" w:rsidP="00A96836">
      <w:pPr>
        <w:spacing w:line="360" w:lineRule="auto"/>
        <w:jc w:val="both"/>
        <w:rPr>
          <w:rFonts w:ascii="Times New Roman" w:hAnsi="Times New Roman" w:cs="Times New Roman"/>
        </w:rPr>
      </w:pPr>
      <w:r>
        <w:rPr>
          <w:rFonts w:ascii="Times New Roman" w:hAnsi="Times New Roman" w:cs="Times New Roman"/>
        </w:rPr>
        <w:t xml:space="preserve"> Glaucoma refers to a group</w:t>
      </w:r>
      <w:r w:rsidR="00FA5C49">
        <w:rPr>
          <w:rFonts w:ascii="Times New Roman" w:hAnsi="Times New Roman" w:cs="Times New Roman"/>
        </w:rPr>
        <w:t xml:space="preserve"> </w:t>
      </w:r>
      <w:r>
        <w:rPr>
          <w:rFonts w:ascii="Times New Roman" w:hAnsi="Times New Roman" w:cs="Times New Roman"/>
        </w:rPr>
        <w:t>of progressive optic neuropathies characterized by the degeneration of retinal ganglion cells and their axons, leading to optic disc cupping and irreversible visual field loss</w:t>
      </w:r>
      <w:r w:rsidR="00732592" w:rsidRPr="00A96836">
        <w:rPr>
          <w:rFonts w:ascii="Times New Roman" w:hAnsi="Times New Roman" w:cs="Times New Roman"/>
        </w:rPr>
        <w:t>.</w:t>
      </w:r>
      <w:r w:rsidR="00FA5C49">
        <w:rPr>
          <w:rFonts w:ascii="Times New Roman" w:hAnsi="Times New Roman" w:cs="Times New Roman"/>
        </w:rPr>
        <w:t xml:space="preserve"> If left untreated, the disease invariably results in permanent blindness</w:t>
      </w:r>
      <w:r w:rsidR="00E650D3" w:rsidRPr="00A96836">
        <w:rPr>
          <w:rFonts w:ascii="Times New Roman" w:hAnsi="Times New Roman" w:cs="Times New Roman"/>
        </w:rPr>
        <w:t xml:space="preserve"> </w:t>
      </w:r>
      <w:r w:rsidR="00E650D3" w:rsidRPr="00A96836">
        <w:rPr>
          <w:rFonts w:ascii="Times New Roman" w:hAnsi="Times New Roman" w:cs="Times New Roman"/>
        </w:rPr>
        <w:fldChar w:fldCharType="begin" w:fldLock="1"/>
      </w:r>
      <w:r w:rsidR="00DB630F">
        <w:rPr>
          <w:rFonts w:ascii="Times New Roman" w:hAnsi="Times New Roman" w:cs="Times New Roman"/>
        </w:rPr>
        <w:instrText>ADDIN CSL_CITATION {"citationItems":[{"id":"ITEM-1","itemData":{"DOI":"10.1016/j.mayocpiqo.2022.09.007","ISSN":"25424548","abstract":"Glaucoma is the leading cause of blindness throughout the world (after cataracts); therefore, general physicians should be familiar with the diagnosis and management of affected patients. Glaucomas are usually categorized by the anatomy of the anterior chamber angle (open vs narrow/closed), rapidity of onset (acute vs chronic), and major etiology (primary vs secondary). Most glaucomas are primary (ie, without a contributing comorbidity); however, several coexisting ophthalmic conditions may serve as the underlying etiologies of secondary glaucomas. Chronic glaucoma occurs most commonly; thus, regular eye examinations should be performed in at-risk patients to prevent the insidious loss of vision that can develop before diagnosis. Glaucoma damages the optic nerve and retinal nerve fiber layer, leading to peripheral and central visual field defects. Elevated intraocular pressure (IOP), a crucial determinant of disease progression, remains the only modifiable risk factor; thus, all current treatments (medications, lasers, and operations) aim to reduce the IOP. Pharmacotherapy is the usual first-line therapy, but noncompliance, undesirable adverse effects, and cost limit effectiveness. Laser and surgical treatments may lower IOP significantly over long periods and may be more cost effective than pharmacotherapy, but they are plagued by greater procedural risks and frequent treatment failures. Traditional incisional procedures have recently been replaced by several novel, minimally invasive glaucoma surgeries with improved safety profiles and only minimal decreases in efficacy. Minimally invasive glaucoma surgeries have dramatically transformed the surgical management of glaucoma; nevertheless, large, randomized trials are required to assess their long-term efficacy. ª 2022 THE AUTHORS. Published by Elsevier Inc on behalf of Mayo Foundation for Medical Education and Research. This is an open access article under the CC BY license (http://creativecommons.org/licenses/by/4.0/) n Mayo Clin Proc Inn Qual Out 2022;6(6):618-635","author":[{"dropping-particle":"V.","family":"Wagner","given":"Isabella","non-dropping-particle":"","parse-names":false,"suffix":""},{"dropping-particle":"","family":"Stewart","given":"Michael W.","non-dropping-particle":"","parse-names":false,"suffix":""},{"dropping-particle":"","family":"Dorairaj","given":"Syril K.","non-dropping-particle":"","parse-names":false,"suffix":""}],"container-title":"Mayo Clinic Proceedings: Innovations, Quality &amp; Outcomes","id":"ITEM-1","issue":"6","issued":{"date-parts":[["2022"]]},"page":"618-635","publisher":"The Authors","title":"Updates on the Diagnosis and Management of Glaucoma","type":"article-journal","volume":"6"},"uris":["http://www.mendeley.com/documents/?uuid=a139d67f-045d-42a9-b568-a44d21811f95"]}],"mendeley":{"formattedCitation":"(1)","plainTextFormattedCitation":"(1)","previouslyFormattedCitation":"(1)"},"properties":{"noteIndex":0},"schema":"https://github.com/citation-style-language/schema/raw/master/csl-citation.json"}</w:instrText>
      </w:r>
      <w:r w:rsidR="00E650D3" w:rsidRPr="00A96836">
        <w:rPr>
          <w:rFonts w:ascii="Times New Roman" w:hAnsi="Times New Roman" w:cs="Times New Roman"/>
        </w:rPr>
        <w:fldChar w:fldCharType="separate"/>
      </w:r>
      <w:r w:rsidR="006F2937" w:rsidRPr="006F2937">
        <w:rPr>
          <w:rFonts w:ascii="Times New Roman" w:hAnsi="Times New Roman" w:cs="Times New Roman"/>
          <w:noProof/>
        </w:rPr>
        <w:t>(1)</w:t>
      </w:r>
      <w:r w:rsidR="00E650D3" w:rsidRPr="00A96836">
        <w:rPr>
          <w:rFonts w:ascii="Times New Roman" w:hAnsi="Times New Roman" w:cs="Times New Roman"/>
        </w:rPr>
        <w:fldChar w:fldCharType="end"/>
      </w:r>
      <w:r w:rsidR="00FA5C49">
        <w:rPr>
          <w:rFonts w:ascii="Times New Roman" w:hAnsi="Times New Roman" w:cs="Times New Roman"/>
        </w:rPr>
        <w:t>.</w:t>
      </w:r>
      <w:r w:rsidR="00732592" w:rsidRPr="00A96836">
        <w:rPr>
          <w:rFonts w:ascii="Times New Roman" w:hAnsi="Times New Roman" w:cs="Times New Roman"/>
        </w:rPr>
        <w:t xml:space="preserve"> </w:t>
      </w:r>
      <w:r w:rsidR="00FA5C49">
        <w:rPr>
          <w:rFonts w:ascii="Times New Roman" w:hAnsi="Times New Roman" w:cs="Times New Roman"/>
        </w:rPr>
        <w:t xml:space="preserve">Although the etiology of glaucoma is multifactorial, elevated intraocular pressure (IOP) remains the only modifiable risk factor and the main target of current treatment </w:t>
      </w:r>
      <w:r w:rsidR="0087693D">
        <w:rPr>
          <w:rFonts w:ascii="Times New Roman" w:hAnsi="Times New Roman" w:cs="Times New Roman"/>
        </w:rPr>
        <w:t>approaches.</w:t>
      </w:r>
      <w:r w:rsidR="0087693D" w:rsidRPr="00A96836">
        <w:rPr>
          <w:rFonts w:ascii="Times New Roman" w:hAnsi="Times New Roman" w:cs="Times New Roman"/>
        </w:rPr>
        <w:t xml:space="preserve"> While</w:t>
      </w:r>
      <w:r w:rsidR="00732592" w:rsidRPr="00A96836">
        <w:rPr>
          <w:rFonts w:ascii="Times New Roman" w:hAnsi="Times New Roman" w:cs="Times New Roman"/>
        </w:rPr>
        <w:t xml:space="preserve"> age</w:t>
      </w:r>
      <w:r w:rsidR="00A31120" w:rsidRPr="00A96836">
        <w:rPr>
          <w:rFonts w:ascii="Times New Roman" w:hAnsi="Times New Roman" w:cs="Times New Roman"/>
        </w:rPr>
        <w:t xml:space="preserve"> </w:t>
      </w:r>
      <w:r w:rsidR="00732592" w:rsidRPr="00A96836">
        <w:rPr>
          <w:rFonts w:ascii="Times New Roman" w:hAnsi="Times New Roman" w:cs="Times New Roman"/>
        </w:rPr>
        <w:t>related lens enlargement is a contributing factor, genetic and environmental components also influence disease onset and progression</w:t>
      </w:r>
      <w:r w:rsidR="00E650D3" w:rsidRPr="00A96836">
        <w:rPr>
          <w:rFonts w:ascii="Times New Roman" w:hAnsi="Times New Roman" w:cs="Times New Roman"/>
        </w:rPr>
        <w:t xml:space="preserve"> </w:t>
      </w:r>
      <w:r w:rsidR="00E650D3" w:rsidRPr="00A96836">
        <w:rPr>
          <w:rFonts w:ascii="Times New Roman" w:hAnsi="Times New Roman" w:cs="Times New Roman"/>
        </w:rPr>
        <w:fldChar w:fldCharType="begin" w:fldLock="1"/>
      </w:r>
      <w:r w:rsidR="00DB630F">
        <w:rPr>
          <w:rFonts w:ascii="Times New Roman" w:hAnsi="Times New Roman" w:cs="Times New Roman"/>
        </w:rPr>
        <w:instrText>ADDIN CSL_CITATION {"citationItems":[{"id":"ITEM-1","itemData":{"DOI":"10.1007/s40615-023-01679-2","ISBN":"4061502301","ISSN":"21968837","abstract":"Glaucoma is an ophthalmic disorder that affects a significant number of Blacks globally. A leading cause of this condition is an age-related enlargement of the lens and increased intraocular pressure. Although Blacks are affected by glaucoma at a higher rate than their Caucasian counterparts, there remains a lack of emphasis placed on the detection, diagnosis, monitoring, and treatment of glaucoma in this population. Education regarding glaucoma in the African and African American populations is essential to reducing rates of glaucoma-related visual impairment and improving treatment success. In this article, we highlight specific issues and limitations to the management of glaucoma, which affects Blacks at a higher rate. In addition, we also review the backgrounds of Blacks globally and examine historical events that have contributed to financial inequality and wealth/health disparities affecting glaucoma management. Lastly, we suggest reparations and solutions that health care professionals can use to improve glaucoma screening and management.","author":[{"dropping-particle":"","family":"Adebayo","given":"Ayobami","non-dropping-particle":"","parse-names":false,"suffix":""},{"dropping-particle":"","family":"Laroche","given":"Daniel","non-dropping-particle":"","parse-names":false,"suffix":""}],"container-title":"Journal of Racial and Ethnic Health Disparities","id":"ITEM-1","issue":"0123456789","issued":{"date-parts":[["2023"]]},"page":"1-6","publisher":"Springer International Publishing","title":"Unfulfilled Needs in the Detection, Diagnosis, Monitoring, Treatment, and Understanding of Glaucoma in Blacks Globally","type":"article-journal"},"uris":["http://www.mendeley.com/documents/?uuid=23d96a09-0994-4453-86f0-241c57e51522"]}],"mendeley":{"formattedCitation":"(2)","plainTextFormattedCitation":"(2)","previouslyFormattedCitation":"(2)"},"properties":{"noteIndex":0},"schema":"https://github.com/citation-style-language/schema/raw/master/csl-citation.json"}</w:instrText>
      </w:r>
      <w:r w:rsidR="00E650D3" w:rsidRPr="00A96836">
        <w:rPr>
          <w:rFonts w:ascii="Times New Roman" w:hAnsi="Times New Roman" w:cs="Times New Roman"/>
        </w:rPr>
        <w:fldChar w:fldCharType="separate"/>
      </w:r>
      <w:r w:rsidR="006F2937" w:rsidRPr="006F2937">
        <w:rPr>
          <w:rFonts w:ascii="Times New Roman" w:hAnsi="Times New Roman" w:cs="Times New Roman"/>
          <w:noProof/>
        </w:rPr>
        <w:t>(2)</w:t>
      </w:r>
      <w:r w:rsidR="00E650D3" w:rsidRPr="00A96836">
        <w:rPr>
          <w:rFonts w:ascii="Times New Roman" w:hAnsi="Times New Roman" w:cs="Times New Roman"/>
        </w:rPr>
        <w:fldChar w:fldCharType="end"/>
      </w:r>
      <w:r w:rsidR="00732592" w:rsidRPr="00A96836">
        <w:rPr>
          <w:rFonts w:ascii="Times New Roman" w:hAnsi="Times New Roman" w:cs="Times New Roman"/>
        </w:rPr>
        <w:t>.</w:t>
      </w:r>
    </w:p>
    <w:p w14:paraId="4B812E8F" w14:textId="35E4050F" w:rsidR="008C3A6A" w:rsidRDefault="008C3A6A" w:rsidP="00A96836">
      <w:pPr>
        <w:spacing w:line="360" w:lineRule="auto"/>
        <w:jc w:val="both"/>
        <w:rPr>
          <w:rFonts w:ascii="Times New Roman" w:hAnsi="Times New Roman" w:cs="Times New Roman"/>
        </w:rPr>
      </w:pPr>
    </w:p>
    <w:p w14:paraId="4DEFBAF9" w14:textId="18EA95F2" w:rsidR="00FA5C49" w:rsidRDefault="008C3A6A" w:rsidP="00A96836">
      <w:pPr>
        <w:spacing w:line="360" w:lineRule="auto"/>
        <w:jc w:val="both"/>
        <w:rPr>
          <w:rFonts w:ascii="Times New Roman" w:hAnsi="Times New Roman" w:cs="Times New Roman"/>
        </w:rPr>
      </w:pPr>
      <w:r>
        <w:rPr>
          <w:rFonts w:ascii="Times New Roman" w:hAnsi="Times New Roman" w:cs="Times New Roman"/>
        </w:rPr>
        <w:t>Globally, glaucoma affects approximately 2.4% of the population, though prevalence varies geographically. Sub Saharan Africa is the most affected region with a prevalence of 4.0</w:t>
      </w:r>
      <w:r w:rsidR="00D66CC6">
        <w:rPr>
          <w:rFonts w:ascii="Times New Roman" w:hAnsi="Times New Roman" w:cs="Times New Roman"/>
        </w:rPr>
        <w:t>% compared to 2.4% in North America, 2.3% in Europe, 2.1% in Asia and 1.8% in South America</w:t>
      </w:r>
      <w:r w:rsidR="006F2937">
        <w:rPr>
          <w:rFonts w:ascii="Times New Roman" w:hAnsi="Times New Roman" w:cs="Times New Roman"/>
        </w:rPr>
        <w:t xml:space="preserve"> </w:t>
      </w:r>
      <w:r w:rsidR="006F2937">
        <w:rPr>
          <w:rFonts w:ascii="Times New Roman" w:hAnsi="Times New Roman" w:cs="Times New Roman"/>
        </w:rPr>
        <w:fldChar w:fldCharType="begin" w:fldLock="1"/>
      </w:r>
      <w:r w:rsidR="00DB630F">
        <w:rPr>
          <w:rFonts w:ascii="Times New Roman" w:hAnsi="Times New Roman" w:cs="Times New Roman"/>
        </w:rPr>
        <w:instrText>ADDIN CSL_CITATION {"citationItems":[{"id":"ITEM-1","itemData":{"DOI":"10.1038/s41598-021-92971-w","ISBN":"4159802192","ISSN":"20452322","PMID":"34215769","abstract":"Primary open-angle glaucoma (POAG) is a leading cause of irreversible blindness in the world and is influenced by various sociodemographic factors. This meta-analysis aims to determine the worldwide prevalence of POAG in the adult general population for the last 20 years, and explore variation in prevalence by age, gender and geographical location. An electronic literature search was performed using the PubMed, Embase, and Web of Science databases. Population-based cross-sectional or cohort studies published in the last 20 years (2000–2020) that reported prevalence of POAG were recruited. Relevant studies meeting defined eligibility criteria were selected and reviewed systematically by meta-analysis. The prevalence of POAG was analyzed according to various risk factors. A random effect model was used for the meta-analysis. Fifty publications with a total of 198,259 subjects were included in this meta-analysis. The worldwide overall prevalence of POAG was 2.4% (95% CI 2.0 ~ 2.8%). The prevalence increases with age. Men are found to be more susceptible to POAG than women (RR 1.28, p &lt; 0.01). Africa is found to have the highest prevalence of POAG (4.0%) among all continents. The current estimated global population of POAG is 68.56 million (95% CI 59.99 ~ 79.98). POAG is a worldwide vision threatening disease with high prevalence for the last 20 years. The population-based prevalence of POAG varies widely across individual studies, due to variations in risk factors of age, gender, and population geographic location.","author":[{"dropping-particle":"","family":"Zhang","given":"Nan","non-dropping-particle":"","parse-names":false,"suffix":""},{"dropping-particle":"","family":"Wang","given":"Jiaxing","non-dropping-particle":"","parse-names":false,"suffix":""},{"dropping-particle":"","family":"Li","given":"Ying","non-dropping-particle":"","parse-names":false,"suffix":""},{"dropping-particle":"","family":"Jiang","given":"Bing","non-dropping-particle":"","parse-names":false,"suffix":""}],"container-title":"Scientific Reports","id":"ITEM-1","issue":"1","issued":{"date-parts":[["2021"]]},"page":"1-12","publisher":"Nature Publishing Group UK","title":"Prevalence of primary open angle glaucoma in the last 20 years: a meta-analysis and systematic review","type":"article-journal","volume":"11"},"uris":["http://www.mendeley.com/documents/?uuid=64b82608-298f-45c3-90bf-5825af8ad347"]}],"mendeley":{"formattedCitation":"(3)","plainTextFormattedCitation":"(3)","previouslyFormattedCitation":"(3)"},"properties":{"noteIndex":0},"schema":"https://github.com/citation-style-language/schema/raw/master/csl-citation.json"}</w:instrText>
      </w:r>
      <w:r w:rsidR="006F2937">
        <w:rPr>
          <w:rFonts w:ascii="Times New Roman" w:hAnsi="Times New Roman" w:cs="Times New Roman"/>
        </w:rPr>
        <w:fldChar w:fldCharType="separate"/>
      </w:r>
      <w:r w:rsidR="006F2937" w:rsidRPr="006F2937">
        <w:rPr>
          <w:rFonts w:ascii="Times New Roman" w:hAnsi="Times New Roman" w:cs="Times New Roman"/>
          <w:noProof/>
        </w:rPr>
        <w:t>(3)</w:t>
      </w:r>
      <w:r w:rsidR="006F2937">
        <w:rPr>
          <w:rFonts w:ascii="Times New Roman" w:hAnsi="Times New Roman" w:cs="Times New Roman"/>
        </w:rPr>
        <w:fldChar w:fldCharType="end"/>
      </w:r>
      <w:r w:rsidR="00D66CC6">
        <w:rPr>
          <w:rFonts w:ascii="Times New Roman" w:hAnsi="Times New Roman" w:cs="Times New Roman"/>
        </w:rPr>
        <w:t>.</w:t>
      </w:r>
      <w:r w:rsidRPr="008C3A6A">
        <w:rPr>
          <w:rFonts w:ascii="Times New Roman" w:hAnsi="Times New Roman" w:cs="Times New Roman"/>
        </w:rPr>
        <w:t xml:space="preserve"> </w:t>
      </w:r>
      <w:r w:rsidR="00D66CC6">
        <w:rPr>
          <w:rFonts w:ascii="Times New Roman" w:hAnsi="Times New Roman" w:cs="Times New Roman"/>
        </w:rPr>
        <w:t xml:space="preserve">In Tanzania among individuals aged 40 years and above, the estimated prevalence is 4.2%, similar to figures </w:t>
      </w:r>
      <w:r w:rsidR="00FC74BD">
        <w:rPr>
          <w:rFonts w:ascii="Times New Roman" w:hAnsi="Times New Roman" w:cs="Times New Roman"/>
        </w:rPr>
        <w:t>observed in African American populations in the United States. However, it is lower than the 5.3% reported in South Africa and the 7.1% reported in African Caribbean populations</w:t>
      </w:r>
      <w:r w:rsidR="006F2937">
        <w:rPr>
          <w:rFonts w:ascii="Times New Roman" w:hAnsi="Times New Roman" w:cs="Times New Roman"/>
        </w:rPr>
        <w:t xml:space="preserve"> </w:t>
      </w:r>
      <w:r w:rsidR="006F2937">
        <w:rPr>
          <w:rFonts w:ascii="Times New Roman" w:hAnsi="Times New Roman" w:cs="Times New Roman"/>
        </w:rPr>
        <w:fldChar w:fldCharType="begin" w:fldLock="1"/>
      </w:r>
      <w:r w:rsidR="00DB630F">
        <w:rPr>
          <w:rFonts w:ascii="Times New Roman" w:hAnsi="Times New Roman" w:cs="Times New Roman"/>
        </w:rPr>
        <w:instrText>ADDIN CSL_CITATION {"citationItems":[{"id":"ITEM-1","itemData":{"DOI":"10.4103/0974-9233.110605","ISSN":"09749233","PMID":"23741130","abstract":"Purpose: The purpose of this study is to review the epidemiology of different types of glaucoma relevant to Sub-Saharan Africa (SSA) and to discuss the evidence regarding the risk factors for onset and progression of glaucoma, including risk factors for glaucoma blindness. Methods: Electronic databases (PubMed, MedLine, African Journals Online-AJOL) were searched using the full text, Medical Subject Headings (MeSH) terms, author(s) and title to identify publications since 1982 in the following areas: population-based glaucoma prevalence and incidence studies in SSA and in African-derived black populations outside Africa; population-based prevalence and incidence of blindness and visual impairment studies in SSA including rapid assessment methods, which elucidate the glaucoma-specific blindness prevalence; studies of risk factors for glaucoma; and publications that discussed public health approaches for the control of glaucoma in Africa. Results: Studies highlighted that glaucoma in SSA is a public health problem and predominantly open-angle glaucoma. It is the second-leading cause of blindness, has a high prevalence, an early onset and progresses more rapidly than in Caucasians. These factors are further compounded by poor awareness and low knowledge about glaucoma even by persons affected by the condition. Conclusion: Glaucoma care needs to be given high priority in Vision 2020 programs in Africa. Many questions remain unanswered and there is a need for further research in glaucoma in SSA in all aspects especially epidemiology and clinical care and outcomes involving randomized controlled trials. Genetic and genome-wide association studies may aid identification of high-risk groups. Social sciences and qualitative studies, health economics and health systems research will also enhance public health approaches for the prevention of blindness due to glaucoma.","author":[{"dropping-particle":"","family":"Kyari","given":"Fatima","non-dropping-particle":"","parse-names":false,"suffix":""},{"dropping-particle":"","family":"Abdull","given":"Mohammed M.","non-dropping-particle":"","parse-names":false,"suffix":""},{"dropping-particle":"","family":"Bastawrous","given":"Andrew","non-dropping-particle":"","parse-names":false,"suffix":""},{"dropping-particle":"","family":"Gilbert","given":"Clare E.","non-dropping-particle":"","parse-names":false,"suffix":""},{"dropping-particle":"","family":"Faal","given":"Hannah","non-dropping-particle":"","parse-names":false,"suffix":""}],"container-title":"Middle East African Journal of Ophthalmology","id":"ITEM-1","issue":"2","issued":{"date-parts":[["2013"]]},"page":"111-125","title":"Epidemiology of glaucoma in Sub-Saharan Africa: Prevalence, incidence and risk factors","type":"article-journal","volume":"20"},"uris":["http://www.mendeley.com/documents/?uuid=b9f5841a-8453-4195-a47f-893a7acf5d85"]}],"mendeley":{"formattedCitation":"(4)","plainTextFormattedCitation":"(4)","previouslyFormattedCitation":"(4)"},"properties":{"noteIndex":0},"schema":"https://github.com/citation-style-language/schema/raw/master/csl-citation.json"}</w:instrText>
      </w:r>
      <w:r w:rsidR="006F2937">
        <w:rPr>
          <w:rFonts w:ascii="Times New Roman" w:hAnsi="Times New Roman" w:cs="Times New Roman"/>
        </w:rPr>
        <w:fldChar w:fldCharType="separate"/>
      </w:r>
      <w:r w:rsidR="006F2937" w:rsidRPr="006F2937">
        <w:rPr>
          <w:rFonts w:ascii="Times New Roman" w:hAnsi="Times New Roman" w:cs="Times New Roman"/>
          <w:noProof/>
        </w:rPr>
        <w:t>(4)</w:t>
      </w:r>
      <w:r w:rsidR="006F2937">
        <w:rPr>
          <w:rFonts w:ascii="Times New Roman" w:hAnsi="Times New Roman" w:cs="Times New Roman"/>
        </w:rPr>
        <w:fldChar w:fldCharType="end"/>
      </w:r>
    </w:p>
    <w:p w14:paraId="47D7D8B7" w14:textId="77AA5448" w:rsidR="00732592" w:rsidRDefault="008D7D8D" w:rsidP="00A96836">
      <w:pPr>
        <w:pStyle w:val="NormalWeb"/>
        <w:spacing w:line="360" w:lineRule="auto"/>
        <w:jc w:val="both"/>
      </w:pPr>
      <w:r>
        <w:t xml:space="preserve"> Glaucoma is the second leading cause of blindness worldwide and </w:t>
      </w:r>
      <w:r w:rsidR="00813550">
        <w:t xml:space="preserve">the leading cause of irreversible blindness. In 2020, 76 million people were affected and this number is expected to reach approximately 111.8 million by 2040 </w:t>
      </w:r>
      <w:r w:rsidR="004A7A1C" w:rsidRPr="00A96836">
        <w:fldChar w:fldCharType="begin" w:fldLock="1"/>
      </w:r>
      <w:r w:rsidR="00DB630F">
        <w:instrText>ADDIN CSL_CITATION {"citationItems":[{"id":"ITEM-1","itemData":{"DOI":"10.1080/09286586.2018.1501499","ISSN":"17445086","PMID":"30059637","abstract":"Purpose: A review of the effectiveness, costs, and cost-effectiveness of detection and treatment strategies for glaucoma control in Sub-Saharan Africa (SSA) was conducted. Methods: Detailed searches were performed using the Ovid Medline, Ovid Embase, The Cochrane Library, Web of Science, Scopus, and LILACS databases up to September 2016. The key Medical Subject Heading search terms used included glaucoma, diagnosis, treatment, effectiveness, costs, cost-effectiveness, and Sub-Saharan Africa. Effectiveness was measured as the proportion of study participants with an intra-ocular pressure less than or equal to 22 mmHg. Results: A total of 5658 records were examined with 48 papers identified. The sensitivity and specificity of portable instruments or smartphone technologies to detect glaucomatous changes ranged from 58.3% to 93.8% and from 82.4% to 96.8%, respectively. The overall effect size for various glaucoma interventions was: 0.39 (95% confidence interval (CI) 0.27–0.54, I 2  = 64.85, p = 0.036) for laser trabeculoplasty; 0.56 (95% CI 0.23–0.84, I 2  = 85.74, p = 0.001) for drainage implant devices; 0.66 (95% CI 0.61–0.71, I 2  = 0.00, p = 0.402) for medical management; and 0.73 (95% CI 0.65–0.80, I 2  = 93.25, p = 0.000) for all other non-drainage tube surgical interventions, including trabeculectomy surgery and the use of anti-metabolites. The mean annual cost of anti-glaucoma drugs across SSA was USD 394, with a mean direct non-medication cost per year of USD 54, and a mean surgical cost per year of USD 283. Conclusions: While effective glaucoma control interventions exist, their widespread use and diffusion across SSA remain challenging principally due to low per capita income levels and high glaucoma treatment costs.","author":[{"dropping-particle":"","family":"Smith","given":"Andrew F.","non-dropping-particle":"","parse-names":false,"suffix":""},{"dropping-particle":"","family":"Negretti","given":"Guy","non-dropping-particle":"","parse-names":false,"suffix":""},{"dropping-particle":"","family":"Mascaro","given":"Aaron","non-dropping-particle":"","parse-names":false,"suffix":""},{"dropping-particle":"","family":"Bokre","given":"Desta","non-dropping-particle":"","parse-names":false,"suffix":""},{"dropping-particle":"","family":"Baker","given":"Helen","non-dropping-particle":"","parse-names":false,"suffix":""},{"dropping-particle":"","family":"Dhalla","given":"Kazim","non-dropping-particle":"","parse-names":false,"suffix":""},{"dropping-particle":"","family":"Murdoch","given":"Ian E.","non-dropping-particle":"","parse-names":false,"suffix":""}],"container-title":"Ophthalmic Epidemiology","id":"ITEM-1","issue":"5-6","issued":{"date-parts":[["2018"]]},"page":"419-435","title":"Glaucoma Control Strategies in Sub-Saharan Africa: A Review of the Clinical and Health Economic Evidence","type":"article-journal","volume":"25"},"uris":["http://www.mendeley.com/documents/?uuid=46e54951-e0d8-4a1a-b000-b10440136f25"]}],"mendeley":{"formattedCitation":"(5)","plainTextFormattedCitation":"(5)","previouslyFormattedCitation":"(5)"},"properties":{"noteIndex":0},"schema":"https://github.com/citation-style-language/schema/raw/master/csl-citation.json"}</w:instrText>
      </w:r>
      <w:r w:rsidR="004A7A1C" w:rsidRPr="00A96836">
        <w:fldChar w:fldCharType="separate"/>
      </w:r>
      <w:r w:rsidR="006F2937" w:rsidRPr="006F2937">
        <w:rPr>
          <w:noProof/>
        </w:rPr>
        <w:t>(5)</w:t>
      </w:r>
      <w:r w:rsidR="004A7A1C" w:rsidRPr="00A96836">
        <w:fldChar w:fldCharType="end"/>
      </w:r>
      <w:r w:rsidR="004A7A1C" w:rsidRPr="00A96836">
        <w:t>.</w:t>
      </w:r>
      <w:r w:rsidR="00813550">
        <w:t xml:space="preserve"> Despite improvements in treatment, about 10% of glaucoma patients still progress to permanent </w:t>
      </w:r>
      <w:r w:rsidR="00EC037E">
        <w:t>vision loss</w:t>
      </w:r>
      <w:r w:rsidR="004A7A1C" w:rsidRPr="00A96836">
        <w:fldChar w:fldCharType="begin" w:fldLock="1"/>
      </w:r>
      <w:r w:rsidR="00DB630F">
        <w:instrText>ADDIN CSL_CITATION {"citationItems":[{"id":"ITEM-1","itemData":{"DOI":"10.7759/cureus.11686","ISSN":"2168-8184","PMID":"33391921","abstract":"Glaucoma is a multifactorial optic degenerative neuropathy characterized by the loss of retinal ganglion cells. It is a combination of vascular, genetic, anatomical, and immune factors. Glaucoma poses a significant public health concern as it is the second leading cause of blindness after cataracts, and this blindness is usually irreversible. It is estimated that 57.5 million people worldwide are affected by primary open-angle glaucoma (POAG). People over 60 years of age, family members of those already diagnosed with glaucoma, steroid users, diabetics, as well as those with high myopia, hypertension, central cornea thickness of &lt;5 mm, and eye injury are at an increased risk of glaucoma. By 2020, it is expected that approximately 76 million people will suffer from glaucoma with that number estimated to reach 111.8 million by 2040. In this article, we perform an extensive literature review focusing on the epidemiology of glaucoma and try to determine the number of people affected; we categorize them by sex, location, and level of income. Furthermore, we strive to estimate the future projection of the disease in the next 20 years (2040) while determining the disease burden, including the cost involved in treating and preventing the disease and the disease and disability projection of glaucoma.","author":[{"dropping-particle":"","family":"Allison","given":"Karen","non-dropping-particle":"","parse-names":false,"suffix":""},{"dropping-particle":"","family":"Patel","given":"Deepkumar","non-dropping-particle":"","parse-names":false,"suffix":""},{"dropping-particle":"","family":"Alabi","given":"Omobolanle","non-dropping-particle":"","parse-names":false,"suffix":""}],"container-title":"Cureus","id":"ITEM-1","issue":"11","issued":{"date-parts":[["2020"]]},"title":"Epidemiology of Glaucoma: The Past, Present, and Predictions for the Future","type":"article-journal","volume":"12"},"uris":["http://www.mendeley.com/documents/?uuid=095e6ad6-9b93-4a25-9ee1-d317281a5515"]}],"mendeley":{"formattedCitation":"(6)","plainTextFormattedCitation":"(6)","previouslyFormattedCitation":"(6)"},"properties":{"noteIndex":0},"schema":"https://github.com/citation-style-language/schema/raw/master/csl-citation.json"}</w:instrText>
      </w:r>
      <w:r w:rsidR="004A7A1C" w:rsidRPr="00A96836">
        <w:fldChar w:fldCharType="separate"/>
      </w:r>
      <w:r w:rsidR="006F2937" w:rsidRPr="006F2937">
        <w:rPr>
          <w:noProof/>
        </w:rPr>
        <w:t>(6)</w:t>
      </w:r>
      <w:r w:rsidR="004A7A1C" w:rsidRPr="00A96836">
        <w:fldChar w:fldCharType="end"/>
      </w:r>
      <w:r w:rsidR="00732592" w:rsidRPr="00A96836">
        <w:t>.</w:t>
      </w:r>
    </w:p>
    <w:p w14:paraId="5FDB0CC4" w14:textId="5AFC4E61" w:rsidR="00732592" w:rsidRDefault="00807045" w:rsidP="00A96836">
      <w:pPr>
        <w:pStyle w:val="NormalWeb"/>
        <w:spacing w:line="360" w:lineRule="auto"/>
        <w:jc w:val="both"/>
      </w:pPr>
      <w:r>
        <w:lastRenderedPageBreak/>
        <w:t xml:space="preserve">The primary goal of glaucoma treatment is to preserve functional vision by controlling IOP, thereby preventing further damage to the optic nerve. Treatment modalities include medical therapy with eye drops, surgery or laser therapies </w:t>
      </w:r>
      <w:r w:rsidR="007F1996" w:rsidRPr="00A96836">
        <w:fldChar w:fldCharType="begin" w:fldLock="1"/>
      </w:r>
      <w:r w:rsidR="00DB630F">
        <w:instrText>ADDIN CSL_CITATION {"citationItems":[{"id":"ITEM-1","itemData":{"DOI":"10.2147/CEOR.S30697","ISSN":"11786981","abstract":"Glaucoma is the second highest cause of blindness worldwide with an estimated half of the glaucoma population unaware of their disease. To date, intraocular pressure is the most important modifiable risk factor and lowering it has been proven to reduce progression of visual field loss associated with glaucoma. Different strategies are available to lower intraocular pressure and include medical, laser, or surgical treatment in the form of topical or systemic medications, argon or selective laser trabeculoplasty, and glaucoma drainage surgery such as trabeculectomy, deep sclerectomy, or other drainage devices. The effectiveness of these treatments has been well documented however their cost-effectiveness between the developed world and third world remains unclear.","author":[{"dropping-particle":"","family":"Ting","given":"Naomi Sj","non-dropping-particle":"","parse-names":false,"suffix":""},{"dropping-particle":"","family":"Li Yim","given":"James F.T.","non-dropping-particle":"","parse-names":false,"suffix":""},{"dropping-particle":"","family":"Ng","given":"Jia Y.","non-dropping-particle":"","parse-names":false,"suffix":""}],"container-title":"ClinicoEconomics and Outcomes Research","id":"ITEM-1","issued":{"date-parts":[["2014"]]},"page":"523-530","title":"Different strategies and cost-effectiveness in the treatment of primary open angle glaucoma","type":"article-journal","volume":"6"},"uris":["http://www.mendeley.com/documents/?uuid=8896f48a-d4bc-46dd-9de3-673ac005c97d"]}],"mendeley":{"formattedCitation":"(7)","plainTextFormattedCitation":"(7)","previouslyFormattedCitation":"(7)"},"properties":{"noteIndex":0},"schema":"https://github.com/citation-style-language/schema/raw/master/csl-citation.json"}</w:instrText>
      </w:r>
      <w:r w:rsidR="007F1996" w:rsidRPr="00A96836">
        <w:fldChar w:fldCharType="separate"/>
      </w:r>
      <w:r w:rsidR="006F2937" w:rsidRPr="006F2937">
        <w:rPr>
          <w:noProof/>
        </w:rPr>
        <w:t>(7)</w:t>
      </w:r>
      <w:r w:rsidR="007F1996" w:rsidRPr="00A96836">
        <w:fldChar w:fldCharType="end"/>
      </w:r>
      <w:r w:rsidR="00732592" w:rsidRPr="00A96836">
        <w:t>.</w:t>
      </w:r>
    </w:p>
    <w:p w14:paraId="14BA7F7F" w14:textId="0B610B7A" w:rsidR="00A06020" w:rsidRDefault="006B0980" w:rsidP="00A96836">
      <w:pPr>
        <w:pStyle w:val="NormalWeb"/>
        <w:spacing w:line="360" w:lineRule="auto"/>
        <w:jc w:val="both"/>
      </w:pPr>
      <w:r>
        <w:t>Among the laser-based options, transscleral cyclophotocoagulation (TSCPC)</w:t>
      </w:r>
      <w:r w:rsidR="00A06020">
        <w:t xml:space="preserve"> is</w:t>
      </w:r>
      <w:r>
        <w:t xml:space="preserve"> increasingly used for managing refractory glaucoma. This procedure involves the application of laser energy to the pigmented epithelium of the ciliary body, which is responsible for aqueous humor production. Destroying this tissue reduces aqueous production, th</w:t>
      </w:r>
      <w:r w:rsidR="00A06020">
        <w:t>us</w:t>
      </w:r>
      <w:r>
        <w:t xml:space="preserve"> lowering IOP</w:t>
      </w:r>
      <w:r w:rsidR="007F1996" w:rsidRPr="00A96836">
        <w:fldChar w:fldCharType="begin" w:fldLock="1"/>
      </w:r>
      <w:r w:rsidR="00DB630F">
        <w:instrText>ADDIN CSL_CITATION {"citationItems":[{"id":"ITEM-1","itemData":{"author":[{"dropping-particle":"","family":"Boboev","given":"S A","non-dropping-particle":"","parse-names":false,"suffix":""}],"id":"ITEM-1","issue":"May","issued":{"date-parts":[["2022"]]},"page":"166-172","title":"STAGES OF ETIOLOGY , PATHOGENESIS , DIAGNOSIS , TREATMENT OF REFRACTER GLUCOMAS","type":"article-journal"},"uris":["http://www.mendeley.com/documents/?uuid=62b7f529-d4c6-4957-8edc-d128bcdc31de"]}],"mendeley":{"formattedCitation":"(8)","plainTextFormattedCitation":"(8)","previouslyFormattedCitation":"(8)"},"properties":{"noteIndex":0},"schema":"https://github.com/citation-style-language/schema/raw/master/csl-citation.json"}</w:instrText>
      </w:r>
      <w:r w:rsidR="007F1996" w:rsidRPr="00A96836">
        <w:fldChar w:fldCharType="separate"/>
      </w:r>
      <w:r w:rsidR="006F2937" w:rsidRPr="006F2937">
        <w:rPr>
          <w:noProof/>
        </w:rPr>
        <w:t>(8)</w:t>
      </w:r>
      <w:r w:rsidR="007F1996" w:rsidRPr="00A96836">
        <w:fldChar w:fldCharType="end"/>
      </w:r>
      <w:r w:rsidR="00732592" w:rsidRPr="00A96836">
        <w:t>.</w:t>
      </w:r>
      <w:r>
        <w:t xml:space="preserve"> While TSCPC has shown promising results, it is generally reserved for cases</w:t>
      </w:r>
      <w:r w:rsidR="00AF6CC9">
        <w:t xml:space="preserve"> where conventional treatments have failed due to the risk of complications such as post operative inflammation, hypotony, phthisis bulbi, cystoid macular edema and inconsistent pressure lowering effects</w:t>
      </w:r>
      <w:r w:rsidR="007F1996" w:rsidRPr="00A96836">
        <w:fldChar w:fldCharType="begin" w:fldLock="1"/>
      </w:r>
      <w:r w:rsidR="00DB630F">
        <w:instrText>ADDIN CSL_CITATION {"citationItems":[{"id":"ITEM-1","itemData":{"DOI":"10.5935/0004-2749.20190076","ISSN":"16782925","PMID":"31271570","abstract":"Purpose: To evaluate the effectiveness in intraocular pressure reduction and safety of micropulse transscleral diode cyclophotocoagulation in refractory glaucoma. Methods: We prospectively evaluated a case series of 21 eyes of 21 consecutive patients with refractory glaucoma treated with micropulse transscleral diode cyclophotocoagulation at 12-month follow-up. The total treatment time was at the discretion of the surgeon, considering baseline and target intraocular pressure and glaucoma diagnosis. Intraocular pressure, inflammation, visual acuity, and number of medications were monitored. Success was defined as intraocular pressure between 6 and 21 mmHg and/or 30% reduction from baseline intraocular pressure with or without the use of antiglaucoma medications. Visual acuity loss was defined as a loss of ≥2 lines of vision on the Snellen chart or a ≥2-level decrease in visual function in patients with nonmeasurable chart acuity. Results: The mean age was 61.04 ± 12.99 years, and 11 (52.4%) patients were male, with most (95%) patients showing low visual acuity at baseline (count fingers or worse). The mean intraocular pressure was 33.38 ± 15.95 mmHg, and the mean number of medications was 3.5 ± 1.1 at baseline. After 1, 3, 6, and 12 months, 76.19%, 57.14%, 55.56%, and 66.67%, respectively, of the patients were classified as treatment successes. Seven (33.3%) patients required new laser treatment and were considered treatment failures. The mean intraocular pressure reduction was 44.72% ± 29.72% in the first week and 41.59% ± 18.93% at the end of follow-up (p=0.006). The mean number of medications significantly dropped to 2.00 ± 1.7 at the 12-month visit (p=0.044). Complications included hypotony (4.8%), intraocular inflammation after 1 month (19%), and visual acuity loss (4.8%). Conclusions: Micropulse transscleral diode cyclophotocoagulation was safe and effective for reducing intraocular pressure in eyes with refractory and advanced glaucoma, with reduced need for ocular antihypertensive medication.","author":[{"dropping-particle":"","family":"Jammal","given":"Alessandro Adad","non-dropping-particle":"","parse-names":false,"suffix":""},{"dropping-particle":"","family":"Costa","given":"Danilo Campos","non-dropping-particle":"","parse-names":false,"suffix":""},{"dropping-particle":"","family":"Vasconcellos","given":"José Paulo Cabral","non-dropping-particle":"","parse-names":false,"suffix":""},{"dropping-particle":"","family":"Costa","given":"Vital Paulino","non-dropping-particle":"","parse-names":false,"suffix":""}],"container-title":"Arquivos Brasileiros de Oftalmologia","id":"ITEM-1","issue":"5","issued":{"date-parts":[["2019"]]},"page":"381-388","title":"Prospective evaluation of micropulse transscleral diode cyclophotocoagulation in refractory glaucoma: 1 year results","type":"article-journal","volume":"82"},"uris":["http://www.mendeley.com/documents/?uuid=068ae9db-9ba3-4b48-a326-46b82d2ce0d6"]}],"mendeley":{"formattedCitation":"(9)","plainTextFormattedCitation":"(9)","previouslyFormattedCitation":"(9)"},"properties":{"noteIndex":0},"schema":"https://github.com/citation-style-language/schema/raw/master/csl-citation.json"}</w:instrText>
      </w:r>
      <w:r w:rsidR="007F1996" w:rsidRPr="00A96836">
        <w:fldChar w:fldCharType="separate"/>
      </w:r>
      <w:r w:rsidR="006F2937" w:rsidRPr="006F2937">
        <w:rPr>
          <w:noProof/>
        </w:rPr>
        <w:t>(9)</w:t>
      </w:r>
      <w:r w:rsidR="007F1996" w:rsidRPr="00A96836">
        <w:fldChar w:fldCharType="end"/>
      </w:r>
      <w:r w:rsidR="00732592" w:rsidRPr="00A96836">
        <w:t>.</w:t>
      </w:r>
    </w:p>
    <w:p w14:paraId="260A137B" w14:textId="6E3838CE" w:rsidR="00A06020" w:rsidRDefault="002E33FF" w:rsidP="00A96836">
      <w:pPr>
        <w:pStyle w:val="NormalWeb"/>
        <w:spacing w:line="360" w:lineRule="auto"/>
        <w:jc w:val="both"/>
      </w:pPr>
      <w:r>
        <w:t>Despite its growing use in clinical practice, there is paucity of data concerning the efficacy and safety of limited TSCPC, particularly within Sub Saharan Africa. Some studies from countries such as Ghana, Cameroon, Malawi and Tanzania have explored its application often with varying indications and outcomes. Most reported</w:t>
      </w:r>
      <w:r w:rsidR="008E7C34">
        <w:t xml:space="preserve"> that </w:t>
      </w:r>
      <w:r>
        <w:t xml:space="preserve">TSCPC </w:t>
      </w:r>
      <w:r w:rsidR="008E7C34">
        <w:t>is</w:t>
      </w:r>
      <w:r>
        <w:t xml:space="preserve"> re</w:t>
      </w:r>
      <w:r w:rsidR="008E7C34">
        <w:t>latively safe with mild associated complications. A study from Nigeria demonstrated that, TSCPC could be safe and effective for patients with good vision, suggesting it as a viable alternative to other interventions.</w:t>
      </w:r>
    </w:p>
    <w:p w14:paraId="7DE82A39" w14:textId="6AD754E3" w:rsidR="008E7C34" w:rsidRPr="00A96836" w:rsidRDefault="008E7C34" w:rsidP="00A96836">
      <w:pPr>
        <w:pStyle w:val="NormalWeb"/>
        <w:spacing w:line="360" w:lineRule="auto"/>
        <w:jc w:val="both"/>
      </w:pPr>
      <w:r>
        <w:t>Given the high prevalence of refractory glaucoma and limited resource</w:t>
      </w:r>
      <w:r w:rsidR="00254813">
        <w:t>s in many African eye care settings, further investigations on the effectiveness of TSCPC is needed. This study aims to evaluate the efficacy of limited TSCPC in patients with refractory glaucoma at KCMC Eye Department.</w:t>
      </w:r>
    </w:p>
    <w:p w14:paraId="07230E07" w14:textId="66DDD019" w:rsidR="00606F69" w:rsidRDefault="00606F69" w:rsidP="00A96836">
      <w:pPr>
        <w:pStyle w:val="NormalWeb"/>
        <w:spacing w:line="360" w:lineRule="auto"/>
        <w:jc w:val="both"/>
      </w:pPr>
    </w:p>
    <w:p w14:paraId="668539B4" w14:textId="0C0995A2" w:rsidR="00606F69" w:rsidRDefault="00606F69" w:rsidP="00A96836">
      <w:pPr>
        <w:pStyle w:val="NormalWeb"/>
        <w:spacing w:line="360" w:lineRule="auto"/>
        <w:jc w:val="both"/>
      </w:pPr>
    </w:p>
    <w:p w14:paraId="66BE1E06" w14:textId="4A34AB8A" w:rsidR="00606F69" w:rsidRDefault="00606F69" w:rsidP="00A96836">
      <w:pPr>
        <w:pStyle w:val="NormalWeb"/>
        <w:spacing w:line="360" w:lineRule="auto"/>
        <w:jc w:val="both"/>
      </w:pPr>
    </w:p>
    <w:p w14:paraId="61A5B38F" w14:textId="1E2BA888" w:rsidR="00606F69" w:rsidRDefault="00606F69" w:rsidP="00A96836">
      <w:pPr>
        <w:pStyle w:val="NormalWeb"/>
        <w:spacing w:line="360" w:lineRule="auto"/>
        <w:jc w:val="both"/>
      </w:pPr>
    </w:p>
    <w:p w14:paraId="0BED24FA" w14:textId="1AD731EA" w:rsidR="00606F69" w:rsidRDefault="00606F69" w:rsidP="00A96836">
      <w:pPr>
        <w:pStyle w:val="NormalWeb"/>
        <w:spacing w:line="360" w:lineRule="auto"/>
        <w:jc w:val="both"/>
      </w:pPr>
    </w:p>
    <w:p w14:paraId="4CA2AD0F" w14:textId="4DEA3DA4" w:rsidR="00606F69" w:rsidRDefault="00606F69" w:rsidP="00A96836">
      <w:pPr>
        <w:pStyle w:val="NormalWeb"/>
        <w:spacing w:line="360" w:lineRule="auto"/>
        <w:jc w:val="both"/>
      </w:pPr>
    </w:p>
    <w:p w14:paraId="2E4B90B9" w14:textId="77777777" w:rsidR="00606F69" w:rsidRPr="00A96836" w:rsidRDefault="00606F69" w:rsidP="00A96836">
      <w:pPr>
        <w:pStyle w:val="NormalWeb"/>
        <w:spacing w:line="360" w:lineRule="auto"/>
        <w:jc w:val="both"/>
        <w:rPr>
          <w:b/>
          <w:color w:val="000000"/>
        </w:rPr>
      </w:pPr>
    </w:p>
    <w:p w14:paraId="39FD3FFF" w14:textId="789B078A" w:rsidR="00732592" w:rsidRPr="00A96836" w:rsidRDefault="000C2B1D" w:rsidP="00A96836">
      <w:pPr>
        <w:pStyle w:val="Heading2"/>
        <w:spacing w:line="360" w:lineRule="auto"/>
        <w:jc w:val="both"/>
        <w:rPr>
          <w:rFonts w:ascii="Times New Roman" w:hAnsi="Times New Roman" w:cs="Times New Roman"/>
          <w:sz w:val="24"/>
          <w:szCs w:val="24"/>
        </w:rPr>
      </w:pPr>
      <w:bookmarkStart w:id="1" w:name="_Toc199960598"/>
      <w:r w:rsidRPr="00A96836">
        <w:rPr>
          <w:rFonts w:ascii="Times New Roman" w:eastAsia="Times New Roman" w:hAnsi="Times New Roman" w:cs="Times New Roman"/>
          <w:bCs/>
          <w:color w:val="000000"/>
          <w:sz w:val="24"/>
          <w:szCs w:val="24"/>
        </w:rPr>
        <w:t xml:space="preserve"> </w:t>
      </w:r>
      <w:bookmarkEnd w:id="1"/>
    </w:p>
    <w:p w14:paraId="36387580" w14:textId="323375A6" w:rsidR="00732592" w:rsidRPr="00A96836" w:rsidRDefault="00732592" w:rsidP="00A96836">
      <w:pPr>
        <w:spacing w:line="360" w:lineRule="auto"/>
        <w:jc w:val="both"/>
        <w:rPr>
          <w:rFonts w:ascii="Times New Roman" w:hAnsi="Times New Roman" w:cs="Times New Roman"/>
        </w:rPr>
      </w:pPr>
    </w:p>
    <w:p w14:paraId="7B352B2E" w14:textId="116F7002" w:rsidR="00732592" w:rsidRPr="00A96836" w:rsidRDefault="00732592" w:rsidP="00A96836">
      <w:pPr>
        <w:spacing w:line="360" w:lineRule="auto"/>
        <w:jc w:val="both"/>
        <w:rPr>
          <w:rFonts w:ascii="Times New Roman" w:hAnsi="Times New Roman" w:cs="Times New Roman"/>
        </w:rPr>
      </w:pPr>
    </w:p>
    <w:p w14:paraId="7B28B332" w14:textId="366F9478" w:rsidR="00732592" w:rsidRPr="00A96836" w:rsidRDefault="00732592" w:rsidP="00A96836">
      <w:pPr>
        <w:spacing w:line="360" w:lineRule="auto"/>
        <w:jc w:val="both"/>
        <w:rPr>
          <w:rFonts w:ascii="Times New Roman" w:hAnsi="Times New Roman" w:cs="Times New Roman"/>
        </w:rPr>
      </w:pPr>
    </w:p>
    <w:p w14:paraId="06E538C2" w14:textId="7A362096" w:rsidR="00124D3C" w:rsidRDefault="00124D3C" w:rsidP="00A96836">
      <w:pPr>
        <w:spacing w:before="100" w:beforeAutospacing="1" w:line="360" w:lineRule="auto"/>
        <w:outlineLvl w:val="2"/>
        <w:rPr>
          <w:rFonts w:ascii="Times New Roman" w:eastAsia="Times New Roman" w:hAnsi="Times New Roman" w:cs="Times New Roman"/>
          <w:b/>
          <w:bCs/>
        </w:rPr>
      </w:pPr>
    </w:p>
    <w:p w14:paraId="098D159A" w14:textId="77777777" w:rsidR="00B6450B" w:rsidRDefault="00B6450B" w:rsidP="00A96836">
      <w:pPr>
        <w:spacing w:before="100" w:beforeAutospacing="1" w:line="360" w:lineRule="auto"/>
        <w:outlineLvl w:val="2"/>
        <w:rPr>
          <w:rFonts w:ascii="Times New Roman" w:eastAsia="Times New Roman" w:hAnsi="Times New Roman" w:cs="Times New Roman"/>
          <w:b/>
          <w:bCs/>
        </w:rPr>
      </w:pPr>
    </w:p>
    <w:p w14:paraId="1188A14D" w14:textId="2C1D9B8D" w:rsidR="00A96836" w:rsidRDefault="006B3176" w:rsidP="00A96836">
      <w:pPr>
        <w:spacing w:before="100" w:beforeAutospacing="1" w:line="360" w:lineRule="auto"/>
        <w:outlineLvl w:val="2"/>
        <w:rPr>
          <w:rFonts w:ascii="Times New Roman" w:eastAsia="Times New Roman" w:hAnsi="Times New Roman" w:cs="Times New Roman"/>
          <w:b/>
          <w:bCs/>
        </w:rPr>
      </w:pPr>
      <w:r>
        <w:rPr>
          <w:rFonts w:ascii="Times New Roman" w:eastAsia="Times New Roman" w:hAnsi="Times New Roman" w:cs="Times New Roman"/>
          <w:b/>
          <w:bCs/>
        </w:rPr>
        <w:t>Methods.</w:t>
      </w:r>
    </w:p>
    <w:p w14:paraId="4239047F" w14:textId="114CDA69" w:rsidR="002705C3" w:rsidRPr="00A96836" w:rsidRDefault="00B26408" w:rsidP="00A96836">
      <w:pPr>
        <w:spacing w:line="360" w:lineRule="auto"/>
        <w:outlineLvl w:val="2"/>
        <w:rPr>
          <w:rFonts w:ascii="Times New Roman" w:eastAsia="Times New Roman" w:hAnsi="Times New Roman" w:cs="Times New Roman"/>
          <w:b/>
          <w:bCs/>
        </w:rPr>
      </w:pPr>
      <w:r w:rsidRPr="00A96836">
        <w:rPr>
          <w:rFonts w:ascii="Times New Roman" w:eastAsia="Times New Roman" w:hAnsi="Times New Roman" w:cs="Times New Roman"/>
          <w:b/>
          <w:bCs/>
        </w:rPr>
        <w:t xml:space="preserve">Study </w:t>
      </w:r>
      <w:r w:rsidR="002705C3" w:rsidRPr="00A96836">
        <w:rPr>
          <w:rFonts w:ascii="Times New Roman" w:eastAsia="Times New Roman" w:hAnsi="Times New Roman" w:cs="Times New Roman"/>
          <w:b/>
          <w:bCs/>
        </w:rPr>
        <w:t>design and setting</w:t>
      </w:r>
      <w:r w:rsidRPr="00A96836">
        <w:rPr>
          <w:rFonts w:ascii="Times New Roman" w:eastAsia="Times New Roman" w:hAnsi="Times New Roman" w:cs="Times New Roman"/>
        </w:rPr>
        <w:br/>
      </w:r>
      <w:r w:rsidR="007E5CA6" w:rsidRPr="00A96836">
        <w:rPr>
          <w:rFonts w:ascii="Times New Roman" w:eastAsia="Times New Roman" w:hAnsi="Times New Roman" w:cs="Times New Roman"/>
        </w:rPr>
        <w:t>A</w:t>
      </w:r>
      <w:r w:rsidRPr="00A96836">
        <w:rPr>
          <w:rFonts w:ascii="Times New Roman" w:eastAsia="Times New Roman" w:hAnsi="Times New Roman" w:cs="Times New Roman"/>
        </w:rPr>
        <w:t xml:space="preserve"> prospective</w:t>
      </w:r>
      <w:r w:rsidR="00D06CA2" w:rsidRPr="00A96836">
        <w:rPr>
          <w:rFonts w:ascii="Times New Roman" w:eastAsia="Times New Roman" w:hAnsi="Times New Roman" w:cs="Times New Roman"/>
        </w:rPr>
        <w:t xml:space="preserve"> </w:t>
      </w:r>
      <w:r w:rsidRPr="00A96836">
        <w:rPr>
          <w:rFonts w:ascii="Times New Roman" w:eastAsia="Times New Roman" w:hAnsi="Times New Roman" w:cs="Times New Roman"/>
        </w:rPr>
        <w:t xml:space="preserve">cohort study </w:t>
      </w:r>
      <w:r w:rsidR="00BF7E1F" w:rsidRPr="00A96836">
        <w:rPr>
          <w:rFonts w:ascii="Times New Roman" w:eastAsia="Times New Roman" w:hAnsi="Times New Roman" w:cs="Times New Roman"/>
        </w:rPr>
        <w:t xml:space="preserve">of 74 participants aged 18 years and above </w:t>
      </w:r>
      <w:r w:rsidRPr="00A96836">
        <w:rPr>
          <w:rFonts w:ascii="Times New Roman" w:eastAsia="Times New Roman" w:hAnsi="Times New Roman" w:cs="Times New Roman"/>
        </w:rPr>
        <w:t>was conducted at the Ophthalmology Department of Kilimanjaro Christian Medical Centre (KCMC), Moshi, Northern Tanzania, from August 2023 to June 2024. KCMC is one of five consultant hospitals in Tanzania, serving the northern regions and receiving referrals nationally and from neighboring countries</w:t>
      </w:r>
      <w:r w:rsidR="009D2A76">
        <w:rPr>
          <w:rFonts w:ascii="Times New Roman" w:eastAsia="Times New Roman" w:hAnsi="Times New Roman" w:cs="Times New Roman"/>
        </w:rPr>
        <w:t>. It also</w:t>
      </w:r>
      <w:r w:rsidR="00D43599" w:rsidRPr="00A96836">
        <w:rPr>
          <w:rFonts w:ascii="Times New Roman" w:eastAsia="Times New Roman" w:hAnsi="Times New Roman" w:cs="Times New Roman"/>
        </w:rPr>
        <w:t xml:space="preserve"> serves as a training center </w:t>
      </w:r>
      <w:r w:rsidR="002705C3" w:rsidRPr="00A96836">
        <w:rPr>
          <w:rFonts w:ascii="Times New Roman" w:eastAsia="Times New Roman" w:hAnsi="Times New Roman" w:cs="Times New Roman"/>
        </w:rPr>
        <w:t xml:space="preserve">and </w:t>
      </w:r>
      <w:r w:rsidR="00D43599" w:rsidRPr="00A96836">
        <w:rPr>
          <w:rFonts w:ascii="Times New Roman" w:eastAsia="Times New Roman" w:hAnsi="Times New Roman" w:cs="Times New Roman"/>
        </w:rPr>
        <w:t>ophthalmolog</w:t>
      </w:r>
      <w:r w:rsidR="006B3176">
        <w:rPr>
          <w:rFonts w:ascii="Times New Roman" w:eastAsia="Times New Roman" w:hAnsi="Times New Roman" w:cs="Times New Roman"/>
        </w:rPr>
        <w:t>y</w:t>
      </w:r>
      <w:r w:rsidR="00D43599" w:rsidRPr="00A96836">
        <w:rPr>
          <w:rFonts w:ascii="Times New Roman" w:eastAsia="Times New Roman" w:hAnsi="Times New Roman" w:cs="Times New Roman"/>
        </w:rPr>
        <w:t xml:space="preserve"> and allied eye care professionals</w:t>
      </w:r>
      <w:r w:rsidR="002705C3" w:rsidRPr="00A96836">
        <w:rPr>
          <w:rFonts w:ascii="Times New Roman" w:eastAsia="Times New Roman" w:hAnsi="Times New Roman" w:cs="Times New Roman"/>
        </w:rPr>
        <w:t xml:space="preserve"> is one of the trainings </w:t>
      </w:r>
      <w:r w:rsidR="001D3147">
        <w:rPr>
          <w:rFonts w:ascii="Times New Roman" w:eastAsia="Times New Roman" w:hAnsi="Times New Roman" w:cs="Times New Roman"/>
        </w:rPr>
        <w:t>offered</w:t>
      </w:r>
      <w:r w:rsidR="002705C3" w:rsidRPr="00A96836">
        <w:rPr>
          <w:rFonts w:ascii="Times New Roman" w:eastAsia="Times New Roman" w:hAnsi="Times New Roman" w:cs="Times New Roman"/>
        </w:rPr>
        <w:t xml:space="preserve"> at KCMC</w:t>
      </w:r>
      <w:r w:rsidR="00D43599" w:rsidRPr="00A96836">
        <w:rPr>
          <w:rFonts w:ascii="Times New Roman" w:eastAsia="Times New Roman" w:hAnsi="Times New Roman" w:cs="Times New Roman"/>
        </w:rPr>
        <w:t>.</w:t>
      </w:r>
      <w:r w:rsidRPr="00A96836">
        <w:rPr>
          <w:rFonts w:ascii="Times New Roman" w:eastAsia="Times New Roman" w:hAnsi="Times New Roman" w:cs="Times New Roman"/>
        </w:rPr>
        <w:t xml:space="preserve"> </w:t>
      </w:r>
      <w:r w:rsidR="00D43599" w:rsidRPr="00A96836">
        <w:rPr>
          <w:rFonts w:ascii="Times New Roman" w:eastAsia="Times New Roman" w:hAnsi="Times New Roman" w:cs="Times New Roman"/>
        </w:rPr>
        <w:t>Glaucoma   constitutes about 10% of total patients managed in t</w:t>
      </w:r>
      <w:r w:rsidRPr="00A96836">
        <w:rPr>
          <w:rFonts w:ascii="Times New Roman" w:eastAsia="Times New Roman" w:hAnsi="Times New Roman" w:cs="Times New Roman"/>
        </w:rPr>
        <w:t>he Eye Department</w:t>
      </w:r>
      <w:r w:rsidR="00D43599" w:rsidRPr="00A96836">
        <w:rPr>
          <w:rFonts w:ascii="Times New Roman" w:eastAsia="Times New Roman" w:hAnsi="Times New Roman" w:cs="Times New Roman"/>
        </w:rPr>
        <w:t xml:space="preserve"> annually. </w:t>
      </w:r>
    </w:p>
    <w:p w14:paraId="0E8A2D27" w14:textId="4C639F5F" w:rsidR="00B26408" w:rsidRPr="00A96836" w:rsidRDefault="002705C3" w:rsidP="00A96836">
      <w:pPr>
        <w:spacing w:before="100" w:beforeAutospacing="1" w:after="100" w:afterAutospacing="1" w:line="360" w:lineRule="auto"/>
        <w:rPr>
          <w:rFonts w:ascii="Times New Roman" w:eastAsia="Times New Roman" w:hAnsi="Times New Roman" w:cs="Times New Roman"/>
        </w:rPr>
      </w:pPr>
      <w:r w:rsidRPr="00A96836">
        <w:rPr>
          <w:rFonts w:ascii="Times New Roman" w:eastAsia="Times New Roman" w:hAnsi="Times New Roman" w:cs="Times New Roman"/>
          <w:b/>
          <w:bCs/>
        </w:rPr>
        <w:t>Study population and Eligibility criteria</w:t>
      </w:r>
      <w:r w:rsidR="00B26408" w:rsidRPr="00A96836">
        <w:rPr>
          <w:rFonts w:ascii="Times New Roman" w:eastAsia="Times New Roman" w:hAnsi="Times New Roman" w:cs="Times New Roman"/>
        </w:rPr>
        <w:br/>
        <w:t>The study enrolled adult patients aged 18 years and above with refractory glaucoma treated with transscleral cyclophotocoagulation (TSCPC) during the study period.</w:t>
      </w:r>
      <w:r w:rsidR="00AC269B" w:rsidRPr="00A96836">
        <w:rPr>
          <w:rFonts w:ascii="Times New Roman" w:eastAsia="Times New Roman" w:hAnsi="Times New Roman" w:cs="Times New Roman"/>
        </w:rPr>
        <w:t xml:space="preserve"> </w:t>
      </w:r>
      <w:r w:rsidR="006872ED" w:rsidRPr="00A96836">
        <w:rPr>
          <w:rFonts w:ascii="Times New Roman" w:eastAsia="Times New Roman" w:hAnsi="Times New Roman" w:cs="Times New Roman"/>
        </w:rPr>
        <w:t xml:space="preserve">Eligible patients had an intraocular pressure (IOP) ≥30 mmHg despite maximal medical </w:t>
      </w:r>
      <w:r w:rsidR="004E4F08" w:rsidRPr="00A96836">
        <w:rPr>
          <w:rFonts w:ascii="Times New Roman" w:eastAsia="Times New Roman" w:hAnsi="Times New Roman" w:cs="Times New Roman"/>
        </w:rPr>
        <w:t>therapy. Timolol</w:t>
      </w:r>
      <w:r w:rsidR="007D6339" w:rsidRPr="00A96836">
        <w:rPr>
          <w:rFonts w:ascii="Times New Roman" w:eastAsia="Times New Roman" w:hAnsi="Times New Roman" w:cs="Times New Roman"/>
        </w:rPr>
        <w:t xml:space="preserve"> and Latanoprost are most frequently available and</w:t>
      </w:r>
      <w:r w:rsidR="001B1D0D" w:rsidRPr="00A96836">
        <w:rPr>
          <w:rFonts w:ascii="Times New Roman" w:eastAsia="Times New Roman" w:hAnsi="Times New Roman" w:cs="Times New Roman"/>
        </w:rPr>
        <w:t xml:space="preserve"> affordable drugs for glaucoma at KCMC. </w:t>
      </w:r>
      <w:r w:rsidR="006872ED" w:rsidRPr="00A96836">
        <w:rPr>
          <w:rFonts w:ascii="Times New Roman" w:eastAsia="Times New Roman" w:hAnsi="Times New Roman" w:cs="Times New Roman"/>
        </w:rPr>
        <w:br/>
      </w:r>
      <w:r w:rsidR="00AC269B" w:rsidRPr="00A96836">
        <w:rPr>
          <w:rFonts w:ascii="Times New Roman" w:eastAsia="Times New Roman" w:hAnsi="Times New Roman" w:cs="Times New Roman"/>
        </w:rPr>
        <w:t xml:space="preserve">Patients with prior </w:t>
      </w:r>
      <w:proofErr w:type="spellStart"/>
      <w:r w:rsidR="00AC269B" w:rsidRPr="00A96836">
        <w:rPr>
          <w:rFonts w:ascii="Times New Roman" w:eastAsia="Times New Roman" w:hAnsi="Times New Roman" w:cs="Times New Roman"/>
        </w:rPr>
        <w:t>cyclodestructive</w:t>
      </w:r>
      <w:proofErr w:type="spellEnd"/>
      <w:r w:rsidR="00AC269B" w:rsidRPr="00A96836">
        <w:rPr>
          <w:rFonts w:ascii="Times New Roman" w:eastAsia="Times New Roman" w:hAnsi="Times New Roman" w:cs="Times New Roman"/>
        </w:rPr>
        <w:t xml:space="preserve"> procedures, active ocular inflammation or recent intraocular surgery in the treatment eye were excluded. </w:t>
      </w:r>
    </w:p>
    <w:p w14:paraId="7C8B39FE" w14:textId="634CD80A" w:rsidR="00C024DD" w:rsidRPr="00A96836" w:rsidRDefault="00B26408" w:rsidP="00A96836">
      <w:pPr>
        <w:spacing w:before="100" w:beforeAutospacing="1" w:after="100" w:afterAutospacing="1" w:line="360" w:lineRule="auto"/>
        <w:rPr>
          <w:rFonts w:ascii="Times New Roman" w:eastAsia="Times New Roman" w:hAnsi="Times New Roman" w:cs="Times New Roman"/>
        </w:rPr>
      </w:pPr>
      <w:r w:rsidRPr="00A96836">
        <w:rPr>
          <w:rFonts w:ascii="Times New Roman" w:eastAsia="Times New Roman" w:hAnsi="Times New Roman" w:cs="Times New Roman"/>
          <w:b/>
          <w:bCs/>
        </w:rPr>
        <w:t xml:space="preserve">Sample Size </w:t>
      </w:r>
      <w:r w:rsidR="00B128EA" w:rsidRPr="00A96836">
        <w:rPr>
          <w:rFonts w:ascii="Times New Roman" w:eastAsia="Times New Roman" w:hAnsi="Times New Roman" w:cs="Times New Roman"/>
          <w:b/>
          <w:bCs/>
        </w:rPr>
        <w:t>determination</w:t>
      </w:r>
      <w:r w:rsidRPr="00A96836">
        <w:rPr>
          <w:rFonts w:ascii="Times New Roman" w:eastAsia="Times New Roman" w:hAnsi="Times New Roman" w:cs="Times New Roman"/>
        </w:rPr>
        <w:br/>
      </w:r>
      <w:r w:rsidR="00C024DD" w:rsidRPr="00A96836">
        <w:rPr>
          <w:rFonts w:ascii="Times New Roman" w:eastAsia="Times New Roman" w:hAnsi="Times New Roman" w:cs="Times New Roman"/>
        </w:rPr>
        <w:t>Between August 2023 and June 2024</w:t>
      </w:r>
      <w:r w:rsidR="00D06CA2" w:rsidRPr="00A96836">
        <w:rPr>
          <w:rFonts w:ascii="Times New Roman" w:eastAsia="Times New Roman" w:hAnsi="Times New Roman" w:cs="Times New Roman"/>
        </w:rPr>
        <w:t xml:space="preserve">, </w:t>
      </w:r>
      <w:r w:rsidR="00C024DD" w:rsidRPr="00A96836">
        <w:rPr>
          <w:rFonts w:ascii="Times New Roman" w:eastAsia="Times New Roman" w:hAnsi="Times New Roman" w:cs="Times New Roman"/>
        </w:rPr>
        <w:t xml:space="preserve">a total of </w:t>
      </w:r>
      <w:r w:rsidR="00B128EA" w:rsidRPr="00A96836">
        <w:rPr>
          <w:rFonts w:ascii="Times New Roman" w:eastAsia="Times New Roman" w:hAnsi="Times New Roman" w:cs="Times New Roman"/>
        </w:rPr>
        <w:t xml:space="preserve">114 </w:t>
      </w:r>
      <w:r w:rsidR="00C024DD" w:rsidRPr="00A96836">
        <w:rPr>
          <w:rFonts w:ascii="Times New Roman" w:eastAsia="Times New Roman" w:hAnsi="Times New Roman" w:cs="Times New Roman"/>
        </w:rPr>
        <w:t xml:space="preserve">patients </w:t>
      </w:r>
      <w:r w:rsidR="001D3147">
        <w:rPr>
          <w:rFonts w:ascii="Times New Roman" w:eastAsia="Times New Roman" w:hAnsi="Times New Roman" w:cs="Times New Roman"/>
        </w:rPr>
        <w:t>were treated with</w:t>
      </w:r>
      <w:r w:rsidR="00C024DD" w:rsidRPr="00A96836">
        <w:rPr>
          <w:rFonts w:ascii="Times New Roman" w:eastAsia="Times New Roman" w:hAnsi="Times New Roman" w:cs="Times New Roman"/>
        </w:rPr>
        <w:t xml:space="preserve"> (TS-CPC)</w:t>
      </w:r>
      <w:r w:rsidR="001D3147">
        <w:rPr>
          <w:rFonts w:ascii="Times New Roman" w:eastAsia="Times New Roman" w:hAnsi="Times New Roman" w:cs="Times New Roman"/>
        </w:rPr>
        <w:t>.</w:t>
      </w:r>
      <w:r w:rsidR="00B128EA" w:rsidRPr="00A96836">
        <w:rPr>
          <w:rFonts w:ascii="Times New Roman" w:eastAsia="Times New Roman" w:hAnsi="Times New Roman" w:cs="Times New Roman"/>
        </w:rPr>
        <w:t xml:space="preserve"> Of these patients</w:t>
      </w:r>
      <w:r w:rsidR="001D3147">
        <w:rPr>
          <w:rFonts w:ascii="Times New Roman" w:eastAsia="Times New Roman" w:hAnsi="Times New Roman" w:cs="Times New Roman"/>
        </w:rPr>
        <w:t>,</w:t>
      </w:r>
      <w:r w:rsidR="00B128EA" w:rsidRPr="00A96836">
        <w:rPr>
          <w:rFonts w:ascii="Times New Roman" w:eastAsia="Times New Roman" w:hAnsi="Times New Roman" w:cs="Times New Roman"/>
        </w:rPr>
        <w:t xml:space="preserve"> 74 met the inclusion criteria and enrolled in the study. </w:t>
      </w:r>
      <w:r w:rsidR="00B128EA" w:rsidRPr="00A96836">
        <w:rPr>
          <w:rFonts w:ascii="Times New Roman" w:eastAsia="Times New Roman" w:hAnsi="Times New Roman" w:cs="Times New Roman"/>
          <w:b/>
          <w:bCs/>
        </w:rPr>
        <w:t xml:space="preserve">Figure 1 </w:t>
      </w:r>
      <w:r w:rsidR="00B128EA" w:rsidRPr="00A96836">
        <w:rPr>
          <w:rFonts w:ascii="Times New Roman" w:eastAsia="Times New Roman" w:hAnsi="Times New Roman" w:cs="Times New Roman"/>
        </w:rPr>
        <w:t>summarizes the enrollment of the study participants</w:t>
      </w:r>
      <w:r w:rsidR="001D3147">
        <w:rPr>
          <w:rFonts w:ascii="Times New Roman" w:eastAsia="Times New Roman" w:hAnsi="Times New Roman" w:cs="Times New Roman"/>
        </w:rPr>
        <w:t>.</w:t>
      </w:r>
    </w:p>
    <w:p w14:paraId="7C3236C1" w14:textId="721FF6E5" w:rsidR="00D06CA2" w:rsidRPr="00A96836" w:rsidRDefault="00D06CA2" w:rsidP="00A96836">
      <w:pPr>
        <w:spacing w:before="100" w:beforeAutospacing="1" w:after="100" w:afterAutospacing="1" w:line="360" w:lineRule="auto"/>
        <w:jc w:val="center"/>
        <w:rPr>
          <w:rFonts w:ascii="Times New Roman" w:eastAsia="Times New Roman" w:hAnsi="Times New Roman" w:cs="Times New Roman"/>
          <w:color w:val="FF0000"/>
        </w:rPr>
      </w:pPr>
      <w:r w:rsidRPr="00A96836">
        <w:rPr>
          <w:rFonts w:ascii="Times New Roman" w:hAnsi="Times New Roman" w:cs="Times New Roman"/>
          <w:noProof/>
        </w:rPr>
        <w:lastRenderedPageBreak/>
        <w:drawing>
          <wp:inline distT="0" distB="0" distL="0" distR="0" wp14:anchorId="38003E29" wp14:editId="30D6D1DF">
            <wp:extent cx="4589780" cy="2257163"/>
            <wp:effectExtent l="0" t="0" r="1270" b="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4643770" cy="2283714"/>
                    </a:xfrm>
                    <a:prstGeom prst="rect">
                      <a:avLst/>
                    </a:prstGeom>
                  </pic:spPr>
                </pic:pic>
              </a:graphicData>
            </a:graphic>
          </wp:inline>
        </w:drawing>
      </w:r>
    </w:p>
    <w:p w14:paraId="37177C5D" w14:textId="1608E960" w:rsidR="00A96836" w:rsidRDefault="00D06CA2" w:rsidP="00A96836">
      <w:pPr>
        <w:spacing w:before="100" w:beforeAutospacing="1" w:after="100" w:afterAutospacing="1" w:line="360" w:lineRule="auto"/>
        <w:jc w:val="both"/>
        <w:rPr>
          <w:rFonts w:ascii="Times New Roman" w:eastAsia="Times New Roman" w:hAnsi="Times New Roman" w:cs="Times New Roman"/>
          <w:color w:val="FF0000"/>
        </w:rPr>
      </w:pPr>
      <w:r w:rsidRPr="00A96836">
        <w:rPr>
          <w:rFonts w:ascii="Times New Roman" w:eastAsia="Times New Roman" w:hAnsi="Times New Roman" w:cs="Times New Roman"/>
          <w:b/>
          <w:bCs/>
        </w:rPr>
        <w:t>Figure 1:</w:t>
      </w:r>
      <w:r w:rsidRPr="00A96836">
        <w:rPr>
          <w:rFonts w:ascii="Times New Roman" w:eastAsia="Times New Roman" w:hAnsi="Times New Roman" w:cs="Times New Roman"/>
        </w:rPr>
        <w:t xml:space="preserve"> Flow chart showing selection of participant enrolled in the study</w:t>
      </w:r>
      <w:r w:rsidR="001D3147">
        <w:rPr>
          <w:rFonts w:ascii="Times New Roman" w:eastAsia="Times New Roman" w:hAnsi="Times New Roman" w:cs="Times New Roman"/>
        </w:rPr>
        <w:t>.</w:t>
      </w:r>
    </w:p>
    <w:p w14:paraId="01C1155E" w14:textId="5D87A024" w:rsidR="00657F26" w:rsidRPr="00A96836" w:rsidRDefault="00657F26" w:rsidP="00A96836">
      <w:pPr>
        <w:spacing w:before="100" w:beforeAutospacing="1" w:line="360" w:lineRule="auto"/>
        <w:jc w:val="both"/>
        <w:rPr>
          <w:rFonts w:ascii="Times New Roman" w:eastAsia="Times New Roman" w:hAnsi="Times New Roman" w:cs="Times New Roman"/>
          <w:color w:val="FF0000"/>
        </w:rPr>
      </w:pPr>
      <w:r w:rsidRPr="00A96836">
        <w:rPr>
          <w:rFonts w:ascii="Times New Roman" w:eastAsia="Times New Roman" w:hAnsi="Times New Roman" w:cs="Times New Roman"/>
          <w:b/>
          <w:bCs/>
        </w:rPr>
        <w:t>Study variables</w:t>
      </w:r>
    </w:p>
    <w:p w14:paraId="79BEBF43" w14:textId="13B456C7" w:rsidR="00657F26" w:rsidRPr="00A96836" w:rsidRDefault="00657F26" w:rsidP="00A96836">
      <w:pPr>
        <w:spacing w:after="100" w:afterAutospacing="1" w:line="360" w:lineRule="auto"/>
        <w:jc w:val="both"/>
        <w:rPr>
          <w:rFonts w:ascii="Times New Roman" w:eastAsia="Times New Roman" w:hAnsi="Times New Roman" w:cs="Times New Roman"/>
        </w:rPr>
      </w:pPr>
      <w:r w:rsidRPr="00A96836">
        <w:rPr>
          <w:rFonts w:ascii="Times New Roman" w:eastAsia="Times New Roman" w:hAnsi="Times New Roman" w:cs="Times New Roman"/>
        </w:rPr>
        <w:t>The outcome variable for this study was success which was define</w:t>
      </w:r>
      <w:r w:rsidR="00A46E47" w:rsidRPr="00A96836">
        <w:rPr>
          <w:rFonts w:ascii="Times New Roman" w:eastAsia="Times New Roman" w:hAnsi="Times New Roman" w:cs="Times New Roman"/>
        </w:rPr>
        <w:t>d</w:t>
      </w:r>
      <w:r w:rsidRPr="00A96836">
        <w:rPr>
          <w:rFonts w:ascii="Times New Roman" w:eastAsia="Times New Roman" w:hAnsi="Times New Roman" w:cs="Times New Roman"/>
        </w:rPr>
        <w:t xml:space="preserve"> as IOP ≤ 21mmHg or 20% </w:t>
      </w:r>
      <w:r w:rsidR="009D2A76">
        <w:rPr>
          <w:rFonts w:ascii="Times New Roman" w:eastAsia="Times New Roman" w:hAnsi="Times New Roman" w:cs="Times New Roman"/>
        </w:rPr>
        <w:t xml:space="preserve">reduction </w:t>
      </w:r>
      <w:r w:rsidRPr="00A96836">
        <w:rPr>
          <w:rFonts w:ascii="Times New Roman" w:eastAsia="Times New Roman" w:hAnsi="Times New Roman" w:cs="Times New Roman"/>
        </w:rPr>
        <w:t xml:space="preserve">from the initial IOP (“Success” </w:t>
      </w:r>
      <w:r w:rsidR="00720860" w:rsidRPr="00A96836">
        <w:rPr>
          <w:rFonts w:ascii="Times New Roman" w:eastAsia="Times New Roman" w:hAnsi="Times New Roman" w:cs="Times New Roman"/>
        </w:rPr>
        <w:t>“Failure</w:t>
      </w:r>
      <w:r w:rsidRPr="00A96836">
        <w:rPr>
          <w:rFonts w:ascii="Times New Roman" w:eastAsia="Times New Roman" w:hAnsi="Times New Roman" w:cs="Times New Roman"/>
        </w:rPr>
        <w:t>”)</w:t>
      </w:r>
    </w:p>
    <w:p w14:paraId="5A99388A" w14:textId="6115D0F3" w:rsidR="00657F26" w:rsidRPr="00A96836" w:rsidRDefault="00657F26" w:rsidP="00A96836">
      <w:pPr>
        <w:spacing w:after="100" w:afterAutospacing="1" w:line="360" w:lineRule="auto"/>
        <w:jc w:val="both"/>
        <w:rPr>
          <w:rFonts w:ascii="Times New Roman" w:eastAsia="Times New Roman" w:hAnsi="Times New Roman" w:cs="Times New Roman"/>
        </w:rPr>
      </w:pPr>
      <w:r w:rsidRPr="00A96836">
        <w:rPr>
          <w:rFonts w:ascii="Times New Roman" w:eastAsia="Times New Roman" w:hAnsi="Times New Roman" w:cs="Times New Roman"/>
        </w:rPr>
        <w:t xml:space="preserve">The Independent variables Included, </w:t>
      </w:r>
      <w:r w:rsidR="007702DE" w:rsidRPr="00A96836">
        <w:rPr>
          <w:rFonts w:ascii="Times New Roman" w:eastAsia="Times New Roman" w:hAnsi="Times New Roman" w:cs="Times New Roman"/>
        </w:rPr>
        <w:t>Participant’s</w:t>
      </w:r>
      <w:r w:rsidRPr="00A96836">
        <w:rPr>
          <w:rFonts w:ascii="Times New Roman" w:eastAsia="Times New Roman" w:hAnsi="Times New Roman" w:cs="Times New Roman"/>
        </w:rPr>
        <w:t xml:space="preserve"> age in years (</w:t>
      </w:r>
      <w:r w:rsidR="00720860" w:rsidRPr="00A96836">
        <w:rPr>
          <w:rFonts w:ascii="Times New Roman" w:eastAsia="Times New Roman" w:hAnsi="Times New Roman" w:cs="Times New Roman"/>
        </w:rPr>
        <w:t>“</w:t>
      </w:r>
      <w:r w:rsidRPr="00A96836">
        <w:rPr>
          <w:rFonts w:ascii="Times New Roman" w:eastAsia="Times New Roman" w:hAnsi="Times New Roman" w:cs="Times New Roman"/>
        </w:rPr>
        <w:t xml:space="preserve">≤60” </w:t>
      </w:r>
      <w:r w:rsidR="00A46E47" w:rsidRPr="00A96836">
        <w:rPr>
          <w:rFonts w:ascii="Times New Roman" w:eastAsia="Times New Roman" w:hAnsi="Times New Roman" w:cs="Times New Roman"/>
        </w:rPr>
        <w:t>“</w:t>
      </w:r>
      <w:r w:rsidRPr="00A96836">
        <w:rPr>
          <w:rFonts w:ascii="Times New Roman" w:eastAsia="Times New Roman" w:hAnsi="Times New Roman" w:cs="Times New Roman"/>
        </w:rPr>
        <w:t xml:space="preserve">&gt;60”), sex of the participant (“Male” </w:t>
      </w:r>
      <w:r w:rsidR="00720860" w:rsidRPr="00A96836">
        <w:rPr>
          <w:rFonts w:ascii="Times New Roman" w:eastAsia="Times New Roman" w:hAnsi="Times New Roman" w:cs="Times New Roman"/>
        </w:rPr>
        <w:t>“</w:t>
      </w:r>
      <w:r w:rsidRPr="00A96836">
        <w:rPr>
          <w:rFonts w:ascii="Times New Roman" w:eastAsia="Times New Roman" w:hAnsi="Times New Roman" w:cs="Times New Roman"/>
        </w:rPr>
        <w:t>Female”)</w:t>
      </w:r>
      <w:r w:rsidR="00720860" w:rsidRPr="00A96836">
        <w:rPr>
          <w:rFonts w:ascii="Times New Roman" w:eastAsia="Times New Roman" w:hAnsi="Times New Roman" w:cs="Times New Roman"/>
        </w:rPr>
        <w:t>, initial IOP in mmHg (</w:t>
      </w:r>
      <w:r w:rsidR="00A96836" w:rsidRPr="00A96836">
        <w:rPr>
          <w:rFonts w:ascii="Times New Roman" w:eastAsia="Times New Roman" w:hAnsi="Times New Roman" w:cs="Times New Roman"/>
        </w:rPr>
        <w:t>Median</w:t>
      </w:r>
      <w:r w:rsidR="001D3147">
        <w:rPr>
          <w:rFonts w:ascii="Times New Roman" w:eastAsia="Times New Roman" w:hAnsi="Times New Roman" w:cs="Times New Roman"/>
        </w:rPr>
        <w:t xml:space="preserve"> (</w:t>
      </w:r>
      <w:r w:rsidR="00A96836" w:rsidRPr="00A96836">
        <w:rPr>
          <w:rFonts w:ascii="Times New Roman" w:eastAsia="Times New Roman" w:hAnsi="Times New Roman" w:cs="Times New Roman"/>
        </w:rPr>
        <w:t>IQR)</w:t>
      </w:r>
      <w:r w:rsidR="007702DE" w:rsidRPr="00A96836">
        <w:rPr>
          <w:rFonts w:ascii="Times New Roman" w:eastAsia="Times New Roman" w:hAnsi="Times New Roman" w:cs="Times New Roman"/>
        </w:rPr>
        <w:t>),</w:t>
      </w:r>
      <w:r w:rsidR="007702DE">
        <w:rPr>
          <w:rFonts w:ascii="Times New Roman" w:eastAsia="Times New Roman" w:hAnsi="Times New Roman" w:cs="Times New Roman"/>
        </w:rPr>
        <w:t xml:space="preserve"> Vertical</w:t>
      </w:r>
      <w:r w:rsidR="001D3147">
        <w:rPr>
          <w:rFonts w:ascii="Times New Roman" w:eastAsia="Times New Roman" w:hAnsi="Times New Roman" w:cs="Times New Roman"/>
        </w:rPr>
        <w:t xml:space="preserve"> </w:t>
      </w:r>
      <w:r w:rsidR="00720860" w:rsidRPr="00A96836">
        <w:rPr>
          <w:rFonts w:ascii="Times New Roman" w:eastAsia="Times New Roman" w:hAnsi="Times New Roman" w:cs="Times New Roman"/>
        </w:rPr>
        <w:t>CDR (</w:t>
      </w:r>
      <w:r w:rsidR="007702DE" w:rsidRPr="00A96836">
        <w:rPr>
          <w:rFonts w:ascii="Times New Roman" w:eastAsia="Times New Roman" w:hAnsi="Times New Roman" w:cs="Times New Roman"/>
        </w:rPr>
        <w:t>Median (</w:t>
      </w:r>
      <w:r w:rsidR="00A96836" w:rsidRPr="00A96836">
        <w:rPr>
          <w:rFonts w:ascii="Times New Roman" w:eastAsia="Times New Roman" w:hAnsi="Times New Roman" w:cs="Times New Roman"/>
        </w:rPr>
        <w:t>IQR)</w:t>
      </w:r>
      <w:r w:rsidR="007702DE" w:rsidRPr="00A96836">
        <w:rPr>
          <w:rFonts w:ascii="Times New Roman" w:eastAsia="Times New Roman" w:hAnsi="Times New Roman" w:cs="Times New Roman"/>
        </w:rPr>
        <w:t>),</w:t>
      </w:r>
      <w:r w:rsidR="007702DE">
        <w:rPr>
          <w:rFonts w:ascii="Times New Roman" w:eastAsia="Times New Roman" w:hAnsi="Times New Roman" w:cs="Times New Roman"/>
        </w:rPr>
        <w:t xml:space="preserve"> </w:t>
      </w:r>
      <w:r w:rsidR="007702DE" w:rsidRPr="00A96836">
        <w:rPr>
          <w:rFonts w:ascii="Times New Roman" w:eastAsia="Times New Roman" w:hAnsi="Times New Roman" w:cs="Times New Roman"/>
        </w:rPr>
        <w:t>Disc</w:t>
      </w:r>
      <w:r w:rsidR="00720860" w:rsidRPr="00A96836">
        <w:rPr>
          <w:rFonts w:ascii="Times New Roman" w:eastAsia="Times New Roman" w:hAnsi="Times New Roman" w:cs="Times New Roman"/>
        </w:rPr>
        <w:t xml:space="preserve"> notching (“Yes” “No”), </w:t>
      </w:r>
      <w:r w:rsidR="001D3147">
        <w:rPr>
          <w:rFonts w:ascii="Times New Roman" w:eastAsia="Times New Roman" w:hAnsi="Times New Roman" w:cs="Times New Roman"/>
        </w:rPr>
        <w:t>O</w:t>
      </w:r>
      <w:r w:rsidR="00720860" w:rsidRPr="00A96836">
        <w:rPr>
          <w:rFonts w:ascii="Times New Roman" w:eastAsia="Times New Roman" w:hAnsi="Times New Roman" w:cs="Times New Roman"/>
        </w:rPr>
        <w:t>ptic disc hemorrhage (“Yes” “No”), Type of glaucoma (“Primary glaucoma” “Secondary</w:t>
      </w:r>
      <w:r w:rsidR="00A96836" w:rsidRPr="00A96836">
        <w:rPr>
          <w:rFonts w:ascii="Times New Roman" w:eastAsia="Times New Roman" w:hAnsi="Times New Roman" w:cs="Times New Roman"/>
        </w:rPr>
        <w:t xml:space="preserve"> glaucoma</w:t>
      </w:r>
      <w:r w:rsidR="00720860" w:rsidRPr="00A96836">
        <w:rPr>
          <w:rFonts w:ascii="Times New Roman" w:eastAsia="Times New Roman" w:hAnsi="Times New Roman" w:cs="Times New Roman"/>
        </w:rPr>
        <w:t>”) and Associated comorbidities (“Systemic diseases” “Ocular diseases”</w:t>
      </w:r>
      <w:r w:rsidR="00A96836" w:rsidRPr="00A96836">
        <w:rPr>
          <w:rFonts w:ascii="Times New Roman" w:eastAsia="Times New Roman" w:hAnsi="Times New Roman" w:cs="Times New Roman"/>
        </w:rPr>
        <w:t>)</w:t>
      </w:r>
    </w:p>
    <w:p w14:paraId="25E9E616" w14:textId="0871C4F9" w:rsidR="00D06CA2" w:rsidRPr="00A96836" w:rsidRDefault="00B26408" w:rsidP="00A96836">
      <w:pPr>
        <w:spacing w:after="100" w:afterAutospacing="1" w:line="360" w:lineRule="auto"/>
        <w:rPr>
          <w:rFonts w:ascii="Times New Roman" w:eastAsia="Times New Roman" w:hAnsi="Times New Roman" w:cs="Times New Roman"/>
        </w:rPr>
      </w:pPr>
      <w:r w:rsidRPr="00A96836">
        <w:rPr>
          <w:rFonts w:ascii="Times New Roman" w:eastAsia="Times New Roman" w:hAnsi="Times New Roman" w:cs="Times New Roman"/>
          <w:b/>
          <w:bCs/>
        </w:rPr>
        <w:t>Data Collection Procedures</w:t>
      </w:r>
      <w:r w:rsidRPr="00A96836">
        <w:rPr>
          <w:rFonts w:ascii="Times New Roman" w:eastAsia="Times New Roman" w:hAnsi="Times New Roman" w:cs="Times New Roman"/>
        </w:rPr>
        <w:br/>
      </w:r>
      <w:r w:rsidR="00D06CA2" w:rsidRPr="00A96836">
        <w:rPr>
          <w:rFonts w:ascii="Times New Roman" w:eastAsia="Times New Roman" w:hAnsi="Times New Roman" w:cs="Times New Roman"/>
        </w:rPr>
        <w:t>After obtaining informed consent from patients who met the inclusion criteria,</w:t>
      </w:r>
      <w:r w:rsidR="0095778B" w:rsidRPr="00A96836">
        <w:rPr>
          <w:rFonts w:ascii="Times New Roman" w:eastAsia="Times New Roman" w:hAnsi="Times New Roman" w:cs="Times New Roman"/>
        </w:rPr>
        <w:t xml:space="preserve"> </w:t>
      </w:r>
      <w:r w:rsidR="00D06CA2" w:rsidRPr="00A96836">
        <w:rPr>
          <w:rFonts w:ascii="Times New Roman" w:eastAsia="Times New Roman" w:hAnsi="Times New Roman" w:cs="Times New Roman"/>
        </w:rPr>
        <w:t>d</w:t>
      </w:r>
      <w:r w:rsidR="0095778B" w:rsidRPr="00A96836">
        <w:rPr>
          <w:rFonts w:ascii="Times New Roman" w:eastAsia="Times New Roman" w:hAnsi="Times New Roman" w:cs="Times New Roman"/>
        </w:rPr>
        <w:t>emographic and clinical characteristic</w:t>
      </w:r>
      <w:r w:rsidR="009D2A76">
        <w:rPr>
          <w:rFonts w:ascii="Times New Roman" w:eastAsia="Times New Roman" w:hAnsi="Times New Roman" w:cs="Times New Roman"/>
        </w:rPr>
        <w:t>s</w:t>
      </w:r>
      <w:r w:rsidR="0095778B" w:rsidRPr="00A96836">
        <w:rPr>
          <w:rFonts w:ascii="Times New Roman" w:eastAsia="Times New Roman" w:hAnsi="Times New Roman" w:cs="Times New Roman"/>
        </w:rPr>
        <w:t xml:space="preserve"> </w:t>
      </w:r>
      <w:r w:rsidRPr="00A96836">
        <w:rPr>
          <w:rFonts w:ascii="Times New Roman" w:eastAsia="Times New Roman" w:hAnsi="Times New Roman" w:cs="Times New Roman"/>
        </w:rPr>
        <w:t xml:space="preserve">were </w:t>
      </w:r>
      <w:r w:rsidR="0095778B" w:rsidRPr="00A96836">
        <w:rPr>
          <w:rFonts w:ascii="Times New Roman" w:eastAsia="Times New Roman" w:hAnsi="Times New Roman" w:cs="Times New Roman"/>
        </w:rPr>
        <w:t>recorded</w:t>
      </w:r>
      <w:r w:rsidR="00D06CA2" w:rsidRPr="00A96836">
        <w:rPr>
          <w:rFonts w:ascii="Times New Roman" w:eastAsia="Times New Roman" w:hAnsi="Times New Roman" w:cs="Times New Roman"/>
        </w:rPr>
        <w:t xml:space="preserve">. </w:t>
      </w:r>
      <w:r w:rsidRPr="00A96836">
        <w:rPr>
          <w:rFonts w:ascii="Times New Roman" w:eastAsia="Times New Roman" w:hAnsi="Times New Roman" w:cs="Times New Roman"/>
        </w:rPr>
        <w:t>Visual acuity was assessed using the Snellen</w:t>
      </w:r>
      <w:r w:rsidR="003063BA" w:rsidRPr="00A96836">
        <w:rPr>
          <w:rFonts w:ascii="Times New Roman" w:eastAsia="Times New Roman" w:hAnsi="Times New Roman" w:cs="Times New Roman"/>
        </w:rPr>
        <w:t>’s</w:t>
      </w:r>
      <w:r w:rsidRPr="00A96836">
        <w:rPr>
          <w:rFonts w:ascii="Times New Roman" w:eastAsia="Times New Roman" w:hAnsi="Times New Roman" w:cs="Times New Roman"/>
        </w:rPr>
        <w:t xml:space="preserve"> chart</w:t>
      </w:r>
      <w:r w:rsidR="0095778B" w:rsidRPr="00A96836">
        <w:rPr>
          <w:rFonts w:ascii="Times New Roman" w:eastAsia="Times New Roman" w:hAnsi="Times New Roman" w:cs="Times New Roman"/>
        </w:rPr>
        <w:t xml:space="preserve"> or </w:t>
      </w:r>
      <w:r w:rsidR="003063BA" w:rsidRPr="00A96836">
        <w:rPr>
          <w:rFonts w:ascii="Times New Roman" w:eastAsia="Times New Roman" w:hAnsi="Times New Roman" w:cs="Times New Roman"/>
        </w:rPr>
        <w:t>the tumbling E chart basing on the level of literacy of the participant</w:t>
      </w:r>
      <w:r w:rsidR="00F04889" w:rsidRPr="00A96836">
        <w:rPr>
          <w:rFonts w:ascii="Times New Roman" w:eastAsia="Times New Roman" w:hAnsi="Times New Roman" w:cs="Times New Roman"/>
        </w:rPr>
        <w:t>. Slit lamp examination of the anterior segment,</w:t>
      </w:r>
      <w:r w:rsidRPr="00A96836">
        <w:rPr>
          <w:rFonts w:ascii="Times New Roman" w:eastAsia="Times New Roman" w:hAnsi="Times New Roman" w:cs="Times New Roman"/>
        </w:rPr>
        <w:t xml:space="preserve"> </w:t>
      </w:r>
      <w:r w:rsidR="00F04889" w:rsidRPr="00A96836">
        <w:rPr>
          <w:rFonts w:ascii="Times New Roman" w:eastAsia="Times New Roman" w:hAnsi="Times New Roman" w:cs="Times New Roman"/>
        </w:rPr>
        <w:t>Goldman</w:t>
      </w:r>
      <w:r w:rsidRPr="00A96836">
        <w:rPr>
          <w:rFonts w:ascii="Times New Roman" w:eastAsia="Times New Roman" w:hAnsi="Times New Roman" w:cs="Times New Roman"/>
        </w:rPr>
        <w:t xml:space="preserve"> applanation tonometry, a</w:t>
      </w:r>
      <w:r w:rsidR="00F04889" w:rsidRPr="00A96836">
        <w:rPr>
          <w:rFonts w:ascii="Times New Roman" w:eastAsia="Times New Roman" w:hAnsi="Times New Roman" w:cs="Times New Roman"/>
        </w:rPr>
        <w:t>nd</w:t>
      </w:r>
      <w:r w:rsidRPr="00A96836">
        <w:rPr>
          <w:rFonts w:ascii="Times New Roman" w:eastAsia="Times New Roman" w:hAnsi="Times New Roman" w:cs="Times New Roman"/>
        </w:rPr>
        <w:t xml:space="preserve"> Optic </w:t>
      </w:r>
      <w:r w:rsidR="00F04889" w:rsidRPr="00A96836">
        <w:rPr>
          <w:rFonts w:ascii="Times New Roman" w:eastAsia="Times New Roman" w:hAnsi="Times New Roman" w:cs="Times New Roman"/>
        </w:rPr>
        <w:t xml:space="preserve">disc </w:t>
      </w:r>
      <w:r w:rsidRPr="00A96836">
        <w:rPr>
          <w:rFonts w:ascii="Times New Roman" w:eastAsia="Times New Roman" w:hAnsi="Times New Roman" w:cs="Times New Roman"/>
        </w:rPr>
        <w:t>assessment w</w:t>
      </w:r>
      <w:r w:rsidR="00F04889" w:rsidRPr="00A96836">
        <w:rPr>
          <w:rFonts w:ascii="Times New Roman" w:eastAsia="Times New Roman" w:hAnsi="Times New Roman" w:cs="Times New Roman"/>
        </w:rPr>
        <w:t xml:space="preserve">ere </w:t>
      </w:r>
      <w:r w:rsidRPr="00A96836">
        <w:rPr>
          <w:rFonts w:ascii="Times New Roman" w:eastAsia="Times New Roman" w:hAnsi="Times New Roman" w:cs="Times New Roman"/>
        </w:rPr>
        <w:t>performed</w:t>
      </w:r>
      <w:r w:rsidR="00F04889" w:rsidRPr="00A96836">
        <w:rPr>
          <w:rFonts w:ascii="Times New Roman" w:eastAsia="Times New Roman" w:hAnsi="Times New Roman" w:cs="Times New Roman"/>
        </w:rPr>
        <w:t>.</w:t>
      </w:r>
      <w:r w:rsidRPr="00A96836">
        <w:rPr>
          <w:rFonts w:ascii="Times New Roman" w:eastAsia="Times New Roman" w:hAnsi="Times New Roman" w:cs="Times New Roman"/>
        </w:rPr>
        <w:t xml:space="preserve"> </w:t>
      </w:r>
    </w:p>
    <w:p w14:paraId="5364DFB1" w14:textId="3DFC4C80" w:rsidR="00B26408" w:rsidRPr="00A96836" w:rsidRDefault="00B26408" w:rsidP="00A96836">
      <w:pPr>
        <w:spacing w:after="100" w:afterAutospacing="1" w:line="360" w:lineRule="auto"/>
        <w:jc w:val="both"/>
        <w:rPr>
          <w:rFonts w:ascii="Times New Roman" w:eastAsia="Times New Roman" w:hAnsi="Times New Roman" w:cs="Times New Roman"/>
        </w:rPr>
      </w:pPr>
      <w:r w:rsidRPr="00A96836">
        <w:rPr>
          <w:rFonts w:ascii="Times New Roman" w:eastAsia="Times New Roman" w:hAnsi="Times New Roman" w:cs="Times New Roman"/>
        </w:rPr>
        <w:t>For patients with functional vision, the procedure was performed under general anesthesia</w:t>
      </w:r>
      <w:r w:rsidR="00293E28" w:rsidRPr="00A96836">
        <w:rPr>
          <w:rFonts w:ascii="Times New Roman" w:eastAsia="Times New Roman" w:hAnsi="Times New Roman" w:cs="Times New Roman"/>
        </w:rPr>
        <w:t>, and for patients with poor vision</w:t>
      </w:r>
      <w:r w:rsidR="007E30EC" w:rsidRPr="00A96836">
        <w:rPr>
          <w:rFonts w:ascii="Times New Roman" w:eastAsia="Times New Roman" w:hAnsi="Times New Roman" w:cs="Times New Roman"/>
        </w:rPr>
        <w:t xml:space="preserve"> a</w:t>
      </w:r>
      <w:r w:rsidRPr="00A96836">
        <w:rPr>
          <w:rFonts w:ascii="Times New Roman" w:eastAsia="Times New Roman" w:hAnsi="Times New Roman" w:cs="Times New Roman"/>
        </w:rPr>
        <w:t xml:space="preserve"> retrobulbar or peribulbar </w:t>
      </w:r>
      <w:r w:rsidR="007E30EC" w:rsidRPr="00A96836">
        <w:rPr>
          <w:rFonts w:ascii="Times New Roman" w:eastAsia="Times New Roman" w:hAnsi="Times New Roman" w:cs="Times New Roman"/>
        </w:rPr>
        <w:t>anesthesia of 3mls (lignocaine 4%, adrenaline 1%, and hyaluronidase 1500IU) was used.</w:t>
      </w:r>
      <w:r w:rsidR="00B51A44" w:rsidRPr="00A96836">
        <w:rPr>
          <w:rFonts w:ascii="Times New Roman" w:eastAsia="Times New Roman" w:hAnsi="Times New Roman" w:cs="Times New Roman"/>
        </w:rPr>
        <w:t xml:space="preserve"> TSCPC was performed using </w:t>
      </w:r>
      <w:bookmarkStart w:id="2" w:name="_Hlk199944064"/>
      <w:r w:rsidR="00B51A44" w:rsidRPr="00A96836">
        <w:rPr>
          <w:rFonts w:ascii="Times New Roman" w:eastAsia="Times New Roman" w:hAnsi="Times New Roman" w:cs="Times New Roman"/>
        </w:rPr>
        <w:t>G-probe of the Iris medical diode, (</w:t>
      </w:r>
      <w:proofErr w:type="spellStart"/>
      <w:r w:rsidR="00B51A44" w:rsidRPr="00A96836">
        <w:rPr>
          <w:rFonts w:ascii="Times New Roman" w:eastAsia="Times New Roman" w:hAnsi="Times New Roman" w:cs="Times New Roman"/>
        </w:rPr>
        <w:t>OcuLihgt</w:t>
      </w:r>
      <w:proofErr w:type="spellEnd"/>
      <w:r w:rsidR="00B51A44" w:rsidRPr="00A96836">
        <w:rPr>
          <w:rFonts w:ascii="Times New Roman" w:eastAsia="Times New Roman" w:hAnsi="Times New Roman" w:cs="Times New Roman"/>
        </w:rPr>
        <w:t xml:space="preserve"> </w:t>
      </w:r>
      <w:proofErr w:type="spellStart"/>
      <w:r w:rsidR="00B51A44" w:rsidRPr="00A96836">
        <w:rPr>
          <w:rFonts w:ascii="Times New Roman" w:eastAsia="Times New Roman" w:hAnsi="Times New Roman" w:cs="Times New Roman"/>
        </w:rPr>
        <w:t>SLx</w:t>
      </w:r>
      <w:proofErr w:type="spellEnd"/>
      <w:r w:rsidR="00B51A44" w:rsidRPr="00A96836">
        <w:rPr>
          <w:rFonts w:ascii="Times New Roman" w:eastAsia="Times New Roman" w:hAnsi="Times New Roman" w:cs="Times New Roman"/>
        </w:rPr>
        <w:t>) 810nm Laser (IRIS Medical Instruments, Inc 340 Pioneer Way, California, and USA).</w:t>
      </w:r>
      <w:bookmarkEnd w:id="2"/>
      <w:r w:rsidR="007E30EC" w:rsidRPr="00A96836">
        <w:rPr>
          <w:rFonts w:ascii="Times New Roman" w:eastAsia="Times New Roman" w:hAnsi="Times New Roman" w:cs="Times New Roman"/>
        </w:rPr>
        <w:t xml:space="preserve"> </w:t>
      </w:r>
      <w:r w:rsidRPr="00A96836">
        <w:rPr>
          <w:rFonts w:ascii="Times New Roman" w:eastAsia="Times New Roman" w:hAnsi="Times New Roman" w:cs="Times New Roman"/>
        </w:rPr>
        <w:t xml:space="preserve">Laser was applied over the inferior 180°, sparing the 3 </w:t>
      </w:r>
      <w:r w:rsidRPr="00A96836">
        <w:rPr>
          <w:rFonts w:ascii="Times New Roman" w:eastAsia="Times New Roman" w:hAnsi="Times New Roman" w:cs="Times New Roman"/>
        </w:rPr>
        <w:lastRenderedPageBreak/>
        <w:t xml:space="preserve">and 9 o’clock positions, with up to 10 burns per quadrant. Each burn lasted 2 seconds at 2000 </w:t>
      </w:r>
      <w:proofErr w:type="spellStart"/>
      <w:r w:rsidRPr="00A96836">
        <w:rPr>
          <w:rFonts w:ascii="Times New Roman" w:eastAsia="Times New Roman" w:hAnsi="Times New Roman" w:cs="Times New Roman"/>
        </w:rPr>
        <w:t>mW</w:t>
      </w:r>
      <w:proofErr w:type="spellEnd"/>
      <w:r w:rsidRPr="00A96836">
        <w:rPr>
          <w:rFonts w:ascii="Times New Roman" w:eastAsia="Times New Roman" w:hAnsi="Times New Roman" w:cs="Times New Roman"/>
        </w:rPr>
        <w:t>, totaling 120 J per session.</w:t>
      </w:r>
    </w:p>
    <w:p w14:paraId="27939168" w14:textId="6D7E23FB" w:rsidR="007702DE" w:rsidRDefault="00B26408" w:rsidP="00A96836">
      <w:pPr>
        <w:spacing w:before="100" w:beforeAutospacing="1" w:after="100" w:afterAutospacing="1" w:line="360" w:lineRule="auto"/>
        <w:jc w:val="both"/>
        <w:rPr>
          <w:rFonts w:ascii="Times New Roman" w:eastAsia="Times New Roman" w:hAnsi="Times New Roman" w:cs="Times New Roman"/>
        </w:rPr>
      </w:pPr>
      <w:r w:rsidRPr="00A96836">
        <w:rPr>
          <w:rFonts w:ascii="Times New Roman" w:eastAsia="Times New Roman" w:hAnsi="Times New Roman" w:cs="Times New Roman"/>
        </w:rPr>
        <w:t>Postoperatively, patients received topical dexamethasone</w:t>
      </w:r>
      <w:r w:rsidR="007702DE">
        <w:rPr>
          <w:rFonts w:ascii="Times New Roman" w:eastAsia="Times New Roman" w:hAnsi="Times New Roman" w:cs="Times New Roman"/>
        </w:rPr>
        <w:t xml:space="preserve"> and </w:t>
      </w:r>
      <w:r w:rsidRPr="00A96836">
        <w:rPr>
          <w:rFonts w:ascii="Times New Roman" w:eastAsia="Times New Roman" w:hAnsi="Times New Roman" w:cs="Times New Roman"/>
        </w:rPr>
        <w:t>chloramphenicol combination</w:t>
      </w:r>
      <w:r w:rsidR="007E30EC" w:rsidRPr="00A96836">
        <w:rPr>
          <w:rFonts w:ascii="Times New Roman" w:eastAsia="Times New Roman" w:hAnsi="Times New Roman" w:cs="Times New Roman"/>
        </w:rPr>
        <w:t xml:space="preserve"> for 2 </w:t>
      </w:r>
      <w:r w:rsidR="00B51A44" w:rsidRPr="00A96836">
        <w:rPr>
          <w:rFonts w:ascii="Times New Roman" w:eastAsia="Times New Roman" w:hAnsi="Times New Roman" w:cs="Times New Roman"/>
        </w:rPr>
        <w:t>weeks, oral</w:t>
      </w:r>
      <w:r w:rsidRPr="00A96836">
        <w:rPr>
          <w:rFonts w:ascii="Times New Roman" w:eastAsia="Times New Roman" w:hAnsi="Times New Roman" w:cs="Times New Roman"/>
        </w:rPr>
        <w:t xml:space="preserve"> acetazolamide</w:t>
      </w:r>
      <w:r w:rsidR="00B51A44" w:rsidRPr="00A96836">
        <w:rPr>
          <w:rFonts w:ascii="Times New Roman" w:eastAsia="Times New Roman" w:hAnsi="Times New Roman" w:cs="Times New Roman"/>
        </w:rPr>
        <w:t xml:space="preserve"> and </w:t>
      </w:r>
      <w:r w:rsidR="00C8148F" w:rsidRPr="00A96836">
        <w:rPr>
          <w:rFonts w:ascii="Times New Roman" w:eastAsia="Times New Roman" w:hAnsi="Times New Roman" w:cs="Times New Roman"/>
        </w:rPr>
        <w:t>Ibuprofen</w:t>
      </w:r>
      <w:r w:rsidRPr="00A96836">
        <w:rPr>
          <w:rFonts w:ascii="Times New Roman" w:eastAsia="Times New Roman" w:hAnsi="Times New Roman" w:cs="Times New Roman"/>
        </w:rPr>
        <w:t xml:space="preserve"> for three days. IOP and anterior segment assessments were conducted on day one, then at two weeks, six weeks, and three months</w:t>
      </w:r>
      <w:r w:rsidR="007E30EC" w:rsidRPr="00A96836">
        <w:rPr>
          <w:rFonts w:ascii="Times New Roman" w:eastAsia="Times New Roman" w:hAnsi="Times New Roman" w:cs="Times New Roman"/>
        </w:rPr>
        <w:t xml:space="preserve"> by an independent examiner</w:t>
      </w:r>
      <w:r w:rsidRPr="00A96836">
        <w:rPr>
          <w:rFonts w:ascii="Times New Roman" w:eastAsia="Times New Roman" w:hAnsi="Times New Roman" w:cs="Times New Roman"/>
        </w:rPr>
        <w:t>. OCT was performed at the final follow</w:t>
      </w:r>
      <w:r w:rsidR="007702DE">
        <w:rPr>
          <w:rFonts w:ascii="Times New Roman" w:eastAsia="Times New Roman" w:hAnsi="Times New Roman" w:cs="Times New Roman"/>
        </w:rPr>
        <w:t xml:space="preserve"> </w:t>
      </w:r>
      <w:r w:rsidRPr="00A96836">
        <w:rPr>
          <w:rFonts w:ascii="Times New Roman" w:eastAsia="Times New Roman" w:hAnsi="Times New Roman" w:cs="Times New Roman"/>
        </w:rPr>
        <w:t>up to detect macular edema. If IOP</w:t>
      </w:r>
      <w:r w:rsidR="007702DE">
        <w:rPr>
          <w:rFonts w:ascii="Times New Roman" w:eastAsia="Times New Roman" w:hAnsi="Times New Roman" w:cs="Times New Roman"/>
        </w:rPr>
        <w:t xml:space="preserve"> was</w:t>
      </w:r>
      <w:r w:rsidRPr="00A96836">
        <w:rPr>
          <w:rFonts w:ascii="Times New Roman" w:eastAsia="Times New Roman" w:hAnsi="Times New Roman" w:cs="Times New Roman"/>
        </w:rPr>
        <w:t xml:space="preserve"> </w:t>
      </w:r>
      <w:r w:rsidR="00C8148F" w:rsidRPr="00A96836">
        <w:rPr>
          <w:rFonts w:ascii="Times New Roman" w:eastAsia="Times New Roman" w:hAnsi="Times New Roman" w:cs="Times New Roman"/>
        </w:rPr>
        <w:t xml:space="preserve">not significantly reduced </w:t>
      </w:r>
      <w:r w:rsidRPr="00A96836">
        <w:rPr>
          <w:rFonts w:ascii="Times New Roman" w:eastAsia="Times New Roman" w:hAnsi="Times New Roman" w:cs="Times New Roman"/>
        </w:rPr>
        <w:t>at two weeks, timolol 0.5% was added</w:t>
      </w:r>
      <w:r w:rsidR="00C8148F" w:rsidRPr="00A96836">
        <w:rPr>
          <w:rFonts w:ascii="Times New Roman" w:eastAsia="Times New Roman" w:hAnsi="Times New Roman" w:cs="Times New Roman"/>
        </w:rPr>
        <w:t xml:space="preserve"> and for patients</w:t>
      </w:r>
      <w:r w:rsidRPr="00A96836">
        <w:rPr>
          <w:rFonts w:ascii="Times New Roman" w:eastAsia="Times New Roman" w:hAnsi="Times New Roman" w:cs="Times New Roman"/>
        </w:rPr>
        <w:t xml:space="preserve"> requiring further intervention</w:t>
      </w:r>
      <w:r w:rsidR="00C8148F" w:rsidRPr="00A96836">
        <w:rPr>
          <w:rFonts w:ascii="Times New Roman" w:eastAsia="Times New Roman" w:hAnsi="Times New Roman" w:cs="Times New Roman"/>
        </w:rPr>
        <w:t>,</w:t>
      </w:r>
      <w:r w:rsidRPr="00A96836">
        <w:rPr>
          <w:rFonts w:ascii="Times New Roman" w:eastAsia="Times New Roman" w:hAnsi="Times New Roman" w:cs="Times New Roman"/>
        </w:rPr>
        <w:t xml:space="preserve"> a second CPC session </w:t>
      </w:r>
      <w:r w:rsidR="00C8148F" w:rsidRPr="00A96836">
        <w:rPr>
          <w:rFonts w:ascii="Times New Roman" w:eastAsia="Times New Roman" w:hAnsi="Times New Roman" w:cs="Times New Roman"/>
        </w:rPr>
        <w:t xml:space="preserve">was performed at six weeks </w:t>
      </w:r>
      <w:r w:rsidRPr="00A96836">
        <w:rPr>
          <w:rFonts w:ascii="Times New Roman" w:eastAsia="Times New Roman" w:hAnsi="Times New Roman" w:cs="Times New Roman"/>
        </w:rPr>
        <w:t>targeting the superior 180°, using the same settings.</w:t>
      </w:r>
      <w:r w:rsidR="00C8148F" w:rsidRPr="00A96836">
        <w:rPr>
          <w:rFonts w:ascii="Times New Roman" w:eastAsia="Times New Roman" w:hAnsi="Times New Roman" w:cs="Times New Roman"/>
        </w:rPr>
        <w:t xml:space="preserve"> Treatment success was defined as IOP</w:t>
      </w:r>
      <w:r w:rsidR="004E4F08" w:rsidRPr="00A96836">
        <w:rPr>
          <w:rFonts w:ascii="Times New Roman" w:eastAsia="Times New Roman" w:hAnsi="Times New Roman" w:cs="Times New Roman"/>
        </w:rPr>
        <w:t xml:space="preserve"> ≤ 21mmHg and reduction by 20% or more from the baseline with or without medications at 3months follow up. Ethical approval </w:t>
      </w:r>
      <w:r w:rsidR="002C4EE8" w:rsidRPr="00A96836">
        <w:rPr>
          <w:rFonts w:ascii="Times New Roman" w:eastAsia="Times New Roman" w:hAnsi="Times New Roman" w:cs="Times New Roman"/>
        </w:rPr>
        <w:t xml:space="preserve">(No.PG 88/2023) </w:t>
      </w:r>
      <w:r w:rsidR="004E4F08" w:rsidRPr="00A96836">
        <w:rPr>
          <w:rFonts w:ascii="Times New Roman" w:eastAsia="Times New Roman" w:hAnsi="Times New Roman" w:cs="Times New Roman"/>
        </w:rPr>
        <w:t xml:space="preserve">was obtained from the </w:t>
      </w:r>
      <w:r w:rsidR="007702DE">
        <w:rPr>
          <w:rFonts w:ascii="Times New Roman" w:eastAsia="Times New Roman" w:hAnsi="Times New Roman" w:cs="Times New Roman"/>
        </w:rPr>
        <w:t>College Research Ethics Review Committee of Kilimanjaro Christian Medical University College, Moshi, Tanzania. The study adhered to the tenets of the Declaration of Helsinki.</w:t>
      </w:r>
    </w:p>
    <w:p w14:paraId="20E085E8" w14:textId="603422A8" w:rsidR="00A46E47" w:rsidRPr="00A96836" w:rsidRDefault="00B26408" w:rsidP="00A96836">
      <w:pPr>
        <w:spacing w:before="100" w:beforeAutospacing="1" w:after="100" w:afterAutospacing="1" w:line="360" w:lineRule="auto"/>
        <w:rPr>
          <w:rFonts w:ascii="Times New Roman" w:eastAsia="Times New Roman" w:hAnsi="Times New Roman" w:cs="Times New Roman"/>
        </w:rPr>
      </w:pPr>
      <w:r w:rsidRPr="00A96836">
        <w:rPr>
          <w:rFonts w:ascii="Times New Roman" w:eastAsia="Times New Roman" w:hAnsi="Times New Roman" w:cs="Times New Roman"/>
          <w:b/>
          <w:bCs/>
        </w:rPr>
        <w:t>Data Management and Analysis</w:t>
      </w:r>
      <w:r w:rsidRPr="00A96836">
        <w:rPr>
          <w:rFonts w:ascii="Times New Roman" w:eastAsia="Times New Roman" w:hAnsi="Times New Roman" w:cs="Times New Roman"/>
        </w:rPr>
        <w:br/>
        <w:t>Data w</w:t>
      </w:r>
      <w:r w:rsidR="00A46E47" w:rsidRPr="00A96836">
        <w:rPr>
          <w:rFonts w:ascii="Times New Roman" w:eastAsia="Times New Roman" w:hAnsi="Times New Roman" w:cs="Times New Roman"/>
        </w:rPr>
        <w:t xml:space="preserve">as analyzed using </w:t>
      </w:r>
      <w:r w:rsidRPr="00A96836">
        <w:rPr>
          <w:rFonts w:ascii="Times New Roman" w:eastAsia="Times New Roman" w:hAnsi="Times New Roman" w:cs="Times New Roman"/>
        </w:rPr>
        <w:t>STATA version 17</w:t>
      </w:r>
      <w:r w:rsidR="00A46E47" w:rsidRPr="00A96836">
        <w:rPr>
          <w:rFonts w:ascii="Times New Roman" w:eastAsia="Times New Roman" w:hAnsi="Times New Roman" w:cs="Times New Roman"/>
        </w:rPr>
        <w:t>(Stata Corp LLC, college Station, Texas, USA)</w:t>
      </w:r>
      <w:r w:rsidRPr="00A96836">
        <w:rPr>
          <w:rFonts w:ascii="Times New Roman" w:eastAsia="Times New Roman" w:hAnsi="Times New Roman" w:cs="Times New Roman"/>
        </w:rPr>
        <w:t xml:space="preserve">. </w:t>
      </w:r>
      <w:r w:rsidR="00A46E47" w:rsidRPr="00A96836">
        <w:rPr>
          <w:rFonts w:ascii="Times New Roman" w:eastAsia="Times New Roman" w:hAnsi="Times New Roman" w:cs="Times New Roman"/>
        </w:rPr>
        <w:t>N</w:t>
      </w:r>
      <w:r w:rsidRPr="00A96836">
        <w:rPr>
          <w:rFonts w:ascii="Times New Roman" w:eastAsia="Times New Roman" w:hAnsi="Times New Roman" w:cs="Times New Roman"/>
        </w:rPr>
        <w:t>umerical variables</w:t>
      </w:r>
      <w:r w:rsidR="00A46E47" w:rsidRPr="00A96836">
        <w:rPr>
          <w:rFonts w:ascii="Times New Roman" w:eastAsia="Times New Roman" w:hAnsi="Times New Roman" w:cs="Times New Roman"/>
        </w:rPr>
        <w:t xml:space="preserve"> were summarized using medians with interquartile ranges (IQR), </w:t>
      </w:r>
      <w:r w:rsidR="00A47738">
        <w:rPr>
          <w:rFonts w:ascii="Times New Roman" w:eastAsia="Times New Roman" w:hAnsi="Times New Roman" w:cs="Times New Roman"/>
        </w:rPr>
        <w:t xml:space="preserve">while </w:t>
      </w:r>
      <w:r w:rsidRPr="00A96836">
        <w:rPr>
          <w:rFonts w:ascii="Times New Roman" w:eastAsia="Times New Roman" w:hAnsi="Times New Roman" w:cs="Times New Roman"/>
        </w:rPr>
        <w:t xml:space="preserve">frequencies with percentages </w:t>
      </w:r>
      <w:r w:rsidR="00A46E47" w:rsidRPr="00A96836">
        <w:rPr>
          <w:rFonts w:ascii="Times New Roman" w:eastAsia="Times New Roman" w:hAnsi="Times New Roman" w:cs="Times New Roman"/>
        </w:rPr>
        <w:t xml:space="preserve">were used to summarize </w:t>
      </w:r>
      <w:r w:rsidRPr="00A96836">
        <w:rPr>
          <w:rFonts w:ascii="Times New Roman" w:eastAsia="Times New Roman" w:hAnsi="Times New Roman" w:cs="Times New Roman"/>
        </w:rPr>
        <w:t xml:space="preserve">categorical variables. </w:t>
      </w:r>
    </w:p>
    <w:p w14:paraId="27532CC6" w14:textId="35CD5A9E" w:rsidR="00FA6E44" w:rsidRPr="00A96836" w:rsidRDefault="00FA6E44" w:rsidP="00A96836">
      <w:pPr>
        <w:spacing w:before="100" w:beforeAutospacing="1" w:after="100" w:afterAutospacing="1" w:line="360" w:lineRule="auto"/>
        <w:jc w:val="both"/>
        <w:rPr>
          <w:rFonts w:ascii="Times New Roman" w:eastAsia="Times New Roman" w:hAnsi="Times New Roman" w:cs="Times New Roman"/>
        </w:rPr>
      </w:pPr>
      <w:r w:rsidRPr="00A96836">
        <w:rPr>
          <w:rFonts w:ascii="Times New Roman" w:eastAsia="Times New Roman" w:hAnsi="Times New Roman" w:cs="Times New Roman"/>
        </w:rPr>
        <w:t xml:space="preserve">A non-parametric test, </w:t>
      </w:r>
      <w:r w:rsidR="00B26408" w:rsidRPr="00A96836">
        <w:rPr>
          <w:rFonts w:ascii="Times New Roman" w:eastAsia="Times New Roman" w:hAnsi="Times New Roman" w:cs="Times New Roman"/>
        </w:rPr>
        <w:t>Wilcoxon signed-rank test was used to compare changes in IOP</w:t>
      </w:r>
      <w:r w:rsidRPr="00A96836">
        <w:rPr>
          <w:rFonts w:ascii="Times New Roman" w:eastAsia="Times New Roman" w:hAnsi="Times New Roman" w:cs="Times New Roman"/>
        </w:rPr>
        <w:t xml:space="preserve"> from the initial, </w:t>
      </w:r>
      <w:r w:rsidR="00B26408" w:rsidRPr="00A96836">
        <w:rPr>
          <w:rFonts w:ascii="Times New Roman" w:eastAsia="Times New Roman" w:hAnsi="Times New Roman" w:cs="Times New Roman"/>
        </w:rPr>
        <w:t>over time</w:t>
      </w:r>
      <w:r w:rsidRPr="00A96836">
        <w:rPr>
          <w:rFonts w:ascii="Times New Roman" w:eastAsia="Times New Roman" w:hAnsi="Times New Roman" w:cs="Times New Roman"/>
        </w:rPr>
        <w:t>. Significant change was determined at p-value of &lt;0.05.</w:t>
      </w:r>
      <w:r w:rsidR="00B26408" w:rsidRPr="00A96836">
        <w:rPr>
          <w:rFonts w:ascii="Times New Roman" w:eastAsia="Times New Roman" w:hAnsi="Times New Roman" w:cs="Times New Roman"/>
        </w:rPr>
        <w:t xml:space="preserve"> </w:t>
      </w:r>
    </w:p>
    <w:p w14:paraId="2C0BD305" w14:textId="3CCF1CE3" w:rsidR="00A96836" w:rsidRPr="00A96836" w:rsidRDefault="00B26408" w:rsidP="00A96836">
      <w:pPr>
        <w:spacing w:before="100" w:beforeAutospacing="1" w:after="100" w:afterAutospacing="1" w:line="360" w:lineRule="auto"/>
        <w:jc w:val="both"/>
        <w:rPr>
          <w:rFonts w:ascii="Times New Roman" w:eastAsia="Times New Roman" w:hAnsi="Times New Roman" w:cs="Times New Roman"/>
        </w:rPr>
      </w:pPr>
      <w:r w:rsidRPr="00A96836">
        <w:rPr>
          <w:rFonts w:ascii="Times New Roman" w:eastAsia="Times New Roman" w:hAnsi="Times New Roman" w:cs="Times New Roman"/>
        </w:rPr>
        <w:t xml:space="preserve">Cox regression was performed to </w:t>
      </w:r>
      <w:r w:rsidR="00FA6E44" w:rsidRPr="00A96836">
        <w:rPr>
          <w:rFonts w:ascii="Times New Roman" w:eastAsia="Times New Roman" w:hAnsi="Times New Roman" w:cs="Times New Roman"/>
        </w:rPr>
        <w:t xml:space="preserve">assess </w:t>
      </w:r>
      <w:r w:rsidRPr="00A96836">
        <w:rPr>
          <w:rFonts w:ascii="Times New Roman" w:eastAsia="Times New Roman" w:hAnsi="Times New Roman" w:cs="Times New Roman"/>
        </w:rPr>
        <w:t>factors associated with treatment success</w:t>
      </w:r>
      <w:r w:rsidR="00A47738">
        <w:rPr>
          <w:rFonts w:ascii="Times New Roman" w:eastAsia="Times New Roman" w:hAnsi="Times New Roman" w:cs="Times New Roman"/>
        </w:rPr>
        <w:t xml:space="preserve"> while stepwise regression was used for variable selection in adjusted analysis</w:t>
      </w:r>
      <w:r w:rsidRPr="00A96836">
        <w:rPr>
          <w:rFonts w:ascii="Times New Roman" w:eastAsia="Times New Roman" w:hAnsi="Times New Roman" w:cs="Times New Roman"/>
        </w:rPr>
        <w:t>. Variables with a p-value &lt;0.05 were considered statistically significant</w:t>
      </w:r>
      <w:r w:rsidR="00FA6E44" w:rsidRPr="00A96836">
        <w:rPr>
          <w:rFonts w:ascii="Times New Roman" w:eastAsia="Times New Roman" w:hAnsi="Times New Roman" w:cs="Times New Roman"/>
        </w:rPr>
        <w:t xml:space="preserve"> associated with treatment success in both, </w:t>
      </w:r>
      <w:r w:rsidRPr="00A96836">
        <w:rPr>
          <w:rFonts w:ascii="Times New Roman" w:eastAsia="Times New Roman" w:hAnsi="Times New Roman" w:cs="Times New Roman"/>
        </w:rPr>
        <w:t>cru</w:t>
      </w:r>
      <w:r w:rsidR="00FA6E44" w:rsidRPr="00A96836">
        <w:rPr>
          <w:rFonts w:ascii="Times New Roman" w:eastAsia="Times New Roman" w:hAnsi="Times New Roman" w:cs="Times New Roman"/>
        </w:rPr>
        <w:t>de</w:t>
      </w:r>
      <w:r w:rsidRPr="00A96836">
        <w:rPr>
          <w:rFonts w:ascii="Times New Roman" w:eastAsia="Times New Roman" w:hAnsi="Times New Roman" w:cs="Times New Roman"/>
        </w:rPr>
        <w:t xml:space="preserve"> and adjusted </w:t>
      </w:r>
      <w:r w:rsidR="00FA6E44" w:rsidRPr="00A96836">
        <w:rPr>
          <w:rFonts w:ascii="Times New Roman" w:eastAsia="Times New Roman" w:hAnsi="Times New Roman" w:cs="Times New Roman"/>
        </w:rPr>
        <w:t>analysis</w:t>
      </w:r>
      <w:r w:rsidRPr="00A96836">
        <w:rPr>
          <w:rFonts w:ascii="Times New Roman" w:eastAsia="Times New Roman" w:hAnsi="Times New Roman" w:cs="Times New Roman"/>
        </w:rPr>
        <w:t>.</w:t>
      </w:r>
      <w:bookmarkStart w:id="3" w:name="_Toc199960633"/>
    </w:p>
    <w:p w14:paraId="11690213" w14:textId="6B11AE3B" w:rsidR="00F85DC8" w:rsidRPr="00A96836" w:rsidRDefault="000C2B1D" w:rsidP="00A96836">
      <w:pPr>
        <w:spacing w:before="100" w:beforeAutospacing="1" w:line="360" w:lineRule="auto"/>
        <w:jc w:val="both"/>
        <w:rPr>
          <w:rFonts w:ascii="Times New Roman" w:eastAsia="Times New Roman" w:hAnsi="Times New Roman" w:cs="Times New Roman"/>
        </w:rPr>
      </w:pPr>
      <w:r w:rsidRPr="00A96836">
        <w:rPr>
          <w:rFonts w:ascii="Times New Roman" w:eastAsia="Times New Roman" w:hAnsi="Times New Roman" w:cs="Times New Roman"/>
          <w:b/>
          <w:color w:val="000000"/>
        </w:rPr>
        <w:t>RESULTS</w:t>
      </w:r>
      <w:bookmarkEnd w:id="3"/>
    </w:p>
    <w:p w14:paraId="223A16F4" w14:textId="1E789B1B" w:rsidR="0064616D" w:rsidRPr="00A96836" w:rsidRDefault="009A6BEB"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rPr>
        <w:t>Of the 74 enrolled participants</w:t>
      </w:r>
      <w:r w:rsidR="00FA6E44" w:rsidRPr="00A96836">
        <w:rPr>
          <w:rFonts w:ascii="Times New Roman" w:eastAsia="Times New Roman" w:hAnsi="Times New Roman" w:cs="Times New Roman"/>
        </w:rPr>
        <w:t xml:space="preserve"> the median age was 64 years (IQR 55-70 years) with 45(60.8%) aging &gt;60 years and </w:t>
      </w:r>
      <w:r w:rsidR="000C2B1D" w:rsidRPr="00A96836">
        <w:rPr>
          <w:rFonts w:ascii="Times New Roman" w:eastAsia="Times New Roman" w:hAnsi="Times New Roman" w:cs="Times New Roman"/>
        </w:rPr>
        <w:t xml:space="preserve">39(52.7%) </w:t>
      </w:r>
      <w:r w:rsidR="00EF79DD">
        <w:rPr>
          <w:rFonts w:ascii="Times New Roman" w:eastAsia="Times New Roman" w:hAnsi="Times New Roman" w:cs="Times New Roman"/>
        </w:rPr>
        <w:t xml:space="preserve">were </w:t>
      </w:r>
      <w:r w:rsidR="000C2B1D" w:rsidRPr="00A96836">
        <w:rPr>
          <w:rFonts w:ascii="Times New Roman" w:eastAsia="Times New Roman" w:hAnsi="Times New Roman" w:cs="Times New Roman"/>
        </w:rPr>
        <w:t>male</w:t>
      </w:r>
      <w:r w:rsidR="00EF79DD">
        <w:rPr>
          <w:rFonts w:ascii="Times New Roman" w:eastAsia="Times New Roman" w:hAnsi="Times New Roman" w:cs="Times New Roman"/>
        </w:rPr>
        <w:t>s</w:t>
      </w:r>
      <w:r w:rsidR="00FA6E44" w:rsidRPr="00A96836">
        <w:rPr>
          <w:rFonts w:ascii="Times New Roman" w:eastAsia="Times New Roman" w:hAnsi="Times New Roman" w:cs="Times New Roman"/>
        </w:rPr>
        <w:t>.</w:t>
      </w:r>
    </w:p>
    <w:p w14:paraId="6FA0695F" w14:textId="6037FD75" w:rsidR="00A96836" w:rsidRDefault="00FA6E44" w:rsidP="00A96836">
      <w:pPr>
        <w:spacing w:line="360" w:lineRule="auto"/>
        <w:jc w:val="both"/>
        <w:rPr>
          <w:rFonts w:ascii="Times New Roman" w:eastAsia="Times New Roman" w:hAnsi="Times New Roman" w:cs="Times New Roman"/>
        </w:rPr>
      </w:pPr>
      <w:bookmarkStart w:id="4" w:name="_k91on0axf0a2" w:colFirst="0" w:colLast="0"/>
      <w:bookmarkEnd w:id="4"/>
      <w:r w:rsidRPr="00A96836">
        <w:rPr>
          <w:rFonts w:ascii="Times New Roman" w:eastAsia="Times New Roman" w:hAnsi="Times New Roman" w:cs="Times New Roman"/>
        </w:rPr>
        <w:t>The m</w:t>
      </w:r>
      <w:r w:rsidR="000C2B1D" w:rsidRPr="00A96836">
        <w:rPr>
          <w:rFonts w:ascii="Times New Roman" w:eastAsia="Times New Roman" w:hAnsi="Times New Roman" w:cs="Times New Roman"/>
        </w:rPr>
        <w:t>edian IOP before T</w:t>
      </w:r>
      <w:r w:rsidR="00EF79DD">
        <w:rPr>
          <w:rFonts w:ascii="Times New Roman" w:eastAsia="Times New Roman" w:hAnsi="Times New Roman" w:cs="Times New Roman"/>
        </w:rPr>
        <w:t xml:space="preserve">SCPC </w:t>
      </w:r>
      <w:r w:rsidR="000C2B1D" w:rsidRPr="00A96836">
        <w:rPr>
          <w:rFonts w:ascii="Times New Roman" w:eastAsia="Times New Roman" w:hAnsi="Times New Roman" w:cs="Times New Roman"/>
        </w:rPr>
        <w:t>was 46.5</w:t>
      </w:r>
      <w:r w:rsidRPr="00A96836">
        <w:rPr>
          <w:rFonts w:ascii="Times New Roman" w:eastAsia="Times New Roman" w:hAnsi="Times New Roman" w:cs="Times New Roman"/>
        </w:rPr>
        <w:t xml:space="preserve">mmHg </w:t>
      </w:r>
      <w:r w:rsidR="000C2B1D" w:rsidRPr="00A96836">
        <w:rPr>
          <w:rFonts w:ascii="Times New Roman" w:eastAsia="Times New Roman" w:hAnsi="Times New Roman" w:cs="Times New Roman"/>
        </w:rPr>
        <w:t>(IQR 39-56</w:t>
      </w:r>
      <w:r w:rsidRPr="00A96836">
        <w:rPr>
          <w:rFonts w:ascii="Times New Roman" w:eastAsia="Times New Roman" w:hAnsi="Times New Roman" w:cs="Times New Roman"/>
        </w:rPr>
        <w:t>mmHg</w:t>
      </w:r>
      <w:r w:rsidR="000C2B1D" w:rsidRPr="00A96836">
        <w:rPr>
          <w:rFonts w:ascii="Times New Roman" w:eastAsia="Times New Roman" w:hAnsi="Times New Roman" w:cs="Times New Roman"/>
        </w:rPr>
        <w:t>)</w:t>
      </w:r>
      <w:r w:rsidR="00076014" w:rsidRPr="00A96836">
        <w:rPr>
          <w:rFonts w:ascii="Times New Roman" w:eastAsia="Times New Roman" w:hAnsi="Times New Roman" w:cs="Times New Roman"/>
        </w:rPr>
        <w:t xml:space="preserve"> while median </w:t>
      </w:r>
      <w:r w:rsidR="00791AA3">
        <w:rPr>
          <w:rFonts w:ascii="Times New Roman" w:eastAsia="Times New Roman" w:hAnsi="Times New Roman" w:cs="Times New Roman"/>
        </w:rPr>
        <w:t xml:space="preserve">cup to disc </w:t>
      </w:r>
      <w:r w:rsidR="00133BCE">
        <w:rPr>
          <w:rFonts w:ascii="Times New Roman" w:eastAsia="Times New Roman" w:hAnsi="Times New Roman" w:cs="Times New Roman"/>
        </w:rPr>
        <w:t>ratio (</w:t>
      </w:r>
      <w:r w:rsidR="00076014" w:rsidRPr="00A96836">
        <w:rPr>
          <w:rFonts w:ascii="Times New Roman" w:eastAsia="Times New Roman" w:hAnsi="Times New Roman" w:cs="Times New Roman"/>
        </w:rPr>
        <w:t>CDR</w:t>
      </w:r>
      <w:r w:rsidR="00791AA3">
        <w:rPr>
          <w:rFonts w:ascii="Times New Roman" w:eastAsia="Times New Roman" w:hAnsi="Times New Roman" w:cs="Times New Roman"/>
        </w:rPr>
        <w:t>)</w:t>
      </w:r>
      <w:r w:rsidR="00076014" w:rsidRPr="00A96836">
        <w:rPr>
          <w:rFonts w:ascii="Times New Roman" w:eastAsia="Times New Roman" w:hAnsi="Times New Roman" w:cs="Times New Roman"/>
        </w:rPr>
        <w:t xml:space="preserve">was </w:t>
      </w:r>
      <w:r w:rsidR="00EF79DD">
        <w:rPr>
          <w:rFonts w:ascii="Times New Roman" w:eastAsia="Times New Roman" w:hAnsi="Times New Roman" w:cs="Times New Roman"/>
        </w:rPr>
        <w:t>0.</w:t>
      </w:r>
      <w:r w:rsidR="00076014" w:rsidRPr="00A96836">
        <w:rPr>
          <w:rFonts w:ascii="Times New Roman" w:eastAsia="Times New Roman" w:hAnsi="Times New Roman" w:cs="Times New Roman"/>
          <w:iCs/>
        </w:rPr>
        <w:t>9</w:t>
      </w:r>
      <w:r w:rsidR="00EF79DD" w:rsidRPr="00A96836">
        <w:rPr>
          <w:rFonts w:ascii="Times New Roman" w:eastAsia="Times New Roman" w:hAnsi="Times New Roman" w:cs="Times New Roman"/>
          <w:iCs/>
        </w:rPr>
        <w:t>(</w:t>
      </w:r>
      <w:r w:rsidR="00EF79DD">
        <w:rPr>
          <w:rFonts w:ascii="Times New Roman" w:eastAsia="Times New Roman" w:hAnsi="Times New Roman" w:cs="Times New Roman"/>
          <w:iCs/>
        </w:rPr>
        <w:t>0.8-</w:t>
      </w:r>
      <w:r w:rsidR="00076014" w:rsidRPr="00A96836">
        <w:rPr>
          <w:rFonts w:ascii="Times New Roman" w:eastAsia="Times New Roman" w:hAnsi="Times New Roman" w:cs="Times New Roman"/>
          <w:iCs/>
        </w:rPr>
        <w:t>1)</w:t>
      </w:r>
      <w:r w:rsidR="000C2B1D" w:rsidRPr="00A96836">
        <w:rPr>
          <w:rFonts w:ascii="Times New Roman" w:eastAsia="Times New Roman" w:hAnsi="Times New Roman" w:cs="Times New Roman"/>
        </w:rPr>
        <w:t xml:space="preserve">. </w:t>
      </w:r>
      <w:r w:rsidRPr="00A96836">
        <w:rPr>
          <w:rFonts w:ascii="Times New Roman" w:eastAsia="Times New Roman" w:hAnsi="Times New Roman" w:cs="Times New Roman"/>
        </w:rPr>
        <w:t>Of these part</w:t>
      </w:r>
      <w:r w:rsidR="00587109" w:rsidRPr="00A96836">
        <w:rPr>
          <w:rFonts w:ascii="Times New Roman" w:eastAsia="Times New Roman" w:hAnsi="Times New Roman" w:cs="Times New Roman"/>
        </w:rPr>
        <w:t>i</w:t>
      </w:r>
      <w:r w:rsidRPr="00A96836">
        <w:rPr>
          <w:rFonts w:ascii="Times New Roman" w:eastAsia="Times New Roman" w:hAnsi="Times New Roman" w:cs="Times New Roman"/>
        </w:rPr>
        <w:t>cipants,</w:t>
      </w:r>
      <w:r w:rsidR="00587109" w:rsidRPr="00A96836">
        <w:rPr>
          <w:rFonts w:ascii="Times New Roman" w:eastAsia="Times New Roman" w:hAnsi="Times New Roman" w:cs="Times New Roman"/>
        </w:rPr>
        <w:t xml:space="preserve"> 4(5.4%) had normal VA while majority 63(85%) were blind</w:t>
      </w:r>
      <w:r w:rsidR="00A96836" w:rsidRPr="00A96836">
        <w:rPr>
          <w:rFonts w:ascii="Times New Roman" w:eastAsia="Times New Roman" w:hAnsi="Times New Roman" w:cs="Times New Roman"/>
        </w:rPr>
        <w:t xml:space="preserve"> </w:t>
      </w:r>
      <w:r w:rsidR="00791AA3">
        <w:rPr>
          <w:rFonts w:ascii="Times New Roman" w:eastAsia="Times New Roman" w:hAnsi="Times New Roman" w:cs="Times New Roman"/>
        </w:rPr>
        <w:t xml:space="preserve">according to WHO classification </w:t>
      </w:r>
      <w:r w:rsidR="00A96836" w:rsidRPr="00A96836">
        <w:rPr>
          <w:rFonts w:ascii="Times New Roman" w:eastAsia="Times New Roman" w:hAnsi="Times New Roman" w:cs="Times New Roman"/>
        </w:rPr>
        <w:t>and 41(55.4%) had</w:t>
      </w:r>
      <w:r w:rsidR="00EF79DD">
        <w:rPr>
          <w:rFonts w:ascii="Times New Roman" w:eastAsia="Times New Roman" w:hAnsi="Times New Roman" w:cs="Times New Roman"/>
        </w:rPr>
        <w:t xml:space="preserve"> </w:t>
      </w:r>
      <w:r w:rsidR="00A96836" w:rsidRPr="00A96836">
        <w:rPr>
          <w:rFonts w:ascii="Times New Roman" w:eastAsia="Times New Roman" w:hAnsi="Times New Roman" w:cs="Times New Roman"/>
          <w:color w:val="000000"/>
        </w:rPr>
        <w:t xml:space="preserve">Cup </w:t>
      </w:r>
      <w:r w:rsidR="001D1398">
        <w:rPr>
          <w:rFonts w:ascii="Times New Roman" w:eastAsia="Times New Roman" w:hAnsi="Times New Roman" w:cs="Times New Roman"/>
          <w:color w:val="000000"/>
        </w:rPr>
        <w:t>d</w:t>
      </w:r>
      <w:r w:rsidR="00A96836" w:rsidRPr="00A96836">
        <w:rPr>
          <w:rFonts w:ascii="Times New Roman" w:eastAsia="Times New Roman" w:hAnsi="Times New Roman" w:cs="Times New Roman"/>
          <w:color w:val="000000"/>
        </w:rPr>
        <w:t>isc Notching</w:t>
      </w:r>
      <w:r w:rsidR="00587109" w:rsidRPr="00A96836">
        <w:rPr>
          <w:rFonts w:ascii="Times New Roman" w:eastAsia="Times New Roman" w:hAnsi="Times New Roman" w:cs="Times New Roman"/>
        </w:rPr>
        <w:t>.</w:t>
      </w:r>
      <w:r w:rsidR="00EC1D68" w:rsidRPr="00A96836">
        <w:rPr>
          <w:rFonts w:ascii="Times New Roman" w:eastAsia="Times New Roman" w:hAnsi="Times New Roman" w:cs="Times New Roman"/>
        </w:rPr>
        <w:t xml:space="preserve"> </w:t>
      </w:r>
      <w:r w:rsidR="00EC1D68" w:rsidRPr="00A96836">
        <w:rPr>
          <w:rFonts w:ascii="Times New Roman" w:eastAsia="Times New Roman" w:hAnsi="Times New Roman" w:cs="Times New Roman"/>
        </w:rPr>
        <w:lastRenderedPageBreak/>
        <w:t>There were</w:t>
      </w:r>
      <w:r w:rsidR="000C2B1D" w:rsidRPr="00A96836">
        <w:rPr>
          <w:rFonts w:ascii="Times New Roman" w:eastAsia="Times New Roman" w:hAnsi="Times New Roman" w:cs="Times New Roman"/>
        </w:rPr>
        <w:t xml:space="preserve"> </w:t>
      </w:r>
      <w:r w:rsidR="00EC1D68" w:rsidRPr="00A96836">
        <w:rPr>
          <w:rFonts w:ascii="Times New Roman" w:eastAsia="Times New Roman" w:hAnsi="Times New Roman" w:cs="Times New Roman"/>
        </w:rPr>
        <w:t>40</w:t>
      </w:r>
      <w:r w:rsidR="000C2B1D" w:rsidRPr="00A96836">
        <w:rPr>
          <w:rFonts w:ascii="Times New Roman" w:eastAsia="Times New Roman" w:hAnsi="Times New Roman" w:cs="Times New Roman"/>
        </w:rPr>
        <w:t xml:space="preserve">(54.1%) </w:t>
      </w:r>
      <w:r w:rsidR="00EC1D68" w:rsidRPr="00A96836">
        <w:rPr>
          <w:rFonts w:ascii="Times New Roman" w:eastAsia="Times New Roman" w:hAnsi="Times New Roman" w:cs="Times New Roman"/>
        </w:rPr>
        <w:t>who had</w:t>
      </w:r>
      <w:r w:rsidR="00C7342A">
        <w:rPr>
          <w:rFonts w:ascii="Times New Roman" w:eastAsia="Times New Roman" w:hAnsi="Times New Roman" w:cs="Times New Roman"/>
        </w:rPr>
        <w:t xml:space="preserve"> </w:t>
      </w:r>
      <w:r w:rsidR="000C2B1D" w:rsidRPr="00A96836">
        <w:rPr>
          <w:rFonts w:ascii="Times New Roman" w:eastAsia="Times New Roman" w:hAnsi="Times New Roman" w:cs="Times New Roman"/>
        </w:rPr>
        <w:t>primary open angle glaucoma</w:t>
      </w:r>
      <w:r w:rsidR="00EC1D68" w:rsidRPr="00A96836">
        <w:rPr>
          <w:rFonts w:ascii="Times New Roman" w:eastAsia="Times New Roman" w:hAnsi="Times New Roman" w:cs="Times New Roman"/>
        </w:rPr>
        <w:t xml:space="preserve">, while </w:t>
      </w:r>
      <w:r w:rsidR="004577E5" w:rsidRPr="00A96836">
        <w:rPr>
          <w:rFonts w:ascii="Times New Roman" w:eastAsia="Times New Roman" w:hAnsi="Times New Roman" w:cs="Times New Roman"/>
        </w:rPr>
        <w:t xml:space="preserve">8 (10.8%) </w:t>
      </w:r>
      <w:r w:rsidR="00EC1D68" w:rsidRPr="00A96836">
        <w:rPr>
          <w:rFonts w:ascii="Times New Roman" w:eastAsia="Times New Roman" w:hAnsi="Times New Roman" w:cs="Times New Roman"/>
        </w:rPr>
        <w:t xml:space="preserve">had Optic disc </w:t>
      </w:r>
      <w:r w:rsidR="00133BCE">
        <w:rPr>
          <w:rFonts w:ascii="Times New Roman" w:eastAsia="Times New Roman" w:hAnsi="Times New Roman" w:cs="Times New Roman"/>
        </w:rPr>
        <w:t>h</w:t>
      </w:r>
      <w:r w:rsidR="004577E5" w:rsidRPr="00A96836">
        <w:rPr>
          <w:rFonts w:ascii="Times New Roman" w:eastAsia="Times New Roman" w:hAnsi="Times New Roman" w:cs="Times New Roman"/>
        </w:rPr>
        <w:t xml:space="preserve">emorrhage and more than </w:t>
      </w:r>
      <w:r w:rsidR="00EF79DD">
        <w:rPr>
          <w:rFonts w:ascii="Times New Roman" w:eastAsia="Times New Roman" w:hAnsi="Times New Roman" w:cs="Times New Roman"/>
        </w:rPr>
        <w:t>h</w:t>
      </w:r>
      <w:r w:rsidR="004577E5" w:rsidRPr="00A96836">
        <w:rPr>
          <w:rFonts w:ascii="Times New Roman" w:eastAsia="Times New Roman" w:hAnsi="Times New Roman" w:cs="Times New Roman"/>
        </w:rPr>
        <w:t xml:space="preserve">alf of the participants 45 (60.8%) had </w:t>
      </w:r>
      <w:r w:rsidR="00EF79DD">
        <w:rPr>
          <w:rFonts w:ascii="Times New Roman" w:eastAsia="Times New Roman" w:hAnsi="Times New Roman" w:cs="Times New Roman"/>
        </w:rPr>
        <w:t xml:space="preserve">associated </w:t>
      </w:r>
      <w:r w:rsidR="004577E5" w:rsidRPr="00A96836">
        <w:rPr>
          <w:rFonts w:ascii="Times New Roman" w:eastAsia="Times New Roman" w:hAnsi="Times New Roman" w:cs="Times New Roman"/>
        </w:rPr>
        <w:t>systemic diseases</w:t>
      </w:r>
      <w:bookmarkStart w:id="5" w:name="_nw7jhrroi7gm" w:colFirst="0" w:colLast="0"/>
      <w:bookmarkStart w:id="6" w:name="_Toc199960639"/>
      <w:bookmarkEnd w:id="5"/>
      <w:r w:rsidR="00EF79DD">
        <w:rPr>
          <w:rFonts w:ascii="Times New Roman" w:eastAsia="Times New Roman" w:hAnsi="Times New Roman" w:cs="Times New Roman"/>
        </w:rPr>
        <w:t>.</w:t>
      </w:r>
    </w:p>
    <w:p w14:paraId="46DAFE34" w14:textId="77777777" w:rsidR="00A96836" w:rsidRDefault="00A96836" w:rsidP="00A96836">
      <w:pPr>
        <w:spacing w:line="360" w:lineRule="auto"/>
        <w:jc w:val="both"/>
        <w:rPr>
          <w:rFonts w:ascii="Times New Roman" w:eastAsia="Times New Roman" w:hAnsi="Times New Roman" w:cs="Times New Roman"/>
        </w:rPr>
      </w:pPr>
    </w:p>
    <w:p w14:paraId="34A3D822" w14:textId="77777777" w:rsidR="007F06EC" w:rsidRDefault="007F06EC" w:rsidP="00A96836">
      <w:pPr>
        <w:pStyle w:val="Heading2"/>
        <w:spacing w:line="360" w:lineRule="auto"/>
        <w:jc w:val="both"/>
        <w:rPr>
          <w:rFonts w:ascii="Times New Roman" w:eastAsia="Times New Roman" w:hAnsi="Times New Roman" w:cs="Times New Roman"/>
          <w:b/>
          <w:color w:val="000000"/>
          <w:sz w:val="24"/>
          <w:szCs w:val="24"/>
        </w:rPr>
      </w:pPr>
    </w:p>
    <w:p w14:paraId="0DA1AB7A" w14:textId="77777777" w:rsidR="007F06EC" w:rsidRDefault="007F06EC" w:rsidP="00A96836">
      <w:pPr>
        <w:pStyle w:val="Heading2"/>
        <w:spacing w:line="360" w:lineRule="auto"/>
        <w:jc w:val="both"/>
        <w:rPr>
          <w:rFonts w:ascii="Times New Roman" w:eastAsia="Times New Roman" w:hAnsi="Times New Roman" w:cs="Times New Roman"/>
          <w:b/>
          <w:color w:val="000000"/>
          <w:sz w:val="24"/>
          <w:szCs w:val="24"/>
        </w:rPr>
      </w:pPr>
    </w:p>
    <w:p w14:paraId="32CB968F" w14:textId="77777777" w:rsidR="007F06EC" w:rsidRDefault="007F06EC" w:rsidP="00A96836">
      <w:pPr>
        <w:pStyle w:val="Heading2"/>
        <w:spacing w:line="360" w:lineRule="auto"/>
        <w:jc w:val="both"/>
        <w:rPr>
          <w:rFonts w:ascii="Times New Roman" w:eastAsia="Times New Roman" w:hAnsi="Times New Roman" w:cs="Times New Roman"/>
          <w:b/>
          <w:color w:val="000000"/>
          <w:sz w:val="24"/>
          <w:szCs w:val="24"/>
        </w:rPr>
      </w:pPr>
    </w:p>
    <w:p w14:paraId="60C546AD" w14:textId="77777777" w:rsidR="007F06EC" w:rsidRDefault="007F06EC" w:rsidP="00A96836">
      <w:pPr>
        <w:pStyle w:val="Heading2"/>
        <w:spacing w:line="360" w:lineRule="auto"/>
        <w:jc w:val="both"/>
        <w:rPr>
          <w:rFonts w:ascii="Times New Roman" w:eastAsia="Times New Roman" w:hAnsi="Times New Roman" w:cs="Times New Roman"/>
          <w:b/>
          <w:color w:val="000000"/>
          <w:sz w:val="24"/>
          <w:szCs w:val="24"/>
        </w:rPr>
      </w:pPr>
    </w:p>
    <w:p w14:paraId="090ED682" w14:textId="77777777" w:rsidR="007F06EC" w:rsidRDefault="007F06EC" w:rsidP="00A96836">
      <w:pPr>
        <w:pStyle w:val="Heading2"/>
        <w:spacing w:line="360" w:lineRule="auto"/>
        <w:jc w:val="both"/>
        <w:rPr>
          <w:rFonts w:ascii="Times New Roman" w:eastAsia="Times New Roman" w:hAnsi="Times New Roman" w:cs="Times New Roman"/>
          <w:b/>
          <w:color w:val="000000"/>
          <w:sz w:val="24"/>
          <w:szCs w:val="24"/>
        </w:rPr>
      </w:pPr>
    </w:p>
    <w:p w14:paraId="764812F5" w14:textId="77777777" w:rsidR="007F06EC" w:rsidRDefault="007F06EC" w:rsidP="00A96836">
      <w:pPr>
        <w:pStyle w:val="Heading2"/>
        <w:spacing w:line="360" w:lineRule="auto"/>
        <w:jc w:val="both"/>
        <w:rPr>
          <w:rFonts w:ascii="Times New Roman" w:eastAsia="Times New Roman" w:hAnsi="Times New Roman" w:cs="Times New Roman"/>
          <w:b/>
          <w:color w:val="000000"/>
          <w:sz w:val="24"/>
          <w:szCs w:val="24"/>
        </w:rPr>
      </w:pPr>
    </w:p>
    <w:p w14:paraId="3333DC59" w14:textId="1947E5D0" w:rsidR="0064616D" w:rsidRPr="00A96836" w:rsidRDefault="000C2B1D" w:rsidP="00A96836">
      <w:pPr>
        <w:pStyle w:val="Heading2"/>
        <w:spacing w:line="360" w:lineRule="auto"/>
        <w:jc w:val="both"/>
        <w:rPr>
          <w:rFonts w:ascii="Times New Roman" w:eastAsia="Times New Roman" w:hAnsi="Times New Roman" w:cs="Times New Roman"/>
          <w:b/>
          <w:color w:val="000000"/>
          <w:sz w:val="24"/>
          <w:szCs w:val="24"/>
        </w:rPr>
      </w:pPr>
      <w:r w:rsidRPr="00A96836">
        <w:rPr>
          <w:rFonts w:ascii="Times New Roman" w:eastAsia="Times New Roman" w:hAnsi="Times New Roman" w:cs="Times New Roman"/>
          <w:b/>
          <w:color w:val="000000"/>
          <w:sz w:val="24"/>
          <w:szCs w:val="24"/>
        </w:rPr>
        <w:t xml:space="preserve">Table </w:t>
      </w:r>
      <w:r w:rsidR="002C0636" w:rsidRPr="00A96836">
        <w:rPr>
          <w:rFonts w:ascii="Times New Roman" w:eastAsia="Times New Roman" w:hAnsi="Times New Roman" w:cs="Times New Roman"/>
          <w:b/>
          <w:color w:val="000000"/>
          <w:sz w:val="24"/>
          <w:szCs w:val="24"/>
        </w:rPr>
        <w:t>1</w:t>
      </w:r>
      <w:r w:rsidRPr="00A96836">
        <w:rPr>
          <w:rFonts w:ascii="Times New Roman" w:eastAsia="Times New Roman" w:hAnsi="Times New Roman" w:cs="Times New Roman"/>
          <w:b/>
          <w:color w:val="000000"/>
          <w:sz w:val="24"/>
          <w:szCs w:val="24"/>
        </w:rPr>
        <w:t xml:space="preserve">: </w:t>
      </w:r>
      <w:r w:rsidR="004577E5" w:rsidRPr="00A96836">
        <w:rPr>
          <w:rFonts w:ascii="Times New Roman" w:eastAsia="Times New Roman" w:hAnsi="Times New Roman" w:cs="Times New Roman"/>
          <w:b/>
          <w:color w:val="000000"/>
          <w:sz w:val="24"/>
          <w:szCs w:val="24"/>
        </w:rPr>
        <w:t xml:space="preserve">Participant’s social demographic and clinical characteristics </w:t>
      </w:r>
      <w:r w:rsidRPr="00A96836">
        <w:rPr>
          <w:rFonts w:ascii="Times New Roman" w:eastAsia="Times New Roman" w:hAnsi="Times New Roman" w:cs="Times New Roman"/>
          <w:b/>
          <w:color w:val="000000"/>
          <w:sz w:val="24"/>
          <w:szCs w:val="24"/>
        </w:rPr>
        <w:t>(N=74)</w:t>
      </w:r>
      <w:bookmarkEnd w:id="6"/>
    </w:p>
    <w:tbl>
      <w:tblPr>
        <w:tblStyle w:val="a0"/>
        <w:tblW w:w="7433" w:type="dxa"/>
        <w:tblInd w:w="108" w:type="dxa"/>
        <w:tblLayout w:type="fixed"/>
        <w:tblLook w:val="0400" w:firstRow="0" w:lastRow="0" w:firstColumn="0" w:lastColumn="0" w:noHBand="0" w:noVBand="1"/>
      </w:tblPr>
      <w:tblGrid>
        <w:gridCol w:w="4640"/>
        <w:gridCol w:w="1390"/>
        <w:gridCol w:w="1403"/>
      </w:tblGrid>
      <w:tr w:rsidR="0064616D" w:rsidRPr="00A96836" w14:paraId="26CE3719" w14:textId="77777777" w:rsidTr="00294BD7">
        <w:trPr>
          <w:trHeight w:val="345"/>
        </w:trPr>
        <w:tc>
          <w:tcPr>
            <w:tcW w:w="4640" w:type="dxa"/>
            <w:tcBorders>
              <w:top w:val="single" w:sz="12" w:space="0" w:color="000000"/>
              <w:left w:val="nil"/>
              <w:bottom w:val="single" w:sz="12" w:space="0" w:color="000000"/>
              <w:right w:val="nil"/>
            </w:tcBorders>
            <w:shd w:val="clear" w:color="auto" w:fill="auto"/>
            <w:vAlign w:val="center"/>
          </w:tcPr>
          <w:p w14:paraId="679915BA" w14:textId="77777777" w:rsidR="0064616D" w:rsidRPr="00A96836" w:rsidRDefault="000C2B1D" w:rsidP="00A96836">
            <w:pPr>
              <w:spacing w:line="360" w:lineRule="auto"/>
              <w:jc w:val="both"/>
              <w:rPr>
                <w:rFonts w:ascii="Times New Roman" w:eastAsia="Times New Roman" w:hAnsi="Times New Roman" w:cs="Times New Roman"/>
                <w:b/>
                <w:bCs/>
              </w:rPr>
            </w:pPr>
            <w:r w:rsidRPr="00A96836">
              <w:rPr>
                <w:rFonts w:ascii="Times New Roman" w:eastAsia="Times New Roman" w:hAnsi="Times New Roman" w:cs="Times New Roman"/>
                <w:b/>
                <w:bCs/>
              </w:rPr>
              <w:t>Characteristics</w:t>
            </w:r>
          </w:p>
        </w:tc>
        <w:tc>
          <w:tcPr>
            <w:tcW w:w="1390" w:type="dxa"/>
            <w:tcBorders>
              <w:top w:val="single" w:sz="12" w:space="0" w:color="000000"/>
              <w:left w:val="nil"/>
              <w:bottom w:val="single" w:sz="12" w:space="0" w:color="000000"/>
              <w:right w:val="nil"/>
            </w:tcBorders>
            <w:shd w:val="clear" w:color="auto" w:fill="auto"/>
            <w:vAlign w:val="center"/>
          </w:tcPr>
          <w:p w14:paraId="76E360C6" w14:textId="77777777" w:rsidR="0064616D" w:rsidRPr="00A96836" w:rsidRDefault="000C2B1D" w:rsidP="00A96836">
            <w:pPr>
              <w:spacing w:line="360" w:lineRule="auto"/>
              <w:jc w:val="both"/>
              <w:rPr>
                <w:rFonts w:ascii="Times New Roman" w:eastAsia="Times New Roman" w:hAnsi="Times New Roman" w:cs="Times New Roman"/>
                <w:b/>
                <w:bCs/>
              </w:rPr>
            </w:pPr>
            <w:r w:rsidRPr="00A96836">
              <w:rPr>
                <w:rFonts w:ascii="Times New Roman" w:eastAsia="Times New Roman" w:hAnsi="Times New Roman" w:cs="Times New Roman"/>
                <w:b/>
                <w:bCs/>
              </w:rPr>
              <w:t>Frequency</w:t>
            </w:r>
          </w:p>
        </w:tc>
        <w:tc>
          <w:tcPr>
            <w:tcW w:w="1403" w:type="dxa"/>
            <w:tcBorders>
              <w:top w:val="single" w:sz="12" w:space="0" w:color="000000"/>
              <w:left w:val="nil"/>
              <w:bottom w:val="single" w:sz="12" w:space="0" w:color="000000"/>
              <w:right w:val="nil"/>
            </w:tcBorders>
            <w:shd w:val="clear" w:color="auto" w:fill="auto"/>
            <w:vAlign w:val="center"/>
          </w:tcPr>
          <w:p w14:paraId="0C0494D4" w14:textId="1E6F4195" w:rsidR="0064616D" w:rsidRPr="00A96836" w:rsidRDefault="000C2B1D" w:rsidP="00A96836">
            <w:pPr>
              <w:spacing w:line="360" w:lineRule="auto"/>
              <w:jc w:val="both"/>
              <w:rPr>
                <w:rFonts w:ascii="Times New Roman" w:eastAsia="Times New Roman" w:hAnsi="Times New Roman" w:cs="Times New Roman"/>
                <w:b/>
                <w:bCs/>
              </w:rPr>
            </w:pPr>
            <w:r w:rsidRPr="00A96836">
              <w:rPr>
                <w:rFonts w:ascii="Times New Roman" w:eastAsia="Times New Roman" w:hAnsi="Times New Roman" w:cs="Times New Roman"/>
                <w:b/>
                <w:bCs/>
              </w:rPr>
              <w:t>Percentage</w:t>
            </w:r>
          </w:p>
        </w:tc>
      </w:tr>
      <w:tr w:rsidR="005434AB" w:rsidRPr="00A96836" w14:paraId="50D738C1" w14:textId="77777777" w:rsidTr="00294BD7">
        <w:trPr>
          <w:trHeight w:val="330"/>
        </w:trPr>
        <w:tc>
          <w:tcPr>
            <w:tcW w:w="4640" w:type="dxa"/>
            <w:tcBorders>
              <w:top w:val="nil"/>
              <w:left w:val="nil"/>
              <w:bottom w:val="nil"/>
              <w:right w:val="nil"/>
            </w:tcBorders>
            <w:shd w:val="clear" w:color="auto" w:fill="auto"/>
            <w:vAlign w:val="center"/>
          </w:tcPr>
          <w:p w14:paraId="705BA2CA" w14:textId="376C340E" w:rsidR="005434AB" w:rsidRPr="00A96836" w:rsidRDefault="005434AB" w:rsidP="00A96836">
            <w:pPr>
              <w:spacing w:line="360" w:lineRule="auto"/>
              <w:jc w:val="both"/>
              <w:rPr>
                <w:rFonts w:ascii="Times New Roman" w:eastAsia="Times New Roman" w:hAnsi="Times New Roman" w:cs="Times New Roman"/>
                <w:b/>
                <w:bCs/>
              </w:rPr>
            </w:pPr>
            <w:r w:rsidRPr="00A96836">
              <w:rPr>
                <w:rFonts w:ascii="Times New Roman" w:eastAsia="Times New Roman" w:hAnsi="Times New Roman" w:cs="Times New Roman"/>
                <w:b/>
                <w:bCs/>
              </w:rPr>
              <w:t>Patients Age</w:t>
            </w:r>
          </w:p>
        </w:tc>
        <w:tc>
          <w:tcPr>
            <w:tcW w:w="1390" w:type="dxa"/>
            <w:tcBorders>
              <w:top w:val="nil"/>
              <w:left w:val="nil"/>
              <w:bottom w:val="nil"/>
              <w:right w:val="nil"/>
            </w:tcBorders>
            <w:shd w:val="clear" w:color="auto" w:fill="auto"/>
            <w:vAlign w:val="center"/>
          </w:tcPr>
          <w:p w14:paraId="068108D0" w14:textId="77777777" w:rsidR="005434AB" w:rsidRPr="00A96836" w:rsidRDefault="005434AB" w:rsidP="00A96836">
            <w:pPr>
              <w:spacing w:line="360" w:lineRule="auto"/>
              <w:jc w:val="both"/>
              <w:rPr>
                <w:rFonts w:ascii="Times New Roman" w:eastAsia="Times New Roman" w:hAnsi="Times New Roman" w:cs="Times New Roman"/>
                <w:b/>
              </w:rPr>
            </w:pPr>
          </w:p>
        </w:tc>
        <w:tc>
          <w:tcPr>
            <w:tcW w:w="1403" w:type="dxa"/>
            <w:tcBorders>
              <w:top w:val="nil"/>
              <w:left w:val="nil"/>
              <w:bottom w:val="nil"/>
              <w:right w:val="nil"/>
            </w:tcBorders>
            <w:shd w:val="clear" w:color="auto" w:fill="auto"/>
            <w:vAlign w:val="center"/>
          </w:tcPr>
          <w:p w14:paraId="1F3BB68E" w14:textId="77777777" w:rsidR="005434AB" w:rsidRPr="00A96836" w:rsidRDefault="005434AB" w:rsidP="00A96836">
            <w:pPr>
              <w:spacing w:line="360" w:lineRule="auto"/>
              <w:jc w:val="both"/>
              <w:rPr>
                <w:rFonts w:ascii="Times New Roman" w:eastAsia="Times New Roman" w:hAnsi="Times New Roman" w:cs="Times New Roman"/>
              </w:rPr>
            </w:pPr>
          </w:p>
        </w:tc>
      </w:tr>
      <w:tr w:rsidR="005434AB" w:rsidRPr="00A96836" w14:paraId="48C911D8" w14:textId="77777777" w:rsidTr="00294BD7">
        <w:trPr>
          <w:trHeight w:val="330"/>
        </w:trPr>
        <w:tc>
          <w:tcPr>
            <w:tcW w:w="4640" w:type="dxa"/>
            <w:tcBorders>
              <w:top w:val="nil"/>
              <w:left w:val="nil"/>
              <w:bottom w:val="nil"/>
              <w:right w:val="nil"/>
            </w:tcBorders>
            <w:shd w:val="clear" w:color="auto" w:fill="auto"/>
            <w:vAlign w:val="center"/>
          </w:tcPr>
          <w:p w14:paraId="6BA935C7" w14:textId="4D15BC53" w:rsidR="005434AB" w:rsidRPr="00A96836" w:rsidRDefault="005434AB" w:rsidP="00A96836">
            <w:pPr>
              <w:spacing w:line="360" w:lineRule="auto"/>
              <w:ind w:firstLine="480"/>
              <w:jc w:val="both"/>
              <w:rPr>
                <w:rFonts w:ascii="Times New Roman" w:eastAsia="Gungsuh" w:hAnsi="Times New Roman" w:cs="Times New Roman"/>
              </w:rPr>
            </w:pPr>
            <w:r w:rsidRPr="00A96836">
              <w:rPr>
                <w:rFonts w:ascii="Times New Roman" w:eastAsia="Gungsuh" w:hAnsi="Times New Roman" w:cs="Times New Roman"/>
              </w:rPr>
              <w:t>≤60</w:t>
            </w:r>
          </w:p>
        </w:tc>
        <w:tc>
          <w:tcPr>
            <w:tcW w:w="1390" w:type="dxa"/>
            <w:tcBorders>
              <w:top w:val="nil"/>
              <w:left w:val="nil"/>
              <w:bottom w:val="nil"/>
              <w:right w:val="nil"/>
            </w:tcBorders>
            <w:shd w:val="clear" w:color="auto" w:fill="auto"/>
            <w:vAlign w:val="center"/>
          </w:tcPr>
          <w:p w14:paraId="55810230" w14:textId="55E6A1AE" w:rsidR="005434AB" w:rsidRPr="00A96836" w:rsidRDefault="005434AB" w:rsidP="00A96836">
            <w:pPr>
              <w:spacing w:line="360" w:lineRule="auto"/>
              <w:jc w:val="both"/>
              <w:rPr>
                <w:rFonts w:ascii="Times New Roman" w:eastAsia="Times New Roman" w:hAnsi="Times New Roman" w:cs="Times New Roman"/>
                <w:b/>
              </w:rPr>
            </w:pPr>
            <w:r w:rsidRPr="00A96836">
              <w:rPr>
                <w:rFonts w:ascii="Times New Roman" w:eastAsia="Times New Roman" w:hAnsi="Times New Roman" w:cs="Times New Roman"/>
              </w:rPr>
              <w:t>29</w:t>
            </w:r>
          </w:p>
        </w:tc>
        <w:tc>
          <w:tcPr>
            <w:tcW w:w="1403" w:type="dxa"/>
            <w:tcBorders>
              <w:top w:val="nil"/>
              <w:left w:val="nil"/>
              <w:bottom w:val="nil"/>
              <w:right w:val="nil"/>
            </w:tcBorders>
            <w:shd w:val="clear" w:color="auto" w:fill="auto"/>
            <w:vAlign w:val="center"/>
          </w:tcPr>
          <w:p w14:paraId="513DBEAF" w14:textId="0BD56EC6" w:rsidR="005434AB" w:rsidRPr="00A96836" w:rsidRDefault="005434AB"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rPr>
              <w:t>39.2</w:t>
            </w:r>
          </w:p>
        </w:tc>
      </w:tr>
      <w:tr w:rsidR="005434AB" w:rsidRPr="00A96836" w14:paraId="2A86BC0B" w14:textId="77777777" w:rsidTr="00294BD7">
        <w:trPr>
          <w:trHeight w:val="330"/>
        </w:trPr>
        <w:tc>
          <w:tcPr>
            <w:tcW w:w="4640" w:type="dxa"/>
            <w:tcBorders>
              <w:top w:val="nil"/>
              <w:left w:val="nil"/>
              <w:bottom w:val="nil"/>
              <w:right w:val="nil"/>
            </w:tcBorders>
            <w:shd w:val="clear" w:color="auto" w:fill="auto"/>
            <w:vAlign w:val="center"/>
          </w:tcPr>
          <w:p w14:paraId="64BE763D" w14:textId="16075E40" w:rsidR="005434AB" w:rsidRPr="00A96836" w:rsidRDefault="005434AB" w:rsidP="00A96836">
            <w:pPr>
              <w:spacing w:line="360" w:lineRule="auto"/>
              <w:ind w:firstLine="480"/>
              <w:jc w:val="both"/>
              <w:rPr>
                <w:rFonts w:ascii="Times New Roman" w:eastAsia="Gungsuh" w:hAnsi="Times New Roman" w:cs="Times New Roman"/>
              </w:rPr>
            </w:pPr>
            <w:r w:rsidRPr="00A96836">
              <w:rPr>
                <w:rFonts w:ascii="Times New Roman" w:eastAsia="Gungsuh" w:hAnsi="Times New Roman" w:cs="Times New Roman"/>
              </w:rPr>
              <w:t>&gt;60</w:t>
            </w:r>
          </w:p>
        </w:tc>
        <w:tc>
          <w:tcPr>
            <w:tcW w:w="1390" w:type="dxa"/>
            <w:tcBorders>
              <w:top w:val="nil"/>
              <w:left w:val="nil"/>
              <w:bottom w:val="nil"/>
              <w:right w:val="nil"/>
            </w:tcBorders>
            <w:shd w:val="clear" w:color="auto" w:fill="auto"/>
            <w:vAlign w:val="center"/>
          </w:tcPr>
          <w:p w14:paraId="79CAFC24" w14:textId="33B77932" w:rsidR="005434AB" w:rsidRPr="00A96836" w:rsidRDefault="005434AB" w:rsidP="00A96836">
            <w:pPr>
              <w:spacing w:line="360" w:lineRule="auto"/>
              <w:jc w:val="both"/>
              <w:rPr>
                <w:rFonts w:ascii="Times New Roman" w:eastAsia="Times New Roman" w:hAnsi="Times New Roman" w:cs="Times New Roman"/>
                <w:b/>
              </w:rPr>
            </w:pPr>
            <w:r w:rsidRPr="00A96836">
              <w:rPr>
                <w:rFonts w:ascii="Times New Roman" w:eastAsia="Times New Roman" w:hAnsi="Times New Roman" w:cs="Times New Roman"/>
              </w:rPr>
              <w:t>45</w:t>
            </w:r>
          </w:p>
        </w:tc>
        <w:tc>
          <w:tcPr>
            <w:tcW w:w="1403" w:type="dxa"/>
            <w:tcBorders>
              <w:top w:val="nil"/>
              <w:left w:val="nil"/>
              <w:bottom w:val="nil"/>
              <w:right w:val="nil"/>
            </w:tcBorders>
            <w:shd w:val="clear" w:color="auto" w:fill="auto"/>
            <w:vAlign w:val="center"/>
          </w:tcPr>
          <w:p w14:paraId="7B37E630" w14:textId="20B132A1" w:rsidR="005434AB" w:rsidRPr="00A96836" w:rsidRDefault="005434AB"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rPr>
              <w:t>60.8</w:t>
            </w:r>
          </w:p>
        </w:tc>
      </w:tr>
      <w:tr w:rsidR="005434AB" w:rsidRPr="00A96836" w14:paraId="7B15AE13" w14:textId="77777777" w:rsidTr="00294BD7">
        <w:trPr>
          <w:trHeight w:val="330"/>
        </w:trPr>
        <w:tc>
          <w:tcPr>
            <w:tcW w:w="4640" w:type="dxa"/>
            <w:tcBorders>
              <w:top w:val="nil"/>
              <w:left w:val="nil"/>
              <w:bottom w:val="nil"/>
              <w:right w:val="nil"/>
            </w:tcBorders>
            <w:shd w:val="clear" w:color="auto" w:fill="auto"/>
            <w:vAlign w:val="center"/>
          </w:tcPr>
          <w:p w14:paraId="0DE8CE89" w14:textId="48F01E8F" w:rsidR="005434AB" w:rsidRPr="00A96836" w:rsidRDefault="005434AB" w:rsidP="00A96836">
            <w:pPr>
              <w:spacing w:line="360" w:lineRule="auto"/>
              <w:ind w:firstLine="480"/>
              <w:jc w:val="both"/>
              <w:rPr>
                <w:rFonts w:ascii="Times New Roman" w:eastAsia="Times New Roman" w:hAnsi="Times New Roman" w:cs="Times New Roman"/>
                <w:i/>
                <w:iCs/>
              </w:rPr>
            </w:pPr>
            <w:r w:rsidRPr="00A96836">
              <w:rPr>
                <w:rFonts w:ascii="Times New Roman" w:eastAsia="Gungsuh" w:hAnsi="Times New Roman" w:cs="Times New Roman"/>
                <w:i/>
                <w:iCs/>
              </w:rPr>
              <w:t>Median (IQR)</w:t>
            </w:r>
          </w:p>
        </w:tc>
        <w:tc>
          <w:tcPr>
            <w:tcW w:w="1390" w:type="dxa"/>
            <w:tcBorders>
              <w:top w:val="nil"/>
              <w:left w:val="nil"/>
              <w:bottom w:val="nil"/>
              <w:right w:val="nil"/>
            </w:tcBorders>
            <w:shd w:val="clear" w:color="auto" w:fill="auto"/>
            <w:vAlign w:val="center"/>
          </w:tcPr>
          <w:p w14:paraId="37481DC2" w14:textId="3ED12625" w:rsidR="005434AB" w:rsidRPr="00A96836" w:rsidRDefault="005434AB" w:rsidP="00A96836">
            <w:pPr>
              <w:spacing w:line="360" w:lineRule="auto"/>
              <w:jc w:val="both"/>
              <w:rPr>
                <w:rFonts w:ascii="Times New Roman" w:eastAsia="Times New Roman" w:hAnsi="Times New Roman" w:cs="Times New Roman"/>
                <w:b/>
              </w:rPr>
            </w:pPr>
            <w:r w:rsidRPr="00A96836">
              <w:rPr>
                <w:rFonts w:ascii="Times New Roman" w:eastAsia="Times New Roman" w:hAnsi="Times New Roman" w:cs="Times New Roman"/>
                <w:i/>
              </w:rPr>
              <w:t>64(55-70)</w:t>
            </w:r>
          </w:p>
        </w:tc>
        <w:tc>
          <w:tcPr>
            <w:tcW w:w="1403" w:type="dxa"/>
            <w:tcBorders>
              <w:top w:val="nil"/>
              <w:left w:val="nil"/>
              <w:bottom w:val="nil"/>
              <w:right w:val="nil"/>
            </w:tcBorders>
            <w:shd w:val="clear" w:color="auto" w:fill="auto"/>
            <w:vAlign w:val="center"/>
          </w:tcPr>
          <w:p w14:paraId="64AA79F6" w14:textId="77777777" w:rsidR="005434AB" w:rsidRPr="00A96836" w:rsidRDefault="005434AB" w:rsidP="00A96836">
            <w:pPr>
              <w:spacing w:line="360" w:lineRule="auto"/>
              <w:jc w:val="both"/>
              <w:rPr>
                <w:rFonts w:ascii="Times New Roman" w:eastAsia="Times New Roman" w:hAnsi="Times New Roman" w:cs="Times New Roman"/>
              </w:rPr>
            </w:pPr>
          </w:p>
        </w:tc>
      </w:tr>
      <w:tr w:rsidR="005434AB" w:rsidRPr="00A96836" w14:paraId="026AAB16" w14:textId="77777777" w:rsidTr="00294BD7">
        <w:trPr>
          <w:trHeight w:val="330"/>
        </w:trPr>
        <w:tc>
          <w:tcPr>
            <w:tcW w:w="4640" w:type="dxa"/>
            <w:tcBorders>
              <w:top w:val="nil"/>
              <w:left w:val="nil"/>
              <w:bottom w:val="nil"/>
              <w:right w:val="nil"/>
            </w:tcBorders>
            <w:shd w:val="clear" w:color="auto" w:fill="auto"/>
            <w:vAlign w:val="center"/>
          </w:tcPr>
          <w:p w14:paraId="09C41BB2" w14:textId="78B13D3E" w:rsidR="005434AB" w:rsidRPr="00A96836" w:rsidRDefault="005434AB" w:rsidP="00A96836">
            <w:pPr>
              <w:spacing w:line="360" w:lineRule="auto"/>
              <w:jc w:val="both"/>
              <w:rPr>
                <w:rFonts w:ascii="Times New Roman" w:eastAsia="Times New Roman" w:hAnsi="Times New Roman" w:cs="Times New Roman"/>
                <w:b/>
                <w:bCs/>
              </w:rPr>
            </w:pPr>
            <w:r w:rsidRPr="00A96836">
              <w:rPr>
                <w:rFonts w:ascii="Times New Roman" w:eastAsia="Times New Roman" w:hAnsi="Times New Roman" w:cs="Times New Roman"/>
                <w:b/>
                <w:bCs/>
              </w:rPr>
              <w:t>Patient Gender</w:t>
            </w:r>
          </w:p>
        </w:tc>
        <w:tc>
          <w:tcPr>
            <w:tcW w:w="1390" w:type="dxa"/>
            <w:tcBorders>
              <w:top w:val="nil"/>
              <w:left w:val="nil"/>
              <w:bottom w:val="nil"/>
              <w:right w:val="nil"/>
            </w:tcBorders>
            <w:shd w:val="clear" w:color="auto" w:fill="auto"/>
            <w:vAlign w:val="center"/>
          </w:tcPr>
          <w:p w14:paraId="43673AD4" w14:textId="77777777" w:rsidR="005434AB" w:rsidRPr="00A96836" w:rsidRDefault="005434AB" w:rsidP="00A96836">
            <w:pPr>
              <w:spacing w:line="360" w:lineRule="auto"/>
              <w:jc w:val="both"/>
              <w:rPr>
                <w:rFonts w:ascii="Times New Roman" w:eastAsia="Times New Roman" w:hAnsi="Times New Roman" w:cs="Times New Roman"/>
                <w:b/>
              </w:rPr>
            </w:pPr>
          </w:p>
        </w:tc>
        <w:tc>
          <w:tcPr>
            <w:tcW w:w="1403" w:type="dxa"/>
            <w:tcBorders>
              <w:top w:val="nil"/>
              <w:left w:val="nil"/>
              <w:bottom w:val="nil"/>
              <w:right w:val="nil"/>
            </w:tcBorders>
            <w:shd w:val="clear" w:color="auto" w:fill="auto"/>
            <w:vAlign w:val="center"/>
          </w:tcPr>
          <w:p w14:paraId="6A48B593" w14:textId="77777777" w:rsidR="005434AB" w:rsidRPr="00A96836" w:rsidRDefault="005434AB" w:rsidP="00A96836">
            <w:pPr>
              <w:spacing w:line="360" w:lineRule="auto"/>
              <w:jc w:val="both"/>
              <w:rPr>
                <w:rFonts w:ascii="Times New Roman" w:eastAsia="Times New Roman" w:hAnsi="Times New Roman" w:cs="Times New Roman"/>
              </w:rPr>
            </w:pPr>
          </w:p>
        </w:tc>
      </w:tr>
      <w:tr w:rsidR="005434AB" w:rsidRPr="00A96836" w14:paraId="48FF7327" w14:textId="77777777" w:rsidTr="00294BD7">
        <w:trPr>
          <w:trHeight w:val="330"/>
        </w:trPr>
        <w:tc>
          <w:tcPr>
            <w:tcW w:w="4640" w:type="dxa"/>
            <w:tcBorders>
              <w:top w:val="nil"/>
              <w:left w:val="nil"/>
              <w:bottom w:val="nil"/>
              <w:right w:val="nil"/>
            </w:tcBorders>
            <w:shd w:val="clear" w:color="auto" w:fill="auto"/>
            <w:vAlign w:val="center"/>
          </w:tcPr>
          <w:p w14:paraId="513226EF" w14:textId="428771A1" w:rsidR="005434AB" w:rsidRPr="00A96836" w:rsidRDefault="005434AB" w:rsidP="00A96836">
            <w:pPr>
              <w:spacing w:line="360" w:lineRule="auto"/>
              <w:ind w:firstLine="480"/>
              <w:jc w:val="both"/>
              <w:rPr>
                <w:rFonts w:ascii="Times New Roman" w:eastAsia="Gungsuh" w:hAnsi="Times New Roman" w:cs="Times New Roman"/>
              </w:rPr>
            </w:pPr>
            <w:r w:rsidRPr="00A96836">
              <w:rPr>
                <w:rFonts w:ascii="Times New Roman" w:eastAsia="Gungsuh" w:hAnsi="Times New Roman" w:cs="Times New Roman"/>
              </w:rPr>
              <w:t>Male</w:t>
            </w:r>
          </w:p>
        </w:tc>
        <w:tc>
          <w:tcPr>
            <w:tcW w:w="1390" w:type="dxa"/>
            <w:tcBorders>
              <w:top w:val="nil"/>
              <w:left w:val="nil"/>
              <w:bottom w:val="nil"/>
              <w:right w:val="nil"/>
            </w:tcBorders>
            <w:shd w:val="clear" w:color="auto" w:fill="auto"/>
            <w:vAlign w:val="center"/>
          </w:tcPr>
          <w:p w14:paraId="0C0C84A8" w14:textId="611EFBF0" w:rsidR="005434AB" w:rsidRPr="00A96836" w:rsidRDefault="005434AB" w:rsidP="00A96836">
            <w:pPr>
              <w:spacing w:line="360" w:lineRule="auto"/>
              <w:jc w:val="both"/>
              <w:rPr>
                <w:rFonts w:ascii="Times New Roman" w:eastAsia="Times New Roman" w:hAnsi="Times New Roman" w:cs="Times New Roman"/>
                <w:b/>
              </w:rPr>
            </w:pPr>
            <w:r w:rsidRPr="00A96836">
              <w:rPr>
                <w:rFonts w:ascii="Times New Roman" w:eastAsia="Times New Roman" w:hAnsi="Times New Roman" w:cs="Times New Roman"/>
              </w:rPr>
              <w:t>39</w:t>
            </w:r>
          </w:p>
        </w:tc>
        <w:tc>
          <w:tcPr>
            <w:tcW w:w="1403" w:type="dxa"/>
            <w:tcBorders>
              <w:top w:val="nil"/>
              <w:left w:val="nil"/>
              <w:bottom w:val="nil"/>
              <w:right w:val="nil"/>
            </w:tcBorders>
            <w:shd w:val="clear" w:color="auto" w:fill="auto"/>
            <w:vAlign w:val="center"/>
          </w:tcPr>
          <w:p w14:paraId="5749E5BD" w14:textId="7CB406D7" w:rsidR="005434AB" w:rsidRPr="00A96836" w:rsidRDefault="005434AB"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rPr>
              <w:t>52.7</w:t>
            </w:r>
          </w:p>
        </w:tc>
      </w:tr>
      <w:tr w:rsidR="005434AB" w:rsidRPr="00A96836" w14:paraId="630145E9" w14:textId="77777777" w:rsidTr="00294BD7">
        <w:trPr>
          <w:trHeight w:val="330"/>
        </w:trPr>
        <w:tc>
          <w:tcPr>
            <w:tcW w:w="4640" w:type="dxa"/>
            <w:tcBorders>
              <w:top w:val="nil"/>
              <w:left w:val="nil"/>
              <w:bottom w:val="nil"/>
              <w:right w:val="nil"/>
            </w:tcBorders>
            <w:shd w:val="clear" w:color="auto" w:fill="auto"/>
            <w:vAlign w:val="center"/>
          </w:tcPr>
          <w:p w14:paraId="0AF183CD" w14:textId="21777273" w:rsidR="005434AB" w:rsidRPr="00A96836" w:rsidRDefault="005434AB" w:rsidP="00A96836">
            <w:pPr>
              <w:spacing w:line="360" w:lineRule="auto"/>
              <w:ind w:firstLine="480"/>
              <w:jc w:val="both"/>
              <w:rPr>
                <w:rFonts w:ascii="Times New Roman" w:eastAsia="Gungsuh" w:hAnsi="Times New Roman" w:cs="Times New Roman"/>
              </w:rPr>
            </w:pPr>
            <w:r w:rsidRPr="00A96836">
              <w:rPr>
                <w:rFonts w:ascii="Times New Roman" w:eastAsia="Gungsuh" w:hAnsi="Times New Roman" w:cs="Times New Roman"/>
              </w:rPr>
              <w:t>Female</w:t>
            </w:r>
          </w:p>
        </w:tc>
        <w:tc>
          <w:tcPr>
            <w:tcW w:w="1390" w:type="dxa"/>
            <w:tcBorders>
              <w:top w:val="nil"/>
              <w:left w:val="nil"/>
              <w:bottom w:val="nil"/>
              <w:right w:val="nil"/>
            </w:tcBorders>
            <w:shd w:val="clear" w:color="auto" w:fill="auto"/>
            <w:vAlign w:val="center"/>
          </w:tcPr>
          <w:p w14:paraId="6E5A00C6" w14:textId="7E6E617E" w:rsidR="005434AB" w:rsidRPr="00A96836" w:rsidRDefault="005434AB" w:rsidP="00A96836">
            <w:pPr>
              <w:spacing w:line="360" w:lineRule="auto"/>
              <w:jc w:val="both"/>
              <w:rPr>
                <w:rFonts w:ascii="Times New Roman" w:eastAsia="Times New Roman" w:hAnsi="Times New Roman" w:cs="Times New Roman"/>
                <w:b/>
              </w:rPr>
            </w:pPr>
            <w:r w:rsidRPr="00A96836">
              <w:rPr>
                <w:rFonts w:ascii="Times New Roman" w:eastAsia="Times New Roman" w:hAnsi="Times New Roman" w:cs="Times New Roman"/>
              </w:rPr>
              <w:t>35</w:t>
            </w:r>
          </w:p>
        </w:tc>
        <w:tc>
          <w:tcPr>
            <w:tcW w:w="1403" w:type="dxa"/>
            <w:tcBorders>
              <w:top w:val="nil"/>
              <w:left w:val="nil"/>
              <w:bottom w:val="nil"/>
              <w:right w:val="nil"/>
            </w:tcBorders>
            <w:shd w:val="clear" w:color="auto" w:fill="auto"/>
            <w:vAlign w:val="center"/>
          </w:tcPr>
          <w:p w14:paraId="0DDC99B4" w14:textId="6B9F160F" w:rsidR="005434AB" w:rsidRPr="00A96836" w:rsidRDefault="005434AB"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rPr>
              <w:t>47.3</w:t>
            </w:r>
          </w:p>
        </w:tc>
      </w:tr>
      <w:tr w:rsidR="003B0AE8" w:rsidRPr="00A96836" w14:paraId="08CB894F" w14:textId="77777777" w:rsidTr="00294BD7">
        <w:trPr>
          <w:trHeight w:val="330"/>
        </w:trPr>
        <w:tc>
          <w:tcPr>
            <w:tcW w:w="4640" w:type="dxa"/>
            <w:tcBorders>
              <w:top w:val="nil"/>
              <w:left w:val="nil"/>
              <w:bottom w:val="nil"/>
              <w:right w:val="nil"/>
            </w:tcBorders>
            <w:shd w:val="clear" w:color="auto" w:fill="auto"/>
            <w:vAlign w:val="center"/>
          </w:tcPr>
          <w:p w14:paraId="180B3E10" w14:textId="7019F52B" w:rsidR="003B0AE8" w:rsidRPr="00A96836" w:rsidRDefault="003B0AE8" w:rsidP="00A96836">
            <w:pPr>
              <w:spacing w:line="360" w:lineRule="auto"/>
              <w:jc w:val="both"/>
              <w:rPr>
                <w:rFonts w:ascii="Times New Roman" w:eastAsia="Times New Roman" w:hAnsi="Times New Roman" w:cs="Times New Roman"/>
                <w:b/>
                <w:bCs/>
              </w:rPr>
            </w:pPr>
            <w:r w:rsidRPr="00A96836">
              <w:rPr>
                <w:rFonts w:ascii="Times New Roman" w:eastAsia="Times New Roman" w:hAnsi="Times New Roman" w:cs="Times New Roman"/>
                <w:b/>
                <w:bCs/>
              </w:rPr>
              <w:t>Initial IOP</w:t>
            </w:r>
          </w:p>
        </w:tc>
        <w:tc>
          <w:tcPr>
            <w:tcW w:w="1390" w:type="dxa"/>
            <w:tcBorders>
              <w:top w:val="nil"/>
              <w:left w:val="nil"/>
              <w:bottom w:val="nil"/>
              <w:right w:val="nil"/>
            </w:tcBorders>
            <w:shd w:val="clear" w:color="auto" w:fill="auto"/>
            <w:vAlign w:val="center"/>
          </w:tcPr>
          <w:p w14:paraId="02589A46" w14:textId="77777777" w:rsidR="003B0AE8" w:rsidRPr="00A96836" w:rsidRDefault="003B0AE8" w:rsidP="00A96836">
            <w:pPr>
              <w:spacing w:line="360" w:lineRule="auto"/>
              <w:jc w:val="both"/>
              <w:rPr>
                <w:rFonts w:ascii="Times New Roman" w:eastAsia="Times New Roman" w:hAnsi="Times New Roman" w:cs="Times New Roman"/>
                <w:b/>
              </w:rPr>
            </w:pPr>
          </w:p>
        </w:tc>
        <w:tc>
          <w:tcPr>
            <w:tcW w:w="1403" w:type="dxa"/>
            <w:tcBorders>
              <w:top w:val="nil"/>
              <w:left w:val="nil"/>
              <w:bottom w:val="nil"/>
              <w:right w:val="nil"/>
            </w:tcBorders>
            <w:shd w:val="clear" w:color="auto" w:fill="auto"/>
            <w:vAlign w:val="center"/>
          </w:tcPr>
          <w:p w14:paraId="1C231439" w14:textId="77777777" w:rsidR="003B0AE8" w:rsidRPr="00A96836" w:rsidRDefault="003B0AE8" w:rsidP="00A96836">
            <w:pPr>
              <w:spacing w:line="360" w:lineRule="auto"/>
              <w:jc w:val="both"/>
              <w:rPr>
                <w:rFonts w:ascii="Times New Roman" w:eastAsia="Times New Roman" w:hAnsi="Times New Roman" w:cs="Times New Roman"/>
              </w:rPr>
            </w:pPr>
          </w:p>
        </w:tc>
      </w:tr>
      <w:tr w:rsidR="003B0AE8" w:rsidRPr="00A96836" w14:paraId="5F6E9A85" w14:textId="77777777" w:rsidTr="00294BD7">
        <w:trPr>
          <w:trHeight w:val="330"/>
        </w:trPr>
        <w:tc>
          <w:tcPr>
            <w:tcW w:w="4640" w:type="dxa"/>
            <w:tcBorders>
              <w:top w:val="nil"/>
              <w:left w:val="nil"/>
              <w:bottom w:val="nil"/>
              <w:right w:val="nil"/>
            </w:tcBorders>
            <w:shd w:val="clear" w:color="auto" w:fill="auto"/>
            <w:vAlign w:val="center"/>
          </w:tcPr>
          <w:p w14:paraId="035F4178" w14:textId="2EDF6351" w:rsidR="003B0AE8" w:rsidRPr="00A96836" w:rsidRDefault="003B0AE8" w:rsidP="00A96836">
            <w:pPr>
              <w:spacing w:line="360" w:lineRule="auto"/>
              <w:ind w:firstLine="480"/>
              <w:jc w:val="both"/>
              <w:rPr>
                <w:rFonts w:ascii="Times New Roman" w:eastAsia="Times New Roman" w:hAnsi="Times New Roman" w:cs="Times New Roman"/>
                <w:b/>
                <w:bCs/>
                <w:i/>
                <w:iCs/>
              </w:rPr>
            </w:pPr>
            <w:r w:rsidRPr="00A96836">
              <w:rPr>
                <w:rFonts w:ascii="Times New Roman" w:eastAsia="Gungsuh" w:hAnsi="Times New Roman" w:cs="Times New Roman"/>
                <w:i/>
                <w:iCs/>
              </w:rPr>
              <w:t>Median (IQR)</w:t>
            </w:r>
          </w:p>
        </w:tc>
        <w:tc>
          <w:tcPr>
            <w:tcW w:w="1390" w:type="dxa"/>
            <w:tcBorders>
              <w:top w:val="nil"/>
              <w:left w:val="nil"/>
              <w:bottom w:val="nil"/>
              <w:right w:val="nil"/>
            </w:tcBorders>
            <w:shd w:val="clear" w:color="auto" w:fill="auto"/>
            <w:vAlign w:val="center"/>
          </w:tcPr>
          <w:p w14:paraId="785F3AAF" w14:textId="4AF1D518" w:rsidR="003B0AE8" w:rsidRPr="00A96836" w:rsidRDefault="003B0AE8" w:rsidP="00A96836">
            <w:pPr>
              <w:spacing w:line="360" w:lineRule="auto"/>
              <w:jc w:val="both"/>
              <w:rPr>
                <w:rFonts w:ascii="Times New Roman" w:eastAsia="Times New Roman" w:hAnsi="Times New Roman" w:cs="Times New Roman"/>
                <w:b/>
              </w:rPr>
            </w:pPr>
            <w:r w:rsidRPr="00A96836">
              <w:rPr>
                <w:rFonts w:ascii="Times New Roman" w:eastAsia="Times New Roman" w:hAnsi="Times New Roman" w:cs="Times New Roman"/>
                <w:i/>
              </w:rPr>
              <w:t>46.5(39-56)</w:t>
            </w:r>
          </w:p>
        </w:tc>
        <w:tc>
          <w:tcPr>
            <w:tcW w:w="1403" w:type="dxa"/>
            <w:tcBorders>
              <w:top w:val="nil"/>
              <w:left w:val="nil"/>
              <w:bottom w:val="nil"/>
              <w:right w:val="nil"/>
            </w:tcBorders>
            <w:shd w:val="clear" w:color="auto" w:fill="auto"/>
            <w:vAlign w:val="center"/>
          </w:tcPr>
          <w:p w14:paraId="785B3E36" w14:textId="77777777" w:rsidR="003B0AE8" w:rsidRPr="00A96836" w:rsidRDefault="003B0AE8" w:rsidP="00A96836">
            <w:pPr>
              <w:spacing w:line="360" w:lineRule="auto"/>
              <w:jc w:val="both"/>
              <w:rPr>
                <w:rFonts w:ascii="Times New Roman" w:eastAsia="Times New Roman" w:hAnsi="Times New Roman" w:cs="Times New Roman"/>
              </w:rPr>
            </w:pPr>
          </w:p>
        </w:tc>
      </w:tr>
      <w:tr w:rsidR="003B0AE8" w:rsidRPr="00A96836" w14:paraId="13200A5A" w14:textId="77777777" w:rsidTr="00294BD7">
        <w:trPr>
          <w:trHeight w:val="330"/>
        </w:trPr>
        <w:tc>
          <w:tcPr>
            <w:tcW w:w="4640" w:type="dxa"/>
            <w:tcBorders>
              <w:top w:val="nil"/>
              <w:left w:val="nil"/>
              <w:bottom w:val="nil"/>
              <w:right w:val="nil"/>
            </w:tcBorders>
            <w:shd w:val="clear" w:color="auto" w:fill="auto"/>
            <w:vAlign w:val="center"/>
          </w:tcPr>
          <w:p w14:paraId="5F99EF83" w14:textId="0C8F54E5" w:rsidR="003B0AE8" w:rsidRPr="00A96836" w:rsidRDefault="003B0AE8" w:rsidP="00A96836">
            <w:pPr>
              <w:spacing w:line="360" w:lineRule="auto"/>
              <w:jc w:val="both"/>
              <w:rPr>
                <w:rFonts w:ascii="Times New Roman" w:eastAsia="Times New Roman" w:hAnsi="Times New Roman" w:cs="Times New Roman"/>
                <w:b/>
                <w:bCs/>
              </w:rPr>
            </w:pPr>
            <w:r w:rsidRPr="00A96836">
              <w:rPr>
                <w:rFonts w:ascii="Times New Roman" w:eastAsia="Times New Roman" w:hAnsi="Times New Roman" w:cs="Times New Roman"/>
              </w:rPr>
              <w:t xml:space="preserve"> </w:t>
            </w:r>
            <w:r w:rsidRPr="00A96836">
              <w:rPr>
                <w:rFonts w:ascii="Times New Roman" w:eastAsia="Times New Roman" w:hAnsi="Times New Roman" w:cs="Times New Roman"/>
                <w:b/>
                <w:bCs/>
              </w:rPr>
              <w:t>Vertical CDR</w:t>
            </w:r>
          </w:p>
        </w:tc>
        <w:tc>
          <w:tcPr>
            <w:tcW w:w="1390" w:type="dxa"/>
            <w:tcBorders>
              <w:top w:val="nil"/>
              <w:left w:val="nil"/>
              <w:bottom w:val="nil"/>
              <w:right w:val="nil"/>
            </w:tcBorders>
            <w:shd w:val="clear" w:color="auto" w:fill="auto"/>
            <w:vAlign w:val="center"/>
          </w:tcPr>
          <w:p w14:paraId="2F866A74" w14:textId="77777777" w:rsidR="003B0AE8" w:rsidRPr="00A96836" w:rsidRDefault="003B0AE8" w:rsidP="00A96836">
            <w:pPr>
              <w:spacing w:line="360" w:lineRule="auto"/>
              <w:jc w:val="both"/>
              <w:rPr>
                <w:rFonts w:ascii="Times New Roman" w:eastAsia="Times New Roman" w:hAnsi="Times New Roman" w:cs="Times New Roman"/>
                <w:b/>
              </w:rPr>
            </w:pPr>
          </w:p>
        </w:tc>
        <w:tc>
          <w:tcPr>
            <w:tcW w:w="1403" w:type="dxa"/>
            <w:tcBorders>
              <w:top w:val="nil"/>
              <w:left w:val="nil"/>
              <w:bottom w:val="nil"/>
              <w:right w:val="nil"/>
            </w:tcBorders>
            <w:shd w:val="clear" w:color="auto" w:fill="auto"/>
            <w:vAlign w:val="center"/>
          </w:tcPr>
          <w:p w14:paraId="52AEB344" w14:textId="77777777" w:rsidR="003B0AE8" w:rsidRPr="00A96836" w:rsidRDefault="003B0AE8" w:rsidP="00A96836">
            <w:pPr>
              <w:spacing w:line="360" w:lineRule="auto"/>
              <w:jc w:val="both"/>
              <w:rPr>
                <w:rFonts w:ascii="Times New Roman" w:eastAsia="Times New Roman" w:hAnsi="Times New Roman" w:cs="Times New Roman"/>
              </w:rPr>
            </w:pPr>
          </w:p>
        </w:tc>
      </w:tr>
      <w:tr w:rsidR="003B0AE8" w:rsidRPr="00A96836" w14:paraId="2720CAC2" w14:textId="77777777" w:rsidTr="00294BD7">
        <w:trPr>
          <w:trHeight w:val="330"/>
        </w:trPr>
        <w:tc>
          <w:tcPr>
            <w:tcW w:w="4640" w:type="dxa"/>
            <w:tcBorders>
              <w:top w:val="nil"/>
              <w:left w:val="nil"/>
              <w:bottom w:val="nil"/>
              <w:right w:val="nil"/>
            </w:tcBorders>
            <w:shd w:val="clear" w:color="auto" w:fill="auto"/>
            <w:vAlign w:val="center"/>
          </w:tcPr>
          <w:p w14:paraId="4F39DF95" w14:textId="71B88990" w:rsidR="003B0AE8" w:rsidRPr="00A96836" w:rsidRDefault="003B0AE8" w:rsidP="00A96836">
            <w:pPr>
              <w:spacing w:line="360" w:lineRule="auto"/>
              <w:ind w:firstLine="480"/>
              <w:jc w:val="both"/>
              <w:rPr>
                <w:rFonts w:ascii="Times New Roman" w:eastAsia="Times New Roman" w:hAnsi="Times New Roman" w:cs="Times New Roman"/>
                <w:b/>
                <w:bCs/>
              </w:rPr>
            </w:pPr>
            <w:r w:rsidRPr="00A96836">
              <w:rPr>
                <w:rFonts w:ascii="Times New Roman" w:eastAsia="Gungsuh" w:hAnsi="Times New Roman" w:cs="Times New Roman"/>
                <w:i/>
                <w:iCs/>
              </w:rPr>
              <w:t>Median (IQR)</w:t>
            </w:r>
          </w:p>
        </w:tc>
        <w:tc>
          <w:tcPr>
            <w:tcW w:w="1390" w:type="dxa"/>
            <w:tcBorders>
              <w:top w:val="nil"/>
              <w:left w:val="nil"/>
              <w:bottom w:val="nil"/>
              <w:right w:val="nil"/>
            </w:tcBorders>
            <w:shd w:val="clear" w:color="auto" w:fill="auto"/>
            <w:vAlign w:val="center"/>
          </w:tcPr>
          <w:p w14:paraId="7A433C81" w14:textId="4F82583E" w:rsidR="003B0AE8" w:rsidRPr="00A96836" w:rsidRDefault="003B0AE8" w:rsidP="00A96836">
            <w:pPr>
              <w:spacing w:line="360" w:lineRule="auto"/>
              <w:jc w:val="both"/>
              <w:rPr>
                <w:rFonts w:ascii="Times New Roman" w:eastAsia="Times New Roman" w:hAnsi="Times New Roman" w:cs="Times New Roman"/>
                <w:b/>
              </w:rPr>
            </w:pPr>
            <w:r w:rsidRPr="00A96836">
              <w:rPr>
                <w:rFonts w:ascii="Times New Roman" w:eastAsia="Times New Roman" w:hAnsi="Times New Roman" w:cs="Times New Roman"/>
                <w:i/>
              </w:rPr>
              <w:t>9(8-10)</w:t>
            </w:r>
          </w:p>
        </w:tc>
        <w:tc>
          <w:tcPr>
            <w:tcW w:w="1403" w:type="dxa"/>
            <w:tcBorders>
              <w:top w:val="nil"/>
              <w:left w:val="nil"/>
              <w:bottom w:val="nil"/>
              <w:right w:val="nil"/>
            </w:tcBorders>
            <w:shd w:val="clear" w:color="auto" w:fill="auto"/>
            <w:vAlign w:val="center"/>
          </w:tcPr>
          <w:p w14:paraId="007517DB" w14:textId="77777777" w:rsidR="003B0AE8" w:rsidRPr="00A96836" w:rsidRDefault="003B0AE8" w:rsidP="00A96836">
            <w:pPr>
              <w:spacing w:line="360" w:lineRule="auto"/>
              <w:jc w:val="both"/>
              <w:rPr>
                <w:rFonts w:ascii="Times New Roman" w:eastAsia="Times New Roman" w:hAnsi="Times New Roman" w:cs="Times New Roman"/>
              </w:rPr>
            </w:pPr>
          </w:p>
        </w:tc>
      </w:tr>
      <w:tr w:rsidR="003B0AE8" w:rsidRPr="00A96836" w14:paraId="5688D4DD" w14:textId="77777777" w:rsidTr="00294BD7">
        <w:trPr>
          <w:trHeight w:val="330"/>
        </w:trPr>
        <w:tc>
          <w:tcPr>
            <w:tcW w:w="4640" w:type="dxa"/>
            <w:tcBorders>
              <w:top w:val="nil"/>
              <w:left w:val="nil"/>
              <w:bottom w:val="nil"/>
              <w:right w:val="nil"/>
            </w:tcBorders>
            <w:shd w:val="clear" w:color="auto" w:fill="auto"/>
            <w:vAlign w:val="center"/>
          </w:tcPr>
          <w:p w14:paraId="42E3EC56" w14:textId="3E58CF0C" w:rsidR="003B0AE8" w:rsidRPr="00A96836" w:rsidRDefault="003B0AE8"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b/>
                <w:bCs/>
              </w:rPr>
              <w:t>Participant’s VA</w:t>
            </w:r>
          </w:p>
        </w:tc>
        <w:tc>
          <w:tcPr>
            <w:tcW w:w="1390" w:type="dxa"/>
            <w:tcBorders>
              <w:top w:val="nil"/>
              <w:left w:val="nil"/>
              <w:bottom w:val="nil"/>
              <w:right w:val="nil"/>
            </w:tcBorders>
            <w:shd w:val="clear" w:color="auto" w:fill="auto"/>
            <w:vAlign w:val="center"/>
          </w:tcPr>
          <w:p w14:paraId="3CEE8046" w14:textId="77777777" w:rsidR="003B0AE8" w:rsidRPr="00A96836" w:rsidRDefault="003B0AE8" w:rsidP="00A96836">
            <w:pPr>
              <w:spacing w:line="360" w:lineRule="auto"/>
              <w:jc w:val="both"/>
              <w:rPr>
                <w:rFonts w:ascii="Times New Roman" w:eastAsia="Times New Roman" w:hAnsi="Times New Roman" w:cs="Times New Roman"/>
                <w:b/>
              </w:rPr>
            </w:pPr>
          </w:p>
        </w:tc>
        <w:tc>
          <w:tcPr>
            <w:tcW w:w="1403" w:type="dxa"/>
            <w:tcBorders>
              <w:top w:val="nil"/>
              <w:left w:val="nil"/>
              <w:bottom w:val="nil"/>
              <w:right w:val="nil"/>
            </w:tcBorders>
            <w:shd w:val="clear" w:color="auto" w:fill="auto"/>
            <w:vAlign w:val="center"/>
          </w:tcPr>
          <w:p w14:paraId="24BBDFE3" w14:textId="77777777" w:rsidR="003B0AE8" w:rsidRPr="00A96836" w:rsidRDefault="003B0AE8" w:rsidP="00A96836">
            <w:pPr>
              <w:spacing w:line="360" w:lineRule="auto"/>
              <w:jc w:val="both"/>
              <w:rPr>
                <w:rFonts w:ascii="Times New Roman" w:eastAsia="Times New Roman" w:hAnsi="Times New Roman" w:cs="Times New Roman"/>
              </w:rPr>
            </w:pPr>
          </w:p>
        </w:tc>
      </w:tr>
      <w:tr w:rsidR="003B0AE8" w:rsidRPr="00A96836" w14:paraId="2D2EFA47" w14:textId="77777777" w:rsidTr="00294BD7">
        <w:trPr>
          <w:trHeight w:val="330"/>
        </w:trPr>
        <w:tc>
          <w:tcPr>
            <w:tcW w:w="4640" w:type="dxa"/>
            <w:tcBorders>
              <w:top w:val="nil"/>
              <w:left w:val="nil"/>
              <w:bottom w:val="nil"/>
              <w:right w:val="nil"/>
            </w:tcBorders>
            <w:shd w:val="clear" w:color="auto" w:fill="auto"/>
            <w:vAlign w:val="center"/>
          </w:tcPr>
          <w:p w14:paraId="5A5B1479" w14:textId="720B111C" w:rsidR="003B0AE8" w:rsidRPr="00A96836" w:rsidRDefault="003B0AE8" w:rsidP="00A96836">
            <w:pPr>
              <w:spacing w:line="360" w:lineRule="auto"/>
              <w:ind w:firstLine="480"/>
              <w:jc w:val="both"/>
              <w:rPr>
                <w:rFonts w:ascii="Times New Roman" w:eastAsia="Gungsuh" w:hAnsi="Times New Roman" w:cs="Times New Roman"/>
              </w:rPr>
            </w:pPr>
            <w:r w:rsidRPr="00A96836">
              <w:rPr>
                <w:rFonts w:ascii="Times New Roman" w:eastAsia="Gungsuh" w:hAnsi="Times New Roman" w:cs="Times New Roman"/>
              </w:rPr>
              <w:t>Normal vision</w:t>
            </w:r>
          </w:p>
        </w:tc>
        <w:tc>
          <w:tcPr>
            <w:tcW w:w="1390" w:type="dxa"/>
            <w:tcBorders>
              <w:top w:val="nil"/>
              <w:left w:val="nil"/>
              <w:bottom w:val="nil"/>
              <w:right w:val="nil"/>
            </w:tcBorders>
            <w:shd w:val="clear" w:color="auto" w:fill="auto"/>
            <w:vAlign w:val="center"/>
          </w:tcPr>
          <w:p w14:paraId="732D5F43" w14:textId="3B57A24E" w:rsidR="003B0AE8" w:rsidRPr="00A96836" w:rsidRDefault="003B0AE8" w:rsidP="00A96836">
            <w:pPr>
              <w:spacing w:line="360" w:lineRule="auto"/>
              <w:jc w:val="both"/>
              <w:rPr>
                <w:rFonts w:ascii="Times New Roman" w:eastAsia="Times New Roman" w:hAnsi="Times New Roman" w:cs="Times New Roman"/>
                <w:bCs/>
              </w:rPr>
            </w:pPr>
            <w:r w:rsidRPr="00A96836">
              <w:rPr>
                <w:rFonts w:ascii="Times New Roman" w:eastAsia="Times New Roman" w:hAnsi="Times New Roman" w:cs="Times New Roman"/>
                <w:bCs/>
              </w:rPr>
              <w:t>4</w:t>
            </w:r>
          </w:p>
        </w:tc>
        <w:tc>
          <w:tcPr>
            <w:tcW w:w="1403" w:type="dxa"/>
            <w:tcBorders>
              <w:top w:val="nil"/>
              <w:left w:val="nil"/>
              <w:bottom w:val="nil"/>
              <w:right w:val="nil"/>
            </w:tcBorders>
            <w:shd w:val="clear" w:color="auto" w:fill="auto"/>
            <w:vAlign w:val="center"/>
          </w:tcPr>
          <w:p w14:paraId="2EAC9077" w14:textId="2C8312BE" w:rsidR="003B0AE8" w:rsidRPr="00A96836" w:rsidRDefault="003B0AE8"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rPr>
              <w:t>5.4</w:t>
            </w:r>
          </w:p>
        </w:tc>
      </w:tr>
      <w:tr w:rsidR="003B0AE8" w:rsidRPr="00A96836" w14:paraId="5F5FD2A6" w14:textId="77777777" w:rsidTr="00294BD7">
        <w:trPr>
          <w:trHeight w:val="330"/>
        </w:trPr>
        <w:tc>
          <w:tcPr>
            <w:tcW w:w="4640" w:type="dxa"/>
            <w:tcBorders>
              <w:top w:val="nil"/>
              <w:left w:val="nil"/>
              <w:bottom w:val="nil"/>
              <w:right w:val="nil"/>
            </w:tcBorders>
            <w:shd w:val="clear" w:color="auto" w:fill="auto"/>
            <w:vAlign w:val="center"/>
          </w:tcPr>
          <w:p w14:paraId="7E442F7C" w14:textId="4AFA1471" w:rsidR="003B0AE8" w:rsidRPr="00A96836" w:rsidRDefault="003B0AE8" w:rsidP="00A96836">
            <w:pPr>
              <w:spacing w:line="360" w:lineRule="auto"/>
              <w:ind w:firstLine="480"/>
              <w:jc w:val="both"/>
              <w:rPr>
                <w:rFonts w:ascii="Times New Roman" w:eastAsia="Gungsuh" w:hAnsi="Times New Roman" w:cs="Times New Roman"/>
              </w:rPr>
            </w:pPr>
            <w:r w:rsidRPr="00A96836">
              <w:rPr>
                <w:rFonts w:ascii="Times New Roman" w:eastAsia="Gungsuh" w:hAnsi="Times New Roman" w:cs="Times New Roman"/>
              </w:rPr>
              <w:t>Mild VI</w:t>
            </w:r>
          </w:p>
        </w:tc>
        <w:tc>
          <w:tcPr>
            <w:tcW w:w="1390" w:type="dxa"/>
            <w:tcBorders>
              <w:top w:val="nil"/>
              <w:left w:val="nil"/>
              <w:bottom w:val="nil"/>
              <w:right w:val="nil"/>
            </w:tcBorders>
            <w:shd w:val="clear" w:color="auto" w:fill="auto"/>
            <w:vAlign w:val="center"/>
          </w:tcPr>
          <w:p w14:paraId="18DEA302" w14:textId="3B72E076" w:rsidR="003B0AE8" w:rsidRPr="00A96836" w:rsidRDefault="003B0AE8" w:rsidP="00A96836">
            <w:pPr>
              <w:spacing w:line="360" w:lineRule="auto"/>
              <w:jc w:val="both"/>
              <w:rPr>
                <w:rFonts w:ascii="Times New Roman" w:eastAsia="Times New Roman" w:hAnsi="Times New Roman" w:cs="Times New Roman"/>
                <w:bCs/>
              </w:rPr>
            </w:pPr>
            <w:r w:rsidRPr="00A96836">
              <w:rPr>
                <w:rFonts w:ascii="Times New Roman" w:eastAsia="Times New Roman" w:hAnsi="Times New Roman" w:cs="Times New Roman"/>
                <w:bCs/>
              </w:rPr>
              <w:t>1</w:t>
            </w:r>
          </w:p>
        </w:tc>
        <w:tc>
          <w:tcPr>
            <w:tcW w:w="1403" w:type="dxa"/>
            <w:tcBorders>
              <w:top w:val="nil"/>
              <w:left w:val="nil"/>
              <w:bottom w:val="nil"/>
              <w:right w:val="nil"/>
            </w:tcBorders>
            <w:shd w:val="clear" w:color="auto" w:fill="auto"/>
            <w:vAlign w:val="center"/>
          </w:tcPr>
          <w:p w14:paraId="30203A0D" w14:textId="3C33313E" w:rsidR="003B0AE8" w:rsidRPr="00A96836" w:rsidRDefault="003B0AE8"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rPr>
              <w:t>1.3</w:t>
            </w:r>
          </w:p>
        </w:tc>
      </w:tr>
      <w:tr w:rsidR="003B0AE8" w:rsidRPr="00A96836" w14:paraId="0C44EE56" w14:textId="77777777" w:rsidTr="00294BD7">
        <w:trPr>
          <w:trHeight w:val="330"/>
        </w:trPr>
        <w:tc>
          <w:tcPr>
            <w:tcW w:w="4640" w:type="dxa"/>
            <w:tcBorders>
              <w:top w:val="nil"/>
              <w:left w:val="nil"/>
              <w:bottom w:val="nil"/>
              <w:right w:val="nil"/>
            </w:tcBorders>
            <w:shd w:val="clear" w:color="auto" w:fill="auto"/>
            <w:vAlign w:val="center"/>
          </w:tcPr>
          <w:p w14:paraId="7A21008B" w14:textId="4E1EE78A" w:rsidR="003B0AE8" w:rsidRPr="00A96836" w:rsidRDefault="003B0AE8" w:rsidP="00A96836">
            <w:pPr>
              <w:spacing w:line="360" w:lineRule="auto"/>
              <w:ind w:firstLine="480"/>
              <w:jc w:val="both"/>
              <w:rPr>
                <w:rFonts w:ascii="Times New Roman" w:eastAsia="Gungsuh" w:hAnsi="Times New Roman" w:cs="Times New Roman"/>
              </w:rPr>
            </w:pPr>
            <w:r w:rsidRPr="00A96836">
              <w:rPr>
                <w:rFonts w:ascii="Times New Roman" w:eastAsia="Gungsuh" w:hAnsi="Times New Roman" w:cs="Times New Roman"/>
              </w:rPr>
              <w:t>Moderate VI</w:t>
            </w:r>
          </w:p>
        </w:tc>
        <w:tc>
          <w:tcPr>
            <w:tcW w:w="1390" w:type="dxa"/>
            <w:tcBorders>
              <w:top w:val="nil"/>
              <w:left w:val="nil"/>
              <w:bottom w:val="nil"/>
              <w:right w:val="nil"/>
            </w:tcBorders>
            <w:shd w:val="clear" w:color="auto" w:fill="auto"/>
            <w:vAlign w:val="center"/>
          </w:tcPr>
          <w:p w14:paraId="5F1ED752" w14:textId="603FEBD5" w:rsidR="003B0AE8" w:rsidRPr="00A96836" w:rsidRDefault="003B0AE8" w:rsidP="00A96836">
            <w:pPr>
              <w:spacing w:line="360" w:lineRule="auto"/>
              <w:jc w:val="both"/>
              <w:rPr>
                <w:rFonts w:ascii="Times New Roman" w:eastAsia="Times New Roman" w:hAnsi="Times New Roman" w:cs="Times New Roman"/>
                <w:bCs/>
              </w:rPr>
            </w:pPr>
            <w:r w:rsidRPr="00A96836">
              <w:rPr>
                <w:rFonts w:ascii="Times New Roman" w:eastAsia="Times New Roman" w:hAnsi="Times New Roman" w:cs="Times New Roman"/>
                <w:bCs/>
              </w:rPr>
              <w:t>3</w:t>
            </w:r>
          </w:p>
        </w:tc>
        <w:tc>
          <w:tcPr>
            <w:tcW w:w="1403" w:type="dxa"/>
            <w:tcBorders>
              <w:top w:val="nil"/>
              <w:left w:val="nil"/>
              <w:bottom w:val="nil"/>
              <w:right w:val="nil"/>
            </w:tcBorders>
            <w:shd w:val="clear" w:color="auto" w:fill="auto"/>
            <w:vAlign w:val="center"/>
          </w:tcPr>
          <w:p w14:paraId="3D374453" w14:textId="79CCBB67" w:rsidR="003B0AE8" w:rsidRPr="00A96836" w:rsidRDefault="003B0AE8"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rPr>
              <w:t>4.1</w:t>
            </w:r>
          </w:p>
        </w:tc>
      </w:tr>
      <w:tr w:rsidR="003B0AE8" w:rsidRPr="00A96836" w14:paraId="0C4908F3" w14:textId="77777777" w:rsidTr="00294BD7">
        <w:trPr>
          <w:trHeight w:val="330"/>
        </w:trPr>
        <w:tc>
          <w:tcPr>
            <w:tcW w:w="4640" w:type="dxa"/>
            <w:tcBorders>
              <w:top w:val="nil"/>
              <w:left w:val="nil"/>
              <w:bottom w:val="nil"/>
              <w:right w:val="nil"/>
            </w:tcBorders>
            <w:shd w:val="clear" w:color="auto" w:fill="auto"/>
            <w:vAlign w:val="center"/>
          </w:tcPr>
          <w:p w14:paraId="4B7805F9" w14:textId="4407500F" w:rsidR="003B0AE8" w:rsidRPr="00A96836" w:rsidRDefault="003B0AE8" w:rsidP="00A96836">
            <w:pPr>
              <w:spacing w:line="360" w:lineRule="auto"/>
              <w:ind w:firstLine="480"/>
              <w:jc w:val="both"/>
              <w:rPr>
                <w:rFonts w:ascii="Times New Roman" w:eastAsia="Gungsuh" w:hAnsi="Times New Roman" w:cs="Times New Roman"/>
              </w:rPr>
            </w:pPr>
            <w:r w:rsidRPr="00A96836">
              <w:rPr>
                <w:rFonts w:ascii="Times New Roman" w:eastAsia="Gungsuh" w:hAnsi="Times New Roman" w:cs="Times New Roman"/>
              </w:rPr>
              <w:t>Severe VI</w:t>
            </w:r>
          </w:p>
        </w:tc>
        <w:tc>
          <w:tcPr>
            <w:tcW w:w="1390" w:type="dxa"/>
            <w:tcBorders>
              <w:top w:val="nil"/>
              <w:left w:val="nil"/>
              <w:bottom w:val="nil"/>
              <w:right w:val="nil"/>
            </w:tcBorders>
            <w:shd w:val="clear" w:color="auto" w:fill="auto"/>
            <w:vAlign w:val="center"/>
          </w:tcPr>
          <w:p w14:paraId="568A0C27" w14:textId="256446C8" w:rsidR="003B0AE8" w:rsidRPr="00A96836" w:rsidRDefault="003B0AE8" w:rsidP="00A96836">
            <w:pPr>
              <w:spacing w:line="360" w:lineRule="auto"/>
              <w:jc w:val="both"/>
              <w:rPr>
                <w:rFonts w:ascii="Times New Roman" w:eastAsia="Times New Roman" w:hAnsi="Times New Roman" w:cs="Times New Roman"/>
                <w:bCs/>
              </w:rPr>
            </w:pPr>
            <w:r w:rsidRPr="00A96836">
              <w:rPr>
                <w:rFonts w:ascii="Times New Roman" w:eastAsia="Times New Roman" w:hAnsi="Times New Roman" w:cs="Times New Roman"/>
                <w:bCs/>
              </w:rPr>
              <w:t>3</w:t>
            </w:r>
          </w:p>
        </w:tc>
        <w:tc>
          <w:tcPr>
            <w:tcW w:w="1403" w:type="dxa"/>
            <w:tcBorders>
              <w:top w:val="nil"/>
              <w:left w:val="nil"/>
              <w:bottom w:val="nil"/>
              <w:right w:val="nil"/>
            </w:tcBorders>
            <w:shd w:val="clear" w:color="auto" w:fill="auto"/>
            <w:vAlign w:val="center"/>
          </w:tcPr>
          <w:p w14:paraId="09012730" w14:textId="5AD7D71C" w:rsidR="003B0AE8" w:rsidRPr="00A96836" w:rsidRDefault="003B0AE8"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rPr>
              <w:t>4.1</w:t>
            </w:r>
          </w:p>
        </w:tc>
      </w:tr>
      <w:tr w:rsidR="003B0AE8" w:rsidRPr="00A96836" w14:paraId="0733356D" w14:textId="77777777" w:rsidTr="00294BD7">
        <w:trPr>
          <w:trHeight w:val="330"/>
        </w:trPr>
        <w:tc>
          <w:tcPr>
            <w:tcW w:w="4640" w:type="dxa"/>
            <w:tcBorders>
              <w:top w:val="nil"/>
              <w:left w:val="nil"/>
              <w:bottom w:val="nil"/>
              <w:right w:val="nil"/>
            </w:tcBorders>
            <w:shd w:val="clear" w:color="auto" w:fill="auto"/>
            <w:vAlign w:val="center"/>
          </w:tcPr>
          <w:p w14:paraId="68E901B4" w14:textId="1E920494" w:rsidR="003B0AE8" w:rsidRPr="00A96836" w:rsidRDefault="003B0AE8" w:rsidP="00A96836">
            <w:pPr>
              <w:spacing w:line="360" w:lineRule="auto"/>
              <w:ind w:firstLine="480"/>
              <w:jc w:val="both"/>
              <w:rPr>
                <w:rFonts w:ascii="Times New Roman" w:eastAsia="Gungsuh" w:hAnsi="Times New Roman" w:cs="Times New Roman"/>
              </w:rPr>
            </w:pPr>
            <w:r w:rsidRPr="00A96836">
              <w:rPr>
                <w:rFonts w:ascii="Times New Roman" w:eastAsia="Gungsuh" w:hAnsi="Times New Roman" w:cs="Times New Roman"/>
              </w:rPr>
              <w:t>Blind</w:t>
            </w:r>
          </w:p>
        </w:tc>
        <w:tc>
          <w:tcPr>
            <w:tcW w:w="1390" w:type="dxa"/>
            <w:tcBorders>
              <w:top w:val="nil"/>
              <w:left w:val="nil"/>
              <w:bottom w:val="nil"/>
              <w:right w:val="nil"/>
            </w:tcBorders>
            <w:shd w:val="clear" w:color="auto" w:fill="auto"/>
            <w:vAlign w:val="center"/>
          </w:tcPr>
          <w:p w14:paraId="4DF355C5" w14:textId="7120C6DE" w:rsidR="003B0AE8" w:rsidRPr="00A96836" w:rsidRDefault="003B0AE8" w:rsidP="00A96836">
            <w:pPr>
              <w:spacing w:line="360" w:lineRule="auto"/>
              <w:jc w:val="both"/>
              <w:rPr>
                <w:rFonts w:ascii="Times New Roman" w:eastAsia="Times New Roman" w:hAnsi="Times New Roman" w:cs="Times New Roman"/>
                <w:bCs/>
              </w:rPr>
            </w:pPr>
            <w:r w:rsidRPr="00A96836">
              <w:rPr>
                <w:rFonts w:ascii="Times New Roman" w:eastAsia="Times New Roman" w:hAnsi="Times New Roman" w:cs="Times New Roman"/>
                <w:bCs/>
              </w:rPr>
              <w:t>63</w:t>
            </w:r>
          </w:p>
        </w:tc>
        <w:tc>
          <w:tcPr>
            <w:tcW w:w="1403" w:type="dxa"/>
            <w:tcBorders>
              <w:top w:val="nil"/>
              <w:left w:val="nil"/>
              <w:bottom w:val="nil"/>
              <w:right w:val="nil"/>
            </w:tcBorders>
            <w:shd w:val="clear" w:color="auto" w:fill="auto"/>
            <w:vAlign w:val="center"/>
          </w:tcPr>
          <w:p w14:paraId="0B2E3851" w14:textId="353A8908" w:rsidR="003B0AE8" w:rsidRPr="00A96836" w:rsidRDefault="003B0AE8"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rPr>
              <w:t>85.1</w:t>
            </w:r>
          </w:p>
        </w:tc>
      </w:tr>
      <w:tr w:rsidR="003B0AE8" w:rsidRPr="00A96836" w14:paraId="3D023B7D" w14:textId="77777777" w:rsidTr="00294BD7">
        <w:trPr>
          <w:trHeight w:val="315"/>
        </w:trPr>
        <w:tc>
          <w:tcPr>
            <w:tcW w:w="4640" w:type="dxa"/>
            <w:tcBorders>
              <w:top w:val="nil"/>
              <w:left w:val="nil"/>
              <w:bottom w:val="nil"/>
              <w:right w:val="nil"/>
            </w:tcBorders>
            <w:shd w:val="clear" w:color="auto" w:fill="auto"/>
            <w:vAlign w:val="center"/>
          </w:tcPr>
          <w:p w14:paraId="44B6D88C" w14:textId="4448E7B4" w:rsidR="003B0AE8" w:rsidRPr="00A96836" w:rsidRDefault="003B0AE8" w:rsidP="00A96836">
            <w:pPr>
              <w:spacing w:line="360" w:lineRule="auto"/>
              <w:jc w:val="both"/>
              <w:rPr>
                <w:rFonts w:ascii="Times New Roman" w:eastAsia="Times New Roman" w:hAnsi="Times New Roman" w:cs="Times New Roman"/>
                <w:i/>
              </w:rPr>
            </w:pPr>
            <w:r w:rsidRPr="00A96836">
              <w:rPr>
                <w:rFonts w:ascii="Times New Roman" w:eastAsia="Times New Roman" w:hAnsi="Times New Roman" w:cs="Times New Roman"/>
                <w:b/>
                <w:bCs/>
                <w:color w:val="000000"/>
              </w:rPr>
              <w:t xml:space="preserve"> Cup Disc Notching</w:t>
            </w:r>
          </w:p>
        </w:tc>
        <w:tc>
          <w:tcPr>
            <w:tcW w:w="1390" w:type="dxa"/>
            <w:tcBorders>
              <w:top w:val="nil"/>
              <w:left w:val="nil"/>
              <w:bottom w:val="nil"/>
              <w:right w:val="nil"/>
            </w:tcBorders>
            <w:shd w:val="clear" w:color="auto" w:fill="auto"/>
            <w:vAlign w:val="center"/>
          </w:tcPr>
          <w:p w14:paraId="359E5DC8" w14:textId="77777777" w:rsidR="003B0AE8" w:rsidRPr="00A96836" w:rsidRDefault="003B0AE8" w:rsidP="00A96836">
            <w:pPr>
              <w:spacing w:line="360" w:lineRule="auto"/>
              <w:jc w:val="both"/>
              <w:rPr>
                <w:rFonts w:ascii="Times New Roman" w:eastAsia="Times New Roman" w:hAnsi="Times New Roman" w:cs="Times New Roman"/>
                <w:i/>
              </w:rPr>
            </w:pPr>
          </w:p>
        </w:tc>
        <w:tc>
          <w:tcPr>
            <w:tcW w:w="1403" w:type="dxa"/>
            <w:tcBorders>
              <w:top w:val="nil"/>
              <w:left w:val="nil"/>
              <w:bottom w:val="nil"/>
              <w:right w:val="nil"/>
            </w:tcBorders>
            <w:shd w:val="clear" w:color="auto" w:fill="auto"/>
            <w:vAlign w:val="center"/>
          </w:tcPr>
          <w:p w14:paraId="1780A337" w14:textId="77777777" w:rsidR="003B0AE8" w:rsidRPr="00A96836" w:rsidRDefault="003B0AE8" w:rsidP="00A96836">
            <w:pPr>
              <w:spacing w:line="360" w:lineRule="auto"/>
              <w:jc w:val="both"/>
              <w:rPr>
                <w:rFonts w:ascii="Times New Roman" w:eastAsia="Times New Roman" w:hAnsi="Times New Roman" w:cs="Times New Roman"/>
              </w:rPr>
            </w:pPr>
          </w:p>
        </w:tc>
      </w:tr>
      <w:tr w:rsidR="003B0AE8" w:rsidRPr="00A96836" w14:paraId="221418F2" w14:textId="77777777" w:rsidTr="00294BD7">
        <w:trPr>
          <w:trHeight w:val="315"/>
        </w:trPr>
        <w:tc>
          <w:tcPr>
            <w:tcW w:w="4640" w:type="dxa"/>
            <w:tcBorders>
              <w:top w:val="nil"/>
              <w:left w:val="nil"/>
              <w:bottom w:val="nil"/>
              <w:right w:val="nil"/>
            </w:tcBorders>
            <w:shd w:val="clear" w:color="auto" w:fill="auto"/>
            <w:vAlign w:val="center"/>
          </w:tcPr>
          <w:p w14:paraId="19B10154" w14:textId="190115F3" w:rsidR="003B0AE8" w:rsidRPr="00A96836" w:rsidRDefault="003B0AE8" w:rsidP="00A96836">
            <w:pPr>
              <w:spacing w:line="360" w:lineRule="auto"/>
              <w:ind w:firstLine="480"/>
              <w:jc w:val="both"/>
              <w:rPr>
                <w:rFonts w:ascii="Times New Roman" w:eastAsia="Times New Roman" w:hAnsi="Times New Roman" w:cs="Times New Roman"/>
                <w:i/>
              </w:rPr>
            </w:pPr>
            <w:r w:rsidRPr="00A96836">
              <w:rPr>
                <w:rFonts w:ascii="Times New Roman" w:eastAsia="Times New Roman" w:hAnsi="Times New Roman" w:cs="Times New Roman"/>
                <w:color w:val="000000"/>
              </w:rPr>
              <w:t>Yes</w:t>
            </w:r>
          </w:p>
        </w:tc>
        <w:tc>
          <w:tcPr>
            <w:tcW w:w="1390" w:type="dxa"/>
            <w:tcBorders>
              <w:top w:val="nil"/>
              <w:left w:val="nil"/>
              <w:bottom w:val="nil"/>
              <w:right w:val="nil"/>
            </w:tcBorders>
            <w:shd w:val="clear" w:color="auto" w:fill="auto"/>
            <w:vAlign w:val="center"/>
          </w:tcPr>
          <w:p w14:paraId="368CC1F7" w14:textId="59B3D2D5" w:rsidR="003B0AE8" w:rsidRPr="00A96836" w:rsidRDefault="003B0AE8" w:rsidP="00A96836">
            <w:pPr>
              <w:spacing w:line="360" w:lineRule="auto"/>
              <w:jc w:val="both"/>
              <w:rPr>
                <w:rFonts w:ascii="Times New Roman" w:eastAsia="Times New Roman" w:hAnsi="Times New Roman" w:cs="Times New Roman"/>
                <w:i/>
              </w:rPr>
            </w:pPr>
            <w:r w:rsidRPr="00A96836">
              <w:rPr>
                <w:rFonts w:ascii="Times New Roman" w:eastAsia="Times New Roman" w:hAnsi="Times New Roman" w:cs="Times New Roman"/>
                <w:color w:val="000000"/>
              </w:rPr>
              <w:t>41</w:t>
            </w:r>
          </w:p>
        </w:tc>
        <w:tc>
          <w:tcPr>
            <w:tcW w:w="1403" w:type="dxa"/>
            <w:tcBorders>
              <w:top w:val="nil"/>
              <w:left w:val="nil"/>
              <w:bottom w:val="nil"/>
              <w:right w:val="nil"/>
            </w:tcBorders>
            <w:shd w:val="clear" w:color="auto" w:fill="auto"/>
            <w:vAlign w:val="center"/>
          </w:tcPr>
          <w:p w14:paraId="50FA0163" w14:textId="62AC2120" w:rsidR="003B0AE8" w:rsidRPr="00A96836" w:rsidRDefault="003B0AE8"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color w:val="000000"/>
              </w:rPr>
              <w:t>55.4</w:t>
            </w:r>
          </w:p>
        </w:tc>
      </w:tr>
      <w:tr w:rsidR="003B0AE8" w:rsidRPr="00A96836" w14:paraId="0664CE88" w14:textId="77777777" w:rsidTr="00294BD7">
        <w:trPr>
          <w:trHeight w:val="315"/>
        </w:trPr>
        <w:tc>
          <w:tcPr>
            <w:tcW w:w="4640" w:type="dxa"/>
            <w:tcBorders>
              <w:top w:val="nil"/>
              <w:left w:val="nil"/>
              <w:bottom w:val="nil"/>
              <w:right w:val="nil"/>
            </w:tcBorders>
            <w:shd w:val="clear" w:color="auto" w:fill="auto"/>
            <w:vAlign w:val="center"/>
          </w:tcPr>
          <w:p w14:paraId="780DB78E" w14:textId="007FAA1C" w:rsidR="003B0AE8" w:rsidRPr="00A96836" w:rsidRDefault="003B0AE8" w:rsidP="00A96836">
            <w:pPr>
              <w:spacing w:line="360" w:lineRule="auto"/>
              <w:ind w:firstLine="480"/>
              <w:jc w:val="both"/>
              <w:rPr>
                <w:rFonts w:ascii="Times New Roman" w:eastAsia="Times New Roman" w:hAnsi="Times New Roman" w:cs="Times New Roman"/>
                <w:i/>
              </w:rPr>
            </w:pPr>
            <w:r w:rsidRPr="00A96836">
              <w:rPr>
                <w:rFonts w:ascii="Times New Roman" w:eastAsia="Times New Roman" w:hAnsi="Times New Roman" w:cs="Times New Roman"/>
                <w:color w:val="000000"/>
              </w:rPr>
              <w:t>No</w:t>
            </w:r>
          </w:p>
        </w:tc>
        <w:tc>
          <w:tcPr>
            <w:tcW w:w="1390" w:type="dxa"/>
            <w:tcBorders>
              <w:top w:val="nil"/>
              <w:left w:val="nil"/>
              <w:bottom w:val="nil"/>
              <w:right w:val="nil"/>
            </w:tcBorders>
            <w:shd w:val="clear" w:color="auto" w:fill="auto"/>
            <w:vAlign w:val="center"/>
          </w:tcPr>
          <w:p w14:paraId="4147B2E7" w14:textId="3CADB3B6" w:rsidR="003B0AE8" w:rsidRPr="00A96836" w:rsidRDefault="003B0AE8" w:rsidP="00A96836">
            <w:pPr>
              <w:spacing w:line="360" w:lineRule="auto"/>
              <w:jc w:val="both"/>
              <w:rPr>
                <w:rFonts w:ascii="Times New Roman" w:eastAsia="Times New Roman" w:hAnsi="Times New Roman" w:cs="Times New Roman"/>
                <w:i/>
              </w:rPr>
            </w:pPr>
            <w:r w:rsidRPr="00A96836">
              <w:rPr>
                <w:rFonts w:ascii="Times New Roman" w:eastAsia="Times New Roman" w:hAnsi="Times New Roman" w:cs="Times New Roman"/>
                <w:color w:val="000000"/>
              </w:rPr>
              <w:t>33</w:t>
            </w:r>
          </w:p>
        </w:tc>
        <w:tc>
          <w:tcPr>
            <w:tcW w:w="1403" w:type="dxa"/>
            <w:tcBorders>
              <w:top w:val="nil"/>
              <w:left w:val="nil"/>
              <w:bottom w:val="nil"/>
              <w:right w:val="nil"/>
            </w:tcBorders>
            <w:shd w:val="clear" w:color="auto" w:fill="auto"/>
            <w:vAlign w:val="center"/>
          </w:tcPr>
          <w:p w14:paraId="76A72C8B" w14:textId="6ED42827" w:rsidR="003B0AE8" w:rsidRPr="00A96836" w:rsidRDefault="003B0AE8"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color w:val="000000"/>
              </w:rPr>
              <w:t>44.6</w:t>
            </w:r>
          </w:p>
        </w:tc>
      </w:tr>
      <w:tr w:rsidR="003B0AE8" w:rsidRPr="00A96836" w14:paraId="7EB27AE2" w14:textId="77777777" w:rsidTr="00294BD7">
        <w:trPr>
          <w:trHeight w:val="315"/>
        </w:trPr>
        <w:tc>
          <w:tcPr>
            <w:tcW w:w="4640" w:type="dxa"/>
            <w:tcBorders>
              <w:top w:val="nil"/>
              <w:left w:val="nil"/>
              <w:bottom w:val="nil"/>
              <w:right w:val="nil"/>
            </w:tcBorders>
            <w:shd w:val="clear" w:color="auto" w:fill="auto"/>
            <w:vAlign w:val="center"/>
          </w:tcPr>
          <w:p w14:paraId="2C2E253D" w14:textId="77777777" w:rsidR="003B0AE8" w:rsidRPr="00A96836" w:rsidRDefault="003B0AE8"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b/>
                <w:bCs/>
              </w:rPr>
              <w:lastRenderedPageBreak/>
              <w:t>Type of glaucoma</w:t>
            </w:r>
          </w:p>
        </w:tc>
        <w:tc>
          <w:tcPr>
            <w:tcW w:w="1390" w:type="dxa"/>
            <w:tcBorders>
              <w:top w:val="nil"/>
              <w:left w:val="nil"/>
              <w:bottom w:val="nil"/>
              <w:right w:val="nil"/>
            </w:tcBorders>
            <w:shd w:val="clear" w:color="auto" w:fill="auto"/>
            <w:vAlign w:val="center"/>
          </w:tcPr>
          <w:p w14:paraId="01576616" w14:textId="77777777" w:rsidR="003B0AE8" w:rsidRPr="00A96836" w:rsidRDefault="003B0AE8" w:rsidP="00A96836">
            <w:pPr>
              <w:spacing w:line="360" w:lineRule="auto"/>
              <w:jc w:val="both"/>
              <w:rPr>
                <w:rFonts w:ascii="Times New Roman" w:eastAsia="Times New Roman" w:hAnsi="Times New Roman" w:cs="Times New Roman"/>
                <w:b/>
              </w:rPr>
            </w:pPr>
          </w:p>
        </w:tc>
        <w:tc>
          <w:tcPr>
            <w:tcW w:w="1403" w:type="dxa"/>
            <w:tcBorders>
              <w:top w:val="nil"/>
              <w:left w:val="nil"/>
              <w:bottom w:val="nil"/>
              <w:right w:val="nil"/>
            </w:tcBorders>
            <w:shd w:val="clear" w:color="auto" w:fill="auto"/>
            <w:vAlign w:val="center"/>
          </w:tcPr>
          <w:p w14:paraId="10F41411" w14:textId="77777777" w:rsidR="003B0AE8" w:rsidRPr="00A96836" w:rsidRDefault="003B0AE8" w:rsidP="00A96836">
            <w:pPr>
              <w:spacing w:line="360" w:lineRule="auto"/>
              <w:jc w:val="both"/>
              <w:rPr>
                <w:rFonts w:ascii="Times New Roman" w:eastAsia="Times New Roman" w:hAnsi="Times New Roman" w:cs="Times New Roman"/>
              </w:rPr>
            </w:pPr>
          </w:p>
        </w:tc>
      </w:tr>
      <w:tr w:rsidR="003B0AE8" w:rsidRPr="00A96836" w14:paraId="05BE46D4" w14:textId="77777777" w:rsidTr="00294BD7">
        <w:trPr>
          <w:trHeight w:val="315"/>
        </w:trPr>
        <w:tc>
          <w:tcPr>
            <w:tcW w:w="4640" w:type="dxa"/>
            <w:tcBorders>
              <w:top w:val="nil"/>
              <w:left w:val="nil"/>
              <w:bottom w:val="nil"/>
              <w:right w:val="nil"/>
            </w:tcBorders>
            <w:shd w:val="clear" w:color="auto" w:fill="auto"/>
            <w:vAlign w:val="center"/>
          </w:tcPr>
          <w:p w14:paraId="06B79EF3" w14:textId="77777777" w:rsidR="003B0AE8" w:rsidRPr="00A96836" w:rsidRDefault="003B0AE8" w:rsidP="00A96836">
            <w:pPr>
              <w:spacing w:line="360" w:lineRule="auto"/>
              <w:ind w:firstLine="480"/>
              <w:jc w:val="both"/>
              <w:rPr>
                <w:rFonts w:ascii="Times New Roman" w:eastAsia="Times New Roman" w:hAnsi="Times New Roman" w:cs="Times New Roman"/>
              </w:rPr>
            </w:pPr>
            <w:r w:rsidRPr="00A96836">
              <w:rPr>
                <w:rFonts w:ascii="Times New Roman" w:eastAsia="Times New Roman" w:hAnsi="Times New Roman" w:cs="Times New Roman"/>
              </w:rPr>
              <w:t>Primary open angle</w:t>
            </w:r>
          </w:p>
        </w:tc>
        <w:tc>
          <w:tcPr>
            <w:tcW w:w="1390" w:type="dxa"/>
            <w:tcBorders>
              <w:top w:val="nil"/>
              <w:left w:val="nil"/>
              <w:bottom w:val="nil"/>
              <w:right w:val="nil"/>
            </w:tcBorders>
            <w:shd w:val="clear" w:color="auto" w:fill="auto"/>
            <w:vAlign w:val="center"/>
          </w:tcPr>
          <w:p w14:paraId="4D599549" w14:textId="77777777" w:rsidR="003B0AE8" w:rsidRPr="00A96836" w:rsidRDefault="003B0AE8"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rPr>
              <w:t>40</w:t>
            </w:r>
          </w:p>
        </w:tc>
        <w:tc>
          <w:tcPr>
            <w:tcW w:w="1403" w:type="dxa"/>
            <w:tcBorders>
              <w:top w:val="nil"/>
              <w:left w:val="nil"/>
              <w:bottom w:val="nil"/>
              <w:right w:val="nil"/>
            </w:tcBorders>
            <w:shd w:val="clear" w:color="auto" w:fill="auto"/>
            <w:vAlign w:val="center"/>
          </w:tcPr>
          <w:p w14:paraId="00C0F687" w14:textId="77777777" w:rsidR="003B0AE8" w:rsidRPr="00A96836" w:rsidRDefault="003B0AE8"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rPr>
              <w:t>54.1</w:t>
            </w:r>
          </w:p>
        </w:tc>
      </w:tr>
      <w:tr w:rsidR="003B0AE8" w:rsidRPr="00A96836" w14:paraId="4D3237AA" w14:textId="77777777" w:rsidTr="00294BD7">
        <w:trPr>
          <w:trHeight w:val="315"/>
        </w:trPr>
        <w:tc>
          <w:tcPr>
            <w:tcW w:w="4640" w:type="dxa"/>
            <w:tcBorders>
              <w:top w:val="nil"/>
              <w:left w:val="nil"/>
              <w:bottom w:val="nil"/>
              <w:right w:val="nil"/>
            </w:tcBorders>
            <w:shd w:val="clear" w:color="auto" w:fill="auto"/>
            <w:vAlign w:val="center"/>
          </w:tcPr>
          <w:p w14:paraId="6FAFE5D1" w14:textId="72C80FE9" w:rsidR="003B0AE8" w:rsidRPr="00A96836" w:rsidRDefault="003B0AE8" w:rsidP="00A96836">
            <w:pPr>
              <w:spacing w:line="360" w:lineRule="auto"/>
              <w:ind w:firstLine="480"/>
              <w:jc w:val="both"/>
              <w:rPr>
                <w:rFonts w:ascii="Times New Roman" w:eastAsia="Times New Roman" w:hAnsi="Times New Roman" w:cs="Times New Roman"/>
              </w:rPr>
            </w:pPr>
            <w:r w:rsidRPr="00A96836">
              <w:rPr>
                <w:rFonts w:ascii="Times New Roman" w:eastAsia="Times New Roman" w:hAnsi="Times New Roman" w:cs="Times New Roman"/>
              </w:rPr>
              <w:t>Secondary glaucoma</w:t>
            </w:r>
          </w:p>
        </w:tc>
        <w:tc>
          <w:tcPr>
            <w:tcW w:w="1390" w:type="dxa"/>
            <w:tcBorders>
              <w:top w:val="nil"/>
              <w:left w:val="nil"/>
              <w:bottom w:val="nil"/>
              <w:right w:val="nil"/>
            </w:tcBorders>
            <w:shd w:val="clear" w:color="auto" w:fill="auto"/>
            <w:vAlign w:val="center"/>
          </w:tcPr>
          <w:p w14:paraId="4A106E1B" w14:textId="07F1AD7B" w:rsidR="003B0AE8" w:rsidRPr="00A96836" w:rsidRDefault="003B0AE8"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rPr>
              <w:t>34</w:t>
            </w:r>
          </w:p>
        </w:tc>
        <w:tc>
          <w:tcPr>
            <w:tcW w:w="1403" w:type="dxa"/>
            <w:tcBorders>
              <w:top w:val="nil"/>
              <w:left w:val="nil"/>
              <w:bottom w:val="nil"/>
              <w:right w:val="nil"/>
            </w:tcBorders>
            <w:shd w:val="clear" w:color="auto" w:fill="auto"/>
            <w:vAlign w:val="center"/>
          </w:tcPr>
          <w:p w14:paraId="735CE10A" w14:textId="656CBFB7" w:rsidR="003B0AE8" w:rsidRPr="00A96836" w:rsidRDefault="003B0AE8"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rPr>
              <w:t>45.9</w:t>
            </w:r>
          </w:p>
        </w:tc>
      </w:tr>
      <w:tr w:rsidR="003B0AE8" w:rsidRPr="00A96836" w14:paraId="2FD0A75B" w14:textId="77777777" w:rsidTr="00294BD7">
        <w:trPr>
          <w:trHeight w:val="315"/>
        </w:trPr>
        <w:tc>
          <w:tcPr>
            <w:tcW w:w="4640" w:type="dxa"/>
            <w:tcBorders>
              <w:top w:val="nil"/>
              <w:left w:val="nil"/>
              <w:bottom w:val="nil"/>
              <w:right w:val="nil"/>
            </w:tcBorders>
            <w:shd w:val="clear" w:color="auto" w:fill="auto"/>
            <w:vAlign w:val="center"/>
          </w:tcPr>
          <w:p w14:paraId="1A8E587D" w14:textId="77777777" w:rsidR="003B0AE8" w:rsidRPr="00A96836" w:rsidRDefault="003B0AE8"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b/>
                <w:bCs/>
              </w:rPr>
              <w:t>Optic Disc Hemorrhage</w:t>
            </w:r>
          </w:p>
        </w:tc>
        <w:tc>
          <w:tcPr>
            <w:tcW w:w="1390" w:type="dxa"/>
            <w:tcBorders>
              <w:top w:val="nil"/>
              <w:left w:val="nil"/>
              <w:bottom w:val="nil"/>
              <w:right w:val="nil"/>
            </w:tcBorders>
            <w:shd w:val="clear" w:color="auto" w:fill="auto"/>
            <w:vAlign w:val="center"/>
          </w:tcPr>
          <w:p w14:paraId="61E5842E" w14:textId="77777777" w:rsidR="003B0AE8" w:rsidRPr="00A96836" w:rsidRDefault="003B0AE8" w:rsidP="00A96836">
            <w:pPr>
              <w:spacing w:line="360" w:lineRule="auto"/>
              <w:jc w:val="both"/>
              <w:rPr>
                <w:rFonts w:ascii="Times New Roman" w:eastAsia="Times New Roman" w:hAnsi="Times New Roman" w:cs="Times New Roman"/>
                <w:b/>
              </w:rPr>
            </w:pPr>
          </w:p>
        </w:tc>
        <w:tc>
          <w:tcPr>
            <w:tcW w:w="1403" w:type="dxa"/>
            <w:tcBorders>
              <w:top w:val="nil"/>
              <w:left w:val="nil"/>
              <w:bottom w:val="nil"/>
              <w:right w:val="nil"/>
            </w:tcBorders>
            <w:shd w:val="clear" w:color="auto" w:fill="auto"/>
            <w:vAlign w:val="center"/>
          </w:tcPr>
          <w:p w14:paraId="3D0CD192" w14:textId="77777777" w:rsidR="003B0AE8" w:rsidRPr="00A96836" w:rsidRDefault="003B0AE8" w:rsidP="00A96836">
            <w:pPr>
              <w:spacing w:line="360" w:lineRule="auto"/>
              <w:jc w:val="both"/>
              <w:rPr>
                <w:rFonts w:ascii="Times New Roman" w:eastAsia="Times New Roman" w:hAnsi="Times New Roman" w:cs="Times New Roman"/>
              </w:rPr>
            </w:pPr>
          </w:p>
        </w:tc>
      </w:tr>
      <w:tr w:rsidR="003B0AE8" w:rsidRPr="00A96836" w14:paraId="7378C08B" w14:textId="77777777" w:rsidTr="00294BD7">
        <w:trPr>
          <w:trHeight w:val="315"/>
        </w:trPr>
        <w:tc>
          <w:tcPr>
            <w:tcW w:w="4640" w:type="dxa"/>
            <w:tcBorders>
              <w:top w:val="nil"/>
              <w:left w:val="nil"/>
              <w:bottom w:val="nil"/>
              <w:right w:val="nil"/>
            </w:tcBorders>
            <w:shd w:val="clear" w:color="auto" w:fill="auto"/>
            <w:vAlign w:val="center"/>
          </w:tcPr>
          <w:p w14:paraId="72B11550" w14:textId="77777777" w:rsidR="003B0AE8" w:rsidRPr="00A96836" w:rsidRDefault="003B0AE8" w:rsidP="00A96836">
            <w:pPr>
              <w:spacing w:line="360" w:lineRule="auto"/>
              <w:ind w:firstLine="480"/>
              <w:jc w:val="both"/>
              <w:rPr>
                <w:rFonts w:ascii="Times New Roman" w:eastAsia="Times New Roman" w:hAnsi="Times New Roman" w:cs="Times New Roman"/>
              </w:rPr>
            </w:pPr>
            <w:r w:rsidRPr="00A96836">
              <w:rPr>
                <w:rFonts w:ascii="Times New Roman" w:eastAsia="Times New Roman" w:hAnsi="Times New Roman" w:cs="Times New Roman"/>
              </w:rPr>
              <w:t>Yes</w:t>
            </w:r>
          </w:p>
        </w:tc>
        <w:tc>
          <w:tcPr>
            <w:tcW w:w="1390" w:type="dxa"/>
            <w:tcBorders>
              <w:top w:val="nil"/>
              <w:left w:val="nil"/>
              <w:bottom w:val="nil"/>
              <w:right w:val="nil"/>
            </w:tcBorders>
            <w:shd w:val="clear" w:color="auto" w:fill="auto"/>
            <w:vAlign w:val="center"/>
          </w:tcPr>
          <w:p w14:paraId="0E8B944D" w14:textId="77777777" w:rsidR="003B0AE8" w:rsidRPr="00A96836" w:rsidRDefault="003B0AE8"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rPr>
              <w:t>8</w:t>
            </w:r>
          </w:p>
        </w:tc>
        <w:tc>
          <w:tcPr>
            <w:tcW w:w="1403" w:type="dxa"/>
            <w:tcBorders>
              <w:top w:val="nil"/>
              <w:left w:val="nil"/>
              <w:bottom w:val="nil"/>
              <w:right w:val="nil"/>
            </w:tcBorders>
            <w:shd w:val="clear" w:color="auto" w:fill="auto"/>
            <w:vAlign w:val="center"/>
          </w:tcPr>
          <w:p w14:paraId="1BC519BA" w14:textId="77777777" w:rsidR="003B0AE8" w:rsidRPr="00A96836" w:rsidRDefault="003B0AE8"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rPr>
              <w:t>10.8</w:t>
            </w:r>
          </w:p>
        </w:tc>
      </w:tr>
      <w:tr w:rsidR="003B0AE8" w:rsidRPr="00A96836" w14:paraId="7EAEB7EA" w14:textId="77777777" w:rsidTr="00294BD7">
        <w:trPr>
          <w:trHeight w:val="315"/>
        </w:trPr>
        <w:tc>
          <w:tcPr>
            <w:tcW w:w="4640" w:type="dxa"/>
            <w:tcBorders>
              <w:top w:val="nil"/>
              <w:left w:val="nil"/>
              <w:bottom w:val="nil"/>
              <w:right w:val="nil"/>
            </w:tcBorders>
            <w:shd w:val="clear" w:color="auto" w:fill="auto"/>
            <w:vAlign w:val="center"/>
          </w:tcPr>
          <w:p w14:paraId="7A7F9BBD" w14:textId="77777777" w:rsidR="003B0AE8" w:rsidRPr="00A96836" w:rsidRDefault="003B0AE8" w:rsidP="00A96836">
            <w:pPr>
              <w:spacing w:line="360" w:lineRule="auto"/>
              <w:ind w:firstLine="480"/>
              <w:jc w:val="both"/>
              <w:rPr>
                <w:rFonts w:ascii="Times New Roman" w:eastAsia="Times New Roman" w:hAnsi="Times New Roman" w:cs="Times New Roman"/>
              </w:rPr>
            </w:pPr>
            <w:r w:rsidRPr="00A96836">
              <w:rPr>
                <w:rFonts w:ascii="Times New Roman" w:eastAsia="Times New Roman" w:hAnsi="Times New Roman" w:cs="Times New Roman"/>
              </w:rPr>
              <w:t>No</w:t>
            </w:r>
          </w:p>
        </w:tc>
        <w:tc>
          <w:tcPr>
            <w:tcW w:w="1390" w:type="dxa"/>
            <w:tcBorders>
              <w:top w:val="nil"/>
              <w:left w:val="nil"/>
              <w:bottom w:val="nil"/>
              <w:right w:val="nil"/>
            </w:tcBorders>
            <w:shd w:val="clear" w:color="auto" w:fill="auto"/>
            <w:vAlign w:val="center"/>
          </w:tcPr>
          <w:p w14:paraId="0C869C9F" w14:textId="77777777" w:rsidR="003B0AE8" w:rsidRPr="00A96836" w:rsidRDefault="003B0AE8"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rPr>
              <w:t>66</w:t>
            </w:r>
          </w:p>
        </w:tc>
        <w:tc>
          <w:tcPr>
            <w:tcW w:w="1403" w:type="dxa"/>
            <w:tcBorders>
              <w:top w:val="nil"/>
              <w:left w:val="nil"/>
              <w:bottom w:val="nil"/>
              <w:right w:val="nil"/>
            </w:tcBorders>
            <w:shd w:val="clear" w:color="auto" w:fill="auto"/>
            <w:vAlign w:val="center"/>
          </w:tcPr>
          <w:p w14:paraId="23333616" w14:textId="77777777" w:rsidR="003B0AE8" w:rsidRPr="00A96836" w:rsidRDefault="003B0AE8"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rPr>
              <w:t>89.2</w:t>
            </w:r>
          </w:p>
        </w:tc>
      </w:tr>
      <w:tr w:rsidR="003B0AE8" w:rsidRPr="00A96836" w14:paraId="0B4D88D1" w14:textId="77777777" w:rsidTr="00294BD7">
        <w:trPr>
          <w:trHeight w:val="315"/>
        </w:trPr>
        <w:tc>
          <w:tcPr>
            <w:tcW w:w="4640" w:type="dxa"/>
            <w:tcBorders>
              <w:top w:val="nil"/>
              <w:left w:val="nil"/>
              <w:bottom w:val="nil"/>
              <w:right w:val="nil"/>
            </w:tcBorders>
            <w:shd w:val="clear" w:color="auto" w:fill="auto"/>
            <w:vAlign w:val="center"/>
          </w:tcPr>
          <w:p w14:paraId="0FD2889E" w14:textId="77777777" w:rsidR="003B0AE8" w:rsidRPr="00A96836" w:rsidRDefault="003B0AE8"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b/>
                <w:bCs/>
              </w:rPr>
              <w:t>Associated comorbidities disease</w:t>
            </w:r>
          </w:p>
        </w:tc>
        <w:tc>
          <w:tcPr>
            <w:tcW w:w="1390" w:type="dxa"/>
            <w:tcBorders>
              <w:top w:val="nil"/>
              <w:left w:val="nil"/>
              <w:bottom w:val="nil"/>
              <w:right w:val="nil"/>
            </w:tcBorders>
            <w:shd w:val="clear" w:color="auto" w:fill="auto"/>
            <w:vAlign w:val="center"/>
          </w:tcPr>
          <w:p w14:paraId="1ACFCB93" w14:textId="77777777" w:rsidR="003B0AE8" w:rsidRPr="00A96836" w:rsidRDefault="003B0AE8" w:rsidP="00A96836">
            <w:pPr>
              <w:spacing w:line="360" w:lineRule="auto"/>
              <w:jc w:val="both"/>
              <w:rPr>
                <w:rFonts w:ascii="Times New Roman" w:eastAsia="Times New Roman" w:hAnsi="Times New Roman" w:cs="Times New Roman"/>
                <w:b/>
              </w:rPr>
            </w:pPr>
          </w:p>
        </w:tc>
        <w:tc>
          <w:tcPr>
            <w:tcW w:w="1403" w:type="dxa"/>
            <w:tcBorders>
              <w:top w:val="nil"/>
              <w:left w:val="nil"/>
              <w:bottom w:val="nil"/>
              <w:right w:val="nil"/>
            </w:tcBorders>
            <w:shd w:val="clear" w:color="auto" w:fill="auto"/>
            <w:vAlign w:val="center"/>
          </w:tcPr>
          <w:p w14:paraId="30C18664" w14:textId="77777777" w:rsidR="003B0AE8" w:rsidRPr="00A96836" w:rsidRDefault="003B0AE8" w:rsidP="00A96836">
            <w:pPr>
              <w:spacing w:line="360" w:lineRule="auto"/>
              <w:jc w:val="both"/>
              <w:rPr>
                <w:rFonts w:ascii="Times New Roman" w:eastAsia="Times New Roman" w:hAnsi="Times New Roman" w:cs="Times New Roman"/>
              </w:rPr>
            </w:pPr>
          </w:p>
        </w:tc>
      </w:tr>
      <w:tr w:rsidR="003B0AE8" w:rsidRPr="00A96836" w14:paraId="489EABAE" w14:textId="77777777" w:rsidTr="00294BD7">
        <w:trPr>
          <w:trHeight w:val="315"/>
        </w:trPr>
        <w:tc>
          <w:tcPr>
            <w:tcW w:w="4640" w:type="dxa"/>
            <w:tcBorders>
              <w:top w:val="nil"/>
              <w:left w:val="nil"/>
              <w:bottom w:val="nil"/>
              <w:right w:val="nil"/>
            </w:tcBorders>
            <w:shd w:val="clear" w:color="auto" w:fill="auto"/>
            <w:vAlign w:val="center"/>
          </w:tcPr>
          <w:p w14:paraId="38866F47" w14:textId="77777777" w:rsidR="003B0AE8" w:rsidRPr="00A96836" w:rsidRDefault="003B0AE8" w:rsidP="00A96836">
            <w:pPr>
              <w:spacing w:line="360" w:lineRule="auto"/>
              <w:ind w:firstLine="480"/>
              <w:jc w:val="both"/>
              <w:rPr>
                <w:rFonts w:ascii="Times New Roman" w:eastAsia="Times New Roman" w:hAnsi="Times New Roman" w:cs="Times New Roman"/>
              </w:rPr>
            </w:pPr>
            <w:r w:rsidRPr="00A96836">
              <w:rPr>
                <w:rFonts w:ascii="Times New Roman" w:eastAsia="Times New Roman" w:hAnsi="Times New Roman" w:cs="Times New Roman"/>
              </w:rPr>
              <w:t xml:space="preserve">Systemic Disease </w:t>
            </w:r>
          </w:p>
        </w:tc>
        <w:tc>
          <w:tcPr>
            <w:tcW w:w="1390" w:type="dxa"/>
            <w:tcBorders>
              <w:top w:val="nil"/>
              <w:left w:val="nil"/>
              <w:bottom w:val="nil"/>
              <w:right w:val="nil"/>
            </w:tcBorders>
            <w:shd w:val="clear" w:color="auto" w:fill="auto"/>
            <w:vAlign w:val="center"/>
          </w:tcPr>
          <w:p w14:paraId="1867B6DC" w14:textId="77777777" w:rsidR="003B0AE8" w:rsidRPr="00A96836" w:rsidRDefault="003B0AE8"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rPr>
              <w:t>45</w:t>
            </w:r>
          </w:p>
        </w:tc>
        <w:tc>
          <w:tcPr>
            <w:tcW w:w="1403" w:type="dxa"/>
            <w:tcBorders>
              <w:top w:val="nil"/>
              <w:left w:val="nil"/>
              <w:bottom w:val="nil"/>
              <w:right w:val="nil"/>
            </w:tcBorders>
            <w:shd w:val="clear" w:color="auto" w:fill="auto"/>
            <w:vAlign w:val="center"/>
          </w:tcPr>
          <w:p w14:paraId="5DDED503" w14:textId="77777777" w:rsidR="003B0AE8" w:rsidRPr="00A96836" w:rsidRDefault="003B0AE8"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rPr>
              <w:t>60.8</w:t>
            </w:r>
          </w:p>
        </w:tc>
      </w:tr>
      <w:tr w:rsidR="003B0AE8" w:rsidRPr="00A96836" w14:paraId="7FC1D314" w14:textId="77777777" w:rsidTr="00294BD7">
        <w:trPr>
          <w:trHeight w:val="315"/>
        </w:trPr>
        <w:tc>
          <w:tcPr>
            <w:tcW w:w="4640" w:type="dxa"/>
            <w:tcBorders>
              <w:top w:val="nil"/>
              <w:left w:val="nil"/>
              <w:bottom w:val="single" w:sz="18" w:space="0" w:color="auto"/>
              <w:right w:val="nil"/>
            </w:tcBorders>
            <w:shd w:val="clear" w:color="auto" w:fill="auto"/>
            <w:vAlign w:val="center"/>
          </w:tcPr>
          <w:p w14:paraId="0A2D1904" w14:textId="77777777" w:rsidR="003B0AE8" w:rsidRPr="00A96836" w:rsidRDefault="003B0AE8" w:rsidP="00A96836">
            <w:pPr>
              <w:spacing w:line="360" w:lineRule="auto"/>
              <w:ind w:firstLine="480"/>
              <w:jc w:val="both"/>
              <w:rPr>
                <w:rFonts w:ascii="Times New Roman" w:eastAsia="Times New Roman" w:hAnsi="Times New Roman" w:cs="Times New Roman"/>
              </w:rPr>
            </w:pPr>
            <w:r w:rsidRPr="00A96836">
              <w:rPr>
                <w:rFonts w:ascii="Times New Roman" w:eastAsia="Times New Roman" w:hAnsi="Times New Roman" w:cs="Times New Roman"/>
              </w:rPr>
              <w:t>Ocular Disease</w:t>
            </w:r>
          </w:p>
        </w:tc>
        <w:tc>
          <w:tcPr>
            <w:tcW w:w="1390" w:type="dxa"/>
            <w:tcBorders>
              <w:top w:val="nil"/>
              <w:left w:val="nil"/>
              <w:bottom w:val="single" w:sz="18" w:space="0" w:color="auto"/>
              <w:right w:val="nil"/>
            </w:tcBorders>
            <w:shd w:val="clear" w:color="auto" w:fill="auto"/>
            <w:vAlign w:val="center"/>
          </w:tcPr>
          <w:p w14:paraId="7F256A05" w14:textId="77777777" w:rsidR="003B0AE8" w:rsidRPr="00A96836" w:rsidRDefault="003B0AE8"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rPr>
              <w:t>29</w:t>
            </w:r>
          </w:p>
        </w:tc>
        <w:tc>
          <w:tcPr>
            <w:tcW w:w="1403" w:type="dxa"/>
            <w:tcBorders>
              <w:top w:val="nil"/>
              <w:left w:val="nil"/>
              <w:bottom w:val="single" w:sz="18" w:space="0" w:color="auto"/>
              <w:right w:val="nil"/>
            </w:tcBorders>
            <w:shd w:val="clear" w:color="auto" w:fill="auto"/>
            <w:vAlign w:val="center"/>
          </w:tcPr>
          <w:p w14:paraId="59612B2A" w14:textId="77777777" w:rsidR="003B0AE8" w:rsidRPr="00A96836" w:rsidRDefault="003B0AE8"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rPr>
              <w:t>39.2</w:t>
            </w:r>
          </w:p>
        </w:tc>
      </w:tr>
    </w:tbl>
    <w:p w14:paraId="58B6E293" w14:textId="77777777" w:rsidR="00564899" w:rsidRPr="00A96836" w:rsidRDefault="00564899" w:rsidP="00A96836">
      <w:pPr>
        <w:pStyle w:val="Heading3"/>
        <w:jc w:val="both"/>
      </w:pPr>
      <w:bookmarkStart w:id="7" w:name="_Toc199960641"/>
    </w:p>
    <w:p w14:paraId="5E70A889" w14:textId="39438A55" w:rsidR="007F06EC" w:rsidRDefault="00791AA3" w:rsidP="00A96836">
      <w:pPr>
        <w:spacing w:line="360" w:lineRule="auto"/>
        <w:rPr>
          <w:rFonts w:ascii="Times New Roman" w:hAnsi="Times New Roman" w:cs="Times New Roman"/>
          <w:b/>
          <w:bCs/>
        </w:rPr>
      </w:pPr>
      <w:r>
        <w:rPr>
          <w:rFonts w:ascii="Times New Roman" w:hAnsi="Times New Roman" w:cs="Times New Roman"/>
          <w:b/>
          <w:bCs/>
        </w:rPr>
        <w:t xml:space="preserve">VI=Visual </w:t>
      </w:r>
      <w:r w:rsidR="00133BCE">
        <w:rPr>
          <w:rFonts w:ascii="Times New Roman" w:hAnsi="Times New Roman" w:cs="Times New Roman"/>
          <w:b/>
          <w:bCs/>
        </w:rPr>
        <w:t>Impairment</w:t>
      </w:r>
      <w:r w:rsidR="00267F14">
        <w:rPr>
          <w:rFonts w:ascii="Times New Roman" w:hAnsi="Times New Roman" w:cs="Times New Roman"/>
          <w:b/>
          <w:bCs/>
        </w:rPr>
        <w:t>.</w:t>
      </w:r>
    </w:p>
    <w:p w14:paraId="2CA3AD94" w14:textId="460C3C43" w:rsidR="0064616D" w:rsidRPr="00A96836" w:rsidRDefault="00767540" w:rsidP="00A96836">
      <w:pPr>
        <w:spacing w:line="360" w:lineRule="auto"/>
        <w:rPr>
          <w:rFonts w:ascii="Times New Roman" w:hAnsi="Times New Roman" w:cs="Times New Roman"/>
          <w:b/>
          <w:bCs/>
        </w:rPr>
      </w:pPr>
      <w:r w:rsidRPr="00A96836">
        <w:rPr>
          <w:rFonts w:ascii="Times New Roman" w:hAnsi="Times New Roman" w:cs="Times New Roman"/>
          <w:b/>
          <w:bCs/>
        </w:rPr>
        <w:t>Incidence rate of CPC success and c</w:t>
      </w:r>
      <w:r w:rsidR="000C2B1D" w:rsidRPr="00A96836">
        <w:rPr>
          <w:rFonts w:ascii="Times New Roman" w:hAnsi="Times New Roman" w:cs="Times New Roman"/>
          <w:b/>
          <w:bCs/>
        </w:rPr>
        <w:t xml:space="preserve">hange </w:t>
      </w:r>
      <w:r w:rsidRPr="00A96836">
        <w:rPr>
          <w:rFonts w:ascii="Times New Roman" w:hAnsi="Times New Roman" w:cs="Times New Roman"/>
          <w:b/>
          <w:bCs/>
        </w:rPr>
        <w:t>of</w:t>
      </w:r>
      <w:r w:rsidR="000C2B1D" w:rsidRPr="00A96836">
        <w:rPr>
          <w:rFonts w:ascii="Times New Roman" w:hAnsi="Times New Roman" w:cs="Times New Roman"/>
          <w:b/>
          <w:bCs/>
        </w:rPr>
        <w:t xml:space="preserve"> </w:t>
      </w:r>
      <w:r w:rsidR="00450D40" w:rsidRPr="00A96836">
        <w:rPr>
          <w:rFonts w:ascii="Times New Roman" w:hAnsi="Times New Roman" w:cs="Times New Roman"/>
          <w:b/>
          <w:bCs/>
        </w:rPr>
        <w:t>IOP following</w:t>
      </w:r>
      <w:r w:rsidR="000C2B1D" w:rsidRPr="00A96836">
        <w:rPr>
          <w:rFonts w:ascii="Times New Roman" w:hAnsi="Times New Roman" w:cs="Times New Roman"/>
          <w:b/>
          <w:bCs/>
        </w:rPr>
        <w:t xml:space="preserve"> limited</w:t>
      </w:r>
      <w:r w:rsidRPr="00A96836">
        <w:rPr>
          <w:rFonts w:ascii="Times New Roman" w:hAnsi="Times New Roman" w:cs="Times New Roman"/>
          <w:b/>
          <w:bCs/>
        </w:rPr>
        <w:t xml:space="preserve"> </w:t>
      </w:r>
      <w:r w:rsidR="00450D40" w:rsidRPr="00A96836">
        <w:rPr>
          <w:rFonts w:ascii="Times New Roman" w:hAnsi="Times New Roman" w:cs="Times New Roman"/>
          <w:b/>
          <w:bCs/>
        </w:rPr>
        <w:t>CPC in</w:t>
      </w:r>
      <w:r w:rsidR="000C2B1D" w:rsidRPr="00A96836">
        <w:rPr>
          <w:rFonts w:ascii="Times New Roman" w:hAnsi="Times New Roman" w:cs="Times New Roman"/>
          <w:b/>
          <w:bCs/>
        </w:rPr>
        <w:t xml:space="preserve"> refractory glaucoma patients treated at KCMC hospital Ophthalmology Department (N=74)</w:t>
      </w:r>
      <w:bookmarkEnd w:id="7"/>
    </w:p>
    <w:p w14:paraId="75B58E31" w14:textId="61331A15" w:rsidR="00767540" w:rsidRPr="00A96836" w:rsidRDefault="00767540" w:rsidP="00A96836">
      <w:pPr>
        <w:spacing w:after="240" w:line="360" w:lineRule="auto"/>
        <w:jc w:val="both"/>
        <w:rPr>
          <w:rFonts w:ascii="Times New Roman" w:eastAsia="Times New Roman" w:hAnsi="Times New Roman" w:cs="Times New Roman"/>
          <w:b/>
          <w:bCs/>
        </w:rPr>
      </w:pPr>
      <w:r w:rsidRPr="00A96836">
        <w:rPr>
          <w:rFonts w:ascii="Times New Roman" w:eastAsia="Times New Roman" w:hAnsi="Times New Roman" w:cs="Times New Roman"/>
        </w:rPr>
        <w:t xml:space="preserve">The overall incidence rate of CPC success was </w:t>
      </w:r>
      <w:r w:rsidR="00BB4824">
        <w:rPr>
          <w:rFonts w:ascii="Times New Roman" w:eastAsia="Times New Roman" w:hAnsi="Times New Roman" w:cs="Times New Roman"/>
        </w:rPr>
        <w:t xml:space="preserve">15.54 </w:t>
      </w:r>
      <w:r w:rsidR="00BB4824" w:rsidRPr="00BB4824">
        <w:rPr>
          <w:rFonts w:ascii="Times New Roman" w:eastAsia="Times New Roman" w:hAnsi="Times New Roman" w:cs="Times New Roman"/>
        </w:rPr>
        <w:t>per 100 person-months</w:t>
      </w:r>
      <w:r w:rsidR="00BB4824">
        <w:rPr>
          <w:rFonts w:ascii="Times New Roman" w:eastAsia="Times New Roman" w:hAnsi="Times New Roman" w:cs="Times New Roman"/>
        </w:rPr>
        <w:t xml:space="preserve"> (95%CI: 11.21-21.54) </w:t>
      </w:r>
      <w:r w:rsidRPr="00A96836">
        <w:rPr>
          <w:rFonts w:ascii="Times New Roman" w:eastAsia="Times New Roman" w:hAnsi="Times New Roman" w:cs="Times New Roman"/>
        </w:rPr>
        <w:t xml:space="preserve">with </w:t>
      </w:r>
      <w:r w:rsidR="00BB4824">
        <w:rPr>
          <w:rFonts w:ascii="Times New Roman" w:eastAsia="Times New Roman" w:hAnsi="Times New Roman" w:cs="Times New Roman"/>
        </w:rPr>
        <w:t>36 events occurring during the follow</w:t>
      </w:r>
      <w:r w:rsidR="000C67BC">
        <w:rPr>
          <w:rFonts w:ascii="Times New Roman" w:eastAsia="Times New Roman" w:hAnsi="Times New Roman" w:cs="Times New Roman"/>
        </w:rPr>
        <w:t xml:space="preserve"> </w:t>
      </w:r>
      <w:r w:rsidR="00BB4824">
        <w:rPr>
          <w:rFonts w:ascii="Times New Roman" w:eastAsia="Times New Roman" w:hAnsi="Times New Roman" w:cs="Times New Roman"/>
        </w:rPr>
        <w:t xml:space="preserve">up. The </w:t>
      </w:r>
      <w:r w:rsidRPr="00A96836">
        <w:rPr>
          <w:rFonts w:ascii="Times New Roman" w:eastAsia="Times New Roman" w:hAnsi="Times New Roman" w:cs="Times New Roman"/>
        </w:rPr>
        <w:t>median follow</w:t>
      </w:r>
      <w:r w:rsidR="000C67BC">
        <w:rPr>
          <w:rFonts w:ascii="Times New Roman" w:eastAsia="Times New Roman" w:hAnsi="Times New Roman" w:cs="Times New Roman"/>
        </w:rPr>
        <w:t xml:space="preserve">- </w:t>
      </w:r>
      <w:r w:rsidRPr="00A96836">
        <w:rPr>
          <w:rFonts w:ascii="Times New Roman" w:eastAsia="Times New Roman" w:hAnsi="Times New Roman" w:cs="Times New Roman"/>
        </w:rPr>
        <w:t xml:space="preserve">up time </w:t>
      </w:r>
      <w:r w:rsidR="00372F16">
        <w:rPr>
          <w:rFonts w:ascii="Times New Roman" w:eastAsia="Times New Roman" w:hAnsi="Times New Roman" w:cs="Times New Roman"/>
        </w:rPr>
        <w:t>was</w:t>
      </w:r>
      <w:r w:rsidRPr="00A96836">
        <w:rPr>
          <w:rFonts w:ascii="Times New Roman" w:eastAsia="Times New Roman" w:hAnsi="Times New Roman" w:cs="Times New Roman"/>
        </w:rPr>
        <w:t xml:space="preserve"> 3.29 months (IQR=3.09-3.52). </w:t>
      </w:r>
    </w:p>
    <w:p w14:paraId="1CD9BF58" w14:textId="77777777" w:rsidR="00776C5C" w:rsidRDefault="00372F16" w:rsidP="00A96836">
      <w:pPr>
        <w:spacing w:after="240" w:line="360" w:lineRule="auto"/>
        <w:rPr>
          <w:rFonts w:ascii="Times New Roman" w:eastAsia="Times New Roman" w:hAnsi="Times New Roman" w:cs="Times New Roman"/>
          <w:b/>
          <w:bCs/>
        </w:rPr>
      </w:pPr>
      <w:r>
        <w:rPr>
          <w:rFonts w:ascii="Times New Roman" w:eastAsia="Times New Roman" w:hAnsi="Times New Roman" w:cs="Times New Roman"/>
          <w:b/>
          <w:bCs/>
        </w:rPr>
        <w:t>Figure 2</w:t>
      </w:r>
      <w:r w:rsidR="00952951">
        <w:rPr>
          <w:rFonts w:ascii="Times New Roman" w:eastAsia="Times New Roman" w:hAnsi="Times New Roman" w:cs="Times New Roman"/>
          <w:b/>
          <w:bCs/>
        </w:rPr>
        <w:t xml:space="preserve"> </w:t>
      </w:r>
      <w:r w:rsidR="00952951" w:rsidRPr="00776C5C">
        <w:rPr>
          <w:rFonts w:ascii="Times New Roman" w:eastAsia="Times New Roman" w:hAnsi="Times New Roman" w:cs="Times New Roman"/>
        </w:rPr>
        <w:t xml:space="preserve">is a Nelson-Aalen curve estimator showing how individuals achieve success over time. The cumulative hazard of achieving CPC success </w:t>
      </w:r>
      <w:r w:rsidR="00776C5C" w:rsidRPr="00776C5C">
        <w:rPr>
          <w:rFonts w:ascii="Times New Roman" w:eastAsia="Times New Roman" w:hAnsi="Times New Roman" w:cs="Times New Roman"/>
        </w:rPr>
        <w:t xml:space="preserve">increases steadily approximately around 2.9 months and accelerates sharply after 3 months. </w:t>
      </w:r>
    </w:p>
    <w:p w14:paraId="495C3ADD" w14:textId="05931848" w:rsidR="0064616D" w:rsidRDefault="000C2B1D" w:rsidP="00776C5C">
      <w:pPr>
        <w:spacing w:after="240" w:line="360" w:lineRule="auto"/>
        <w:rPr>
          <w:rFonts w:ascii="Times New Roman" w:eastAsia="Times New Roman" w:hAnsi="Times New Roman" w:cs="Times New Roman"/>
        </w:rPr>
      </w:pPr>
      <w:r w:rsidRPr="00A96836">
        <w:rPr>
          <w:rFonts w:ascii="Times New Roman" w:eastAsia="Times New Roman" w:hAnsi="Times New Roman" w:cs="Times New Roman"/>
          <w:b/>
          <w:bCs/>
        </w:rPr>
        <w:t xml:space="preserve">Figure </w:t>
      </w:r>
      <w:r w:rsidR="00337B78" w:rsidRPr="00A96836">
        <w:rPr>
          <w:rFonts w:ascii="Times New Roman" w:eastAsia="Times New Roman" w:hAnsi="Times New Roman" w:cs="Times New Roman"/>
          <w:b/>
          <w:bCs/>
        </w:rPr>
        <w:t>3</w:t>
      </w:r>
      <w:r w:rsidRPr="00A96836">
        <w:rPr>
          <w:rFonts w:ascii="Times New Roman" w:eastAsia="Times New Roman" w:hAnsi="Times New Roman" w:cs="Times New Roman"/>
        </w:rPr>
        <w:t xml:space="preserve"> shows the median change in intraocular pressure (IOP) before and after </w:t>
      </w:r>
      <w:r w:rsidR="000C67BC">
        <w:rPr>
          <w:rFonts w:ascii="Times New Roman" w:eastAsia="Times New Roman" w:hAnsi="Times New Roman" w:cs="Times New Roman"/>
        </w:rPr>
        <w:t>CPC</w:t>
      </w:r>
      <w:r w:rsidRPr="00A96836">
        <w:rPr>
          <w:rFonts w:ascii="Times New Roman" w:eastAsia="Times New Roman" w:hAnsi="Times New Roman" w:cs="Times New Roman"/>
        </w:rPr>
        <w:t xml:space="preserve">. There was a significant median IOP decrease (P-value&lt;0.05) from the initial IOP during the follow up time. The IOP varied with time in individual eyes, going both up and down from </w:t>
      </w:r>
      <w:r w:rsidR="000F6CF1">
        <w:rPr>
          <w:rFonts w:ascii="Times New Roman" w:eastAsia="Times New Roman" w:hAnsi="Times New Roman" w:cs="Times New Roman"/>
        </w:rPr>
        <w:t>one</w:t>
      </w:r>
      <w:r w:rsidRPr="00A96836">
        <w:rPr>
          <w:rFonts w:ascii="Times New Roman" w:eastAsia="Times New Roman" w:hAnsi="Times New Roman" w:cs="Times New Roman"/>
        </w:rPr>
        <w:t xml:space="preserve"> visit to another. </w:t>
      </w:r>
    </w:p>
    <w:p w14:paraId="09865FFE" w14:textId="1757EC98" w:rsidR="00776C5C" w:rsidRDefault="00776C5C" w:rsidP="00776C5C">
      <w:pPr>
        <w:spacing w:after="240" w:line="360" w:lineRule="auto"/>
        <w:jc w:val="center"/>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14:anchorId="231C44A3" wp14:editId="26C65098">
            <wp:extent cx="5029200" cy="3657600"/>
            <wp:effectExtent l="0" t="0" r="0" b="0"/>
            <wp:docPr id="1413599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599121" name="Picture 1413599121"/>
                    <pic:cNvPicPr/>
                  </pic:nvPicPr>
                  <pic:blipFill>
                    <a:blip r:embed="rId10">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14:paraId="48FF3CE7" w14:textId="16858819" w:rsidR="00776C5C" w:rsidRPr="00776C5C" w:rsidRDefault="00776C5C" w:rsidP="00776C5C">
      <w:pPr>
        <w:spacing w:after="240" w:line="360" w:lineRule="auto"/>
        <w:rPr>
          <w:rFonts w:ascii="Times New Roman" w:eastAsia="Times New Roman" w:hAnsi="Times New Roman" w:cs="Times New Roman"/>
        </w:rPr>
      </w:pPr>
      <w:r w:rsidRPr="00776C5C">
        <w:rPr>
          <w:rFonts w:ascii="Times New Roman" w:eastAsia="Times New Roman" w:hAnsi="Times New Roman" w:cs="Times New Roman"/>
          <w:b/>
          <w:bCs/>
        </w:rPr>
        <w:t xml:space="preserve">Figure </w:t>
      </w:r>
      <w:r w:rsidR="00E158AD">
        <w:rPr>
          <w:rFonts w:ascii="Times New Roman" w:eastAsia="Times New Roman" w:hAnsi="Times New Roman" w:cs="Times New Roman"/>
          <w:b/>
          <w:bCs/>
        </w:rPr>
        <w:t>2</w:t>
      </w:r>
      <w:r>
        <w:rPr>
          <w:rFonts w:ascii="Times New Roman" w:eastAsia="Times New Roman" w:hAnsi="Times New Roman" w:cs="Times New Roman"/>
          <w:b/>
          <w:bCs/>
        </w:rPr>
        <w:t>:</w:t>
      </w:r>
      <w:r>
        <w:rPr>
          <w:rFonts w:ascii="Times New Roman" w:eastAsia="Times New Roman" w:hAnsi="Times New Roman" w:cs="Times New Roman"/>
        </w:rPr>
        <w:t xml:space="preserve"> </w:t>
      </w:r>
      <w:r w:rsidRPr="00776C5C">
        <w:rPr>
          <w:rFonts w:ascii="Times New Roman" w:hAnsi="Times New Roman" w:cs="Times New Roman"/>
          <w:b/>
          <w:bCs/>
        </w:rPr>
        <w:t>Nelson A</w:t>
      </w:r>
      <w:r w:rsidR="005C64ED">
        <w:rPr>
          <w:rFonts w:ascii="Times New Roman" w:hAnsi="Times New Roman" w:cs="Times New Roman"/>
          <w:b/>
          <w:bCs/>
        </w:rPr>
        <w:t>a</w:t>
      </w:r>
      <w:r w:rsidRPr="00776C5C">
        <w:rPr>
          <w:rFonts w:ascii="Times New Roman" w:hAnsi="Times New Roman" w:cs="Times New Roman"/>
          <w:b/>
          <w:bCs/>
        </w:rPr>
        <w:t>l</w:t>
      </w:r>
      <w:r w:rsidR="005C64ED">
        <w:rPr>
          <w:rFonts w:ascii="Times New Roman" w:hAnsi="Times New Roman" w:cs="Times New Roman"/>
          <w:b/>
          <w:bCs/>
        </w:rPr>
        <w:t>e</w:t>
      </w:r>
      <w:r w:rsidRPr="00776C5C">
        <w:rPr>
          <w:rFonts w:ascii="Times New Roman" w:hAnsi="Times New Roman" w:cs="Times New Roman"/>
          <w:b/>
          <w:bCs/>
        </w:rPr>
        <w:t>n estimator curve in contest of participant achieving success overtime</w:t>
      </w:r>
      <w:r w:rsidR="005C64ED">
        <w:rPr>
          <w:rFonts w:ascii="Times New Roman" w:hAnsi="Times New Roman" w:cs="Times New Roman"/>
          <w:b/>
          <w:bCs/>
        </w:rPr>
        <w:t>.</w:t>
      </w:r>
      <w:r>
        <w:rPr>
          <w:rFonts w:ascii="Times New Roman" w:hAnsi="Times New Roman" w:cs="Times New Roman"/>
          <w:b/>
          <w:bCs/>
        </w:rPr>
        <w:t xml:space="preserve"> </w:t>
      </w:r>
    </w:p>
    <w:p w14:paraId="7C355CBF" w14:textId="77777777" w:rsidR="00767540" w:rsidRPr="00A96836" w:rsidRDefault="00767540" w:rsidP="00776C5C">
      <w:pPr>
        <w:spacing w:line="360" w:lineRule="auto"/>
        <w:jc w:val="center"/>
        <w:rPr>
          <w:rFonts w:ascii="Times New Roman" w:eastAsia="Times New Roman" w:hAnsi="Times New Roman" w:cs="Times New Roman"/>
          <w:b/>
          <w:color w:val="000000"/>
        </w:rPr>
      </w:pPr>
      <w:r w:rsidRPr="00A96836">
        <w:rPr>
          <w:rFonts w:ascii="Times New Roman" w:hAnsi="Times New Roman" w:cs="Times New Roman"/>
          <w:noProof/>
        </w:rPr>
        <mc:AlternateContent>
          <mc:Choice Requires="cx1">
            <w:drawing>
              <wp:inline distT="0" distB="0" distL="0" distR="0" wp14:anchorId="7EE2368B" wp14:editId="47536DAE">
                <wp:extent cx="4572000" cy="2743200"/>
                <wp:effectExtent l="0" t="0" r="0" b="0"/>
                <wp:docPr id="1" name="Chart 1">
                  <a:extLst xmlns:a="http://schemas.openxmlformats.org/drawingml/2006/main">
                    <a:ext uri="{FF2B5EF4-FFF2-40B4-BE49-F238E27FC236}">
                      <a16:creationId xmlns:a16="http://schemas.microsoft.com/office/drawing/2014/main" id="{304A3EF1-BEB3-64D9-E69A-DCA06ADF0992}"/>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1"/>
                  </a:graphicData>
                </a:graphic>
              </wp:inline>
            </w:drawing>
          </mc:Choice>
          <mc:Fallback>
            <w:drawing>
              <wp:inline distT="0" distB="0" distL="0" distR="0" wp14:anchorId="7EE2368B" wp14:editId="47536DAE">
                <wp:extent cx="4572000" cy="2743200"/>
                <wp:effectExtent l="0" t="0" r="0" b="0"/>
                <wp:docPr id="1" name="Chart 1">
                  <a:extLst xmlns:a="http://schemas.openxmlformats.org/drawingml/2006/main">
                    <a:ext uri="{FF2B5EF4-FFF2-40B4-BE49-F238E27FC236}">
                      <a16:creationId xmlns:a16="http://schemas.microsoft.com/office/drawing/2014/main" id="{304A3EF1-BEB3-64D9-E69A-DCA06ADF0992}"/>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Chart 1">
                          <a:extLst>
                            <a:ext uri="{FF2B5EF4-FFF2-40B4-BE49-F238E27FC236}">
                              <a16:creationId xmlns:a16="http://schemas.microsoft.com/office/drawing/2014/main" id="{304A3EF1-BEB3-64D9-E69A-DCA06ADF0992}"/>
                            </a:ext>
                          </a:extLst>
                        </pic:cNvPr>
                        <pic:cNvPicPr>
                          <a:picLocks noGrp="1" noRot="1" noChangeAspect="1" noMove="1" noResize="1" noEditPoints="1" noAdjustHandles="1" noChangeArrowheads="1" noChangeShapeType="1"/>
                        </pic:cNvPicPr>
                      </pic:nvPicPr>
                      <pic:blipFill>
                        <a:blip r:embed="rId17"/>
                        <a:stretch>
                          <a:fillRect/>
                        </a:stretch>
                      </pic:blipFill>
                      <pic:spPr>
                        <a:xfrm>
                          <a:off x="0" y="0"/>
                          <a:ext cx="4572000" cy="2743200"/>
                        </a:xfrm>
                        <a:prstGeom prst="rect">
                          <a:avLst/>
                        </a:prstGeom>
                      </pic:spPr>
                    </pic:pic>
                  </a:graphicData>
                </a:graphic>
              </wp:inline>
            </w:drawing>
          </mc:Fallback>
        </mc:AlternateContent>
      </w:r>
    </w:p>
    <w:p w14:paraId="24647DE4" w14:textId="41701663" w:rsidR="00767540" w:rsidRPr="00A96836" w:rsidRDefault="00767540" w:rsidP="00A96836">
      <w:pPr>
        <w:spacing w:line="360" w:lineRule="auto"/>
        <w:jc w:val="both"/>
        <w:rPr>
          <w:rFonts w:ascii="Times New Roman" w:eastAsia="Times New Roman" w:hAnsi="Times New Roman" w:cs="Times New Roman"/>
          <w:b/>
          <w:color w:val="000000"/>
        </w:rPr>
      </w:pPr>
      <w:r w:rsidRPr="00A96836">
        <w:rPr>
          <w:rFonts w:ascii="Times New Roman" w:eastAsia="Times New Roman" w:hAnsi="Times New Roman" w:cs="Times New Roman"/>
          <w:b/>
          <w:color w:val="000000"/>
        </w:rPr>
        <w:t>Figure 3: Illustration of IOP change from initial to 3</w:t>
      </w:r>
      <w:r w:rsidR="000C67BC">
        <w:rPr>
          <w:rFonts w:ascii="Times New Roman" w:eastAsia="Times New Roman" w:hAnsi="Times New Roman" w:cs="Times New Roman"/>
          <w:b/>
          <w:color w:val="000000"/>
        </w:rPr>
        <w:t xml:space="preserve"> </w:t>
      </w:r>
      <w:r w:rsidRPr="00A96836">
        <w:rPr>
          <w:rFonts w:ascii="Times New Roman" w:eastAsia="Times New Roman" w:hAnsi="Times New Roman" w:cs="Times New Roman"/>
          <w:b/>
          <w:color w:val="000000"/>
        </w:rPr>
        <w:t>months follow-up time (N-74)</w:t>
      </w:r>
    </w:p>
    <w:p w14:paraId="593E5EA8" w14:textId="428C37FE" w:rsidR="00EB7BFB" w:rsidRPr="00A96836" w:rsidRDefault="00EB7BFB" w:rsidP="00A96836">
      <w:pPr>
        <w:spacing w:before="240" w:line="360" w:lineRule="auto"/>
        <w:jc w:val="both"/>
        <w:rPr>
          <w:rFonts w:ascii="Times New Roman" w:hAnsi="Times New Roman" w:cs="Times New Roman"/>
          <w:b/>
          <w:bCs/>
        </w:rPr>
      </w:pPr>
      <w:r w:rsidRPr="00A96836">
        <w:rPr>
          <w:rFonts w:ascii="Times New Roman" w:hAnsi="Times New Roman" w:cs="Times New Roman"/>
          <w:b/>
          <w:bCs/>
        </w:rPr>
        <w:t>Complications following limited</w:t>
      </w:r>
      <w:r w:rsidR="000C67BC">
        <w:rPr>
          <w:rFonts w:ascii="Times New Roman" w:hAnsi="Times New Roman" w:cs="Times New Roman"/>
          <w:b/>
          <w:bCs/>
        </w:rPr>
        <w:t xml:space="preserve"> CPC</w:t>
      </w:r>
      <w:r w:rsidRPr="00A96836">
        <w:rPr>
          <w:rFonts w:ascii="Times New Roman" w:hAnsi="Times New Roman" w:cs="Times New Roman"/>
          <w:b/>
          <w:bCs/>
        </w:rPr>
        <w:t xml:space="preserve"> in refractory glaucoma patients treated at KCMC Ophthalmology Department.</w:t>
      </w:r>
    </w:p>
    <w:p w14:paraId="01350186" w14:textId="714F23A4" w:rsidR="00A96836" w:rsidRPr="00A96836" w:rsidRDefault="00611F6E" w:rsidP="00A96836">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During follow up,</w:t>
      </w:r>
      <w:r w:rsidR="00EB7BFB" w:rsidRPr="00A96836">
        <w:rPr>
          <w:rFonts w:ascii="Times New Roman" w:eastAsia="Times New Roman" w:hAnsi="Times New Roman" w:cs="Times New Roman"/>
        </w:rPr>
        <w:t xml:space="preserve"> </w:t>
      </w:r>
      <w:r w:rsidR="005C64ED">
        <w:rPr>
          <w:rFonts w:ascii="Times New Roman" w:eastAsia="Times New Roman" w:hAnsi="Times New Roman" w:cs="Times New Roman"/>
        </w:rPr>
        <w:t>p</w:t>
      </w:r>
      <w:r w:rsidR="00EB7BFB" w:rsidRPr="00A96836">
        <w:rPr>
          <w:rFonts w:ascii="Times New Roman" w:eastAsia="Times New Roman" w:hAnsi="Times New Roman" w:cs="Times New Roman"/>
        </w:rPr>
        <w:t>ost CPC uveitis was the most observed complication in 8 (10.8%) patients</w:t>
      </w:r>
      <w:r>
        <w:rPr>
          <w:rFonts w:ascii="Times New Roman" w:eastAsia="Times New Roman" w:hAnsi="Times New Roman" w:cs="Times New Roman"/>
        </w:rPr>
        <w:t>, followed by</w:t>
      </w:r>
      <w:r w:rsidR="00EB7BFB" w:rsidRPr="00A96836">
        <w:rPr>
          <w:rFonts w:ascii="Times New Roman" w:eastAsia="Times New Roman" w:hAnsi="Times New Roman" w:cs="Times New Roman"/>
        </w:rPr>
        <w:t xml:space="preserve"> </w:t>
      </w:r>
      <w:r>
        <w:rPr>
          <w:rFonts w:ascii="Times New Roman" w:eastAsia="Times New Roman" w:hAnsi="Times New Roman" w:cs="Times New Roman"/>
        </w:rPr>
        <w:t>c</w:t>
      </w:r>
      <w:r w:rsidR="00EB7BFB" w:rsidRPr="00A96836">
        <w:rPr>
          <w:rFonts w:ascii="Times New Roman" w:eastAsia="Times New Roman" w:hAnsi="Times New Roman" w:cs="Times New Roman"/>
        </w:rPr>
        <w:t xml:space="preserve">ystoid macular edema observed in 6(8.1%) and only 2(2.7%) experienced IOP of less than 6mmHg. </w:t>
      </w:r>
    </w:p>
    <w:p w14:paraId="02DD897A" w14:textId="77777777" w:rsidR="00B75E47" w:rsidRPr="00A96836" w:rsidRDefault="00B75E47" w:rsidP="00A96836">
      <w:pPr>
        <w:pStyle w:val="Heading2"/>
        <w:spacing w:line="360" w:lineRule="auto"/>
        <w:jc w:val="both"/>
        <w:rPr>
          <w:rFonts w:ascii="Times New Roman" w:eastAsia="Times New Roman" w:hAnsi="Times New Roman" w:cs="Times New Roman"/>
          <w:b/>
          <w:color w:val="000000"/>
          <w:sz w:val="24"/>
          <w:szCs w:val="24"/>
        </w:rPr>
      </w:pPr>
      <w:bookmarkStart w:id="8" w:name="_Toc199960649"/>
    </w:p>
    <w:p w14:paraId="3A34F2CC" w14:textId="73D30E6E" w:rsidR="0064616D" w:rsidRPr="008515C4" w:rsidRDefault="000C2B1D" w:rsidP="008515C4">
      <w:pPr>
        <w:spacing w:line="360" w:lineRule="auto"/>
        <w:jc w:val="both"/>
        <w:rPr>
          <w:rFonts w:ascii="Times New Roman" w:hAnsi="Times New Roman" w:cs="Times New Roman"/>
          <w:b/>
          <w:bCs/>
        </w:rPr>
      </w:pPr>
      <w:r w:rsidRPr="008515C4">
        <w:rPr>
          <w:rFonts w:ascii="Times New Roman" w:hAnsi="Times New Roman" w:cs="Times New Roman"/>
          <w:b/>
          <w:bCs/>
        </w:rPr>
        <w:t>Factors associated with the change in intraocular pressure (IOP) following limited Cyclophotocoagulation (CPC)</w:t>
      </w:r>
      <w:bookmarkEnd w:id="8"/>
    </w:p>
    <w:p w14:paraId="01D6007A" w14:textId="2E2CE754" w:rsidR="00282765" w:rsidRDefault="000C2B1D"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b/>
          <w:bCs/>
        </w:rPr>
        <w:t xml:space="preserve">Table </w:t>
      </w:r>
      <w:r w:rsidR="00E158AD">
        <w:rPr>
          <w:rFonts w:ascii="Times New Roman" w:eastAsia="Times New Roman" w:hAnsi="Times New Roman" w:cs="Times New Roman"/>
          <w:b/>
          <w:bCs/>
        </w:rPr>
        <w:t>2</w:t>
      </w:r>
      <w:r w:rsidRPr="00A96836">
        <w:rPr>
          <w:rFonts w:ascii="Times New Roman" w:eastAsia="Times New Roman" w:hAnsi="Times New Roman" w:cs="Times New Roman"/>
          <w:color w:val="EE0000"/>
        </w:rPr>
        <w:t xml:space="preserve"> </w:t>
      </w:r>
      <w:r w:rsidRPr="00D63ED2">
        <w:rPr>
          <w:rFonts w:ascii="Times New Roman" w:eastAsia="Times New Roman" w:hAnsi="Times New Roman" w:cs="Times New Roman"/>
        </w:rPr>
        <w:t>summarizes factors associated with CPC success</w:t>
      </w:r>
      <w:r w:rsidR="00D63ED2">
        <w:rPr>
          <w:rFonts w:ascii="Times New Roman" w:eastAsia="Times New Roman" w:hAnsi="Times New Roman" w:cs="Times New Roman"/>
        </w:rPr>
        <w:t xml:space="preserve"> in b</w:t>
      </w:r>
      <w:r w:rsidR="00DF6853">
        <w:rPr>
          <w:rFonts w:ascii="Times New Roman" w:eastAsia="Times New Roman" w:hAnsi="Times New Roman" w:cs="Times New Roman"/>
        </w:rPr>
        <w:t>o</w:t>
      </w:r>
      <w:r w:rsidR="00D63ED2">
        <w:rPr>
          <w:rFonts w:ascii="Times New Roman" w:eastAsia="Times New Roman" w:hAnsi="Times New Roman" w:cs="Times New Roman"/>
        </w:rPr>
        <w:t xml:space="preserve">th crude and adjusted </w:t>
      </w:r>
      <w:r w:rsidR="00DF6853">
        <w:rPr>
          <w:rFonts w:ascii="Times New Roman" w:eastAsia="Times New Roman" w:hAnsi="Times New Roman" w:cs="Times New Roman"/>
        </w:rPr>
        <w:t>analysis</w:t>
      </w:r>
      <w:r w:rsidRPr="00D63ED2">
        <w:rPr>
          <w:rFonts w:ascii="Times New Roman" w:eastAsia="Times New Roman" w:hAnsi="Times New Roman" w:cs="Times New Roman"/>
        </w:rPr>
        <w:t>.</w:t>
      </w:r>
      <w:r w:rsidRPr="00A96836">
        <w:rPr>
          <w:rFonts w:ascii="Times New Roman" w:eastAsia="Times New Roman" w:hAnsi="Times New Roman" w:cs="Times New Roman"/>
          <w:color w:val="EE0000"/>
        </w:rPr>
        <w:t xml:space="preserve"> </w:t>
      </w:r>
      <w:r w:rsidRPr="00282765">
        <w:rPr>
          <w:rFonts w:ascii="Times New Roman" w:eastAsia="Times New Roman" w:hAnsi="Times New Roman" w:cs="Times New Roman"/>
        </w:rPr>
        <w:t>In crude analysis pre-operative IOP, cup disk notching and associated commodities were factors that significantly associated with CPC success</w:t>
      </w:r>
      <w:r w:rsidR="00282765">
        <w:rPr>
          <w:rFonts w:ascii="Times New Roman" w:eastAsia="Times New Roman" w:hAnsi="Times New Roman" w:cs="Times New Roman"/>
        </w:rPr>
        <w:t>.</w:t>
      </w:r>
    </w:p>
    <w:p w14:paraId="072FE6E6" w14:textId="77777777" w:rsidR="00FF6266" w:rsidRDefault="00282765" w:rsidP="00FF6266">
      <w:pPr>
        <w:spacing w:before="240" w:line="360" w:lineRule="auto"/>
        <w:jc w:val="both"/>
        <w:rPr>
          <w:rFonts w:ascii="Times New Roman" w:eastAsia="Times New Roman" w:hAnsi="Times New Roman" w:cs="Times New Roman"/>
        </w:rPr>
      </w:pPr>
      <w:r>
        <w:rPr>
          <w:rFonts w:ascii="Times New Roman" w:eastAsia="Times New Roman" w:hAnsi="Times New Roman" w:cs="Times New Roman"/>
        </w:rPr>
        <w:t>Stepwise regression</w:t>
      </w:r>
      <w:r w:rsidR="00FD4810">
        <w:rPr>
          <w:rFonts w:ascii="Times New Roman" w:eastAsia="Times New Roman" w:hAnsi="Times New Roman" w:cs="Times New Roman"/>
        </w:rPr>
        <w:t xml:space="preserve"> retained </w:t>
      </w:r>
      <w:r w:rsidR="00FD4810" w:rsidRPr="00282765">
        <w:rPr>
          <w:rFonts w:ascii="Times New Roman" w:eastAsia="Times New Roman" w:hAnsi="Times New Roman" w:cs="Times New Roman"/>
        </w:rPr>
        <w:t>pre-operative IOP, cup disk notching and associated commodities</w:t>
      </w:r>
      <w:r w:rsidR="003E465F">
        <w:rPr>
          <w:rFonts w:ascii="Times New Roman" w:eastAsia="Times New Roman" w:hAnsi="Times New Roman" w:cs="Times New Roman"/>
        </w:rPr>
        <w:t>,</w:t>
      </w:r>
      <w:r w:rsidR="00FD4810">
        <w:rPr>
          <w:rFonts w:ascii="Times New Roman" w:eastAsia="Times New Roman" w:hAnsi="Times New Roman" w:cs="Times New Roman"/>
        </w:rPr>
        <w:t xml:space="preserve"> wh</w:t>
      </w:r>
      <w:r w:rsidR="003E465F">
        <w:rPr>
          <w:rFonts w:ascii="Times New Roman" w:eastAsia="Times New Roman" w:hAnsi="Times New Roman" w:cs="Times New Roman"/>
        </w:rPr>
        <w:t>ereas</w:t>
      </w:r>
      <w:r w:rsidR="00FD4810">
        <w:rPr>
          <w:rFonts w:ascii="Times New Roman" w:eastAsia="Times New Roman" w:hAnsi="Times New Roman" w:cs="Times New Roman"/>
        </w:rPr>
        <w:t xml:space="preserve"> age and sex </w:t>
      </w:r>
      <w:r w:rsidR="003E465F">
        <w:rPr>
          <w:rFonts w:ascii="Times New Roman" w:eastAsia="Times New Roman" w:hAnsi="Times New Roman" w:cs="Times New Roman"/>
        </w:rPr>
        <w:t>were retained prior as potential confounders.</w:t>
      </w:r>
      <w:r w:rsidR="00F863A4">
        <w:rPr>
          <w:rFonts w:ascii="Times New Roman" w:eastAsia="Times New Roman" w:hAnsi="Times New Roman" w:cs="Times New Roman"/>
        </w:rPr>
        <w:t xml:space="preserve"> Hence, the final model was adjusted for Age, sex, </w:t>
      </w:r>
      <w:r w:rsidR="00F863A4" w:rsidRPr="00282765">
        <w:rPr>
          <w:rFonts w:ascii="Times New Roman" w:eastAsia="Times New Roman" w:hAnsi="Times New Roman" w:cs="Times New Roman"/>
        </w:rPr>
        <w:t>pre-operative IOP, cup disk notching and associated commodities</w:t>
      </w:r>
      <w:r w:rsidR="00F863A4">
        <w:rPr>
          <w:rFonts w:ascii="Times New Roman" w:eastAsia="Times New Roman" w:hAnsi="Times New Roman" w:cs="Times New Roman"/>
        </w:rPr>
        <w:t xml:space="preserve">. Variables that remained significant associated with CPC success in adjusted analysis were </w:t>
      </w:r>
      <w:r w:rsidR="00F863A4" w:rsidRPr="00282765">
        <w:rPr>
          <w:rFonts w:ascii="Times New Roman" w:eastAsia="Times New Roman" w:hAnsi="Times New Roman" w:cs="Times New Roman"/>
        </w:rPr>
        <w:t>pre-operative IOP, cup disk notching and associated commodities</w:t>
      </w:r>
      <w:r w:rsidR="00F863A4">
        <w:rPr>
          <w:rFonts w:ascii="Times New Roman" w:eastAsia="Times New Roman" w:hAnsi="Times New Roman" w:cs="Times New Roman"/>
        </w:rPr>
        <w:t xml:space="preserve">. </w:t>
      </w:r>
    </w:p>
    <w:p w14:paraId="5F1BE942" w14:textId="65A8FEF7" w:rsidR="00C70300" w:rsidRDefault="00FF6266" w:rsidP="00C70300">
      <w:pPr>
        <w:spacing w:before="240" w:line="360" w:lineRule="auto"/>
        <w:jc w:val="both"/>
        <w:rPr>
          <w:rFonts w:ascii="Times New Roman" w:eastAsia="Times New Roman" w:hAnsi="Times New Roman" w:cs="Times New Roman"/>
        </w:rPr>
      </w:pPr>
      <w:r>
        <w:rPr>
          <w:rFonts w:ascii="Times New Roman" w:eastAsia="Times New Roman" w:hAnsi="Times New Roman" w:cs="Times New Roman"/>
        </w:rPr>
        <w:t>P</w:t>
      </w:r>
      <w:r w:rsidR="00F863A4">
        <w:rPr>
          <w:rFonts w:ascii="Times New Roman" w:eastAsia="Times New Roman" w:hAnsi="Times New Roman" w:cs="Times New Roman"/>
        </w:rPr>
        <w:t xml:space="preserve">articipants </w:t>
      </w:r>
      <w:r>
        <w:rPr>
          <w:rFonts w:ascii="Times New Roman" w:eastAsia="Times New Roman" w:hAnsi="Times New Roman" w:cs="Times New Roman"/>
        </w:rPr>
        <w:t>we</w:t>
      </w:r>
      <w:r w:rsidR="00F863A4">
        <w:rPr>
          <w:rFonts w:ascii="Times New Roman" w:eastAsia="Times New Roman" w:hAnsi="Times New Roman" w:cs="Times New Roman"/>
        </w:rPr>
        <w:t xml:space="preserve">re 7% </w:t>
      </w:r>
      <w:r>
        <w:rPr>
          <w:rFonts w:ascii="Times New Roman" w:eastAsia="Times New Roman" w:hAnsi="Times New Roman" w:cs="Times New Roman"/>
        </w:rPr>
        <w:t xml:space="preserve">significant </w:t>
      </w:r>
      <w:r w:rsidR="00F863A4">
        <w:rPr>
          <w:rFonts w:ascii="Times New Roman" w:eastAsia="Times New Roman" w:hAnsi="Times New Roman" w:cs="Times New Roman"/>
        </w:rPr>
        <w:t xml:space="preserve">less likely to have CPC success </w:t>
      </w:r>
      <w:r w:rsidR="008E3351">
        <w:rPr>
          <w:rFonts w:ascii="Times New Roman" w:eastAsia="Times New Roman" w:hAnsi="Times New Roman" w:cs="Times New Roman"/>
        </w:rPr>
        <w:t>[</w:t>
      </w:r>
      <w:r w:rsidR="00F863A4" w:rsidRPr="008E3351">
        <w:rPr>
          <w:rFonts w:ascii="Times New Roman" w:eastAsia="Times New Roman" w:hAnsi="Times New Roman" w:cs="Times New Roman"/>
        </w:rPr>
        <w:t>AHR=0.</w:t>
      </w:r>
      <w:r w:rsidR="008E3351" w:rsidRPr="008E3351">
        <w:rPr>
          <w:rFonts w:ascii="Times New Roman" w:eastAsia="Times New Roman" w:hAnsi="Times New Roman" w:cs="Times New Roman"/>
        </w:rPr>
        <w:t>93</w:t>
      </w:r>
      <w:r w:rsidR="00F863A4" w:rsidRPr="008E3351">
        <w:rPr>
          <w:rFonts w:ascii="Times New Roman" w:eastAsia="Times New Roman" w:hAnsi="Times New Roman" w:cs="Times New Roman"/>
        </w:rPr>
        <w:t>; 95%CI (</w:t>
      </w:r>
      <w:r w:rsidR="008E3351">
        <w:rPr>
          <w:rFonts w:ascii="Times New Roman" w:eastAsia="Times New Roman" w:hAnsi="Times New Roman" w:cs="Times New Roman"/>
        </w:rPr>
        <w:t>0.89-0.97</w:t>
      </w:r>
      <w:r w:rsidR="00F863A4" w:rsidRPr="008E3351">
        <w:rPr>
          <w:rFonts w:ascii="Times New Roman" w:eastAsia="Times New Roman" w:hAnsi="Times New Roman" w:cs="Times New Roman"/>
        </w:rPr>
        <w:t>)</w:t>
      </w:r>
      <w:r w:rsidR="008E3351">
        <w:rPr>
          <w:rFonts w:ascii="Times New Roman" w:eastAsia="Times New Roman" w:hAnsi="Times New Roman" w:cs="Times New Roman"/>
        </w:rPr>
        <w:t>]</w:t>
      </w:r>
      <w:r>
        <w:rPr>
          <w:rFonts w:ascii="Times New Roman" w:eastAsia="Times New Roman" w:hAnsi="Times New Roman" w:cs="Times New Roman"/>
        </w:rPr>
        <w:t xml:space="preserve"> after every 1 mmHg increase in IOP</w:t>
      </w:r>
      <w:r w:rsidR="008E3351">
        <w:rPr>
          <w:rFonts w:ascii="Times New Roman" w:eastAsia="Times New Roman" w:hAnsi="Times New Roman" w:cs="Times New Roman"/>
        </w:rPr>
        <w:t>.</w:t>
      </w:r>
      <w:r>
        <w:rPr>
          <w:rFonts w:ascii="Times New Roman" w:eastAsia="Times New Roman" w:hAnsi="Times New Roman" w:cs="Times New Roman"/>
        </w:rPr>
        <w:t xml:space="preserve"> </w:t>
      </w:r>
      <w:r w:rsidRPr="00FF6266">
        <w:rPr>
          <w:rFonts w:ascii="Times New Roman" w:eastAsia="Times New Roman" w:hAnsi="Times New Roman" w:cs="Times New Roman"/>
        </w:rPr>
        <w:t>I</w:t>
      </w:r>
      <w:r w:rsidR="000C2B1D" w:rsidRPr="00FF6266">
        <w:rPr>
          <w:rFonts w:ascii="Times New Roman" w:eastAsia="Times New Roman" w:hAnsi="Times New Roman" w:cs="Times New Roman"/>
        </w:rPr>
        <w:t>ndividual</w:t>
      </w:r>
      <w:r>
        <w:rPr>
          <w:rFonts w:ascii="Times New Roman" w:eastAsia="Times New Roman" w:hAnsi="Times New Roman" w:cs="Times New Roman"/>
        </w:rPr>
        <w:t>s</w:t>
      </w:r>
      <w:r w:rsidR="000C2B1D" w:rsidRPr="00FF6266">
        <w:rPr>
          <w:rFonts w:ascii="Times New Roman" w:eastAsia="Times New Roman" w:hAnsi="Times New Roman" w:cs="Times New Roman"/>
        </w:rPr>
        <w:t xml:space="preserve"> with cup disk notching </w:t>
      </w:r>
      <w:r w:rsidRPr="00FF6266">
        <w:rPr>
          <w:rFonts w:ascii="Times New Roman" w:eastAsia="Times New Roman" w:hAnsi="Times New Roman" w:cs="Times New Roman"/>
        </w:rPr>
        <w:t>were approximately 2.4 times</w:t>
      </w:r>
      <w:r w:rsidR="000C2B1D" w:rsidRPr="00FF6266">
        <w:rPr>
          <w:rFonts w:ascii="Times New Roman" w:eastAsia="Times New Roman" w:hAnsi="Times New Roman" w:cs="Times New Roman"/>
        </w:rPr>
        <w:t xml:space="preserve"> significant </w:t>
      </w:r>
      <w:r w:rsidRPr="00FF6266">
        <w:rPr>
          <w:rFonts w:ascii="Times New Roman" w:eastAsia="Times New Roman" w:hAnsi="Times New Roman" w:cs="Times New Roman"/>
        </w:rPr>
        <w:t xml:space="preserve">more likely </w:t>
      </w:r>
      <w:r w:rsidR="000C2B1D" w:rsidRPr="00FF6266">
        <w:rPr>
          <w:rFonts w:ascii="Times New Roman" w:eastAsia="Times New Roman" w:hAnsi="Times New Roman" w:cs="Times New Roman"/>
        </w:rPr>
        <w:t xml:space="preserve">of having CPC success compared to those with </w:t>
      </w:r>
      <w:r w:rsidR="005C64ED">
        <w:rPr>
          <w:rFonts w:ascii="Times New Roman" w:eastAsia="Times New Roman" w:hAnsi="Times New Roman" w:cs="Times New Roman"/>
        </w:rPr>
        <w:t xml:space="preserve">no </w:t>
      </w:r>
      <w:r w:rsidR="000C2B1D" w:rsidRPr="00FF6266">
        <w:rPr>
          <w:rFonts w:ascii="Times New Roman" w:eastAsia="Times New Roman" w:hAnsi="Times New Roman" w:cs="Times New Roman"/>
        </w:rPr>
        <w:t xml:space="preserve">cup disk notching </w:t>
      </w:r>
      <w:r w:rsidRPr="00FF6266">
        <w:rPr>
          <w:rFonts w:ascii="Times New Roman" w:eastAsia="Times New Roman" w:hAnsi="Times New Roman" w:cs="Times New Roman"/>
        </w:rPr>
        <w:t>[</w:t>
      </w:r>
      <w:r w:rsidR="000C2B1D" w:rsidRPr="00FF6266">
        <w:rPr>
          <w:rFonts w:ascii="Times New Roman" w:eastAsia="Times New Roman" w:hAnsi="Times New Roman" w:cs="Times New Roman"/>
        </w:rPr>
        <w:t>AHR=</w:t>
      </w:r>
      <w:r w:rsidRPr="00FF6266">
        <w:rPr>
          <w:rFonts w:ascii="Times New Roman" w:eastAsia="Times New Roman" w:hAnsi="Times New Roman" w:cs="Times New Roman"/>
        </w:rPr>
        <w:t>2.39</w:t>
      </w:r>
      <w:r w:rsidR="000C2B1D" w:rsidRPr="00FF6266">
        <w:rPr>
          <w:rFonts w:ascii="Times New Roman" w:eastAsia="Times New Roman" w:hAnsi="Times New Roman" w:cs="Times New Roman"/>
        </w:rPr>
        <w:t xml:space="preserve">; 95%CI </w:t>
      </w:r>
      <w:r w:rsidRPr="00FF6266">
        <w:rPr>
          <w:rFonts w:ascii="Times New Roman" w:eastAsia="Times New Roman" w:hAnsi="Times New Roman" w:cs="Times New Roman"/>
        </w:rPr>
        <w:t>(1.10-5.19)]</w:t>
      </w:r>
      <w:r w:rsidR="000C2B1D" w:rsidRPr="00FF6266">
        <w:rPr>
          <w:rFonts w:ascii="Times New Roman" w:eastAsia="Times New Roman" w:hAnsi="Times New Roman" w:cs="Times New Roman"/>
        </w:rPr>
        <w:t xml:space="preserve">, while compared to systemic diseases, </w:t>
      </w:r>
      <w:r>
        <w:rPr>
          <w:rFonts w:ascii="Times New Roman" w:eastAsia="Times New Roman" w:hAnsi="Times New Roman" w:cs="Times New Roman"/>
        </w:rPr>
        <w:t>Participants</w:t>
      </w:r>
      <w:r w:rsidR="000C2B1D" w:rsidRPr="00FF6266">
        <w:rPr>
          <w:rFonts w:ascii="Times New Roman" w:eastAsia="Times New Roman" w:hAnsi="Times New Roman" w:cs="Times New Roman"/>
        </w:rPr>
        <w:t xml:space="preserve"> with ocular disease </w:t>
      </w:r>
      <w:r w:rsidRPr="00FF6266">
        <w:rPr>
          <w:rFonts w:ascii="Times New Roman" w:eastAsia="Times New Roman" w:hAnsi="Times New Roman" w:cs="Times New Roman"/>
        </w:rPr>
        <w:t>were 66</w:t>
      </w:r>
      <w:r w:rsidR="000C2B1D" w:rsidRPr="00FF6266">
        <w:rPr>
          <w:rFonts w:ascii="Times New Roman" w:eastAsia="Times New Roman" w:hAnsi="Times New Roman" w:cs="Times New Roman"/>
        </w:rPr>
        <w:t>% significant less like</w:t>
      </w:r>
      <w:r w:rsidRPr="00FF6266">
        <w:rPr>
          <w:rFonts w:ascii="Times New Roman" w:eastAsia="Times New Roman" w:hAnsi="Times New Roman" w:cs="Times New Roman"/>
        </w:rPr>
        <w:t xml:space="preserve">ly </w:t>
      </w:r>
      <w:r w:rsidR="000C2B1D" w:rsidRPr="00FF6266">
        <w:rPr>
          <w:rFonts w:ascii="Times New Roman" w:eastAsia="Times New Roman" w:hAnsi="Times New Roman" w:cs="Times New Roman"/>
        </w:rPr>
        <w:t xml:space="preserve">of having CPC success </w:t>
      </w:r>
      <w:r w:rsidRPr="00FF6266">
        <w:rPr>
          <w:rFonts w:ascii="Times New Roman" w:eastAsia="Times New Roman" w:hAnsi="Times New Roman" w:cs="Times New Roman"/>
        </w:rPr>
        <w:t>[</w:t>
      </w:r>
      <w:r w:rsidR="000C2B1D" w:rsidRPr="00FF6266">
        <w:rPr>
          <w:rFonts w:ascii="Times New Roman" w:eastAsia="Times New Roman" w:hAnsi="Times New Roman" w:cs="Times New Roman"/>
        </w:rPr>
        <w:t>AHR=0.</w:t>
      </w:r>
      <w:r w:rsidRPr="00FF6266">
        <w:rPr>
          <w:rFonts w:ascii="Times New Roman" w:eastAsia="Times New Roman" w:hAnsi="Times New Roman" w:cs="Times New Roman"/>
        </w:rPr>
        <w:t>34</w:t>
      </w:r>
      <w:r w:rsidR="000C2B1D" w:rsidRPr="00FF6266">
        <w:rPr>
          <w:rFonts w:ascii="Times New Roman" w:eastAsia="Times New Roman" w:hAnsi="Times New Roman" w:cs="Times New Roman"/>
        </w:rPr>
        <w:t xml:space="preserve">; 95%CI </w:t>
      </w:r>
      <w:r w:rsidRPr="00A96836">
        <w:rPr>
          <w:rFonts w:ascii="Times New Roman" w:eastAsia="Times New Roman" w:hAnsi="Times New Roman" w:cs="Times New Roman"/>
        </w:rPr>
        <w:t>(0.15-0.79)</w:t>
      </w:r>
      <w:r>
        <w:rPr>
          <w:rFonts w:ascii="Times New Roman" w:eastAsia="Times New Roman" w:hAnsi="Times New Roman" w:cs="Times New Roman"/>
        </w:rPr>
        <w:t xml:space="preserve">] </w:t>
      </w:r>
      <w:bookmarkStart w:id="9" w:name="_alzwzz1r7dzb" w:colFirst="0" w:colLast="0"/>
      <w:bookmarkStart w:id="10" w:name="_Toc199960650"/>
      <w:bookmarkEnd w:id="9"/>
    </w:p>
    <w:p w14:paraId="32B65261" w14:textId="77D9255A" w:rsidR="0064616D" w:rsidRPr="00C70300" w:rsidRDefault="000C2B1D" w:rsidP="00C70300">
      <w:pPr>
        <w:spacing w:before="240" w:line="360" w:lineRule="auto"/>
        <w:jc w:val="both"/>
        <w:rPr>
          <w:rFonts w:ascii="Times New Roman" w:eastAsia="Times New Roman" w:hAnsi="Times New Roman" w:cs="Times New Roman"/>
        </w:rPr>
      </w:pPr>
      <w:r w:rsidRPr="00A96836">
        <w:rPr>
          <w:rFonts w:ascii="Times New Roman" w:eastAsia="Times New Roman" w:hAnsi="Times New Roman" w:cs="Times New Roman"/>
          <w:b/>
          <w:color w:val="000000"/>
        </w:rPr>
        <w:t xml:space="preserve">Table </w:t>
      </w:r>
      <w:r w:rsidR="00E158AD">
        <w:rPr>
          <w:rFonts w:ascii="Times New Roman" w:eastAsia="Times New Roman" w:hAnsi="Times New Roman" w:cs="Times New Roman"/>
          <w:b/>
          <w:color w:val="000000"/>
        </w:rPr>
        <w:t>2</w:t>
      </w:r>
      <w:r w:rsidRPr="00A96836">
        <w:rPr>
          <w:rFonts w:ascii="Times New Roman" w:eastAsia="Times New Roman" w:hAnsi="Times New Roman" w:cs="Times New Roman"/>
          <w:b/>
          <w:color w:val="000000"/>
        </w:rPr>
        <w:t>: Factors associated with CPC success</w:t>
      </w:r>
      <w:bookmarkEnd w:id="10"/>
    </w:p>
    <w:tbl>
      <w:tblPr>
        <w:tblStyle w:val="a3"/>
        <w:tblW w:w="9720" w:type="dxa"/>
        <w:tblInd w:w="18" w:type="dxa"/>
        <w:tblLayout w:type="fixed"/>
        <w:tblLook w:val="0400" w:firstRow="0" w:lastRow="0" w:firstColumn="0" w:lastColumn="0" w:noHBand="0" w:noVBand="1"/>
      </w:tblPr>
      <w:tblGrid>
        <w:gridCol w:w="3577"/>
        <w:gridCol w:w="1890"/>
        <w:gridCol w:w="1170"/>
        <w:gridCol w:w="1890"/>
        <w:gridCol w:w="1193"/>
      </w:tblGrid>
      <w:tr w:rsidR="0064616D" w:rsidRPr="00A96836" w14:paraId="7E79D4C6" w14:textId="77777777" w:rsidTr="00C70300">
        <w:trPr>
          <w:trHeight w:val="315"/>
        </w:trPr>
        <w:tc>
          <w:tcPr>
            <w:tcW w:w="3577" w:type="dxa"/>
            <w:tcBorders>
              <w:top w:val="single" w:sz="12" w:space="0" w:color="auto"/>
              <w:bottom w:val="single" w:sz="12" w:space="0" w:color="auto"/>
            </w:tcBorders>
            <w:shd w:val="clear" w:color="auto" w:fill="auto"/>
            <w:vAlign w:val="bottom"/>
          </w:tcPr>
          <w:p w14:paraId="17833014" w14:textId="77777777" w:rsidR="0064616D" w:rsidRPr="00A96836" w:rsidRDefault="000C2B1D" w:rsidP="00C70300">
            <w:pPr>
              <w:spacing w:line="360" w:lineRule="auto"/>
              <w:rPr>
                <w:rFonts w:ascii="Times New Roman" w:eastAsia="Times New Roman" w:hAnsi="Times New Roman" w:cs="Times New Roman"/>
                <w:b/>
                <w:bCs/>
              </w:rPr>
            </w:pPr>
            <w:r w:rsidRPr="00A96836">
              <w:rPr>
                <w:rFonts w:ascii="Times New Roman" w:eastAsia="Times New Roman" w:hAnsi="Times New Roman" w:cs="Times New Roman"/>
                <w:b/>
                <w:bCs/>
              </w:rPr>
              <w:t>Variable</w:t>
            </w:r>
          </w:p>
        </w:tc>
        <w:tc>
          <w:tcPr>
            <w:tcW w:w="1890" w:type="dxa"/>
            <w:tcBorders>
              <w:top w:val="single" w:sz="12" w:space="0" w:color="auto"/>
              <w:bottom w:val="single" w:sz="12" w:space="0" w:color="auto"/>
            </w:tcBorders>
            <w:shd w:val="clear" w:color="auto" w:fill="auto"/>
            <w:vAlign w:val="bottom"/>
          </w:tcPr>
          <w:p w14:paraId="1ED824C4" w14:textId="69CBFA10" w:rsidR="0064616D" w:rsidRPr="00A96836" w:rsidRDefault="007D7AA3" w:rsidP="003E465F">
            <w:pPr>
              <w:spacing w:line="360" w:lineRule="auto"/>
              <w:jc w:val="center"/>
              <w:rPr>
                <w:rFonts w:ascii="Times New Roman" w:eastAsia="Times New Roman" w:hAnsi="Times New Roman" w:cs="Times New Roman"/>
                <w:b/>
                <w:bCs/>
              </w:rPr>
            </w:pPr>
            <w:r w:rsidRPr="00A96836">
              <w:rPr>
                <w:rFonts w:ascii="Times New Roman" w:eastAsia="Times New Roman" w:hAnsi="Times New Roman" w:cs="Times New Roman"/>
                <w:b/>
                <w:bCs/>
              </w:rPr>
              <w:t>CHR (</w:t>
            </w:r>
            <w:r w:rsidR="000C2B1D" w:rsidRPr="00A96836">
              <w:rPr>
                <w:rFonts w:ascii="Times New Roman" w:eastAsia="Times New Roman" w:hAnsi="Times New Roman" w:cs="Times New Roman"/>
                <w:b/>
                <w:bCs/>
              </w:rPr>
              <w:t>95%CI)</w:t>
            </w:r>
          </w:p>
        </w:tc>
        <w:tc>
          <w:tcPr>
            <w:tcW w:w="1170" w:type="dxa"/>
            <w:tcBorders>
              <w:top w:val="single" w:sz="12" w:space="0" w:color="auto"/>
              <w:bottom w:val="single" w:sz="12" w:space="0" w:color="auto"/>
            </w:tcBorders>
            <w:shd w:val="clear" w:color="auto" w:fill="auto"/>
            <w:vAlign w:val="bottom"/>
          </w:tcPr>
          <w:p w14:paraId="65074134" w14:textId="77777777" w:rsidR="0064616D" w:rsidRPr="00A96836" w:rsidRDefault="000C2B1D" w:rsidP="003E465F">
            <w:pPr>
              <w:spacing w:line="360" w:lineRule="auto"/>
              <w:jc w:val="center"/>
              <w:rPr>
                <w:rFonts w:ascii="Times New Roman" w:eastAsia="Times New Roman" w:hAnsi="Times New Roman" w:cs="Times New Roman"/>
                <w:b/>
                <w:bCs/>
              </w:rPr>
            </w:pPr>
            <w:r w:rsidRPr="00A96836">
              <w:rPr>
                <w:rFonts w:ascii="Times New Roman" w:eastAsia="Times New Roman" w:hAnsi="Times New Roman" w:cs="Times New Roman"/>
                <w:b/>
                <w:bCs/>
              </w:rPr>
              <w:t>P-value</w:t>
            </w:r>
          </w:p>
        </w:tc>
        <w:tc>
          <w:tcPr>
            <w:tcW w:w="1890" w:type="dxa"/>
            <w:tcBorders>
              <w:top w:val="single" w:sz="12" w:space="0" w:color="auto"/>
              <w:bottom w:val="single" w:sz="12" w:space="0" w:color="auto"/>
            </w:tcBorders>
            <w:shd w:val="clear" w:color="auto" w:fill="auto"/>
            <w:vAlign w:val="bottom"/>
          </w:tcPr>
          <w:p w14:paraId="625D451A" w14:textId="402FE147" w:rsidR="0064616D" w:rsidRPr="00A96836" w:rsidRDefault="007D7AA3" w:rsidP="003E465F">
            <w:pPr>
              <w:spacing w:line="360" w:lineRule="auto"/>
              <w:jc w:val="center"/>
              <w:rPr>
                <w:rFonts w:ascii="Times New Roman" w:eastAsia="Times New Roman" w:hAnsi="Times New Roman" w:cs="Times New Roman"/>
                <w:b/>
                <w:bCs/>
              </w:rPr>
            </w:pPr>
            <w:r w:rsidRPr="00A96836">
              <w:rPr>
                <w:rFonts w:ascii="Times New Roman" w:eastAsia="Times New Roman" w:hAnsi="Times New Roman" w:cs="Times New Roman"/>
                <w:b/>
                <w:bCs/>
              </w:rPr>
              <w:t>AHR (</w:t>
            </w:r>
            <w:r w:rsidR="000C2B1D" w:rsidRPr="00A96836">
              <w:rPr>
                <w:rFonts w:ascii="Times New Roman" w:eastAsia="Times New Roman" w:hAnsi="Times New Roman" w:cs="Times New Roman"/>
                <w:b/>
                <w:bCs/>
              </w:rPr>
              <w:t>95%CI)</w:t>
            </w:r>
          </w:p>
        </w:tc>
        <w:tc>
          <w:tcPr>
            <w:tcW w:w="1193" w:type="dxa"/>
            <w:tcBorders>
              <w:top w:val="single" w:sz="12" w:space="0" w:color="auto"/>
              <w:bottom w:val="single" w:sz="12" w:space="0" w:color="auto"/>
            </w:tcBorders>
            <w:shd w:val="clear" w:color="auto" w:fill="auto"/>
            <w:vAlign w:val="bottom"/>
          </w:tcPr>
          <w:p w14:paraId="2F30CECA" w14:textId="77777777" w:rsidR="0064616D" w:rsidRPr="00A96836" w:rsidRDefault="000C2B1D" w:rsidP="003E465F">
            <w:pPr>
              <w:spacing w:line="360" w:lineRule="auto"/>
              <w:jc w:val="center"/>
              <w:rPr>
                <w:rFonts w:ascii="Times New Roman" w:eastAsia="Times New Roman" w:hAnsi="Times New Roman" w:cs="Times New Roman"/>
                <w:b/>
                <w:bCs/>
              </w:rPr>
            </w:pPr>
            <w:r w:rsidRPr="00A96836">
              <w:rPr>
                <w:rFonts w:ascii="Times New Roman" w:eastAsia="Times New Roman" w:hAnsi="Times New Roman" w:cs="Times New Roman"/>
                <w:b/>
                <w:bCs/>
              </w:rPr>
              <w:t>P-value</w:t>
            </w:r>
          </w:p>
        </w:tc>
      </w:tr>
      <w:tr w:rsidR="0064616D" w:rsidRPr="00A96836" w14:paraId="6D00A948" w14:textId="77777777" w:rsidTr="00C70300">
        <w:trPr>
          <w:trHeight w:val="315"/>
        </w:trPr>
        <w:tc>
          <w:tcPr>
            <w:tcW w:w="3577" w:type="dxa"/>
            <w:tcBorders>
              <w:top w:val="single" w:sz="12" w:space="0" w:color="auto"/>
            </w:tcBorders>
            <w:shd w:val="clear" w:color="auto" w:fill="auto"/>
            <w:vAlign w:val="center"/>
          </w:tcPr>
          <w:p w14:paraId="3B0F110C" w14:textId="77777777" w:rsidR="0064616D" w:rsidRPr="00A96836" w:rsidRDefault="000C2B1D" w:rsidP="00C70300">
            <w:pPr>
              <w:spacing w:line="360" w:lineRule="auto"/>
              <w:rPr>
                <w:rFonts w:ascii="Times New Roman" w:eastAsia="Times New Roman" w:hAnsi="Times New Roman" w:cs="Times New Roman"/>
                <w:b/>
                <w:bCs/>
              </w:rPr>
            </w:pPr>
            <w:r w:rsidRPr="00A96836">
              <w:rPr>
                <w:rFonts w:ascii="Times New Roman" w:eastAsia="Times New Roman" w:hAnsi="Times New Roman" w:cs="Times New Roman"/>
                <w:b/>
                <w:bCs/>
              </w:rPr>
              <w:t>Patients Age</w:t>
            </w:r>
          </w:p>
        </w:tc>
        <w:tc>
          <w:tcPr>
            <w:tcW w:w="1890" w:type="dxa"/>
            <w:tcBorders>
              <w:top w:val="single" w:sz="12" w:space="0" w:color="auto"/>
            </w:tcBorders>
            <w:shd w:val="clear" w:color="auto" w:fill="auto"/>
            <w:vAlign w:val="bottom"/>
          </w:tcPr>
          <w:p w14:paraId="4C0DC5C9" w14:textId="77777777" w:rsidR="0064616D" w:rsidRPr="00A96836" w:rsidRDefault="0064616D" w:rsidP="003E465F">
            <w:pPr>
              <w:spacing w:line="360" w:lineRule="auto"/>
              <w:jc w:val="center"/>
              <w:rPr>
                <w:rFonts w:ascii="Times New Roman" w:eastAsia="Times New Roman" w:hAnsi="Times New Roman" w:cs="Times New Roman"/>
              </w:rPr>
            </w:pPr>
          </w:p>
        </w:tc>
        <w:tc>
          <w:tcPr>
            <w:tcW w:w="1170" w:type="dxa"/>
            <w:tcBorders>
              <w:top w:val="single" w:sz="12" w:space="0" w:color="auto"/>
            </w:tcBorders>
            <w:shd w:val="clear" w:color="auto" w:fill="auto"/>
            <w:vAlign w:val="bottom"/>
          </w:tcPr>
          <w:p w14:paraId="47699459" w14:textId="77777777" w:rsidR="0064616D" w:rsidRPr="00A96836" w:rsidRDefault="0064616D" w:rsidP="003E465F">
            <w:pPr>
              <w:spacing w:line="360" w:lineRule="auto"/>
              <w:jc w:val="center"/>
              <w:rPr>
                <w:rFonts w:ascii="Times New Roman" w:eastAsia="Times New Roman" w:hAnsi="Times New Roman" w:cs="Times New Roman"/>
              </w:rPr>
            </w:pPr>
          </w:p>
        </w:tc>
        <w:tc>
          <w:tcPr>
            <w:tcW w:w="1890" w:type="dxa"/>
            <w:tcBorders>
              <w:top w:val="single" w:sz="12" w:space="0" w:color="auto"/>
            </w:tcBorders>
            <w:shd w:val="clear" w:color="auto" w:fill="auto"/>
            <w:vAlign w:val="bottom"/>
          </w:tcPr>
          <w:p w14:paraId="386CFC7D" w14:textId="2A7AAF75" w:rsidR="0064616D" w:rsidRPr="00A96836" w:rsidRDefault="0064616D" w:rsidP="003E465F">
            <w:pPr>
              <w:spacing w:line="360" w:lineRule="auto"/>
              <w:jc w:val="center"/>
              <w:rPr>
                <w:rFonts w:ascii="Times New Roman" w:eastAsia="Times New Roman" w:hAnsi="Times New Roman" w:cs="Times New Roman"/>
              </w:rPr>
            </w:pPr>
          </w:p>
        </w:tc>
        <w:tc>
          <w:tcPr>
            <w:tcW w:w="1193" w:type="dxa"/>
            <w:tcBorders>
              <w:top w:val="single" w:sz="12" w:space="0" w:color="auto"/>
            </w:tcBorders>
            <w:shd w:val="clear" w:color="auto" w:fill="auto"/>
            <w:vAlign w:val="bottom"/>
          </w:tcPr>
          <w:p w14:paraId="481F1F4D" w14:textId="3FA9EB61" w:rsidR="0064616D" w:rsidRPr="00A96836" w:rsidRDefault="0064616D" w:rsidP="003E465F">
            <w:pPr>
              <w:spacing w:line="360" w:lineRule="auto"/>
              <w:jc w:val="center"/>
              <w:rPr>
                <w:rFonts w:ascii="Times New Roman" w:eastAsia="Times New Roman" w:hAnsi="Times New Roman" w:cs="Times New Roman"/>
              </w:rPr>
            </w:pPr>
          </w:p>
        </w:tc>
      </w:tr>
      <w:tr w:rsidR="0064616D" w:rsidRPr="00A96836" w14:paraId="26C9EF07" w14:textId="77777777" w:rsidTr="00C70300">
        <w:trPr>
          <w:trHeight w:val="315"/>
        </w:trPr>
        <w:tc>
          <w:tcPr>
            <w:tcW w:w="3577" w:type="dxa"/>
            <w:shd w:val="clear" w:color="auto" w:fill="auto"/>
            <w:vAlign w:val="center"/>
          </w:tcPr>
          <w:p w14:paraId="4D6B26F7" w14:textId="77777777" w:rsidR="0064616D" w:rsidRPr="00A96836" w:rsidRDefault="000C2B1D" w:rsidP="00C70300">
            <w:pPr>
              <w:spacing w:line="360" w:lineRule="auto"/>
              <w:ind w:firstLine="480"/>
              <w:rPr>
                <w:rFonts w:ascii="Times New Roman" w:eastAsia="Times New Roman" w:hAnsi="Times New Roman" w:cs="Times New Roman"/>
              </w:rPr>
            </w:pPr>
            <w:r w:rsidRPr="00A96836">
              <w:rPr>
                <w:rFonts w:ascii="Times New Roman" w:eastAsia="Times New Roman" w:hAnsi="Times New Roman" w:cs="Times New Roman"/>
              </w:rPr>
              <w:t>≤60</w:t>
            </w:r>
          </w:p>
        </w:tc>
        <w:tc>
          <w:tcPr>
            <w:tcW w:w="1890" w:type="dxa"/>
            <w:shd w:val="clear" w:color="auto" w:fill="auto"/>
            <w:vAlign w:val="bottom"/>
          </w:tcPr>
          <w:p w14:paraId="22C2BCA8" w14:textId="77777777" w:rsidR="0064616D" w:rsidRPr="00A96836" w:rsidRDefault="000C2B1D"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Ref</w:t>
            </w:r>
          </w:p>
        </w:tc>
        <w:tc>
          <w:tcPr>
            <w:tcW w:w="1170" w:type="dxa"/>
            <w:shd w:val="clear" w:color="auto" w:fill="auto"/>
            <w:vAlign w:val="bottom"/>
          </w:tcPr>
          <w:p w14:paraId="23CC343A" w14:textId="77777777" w:rsidR="0064616D" w:rsidRPr="00A96836" w:rsidRDefault="0064616D" w:rsidP="003E465F">
            <w:pPr>
              <w:spacing w:line="360" w:lineRule="auto"/>
              <w:jc w:val="center"/>
              <w:rPr>
                <w:rFonts w:ascii="Times New Roman" w:eastAsia="Times New Roman" w:hAnsi="Times New Roman" w:cs="Times New Roman"/>
              </w:rPr>
            </w:pPr>
          </w:p>
        </w:tc>
        <w:tc>
          <w:tcPr>
            <w:tcW w:w="1890" w:type="dxa"/>
            <w:shd w:val="clear" w:color="auto" w:fill="auto"/>
            <w:vAlign w:val="bottom"/>
          </w:tcPr>
          <w:p w14:paraId="6BFC5B93" w14:textId="74B7B3D7" w:rsidR="0064616D" w:rsidRPr="00A96836" w:rsidRDefault="00661B1E"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Ref</w:t>
            </w:r>
          </w:p>
        </w:tc>
        <w:tc>
          <w:tcPr>
            <w:tcW w:w="1193" w:type="dxa"/>
            <w:shd w:val="clear" w:color="auto" w:fill="auto"/>
            <w:vAlign w:val="bottom"/>
          </w:tcPr>
          <w:p w14:paraId="4B5213AF" w14:textId="467B2382" w:rsidR="0064616D" w:rsidRPr="00A96836" w:rsidRDefault="0064616D" w:rsidP="003E465F">
            <w:pPr>
              <w:spacing w:line="360" w:lineRule="auto"/>
              <w:jc w:val="center"/>
              <w:rPr>
                <w:rFonts w:ascii="Times New Roman" w:eastAsia="Times New Roman" w:hAnsi="Times New Roman" w:cs="Times New Roman"/>
              </w:rPr>
            </w:pPr>
          </w:p>
        </w:tc>
      </w:tr>
      <w:tr w:rsidR="0064616D" w:rsidRPr="00A96836" w14:paraId="0DC2851F" w14:textId="77777777" w:rsidTr="00C70300">
        <w:trPr>
          <w:trHeight w:val="315"/>
        </w:trPr>
        <w:tc>
          <w:tcPr>
            <w:tcW w:w="3577" w:type="dxa"/>
            <w:shd w:val="clear" w:color="auto" w:fill="auto"/>
            <w:vAlign w:val="center"/>
          </w:tcPr>
          <w:p w14:paraId="2BE399D7" w14:textId="77777777" w:rsidR="0064616D" w:rsidRPr="00A96836" w:rsidRDefault="000C2B1D" w:rsidP="00C70300">
            <w:pPr>
              <w:spacing w:line="360" w:lineRule="auto"/>
              <w:ind w:firstLine="480"/>
              <w:rPr>
                <w:rFonts w:ascii="Times New Roman" w:eastAsia="Times New Roman" w:hAnsi="Times New Roman" w:cs="Times New Roman"/>
              </w:rPr>
            </w:pPr>
            <w:r w:rsidRPr="00A96836">
              <w:rPr>
                <w:rFonts w:ascii="Times New Roman" w:eastAsia="Times New Roman" w:hAnsi="Times New Roman" w:cs="Times New Roman"/>
              </w:rPr>
              <w:t>&gt;60</w:t>
            </w:r>
          </w:p>
        </w:tc>
        <w:tc>
          <w:tcPr>
            <w:tcW w:w="1890" w:type="dxa"/>
            <w:shd w:val="clear" w:color="auto" w:fill="auto"/>
            <w:vAlign w:val="bottom"/>
          </w:tcPr>
          <w:p w14:paraId="55918CB8" w14:textId="77777777" w:rsidR="0064616D" w:rsidRPr="00A96836" w:rsidRDefault="000C2B1D"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1.30(0.65-2.62)</w:t>
            </w:r>
          </w:p>
        </w:tc>
        <w:tc>
          <w:tcPr>
            <w:tcW w:w="1170" w:type="dxa"/>
            <w:shd w:val="clear" w:color="auto" w:fill="auto"/>
            <w:vAlign w:val="bottom"/>
          </w:tcPr>
          <w:p w14:paraId="4BD050D9" w14:textId="77777777" w:rsidR="0064616D" w:rsidRPr="00A96836" w:rsidRDefault="000C2B1D"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0.459</w:t>
            </w:r>
          </w:p>
        </w:tc>
        <w:tc>
          <w:tcPr>
            <w:tcW w:w="1890" w:type="dxa"/>
            <w:shd w:val="clear" w:color="auto" w:fill="auto"/>
            <w:vAlign w:val="bottom"/>
          </w:tcPr>
          <w:p w14:paraId="11BA8527" w14:textId="3D14817B" w:rsidR="0064616D" w:rsidRPr="00A96836" w:rsidRDefault="00661B1E"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1.40(0.65-2.98)</w:t>
            </w:r>
          </w:p>
        </w:tc>
        <w:tc>
          <w:tcPr>
            <w:tcW w:w="1193" w:type="dxa"/>
            <w:shd w:val="clear" w:color="auto" w:fill="auto"/>
            <w:vAlign w:val="bottom"/>
          </w:tcPr>
          <w:p w14:paraId="3B92E75C" w14:textId="44CD85E0" w:rsidR="0064616D" w:rsidRPr="00A96836" w:rsidRDefault="00661B1E"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0.388</w:t>
            </w:r>
          </w:p>
        </w:tc>
      </w:tr>
      <w:tr w:rsidR="0064616D" w:rsidRPr="00A96836" w14:paraId="3FA6D9E4" w14:textId="77777777" w:rsidTr="00C70300">
        <w:trPr>
          <w:trHeight w:val="315"/>
        </w:trPr>
        <w:tc>
          <w:tcPr>
            <w:tcW w:w="3577" w:type="dxa"/>
            <w:shd w:val="clear" w:color="auto" w:fill="auto"/>
            <w:vAlign w:val="center"/>
          </w:tcPr>
          <w:p w14:paraId="7A79C1C9" w14:textId="77777777" w:rsidR="0064616D" w:rsidRPr="00A96836" w:rsidRDefault="000C2B1D" w:rsidP="00C70300">
            <w:pPr>
              <w:spacing w:line="360" w:lineRule="auto"/>
              <w:rPr>
                <w:rFonts w:ascii="Times New Roman" w:eastAsia="Times New Roman" w:hAnsi="Times New Roman" w:cs="Times New Roman"/>
                <w:b/>
                <w:bCs/>
              </w:rPr>
            </w:pPr>
            <w:r w:rsidRPr="00A96836">
              <w:rPr>
                <w:rFonts w:ascii="Times New Roman" w:eastAsia="Times New Roman" w:hAnsi="Times New Roman" w:cs="Times New Roman"/>
                <w:b/>
                <w:bCs/>
              </w:rPr>
              <w:t>Patient Gender</w:t>
            </w:r>
          </w:p>
        </w:tc>
        <w:tc>
          <w:tcPr>
            <w:tcW w:w="1890" w:type="dxa"/>
            <w:shd w:val="clear" w:color="auto" w:fill="auto"/>
            <w:vAlign w:val="bottom"/>
          </w:tcPr>
          <w:p w14:paraId="2C0C3FD2" w14:textId="7D0E1B59" w:rsidR="0064616D" w:rsidRPr="00A96836" w:rsidRDefault="0064616D" w:rsidP="003E465F">
            <w:pPr>
              <w:spacing w:line="360" w:lineRule="auto"/>
              <w:jc w:val="center"/>
              <w:rPr>
                <w:rFonts w:ascii="Times New Roman" w:eastAsia="Times New Roman" w:hAnsi="Times New Roman" w:cs="Times New Roman"/>
              </w:rPr>
            </w:pPr>
          </w:p>
        </w:tc>
        <w:tc>
          <w:tcPr>
            <w:tcW w:w="1170" w:type="dxa"/>
            <w:shd w:val="clear" w:color="auto" w:fill="auto"/>
            <w:vAlign w:val="bottom"/>
          </w:tcPr>
          <w:p w14:paraId="6CF9223E" w14:textId="213C1F78" w:rsidR="0064616D" w:rsidRPr="00A96836" w:rsidRDefault="0064616D" w:rsidP="003E465F">
            <w:pPr>
              <w:spacing w:line="360" w:lineRule="auto"/>
              <w:jc w:val="center"/>
              <w:rPr>
                <w:rFonts w:ascii="Times New Roman" w:eastAsia="Times New Roman" w:hAnsi="Times New Roman" w:cs="Times New Roman"/>
              </w:rPr>
            </w:pPr>
          </w:p>
        </w:tc>
        <w:tc>
          <w:tcPr>
            <w:tcW w:w="1890" w:type="dxa"/>
            <w:shd w:val="clear" w:color="auto" w:fill="auto"/>
            <w:vAlign w:val="bottom"/>
          </w:tcPr>
          <w:p w14:paraId="2CA3A540" w14:textId="1A8FF512" w:rsidR="0064616D" w:rsidRPr="00A96836" w:rsidRDefault="0064616D" w:rsidP="003E465F">
            <w:pPr>
              <w:spacing w:line="360" w:lineRule="auto"/>
              <w:jc w:val="center"/>
              <w:rPr>
                <w:rFonts w:ascii="Times New Roman" w:eastAsia="Times New Roman" w:hAnsi="Times New Roman" w:cs="Times New Roman"/>
              </w:rPr>
            </w:pPr>
          </w:p>
        </w:tc>
        <w:tc>
          <w:tcPr>
            <w:tcW w:w="1193" w:type="dxa"/>
            <w:shd w:val="clear" w:color="auto" w:fill="auto"/>
            <w:vAlign w:val="bottom"/>
          </w:tcPr>
          <w:p w14:paraId="1D07647D" w14:textId="1FB9690A" w:rsidR="0064616D" w:rsidRPr="00A96836" w:rsidRDefault="0064616D" w:rsidP="003E465F">
            <w:pPr>
              <w:spacing w:line="360" w:lineRule="auto"/>
              <w:jc w:val="center"/>
              <w:rPr>
                <w:rFonts w:ascii="Times New Roman" w:eastAsia="Times New Roman" w:hAnsi="Times New Roman" w:cs="Times New Roman"/>
              </w:rPr>
            </w:pPr>
          </w:p>
        </w:tc>
      </w:tr>
      <w:tr w:rsidR="0064616D" w:rsidRPr="00A96836" w14:paraId="22B86822" w14:textId="77777777" w:rsidTr="00C70300">
        <w:trPr>
          <w:trHeight w:val="315"/>
        </w:trPr>
        <w:tc>
          <w:tcPr>
            <w:tcW w:w="3577" w:type="dxa"/>
            <w:shd w:val="clear" w:color="auto" w:fill="auto"/>
            <w:vAlign w:val="center"/>
          </w:tcPr>
          <w:p w14:paraId="7F01C86E" w14:textId="77777777" w:rsidR="0064616D" w:rsidRPr="00A96836" w:rsidRDefault="000C2B1D" w:rsidP="00C70300">
            <w:pPr>
              <w:spacing w:line="360" w:lineRule="auto"/>
              <w:ind w:firstLine="480"/>
              <w:rPr>
                <w:rFonts w:ascii="Times New Roman" w:eastAsia="Times New Roman" w:hAnsi="Times New Roman" w:cs="Times New Roman"/>
              </w:rPr>
            </w:pPr>
            <w:r w:rsidRPr="00A96836">
              <w:rPr>
                <w:rFonts w:ascii="Times New Roman" w:eastAsia="Times New Roman" w:hAnsi="Times New Roman" w:cs="Times New Roman"/>
              </w:rPr>
              <w:t>Male</w:t>
            </w:r>
          </w:p>
        </w:tc>
        <w:tc>
          <w:tcPr>
            <w:tcW w:w="1890" w:type="dxa"/>
            <w:shd w:val="clear" w:color="auto" w:fill="auto"/>
            <w:vAlign w:val="bottom"/>
          </w:tcPr>
          <w:p w14:paraId="0273248B" w14:textId="26FF72A3" w:rsidR="0064616D" w:rsidRPr="00A96836" w:rsidRDefault="000C2B1D"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Ref</w:t>
            </w:r>
          </w:p>
        </w:tc>
        <w:tc>
          <w:tcPr>
            <w:tcW w:w="1170" w:type="dxa"/>
            <w:shd w:val="clear" w:color="auto" w:fill="auto"/>
            <w:vAlign w:val="bottom"/>
          </w:tcPr>
          <w:p w14:paraId="164D9049" w14:textId="30DD8E10" w:rsidR="0064616D" w:rsidRPr="00A96836" w:rsidRDefault="0064616D" w:rsidP="003E465F">
            <w:pPr>
              <w:spacing w:line="360" w:lineRule="auto"/>
              <w:jc w:val="center"/>
              <w:rPr>
                <w:rFonts w:ascii="Times New Roman" w:eastAsia="Times New Roman" w:hAnsi="Times New Roman" w:cs="Times New Roman"/>
              </w:rPr>
            </w:pPr>
          </w:p>
        </w:tc>
        <w:tc>
          <w:tcPr>
            <w:tcW w:w="1890" w:type="dxa"/>
            <w:shd w:val="clear" w:color="auto" w:fill="auto"/>
            <w:vAlign w:val="bottom"/>
          </w:tcPr>
          <w:p w14:paraId="38A5054F" w14:textId="3E9FD427" w:rsidR="0064616D" w:rsidRPr="00A96836" w:rsidRDefault="00661B1E"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Ref</w:t>
            </w:r>
          </w:p>
        </w:tc>
        <w:tc>
          <w:tcPr>
            <w:tcW w:w="1193" w:type="dxa"/>
            <w:shd w:val="clear" w:color="auto" w:fill="auto"/>
            <w:vAlign w:val="bottom"/>
          </w:tcPr>
          <w:p w14:paraId="2DC96870" w14:textId="149ABBEE" w:rsidR="0064616D" w:rsidRPr="00A96836" w:rsidRDefault="0064616D" w:rsidP="003E465F">
            <w:pPr>
              <w:spacing w:line="360" w:lineRule="auto"/>
              <w:jc w:val="center"/>
              <w:rPr>
                <w:rFonts w:ascii="Times New Roman" w:eastAsia="Times New Roman" w:hAnsi="Times New Roman" w:cs="Times New Roman"/>
              </w:rPr>
            </w:pPr>
          </w:p>
        </w:tc>
      </w:tr>
      <w:tr w:rsidR="0064616D" w:rsidRPr="00A96836" w14:paraId="6FEE1A7C" w14:textId="77777777" w:rsidTr="00C70300">
        <w:trPr>
          <w:trHeight w:val="315"/>
        </w:trPr>
        <w:tc>
          <w:tcPr>
            <w:tcW w:w="3577" w:type="dxa"/>
            <w:shd w:val="clear" w:color="auto" w:fill="auto"/>
            <w:vAlign w:val="center"/>
          </w:tcPr>
          <w:p w14:paraId="177F92DB" w14:textId="77777777" w:rsidR="0064616D" w:rsidRPr="00A96836" w:rsidRDefault="000C2B1D" w:rsidP="00C70300">
            <w:pPr>
              <w:spacing w:line="360" w:lineRule="auto"/>
              <w:ind w:firstLine="480"/>
              <w:rPr>
                <w:rFonts w:ascii="Times New Roman" w:eastAsia="Times New Roman" w:hAnsi="Times New Roman" w:cs="Times New Roman"/>
              </w:rPr>
            </w:pPr>
            <w:r w:rsidRPr="00A96836">
              <w:rPr>
                <w:rFonts w:ascii="Times New Roman" w:eastAsia="Times New Roman" w:hAnsi="Times New Roman" w:cs="Times New Roman"/>
              </w:rPr>
              <w:t>Female</w:t>
            </w:r>
          </w:p>
        </w:tc>
        <w:tc>
          <w:tcPr>
            <w:tcW w:w="1890" w:type="dxa"/>
            <w:shd w:val="clear" w:color="auto" w:fill="auto"/>
            <w:vAlign w:val="bottom"/>
          </w:tcPr>
          <w:p w14:paraId="14319F5F" w14:textId="77777777" w:rsidR="0064616D" w:rsidRPr="00A96836" w:rsidRDefault="000C2B1D"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1.58(0.81-3.08)</w:t>
            </w:r>
          </w:p>
        </w:tc>
        <w:tc>
          <w:tcPr>
            <w:tcW w:w="1170" w:type="dxa"/>
            <w:shd w:val="clear" w:color="auto" w:fill="auto"/>
            <w:vAlign w:val="bottom"/>
          </w:tcPr>
          <w:p w14:paraId="4EBBC1BF" w14:textId="77777777" w:rsidR="0064616D" w:rsidRPr="00A96836" w:rsidRDefault="000C2B1D"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0.181</w:t>
            </w:r>
          </w:p>
        </w:tc>
        <w:tc>
          <w:tcPr>
            <w:tcW w:w="1890" w:type="dxa"/>
            <w:shd w:val="clear" w:color="auto" w:fill="auto"/>
            <w:vAlign w:val="bottom"/>
          </w:tcPr>
          <w:p w14:paraId="1404AC1C" w14:textId="0F28522F" w:rsidR="0064616D" w:rsidRPr="00A96836" w:rsidRDefault="00661B1E"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2.11(0.99-4.47)</w:t>
            </w:r>
          </w:p>
        </w:tc>
        <w:tc>
          <w:tcPr>
            <w:tcW w:w="1193" w:type="dxa"/>
            <w:shd w:val="clear" w:color="auto" w:fill="auto"/>
            <w:vAlign w:val="bottom"/>
          </w:tcPr>
          <w:p w14:paraId="124B5AFB" w14:textId="1F2B8AC4" w:rsidR="0064616D" w:rsidRPr="00A96836" w:rsidRDefault="00661B1E"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0.051</w:t>
            </w:r>
          </w:p>
        </w:tc>
      </w:tr>
      <w:tr w:rsidR="003E465F" w:rsidRPr="00A96836" w14:paraId="1B25E7B4" w14:textId="77777777" w:rsidTr="00C70300">
        <w:trPr>
          <w:trHeight w:val="315"/>
        </w:trPr>
        <w:tc>
          <w:tcPr>
            <w:tcW w:w="3577" w:type="dxa"/>
            <w:shd w:val="clear" w:color="auto" w:fill="auto"/>
            <w:vAlign w:val="center"/>
          </w:tcPr>
          <w:p w14:paraId="4E486741" w14:textId="6EC5C0FA" w:rsidR="003E465F" w:rsidRPr="00A96836" w:rsidRDefault="00B624BC" w:rsidP="00C70300">
            <w:pPr>
              <w:spacing w:line="360" w:lineRule="auto"/>
              <w:rPr>
                <w:rFonts w:ascii="Times New Roman" w:eastAsia="Times New Roman" w:hAnsi="Times New Roman" w:cs="Times New Roman"/>
                <w:b/>
                <w:bCs/>
              </w:rPr>
            </w:pPr>
            <w:r>
              <w:rPr>
                <w:rFonts w:ascii="Times New Roman" w:eastAsia="Times New Roman" w:hAnsi="Times New Roman" w:cs="Times New Roman"/>
                <w:b/>
                <w:bCs/>
              </w:rPr>
              <w:t>Initial IOP</w:t>
            </w:r>
          </w:p>
        </w:tc>
        <w:tc>
          <w:tcPr>
            <w:tcW w:w="1890" w:type="dxa"/>
            <w:shd w:val="clear" w:color="auto" w:fill="auto"/>
            <w:vAlign w:val="bottom"/>
          </w:tcPr>
          <w:p w14:paraId="4AAE0E4A" w14:textId="709E81DE" w:rsidR="003E465F" w:rsidRPr="00A96836" w:rsidRDefault="00B624BC" w:rsidP="003E465F">
            <w:pPr>
              <w:spacing w:line="360" w:lineRule="auto"/>
              <w:jc w:val="center"/>
              <w:rPr>
                <w:rFonts w:ascii="Times New Roman" w:eastAsia="Times New Roman" w:hAnsi="Times New Roman" w:cs="Times New Roman"/>
              </w:rPr>
            </w:pPr>
            <w:r>
              <w:rPr>
                <w:rFonts w:ascii="Times New Roman" w:eastAsia="Times New Roman" w:hAnsi="Times New Roman" w:cs="Times New Roman"/>
              </w:rPr>
              <w:t>0.94(0.91-0.98)</w:t>
            </w:r>
          </w:p>
        </w:tc>
        <w:tc>
          <w:tcPr>
            <w:tcW w:w="1170" w:type="dxa"/>
            <w:shd w:val="clear" w:color="auto" w:fill="auto"/>
            <w:vAlign w:val="bottom"/>
          </w:tcPr>
          <w:p w14:paraId="12671962" w14:textId="6A50D4B2" w:rsidR="003E465F" w:rsidRPr="00A96836" w:rsidRDefault="00B624BC" w:rsidP="003E465F">
            <w:pPr>
              <w:spacing w:line="360" w:lineRule="auto"/>
              <w:jc w:val="center"/>
              <w:rPr>
                <w:rFonts w:ascii="Times New Roman" w:eastAsia="Times New Roman" w:hAnsi="Times New Roman" w:cs="Times New Roman"/>
              </w:rPr>
            </w:pPr>
            <w:r>
              <w:rPr>
                <w:rFonts w:ascii="Times New Roman" w:eastAsia="Times New Roman" w:hAnsi="Times New Roman" w:cs="Times New Roman"/>
              </w:rPr>
              <w:t>0.003</w:t>
            </w:r>
          </w:p>
        </w:tc>
        <w:tc>
          <w:tcPr>
            <w:tcW w:w="1890" w:type="dxa"/>
            <w:shd w:val="clear" w:color="auto" w:fill="auto"/>
          </w:tcPr>
          <w:p w14:paraId="184578AE" w14:textId="55E3F042" w:rsidR="003E465F" w:rsidRPr="00523645" w:rsidRDefault="00B624BC" w:rsidP="003E465F">
            <w:pPr>
              <w:spacing w:line="360" w:lineRule="auto"/>
              <w:jc w:val="center"/>
              <w:rPr>
                <w:rFonts w:ascii="Times New Roman" w:eastAsia="Times New Roman" w:hAnsi="Times New Roman" w:cs="Times New Roman"/>
              </w:rPr>
            </w:pPr>
            <w:r>
              <w:rPr>
                <w:rFonts w:ascii="Times New Roman" w:eastAsia="Times New Roman" w:hAnsi="Times New Roman" w:cs="Times New Roman"/>
              </w:rPr>
              <w:t>0.93(0.89-0.97)</w:t>
            </w:r>
          </w:p>
        </w:tc>
        <w:tc>
          <w:tcPr>
            <w:tcW w:w="1193" w:type="dxa"/>
            <w:shd w:val="clear" w:color="auto" w:fill="auto"/>
          </w:tcPr>
          <w:p w14:paraId="3C3367E7" w14:textId="7432D65C" w:rsidR="003E465F" w:rsidRPr="00523645" w:rsidRDefault="00B624BC" w:rsidP="003E465F">
            <w:pPr>
              <w:spacing w:line="360" w:lineRule="auto"/>
              <w:jc w:val="center"/>
              <w:rPr>
                <w:rFonts w:ascii="Times New Roman" w:eastAsia="Times New Roman" w:hAnsi="Times New Roman" w:cs="Times New Roman"/>
              </w:rPr>
            </w:pPr>
            <w:r>
              <w:rPr>
                <w:rFonts w:ascii="Times New Roman" w:eastAsia="Times New Roman" w:hAnsi="Times New Roman" w:cs="Times New Roman"/>
              </w:rPr>
              <w:t>0.001</w:t>
            </w:r>
          </w:p>
        </w:tc>
      </w:tr>
      <w:tr w:rsidR="003E465F" w:rsidRPr="00A96836" w14:paraId="4CAC0BFE" w14:textId="77777777" w:rsidTr="00C70300">
        <w:trPr>
          <w:trHeight w:val="315"/>
        </w:trPr>
        <w:tc>
          <w:tcPr>
            <w:tcW w:w="3577" w:type="dxa"/>
            <w:shd w:val="clear" w:color="auto" w:fill="auto"/>
            <w:vAlign w:val="center"/>
          </w:tcPr>
          <w:p w14:paraId="7C8A0F53" w14:textId="77777777" w:rsidR="003E465F" w:rsidRPr="00A96836" w:rsidRDefault="003E465F" w:rsidP="00C70300">
            <w:pPr>
              <w:spacing w:line="360" w:lineRule="auto"/>
              <w:rPr>
                <w:rFonts w:ascii="Times New Roman" w:eastAsia="Times New Roman" w:hAnsi="Times New Roman" w:cs="Times New Roman"/>
                <w:b/>
                <w:bCs/>
              </w:rPr>
            </w:pPr>
            <w:r w:rsidRPr="00A96836">
              <w:rPr>
                <w:rFonts w:ascii="Times New Roman" w:eastAsia="Times New Roman" w:hAnsi="Times New Roman" w:cs="Times New Roman"/>
                <w:b/>
                <w:bCs/>
              </w:rPr>
              <w:t xml:space="preserve"> Vertical CDR</w:t>
            </w:r>
          </w:p>
        </w:tc>
        <w:tc>
          <w:tcPr>
            <w:tcW w:w="1890" w:type="dxa"/>
            <w:shd w:val="clear" w:color="auto" w:fill="auto"/>
            <w:vAlign w:val="bottom"/>
          </w:tcPr>
          <w:p w14:paraId="577AD0FF" w14:textId="77777777" w:rsidR="003E465F" w:rsidRPr="00A96836" w:rsidRDefault="003E465F"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0.94(0.77-1.16)</w:t>
            </w:r>
          </w:p>
        </w:tc>
        <w:tc>
          <w:tcPr>
            <w:tcW w:w="1170" w:type="dxa"/>
            <w:shd w:val="clear" w:color="auto" w:fill="auto"/>
            <w:vAlign w:val="bottom"/>
          </w:tcPr>
          <w:p w14:paraId="1DB0AB91" w14:textId="77777777" w:rsidR="003E465F" w:rsidRPr="00A96836" w:rsidRDefault="003E465F"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0.573</w:t>
            </w:r>
          </w:p>
        </w:tc>
        <w:tc>
          <w:tcPr>
            <w:tcW w:w="1890" w:type="dxa"/>
            <w:shd w:val="clear" w:color="auto" w:fill="auto"/>
          </w:tcPr>
          <w:p w14:paraId="1DB2A6DB" w14:textId="41C81731" w:rsidR="003E465F" w:rsidRPr="00A96836" w:rsidRDefault="003E465F" w:rsidP="003E465F">
            <w:pPr>
              <w:spacing w:line="360" w:lineRule="auto"/>
              <w:jc w:val="center"/>
              <w:rPr>
                <w:rFonts w:ascii="Times New Roman" w:eastAsia="Times New Roman" w:hAnsi="Times New Roman" w:cs="Times New Roman"/>
              </w:rPr>
            </w:pPr>
            <w:r w:rsidRPr="00523645">
              <w:rPr>
                <w:rFonts w:ascii="Times New Roman" w:eastAsia="Times New Roman" w:hAnsi="Times New Roman" w:cs="Times New Roman"/>
              </w:rPr>
              <w:t>-</w:t>
            </w:r>
          </w:p>
        </w:tc>
        <w:tc>
          <w:tcPr>
            <w:tcW w:w="1193" w:type="dxa"/>
            <w:shd w:val="clear" w:color="auto" w:fill="auto"/>
          </w:tcPr>
          <w:p w14:paraId="69B7D67B" w14:textId="67F3AAB1" w:rsidR="003E465F" w:rsidRPr="00A96836" w:rsidRDefault="003E465F" w:rsidP="003E465F">
            <w:pPr>
              <w:spacing w:line="360" w:lineRule="auto"/>
              <w:jc w:val="center"/>
              <w:rPr>
                <w:rFonts w:ascii="Times New Roman" w:eastAsia="Times New Roman" w:hAnsi="Times New Roman" w:cs="Times New Roman"/>
              </w:rPr>
            </w:pPr>
            <w:r w:rsidRPr="00523645">
              <w:rPr>
                <w:rFonts w:ascii="Times New Roman" w:eastAsia="Times New Roman" w:hAnsi="Times New Roman" w:cs="Times New Roman"/>
              </w:rPr>
              <w:t>-</w:t>
            </w:r>
          </w:p>
        </w:tc>
      </w:tr>
      <w:tr w:rsidR="003E465F" w:rsidRPr="00A96836" w14:paraId="45A05654" w14:textId="77777777" w:rsidTr="00C70300">
        <w:trPr>
          <w:trHeight w:val="315"/>
        </w:trPr>
        <w:tc>
          <w:tcPr>
            <w:tcW w:w="3577" w:type="dxa"/>
            <w:shd w:val="clear" w:color="auto" w:fill="auto"/>
            <w:vAlign w:val="bottom"/>
          </w:tcPr>
          <w:p w14:paraId="3CE75763" w14:textId="5F7AE962" w:rsidR="003E465F" w:rsidRPr="00A96836" w:rsidRDefault="003E465F" w:rsidP="00C70300">
            <w:pPr>
              <w:spacing w:line="360" w:lineRule="auto"/>
              <w:rPr>
                <w:rFonts w:ascii="Times New Roman" w:eastAsia="Times New Roman" w:hAnsi="Times New Roman" w:cs="Times New Roman"/>
                <w:b/>
                <w:bCs/>
              </w:rPr>
            </w:pPr>
            <w:r w:rsidRPr="00A96836">
              <w:rPr>
                <w:rFonts w:ascii="Times New Roman" w:eastAsia="Times New Roman" w:hAnsi="Times New Roman" w:cs="Times New Roman"/>
                <w:b/>
                <w:bCs/>
                <w:color w:val="000000"/>
              </w:rPr>
              <w:lastRenderedPageBreak/>
              <w:t>Fundoscopy Cup Disc Notching</w:t>
            </w:r>
          </w:p>
        </w:tc>
        <w:tc>
          <w:tcPr>
            <w:tcW w:w="1890" w:type="dxa"/>
            <w:shd w:val="clear" w:color="auto" w:fill="auto"/>
            <w:vAlign w:val="bottom"/>
          </w:tcPr>
          <w:p w14:paraId="12103A3F" w14:textId="77777777" w:rsidR="003E465F" w:rsidRPr="00A96836" w:rsidRDefault="003E465F" w:rsidP="003E465F">
            <w:pPr>
              <w:spacing w:line="360" w:lineRule="auto"/>
              <w:jc w:val="center"/>
              <w:rPr>
                <w:rFonts w:ascii="Times New Roman" w:eastAsia="Times New Roman" w:hAnsi="Times New Roman" w:cs="Times New Roman"/>
              </w:rPr>
            </w:pPr>
          </w:p>
        </w:tc>
        <w:tc>
          <w:tcPr>
            <w:tcW w:w="1170" w:type="dxa"/>
            <w:shd w:val="clear" w:color="auto" w:fill="auto"/>
            <w:vAlign w:val="bottom"/>
          </w:tcPr>
          <w:p w14:paraId="13974F18" w14:textId="77777777" w:rsidR="003E465F" w:rsidRPr="00A96836" w:rsidRDefault="003E465F" w:rsidP="003E465F">
            <w:pPr>
              <w:spacing w:line="360" w:lineRule="auto"/>
              <w:jc w:val="center"/>
              <w:rPr>
                <w:rFonts w:ascii="Times New Roman" w:eastAsia="Times New Roman" w:hAnsi="Times New Roman" w:cs="Times New Roman"/>
              </w:rPr>
            </w:pPr>
          </w:p>
        </w:tc>
        <w:tc>
          <w:tcPr>
            <w:tcW w:w="1890" w:type="dxa"/>
            <w:shd w:val="clear" w:color="auto" w:fill="auto"/>
            <w:vAlign w:val="bottom"/>
          </w:tcPr>
          <w:p w14:paraId="2EC1F4C8" w14:textId="77777777" w:rsidR="003E465F" w:rsidRPr="00523645" w:rsidRDefault="003E465F" w:rsidP="003E465F">
            <w:pPr>
              <w:spacing w:line="360" w:lineRule="auto"/>
              <w:jc w:val="center"/>
              <w:rPr>
                <w:rFonts w:ascii="Times New Roman" w:eastAsia="Times New Roman" w:hAnsi="Times New Roman" w:cs="Times New Roman"/>
              </w:rPr>
            </w:pPr>
          </w:p>
        </w:tc>
        <w:tc>
          <w:tcPr>
            <w:tcW w:w="1193" w:type="dxa"/>
            <w:shd w:val="clear" w:color="auto" w:fill="auto"/>
            <w:vAlign w:val="bottom"/>
          </w:tcPr>
          <w:p w14:paraId="61D864CF" w14:textId="77777777" w:rsidR="003E465F" w:rsidRPr="00523645" w:rsidRDefault="003E465F" w:rsidP="003E465F">
            <w:pPr>
              <w:spacing w:line="360" w:lineRule="auto"/>
              <w:jc w:val="center"/>
              <w:rPr>
                <w:rFonts w:ascii="Times New Roman" w:eastAsia="Times New Roman" w:hAnsi="Times New Roman" w:cs="Times New Roman"/>
              </w:rPr>
            </w:pPr>
          </w:p>
        </w:tc>
      </w:tr>
      <w:tr w:rsidR="003E465F" w:rsidRPr="00A96836" w14:paraId="7F98F6CE" w14:textId="77777777" w:rsidTr="00C70300">
        <w:trPr>
          <w:trHeight w:val="315"/>
        </w:trPr>
        <w:tc>
          <w:tcPr>
            <w:tcW w:w="3577" w:type="dxa"/>
            <w:shd w:val="clear" w:color="auto" w:fill="auto"/>
            <w:vAlign w:val="bottom"/>
          </w:tcPr>
          <w:p w14:paraId="331CBB65" w14:textId="09584A8B" w:rsidR="003E465F" w:rsidRPr="003E465F" w:rsidRDefault="003E465F" w:rsidP="00C70300">
            <w:pPr>
              <w:spacing w:line="360" w:lineRule="auto"/>
              <w:ind w:firstLine="480"/>
              <w:rPr>
                <w:rFonts w:ascii="Times New Roman" w:eastAsia="Times New Roman" w:hAnsi="Times New Roman" w:cs="Times New Roman"/>
              </w:rPr>
            </w:pPr>
            <w:r w:rsidRPr="00A96836">
              <w:rPr>
                <w:rFonts w:ascii="Times New Roman" w:eastAsia="Times New Roman" w:hAnsi="Times New Roman" w:cs="Times New Roman"/>
              </w:rPr>
              <w:t>Yes</w:t>
            </w:r>
          </w:p>
        </w:tc>
        <w:tc>
          <w:tcPr>
            <w:tcW w:w="1890" w:type="dxa"/>
            <w:shd w:val="clear" w:color="auto" w:fill="auto"/>
            <w:vAlign w:val="bottom"/>
          </w:tcPr>
          <w:p w14:paraId="704DD43A" w14:textId="1B30663A" w:rsidR="003E465F" w:rsidRPr="00A96836" w:rsidRDefault="003E465F"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color w:val="000000"/>
              </w:rPr>
              <w:t>2.19(1.07-4.50)</w:t>
            </w:r>
          </w:p>
        </w:tc>
        <w:tc>
          <w:tcPr>
            <w:tcW w:w="1170" w:type="dxa"/>
            <w:shd w:val="clear" w:color="auto" w:fill="auto"/>
            <w:vAlign w:val="bottom"/>
          </w:tcPr>
          <w:p w14:paraId="74D39A4C" w14:textId="2ACE8D99" w:rsidR="003E465F" w:rsidRPr="00A96836" w:rsidRDefault="003E465F"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color w:val="000000"/>
              </w:rPr>
              <w:t>0.032</w:t>
            </w:r>
          </w:p>
        </w:tc>
        <w:tc>
          <w:tcPr>
            <w:tcW w:w="1890" w:type="dxa"/>
            <w:shd w:val="clear" w:color="auto" w:fill="auto"/>
            <w:vAlign w:val="bottom"/>
          </w:tcPr>
          <w:p w14:paraId="74D33EBB" w14:textId="511AE7D8" w:rsidR="003E465F" w:rsidRPr="00523645" w:rsidRDefault="003E465F"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color w:val="000000"/>
              </w:rPr>
              <w:t>2.39(1.10-5.19)</w:t>
            </w:r>
          </w:p>
        </w:tc>
        <w:tc>
          <w:tcPr>
            <w:tcW w:w="1193" w:type="dxa"/>
            <w:shd w:val="clear" w:color="auto" w:fill="auto"/>
            <w:vAlign w:val="bottom"/>
          </w:tcPr>
          <w:p w14:paraId="671A8624" w14:textId="103D2B54" w:rsidR="003E465F" w:rsidRPr="00523645" w:rsidRDefault="003E465F"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color w:val="000000"/>
              </w:rPr>
              <w:t>0.028</w:t>
            </w:r>
          </w:p>
        </w:tc>
      </w:tr>
      <w:tr w:rsidR="003E465F" w:rsidRPr="00A96836" w14:paraId="404CDE52" w14:textId="77777777" w:rsidTr="00C70300">
        <w:trPr>
          <w:trHeight w:val="315"/>
        </w:trPr>
        <w:tc>
          <w:tcPr>
            <w:tcW w:w="3577" w:type="dxa"/>
            <w:shd w:val="clear" w:color="auto" w:fill="auto"/>
            <w:vAlign w:val="bottom"/>
          </w:tcPr>
          <w:p w14:paraId="2A4133F9" w14:textId="15B3F189" w:rsidR="003E465F" w:rsidRPr="003E465F" w:rsidRDefault="003E465F" w:rsidP="00C70300">
            <w:pPr>
              <w:spacing w:line="360" w:lineRule="auto"/>
              <w:ind w:firstLine="480"/>
              <w:rPr>
                <w:rFonts w:ascii="Times New Roman" w:eastAsia="Times New Roman" w:hAnsi="Times New Roman" w:cs="Times New Roman"/>
              </w:rPr>
            </w:pPr>
            <w:r w:rsidRPr="00A96836">
              <w:rPr>
                <w:rFonts w:ascii="Times New Roman" w:eastAsia="Times New Roman" w:hAnsi="Times New Roman" w:cs="Times New Roman"/>
              </w:rPr>
              <w:t>No</w:t>
            </w:r>
          </w:p>
        </w:tc>
        <w:tc>
          <w:tcPr>
            <w:tcW w:w="1890" w:type="dxa"/>
            <w:shd w:val="clear" w:color="auto" w:fill="auto"/>
            <w:vAlign w:val="bottom"/>
          </w:tcPr>
          <w:p w14:paraId="2273AA1B" w14:textId="3345DB34" w:rsidR="003E465F" w:rsidRPr="00A96836" w:rsidRDefault="003E465F"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color w:val="000000"/>
              </w:rPr>
              <w:t>Ref</w:t>
            </w:r>
          </w:p>
        </w:tc>
        <w:tc>
          <w:tcPr>
            <w:tcW w:w="1170" w:type="dxa"/>
            <w:shd w:val="clear" w:color="auto" w:fill="auto"/>
            <w:vAlign w:val="bottom"/>
          </w:tcPr>
          <w:p w14:paraId="4A518EB2" w14:textId="77777777" w:rsidR="003E465F" w:rsidRPr="00A96836" w:rsidRDefault="003E465F" w:rsidP="003E465F">
            <w:pPr>
              <w:spacing w:line="360" w:lineRule="auto"/>
              <w:jc w:val="center"/>
              <w:rPr>
                <w:rFonts w:ascii="Times New Roman" w:eastAsia="Times New Roman" w:hAnsi="Times New Roman" w:cs="Times New Roman"/>
              </w:rPr>
            </w:pPr>
          </w:p>
        </w:tc>
        <w:tc>
          <w:tcPr>
            <w:tcW w:w="1890" w:type="dxa"/>
            <w:shd w:val="clear" w:color="auto" w:fill="auto"/>
            <w:vAlign w:val="bottom"/>
          </w:tcPr>
          <w:p w14:paraId="35DC280B" w14:textId="19F729D7" w:rsidR="003E465F" w:rsidRPr="00523645" w:rsidRDefault="003E465F"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color w:val="000000"/>
              </w:rPr>
              <w:t>Ref</w:t>
            </w:r>
          </w:p>
        </w:tc>
        <w:tc>
          <w:tcPr>
            <w:tcW w:w="1193" w:type="dxa"/>
            <w:shd w:val="clear" w:color="auto" w:fill="auto"/>
            <w:vAlign w:val="bottom"/>
          </w:tcPr>
          <w:p w14:paraId="59F8FE9E" w14:textId="77777777" w:rsidR="003E465F" w:rsidRPr="00523645" w:rsidRDefault="003E465F" w:rsidP="003E465F">
            <w:pPr>
              <w:spacing w:line="360" w:lineRule="auto"/>
              <w:jc w:val="center"/>
              <w:rPr>
                <w:rFonts w:ascii="Times New Roman" w:eastAsia="Times New Roman" w:hAnsi="Times New Roman" w:cs="Times New Roman"/>
              </w:rPr>
            </w:pPr>
          </w:p>
        </w:tc>
      </w:tr>
      <w:tr w:rsidR="003E465F" w:rsidRPr="00A96836" w14:paraId="4AE5C4D6" w14:textId="77777777" w:rsidTr="00C70300">
        <w:trPr>
          <w:trHeight w:val="315"/>
        </w:trPr>
        <w:tc>
          <w:tcPr>
            <w:tcW w:w="3577" w:type="dxa"/>
            <w:shd w:val="clear" w:color="auto" w:fill="auto"/>
            <w:vAlign w:val="center"/>
          </w:tcPr>
          <w:p w14:paraId="7377B568" w14:textId="77777777" w:rsidR="003E465F" w:rsidRPr="00A96836" w:rsidRDefault="003E465F" w:rsidP="00C70300">
            <w:pPr>
              <w:spacing w:line="360" w:lineRule="auto"/>
              <w:rPr>
                <w:rFonts w:ascii="Times New Roman" w:eastAsia="Times New Roman" w:hAnsi="Times New Roman" w:cs="Times New Roman"/>
                <w:b/>
                <w:bCs/>
              </w:rPr>
            </w:pPr>
            <w:r w:rsidRPr="00A96836">
              <w:rPr>
                <w:rFonts w:ascii="Times New Roman" w:eastAsia="Times New Roman" w:hAnsi="Times New Roman" w:cs="Times New Roman"/>
                <w:b/>
                <w:bCs/>
              </w:rPr>
              <w:t>Optic Disc Hemorrhage</w:t>
            </w:r>
          </w:p>
        </w:tc>
        <w:tc>
          <w:tcPr>
            <w:tcW w:w="1890" w:type="dxa"/>
            <w:shd w:val="clear" w:color="auto" w:fill="auto"/>
            <w:vAlign w:val="bottom"/>
          </w:tcPr>
          <w:p w14:paraId="527747FF" w14:textId="3B9719A9" w:rsidR="003E465F" w:rsidRPr="00A96836" w:rsidRDefault="003E465F" w:rsidP="003E465F">
            <w:pPr>
              <w:spacing w:line="360" w:lineRule="auto"/>
              <w:jc w:val="center"/>
              <w:rPr>
                <w:rFonts w:ascii="Times New Roman" w:eastAsia="Times New Roman" w:hAnsi="Times New Roman" w:cs="Times New Roman"/>
              </w:rPr>
            </w:pPr>
          </w:p>
        </w:tc>
        <w:tc>
          <w:tcPr>
            <w:tcW w:w="1170" w:type="dxa"/>
            <w:shd w:val="clear" w:color="auto" w:fill="auto"/>
            <w:vAlign w:val="bottom"/>
          </w:tcPr>
          <w:p w14:paraId="4511ED29" w14:textId="2EC02A7C" w:rsidR="003E465F" w:rsidRPr="00A96836" w:rsidRDefault="003E465F" w:rsidP="003E465F">
            <w:pPr>
              <w:spacing w:line="360" w:lineRule="auto"/>
              <w:jc w:val="center"/>
              <w:rPr>
                <w:rFonts w:ascii="Times New Roman" w:eastAsia="Times New Roman" w:hAnsi="Times New Roman" w:cs="Times New Roman"/>
              </w:rPr>
            </w:pPr>
          </w:p>
        </w:tc>
        <w:tc>
          <w:tcPr>
            <w:tcW w:w="1890" w:type="dxa"/>
            <w:shd w:val="clear" w:color="auto" w:fill="auto"/>
          </w:tcPr>
          <w:p w14:paraId="5BC40A78" w14:textId="77779106" w:rsidR="003E465F" w:rsidRPr="00A96836" w:rsidRDefault="003E465F" w:rsidP="003E465F">
            <w:pPr>
              <w:spacing w:line="360" w:lineRule="auto"/>
              <w:jc w:val="center"/>
              <w:rPr>
                <w:rFonts w:ascii="Times New Roman" w:eastAsia="Times New Roman" w:hAnsi="Times New Roman" w:cs="Times New Roman"/>
              </w:rPr>
            </w:pPr>
            <w:r w:rsidRPr="00523645">
              <w:rPr>
                <w:rFonts w:ascii="Times New Roman" w:eastAsia="Times New Roman" w:hAnsi="Times New Roman" w:cs="Times New Roman"/>
              </w:rPr>
              <w:t>-</w:t>
            </w:r>
          </w:p>
        </w:tc>
        <w:tc>
          <w:tcPr>
            <w:tcW w:w="1193" w:type="dxa"/>
            <w:shd w:val="clear" w:color="auto" w:fill="auto"/>
          </w:tcPr>
          <w:p w14:paraId="0AD28FDD" w14:textId="2B5E1AA3" w:rsidR="003E465F" w:rsidRPr="00A96836" w:rsidRDefault="003E465F" w:rsidP="003E465F">
            <w:pPr>
              <w:spacing w:line="360" w:lineRule="auto"/>
              <w:jc w:val="center"/>
              <w:rPr>
                <w:rFonts w:ascii="Times New Roman" w:eastAsia="Times New Roman" w:hAnsi="Times New Roman" w:cs="Times New Roman"/>
              </w:rPr>
            </w:pPr>
            <w:r w:rsidRPr="00523645">
              <w:rPr>
                <w:rFonts w:ascii="Times New Roman" w:eastAsia="Times New Roman" w:hAnsi="Times New Roman" w:cs="Times New Roman"/>
              </w:rPr>
              <w:t>-</w:t>
            </w:r>
          </w:p>
        </w:tc>
      </w:tr>
      <w:tr w:rsidR="003E465F" w:rsidRPr="00A96836" w14:paraId="4B1E0FD9" w14:textId="77777777" w:rsidTr="00C70300">
        <w:trPr>
          <w:trHeight w:val="315"/>
        </w:trPr>
        <w:tc>
          <w:tcPr>
            <w:tcW w:w="3577" w:type="dxa"/>
            <w:shd w:val="clear" w:color="auto" w:fill="auto"/>
            <w:vAlign w:val="center"/>
          </w:tcPr>
          <w:p w14:paraId="6BBD1E61" w14:textId="77777777" w:rsidR="003E465F" w:rsidRPr="00A96836" w:rsidRDefault="003E465F" w:rsidP="00C70300">
            <w:pPr>
              <w:spacing w:line="360" w:lineRule="auto"/>
              <w:ind w:firstLine="480"/>
              <w:rPr>
                <w:rFonts w:ascii="Times New Roman" w:eastAsia="Times New Roman" w:hAnsi="Times New Roman" w:cs="Times New Roman"/>
              </w:rPr>
            </w:pPr>
            <w:r w:rsidRPr="00A96836">
              <w:rPr>
                <w:rFonts w:ascii="Times New Roman" w:eastAsia="Times New Roman" w:hAnsi="Times New Roman" w:cs="Times New Roman"/>
              </w:rPr>
              <w:t>Yes</w:t>
            </w:r>
          </w:p>
        </w:tc>
        <w:tc>
          <w:tcPr>
            <w:tcW w:w="1890" w:type="dxa"/>
            <w:shd w:val="clear" w:color="auto" w:fill="auto"/>
            <w:vAlign w:val="bottom"/>
          </w:tcPr>
          <w:p w14:paraId="51436ADF" w14:textId="77777777" w:rsidR="003E465F" w:rsidRPr="00A96836" w:rsidRDefault="003E465F"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Ref</w:t>
            </w:r>
          </w:p>
        </w:tc>
        <w:tc>
          <w:tcPr>
            <w:tcW w:w="1170" w:type="dxa"/>
            <w:shd w:val="clear" w:color="auto" w:fill="auto"/>
            <w:vAlign w:val="bottom"/>
          </w:tcPr>
          <w:p w14:paraId="2267BBC3" w14:textId="1D2A9278" w:rsidR="003E465F" w:rsidRPr="00A96836" w:rsidRDefault="003E465F" w:rsidP="003E465F">
            <w:pPr>
              <w:spacing w:line="360" w:lineRule="auto"/>
              <w:jc w:val="center"/>
              <w:rPr>
                <w:rFonts w:ascii="Times New Roman" w:eastAsia="Times New Roman" w:hAnsi="Times New Roman" w:cs="Times New Roman"/>
              </w:rPr>
            </w:pPr>
          </w:p>
        </w:tc>
        <w:tc>
          <w:tcPr>
            <w:tcW w:w="1890" w:type="dxa"/>
            <w:shd w:val="clear" w:color="auto" w:fill="auto"/>
          </w:tcPr>
          <w:p w14:paraId="009AFE03" w14:textId="41C3E224" w:rsidR="003E465F" w:rsidRPr="00A96836" w:rsidRDefault="003E465F" w:rsidP="003E465F">
            <w:pPr>
              <w:spacing w:line="360" w:lineRule="auto"/>
              <w:jc w:val="center"/>
              <w:rPr>
                <w:rFonts w:ascii="Times New Roman" w:eastAsia="Times New Roman" w:hAnsi="Times New Roman" w:cs="Times New Roman"/>
              </w:rPr>
            </w:pPr>
            <w:r w:rsidRPr="00523645">
              <w:rPr>
                <w:rFonts w:ascii="Times New Roman" w:eastAsia="Times New Roman" w:hAnsi="Times New Roman" w:cs="Times New Roman"/>
              </w:rPr>
              <w:t>-</w:t>
            </w:r>
          </w:p>
        </w:tc>
        <w:tc>
          <w:tcPr>
            <w:tcW w:w="1193" w:type="dxa"/>
            <w:shd w:val="clear" w:color="auto" w:fill="auto"/>
          </w:tcPr>
          <w:p w14:paraId="550F6838" w14:textId="6A0798F9" w:rsidR="003E465F" w:rsidRPr="00A96836" w:rsidRDefault="003E465F" w:rsidP="003E465F">
            <w:pPr>
              <w:spacing w:line="360" w:lineRule="auto"/>
              <w:jc w:val="center"/>
              <w:rPr>
                <w:rFonts w:ascii="Times New Roman" w:eastAsia="Times New Roman" w:hAnsi="Times New Roman" w:cs="Times New Roman"/>
              </w:rPr>
            </w:pPr>
            <w:r w:rsidRPr="00523645">
              <w:rPr>
                <w:rFonts w:ascii="Times New Roman" w:eastAsia="Times New Roman" w:hAnsi="Times New Roman" w:cs="Times New Roman"/>
              </w:rPr>
              <w:t>-</w:t>
            </w:r>
          </w:p>
        </w:tc>
      </w:tr>
      <w:tr w:rsidR="003E465F" w:rsidRPr="00A96836" w14:paraId="5BC5A372" w14:textId="77777777" w:rsidTr="00C70300">
        <w:trPr>
          <w:trHeight w:val="315"/>
        </w:trPr>
        <w:tc>
          <w:tcPr>
            <w:tcW w:w="3577" w:type="dxa"/>
            <w:shd w:val="clear" w:color="auto" w:fill="auto"/>
            <w:vAlign w:val="center"/>
          </w:tcPr>
          <w:p w14:paraId="5B52E587" w14:textId="77777777" w:rsidR="003E465F" w:rsidRPr="00A96836" w:rsidRDefault="003E465F" w:rsidP="00C70300">
            <w:pPr>
              <w:spacing w:line="360" w:lineRule="auto"/>
              <w:ind w:firstLine="480"/>
              <w:rPr>
                <w:rFonts w:ascii="Times New Roman" w:eastAsia="Times New Roman" w:hAnsi="Times New Roman" w:cs="Times New Roman"/>
              </w:rPr>
            </w:pPr>
            <w:r w:rsidRPr="00A96836">
              <w:rPr>
                <w:rFonts w:ascii="Times New Roman" w:eastAsia="Times New Roman" w:hAnsi="Times New Roman" w:cs="Times New Roman"/>
              </w:rPr>
              <w:t>No</w:t>
            </w:r>
          </w:p>
        </w:tc>
        <w:tc>
          <w:tcPr>
            <w:tcW w:w="1890" w:type="dxa"/>
            <w:shd w:val="clear" w:color="auto" w:fill="auto"/>
            <w:vAlign w:val="bottom"/>
          </w:tcPr>
          <w:p w14:paraId="163C42E3" w14:textId="77777777" w:rsidR="003E465F" w:rsidRPr="00A96836" w:rsidRDefault="003E465F"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0.78(0.27-2.23)</w:t>
            </w:r>
          </w:p>
        </w:tc>
        <w:tc>
          <w:tcPr>
            <w:tcW w:w="1170" w:type="dxa"/>
            <w:shd w:val="clear" w:color="auto" w:fill="auto"/>
            <w:vAlign w:val="bottom"/>
          </w:tcPr>
          <w:p w14:paraId="20DEC5F3" w14:textId="77777777" w:rsidR="003E465F" w:rsidRPr="00A96836" w:rsidRDefault="003E465F"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0.643</w:t>
            </w:r>
          </w:p>
        </w:tc>
        <w:tc>
          <w:tcPr>
            <w:tcW w:w="1890" w:type="dxa"/>
            <w:shd w:val="clear" w:color="auto" w:fill="auto"/>
          </w:tcPr>
          <w:p w14:paraId="1D5CB9B2" w14:textId="04BF2024" w:rsidR="003E465F" w:rsidRPr="00A96836" w:rsidRDefault="003E465F" w:rsidP="003E465F">
            <w:pPr>
              <w:spacing w:line="360" w:lineRule="auto"/>
              <w:jc w:val="center"/>
              <w:rPr>
                <w:rFonts w:ascii="Times New Roman" w:eastAsia="Times New Roman" w:hAnsi="Times New Roman" w:cs="Times New Roman"/>
              </w:rPr>
            </w:pPr>
            <w:r w:rsidRPr="00523645">
              <w:rPr>
                <w:rFonts w:ascii="Times New Roman" w:eastAsia="Times New Roman" w:hAnsi="Times New Roman" w:cs="Times New Roman"/>
              </w:rPr>
              <w:t>-</w:t>
            </w:r>
          </w:p>
        </w:tc>
        <w:tc>
          <w:tcPr>
            <w:tcW w:w="1193" w:type="dxa"/>
            <w:shd w:val="clear" w:color="auto" w:fill="auto"/>
          </w:tcPr>
          <w:p w14:paraId="094CA0E8" w14:textId="371CB156" w:rsidR="003E465F" w:rsidRPr="00A96836" w:rsidRDefault="003E465F" w:rsidP="003E465F">
            <w:pPr>
              <w:spacing w:line="360" w:lineRule="auto"/>
              <w:jc w:val="center"/>
              <w:rPr>
                <w:rFonts w:ascii="Times New Roman" w:eastAsia="Times New Roman" w:hAnsi="Times New Roman" w:cs="Times New Roman"/>
              </w:rPr>
            </w:pPr>
            <w:r w:rsidRPr="00523645">
              <w:rPr>
                <w:rFonts w:ascii="Times New Roman" w:eastAsia="Times New Roman" w:hAnsi="Times New Roman" w:cs="Times New Roman"/>
              </w:rPr>
              <w:t>-</w:t>
            </w:r>
          </w:p>
        </w:tc>
      </w:tr>
      <w:tr w:rsidR="003E465F" w:rsidRPr="00A96836" w14:paraId="1DDB924A" w14:textId="77777777" w:rsidTr="00C70300">
        <w:trPr>
          <w:trHeight w:val="315"/>
        </w:trPr>
        <w:tc>
          <w:tcPr>
            <w:tcW w:w="3577" w:type="dxa"/>
            <w:shd w:val="clear" w:color="auto" w:fill="auto"/>
            <w:vAlign w:val="center"/>
          </w:tcPr>
          <w:p w14:paraId="481C2AF9" w14:textId="77777777" w:rsidR="003E465F" w:rsidRPr="00A96836" w:rsidRDefault="003E465F" w:rsidP="00C70300">
            <w:pPr>
              <w:spacing w:line="360" w:lineRule="auto"/>
              <w:rPr>
                <w:rFonts w:ascii="Times New Roman" w:eastAsia="Times New Roman" w:hAnsi="Times New Roman" w:cs="Times New Roman"/>
                <w:b/>
                <w:bCs/>
              </w:rPr>
            </w:pPr>
            <w:r w:rsidRPr="00A96836">
              <w:rPr>
                <w:rFonts w:ascii="Times New Roman" w:eastAsia="Times New Roman" w:hAnsi="Times New Roman" w:cs="Times New Roman"/>
                <w:b/>
                <w:bCs/>
              </w:rPr>
              <w:t>Type of glaucoma</w:t>
            </w:r>
          </w:p>
        </w:tc>
        <w:tc>
          <w:tcPr>
            <w:tcW w:w="1890" w:type="dxa"/>
            <w:shd w:val="clear" w:color="auto" w:fill="auto"/>
            <w:vAlign w:val="bottom"/>
          </w:tcPr>
          <w:p w14:paraId="7BA97522" w14:textId="0541BAA6" w:rsidR="003E465F" w:rsidRPr="00A96836" w:rsidRDefault="003E465F" w:rsidP="003E465F">
            <w:pPr>
              <w:spacing w:line="360" w:lineRule="auto"/>
              <w:jc w:val="center"/>
              <w:rPr>
                <w:rFonts w:ascii="Times New Roman" w:eastAsia="Times New Roman" w:hAnsi="Times New Roman" w:cs="Times New Roman"/>
              </w:rPr>
            </w:pPr>
          </w:p>
        </w:tc>
        <w:tc>
          <w:tcPr>
            <w:tcW w:w="1170" w:type="dxa"/>
            <w:shd w:val="clear" w:color="auto" w:fill="auto"/>
            <w:vAlign w:val="bottom"/>
          </w:tcPr>
          <w:p w14:paraId="2EFFA206" w14:textId="45A2167F" w:rsidR="003E465F" w:rsidRPr="00A96836" w:rsidRDefault="003E465F" w:rsidP="003E465F">
            <w:pPr>
              <w:spacing w:line="360" w:lineRule="auto"/>
              <w:jc w:val="center"/>
              <w:rPr>
                <w:rFonts w:ascii="Times New Roman" w:eastAsia="Times New Roman" w:hAnsi="Times New Roman" w:cs="Times New Roman"/>
              </w:rPr>
            </w:pPr>
          </w:p>
        </w:tc>
        <w:tc>
          <w:tcPr>
            <w:tcW w:w="1890" w:type="dxa"/>
            <w:shd w:val="clear" w:color="auto" w:fill="auto"/>
          </w:tcPr>
          <w:p w14:paraId="1FF77FA5" w14:textId="5650C19C" w:rsidR="003E465F" w:rsidRPr="00A96836" w:rsidRDefault="003E465F" w:rsidP="003E465F">
            <w:pPr>
              <w:spacing w:line="360" w:lineRule="auto"/>
              <w:jc w:val="center"/>
              <w:rPr>
                <w:rFonts w:ascii="Times New Roman" w:eastAsia="Times New Roman" w:hAnsi="Times New Roman" w:cs="Times New Roman"/>
              </w:rPr>
            </w:pPr>
            <w:r w:rsidRPr="00523645">
              <w:rPr>
                <w:rFonts w:ascii="Times New Roman" w:eastAsia="Times New Roman" w:hAnsi="Times New Roman" w:cs="Times New Roman"/>
              </w:rPr>
              <w:t>-</w:t>
            </w:r>
          </w:p>
        </w:tc>
        <w:tc>
          <w:tcPr>
            <w:tcW w:w="1193" w:type="dxa"/>
            <w:shd w:val="clear" w:color="auto" w:fill="auto"/>
          </w:tcPr>
          <w:p w14:paraId="74E8B102" w14:textId="45FC9836" w:rsidR="003E465F" w:rsidRPr="00A96836" w:rsidRDefault="003E465F" w:rsidP="003E465F">
            <w:pPr>
              <w:spacing w:line="360" w:lineRule="auto"/>
              <w:jc w:val="center"/>
              <w:rPr>
                <w:rFonts w:ascii="Times New Roman" w:eastAsia="Times New Roman" w:hAnsi="Times New Roman" w:cs="Times New Roman"/>
              </w:rPr>
            </w:pPr>
            <w:r w:rsidRPr="00523645">
              <w:rPr>
                <w:rFonts w:ascii="Times New Roman" w:eastAsia="Times New Roman" w:hAnsi="Times New Roman" w:cs="Times New Roman"/>
              </w:rPr>
              <w:t>-</w:t>
            </w:r>
          </w:p>
        </w:tc>
      </w:tr>
      <w:tr w:rsidR="003E465F" w:rsidRPr="00A96836" w14:paraId="50648D88" w14:textId="77777777" w:rsidTr="00C70300">
        <w:trPr>
          <w:trHeight w:val="315"/>
        </w:trPr>
        <w:tc>
          <w:tcPr>
            <w:tcW w:w="3577" w:type="dxa"/>
            <w:shd w:val="clear" w:color="auto" w:fill="auto"/>
            <w:vAlign w:val="center"/>
          </w:tcPr>
          <w:p w14:paraId="0B87DE67" w14:textId="77777777" w:rsidR="003E465F" w:rsidRPr="00A96836" w:rsidRDefault="003E465F" w:rsidP="00C70300">
            <w:pPr>
              <w:spacing w:line="360" w:lineRule="auto"/>
              <w:ind w:firstLine="480"/>
              <w:rPr>
                <w:rFonts w:ascii="Times New Roman" w:eastAsia="Times New Roman" w:hAnsi="Times New Roman" w:cs="Times New Roman"/>
              </w:rPr>
            </w:pPr>
            <w:r w:rsidRPr="00A96836">
              <w:rPr>
                <w:rFonts w:ascii="Times New Roman" w:eastAsia="Times New Roman" w:hAnsi="Times New Roman" w:cs="Times New Roman"/>
              </w:rPr>
              <w:t>Primary glaucoma</w:t>
            </w:r>
          </w:p>
        </w:tc>
        <w:tc>
          <w:tcPr>
            <w:tcW w:w="1890" w:type="dxa"/>
            <w:shd w:val="clear" w:color="auto" w:fill="auto"/>
            <w:vAlign w:val="bottom"/>
          </w:tcPr>
          <w:p w14:paraId="766BCDC3" w14:textId="77777777" w:rsidR="003E465F" w:rsidRPr="00A96836" w:rsidRDefault="003E465F"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Ref</w:t>
            </w:r>
          </w:p>
        </w:tc>
        <w:tc>
          <w:tcPr>
            <w:tcW w:w="1170" w:type="dxa"/>
            <w:shd w:val="clear" w:color="auto" w:fill="auto"/>
            <w:vAlign w:val="bottom"/>
          </w:tcPr>
          <w:p w14:paraId="20C1A276" w14:textId="7645D5B5" w:rsidR="003E465F" w:rsidRPr="00A96836" w:rsidRDefault="003E465F" w:rsidP="003E465F">
            <w:pPr>
              <w:spacing w:line="360" w:lineRule="auto"/>
              <w:jc w:val="center"/>
              <w:rPr>
                <w:rFonts w:ascii="Times New Roman" w:eastAsia="Times New Roman" w:hAnsi="Times New Roman" w:cs="Times New Roman"/>
              </w:rPr>
            </w:pPr>
          </w:p>
        </w:tc>
        <w:tc>
          <w:tcPr>
            <w:tcW w:w="1890" w:type="dxa"/>
            <w:shd w:val="clear" w:color="auto" w:fill="auto"/>
          </w:tcPr>
          <w:p w14:paraId="3F823CA5" w14:textId="73205722" w:rsidR="003E465F" w:rsidRPr="00A96836" w:rsidRDefault="003E465F" w:rsidP="003E465F">
            <w:pPr>
              <w:spacing w:line="360" w:lineRule="auto"/>
              <w:jc w:val="center"/>
              <w:rPr>
                <w:rFonts w:ascii="Times New Roman" w:eastAsia="Times New Roman" w:hAnsi="Times New Roman" w:cs="Times New Roman"/>
              </w:rPr>
            </w:pPr>
            <w:r w:rsidRPr="00523645">
              <w:rPr>
                <w:rFonts w:ascii="Times New Roman" w:eastAsia="Times New Roman" w:hAnsi="Times New Roman" w:cs="Times New Roman"/>
              </w:rPr>
              <w:t>-</w:t>
            </w:r>
          </w:p>
        </w:tc>
        <w:tc>
          <w:tcPr>
            <w:tcW w:w="1193" w:type="dxa"/>
            <w:shd w:val="clear" w:color="auto" w:fill="auto"/>
          </w:tcPr>
          <w:p w14:paraId="025D4D21" w14:textId="06681C7F" w:rsidR="003E465F" w:rsidRPr="00A96836" w:rsidRDefault="003E465F" w:rsidP="003E465F">
            <w:pPr>
              <w:spacing w:line="360" w:lineRule="auto"/>
              <w:jc w:val="center"/>
              <w:rPr>
                <w:rFonts w:ascii="Times New Roman" w:eastAsia="Times New Roman" w:hAnsi="Times New Roman" w:cs="Times New Roman"/>
              </w:rPr>
            </w:pPr>
            <w:r w:rsidRPr="00523645">
              <w:rPr>
                <w:rFonts w:ascii="Times New Roman" w:eastAsia="Times New Roman" w:hAnsi="Times New Roman" w:cs="Times New Roman"/>
              </w:rPr>
              <w:t>-</w:t>
            </w:r>
          </w:p>
        </w:tc>
      </w:tr>
      <w:tr w:rsidR="003E465F" w:rsidRPr="00A96836" w14:paraId="27113F22" w14:textId="77777777" w:rsidTr="00C70300">
        <w:trPr>
          <w:trHeight w:val="315"/>
        </w:trPr>
        <w:tc>
          <w:tcPr>
            <w:tcW w:w="3577" w:type="dxa"/>
            <w:shd w:val="clear" w:color="auto" w:fill="auto"/>
            <w:vAlign w:val="center"/>
          </w:tcPr>
          <w:p w14:paraId="3C966A22" w14:textId="77777777" w:rsidR="003E465F" w:rsidRPr="00A96836" w:rsidRDefault="003E465F" w:rsidP="00C70300">
            <w:pPr>
              <w:spacing w:line="360" w:lineRule="auto"/>
              <w:ind w:firstLine="480"/>
              <w:rPr>
                <w:rFonts w:ascii="Times New Roman" w:eastAsia="Times New Roman" w:hAnsi="Times New Roman" w:cs="Times New Roman"/>
              </w:rPr>
            </w:pPr>
            <w:r w:rsidRPr="00A96836">
              <w:rPr>
                <w:rFonts w:ascii="Times New Roman" w:eastAsia="Times New Roman" w:hAnsi="Times New Roman" w:cs="Times New Roman"/>
              </w:rPr>
              <w:t>Secondary glaucoma</w:t>
            </w:r>
          </w:p>
        </w:tc>
        <w:tc>
          <w:tcPr>
            <w:tcW w:w="1890" w:type="dxa"/>
            <w:shd w:val="clear" w:color="auto" w:fill="auto"/>
            <w:vAlign w:val="bottom"/>
          </w:tcPr>
          <w:p w14:paraId="71726F05" w14:textId="77777777" w:rsidR="003E465F" w:rsidRPr="00A96836" w:rsidRDefault="003E465F"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0.48(0.23-1.01)</w:t>
            </w:r>
          </w:p>
        </w:tc>
        <w:tc>
          <w:tcPr>
            <w:tcW w:w="1170" w:type="dxa"/>
            <w:shd w:val="clear" w:color="auto" w:fill="auto"/>
            <w:vAlign w:val="bottom"/>
          </w:tcPr>
          <w:p w14:paraId="4E19F665" w14:textId="77777777" w:rsidR="003E465F" w:rsidRPr="00A96836" w:rsidRDefault="003E465F"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0.052</w:t>
            </w:r>
          </w:p>
        </w:tc>
        <w:tc>
          <w:tcPr>
            <w:tcW w:w="1890" w:type="dxa"/>
            <w:shd w:val="clear" w:color="auto" w:fill="auto"/>
          </w:tcPr>
          <w:p w14:paraId="550E69F7" w14:textId="3ABBAEE9" w:rsidR="003E465F" w:rsidRPr="00A96836" w:rsidRDefault="003E465F" w:rsidP="003E465F">
            <w:pPr>
              <w:spacing w:line="360" w:lineRule="auto"/>
              <w:jc w:val="center"/>
              <w:rPr>
                <w:rFonts w:ascii="Times New Roman" w:eastAsia="Times New Roman" w:hAnsi="Times New Roman" w:cs="Times New Roman"/>
              </w:rPr>
            </w:pPr>
            <w:r w:rsidRPr="00523645">
              <w:rPr>
                <w:rFonts w:ascii="Times New Roman" w:eastAsia="Times New Roman" w:hAnsi="Times New Roman" w:cs="Times New Roman"/>
              </w:rPr>
              <w:t>-</w:t>
            </w:r>
          </w:p>
        </w:tc>
        <w:tc>
          <w:tcPr>
            <w:tcW w:w="1193" w:type="dxa"/>
            <w:shd w:val="clear" w:color="auto" w:fill="auto"/>
          </w:tcPr>
          <w:p w14:paraId="25040A70" w14:textId="6319F58C" w:rsidR="003E465F" w:rsidRPr="00A96836" w:rsidRDefault="003E465F" w:rsidP="003E465F">
            <w:pPr>
              <w:spacing w:line="360" w:lineRule="auto"/>
              <w:jc w:val="center"/>
              <w:rPr>
                <w:rFonts w:ascii="Times New Roman" w:eastAsia="Times New Roman" w:hAnsi="Times New Roman" w:cs="Times New Roman"/>
              </w:rPr>
            </w:pPr>
            <w:r w:rsidRPr="00523645">
              <w:rPr>
                <w:rFonts w:ascii="Times New Roman" w:eastAsia="Times New Roman" w:hAnsi="Times New Roman" w:cs="Times New Roman"/>
              </w:rPr>
              <w:t>-</w:t>
            </w:r>
          </w:p>
        </w:tc>
      </w:tr>
      <w:tr w:rsidR="003E465F" w:rsidRPr="00A96836" w14:paraId="6708CF73" w14:textId="77777777" w:rsidTr="00C70300">
        <w:trPr>
          <w:trHeight w:val="315"/>
        </w:trPr>
        <w:tc>
          <w:tcPr>
            <w:tcW w:w="3577" w:type="dxa"/>
            <w:shd w:val="clear" w:color="auto" w:fill="auto"/>
            <w:vAlign w:val="center"/>
          </w:tcPr>
          <w:p w14:paraId="01E63DBF" w14:textId="77777777" w:rsidR="003E465F" w:rsidRPr="00A96836" w:rsidRDefault="003E465F" w:rsidP="00C70300">
            <w:pPr>
              <w:spacing w:line="360" w:lineRule="auto"/>
              <w:rPr>
                <w:rFonts w:ascii="Times New Roman" w:eastAsia="Times New Roman" w:hAnsi="Times New Roman" w:cs="Times New Roman"/>
                <w:b/>
                <w:bCs/>
              </w:rPr>
            </w:pPr>
            <w:r w:rsidRPr="00A96836">
              <w:rPr>
                <w:rFonts w:ascii="Times New Roman" w:eastAsia="Times New Roman" w:hAnsi="Times New Roman" w:cs="Times New Roman"/>
                <w:b/>
                <w:bCs/>
              </w:rPr>
              <w:t>Associated Comorbidities disease</w:t>
            </w:r>
          </w:p>
        </w:tc>
        <w:tc>
          <w:tcPr>
            <w:tcW w:w="1890" w:type="dxa"/>
            <w:shd w:val="clear" w:color="auto" w:fill="auto"/>
            <w:vAlign w:val="bottom"/>
          </w:tcPr>
          <w:p w14:paraId="78DB7BA2" w14:textId="70247D35" w:rsidR="003E465F" w:rsidRPr="00A96836" w:rsidRDefault="003E465F" w:rsidP="003E465F">
            <w:pPr>
              <w:spacing w:line="360" w:lineRule="auto"/>
              <w:jc w:val="center"/>
              <w:rPr>
                <w:rFonts w:ascii="Times New Roman" w:eastAsia="Times New Roman" w:hAnsi="Times New Roman" w:cs="Times New Roman"/>
              </w:rPr>
            </w:pPr>
          </w:p>
        </w:tc>
        <w:tc>
          <w:tcPr>
            <w:tcW w:w="1170" w:type="dxa"/>
            <w:shd w:val="clear" w:color="auto" w:fill="auto"/>
            <w:vAlign w:val="bottom"/>
          </w:tcPr>
          <w:p w14:paraId="1722FF5A" w14:textId="42E44F38" w:rsidR="003E465F" w:rsidRPr="00A96836" w:rsidRDefault="003E465F" w:rsidP="003E465F">
            <w:pPr>
              <w:spacing w:line="360" w:lineRule="auto"/>
              <w:jc w:val="center"/>
              <w:rPr>
                <w:rFonts w:ascii="Times New Roman" w:eastAsia="Times New Roman" w:hAnsi="Times New Roman" w:cs="Times New Roman"/>
              </w:rPr>
            </w:pPr>
          </w:p>
        </w:tc>
        <w:tc>
          <w:tcPr>
            <w:tcW w:w="1890" w:type="dxa"/>
            <w:shd w:val="clear" w:color="auto" w:fill="auto"/>
          </w:tcPr>
          <w:p w14:paraId="34AACFBA" w14:textId="0EAB9805" w:rsidR="003E465F" w:rsidRPr="00A96836" w:rsidRDefault="003E465F" w:rsidP="003E465F">
            <w:pPr>
              <w:spacing w:line="360" w:lineRule="auto"/>
              <w:jc w:val="center"/>
              <w:rPr>
                <w:rFonts w:ascii="Times New Roman" w:eastAsia="Times New Roman" w:hAnsi="Times New Roman" w:cs="Times New Roman"/>
              </w:rPr>
            </w:pPr>
            <w:r w:rsidRPr="00523645">
              <w:rPr>
                <w:rFonts w:ascii="Times New Roman" w:eastAsia="Times New Roman" w:hAnsi="Times New Roman" w:cs="Times New Roman"/>
              </w:rPr>
              <w:t>-</w:t>
            </w:r>
          </w:p>
        </w:tc>
        <w:tc>
          <w:tcPr>
            <w:tcW w:w="1193" w:type="dxa"/>
            <w:shd w:val="clear" w:color="auto" w:fill="auto"/>
          </w:tcPr>
          <w:p w14:paraId="17EFD69C" w14:textId="43763FCF" w:rsidR="003E465F" w:rsidRPr="00A96836" w:rsidRDefault="003E465F" w:rsidP="003E465F">
            <w:pPr>
              <w:spacing w:line="360" w:lineRule="auto"/>
              <w:jc w:val="center"/>
              <w:rPr>
                <w:rFonts w:ascii="Times New Roman" w:eastAsia="Times New Roman" w:hAnsi="Times New Roman" w:cs="Times New Roman"/>
              </w:rPr>
            </w:pPr>
            <w:r w:rsidRPr="00523645">
              <w:rPr>
                <w:rFonts w:ascii="Times New Roman" w:eastAsia="Times New Roman" w:hAnsi="Times New Roman" w:cs="Times New Roman"/>
              </w:rPr>
              <w:t>-</w:t>
            </w:r>
          </w:p>
        </w:tc>
      </w:tr>
      <w:tr w:rsidR="00661B1E" w:rsidRPr="00A96836" w14:paraId="0D416866" w14:textId="77777777" w:rsidTr="00C70300">
        <w:trPr>
          <w:trHeight w:val="315"/>
        </w:trPr>
        <w:tc>
          <w:tcPr>
            <w:tcW w:w="3577" w:type="dxa"/>
            <w:shd w:val="clear" w:color="auto" w:fill="auto"/>
            <w:vAlign w:val="center"/>
          </w:tcPr>
          <w:p w14:paraId="580B5222" w14:textId="77777777" w:rsidR="00661B1E" w:rsidRPr="00A96836" w:rsidRDefault="00661B1E" w:rsidP="00C70300">
            <w:pPr>
              <w:spacing w:line="360" w:lineRule="auto"/>
              <w:ind w:firstLine="480"/>
              <w:rPr>
                <w:rFonts w:ascii="Times New Roman" w:eastAsia="Times New Roman" w:hAnsi="Times New Roman" w:cs="Times New Roman"/>
              </w:rPr>
            </w:pPr>
            <w:r w:rsidRPr="00A96836">
              <w:rPr>
                <w:rFonts w:ascii="Times New Roman" w:eastAsia="Times New Roman" w:hAnsi="Times New Roman" w:cs="Times New Roman"/>
              </w:rPr>
              <w:t>Systemic Disease (HTN/DM/ETC)</w:t>
            </w:r>
          </w:p>
        </w:tc>
        <w:tc>
          <w:tcPr>
            <w:tcW w:w="1890" w:type="dxa"/>
            <w:shd w:val="clear" w:color="auto" w:fill="auto"/>
            <w:vAlign w:val="bottom"/>
          </w:tcPr>
          <w:p w14:paraId="455AB6A5" w14:textId="77777777" w:rsidR="00661B1E" w:rsidRPr="00A96836" w:rsidRDefault="00661B1E"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Ref</w:t>
            </w:r>
          </w:p>
        </w:tc>
        <w:tc>
          <w:tcPr>
            <w:tcW w:w="1170" w:type="dxa"/>
            <w:shd w:val="clear" w:color="auto" w:fill="auto"/>
            <w:vAlign w:val="bottom"/>
          </w:tcPr>
          <w:p w14:paraId="441DBF0B" w14:textId="4BBFDFA6" w:rsidR="00661B1E" w:rsidRPr="00A96836" w:rsidRDefault="00661B1E" w:rsidP="003E465F">
            <w:pPr>
              <w:spacing w:line="360" w:lineRule="auto"/>
              <w:jc w:val="center"/>
              <w:rPr>
                <w:rFonts w:ascii="Times New Roman" w:eastAsia="Times New Roman" w:hAnsi="Times New Roman" w:cs="Times New Roman"/>
              </w:rPr>
            </w:pPr>
          </w:p>
        </w:tc>
        <w:tc>
          <w:tcPr>
            <w:tcW w:w="1890" w:type="dxa"/>
            <w:shd w:val="clear" w:color="auto" w:fill="auto"/>
            <w:vAlign w:val="bottom"/>
          </w:tcPr>
          <w:p w14:paraId="4436E070" w14:textId="77777777" w:rsidR="00661B1E" w:rsidRPr="00A96836" w:rsidRDefault="00661B1E"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Ref</w:t>
            </w:r>
          </w:p>
        </w:tc>
        <w:tc>
          <w:tcPr>
            <w:tcW w:w="1193" w:type="dxa"/>
            <w:shd w:val="clear" w:color="auto" w:fill="auto"/>
            <w:vAlign w:val="bottom"/>
          </w:tcPr>
          <w:p w14:paraId="084D018E" w14:textId="1AF3C803" w:rsidR="00661B1E" w:rsidRPr="00A96836" w:rsidRDefault="00661B1E" w:rsidP="003E465F">
            <w:pPr>
              <w:spacing w:line="360" w:lineRule="auto"/>
              <w:jc w:val="center"/>
              <w:rPr>
                <w:rFonts w:ascii="Times New Roman" w:eastAsia="Times New Roman" w:hAnsi="Times New Roman" w:cs="Times New Roman"/>
              </w:rPr>
            </w:pPr>
          </w:p>
        </w:tc>
      </w:tr>
      <w:tr w:rsidR="00661B1E" w:rsidRPr="00A96836" w14:paraId="5EBD437A" w14:textId="77777777" w:rsidTr="00C70300">
        <w:trPr>
          <w:trHeight w:val="315"/>
        </w:trPr>
        <w:tc>
          <w:tcPr>
            <w:tcW w:w="3577" w:type="dxa"/>
            <w:tcBorders>
              <w:bottom w:val="single" w:sz="12" w:space="0" w:color="auto"/>
            </w:tcBorders>
            <w:shd w:val="clear" w:color="auto" w:fill="auto"/>
            <w:vAlign w:val="center"/>
          </w:tcPr>
          <w:p w14:paraId="214ED34B" w14:textId="77777777" w:rsidR="00661B1E" w:rsidRPr="00A96836" w:rsidRDefault="00661B1E" w:rsidP="00C70300">
            <w:pPr>
              <w:spacing w:line="360" w:lineRule="auto"/>
              <w:ind w:firstLine="480"/>
              <w:rPr>
                <w:rFonts w:ascii="Times New Roman" w:eastAsia="Times New Roman" w:hAnsi="Times New Roman" w:cs="Times New Roman"/>
              </w:rPr>
            </w:pPr>
            <w:r w:rsidRPr="00A96836">
              <w:rPr>
                <w:rFonts w:ascii="Times New Roman" w:eastAsia="Times New Roman" w:hAnsi="Times New Roman" w:cs="Times New Roman"/>
              </w:rPr>
              <w:t>Ocular Disease</w:t>
            </w:r>
          </w:p>
        </w:tc>
        <w:tc>
          <w:tcPr>
            <w:tcW w:w="1890" w:type="dxa"/>
            <w:tcBorders>
              <w:bottom w:val="single" w:sz="12" w:space="0" w:color="auto"/>
            </w:tcBorders>
            <w:shd w:val="clear" w:color="auto" w:fill="auto"/>
            <w:vAlign w:val="bottom"/>
          </w:tcPr>
          <w:p w14:paraId="680CAD99" w14:textId="77777777" w:rsidR="00661B1E" w:rsidRPr="00A96836" w:rsidRDefault="00661B1E"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0.39(0.18-0.83)</w:t>
            </w:r>
          </w:p>
        </w:tc>
        <w:tc>
          <w:tcPr>
            <w:tcW w:w="1170" w:type="dxa"/>
            <w:tcBorders>
              <w:bottom w:val="single" w:sz="12" w:space="0" w:color="auto"/>
            </w:tcBorders>
            <w:shd w:val="clear" w:color="auto" w:fill="auto"/>
            <w:vAlign w:val="bottom"/>
          </w:tcPr>
          <w:p w14:paraId="496CC01E" w14:textId="77777777" w:rsidR="00661B1E" w:rsidRPr="00A96836" w:rsidRDefault="00661B1E"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0.015</w:t>
            </w:r>
          </w:p>
        </w:tc>
        <w:tc>
          <w:tcPr>
            <w:tcW w:w="1890" w:type="dxa"/>
            <w:tcBorders>
              <w:bottom w:val="single" w:sz="12" w:space="0" w:color="auto"/>
            </w:tcBorders>
            <w:shd w:val="clear" w:color="auto" w:fill="auto"/>
            <w:vAlign w:val="bottom"/>
          </w:tcPr>
          <w:p w14:paraId="6C130A33" w14:textId="6DA8AFF3" w:rsidR="00661B1E" w:rsidRPr="00A96836" w:rsidRDefault="00661B1E"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0.</w:t>
            </w:r>
            <w:r w:rsidR="00F670DC" w:rsidRPr="00A96836">
              <w:rPr>
                <w:rFonts w:ascii="Times New Roman" w:eastAsia="Times New Roman" w:hAnsi="Times New Roman" w:cs="Times New Roman"/>
              </w:rPr>
              <w:t>34</w:t>
            </w:r>
            <w:r w:rsidRPr="00A96836">
              <w:rPr>
                <w:rFonts w:ascii="Times New Roman" w:eastAsia="Times New Roman" w:hAnsi="Times New Roman" w:cs="Times New Roman"/>
              </w:rPr>
              <w:t>(0.1</w:t>
            </w:r>
            <w:r w:rsidR="00F670DC" w:rsidRPr="00A96836">
              <w:rPr>
                <w:rFonts w:ascii="Times New Roman" w:eastAsia="Times New Roman" w:hAnsi="Times New Roman" w:cs="Times New Roman"/>
              </w:rPr>
              <w:t>5</w:t>
            </w:r>
            <w:r w:rsidRPr="00A96836">
              <w:rPr>
                <w:rFonts w:ascii="Times New Roman" w:eastAsia="Times New Roman" w:hAnsi="Times New Roman" w:cs="Times New Roman"/>
              </w:rPr>
              <w:t>-0.</w:t>
            </w:r>
            <w:r w:rsidR="00F670DC" w:rsidRPr="00A96836">
              <w:rPr>
                <w:rFonts w:ascii="Times New Roman" w:eastAsia="Times New Roman" w:hAnsi="Times New Roman" w:cs="Times New Roman"/>
              </w:rPr>
              <w:t>79</w:t>
            </w:r>
            <w:r w:rsidRPr="00A96836">
              <w:rPr>
                <w:rFonts w:ascii="Times New Roman" w:eastAsia="Times New Roman" w:hAnsi="Times New Roman" w:cs="Times New Roman"/>
              </w:rPr>
              <w:t>)</w:t>
            </w:r>
          </w:p>
        </w:tc>
        <w:tc>
          <w:tcPr>
            <w:tcW w:w="1193" w:type="dxa"/>
            <w:tcBorders>
              <w:bottom w:val="single" w:sz="12" w:space="0" w:color="auto"/>
            </w:tcBorders>
            <w:shd w:val="clear" w:color="auto" w:fill="auto"/>
            <w:vAlign w:val="bottom"/>
          </w:tcPr>
          <w:p w14:paraId="317B356C" w14:textId="026B0C5A" w:rsidR="00661B1E" w:rsidRPr="00A96836" w:rsidRDefault="00661B1E"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0.0</w:t>
            </w:r>
            <w:r w:rsidR="00F670DC" w:rsidRPr="00A96836">
              <w:rPr>
                <w:rFonts w:ascii="Times New Roman" w:eastAsia="Times New Roman" w:hAnsi="Times New Roman" w:cs="Times New Roman"/>
              </w:rPr>
              <w:t>1</w:t>
            </w:r>
            <w:r w:rsidRPr="00A96836">
              <w:rPr>
                <w:rFonts w:ascii="Times New Roman" w:eastAsia="Times New Roman" w:hAnsi="Times New Roman" w:cs="Times New Roman"/>
              </w:rPr>
              <w:t>2</w:t>
            </w:r>
          </w:p>
        </w:tc>
      </w:tr>
    </w:tbl>
    <w:p w14:paraId="1DD297F5" w14:textId="77777777" w:rsidR="0064616D" w:rsidRPr="00A96836" w:rsidRDefault="0064616D" w:rsidP="00A96836">
      <w:pPr>
        <w:pStyle w:val="Heading2"/>
        <w:spacing w:line="360" w:lineRule="auto"/>
        <w:jc w:val="both"/>
        <w:rPr>
          <w:rFonts w:ascii="Times New Roman" w:eastAsia="Times New Roman" w:hAnsi="Times New Roman" w:cs="Times New Roman"/>
          <w:b/>
          <w:color w:val="000000"/>
          <w:sz w:val="24"/>
          <w:szCs w:val="24"/>
        </w:rPr>
      </w:pPr>
    </w:p>
    <w:p w14:paraId="331C566A" w14:textId="63AA96F2" w:rsidR="0064616D" w:rsidRPr="00A96836" w:rsidRDefault="0064616D" w:rsidP="00A96836">
      <w:pPr>
        <w:spacing w:line="360" w:lineRule="auto"/>
        <w:jc w:val="both"/>
        <w:rPr>
          <w:rFonts w:ascii="Times New Roman" w:eastAsia="Times New Roman" w:hAnsi="Times New Roman" w:cs="Times New Roman"/>
        </w:rPr>
      </w:pPr>
    </w:p>
    <w:p w14:paraId="226DA14D" w14:textId="04223D61" w:rsidR="00C2013C" w:rsidRPr="00A96836" w:rsidRDefault="00C2013C" w:rsidP="00A96836">
      <w:pPr>
        <w:spacing w:line="360" w:lineRule="auto"/>
        <w:jc w:val="both"/>
        <w:rPr>
          <w:rFonts w:ascii="Times New Roman" w:eastAsia="Times New Roman" w:hAnsi="Times New Roman" w:cs="Times New Roman"/>
        </w:rPr>
      </w:pPr>
    </w:p>
    <w:p w14:paraId="30995F92" w14:textId="06F439C3" w:rsidR="00C2013C" w:rsidRPr="00A96836" w:rsidRDefault="00C2013C" w:rsidP="00A96836">
      <w:pPr>
        <w:spacing w:line="360" w:lineRule="auto"/>
        <w:jc w:val="both"/>
        <w:rPr>
          <w:rFonts w:ascii="Times New Roman" w:eastAsia="Times New Roman" w:hAnsi="Times New Roman" w:cs="Times New Roman"/>
        </w:rPr>
      </w:pPr>
    </w:p>
    <w:p w14:paraId="002FA4C7" w14:textId="232C08A0" w:rsidR="00685ECA" w:rsidRDefault="00685ECA" w:rsidP="00685ECA">
      <w:pPr>
        <w:pStyle w:val="Heading2"/>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Discussion</w:t>
      </w:r>
    </w:p>
    <w:p w14:paraId="6CB06803" w14:textId="262DCF49" w:rsidR="00CB7DCE" w:rsidRDefault="00685ECA" w:rsidP="007379A2">
      <w:pPr>
        <w:spacing w:line="360" w:lineRule="auto"/>
        <w:jc w:val="both"/>
        <w:rPr>
          <w:rFonts w:ascii="Times New Roman" w:hAnsi="Times New Roman" w:cs="Times New Roman"/>
        </w:rPr>
      </w:pPr>
      <w:r>
        <w:rPr>
          <w:rFonts w:ascii="Times New Roman" w:hAnsi="Times New Roman" w:cs="Times New Roman"/>
        </w:rPr>
        <w:t xml:space="preserve">This study </w:t>
      </w:r>
      <w:r w:rsidR="002E18A6">
        <w:rPr>
          <w:rFonts w:ascii="Times New Roman" w:hAnsi="Times New Roman" w:cs="Times New Roman"/>
        </w:rPr>
        <w:t>evaluated the efficacy of limited TSCPC in lowering IOP among adult patients with refractory glaucoma treated at KCMC Eye department.</w:t>
      </w:r>
      <w:r w:rsidR="0019119D">
        <w:rPr>
          <w:rFonts w:ascii="Times New Roman" w:hAnsi="Times New Roman" w:cs="Times New Roman"/>
        </w:rPr>
        <w:t xml:space="preserve"> </w:t>
      </w:r>
      <w:r w:rsidR="00CB7DCE">
        <w:rPr>
          <w:rFonts w:ascii="Times New Roman" w:hAnsi="Times New Roman" w:cs="Times New Roman"/>
        </w:rPr>
        <w:t>Although traditionally it is reserved for advanced disease or palliative care, CPC is increasingly being reconsidered for broader use due to improvement in technique and understanding of its safety profile.</w:t>
      </w:r>
    </w:p>
    <w:p w14:paraId="4675E72E" w14:textId="37025261" w:rsidR="00CB7DCE" w:rsidRDefault="00CB7DCE" w:rsidP="007379A2">
      <w:pPr>
        <w:spacing w:line="276" w:lineRule="auto"/>
        <w:jc w:val="both"/>
        <w:rPr>
          <w:rFonts w:ascii="Times New Roman" w:hAnsi="Times New Roman" w:cs="Times New Roman"/>
        </w:rPr>
      </w:pPr>
    </w:p>
    <w:p w14:paraId="51355E29" w14:textId="3C6B4E3C" w:rsidR="003668E3" w:rsidRDefault="00CB7DCE" w:rsidP="007379A2">
      <w:pPr>
        <w:spacing w:line="360" w:lineRule="auto"/>
        <w:jc w:val="both"/>
        <w:rPr>
          <w:rFonts w:ascii="Times New Roman" w:eastAsia="Times New Roman" w:hAnsi="Times New Roman" w:cs="Times New Roman"/>
        </w:rPr>
      </w:pPr>
      <w:r>
        <w:rPr>
          <w:rFonts w:ascii="Times New Roman" w:hAnsi="Times New Roman" w:cs="Times New Roman"/>
        </w:rPr>
        <w:t xml:space="preserve">Our findings </w:t>
      </w:r>
      <w:r w:rsidR="00AA784F">
        <w:rPr>
          <w:rFonts w:ascii="Times New Roman" w:hAnsi="Times New Roman" w:cs="Times New Roman"/>
        </w:rPr>
        <w:t>demonstrate</w:t>
      </w:r>
      <w:r w:rsidR="00CC2295">
        <w:rPr>
          <w:rFonts w:ascii="Times New Roman" w:hAnsi="Times New Roman" w:cs="Times New Roman"/>
        </w:rPr>
        <w:t xml:space="preserve"> </w:t>
      </w:r>
      <w:r>
        <w:rPr>
          <w:rFonts w:ascii="Times New Roman" w:hAnsi="Times New Roman" w:cs="Times New Roman"/>
        </w:rPr>
        <w:t>that limited CPC significantly reduces IOP in patients with refractory glaucoma</w:t>
      </w:r>
      <w:r w:rsidR="00AA784F">
        <w:rPr>
          <w:rFonts w:ascii="Times New Roman" w:hAnsi="Times New Roman" w:cs="Times New Roman"/>
        </w:rPr>
        <w:t xml:space="preserve">. A single treatment session led to an average IOP reduction of 46.2% from the baseline at 3 months, with nearly </w:t>
      </w:r>
      <w:r w:rsidR="00CC2295">
        <w:rPr>
          <w:rFonts w:ascii="Times New Roman" w:hAnsi="Times New Roman" w:cs="Times New Roman"/>
        </w:rPr>
        <w:t>half (48.6%) of patients achieving the target IOP of ≤ 21mmHg. These results align with widely reported success</w:t>
      </w:r>
      <w:r w:rsidR="00ED4316">
        <w:rPr>
          <w:rFonts w:ascii="Times New Roman" w:hAnsi="Times New Roman" w:cs="Times New Roman"/>
        </w:rPr>
        <w:t xml:space="preserve"> rates</w:t>
      </w:r>
      <w:r w:rsidR="00CC2295">
        <w:rPr>
          <w:rFonts w:ascii="Times New Roman" w:hAnsi="Times New Roman" w:cs="Times New Roman"/>
        </w:rPr>
        <w:t xml:space="preserve"> in global studies</w:t>
      </w:r>
      <w:r w:rsidR="00ED4316">
        <w:rPr>
          <w:rFonts w:ascii="Times New Roman" w:hAnsi="Times New Roman" w:cs="Times New Roman"/>
        </w:rPr>
        <w:t xml:space="preserve"> ranging between 40% and 60%, such as those</w:t>
      </w:r>
      <w:bookmarkStart w:id="11" w:name="_1od278rozjpd" w:colFirst="0" w:colLast="0"/>
      <w:bookmarkEnd w:id="11"/>
      <w:r w:rsidR="00ED4316">
        <w:rPr>
          <w:rFonts w:ascii="Times New Roman" w:hAnsi="Times New Roman" w:cs="Times New Roman"/>
        </w:rPr>
        <w:t xml:space="preserve"> </w:t>
      </w:r>
      <w:r w:rsidR="00DA67D2" w:rsidRPr="00A96836">
        <w:rPr>
          <w:rFonts w:ascii="Times New Roman" w:eastAsia="Times New Roman" w:hAnsi="Times New Roman" w:cs="Times New Roman"/>
        </w:rPr>
        <w:t>by</w:t>
      </w:r>
      <w:r w:rsidR="00FE79E3" w:rsidRPr="00A96836">
        <w:rPr>
          <w:rFonts w:ascii="Times New Roman" w:eastAsia="Times New Roman" w:hAnsi="Times New Roman" w:cs="Times New Roman"/>
        </w:rPr>
        <w:fldChar w:fldCharType="begin" w:fldLock="1"/>
      </w:r>
      <w:r w:rsidR="00DB630F">
        <w:rPr>
          <w:rFonts w:ascii="Times New Roman" w:eastAsia="Times New Roman" w:hAnsi="Times New Roman" w:cs="Times New Roman"/>
        </w:rPr>
        <w:instrText>ADDIN CSL_CITATION {"citationItems":[{"id":"ITEM-1","itemData":{"DOI":"10.1097/IJG.0000000000001008","ISBN":"0000000000","ISSN":"1536481X","PMID":"29916995","abstract":"Purpose: To compare outcomes of transscleral diode cyclophotocoagulation with the treatment parameters used. Patients and Methods: This was a retrospective chart review of a random, 50% sample of diode procedures using the G-probe over 10 years for uncontrolled glaucoma. The main outcome measure was intraocular pressure (IOP) reduction by 20% and final IOP≤21 mm Hg. Results: In 236 eyes (persons) treated by 5 glaucoma specialists, most eyes had severe glaucoma, with 75% having &lt;20/200 acuity. Median follow-up was 2.7 years. In eyes receiving only 1 treatment, IOP success criterion was met in 72% (129/180). Success was significantly related to power per delivery and median total joules per treatment (successes=135 J, failures=98 J; P=0.0009), but not to number of deliveries, nor to extent of circumference treated. Greater success was associated with 3 or 4 second duration per delivery, power level based on audible cues, and firm pressure on the sclera. Using a standard 2000 mW, 2 seconds, 20 deliveries in each eye had the lowest success (49%). Of those with no preoperative pain, 40 persons (57%) had no postoperative pain, whereas 20 reported pain of 1-3/10 (29%). Phthisis occurred in 7 eyes (3%), 5 of which had severe secondary eye disease. Nine eyes had no light perception preoperatively, whereas 50 eyes were no light perception at last follow-up, many after additional surgeries for other conditions. Conclusions: Diode cyclophotocoagulation achieved reasonable IOP lowering, often without severe postoperative pain or complication. Greater success was achieved when audible effects were used to tailor the power settings to individual responses. Diode treatments with no intraoperative effect adjustment or using standardized protocols may not achieve optimal success.","author":[{"dropping-particle":"","family":"Quigley","given":"Harry A.","non-dropping-particle":"","parse-names":false,"suffix":""}],"container-title":"Journal of Glaucoma","id":"ITEM-1","issue":"8","issued":{"date-parts":[["2018"]]},"page":"674-681","title":"Improved Outcomes for Transscleral Cyclophotocoagulation Through Optimized Treatment Parameters","type":"article-journal","volume":"27"},"uris":["http://www.mendeley.com/documents/?uuid=9e49c1c1-eb36-41fc-be77-c837cced8563"]}],"mendeley":{"formattedCitation":"(10)","plainTextFormattedCitation":"(10)","previouslyFormattedCitation":"(10)"},"properties":{"noteIndex":0},"schema":"https://github.com/citation-style-language/schema/raw/master/csl-citation.json"}</w:instrText>
      </w:r>
      <w:r w:rsidR="00FE79E3" w:rsidRPr="00A96836">
        <w:rPr>
          <w:rFonts w:ascii="Times New Roman" w:eastAsia="Times New Roman" w:hAnsi="Times New Roman" w:cs="Times New Roman"/>
        </w:rPr>
        <w:fldChar w:fldCharType="separate"/>
      </w:r>
      <w:r w:rsidR="006F2937" w:rsidRPr="006F2937">
        <w:rPr>
          <w:rFonts w:ascii="Times New Roman" w:eastAsia="Times New Roman" w:hAnsi="Times New Roman" w:cs="Times New Roman"/>
          <w:noProof/>
        </w:rPr>
        <w:t>(10)</w:t>
      </w:r>
      <w:r w:rsidR="00FE79E3" w:rsidRPr="00A96836">
        <w:rPr>
          <w:rFonts w:ascii="Times New Roman" w:eastAsia="Times New Roman" w:hAnsi="Times New Roman" w:cs="Times New Roman"/>
        </w:rPr>
        <w:fldChar w:fldCharType="end"/>
      </w:r>
      <w:r w:rsidR="00BF46C7">
        <w:rPr>
          <w:rFonts w:ascii="Times New Roman" w:eastAsia="Times New Roman" w:hAnsi="Times New Roman" w:cs="Times New Roman"/>
        </w:rPr>
        <w:t xml:space="preserve"> and</w:t>
      </w:r>
      <w:r w:rsidR="00DA67D2" w:rsidRPr="00A96836">
        <w:rPr>
          <w:rFonts w:ascii="Times New Roman" w:eastAsia="Times New Roman" w:hAnsi="Times New Roman" w:cs="Times New Roman"/>
        </w:rPr>
        <w:t xml:space="preserve"> </w:t>
      </w:r>
      <w:r w:rsidR="00FE79E3" w:rsidRPr="00A96836">
        <w:rPr>
          <w:rFonts w:ascii="Times New Roman" w:eastAsia="Times New Roman" w:hAnsi="Times New Roman" w:cs="Times New Roman"/>
        </w:rPr>
        <w:fldChar w:fldCharType="begin" w:fldLock="1"/>
      </w:r>
      <w:r w:rsidR="00DB630F">
        <w:rPr>
          <w:rFonts w:ascii="Times New Roman" w:eastAsia="Times New Roman" w:hAnsi="Times New Roman" w:cs="Times New Roman"/>
        </w:rPr>
        <w:instrText>ADDIN CSL_CITATION {"citationItems":[{"id":"ITEM-1","itemData":{"DOI":"10.1177/1120672119877586","ISSN":"17246016","PMID":"31544505","abstract":"Purpose: To assess the efficacy and safety of a standardized micropulse transscleral diode laser cyclophotocoagulation procedure in refractory glaucoma. Methods: Retrospective, interventional study in a series of 37 consecutive patients with refractory glaucoma, cyclodestructive procedure-naive, who underwent micropulse transscleral diode laser cyclophotocoagulation from December 2016 to October 2017. A successful laser treatment was defined as (1) intraocular pressure between 6 and 18 mm Hg; (2) 20% of baseline intraocular pressure reduction; (3) no additional glaucoma medications; (4) no decrease in vision due to complications or change in intraocular pressure; and (5) no need for additional glaucoma surgery except micropulse transscleral diode laser cyclophotocoagulation retreatment. Results: Mean age was 60.2 years. Mean follow-up was 9.7 ± 3.9 months. The mean preoperative intraocular pressure (28.7 mm Hg) significantly decreased to 21.0 mm Hg at 1 month, 18.5 mm Hg at 3 months, 18.4 mm Hg at 6 months, and 18.5 mm Hg at 12 months (p &lt; 0.01 at all time points). The mean number of preoperative glaucoma medications (4.7) decreased to 4.0 at 1 month (p = 0.14), 4.5 at 3 months (p &lt; 0.05), 3.9 at 6 months (p &lt; 0.05), and 3.6 at 12 months (p &lt; 0.05). At 1 year, the success rate was 35% with a mean intraocular pressure lowering of 36%. One patient had hypotony and a loss of best-corrected visual acuity. Mild transient postoperative inflammation was observed in 8% of the cases. Conclusion: Using a standardized procedure, micropulse transscleral diode laser cyclophotocoagulation allows a mild intraocular pressure decrease with a low rate of complications and thus achieves a relatively good profit risk benefit, mostly for moderately hypertensive refractory glaucoma.","author":[{"dropping-particle":"","family":"Souissi","given":"Soufiane","non-dropping-particle":"","parse-names":false,"suffix":""},{"dropping-particle":"","family":"Baudouin","given":"Christophe","non-dropping-particle":"","parse-names":false,"suffix":""},{"dropping-particle":"","family":"Labbé","given":"Antoine","non-dropping-particle":"","parse-names":false,"suffix":""},{"dropping-particle":"","family":"Hamard","given":"Pascale","non-dropping-particle":"","parse-names":false,"suffix":""}],"container-title":"European Journal of Ophthalmology","id":"ITEM-1","issue":"1","issued":{"date-parts":[["2021"]]},"page":"112-119","title":"Micropulse transscleral cyclophotocoagulation using a standard protocol in patients with refractory glaucoma naive of cyclodestruction","type":"article-journal","volume":"31"},"uris":["http://www.mendeley.com/documents/?uuid=c909ad77-ab1f-4285-84a3-03992f234326"]}],"mendeley":{"formattedCitation":"(11)","plainTextFormattedCitation":"(11)","previouslyFormattedCitation":"(11)"},"properties":{"noteIndex":0},"schema":"https://github.com/citation-style-language/schema/raw/master/csl-citation.json"}</w:instrText>
      </w:r>
      <w:r w:rsidR="00FE79E3" w:rsidRPr="00A96836">
        <w:rPr>
          <w:rFonts w:ascii="Times New Roman" w:eastAsia="Times New Roman" w:hAnsi="Times New Roman" w:cs="Times New Roman"/>
        </w:rPr>
        <w:fldChar w:fldCharType="separate"/>
      </w:r>
      <w:r w:rsidR="006F2937" w:rsidRPr="006F2937">
        <w:rPr>
          <w:rFonts w:ascii="Times New Roman" w:eastAsia="Times New Roman" w:hAnsi="Times New Roman" w:cs="Times New Roman"/>
          <w:noProof/>
        </w:rPr>
        <w:t>(11)</w:t>
      </w:r>
      <w:r w:rsidR="00FE79E3" w:rsidRPr="00A96836">
        <w:rPr>
          <w:rFonts w:ascii="Times New Roman" w:eastAsia="Times New Roman" w:hAnsi="Times New Roman" w:cs="Times New Roman"/>
        </w:rPr>
        <w:fldChar w:fldCharType="end"/>
      </w:r>
      <w:r w:rsidR="00BF46C7">
        <w:rPr>
          <w:rFonts w:ascii="Times New Roman" w:eastAsia="Times New Roman" w:hAnsi="Times New Roman" w:cs="Times New Roman"/>
        </w:rPr>
        <w:t xml:space="preserve"> who reported success rates of approximately 50%</w:t>
      </w:r>
      <w:r w:rsidR="00DA67D2" w:rsidRPr="00A96836">
        <w:rPr>
          <w:rFonts w:ascii="Times New Roman" w:eastAsia="Times New Roman" w:hAnsi="Times New Roman" w:cs="Times New Roman"/>
        </w:rPr>
        <w:t xml:space="preserve"> </w:t>
      </w:r>
      <w:r w:rsidR="00BF46C7">
        <w:rPr>
          <w:rFonts w:ascii="Times New Roman" w:eastAsia="Times New Roman" w:hAnsi="Times New Roman" w:cs="Times New Roman"/>
        </w:rPr>
        <w:t xml:space="preserve">. Similarly, </w:t>
      </w:r>
      <w:r w:rsidR="00FE79E3" w:rsidRPr="00A96836">
        <w:rPr>
          <w:rFonts w:ascii="Times New Roman" w:eastAsia="Times New Roman" w:hAnsi="Times New Roman" w:cs="Times New Roman"/>
        </w:rPr>
        <w:fldChar w:fldCharType="begin" w:fldLock="1"/>
      </w:r>
      <w:r w:rsidR="00DB630F">
        <w:rPr>
          <w:rFonts w:ascii="Times New Roman" w:eastAsia="Times New Roman" w:hAnsi="Times New Roman" w:cs="Times New Roman"/>
        </w:rPr>
        <w:instrText>ADDIN CSL_CITATION {"citationItems":[{"id":"ITEM-1","itemData":{"DOI":"10.20471/acc.2021.60.02.01","ISSN":"13339451","PMID":"34744265","abstract":"Treating advanced glaucoma often requires numerous therapeutic modalities in order to achieve the desired intraocular pressure (IOP) reduction. The purpose of this study was to evaluate the IOP lowering efficacy of both cyclocryotherapy (CCT) and transscleral diode laser cyclophotocoagulation (TS-DCPC) in the management of refractory primary open-angle glaucoma. This prospective, randomized, controlled clinical trial included 40 patients (40 eyes) with refractory glaucoma treated at the Eye Department, Clinical Center of Vojvodina, Novi Sad, Serbia, between January 2016 and June 2019. Twenty patients underwent CCT (group 1), while another twenty patients were treated with TS-DCPC (group 2). Each patient underwent complete eye examination on the treatment day, as well as follow-up eye examinations 7 days and 1, 6 and 12 months after the intervention, when IOP and number of anti-glaucoma drugs used were recorded. The median baseline IOP was 36.50 mm Hg (IQR, 28.75-42.00) in group 1 and 27.00 mm Hg (IQR, 22.00-35.00) in group 2. Follow-up measurements of IOP in group 1 showed the following results: 16.50 mm Hg (IQR, 7.75-20.00) (60% decrease from the baseline value), 12.00 mm Hg (IQR, 9.25-18.00) (67% decrease from the baseline value), 9.00 mm Hg (IQR, 2.00-13.75) (73% decrease from the baseline value), and 9.50 (IQR, 2.50-12.00) (75% decrease from the baseline value) after 7 days, 1, 6 and 12 months, respectively. Follow-up measurements of IOP in group 2 showed the following results: 16.00 mm Hg (IQR, 10.00-17.00) (48% decrease from the baseline value), 14.00 mm Hg (IQR, 10.00-16.00) (56% decrease from the baseline value), 14.00 mm Hg (IQR, 12.25-16.50) (43% decrease from the baseline value) and 14.00 mm Hg (IQR, 11.25-15.75) (53% decrease from the baseline value) after 7 days, 1, 6 and 12 months, respectively. The mean number of antiglaucoma drugs used decreased from 4 to 0.65±0.81 and 2.25±1.07 in groups 1 and 2, respectively. In conclusion, study results confirmed the CCT and TS-DCPC to have a rapid and statistically significant ocular hypotensive effect in eyes with refractory glaucoma at one-year follow-up.","author":[{"dropping-particle":"","family":"Miljković","given":"Aleksandar","non-dropping-particle":"","parse-names":false,"suffix":""},{"dropping-particle":"","family":"Babić","given":"Nikola","non-dropping-particle":"","parse-names":false,"suffix":""},{"dropping-particle":"","family":"Čanadanović","given":"Vladimir","non-dropping-particle":"","parse-names":false,"suffix":""},{"dropping-particle":"","family":"Davidović","given":"Sofija","non-dropping-particle":"","parse-names":false,"suffix":""},{"dropping-particle":"","family":"Ljikar","given":"Jelena","non-dropping-particle":"","parse-names":false,"suffix":""},{"dropping-particle":"","family":"Vasin","given":"Marija","non-dropping-particle":"","parse-names":false,"suffix":""}],"container-title":"Acta Clinica Croatica","id":"ITEM-1","issue":"2","issued":{"date-parts":[["2021"]]},"page":"171-177","title":"Efficacy of cyclocryotherapy and transscleral diode laser cyclophotocoagulation in the management of refractory glaucoma","type":"article-journal","volume":"60"},"uris":["http://www.mendeley.com/documents/?uuid=eed3a8a2-f19b-419e-8177-67df69e9dc14"]}],"mendeley":{"formattedCitation":"(12)","plainTextFormattedCitation":"(12)","previouslyFormattedCitation":"(12)"},"properties":{"noteIndex":0},"schema":"https://github.com/citation-style-language/schema/raw/master/csl-citation.json"}</w:instrText>
      </w:r>
      <w:r w:rsidR="00FE79E3" w:rsidRPr="00A96836">
        <w:rPr>
          <w:rFonts w:ascii="Times New Roman" w:eastAsia="Times New Roman" w:hAnsi="Times New Roman" w:cs="Times New Roman"/>
        </w:rPr>
        <w:fldChar w:fldCharType="separate"/>
      </w:r>
      <w:r w:rsidR="006F2937" w:rsidRPr="006F2937">
        <w:rPr>
          <w:rFonts w:ascii="Times New Roman" w:eastAsia="Times New Roman" w:hAnsi="Times New Roman" w:cs="Times New Roman"/>
          <w:noProof/>
        </w:rPr>
        <w:t>(12)</w:t>
      </w:r>
      <w:r w:rsidR="00FE79E3" w:rsidRPr="00A96836">
        <w:rPr>
          <w:rFonts w:ascii="Times New Roman" w:eastAsia="Times New Roman" w:hAnsi="Times New Roman" w:cs="Times New Roman"/>
        </w:rPr>
        <w:fldChar w:fldCharType="end"/>
      </w:r>
      <w:r w:rsidR="00BF46C7">
        <w:rPr>
          <w:rFonts w:ascii="Times New Roman" w:eastAsia="Times New Roman" w:hAnsi="Times New Roman" w:cs="Times New Roman"/>
        </w:rPr>
        <w:t xml:space="preserve"> in Serbia reported a 45% success rate at 6months, increasing to 55% at 12</w:t>
      </w:r>
      <w:r w:rsidR="007379A2">
        <w:rPr>
          <w:rFonts w:ascii="Times New Roman" w:eastAsia="Times New Roman" w:hAnsi="Times New Roman" w:cs="Times New Roman"/>
        </w:rPr>
        <w:t xml:space="preserve"> months, while </w:t>
      </w:r>
      <w:r w:rsidR="00F27A8B" w:rsidRPr="00D44AAC">
        <w:rPr>
          <w:rFonts w:ascii="Times New Roman" w:hAnsi="Times New Roman" w:cs="Times New Roman"/>
        </w:rPr>
        <w:fldChar w:fldCharType="begin" w:fldLock="1"/>
      </w:r>
      <w:r w:rsidR="00DB630F">
        <w:rPr>
          <w:rFonts w:ascii="Times New Roman" w:hAnsi="Times New Roman" w:cs="Times New Roman"/>
        </w:rPr>
        <w:instrText>ADDIN CSL_CITATION {"citationItems":[{"id":"ITEM-1","itemData":{"DOI":"10.4274/tjo.18559","ISSN":"21498709","PMID":"30605936","abstract":"Objectives: To evaluate the efficacy and safety of transscleral cyclophotocoagulation (TS-CPC) limited to 180° of ciliary body ablation in patients with various forms of refractory glaucoma. Materials and Methods: Thirty eyes with refractory glaucoma treated with 180° TS-CPC were retrospectively analyzed for intraocular pressure (IOP) reduction and success rates. Patients’ age, gender, type of glaucoma, number of diode laser treatment sessions, postoperative complications, number of hypotensive medications required to control IOP, and best corrected visual acuity (BCVA) were evaluated. The criteria for success were defined as postoperative IOP &lt;21 mmHg or &gt;20% decrease in IOP with or without additional medical treatment. Results: The mean age of all patients was 51.3±26.9 years (range,1-84 years). The mean postoperative IOP level (23.9±8.5 mmHg) was significantly lower than preoperative IOP (39.2±8.9 mmHg) (p&lt;0.001). The success rate was 66.6% after the first laser treatment and reached 86.7% following repeat laser treatments over an average follow-up period of 22.2±19.9 months. The need for topical hypotensive medications decreased from 2.8±1.0 preoperatively to 2.4±1.3 following TS-CPC (p=0.048). Two patients (6.6%) had a one-line decrease in their BCVA following TS-CPC. Transient hypotony and hyphema developed in 4 patients (13.3%). Total laser energy delivered did not correlate with either preoperative (rho=0.10; p=0.594) or postoperative IOP (rho=0.21; p=0.260). Conclusion: TS-CPC limited to 180° of ciliary body ablation is associated with a reasonable success rate and low incidence of adverse effects in patients with refractory glaucoma.","author":[{"dropping-particle":"","family":"Aygün","given":"Figen Bezci","non-dropping-particle":"","parse-names":false,"suffix":""},{"dropping-particle":"","family":"Mocan","given":"Mehmet Cem","non-dropping-particle":"","parse-names":false,"suffix":""},{"dropping-particle":"","family":"Kocabeyoğlu","given":"Sibel","non-dropping-particle":"","parse-names":false,"suffix":""},{"dropping-particle":"","family":"İrkeç","given":"Murat","non-dropping-particle":"","parse-names":false,"suffix":""}],"container-title":"Turkish Journal of Ophthalmology","id":"ITEM-1","issue":"6","issued":{"date-parts":[["2018"]]},"page":"299-303","title":"Efficacy of 180° cyclodiode transscleral photocoagulation for refractory glaucoma","type":"article-journal","volume":"48"},"uris":["http://www.mendeley.com/documents/?uuid=5ee10bf5-6961-4d23-b10e-e4469ec304c0"]}],"mendeley":{"formattedCitation":"(13)","plainTextFormattedCitation":"(13)","previouslyFormattedCitation":"(13)"},"properties":{"noteIndex":0},"schema":"https://github.com/citation-style-language/schema/raw/master/csl-citation.json"}</w:instrText>
      </w:r>
      <w:r w:rsidR="00F27A8B" w:rsidRPr="00D44AAC">
        <w:rPr>
          <w:rFonts w:ascii="Times New Roman" w:hAnsi="Times New Roman" w:cs="Times New Roman"/>
        </w:rPr>
        <w:fldChar w:fldCharType="separate"/>
      </w:r>
      <w:r w:rsidR="006F2937" w:rsidRPr="006F2937">
        <w:rPr>
          <w:rFonts w:ascii="Times New Roman" w:hAnsi="Times New Roman" w:cs="Times New Roman"/>
          <w:noProof/>
        </w:rPr>
        <w:t>(13)</w:t>
      </w:r>
      <w:r w:rsidR="00F27A8B" w:rsidRPr="00D44AAC">
        <w:rPr>
          <w:rFonts w:ascii="Times New Roman" w:hAnsi="Times New Roman" w:cs="Times New Roman"/>
        </w:rPr>
        <w:fldChar w:fldCharType="end"/>
      </w:r>
      <w:r w:rsidR="007379A2">
        <w:rPr>
          <w:rFonts w:ascii="Times New Roman" w:hAnsi="Times New Roman" w:cs="Times New Roman"/>
        </w:rPr>
        <w:t xml:space="preserve"> in Turkey also reported a comparable cumulative </w:t>
      </w:r>
      <w:r w:rsidR="007379A2">
        <w:rPr>
          <w:rFonts w:ascii="Times New Roman" w:hAnsi="Times New Roman" w:cs="Times New Roman"/>
        </w:rPr>
        <w:lastRenderedPageBreak/>
        <w:t xml:space="preserve">success rate of 46.6% at one year post treatment. </w:t>
      </w:r>
      <w:r w:rsidR="007379A2" w:rsidRPr="007379A2">
        <w:rPr>
          <w:rFonts w:ascii="Times New Roman" w:eastAsia="Times New Roman" w:hAnsi="Times New Roman" w:cs="Times New Roman"/>
        </w:rPr>
        <w:t>These consistent results across diverse populations support CPC’s general effectiveness.</w:t>
      </w:r>
    </w:p>
    <w:p w14:paraId="334DF815" w14:textId="5132FC31" w:rsidR="00DE4A53" w:rsidRDefault="00DE4A53" w:rsidP="007379A2">
      <w:pPr>
        <w:spacing w:line="360" w:lineRule="auto"/>
        <w:jc w:val="both"/>
        <w:rPr>
          <w:rFonts w:ascii="Times New Roman" w:eastAsia="Times New Roman" w:hAnsi="Times New Roman" w:cs="Times New Roman"/>
        </w:rPr>
      </w:pPr>
    </w:p>
    <w:p w14:paraId="076A293C" w14:textId="07930062" w:rsidR="003668E3" w:rsidRPr="000618D6" w:rsidRDefault="00DE4A53" w:rsidP="00DE4A53">
      <w:pPr>
        <w:spacing w:line="360" w:lineRule="auto"/>
        <w:jc w:val="both"/>
        <w:rPr>
          <w:rFonts w:ascii="Times New Roman" w:eastAsia="Times New Roman" w:hAnsi="Times New Roman" w:cs="Times New Roman"/>
          <w:color w:val="FF0000"/>
        </w:rPr>
      </w:pPr>
      <w:r>
        <w:rPr>
          <w:rFonts w:ascii="Times New Roman" w:eastAsia="Times New Roman" w:hAnsi="Times New Roman" w:cs="Times New Roman"/>
        </w:rPr>
        <w:t xml:space="preserve">Comparable findings have also been reported in Sub Saharan Africa. In Malawi, </w:t>
      </w:r>
      <w:r w:rsidR="00130694" w:rsidRPr="00A96836">
        <w:rPr>
          <w:rFonts w:ascii="Times New Roman" w:eastAsia="Times New Roman" w:hAnsi="Times New Roman" w:cs="Times New Roman"/>
        </w:rPr>
        <w:fldChar w:fldCharType="begin" w:fldLock="1"/>
      </w:r>
      <w:r w:rsidR="00DB630F">
        <w:rPr>
          <w:rFonts w:ascii="Times New Roman" w:eastAsia="Times New Roman" w:hAnsi="Times New Roman" w:cs="Times New Roman"/>
        </w:rPr>
        <w:instrText>ADDIN CSL_CITATION {"citationItems":[{"id":"ITEM-1","itemData":{"DOI":"10.1007/s00417-013-2441-1","ISSN":"0721832X","PMID":"23963489","abstract":"Purpose: To investigate if low-dose 810 nm transscleral cyclophotocoagulation (TSCPC) can be used as single treatment in Malawian glaucoma patients. Methods: Forty-seven eyes of 28 patients with primary open-angle and pseudoexfoliation glaucoma were treated with TSCPC using 12 spots with 900 mW, 2,000 ms (1.8 J per spot); six spots in the upper half, six in the lower by sparing the 3 and 9 o'clock positions ±20. Intraocular pressure (IOP) and uncorrected visual acuity (UVA) were measured by an independent examiner preoperatively, on the first postoperative day, after 2 weeks, and after 3 months. Results: Twenty-four (86 %) and 18 (64 %) of 28 patients (31 of 47 eyes; 66 %) completed follow-up at 2 weeks and at 3 months respectively. After a single treatment session, IOP decreased by at least 25 % in 88 % (21 of 24) after 2 weeks, and in 50 % (nine of 18) of patients after 3 months. Mean IOP was 38.5 mmHg before TSCPC, 23.5 mmHg (p &lt; 0.001) after 1 day, 24.5 mmHg (p &lt; 0.001) after 2 weeks, and 35.6 mmHg (p = 0.37) after 3 months. In three patients, however, IOP increased after 3 months to levels significantly higher than before TSCPC. Conclusion: Low-dose TSCPC caused a significant IOP lowering for up to 2 weeks (15 mmHg less from baseline) in most patients. After 3 months, this effect was stable in 50 % of patients; in the other half, IOP nearly returned back to baseline. © 2013 Springer-Verlag Berlin Heidelberg.","author":[{"dropping-particle":"","family":"Schulze Schwering","given":"Markus","non-dropping-particle":"","parse-names":false,"suffix":""},{"dropping-particle":"","family":"Kayange","given":"Petros","non-dropping-particle":"","parse-names":false,"suffix":""},{"dropping-particle":"","family":"Klauss","given":"Volker","non-dropping-particle":"","parse-names":false,"suffix":""},{"dropping-particle":"","family":"Kalua","given":"Khumbo","non-dropping-particle":"","parse-names":false,"suffix":""},{"dropping-particle":"","family":"Spitzer","given":"Martin S.","non-dropping-particle":"","parse-names":false,"suffix":""}],"container-title":"Graefe's Archive for Clinical and Experimental Ophthalmology","id":"ITEM-1","issue":"10","issued":{"date-parts":[["2013"]]},"page":"2389-2393","title":"Low-dose transscleral diode laser cyclophotocoagulation (TSCPC) as a potential single treatment for primary open-angle glaucoma (POAG) in Malawi?","type":"article-journal","volume":"251"},"uris":["http://www.mendeley.com/documents/?uuid=41a18f84-b261-44b7-b8da-1c8717996fc2"]}],"mendeley":{"formattedCitation":"(14)","plainTextFormattedCitation":"(14)","previouslyFormattedCitation":"(14)"},"properties":{"noteIndex":0},"schema":"https://github.com/citation-style-language/schema/raw/master/csl-citation.json"}</w:instrText>
      </w:r>
      <w:r w:rsidR="00130694" w:rsidRPr="00A96836">
        <w:rPr>
          <w:rFonts w:ascii="Times New Roman" w:eastAsia="Times New Roman" w:hAnsi="Times New Roman" w:cs="Times New Roman"/>
        </w:rPr>
        <w:fldChar w:fldCharType="separate"/>
      </w:r>
      <w:r w:rsidR="006F2937" w:rsidRPr="006F2937">
        <w:rPr>
          <w:rFonts w:ascii="Times New Roman" w:eastAsia="Times New Roman" w:hAnsi="Times New Roman" w:cs="Times New Roman"/>
          <w:noProof/>
        </w:rPr>
        <w:t>(14)</w:t>
      </w:r>
      <w:r w:rsidR="00130694" w:rsidRPr="00A96836">
        <w:rPr>
          <w:rFonts w:ascii="Times New Roman" w:eastAsia="Times New Roman" w:hAnsi="Times New Roman" w:cs="Times New Roman"/>
        </w:rPr>
        <w:fldChar w:fldCharType="end"/>
      </w:r>
      <w:r>
        <w:rPr>
          <w:rFonts w:ascii="Times New Roman" w:eastAsia="Times New Roman" w:hAnsi="Times New Roman" w:cs="Times New Roman"/>
        </w:rPr>
        <w:t xml:space="preserve"> observed a 50% success rate at 3months post CPC and 50% of participants required retreatment</w:t>
      </w:r>
      <w:r w:rsidR="003668E3" w:rsidRPr="00A96836">
        <w:rPr>
          <w:rFonts w:ascii="Times New Roman" w:eastAsia="Times New Roman" w:hAnsi="Times New Roman" w:cs="Times New Roman"/>
        </w:rPr>
        <w:t xml:space="preserve">. </w:t>
      </w:r>
      <w:r w:rsidR="000618D6">
        <w:rPr>
          <w:rFonts w:ascii="Times New Roman" w:eastAsia="Times New Roman" w:hAnsi="Times New Roman" w:cs="Times New Roman"/>
        </w:rPr>
        <w:t>In South Africa,</w:t>
      </w:r>
      <w:r w:rsidR="00130694" w:rsidRPr="00A96836">
        <w:rPr>
          <w:rFonts w:ascii="Times New Roman" w:eastAsia="Times New Roman" w:hAnsi="Times New Roman" w:cs="Times New Roman"/>
        </w:rPr>
        <w:fldChar w:fldCharType="begin" w:fldLock="1"/>
      </w:r>
      <w:r w:rsidR="00DB630F">
        <w:rPr>
          <w:rFonts w:ascii="Times New Roman" w:eastAsia="Times New Roman" w:hAnsi="Times New Roman" w:cs="Times New Roman"/>
        </w:rPr>
        <w:instrText>ADDIN CSL_CITATION {"citationItems":[{"id":"ITEM-1","itemData":{"author":[{"dropping-particle":"","family":"Thomas","given":"Jason Peter","non-dropping-particle":"","parse-names":false,"suffix":""}],"id":"ITEM-1","issue":"April","issued":{"date-parts":[["2022"]]},"title":"The Efficacy and Safety of Diode Laser Cycloablation in the Treatment of Refractory Glaucoma in a South African Population","type":"article-journal"},"uris":["http://www.mendeley.com/documents/?uuid=2499368a-b5f6-4170-9728-4fcc3c744ed4"]}],"mendeley":{"formattedCitation":"(15)","plainTextFormattedCitation":"(15)","previouslyFormattedCitation":"(15)"},"properties":{"noteIndex":0},"schema":"https://github.com/citation-style-language/schema/raw/master/csl-citation.json"}</w:instrText>
      </w:r>
      <w:r w:rsidR="00130694" w:rsidRPr="00A96836">
        <w:rPr>
          <w:rFonts w:ascii="Times New Roman" w:eastAsia="Times New Roman" w:hAnsi="Times New Roman" w:cs="Times New Roman"/>
        </w:rPr>
        <w:fldChar w:fldCharType="separate"/>
      </w:r>
      <w:r w:rsidR="006F2937" w:rsidRPr="006F2937">
        <w:rPr>
          <w:rFonts w:ascii="Times New Roman" w:eastAsia="Times New Roman" w:hAnsi="Times New Roman" w:cs="Times New Roman"/>
          <w:noProof/>
        </w:rPr>
        <w:t>(15)</w:t>
      </w:r>
      <w:r w:rsidR="00130694" w:rsidRPr="00A96836">
        <w:rPr>
          <w:rFonts w:ascii="Times New Roman" w:eastAsia="Times New Roman" w:hAnsi="Times New Roman" w:cs="Times New Roman"/>
        </w:rPr>
        <w:fldChar w:fldCharType="end"/>
      </w:r>
      <w:r w:rsidR="00130694" w:rsidRPr="00A96836">
        <w:rPr>
          <w:rFonts w:ascii="Times New Roman" w:eastAsia="Times New Roman" w:hAnsi="Times New Roman" w:cs="Times New Roman"/>
        </w:rPr>
        <w:t xml:space="preserve"> </w:t>
      </w:r>
      <w:r w:rsidR="000618D6">
        <w:rPr>
          <w:rFonts w:ascii="Times New Roman" w:eastAsia="Times New Roman" w:hAnsi="Times New Roman" w:cs="Times New Roman"/>
        </w:rPr>
        <w:t>documented success rates ranging from 40% to 60% highlighting the role of  treatment parameters such as laser power and the extent of ciliary body coverage.</w:t>
      </w:r>
      <w:r w:rsidR="002B2210">
        <w:rPr>
          <w:rFonts w:ascii="Times New Roman" w:eastAsia="Times New Roman" w:hAnsi="Times New Roman" w:cs="Times New Roman"/>
        </w:rPr>
        <w:t xml:space="preserve"> Similarly</w:t>
      </w:r>
      <w:r w:rsidR="002B2210">
        <w:rPr>
          <w:rFonts w:ascii="Times New Roman" w:eastAsia="Times New Roman" w:hAnsi="Times New Roman" w:cs="Times New Roman"/>
        </w:rPr>
        <w:fldChar w:fldCharType="begin" w:fldLock="1"/>
      </w:r>
      <w:r w:rsidR="00DB630F">
        <w:rPr>
          <w:rFonts w:ascii="Times New Roman" w:eastAsia="Times New Roman" w:hAnsi="Times New Roman" w:cs="Times New Roman"/>
        </w:rPr>
        <w:instrText>ADDIN CSL_CITATION {"citationItems":[{"id":"ITEM-1","itemData":{"DOI":"10.1038/eye.2012.269","ISSN":"14765454","author":[{"dropping-particle":"","family":"Mavrakanas","given":"N.","non-dropping-particle":"","parse-names":false,"suffix":""},{"dropping-particle":"","family":"Dhalla","given":"K.","non-dropping-particle":"","parse-names":false,"suffix":""},{"dropping-particle":"","family":"Kapesa","given":"I.","non-dropping-particle":"","parse-names":false,"suffix":""},{"dropping-particle":"","family":"Alibhai","given":"A.","non-dropping-particle":"","parse-names":false,"suffix":""},{"dropping-particle":"","family":"Murdoch","given":"I.","non-dropping-particle":"","parse-names":false,"suffix":""}],"container-title":"Eye (Basingstoke)","id":"ITEM-1","issue":"3","issued":{"date-parts":[["2013"]]},"page":"453-454","publisher":"Nature Publishing Group","title":"Diode laser transscleral cyclophotocoagulation for the treatment of glaucoma in East Africa","type":"article-journal","volume":"27"},"uris":["http://www.mendeley.com/documents/?uuid=4376618a-1a52-41b6-b0b9-c79859d711c6"]}],"mendeley":{"formattedCitation":"(16)","plainTextFormattedCitation":"(16)","previouslyFormattedCitation":"(16)"},"properties":{"noteIndex":0},"schema":"https://github.com/citation-style-language/schema/raw/master/csl-citation.json"}</w:instrText>
      </w:r>
      <w:r w:rsidR="002B2210">
        <w:rPr>
          <w:rFonts w:ascii="Times New Roman" w:eastAsia="Times New Roman" w:hAnsi="Times New Roman" w:cs="Times New Roman"/>
        </w:rPr>
        <w:fldChar w:fldCharType="separate"/>
      </w:r>
      <w:r w:rsidR="006F2937" w:rsidRPr="006F2937">
        <w:rPr>
          <w:rFonts w:ascii="Times New Roman" w:eastAsia="Times New Roman" w:hAnsi="Times New Roman" w:cs="Times New Roman"/>
          <w:noProof/>
        </w:rPr>
        <w:t>(16)</w:t>
      </w:r>
      <w:r w:rsidR="002B2210">
        <w:rPr>
          <w:rFonts w:ascii="Times New Roman" w:eastAsia="Times New Roman" w:hAnsi="Times New Roman" w:cs="Times New Roman"/>
        </w:rPr>
        <w:fldChar w:fldCharType="end"/>
      </w:r>
      <w:r w:rsidR="002B2210">
        <w:rPr>
          <w:rFonts w:ascii="Times New Roman" w:eastAsia="Times New Roman" w:hAnsi="Times New Roman" w:cs="Times New Roman"/>
        </w:rPr>
        <w:t xml:space="preserve"> in retrospective study conducted in Tanzania, reported success rates between 43% and 53% following TSCPC. </w:t>
      </w:r>
    </w:p>
    <w:p w14:paraId="33A338EE" w14:textId="5914FC61" w:rsidR="00243CD6" w:rsidRDefault="00AD4A85" w:rsidP="00A96836">
      <w:pPr>
        <w:spacing w:before="100" w:beforeAutospacing="1" w:after="100" w:afterAutospacing="1" w:line="360" w:lineRule="auto"/>
        <w:jc w:val="both"/>
        <w:rPr>
          <w:rFonts w:ascii="Times New Roman" w:eastAsia="Times New Roman" w:hAnsi="Times New Roman" w:cs="Times New Roman"/>
        </w:rPr>
      </w:pPr>
      <w:r>
        <w:rPr>
          <w:rFonts w:ascii="Times New Roman" w:eastAsia="Times New Roman" w:hAnsi="Times New Roman" w:cs="Times New Roman"/>
        </w:rPr>
        <w:t>Some studies have reported higher success rates, for example,</w:t>
      </w:r>
      <w:r w:rsidR="003668E3" w:rsidRPr="00A96836">
        <w:rPr>
          <w:rFonts w:ascii="Times New Roman" w:eastAsia="Times New Roman" w:hAnsi="Times New Roman" w:cs="Times New Roman"/>
        </w:rPr>
        <w:t xml:space="preserve"> </w:t>
      </w:r>
      <w:r w:rsidR="00130694" w:rsidRPr="00A96836">
        <w:rPr>
          <w:rFonts w:ascii="Times New Roman" w:eastAsia="Times New Roman" w:hAnsi="Times New Roman" w:cs="Times New Roman"/>
        </w:rPr>
        <w:fldChar w:fldCharType="begin" w:fldLock="1"/>
      </w:r>
      <w:r w:rsidR="00DB630F">
        <w:rPr>
          <w:rFonts w:ascii="Times New Roman" w:eastAsia="Times New Roman" w:hAnsi="Times New Roman" w:cs="Times New Roman"/>
        </w:rPr>
        <w:instrText>ADDIN CSL_CITATION {"citationItems":[{"id":"ITEM-1","itemData":{"DOI":"10.1111/ceo.13328","ISSN":"14429071","PMID":"29808573","abstract":"Importance: To investigate the safety, effectiveness and follow-up rates after transscleral diode laser cyclophotocoagulation as primary treatment for seeing eyes with primary open angle glaucoma in Bauchi, Nigeria. Background: There is a high prevalence of primary open angle glaucoma in Africa where adherence to medical treatment and acceptance of surgery are poor. Design: Prospective case series. Participants: New glaucoma patients where surgical intervention was recommended. Methods: A diode 810 nm laser G-probe was used under retrobulbar anaesthesia to deliver approximately 20 shots for 2000 ms, titrating the power. If both eyes were treated the first was the study eye. Repeat treatment offered if the intraocular pressure (IOP) was &gt;21 mmHg on two consecutive visits. Main Outcome Measures: IOP &lt; 22 mmHg, change in ≥2 lines of Snellen visual acuity (VA), and complications. Results: 201 out of 204 eyes with complete data analysed. Mean age 52 years, 17 (8.3%) eyes were re-treated. Mean pre-treatment IOP was 39 (SD 11) mmHg. 106 (53%) attended at 12 months when the mean IOP was 19 (7–45) mmHg; 77 (73%) had IOP &lt; 22 mmHg. VAs were better in 13 (12.3%) and worse in 23 (21.7%) eyes. Postoperative complications included mild uveitis (5.5%), corneal oedema (2.5%), severe uveitis (0.5%) and transient hypotony (2.0%). No hypotony at 12 months. Conclusions and Relevance: Transscleral diode laser cyclophotocoagulation controlled IOP in almost three quarters of eyes at 12 months with short-term preservation of vision and minimal complications. Poor follow-up in this setting highlights the need for an effective, safe and acceptable treatment where regular follow-up is less critical.","author":[{"dropping-particle":"","family":"Abdull","given":"Mohammed M.","non-dropping-particle":"","parse-names":false,"suffix":""},{"dropping-particle":"","family":"Broadway","given":"David C.","non-dropping-particle":"","parse-names":false,"suffix":""},{"dropping-particle":"","family":"Evans","given":"Jennifer","non-dropping-particle":"","parse-names":false,"suffix":""},{"dropping-particle":"","family":"Kyari","given":"Fatima","non-dropping-particle":"","parse-names":false,"suffix":""},{"dropping-particle":"","family":"Muazu","given":"Fatima","non-dropping-particle":"","parse-names":false,"suffix":""},{"dropping-particle":"","family":"Gilbert","given":"Clare","non-dropping-particle":"","parse-names":false,"suffix":""}],"container-title":"Clinical and Experimental Ophthalmology","id":"ITEM-1","issue":"9","issued":{"date-parts":[["2018"]]},"page":"1041-1047","title":"Safety and effectiveness of primary transscleral diode laser cyclophotoablation for glaucoma in Nigeria","type":"article-journal","volume":"46"},"uris":["http://www.mendeley.com/documents/?uuid=5a405e76-4b11-4549-859b-ff72fd6c906a"]}],"mendeley":{"formattedCitation":"(17)","plainTextFormattedCitation":"(17)","previouslyFormattedCitation":"(17)"},"properties":{"noteIndex":0},"schema":"https://github.com/citation-style-language/schema/raw/master/csl-citation.json"}</w:instrText>
      </w:r>
      <w:r w:rsidR="00130694" w:rsidRPr="00A96836">
        <w:rPr>
          <w:rFonts w:ascii="Times New Roman" w:eastAsia="Times New Roman" w:hAnsi="Times New Roman" w:cs="Times New Roman"/>
        </w:rPr>
        <w:fldChar w:fldCharType="separate"/>
      </w:r>
      <w:r w:rsidR="006F2937" w:rsidRPr="006F2937">
        <w:rPr>
          <w:rFonts w:ascii="Times New Roman" w:eastAsia="Times New Roman" w:hAnsi="Times New Roman" w:cs="Times New Roman"/>
          <w:noProof/>
        </w:rPr>
        <w:t>(17)</w:t>
      </w:r>
      <w:r w:rsidR="00130694" w:rsidRPr="00A96836">
        <w:rPr>
          <w:rFonts w:ascii="Times New Roman" w:eastAsia="Times New Roman" w:hAnsi="Times New Roman" w:cs="Times New Roman"/>
        </w:rPr>
        <w:fldChar w:fldCharType="end"/>
      </w:r>
      <w:r w:rsidR="003668E3" w:rsidRPr="00A96836">
        <w:rPr>
          <w:rFonts w:ascii="Times New Roman" w:eastAsia="Times New Roman" w:hAnsi="Times New Roman" w:cs="Times New Roman"/>
        </w:rPr>
        <w:t xml:space="preserve"> </w:t>
      </w:r>
      <w:r>
        <w:rPr>
          <w:rFonts w:ascii="Times New Roman" w:eastAsia="Times New Roman" w:hAnsi="Times New Roman" w:cs="Times New Roman"/>
        </w:rPr>
        <w:t xml:space="preserve">in Nigeria observed </w:t>
      </w:r>
      <w:r w:rsidR="00D3419A">
        <w:rPr>
          <w:rFonts w:ascii="Times New Roman" w:eastAsia="Times New Roman" w:hAnsi="Times New Roman" w:cs="Times New Roman"/>
        </w:rPr>
        <w:t xml:space="preserve">a 73% success rate after 12 months of follow up. In another prospective study, </w:t>
      </w:r>
      <w:r w:rsidR="00130694" w:rsidRPr="00A96836">
        <w:rPr>
          <w:rFonts w:ascii="Times New Roman" w:eastAsia="Times New Roman" w:hAnsi="Times New Roman" w:cs="Times New Roman"/>
        </w:rPr>
        <w:fldChar w:fldCharType="begin" w:fldLock="1"/>
      </w:r>
      <w:r w:rsidR="00DB630F">
        <w:rPr>
          <w:rFonts w:ascii="Times New Roman" w:eastAsia="Times New Roman" w:hAnsi="Times New Roman" w:cs="Times New Roman"/>
        </w:rPr>
        <w:instrText>ADDIN CSL_CITATION {"citationItems":[{"id":"ITEM-1","itemData":{"DOI":"10.1111/ceo.12360","ISSN":"14429071","PMID":"24811050","abstract":"Background: The aim of this study was to compare the efficacy and safety of micropulse and continuous wave diode transscleral cyclophotocoagulation in refractory glaucoma. Design: Randomized, comparative, exploratory study in a tertiary hospital setting. Participants: Patients with refractory, end-stage glaucoma. Methods: Forty-eight patients were randomized to either treatment. The intraocular pressure, visual acuity, number of medicines and repeat treatment were monitored for 18 months. Complications that include visual acuity decline, prolonged anterior chamber inflammation, phthisis bulbi, scleral thinning and ocular pain were noted. Main Outcome Measure: Intraocular pressure between 6 and 21mmHg and at least a 30% reduction with or without anti-glaucoma medications after 18 months. Results: A successful primary outcome was achieved in 75% of patients who underwent micropulse cyclophotocoagulation and 29% of patients who received continuous wave cyclophotocoagulation after 12 months (P&lt;0.01). At 18 months, successful outcome was 52% and 30% (P=0.13), respectively. The mean intraocular pressure was reduced by 45% in both groups (P=0.70) from a baseline of 36.5mmHg and 35.0mmHg (P=0.50) after 17.5±1.6 months (range 16-19) follow up. No significant difference in retreatment rates or number of intraocular pressure lowering medications was noted. The ocular complication rate was higher in continuous wave treated eyes (P=0.01). Conclusion: Diode transscleral cyclophotocoagulation in both micropulse and continuous modes was effective in lowering intraocular pressure. The micropulse mode provided a more consistent and predictable effect in lowering intraocular pressure with minimal ocular complications.","author":[{"dropping-particle":"","family":"Aquino","given":"Maria Cecilia D.","non-dropping-particle":"","parse-names":false,"suffix":""},{"dropping-particle":"","family":"Barton","given":"Keith","non-dropping-particle":"","parse-names":false,"suffix":""},{"dropping-particle":"","family":"Tan","given":"Anna Marie W.T.","non-dropping-particle":"","parse-names":false,"suffix":""},{"dropping-particle":"","family":"Sng","given":"Chelvin","non-dropping-particle":"","parse-names":false,"suffix":""},{"dropping-particle":"","family":"Li","given":"Xiang","non-dropping-particle":"","parse-names":false,"suffix":""},{"dropping-particle":"","family":"Loon","given":"Seng Chee","non-dropping-particle":"","parse-names":false,"suffix":""},{"dropping-particle":"","family":"Chew","given":"Paul T.K.","non-dropping-particle":"","parse-names":false,"suffix":""}],"container-title":"Clinical and Experimental Ophthalmology","id":"ITEM-1","issue":"1","issued":{"date-parts":[["2015"]]},"page":"40-46","title":"Micropulse versus continuous wave transscleral diode cyclophotocoagulation in refractory glaucoma: A randomized exploratory study","type":"article-journal","volume":"43"},"uris":["http://www.mendeley.com/documents/?uuid=de1cdf18-8117-4654-bb68-c7223cb3781a"]}],"mendeley":{"formattedCitation":"(18)","plainTextFormattedCitation":"(18)","previouslyFormattedCitation":"(18)"},"properties":{"noteIndex":0},"schema":"https://github.com/citation-style-language/schema/raw/master/csl-citation.json"}</w:instrText>
      </w:r>
      <w:r w:rsidR="00130694" w:rsidRPr="00A96836">
        <w:rPr>
          <w:rFonts w:ascii="Times New Roman" w:eastAsia="Times New Roman" w:hAnsi="Times New Roman" w:cs="Times New Roman"/>
        </w:rPr>
        <w:fldChar w:fldCharType="separate"/>
      </w:r>
      <w:r w:rsidR="006F2937" w:rsidRPr="006F2937">
        <w:rPr>
          <w:rFonts w:ascii="Times New Roman" w:eastAsia="Times New Roman" w:hAnsi="Times New Roman" w:cs="Times New Roman"/>
          <w:noProof/>
        </w:rPr>
        <w:t>(18)</w:t>
      </w:r>
      <w:r w:rsidR="00130694" w:rsidRPr="00A96836">
        <w:rPr>
          <w:rFonts w:ascii="Times New Roman" w:eastAsia="Times New Roman" w:hAnsi="Times New Roman" w:cs="Times New Roman"/>
        </w:rPr>
        <w:fldChar w:fldCharType="end"/>
      </w:r>
      <w:r w:rsidR="00D3419A">
        <w:rPr>
          <w:rFonts w:ascii="Times New Roman" w:eastAsia="Times New Roman" w:hAnsi="Times New Roman" w:cs="Times New Roman"/>
        </w:rPr>
        <w:t xml:space="preserve"> evaluated CW-TSCPC in patients with different types of glaucoma and reported success rates between 55% and 65%</w:t>
      </w:r>
      <w:r w:rsidR="003668E3" w:rsidRPr="00A96836">
        <w:rPr>
          <w:rFonts w:ascii="Times New Roman" w:eastAsia="Times New Roman" w:hAnsi="Times New Roman" w:cs="Times New Roman"/>
        </w:rPr>
        <w:t xml:space="preserve">. </w:t>
      </w:r>
      <w:r w:rsidR="00130694" w:rsidRPr="00A96836">
        <w:rPr>
          <w:rFonts w:ascii="Times New Roman" w:eastAsia="Times New Roman" w:hAnsi="Times New Roman" w:cs="Times New Roman"/>
        </w:rPr>
        <w:fldChar w:fldCharType="begin" w:fldLock="1"/>
      </w:r>
      <w:r w:rsidR="00DB630F">
        <w:rPr>
          <w:rFonts w:ascii="Times New Roman" w:eastAsia="Times New Roman" w:hAnsi="Times New Roman" w:cs="Times New Roman"/>
        </w:rPr>
        <w:instrText>ADDIN CSL_CITATION {"citationItems":[{"id":"ITEM-1","itemData":{"DOI":"10.1097/IJG.0000000000001057","ISBN":"0000000000","ISSN":"1536481X","PMID":"30113509","abstract":"Background/Aims: The main aim of this study was to evaluate the safety and efficacy of diode laser transscleral cyclophotocoagulation (TSCPC) in eyes with good visual acuity. Patients and Methods: A retrospective chart review identified patients who underwent TSCPC for uncontrolled intraocular pressure (IOP) from 2014 to 2016. Enrollment criteria included pretreatment best-corrected visual acuity (BCVA) of 20 of 40 or better, and a minimum of 6 months of postoperative follow-up. Results: Thirty-three eyes of 33 patients(mean age, 72.1±16.0 y) were enrolled (mean follow-up 12.6±6.1 mo). The mean (SD) IOP was reduced 48.3% from 27.1 mm Hg (7.8) at baseline to 13.1 mm Hg (4.2) at last follow-up. Reduction of ≥1 glaucoma medications was achieved in 17 eyes (51.5%) at last follow-up. The cumulative probability of complete success (BCVA loss &lt;2 Snelling lines, 20% reduction IOP, no reoperation for glaucoma, no IOP&lt;5 mm Hg) was 78.8% and 50% at months 6 and 12, respectively. The cumulative probability of qualified success (BCVA≥2 lines with ≥20% reduction IOP, no reoperation for glaucoma, no IOP&lt;5 mm Hg) was 90.1% and 81.3% at month 6 and 1 year, respectively. Significant vision loss, defined as BCVA≥2 lines, occurred in 33% of patients. The most common complications were postoperative iritic (56.3%) and cystoid macular edema (12.5%). Conclusions: TSCPC demonstrates a strong reduction in IOP and glaucoma medication use. However, with significant vision loss in 33% of patients, future prospective studies with a comparison group receiving traditional glaucoma surgery are needed to determine comparative safety and efficacy.","author":[{"dropping-particle":"","family":"Shah","given":"Parth","non-dropping-particle":"","parse-names":false,"suffix":""},{"dropping-particle":"","family":"Bhakta","given":"Amitabha","non-dropping-particle":"","parse-names":false,"suffix":""},{"dropping-particle":"","family":"Vanner","given":"Elizabeth A.","non-dropping-particle":"","parse-names":false,"suffix":""},{"dropping-particle":"","family":"Kishor","given":"Krishna S.","non-dropping-particle":"","parse-names":false,"suffix":""},{"dropping-particle":"","family":"Greenfield","given":"David S.","non-dropping-particle":"","parse-names":false,"suffix":""},{"dropping-particle":"","family":"Maharaj","given":"Arindel S.R.","non-dropping-particle":"","parse-names":false,"suffix":""}],"container-title":"Journal of Glaucoma","id":"ITEM-1","issue":"10","issued":{"date-parts":[["2018"]]},"page":"874-879","title":"Safety and efficacy of diode laser transscleral cyclophotocoagulation in eyes with good visual acuity","type":"article-journal","volume":"27"},"uris":["http://www.mendeley.com/documents/?uuid=cedc6abd-de18-43be-8987-c85f5014f93f"]}],"mendeley":{"formattedCitation":"(19)","plainTextFormattedCitation":"(19)","previouslyFormattedCitation":"(19)"},"properties":{"noteIndex":0},"schema":"https://github.com/citation-style-language/schema/raw/master/csl-citation.json"}</w:instrText>
      </w:r>
      <w:r w:rsidR="00130694" w:rsidRPr="00A96836">
        <w:rPr>
          <w:rFonts w:ascii="Times New Roman" w:eastAsia="Times New Roman" w:hAnsi="Times New Roman" w:cs="Times New Roman"/>
        </w:rPr>
        <w:fldChar w:fldCharType="separate"/>
      </w:r>
      <w:r w:rsidR="006F2937" w:rsidRPr="006F2937">
        <w:rPr>
          <w:rFonts w:ascii="Times New Roman" w:eastAsia="Times New Roman" w:hAnsi="Times New Roman" w:cs="Times New Roman"/>
          <w:noProof/>
        </w:rPr>
        <w:t>(19)</w:t>
      </w:r>
      <w:r w:rsidR="00130694" w:rsidRPr="00A96836">
        <w:rPr>
          <w:rFonts w:ascii="Times New Roman" w:eastAsia="Times New Roman" w:hAnsi="Times New Roman" w:cs="Times New Roman"/>
        </w:rPr>
        <w:fldChar w:fldCharType="end"/>
      </w:r>
      <w:r w:rsidR="003668E3" w:rsidRPr="00A96836">
        <w:rPr>
          <w:rFonts w:ascii="Times New Roman" w:eastAsia="Times New Roman" w:hAnsi="Times New Roman" w:cs="Times New Roman"/>
        </w:rPr>
        <w:t xml:space="preserve"> </w:t>
      </w:r>
      <w:r w:rsidR="00D3419A">
        <w:rPr>
          <w:rFonts w:ascii="Times New Roman" w:eastAsia="Times New Roman" w:hAnsi="Times New Roman" w:cs="Times New Roman"/>
        </w:rPr>
        <w:t>similarly reported a 65% success rate. These higher outcomes may be attributed to the use of individualized treatment protocols, optimized laser energy settings, careful patient selection and intraoperative adjustments tailored to patient specific ocular characteristics</w:t>
      </w:r>
      <w:r w:rsidR="003668E3" w:rsidRPr="00A96836">
        <w:rPr>
          <w:rFonts w:ascii="Times New Roman" w:eastAsia="Times New Roman" w:hAnsi="Times New Roman" w:cs="Times New Roman"/>
        </w:rPr>
        <w:t>.</w:t>
      </w:r>
    </w:p>
    <w:p w14:paraId="14E41B5A" w14:textId="4B2EED33" w:rsidR="009E304F" w:rsidRPr="00A96836" w:rsidRDefault="00EA5DD2" w:rsidP="00A96836">
      <w:pPr>
        <w:spacing w:before="100" w:beforeAutospacing="1" w:after="100" w:afterAutospacing="1" w:line="360" w:lineRule="auto"/>
        <w:jc w:val="both"/>
        <w:rPr>
          <w:rFonts w:ascii="Times New Roman" w:eastAsia="Times New Roman" w:hAnsi="Times New Roman" w:cs="Times New Roman"/>
        </w:rPr>
      </w:pPr>
      <w:r>
        <w:rPr>
          <w:rFonts w:ascii="Times New Roman" w:eastAsia="Times New Roman" w:hAnsi="Times New Roman" w:cs="Times New Roman"/>
        </w:rPr>
        <w:t xml:space="preserve">In exploring predictors of treatment success, our study found that pre operative IOP and the presence of ocular comorbidities significantly influenced CPC outcomes. Patients presenting with lower baseline IOP were more likely to achieve </w:t>
      </w:r>
      <w:r w:rsidR="00E344A3">
        <w:rPr>
          <w:rFonts w:ascii="Times New Roman" w:eastAsia="Times New Roman" w:hAnsi="Times New Roman" w:cs="Times New Roman"/>
        </w:rPr>
        <w:t xml:space="preserve">successful pressure reduction, a finding supported by </w:t>
      </w:r>
      <w:r w:rsidR="00705920" w:rsidRPr="00A96836">
        <w:rPr>
          <w:rFonts w:ascii="Times New Roman" w:eastAsia="Times New Roman" w:hAnsi="Times New Roman" w:cs="Times New Roman"/>
        </w:rPr>
        <w:fldChar w:fldCharType="begin" w:fldLock="1"/>
      </w:r>
      <w:r w:rsidR="00DB630F">
        <w:rPr>
          <w:rFonts w:ascii="Times New Roman" w:eastAsia="Times New Roman" w:hAnsi="Times New Roman" w:cs="Times New Roman"/>
        </w:rPr>
        <w:instrText>ADDIN CSL_CITATION {"citationItems":[{"id":"ITEM-1","itemData":{"DOI":"10.1097/IJG.0000000000001008","ISBN":"0000000000","ISSN":"1536481X","PMID":"29916995","abstract":"Purpose: To compare outcomes of transscleral diode cyclophotocoagulation with the treatment parameters used. Patients and Methods: This was a retrospective chart review of a random, 50% sample of diode procedures using the G-probe over 10 years for uncontrolled glaucoma. The main outcome measure was intraocular pressure (IOP) reduction by 20% and final IOP≤21 mm Hg. Results: In 236 eyes (persons) treated by 5 glaucoma specialists, most eyes had severe glaucoma, with 75% having &lt;20/200 acuity. Median follow-up was 2.7 years. In eyes receiving only 1 treatment, IOP success criterion was met in 72% (129/180). Success was significantly related to power per delivery and median total joules per treatment (successes=135 J, failures=98 J; P=0.0009), but not to number of deliveries, nor to extent of circumference treated. Greater success was associated with 3 or 4 second duration per delivery, power level based on audible cues, and firm pressure on the sclera. Using a standard 2000 mW, 2 seconds, 20 deliveries in each eye had the lowest success (49%). Of those with no preoperative pain, 40 persons (57%) had no postoperative pain, whereas 20 reported pain of 1-3/10 (29%). Phthisis occurred in 7 eyes (3%), 5 of which had severe secondary eye disease. Nine eyes had no light perception preoperatively, whereas 50 eyes were no light perception at last follow-up, many after additional surgeries for other conditions. Conclusions: Diode cyclophotocoagulation achieved reasonable IOP lowering, often without severe postoperative pain or complication. Greater success was achieved when audible effects were used to tailor the power settings to individual responses. Diode treatments with no intraoperative effect adjustment or using standardized protocols may not achieve optimal success.","author":[{"dropping-particle":"","family":"Quigley","given":"Harry A.","non-dropping-particle":"","parse-names":false,"suffix":""}],"container-title":"Journal of Glaucoma","id":"ITEM-1","issue":"8","issued":{"date-parts":[["2018"]]},"page":"674-681","title":"Improved Outcomes for Transscleral Cyclophotocoagulation Through Optimized Treatment Parameters","type":"article-journal","volume":"27"},"uris":["http://www.mendeley.com/documents/?uuid=9e49c1c1-eb36-41fc-be77-c837cced8563"]}],"mendeley":{"formattedCitation":"(10)","plainTextFormattedCitation":"(10)","previouslyFormattedCitation":"(10)"},"properties":{"noteIndex":0},"schema":"https://github.com/citation-style-language/schema/raw/master/csl-citation.json"}</w:instrText>
      </w:r>
      <w:r w:rsidR="00705920" w:rsidRPr="00A96836">
        <w:rPr>
          <w:rFonts w:ascii="Times New Roman" w:eastAsia="Times New Roman" w:hAnsi="Times New Roman" w:cs="Times New Roman"/>
        </w:rPr>
        <w:fldChar w:fldCharType="separate"/>
      </w:r>
      <w:r w:rsidR="006F2937" w:rsidRPr="006F2937">
        <w:rPr>
          <w:rFonts w:ascii="Times New Roman" w:eastAsia="Times New Roman" w:hAnsi="Times New Roman" w:cs="Times New Roman"/>
          <w:noProof/>
        </w:rPr>
        <w:t>(10)</w:t>
      </w:r>
      <w:r w:rsidR="00705920" w:rsidRPr="00A96836">
        <w:rPr>
          <w:rFonts w:ascii="Times New Roman" w:eastAsia="Times New Roman" w:hAnsi="Times New Roman" w:cs="Times New Roman"/>
        </w:rPr>
        <w:fldChar w:fldCharType="end"/>
      </w:r>
      <w:r w:rsidR="00DA67D2" w:rsidRPr="00A96836">
        <w:rPr>
          <w:rFonts w:ascii="Times New Roman" w:eastAsia="Times New Roman" w:hAnsi="Times New Roman" w:cs="Times New Roman"/>
        </w:rPr>
        <w:t xml:space="preserve">, </w:t>
      </w:r>
      <w:r w:rsidR="00705920" w:rsidRPr="00A96836">
        <w:rPr>
          <w:rFonts w:ascii="Times New Roman" w:eastAsia="Times New Roman" w:hAnsi="Times New Roman" w:cs="Times New Roman"/>
        </w:rPr>
        <w:fldChar w:fldCharType="begin" w:fldLock="1"/>
      </w:r>
      <w:r w:rsidR="00DB630F">
        <w:rPr>
          <w:rFonts w:ascii="Times New Roman" w:eastAsia="Times New Roman" w:hAnsi="Times New Roman" w:cs="Times New Roman"/>
        </w:rPr>
        <w:instrText>ADDIN CSL_CITATION {"citationItems":[{"id":"ITEM-1","itemData":{"DOI":"10.1177/1120672119877586","ISSN":"17246016","PMID":"31544505","abstract":"Purpose: To assess the efficacy and safety of a standardized micropulse transscleral diode laser cyclophotocoagulation procedure in refractory glaucoma. Methods: Retrospective, interventional study in a series of 37 consecutive patients with refractory glaucoma, cyclodestructive procedure-naive, who underwent micropulse transscleral diode laser cyclophotocoagulation from December 2016 to October 2017. A successful laser treatment was defined as (1) intraocular pressure between 6 and 18 mm Hg; (2) 20% of baseline intraocular pressure reduction; (3) no additional glaucoma medications; (4) no decrease in vision due to complications or change in intraocular pressure; and (5) no need for additional glaucoma surgery except micropulse transscleral diode laser cyclophotocoagulation retreatment. Results: Mean age was 60.2 years. Mean follow-up was 9.7 ± 3.9 months. The mean preoperative intraocular pressure (28.7 mm Hg) significantly decreased to 21.0 mm Hg at 1 month, 18.5 mm Hg at 3 months, 18.4 mm Hg at 6 months, and 18.5 mm Hg at 12 months (p &lt; 0.01 at all time points). The mean number of preoperative glaucoma medications (4.7) decreased to 4.0 at 1 month (p = 0.14), 4.5 at 3 months (p &lt; 0.05), 3.9 at 6 months (p &lt; 0.05), and 3.6 at 12 months (p &lt; 0.05). At 1 year, the success rate was 35% with a mean intraocular pressure lowering of 36%. One patient had hypotony and a loss of best-corrected visual acuity. Mild transient postoperative inflammation was observed in 8% of the cases. Conclusion: Using a standardized procedure, micropulse transscleral diode laser cyclophotocoagulation allows a mild intraocular pressure decrease with a low rate of complications and thus achieves a relatively good profit risk benefit, mostly for moderately hypertensive refractory glaucoma.","author":[{"dropping-particle":"","family":"Souissi","given":"Soufiane","non-dropping-particle":"","parse-names":false,"suffix":""},{"dropping-particle":"","family":"Baudouin","given":"Christophe","non-dropping-particle":"","parse-names":false,"suffix":""},{"dropping-particle":"","family":"Labbé","given":"Antoine","non-dropping-particle":"","parse-names":false,"suffix":""},{"dropping-particle":"","family":"Hamard","given":"Pascale","non-dropping-particle":"","parse-names":false,"suffix":""}],"container-title":"European Journal of Ophthalmology","id":"ITEM-1","issue":"1","issued":{"date-parts":[["2021"]]},"page":"112-119","title":"Micropulse transscleral cyclophotocoagulation using a standard protocol in patients with refractory glaucoma naive of cyclodestruction","type":"article-journal","volume":"31"},"uris":["http://www.mendeley.com/documents/?uuid=c909ad77-ab1f-4285-84a3-03992f234326"]}],"mendeley":{"formattedCitation":"(11)","plainTextFormattedCitation":"(11)","previouslyFormattedCitation":"(11)"},"properties":{"noteIndex":0},"schema":"https://github.com/citation-style-language/schema/raw/master/csl-citation.json"}</w:instrText>
      </w:r>
      <w:r w:rsidR="00705920" w:rsidRPr="00A96836">
        <w:rPr>
          <w:rFonts w:ascii="Times New Roman" w:eastAsia="Times New Roman" w:hAnsi="Times New Roman" w:cs="Times New Roman"/>
        </w:rPr>
        <w:fldChar w:fldCharType="separate"/>
      </w:r>
      <w:r w:rsidR="006F2937" w:rsidRPr="006F2937">
        <w:rPr>
          <w:rFonts w:ascii="Times New Roman" w:eastAsia="Times New Roman" w:hAnsi="Times New Roman" w:cs="Times New Roman"/>
          <w:noProof/>
        </w:rPr>
        <w:t>(11)</w:t>
      </w:r>
      <w:r w:rsidR="00705920" w:rsidRPr="00A96836">
        <w:rPr>
          <w:rFonts w:ascii="Times New Roman" w:eastAsia="Times New Roman" w:hAnsi="Times New Roman" w:cs="Times New Roman"/>
        </w:rPr>
        <w:fldChar w:fldCharType="end"/>
      </w:r>
      <w:r w:rsidR="00705920" w:rsidRPr="00A96836">
        <w:rPr>
          <w:rFonts w:ascii="Times New Roman" w:eastAsia="Times New Roman" w:hAnsi="Times New Roman" w:cs="Times New Roman"/>
        </w:rPr>
        <w:t xml:space="preserve"> </w:t>
      </w:r>
      <w:r w:rsidR="00DA67D2" w:rsidRPr="00A96836">
        <w:rPr>
          <w:rFonts w:ascii="Times New Roman" w:eastAsia="Times New Roman" w:hAnsi="Times New Roman" w:cs="Times New Roman"/>
        </w:rPr>
        <w:t xml:space="preserve">and </w:t>
      </w:r>
      <w:r w:rsidR="00705920" w:rsidRPr="00A96836">
        <w:rPr>
          <w:rFonts w:ascii="Times New Roman" w:eastAsia="Times New Roman" w:hAnsi="Times New Roman" w:cs="Times New Roman"/>
        </w:rPr>
        <w:fldChar w:fldCharType="begin" w:fldLock="1"/>
      </w:r>
      <w:r w:rsidR="00DB630F">
        <w:rPr>
          <w:rFonts w:ascii="Times New Roman" w:eastAsia="Times New Roman" w:hAnsi="Times New Roman" w:cs="Times New Roman"/>
        </w:rPr>
        <w:instrText>ADDIN CSL_CITATION {"citationItems":[{"id":"ITEM-1","itemData":{"DOI":"10.1007/s10792-021-01697-1","ISBN":"0123456789","ISSN":"15732630","PMID":"33550537","abstract":"Purpose: To evaluate the efficacy and safety of micro-pulse trans-scleral diode laser cyclophotocoagulation (MP-TSCPC) in Indian eyes with refractory glaucoma. Methods: A prospective interventional short-term study was carried out with relatively small sample size of 55 eyes with refractory glaucoma. All eyes had visual acuity (VA) and intraocular pressure (IOP) measurements at baseline, 1 week (1w), 1 month (1 m) and 3 months (3 m). A single surgeon treated all eyes with recommended MP-TSCPC treatment settings. Surgical success was defined as achieving an IOP between 8–21 mmHg or achieving &gt; 20% IOP reduction. Results: The age of participants was 56.98 ± 15.74 years. Our study had more number of males. VA (in logMAR) at baseline was 1.38 ± 0.99. VA was 1.43 ± 0.93 at 1w, 1.47 ± 0.94 at 1 m and 1.47 ± 0.96 at 3 m (p &gt; 0.05 for all). IOP (in mmHg) at baseline was 30.38 ± 10.70. IOP was 15.72 ± 6.85 at 1w, 16.98 ± 8.72 at 1 m and 17.60 ± 8.40 at 3 m (p &lt; 0.001 for all). At 3 m, 49 (89.1%) eyes had surgical success. Surgical success was lesser in primary open angle glaucoma (p = 0.03). IOP at baseline showed significant correlation with percentage reduction in IOP at each review (p &lt; 0.05). Use of glaucoma medication reduced from 2.94 ± 0.98 to 2.01 ± 1.16 at 3 m (p &lt; 0.001). At 3 m, hypotony was noted in 4 (7.3%) eyes and reduction in visual acuity was seen in 15 (27.3%) eyes. Conclusion: Initial experience in Indian eyes has shown that MP-TSCPC is safe and effective for refractory glaucoma. Patients can expect significant IOP lowering along with reduction in number of topical medications required for control of IOP.","author":[{"dropping-particle":"","family":"Ariga","given":"Murali","non-dropping-particle":"","parse-names":false,"suffix":""},{"dropping-particle":"","family":"Nivean","given":"","non-dropping-particle":"","parse-names":false,"suffix":""},{"dropping-particle":"","family":"Nivean","given":"Pratheeba Devi","non-dropping-particle":"","parse-names":false,"suffix":""},{"dropping-particle":"","family":"Madanagopalan","given":"V. G.","non-dropping-particle":"","parse-names":false,"suffix":""},{"dropping-particle":"","family":"Mohan","given":"Sujatha","non-dropping-particle":"","parse-names":false,"suffix":""}],"container-title":"International Ophthalmology","id":"ITEM-1","issue":"8","issued":{"date-parts":[["2021"]]},"page":"2639-2645","publisher":"Springer Netherlands","title":"Micropulse trans-scleral diode laser cyclophotocoagulation in refractory glaucoma: an initial experience in Indian eyes","type":"article-journal","volume":"41"},"uris":["http://www.mendeley.com/documents/?uuid=2e5c744e-2375-453a-b414-c90b250d86f1"]}],"mendeley":{"formattedCitation":"(20)","plainTextFormattedCitation":"(20)","previouslyFormattedCitation":"(20)"},"properties":{"noteIndex":0},"schema":"https://github.com/citation-style-language/schema/raw/master/csl-citation.json"}</w:instrText>
      </w:r>
      <w:r w:rsidR="00705920" w:rsidRPr="00A96836">
        <w:rPr>
          <w:rFonts w:ascii="Times New Roman" w:eastAsia="Times New Roman" w:hAnsi="Times New Roman" w:cs="Times New Roman"/>
        </w:rPr>
        <w:fldChar w:fldCharType="separate"/>
      </w:r>
      <w:r w:rsidR="006F2937" w:rsidRPr="006F2937">
        <w:rPr>
          <w:rFonts w:ascii="Times New Roman" w:eastAsia="Times New Roman" w:hAnsi="Times New Roman" w:cs="Times New Roman"/>
          <w:noProof/>
        </w:rPr>
        <w:t>(20)</w:t>
      </w:r>
      <w:r w:rsidR="00705920" w:rsidRPr="00A96836">
        <w:rPr>
          <w:rFonts w:ascii="Times New Roman" w:eastAsia="Times New Roman" w:hAnsi="Times New Roman" w:cs="Times New Roman"/>
        </w:rPr>
        <w:fldChar w:fldCharType="end"/>
      </w:r>
      <w:r w:rsidR="00DA67D2" w:rsidRPr="00A96836">
        <w:rPr>
          <w:rFonts w:ascii="Times New Roman" w:eastAsia="Times New Roman" w:hAnsi="Times New Roman" w:cs="Times New Roman"/>
        </w:rPr>
        <w:t xml:space="preserve">, </w:t>
      </w:r>
      <w:r w:rsidR="00E344A3">
        <w:rPr>
          <w:rFonts w:ascii="Times New Roman" w:eastAsia="Times New Roman" w:hAnsi="Times New Roman" w:cs="Times New Roman"/>
        </w:rPr>
        <w:t>who similarly highlighted the predictive value of baseline IOP.</w:t>
      </w:r>
      <w:r w:rsidR="009E304F">
        <w:rPr>
          <w:rFonts w:ascii="Times New Roman" w:eastAsia="Times New Roman" w:hAnsi="Times New Roman" w:cs="Times New Roman"/>
        </w:rPr>
        <w:t xml:space="preserve"> The inverse correlation between higher baseline IOP and treatment success may reflect more advanced disease or reduced responsiveness of the ciliary body to laser ablation. </w:t>
      </w:r>
    </w:p>
    <w:p w14:paraId="20E90E71" w14:textId="352E165B" w:rsidR="00DA67D2" w:rsidRPr="00A96836" w:rsidRDefault="00D2710D" w:rsidP="00A96836">
      <w:pPr>
        <w:spacing w:before="100" w:beforeAutospacing="1" w:after="100" w:afterAutospacing="1" w:line="360" w:lineRule="auto"/>
        <w:jc w:val="both"/>
        <w:rPr>
          <w:rFonts w:ascii="Times New Roman" w:eastAsia="Times New Roman" w:hAnsi="Times New Roman" w:cs="Times New Roman"/>
        </w:rPr>
      </w:pPr>
      <w:r>
        <w:rPr>
          <w:rFonts w:ascii="Times New Roman" w:eastAsia="Times New Roman" w:hAnsi="Times New Roman" w:cs="Times New Roman"/>
        </w:rPr>
        <w:t>The presence of ocular comorbidities significantly reduced the likelihood of achieving IOP control by 67%. Conditions like corneal opacity, uveitis</w:t>
      </w:r>
      <w:r w:rsidR="00E47047">
        <w:rPr>
          <w:rFonts w:ascii="Times New Roman" w:eastAsia="Times New Roman" w:hAnsi="Times New Roman" w:cs="Times New Roman"/>
        </w:rPr>
        <w:t>, exfoliation syndrome</w:t>
      </w:r>
      <w:r>
        <w:rPr>
          <w:rFonts w:ascii="Times New Roman" w:eastAsia="Times New Roman" w:hAnsi="Times New Roman" w:cs="Times New Roman"/>
        </w:rPr>
        <w:t xml:space="preserve"> and trauma related changes can interfere with laser delivery or alter ocular anatomy, making treatment less effective.</w:t>
      </w:r>
      <w:r w:rsidR="00E47047">
        <w:rPr>
          <w:rFonts w:ascii="Times New Roman" w:eastAsia="Times New Roman" w:hAnsi="Times New Roman" w:cs="Times New Roman"/>
        </w:rPr>
        <w:t xml:space="preserve"> Corneal edema, commonly observed in patients with advanced disease, can obscure visualization during CPC, scatter or absorb laser energy and hinder precise application of treatment</w:t>
      </w:r>
      <w:r w:rsidR="004C3191">
        <w:rPr>
          <w:rFonts w:ascii="Times New Roman" w:eastAsia="Times New Roman" w:hAnsi="Times New Roman" w:cs="Times New Roman"/>
        </w:rPr>
        <w:t xml:space="preserve"> leading to suboptimal ablation and diminished pressure reduction.</w:t>
      </w:r>
      <w:r>
        <w:rPr>
          <w:rFonts w:ascii="Times New Roman" w:eastAsia="Times New Roman" w:hAnsi="Times New Roman" w:cs="Times New Roman"/>
        </w:rPr>
        <w:t xml:space="preserve"> Our finding</w:t>
      </w:r>
      <w:r w:rsidR="00E47047">
        <w:rPr>
          <w:rFonts w:ascii="Times New Roman" w:eastAsia="Times New Roman" w:hAnsi="Times New Roman" w:cs="Times New Roman"/>
        </w:rPr>
        <w:t xml:space="preserve">s align with other studies </w:t>
      </w:r>
      <w:r w:rsidR="004C3191">
        <w:rPr>
          <w:rFonts w:ascii="Times New Roman" w:eastAsia="Times New Roman" w:hAnsi="Times New Roman" w:cs="Times New Roman"/>
        </w:rPr>
        <w:t>like those by</w:t>
      </w:r>
      <w:r w:rsidR="00705920" w:rsidRPr="00A96836">
        <w:rPr>
          <w:rFonts w:ascii="Times New Roman" w:eastAsia="Times New Roman" w:hAnsi="Times New Roman" w:cs="Times New Roman"/>
        </w:rPr>
        <w:fldChar w:fldCharType="begin" w:fldLock="1"/>
      </w:r>
      <w:r w:rsidR="00DB630F">
        <w:rPr>
          <w:rFonts w:ascii="Times New Roman" w:eastAsia="Times New Roman" w:hAnsi="Times New Roman" w:cs="Times New Roman"/>
        </w:rPr>
        <w:instrText>ADDIN CSL_CITATION {"citationItems":[{"id":"ITEM-1","itemData":{"DOI":"10.1177/1120672119877586","ISSN":"17246016","PMID":"31544505","abstract":"Purpose: To assess the efficacy and safety of a standardized micropulse transscleral diode laser cyclophotocoagulation procedure in refractory glaucoma. Methods: Retrospective, interventional study in a series of 37 consecutive patients with refractory glaucoma, cyclodestructive procedure-naive, who underwent micropulse transscleral diode laser cyclophotocoagulation from December 2016 to October 2017. A successful laser treatment was defined as (1) intraocular pressure between 6 and 18 mm Hg; (2) 20% of baseline intraocular pressure reduction; (3) no additional glaucoma medications; (4) no decrease in vision due to complications or change in intraocular pressure; and (5) no need for additional glaucoma surgery except micropulse transscleral diode laser cyclophotocoagulation retreatment. Results: Mean age was 60.2 years. Mean follow-up was 9.7 ± 3.9 months. The mean preoperative intraocular pressure (28.7 mm Hg) significantly decreased to 21.0 mm Hg at 1 month, 18.5 mm Hg at 3 months, 18.4 mm Hg at 6 months, and 18.5 mm Hg at 12 months (p &lt; 0.01 at all time points). The mean number of preoperative glaucoma medications (4.7) decreased to 4.0 at 1 month (p = 0.14), 4.5 at 3 months (p &lt; 0.05), 3.9 at 6 months (p &lt; 0.05), and 3.6 at 12 months (p &lt; 0.05). At 1 year, the success rate was 35% with a mean intraocular pressure lowering of 36%. One patient had hypotony and a loss of best-corrected visual acuity. Mild transient postoperative inflammation was observed in 8% of the cases. Conclusion: Using a standardized procedure, micropulse transscleral diode laser cyclophotocoagulation allows a mild intraocular pressure decrease with a low rate of complications and thus achieves a relatively good profit risk benefit, mostly for moderately hypertensive refractory glaucoma.","author":[{"dropping-particle":"","family":"Souissi","given":"Soufiane","non-dropping-particle":"","parse-names":false,"suffix":""},{"dropping-particle":"","family":"Baudouin","given":"Christophe","non-dropping-particle":"","parse-names":false,"suffix":""},{"dropping-particle":"","family":"Labbé","given":"Antoine","non-dropping-particle":"","parse-names":false,"suffix":""},{"dropping-particle":"","family":"Hamard","given":"Pascale","non-dropping-particle":"","parse-names":false,"suffix":""}],"container-title":"European Journal of Ophthalmology","id":"ITEM-1","issue":"1","issued":{"date-parts":[["2021"]]},"page":"112-119","title":"Micropulse transscleral cyclophotocoagulation using a standard protocol in patients with refractory glaucoma naive of cyclodestruction","type":"article-journal","volume":"31"},"uris":["http://www.mendeley.com/documents/?uuid=c909ad77-ab1f-4285-84a3-03992f234326"]}],"mendeley":{"formattedCitation":"(11)","plainTextFormattedCitation":"(11)","previouslyFormattedCitation":"(11)"},"properties":{"noteIndex":0},"schema":"https://github.com/citation-style-language/schema/raw/master/csl-citation.json"}</w:instrText>
      </w:r>
      <w:r w:rsidR="00705920" w:rsidRPr="00A96836">
        <w:rPr>
          <w:rFonts w:ascii="Times New Roman" w:eastAsia="Times New Roman" w:hAnsi="Times New Roman" w:cs="Times New Roman"/>
        </w:rPr>
        <w:fldChar w:fldCharType="separate"/>
      </w:r>
      <w:r w:rsidR="006F2937" w:rsidRPr="006F2937">
        <w:rPr>
          <w:rFonts w:ascii="Times New Roman" w:eastAsia="Times New Roman" w:hAnsi="Times New Roman" w:cs="Times New Roman"/>
          <w:noProof/>
        </w:rPr>
        <w:t>(11)</w:t>
      </w:r>
      <w:r w:rsidR="00705920" w:rsidRPr="00A96836">
        <w:rPr>
          <w:rFonts w:ascii="Times New Roman" w:eastAsia="Times New Roman" w:hAnsi="Times New Roman" w:cs="Times New Roman"/>
        </w:rPr>
        <w:fldChar w:fldCharType="end"/>
      </w:r>
      <w:r w:rsidR="00DA67D2" w:rsidRPr="00A96836">
        <w:rPr>
          <w:rFonts w:ascii="Times New Roman" w:eastAsia="Times New Roman" w:hAnsi="Times New Roman" w:cs="Times New Roman"/>
        </w:rPr>
        <w:t xml:space="preserve"> and </w:t>
      </w:r>
      <w:r w:rsidR="00705920" w:rsidRPr="00A96836">
        <w:rPr>
          <w:rFonts w:ascii="Times New Roman" w:eastAsia="Times New Roman" w:hAnsi="Times New Roman" w:cs="Times New Roman"/>
        </w:rPr>
        <w:fldChar w:fldCharType="begin" w:fldLock="1"/>
      </w:r>
      <w:r w:rsidR="00DB630F">
        <w:rPr>
          <w:rFonts w:ascii="Times New Roman" w:eastAsia="Times New Roman" w:hAnsi="Times New Roman" w:cs="Times New Roman"/>
        </w:rPr>
        <w:instrText>ADDIN CSL_CITATION {"citationItems":[{"id":"ITEM-1","itemData":{"DOI":"10.1007/s10792-021-01697-1","ISBN":"0123456789","ISSN":"15732630","PMID":"33550537","abstract":"Purpose: To evaluate the efficacy and safety of micro-pulse trans-scleral diode laser cyclophotocoagulation (MP-TSCPC) in Indian eyes with refractory glaucoma. Methods: A prospective interventional short-term study was carried out with relatively small sample size of 55 eyes with refractory glaucoma. All eyes had visual acuity (VA) and intraocular pressure (IOP) measurements at baseline, 1 week (1w), 1 month (1 m) and 3 months (3 m). A single surgeon treated all eyes with recommended MP-TSCPC treatment settings. Surgical success was defined as achieving an IOP between 8–21 mmHg or achieving &gt; 20% IOP reduction. Results: The age of participants was 56.98 ± 15.74 years. Our study had more number of males. VA (in logMAR) at baseline was 1.38 ± 0.99. VA was 1.43 ± 0.93 at 1w, 1.47 ± 0.94 at 1 m and 1.47 ± 0.96 at 3 m (p &gt; 0.05 for all). IOP (in mmHg) at baseline was 30.38 ± 10.70. IOP was 15.72 ± 6.85 at 1w, 16.98 ± 8.72 at 1 m and 17.60 ± 8.40 at 3 m (p &lt; 0.001 for all). At 3 m, 49 (89.1%) eyes had surgical success. Surgical success was lesser in primary open angle glaucoma (p = 0.03). IOP at baseline showed significant correlation with percentage reduction in IOP at each review (p &lt; 0.05). Use of glaucoma medication reduced from 2.94 ± 0.98 to 2.01 ± 1.16 at 3 m (p &lt; 0.001). At 3 m, hypotony was noted in 4 (7.3%) eyes and reduction in visual acuity was seen in 15 (27.3%) eyes. Conclusion: Initial experience in Indian eyes has shown that MP-TSCPC is safe and effective for refractory glaucoma. Patients can expect significant IOP lowering along with reduction in number of topical medications required for control of IOP.","author":[{"dropping-particle":"","family":"Ariga","given":"Murali","non-dropping-particle":"","parse-names":false,"suffix":""},{"dropping-particle":"","family":"Nivean","given":"","non-dropping-particle":"","parse-names":false,"suffix":""},{"dropping-particle":"","family":"Nivean","given":"Pratheeba Devi","non-dropping-particle":"","parse-names":false,"suffix":""},{"dropping-particle":"","family":"Madanagopalan","given":"V. G.","non-dropping-particle":"","parse-names":false,"suffix":""},{"dropping-particle":"","family":"Mohan","given":"Sujatha","non-dropping-particle":"","parse-names":false,"suffix":""}],"container-title":"International Ophthalmology","id":"ITEM-1","issue":"8","issued":{"date-parts":[["2021"]]},"page":"2639-2645","publisher":"Springer Netherlands","title":"Micropulse trans-scleral diode laser cyclophotocoagulation in refractory glaucoma: an initial experience in Indian eyes","type":"article-journal","volume":"41"},"uris":["http://www.mendeley.com/documents/?uuid=2e5c744e-2375-453a-b414-c90b250d86f1"]}],"mendeley":{"formattedCitation":"(20)","plainTextFormattedCitation":"(20)","previouslyFormattedCitation":"(20)"},"properties":{"noteIndex":0},"schema":"https://github.com/citation-style-language/schema/raw/master/csl-citation.json"}</w:instrText>
      </w:r>
      <w:r w:rsidR="00705920" w:rsidRPr="00A96836">
        <w:rPr>
          <w:rFonts w:ascii="Times New Roman" w:eastAsia="Times New Roman" w:hAnsi="Times New Roman" w:cs="Times New Roman"/>
        </w:rPr>
        <w:fldChar w:fldCharType="separate"/>
      </w:r>
      <w:r w:rsidR="006F2937" w:rsidRPr="006F2937">
        <w:rPr>
          <w:rFonts w:ascii="Times New Roman" w:eastAsia="Times New Roman" w:hAnsi="Times New Roman" w:cs="Times New Roman"/>
          <w:noProof/>
        </w:rPr>
        <w:t>(20)</w:t>
      </w:r>
      <w:r w:rsidR="00705920" w:rsidRPr="00A96836">
        <w:rPr>
          <w:rFonts w:ascii="Times New Roman" w:eastAsia="Times New Roman" w:hAnsi="Times New Roman" w:cs="Times New Roman"/>
        </w:rPr>
        <w:fldChar w:fldCharType="end"/>
      </w:r>
      <w:r w:rsidR="00DA67D2" w:rsidRPr="00A96836">
        <w:rPr>
          <w:rFonts w:ascii="Times New Roman" w:eastAsia="Times New Roman" w:hAnsi="Times New Roman" w:cs="Times New Roman"/>
        </w:rPr>
        <w:t xml:space="preserve">, </w:t>
      </w:r>
      <w:r w:rsidR="004C3191">
        <w:rPr>
          <w:rFonts w:ascii="Times New Roman" w:eastAsia="Times New Roman" w:hAnsi="Times New Roman" w:cs="Times New Roman"/>
        </w:rPr>
        <w:t xml:space="preserve">which linked conditions like exfoliation syndrome and prior </w:t>
      </w:r>
      <w:proofErr w:type="spellStart"/>
      <w:r w:rsidR="004C3191">
        <w:rPr>
          <w:rFonts w:ascii="Times New Roman" w:eastAsia="Times New Roman" w:hAnsi="Times New Roman" w:cs="Times New Roman"/>
        </w:rPr>
        <w:t>cyclodestruction</w:t>
      </w:r>
      <w:proofErr w:type="spellEnd"/>
      <w:r w:rsidR="004C3191">
        <w:rPr>
          <w:rFonts w:ascii="Times New Roman" w:eastAsia="Times New Roman" w:hAnsi="Times New Roman" w:cs="Times New Roman"/>
        </w:rPr>
        <w:t xml:space="preserve"> with poor outcomes.</w:t>
      </w:r>
      <w:r w:rsidR="00DA67D2" w:rsidRPr="00A96836">
        <w:rPr>
          <w:rFonts w:ascii="Times New Roman" w:eastAsia="Times New Roman" w:hAnsi="Times New Roman" w:cs="Times New Roman"/>
        </w:rPr>
        <w:t xml:space="preserve"> </w:t>
      </w:r>
      <w:r w:rsidR="001456A5">
        <w:rPr>
          <w:rFonts w:ascii="Times New Roman" w:eastAsia="Times New Roman" w:hAnsi="Times New Roman" w:cs="Times New Roman"/>
        </w:rPr>
        <w:t>On  the contrary,</w:t>
      </w:r>
      <w:r w:rsidR="00705920" w:rsidRPr="00A96836">
        <w:rPr>
          <w:rFonts w:ascii="Times New Roman" w:eastAsia="Times New Roman" w:hAnsi="Times New Roman" w:cs="Times New Roman"/>
        </w:rPr>
        <w:fldChar w:fldCharType="begin" w:fldLock="1"/>
      </w:r>
      <w:r w:rsidR="00DB630F">
        <w:rPr>
          <w:rFonts w:ascii="Times New Roman" w:eastAsia="Times New Roman" w:hAnsi="Times New Roman" w:cs="Times New Roman"/>
        </w:rPr>
        <w:instrText>ADDIN CSL_CITATION {"citationItems":[{"id":"ITEM-1","itemData":{"DOI":"10.1097/IJG.0000000000001008","ISBN":"0000000000","ISSN":"1536481X","PMID":"29916995","abstract":"Purpose: To compare outcomes of transscleral diode cyclophotocoagulation with the treatment parameters used. Patients and Methods: This was a retrospective chart review of a random, 50% sample of diode procedures using the G-probe over 10 years for uncontrolled glaucoma. The main outcome measure was intraocular pressure (IOP) reduction by 20% and final IOP≤21 mm Hg. Results: In 236 eyes (persons) treated by 5 glaucoma specialists, most eyes had severe glaucoma, with 75% having &lt;20/200 acuity. Median follow-up was 2.7 years. In eyes receiving only 1 treatment, IOP success criterion was met in 72% (129/180). Success was significantly related to power per delivery and median total joules per treatment (successes=135 J, failures=98 J; P=0.0009), but not to number of deliveries, nor to extent of circumference treated. Greater success was associated with 3 or 4 second duration per delivery, power level based on audible cues, and firm pressure on the sclera. Using a standard 2000 mW, 2 seconds, 20 deliveries in each eye had the lowest success (49%). Of those with no preoperative pain, 40 persons (57%) had no postoperative pain, whereas 20 reported pain of 1-3/10 (29%). Phthisis occurred in 7 eyes (3%), 5 of which had severe secondary eye disease. Nine eyes had no light perception preoperatively, whereas 50 eyes were no light perception at last follow-up, many after additional surgeries for other conditions. Conclusions: Diode cyclophotocoagulation achieved reasonable IOP lowering, often without severe postoperative pain or complication. Greater success was achieved when audible effects were used to tailor the power settings to individual responses. Diode treatments with no intraoperative effect adjustment or using standardized protocols may not achieve optimal success.","author":[{"dropping-particle":"","family":"Quigley","given":"Harry A.","non-dropping-particle":"","parse-names":false,"suffix":""}],"container-title":"Journal of Glaucoma","id":"ITEM-1","issue":"8","issued":{"date-parts":[["2018"]]},"page":"674-681","title":"Improved Outcomes for Transscleral Cyclophotocoagulation Through Optimized Treatment Parameters","type":"article-journal","volume":"27"},"uris":["http://www.mendeley.com/documents/?uuid=9e49c1c1-eb36-41fc-be77-c837cced8563"]}],"mendeley":{"formattedCitation":"(10)","plainTextFormattedCitation":"(10)","previouslyFormattedCitation":"(10)"},"properties":{"noteIndex":0},"schema":"https://github.com/citation-style-language/schema/raw/master/csl-citation.json"}</w:instrText>
      </w:r>
      <w:r w:rsidR="00705920" w:rsidRPr="00A96836">
        <w:rPr>
          <w:rFonts w:ascii="Times New Roman" w:eastAsia="Times New Roman" w:hAnsi="Times New Roman" w:cs="Times New Roman"/>
        </w:rPr>
        <w:fldChar w:fldCharType="separate"/>
      </w:r>
      <w:r w:rsidR="006F2937" w:rsidRPr="006F2937">
        <w:rPr>
          <w:rFonts w:ascii="Times New Roman" w:eastAsia="Times New Roman" w:hAnsi="Times New Roman" w:cs="Times New Roman"/>
          <w:noProof/>
        </w:rPr>
        <w:t>(10)</w:t>
      </w:r>
      <w:r w:rsidR="00705920" w:rsidRPr="00A96836">
        <w:rPr>
          <w:rFonts w:ascii="Times New Roman" w:eastAsia="Times New Roman" w:hAnsi="Times New Roman" w:cs="Times New Roman"/>
        </w:rPr>
        <w:fldChar w:fldCharType="end"/>
      </w:r>
      <w:r w:rsidR="00DA67D2" w:rsidRPr="00A96836">
        <w:rPr>
          <w:rFonts w:ascii="Times New Roman" w:eastAsia="Times New Roman" w:hAnsi="Times New Roman" w:cs="Times New Roman"/>
        </w:rPr>
        <w:t xml:space="preserve"> and </w:t>
      </w:r>
      <w:r w:rsidR="00705920" w:rsidRPr="00A96836">
        <w:rPr>
          <w:rFonts w:ascii="Times New Roman" w:eastAsia="Times New Roman" w:hAnsi="Times New Roman" w:cs="Times New Roman"/>
        </w:rPr>
        <w:fldChar w:fldCharType="begin" w:fldLock="1"/>
      </w:r>
      <w:r w:rsidR="00DB630F">
        <w:rPr>
          <w:rFonts w:ascii="Times New Roman" w:eastAsia="Times New Roman" w:hAnsi="Times New Roman" w:cs="Times New Roman"/>
        </w:rPr>
        <w:instrText>ADDIN CSL_CITATION {"citationItems":[{"id":"ITEM-1","itemData":{"DOI":"10.1111/ceo.13328","ISSN":"14429071","PMID":"29808573","abstract":"Importance: To investigate the safety, effectiveness and follow-up rates after transscleral diode laser cyclophotocoagulation as primary treatment for seeing eyes with primary open angle glaucoma in Bauchi, Nigeria. Background: There is a high prevalence of primary open angle glaucoma in Africa where adherence to medical treatment and acceptance of surgery are poor. Design: Prospective case series. Participants: New glaucoma patients where surgical intervention was recommended. Methods: A diode 810 nm laser G-probe was used under retrobulbar anaesthesia to deliver approximately 20 shots for 2000 ms, titrating the power. If both eyes were treated the first was the study eye. Repeat treatment offered if the intraocular pressure (IOP) was &gt;21 mmHg on two consecutive visits. Main Outcome Measures: IOP &lt; 22 mmHg, change in ≥2 lines of Snellen visual acuity (VA), and complications. Results: 201 out of 204 eyes with complete data analysed. Mean age 52 years, 17 (8.3%) eyes were re-treated. Mean pre-treatment IOP was 39 (SD 11) mmHg. 106 (53%) attended at 12 months when the mean IOP was 19 (7–45) mmHg; 77 (73%) had IOP &lt; 22 mmHg. VAs were better in 13 (12.3%) and worse in 23 (21.7%) eyes. Postoperative complications included mild uveitis (5.5%), corneal oedema (2.5%), severe uveitis (0.5%) and transient hypotony (2.0%). No hypotony at 12 months. Conclusions and Relevance: Transscleral diode laser cyclophotocoagulation controlled IOP in almost three quarters of eyes at 12 months with short-term preservation of vision and minimal complications. Poor follow-up in this setting highlights the need for an effective, safe and acceptable treatment where regular follow-up is less critical.","author":[{"dropping-particle":"","family":"Abdull","given":"Mohammed M.","non-dropping-particle":"","parse-names":false,"suffix":""},{"dropping-particle":"","family":"Broadway","given":"David C.","non-dropping-particle":"","parse-names":false,"suffix":""},{"dropping-particle":"","family":"Evans","given":"Jennifer","non-dropping-particle":"","parse-names":false,"suffix":""},{"dropping-particle":"","family":"Kyari","given":"Fatima","non-dropping-particle":"","parse-names":false,"suffix":""},{"dropping-particle":"","family":"Muazu","given":"Fatima","non-dropping-particle":"","parse-names":false,"suffix":""},{"dropping-particle":"","family":"Gilbert","given":"Clare","non-dropping-particle":"","parse-names":false,"suffix":""}],"container-title":"Clinical and Experimental Ophthalmology","id":"ITEM-1","issue":"9","issued":{"date-parts":[["2018"]]},"page":"1041-1047","title":"Safety and effectiveness of primary transscleral diode laser cyclophotoablation for glaucoma in Nigeria","type":"article-journal","volume":"46"},"uris":["http://www.mendeley.com/documents/?uuid=5a405e76-4b11-4549-859b-ff72fd6c906a"]}],"mendeley":{"formattedCitation":"(17)","plainTextFormattedCitation":"(17)","previouslyFormattedCitation":"(17)"},"properties":{"noteIndex":0},"schema":"https://github.com/citation-style-language/schema/raw/master/csl-citation.json"}</w:instrText>
      </w:r>
      <w:r w:rsidR="00705920" w:rsidRPr="00A96836">
        <w:rPr>
          <w:rFonts w:ascii="Times New Roman" w:eastAsia="Times New Roman" w:hAnsi="Times New Roman" w:cs="Times New Roman"/>
        </w:rPr>
        <w:fldChar w:fldCharType="separate"/>
      </w:r>
      <w:r w:rsidR="006F2937" w:rsidRPr="006F2937">
        <w:rPr>
          <w:rFonts w:ascii="Times New Roman" w:eastAsia="Times New Roman" w:hAnsi="Times New Roman" w:cs="Times New Roman"/>
          <w:noProof/>
        </w:rPr>
        <w:t>(17)</w:t>
      </w:r>
      <w:r w:rsidR="00705920" w:rsidRPr="00A96836">
        <w:rPr>
          <w:rFonts w:ascii="Times New Roman" w:eastAsia="Times New Roman" w:hAnsi="Times New Roman" w:cs="Times New Roman"/>
        </w:rPr>
        <w:fldChar w:fldCharType="end"/>
      </w:r>
      <w:r w:rsidR="00DA67D2" w:rsidRPr="00A96836">
        <w:rPr>
          <w:rFonts w:ascii="Times New Roman" w:eastAsia="Times New Roman" w:hAnsi="Times New Roman" w:cs="Times New Roman"/>
        </w:rPr>
        <w:t xml:space="preserve"> </w:t>
      </w:r>
      <w:r w:rsidR="001456A5">
        <w:rPr>
          <w:rFonts w:ascii="Times New Roman" w:eastAsia="Times New Roman" w:hAnsi="Times New Roman" w:cs="Times New Roman"/>
        </w:rPr>
        <w:t xml:space="preserve">reported no </w:t>
      </w:r>
      <w:r w:rsidR="001456A5">
        <w:rPr>
          <w:rFonts w:ascii="Times New Roman" w:eastAsia="Times New Roman" w:hAnsi="Times New Roman" w:cs="Times New Roman"/>
        </w:rPr>
        <w:lastRenderedPageBreak/>
        <w:t xml:space="preserve">significant association </w:t>
      </w:r>
      <w:r w:rsidR="00AF3A54">
        <w:rPr>
          <w:rFonts w:ascii="Times New Roman" w:eastAsia="Times New Roman" w:hAnsi="Times New Roman" w:cs="Times New Roman"/>
        </w:rPr>
        <w:t>of</w:t>
      </w:r>
      <w:r w:rsidR="001456A5">
        <w:rPr>
          <w:rFonts w:ascii="Times New Roman" w:eastAsia="Times New Roman" w:hAnsi="Times New Roman" w:cs="Times New Roman"/>
        </w:rPr>
        <w:t xml:space="preserve"> </w:t>
      </w:r>
      <w:r w:rsidR="00AF3A54">
        <w:rPr>
          <w:rFonts w:ascii="Times New Roman" w:eastAsia="Times New Roman" w:hAnsi="Times New Roman" w:cs="Times New Roman"/>
        </w:rPr>
        <w:t>patient specific characteristics like age, sex and comorbidities with the treatment success, highlighting the diversity of outcomes across different populations.</w:t>
      </w:r>
    </w:p>
    <w:p w14:paraId="27DBDA65" w14:textId="672C17A7" w:rsidR="00DA67D2" w:rsidRPr="00A96836" w:rsidRDefault="006B2FFF" w:rsidP="00A96836">
      <w:pPr>
        <w:spacing w:before="100" w:beforeAutospacing="1" w:after="100" w:afterAutospacing="1" w:line="360" w:lineRule="auto"/>
        <w:jc w:val="both"/>
        <w:rPr>
          <w:rFonts w:ascii="Times New Roman" w:eastAsia="Times New Roman" w:hAnsi="Times New Roman" w:cs="Times New Roman"/>
        </w:rPr>
      </w:pPr>
      <w:r>
        <w:rPr>
          <w:rFonts w:ascii="Times New Roman" w:eastAsia="Times New Roman" w:hAnsi="Times New Roman" w:cs="Times New Roman"/>
        </w:rPr>
        <w:t xml:space="preserve">Moreover, the optic disc notching was found to correlate with better outcomes compared to fully cupped </w:t>
      </w:r>
      <w:r w:rsidR="00360BB6">
        <w:rPr>
          <w:rFonts w:ascii="Times New Roman" w:eastAsia="Times New Roman" w:hAnsi="Times New Roman" w:cs="Times New Roman"/>
        </w:rPr>
        <w:t>optic nerve disc. This might be explained by the fact that notching typically indicates localized damage, whereas full cupping suggests more advanced and diffuse nerve fiber loss. Patients with notching may thus retain some functional nerve tissue capable of responding to IOP lowering therapy. However this result contrast with</w:t>
      </w:r>
      <w:r w:rsidR="00DA67D2" w:rsidRPr="00A96836">
        <w:rPr>
          <w:rFonts w:ascii="Times New Roman" w:eastAsia="Times New Roman" w:hAnsi="Times New Roman" w:cs="Times New Roman"/>
        </w:rPr>
        <w:t xml:space="preserve"> </w:t>
      </w:r>
      <w:r w:rsidR="00705920" w:rsidRPr="00A96836">
        <w:rPr>
          <w:rFonts w:ascii="Times New Roman" w:eastAsia="Times New Roman" w:hAnsi="Times New Roman" w:cs="Times New Roman"/>
        </w:rPr>
        <w:fldChar w:fldCharType="begin" w:fldLock="1"/>
      </w:r>
      <w:r w:rsidR="00DB630F">
        <w:rPr>
          <w:rFonts w:ascii="Times New Roman" w:eastAsia="Times New Roman" w:hAnsi="Times New Roman" w:cs="Times New Roman"/>
        </w:rPr>
        <w:instrText>ADDIN CSL_CITATION {"citationItems":[{"id":"ITEM-1","itemData":{"DOI":"10.1097/IJG.0000000000001008","ISBN":"0000000000","ISSN":"1536481X","PMID":"29916995","abstract":"Purpose: To compare outcomes of transscleral diode cyclophotocoagulation with the treatment parameters used. Patients and Methods: This was a retrospective chart review of a random, 50% sample of diode procedures using the G-probe over 10 years for uncontrolled glaucoma. The main outcome measure was intraocular pressure (IOP) reduction by 20% and final IOP≤21 mm Hg. Results: In 236 eyes (persons) treated by 5 glaucoma specialists, most eyes had severe glaucoma, with 75% having &lt;20/200 acuity. Median follow-up was 2.7 years. In eyes receiving only 1 treatment, IOP success criterion was met in 72% (129/180). Success was significantly related to power per delivery and median total joules per treatment (successes=135 J, failures=98 J; P=0.0009), but not to number of deliveries, nor to extent of circumference treated. Greater success was associated with 3 or 4 second duration per delivery, power level based on audible cues, and firm pressure on the sclera. Using a standard 2000 mW, 2 seconds, 20 deliveries in each eye had the lowest success (49%). Of those with no preoperative pain, 40 persons (57%) had no postoperative pain, whereas 20 reported pain of 1-3/10 (29%). Phthisis occurred in 7 eyes (3%), 5 of which had severe secondary eye disease. Nine eyes had no light perception preoperatively, whereas 50 eyes were no light perception at last follow-up, many after additional surgeries for other conditions. Conclusions: Diode cyclophotocoagulation achieved reasonable IOP lowering, often without severe postoperative pain or complication. Greater success was achieved when audible effects were used to tailor the power settings to individual responses. Diode treatments with no intraoperative effect adjustment or using standardized protocols may not achieve optimal success.","author":[{"dropping-particle":"","family":"Quigley","given":"Harry A.","non-dropping-particle":"","parse-names":false,"suffix":""}],"container-title":"Journal of Glaucoma","id":"ITEM-1","issue":"8","issued":{"date-parts":[["2018"]]},"page":"674-681","title":"Improved Outcomes for Transscleral Cyclophotocoagulation Through Optimized Treatment Parameters","type":"article-journal","volume":"27"},"uris":["http://www.mendeley.com/documents/?uuid=9e49c1c1-eb36-41fc-be77-c837cced8563"]}],"mendeley":{"formattedCitation":"(10)","plainTextFormattedCitation":"(10)","previouslyFormattedCitation":"(10)"},"properties":{"noteIndex":0},"schema":"https://github.com/citation-style-language/schema/raw/master/csl-citation.json"}</w:instrText>
      </w:r>
      <w:r w:rsidR="00705920" w:rsidRPr="00A96836">
        <w:rPr>
          <w:rFonts w:ascii="Times New Roman" w:eastAsia="Times New Roman" w:hAnsi="Times New Roman" w:cs="Times New Roman"/>
        </w:rPr>
        <w:fldChar w:fldCharType="separate"/>
      </w:r>
      <w:r w:rsidR="006F2937" w:rsidRPr="006F2937">
        <w:rPr>
          <w:rFonts w:ascii="Times New Roman" w:eastAsia="Times New Roman" w:hAnsi="Times New Roman" w:cs="Times New Roman"/>
          <w:noProof/>
        </w:rPr>
        <w:t>(10)</w:t>
      </w:r>
      <w:r w:rsidR="00705920" w:rsidRPr="00A96836">
        <w:rPr>
          <w:rFonts w:ascii="Times New Roman" w:eastAsia="Times New Roman" w:hAnsi="Times New Roman" w:cs="Times New Roman"/>
        </w:rPr>
        <w:fldChar w:fldCharType="end"/>
      </w:r>
      <w:r w:rsidR="00360BB6">
        <w:rPr>
          <w:rFonts w:ascii="Times New Roman" w:eastAsia="Times New Roman" w:hAnsi="Times New Roman" w:cs="Times New Roman"/>
        </w:rPr>
        <w:t xml:space="preserve"> who associated notching with poorer outcomes, reflecting the complexity and variability in glaucomatous progression and treatment r</w:t>
      </w:r>
      <w:r w:rsidR="00CF33AE">
        <w:rPr>
          <w:rFonts w:ascii="Times New Roman" w:eastAsia="Times New Roman" w:hAnsi="Times New Roman" w:cs="Times New Roman"/>
        </w:rPr>
        <w:t>esponse.</w:t>
      </w:r>
      <w:r w:rsidR="00705920" w:rsidRPr="00A96836">
        <w:rPr>
          <w:rFonts w:ascii="Times New Roman" w:eastAsia="Times New Roman" w:hAnsi="Times New Roman" w:cs="Times New Roman"/>
        </w:rPr>
        <w:t xml:space="preserve"> </w:t>
      </w:r>
    </w:p>
    <w:p w14:paraId="2CCE3649" w14:textId="332CDC39" w:rsidR="00982F90" w:rsidRDefault="00EA1445" w:rsidP="00A96836">
      <w:pPr>
        <w:spacing w:before="100" w:beforeAutospacing="1" w:after="100" w:afterAutospacing="1" w:line="360" w:lineRule="auto"/>
        <w:jc w:val="both"/>
        <w:rPr>
          <w:rFonts w:ascii="Times New Roman" w:eastAsia="Times New Roman" w:hAnsi="Times New Roman" w:cs="Times New Roman"/>
        </w:rPr>
      </w:pPr>
      <w:r>
        <w:rPr>
          <w:rFonts w:ascii="Times New Roman" w:eastAsia="Times New Roman" w:hAnsi="Times New Roman" w:cs="Times New Roman"/>
        </w:rPr>
        <w:t xml:space="preserve">Complications were generally mild and manageable. The most common observed complication was </w:t>
      </w:r>
      <w:proofErr w:type="gramStart"/>
      <w:r>
        <w:rPr>
          <w:rFonts w:ascii="Times New Roman" w:eastAsia="Times New Roman" w:hAnsi="Times New Roman" w:cs="Times New Roman"/>
        </w:rPr>
        <w:t>post</w:t>
      </w:r>
      <w:proofErr w:type="gramEnd"/>
      <w:r>
        <w:rPr>
          <w:rFonts w:ascii="Times New Roman" w:eastAsia="Times New Roman" w:hAnsi="Times New Roman" w:cs="Times New Roman"/>
        </w:rPr>
        <w:t xml:space="preserve"> CPC uveitis</w:t>
      </w:r>
      <w:r w:rsidR="003D34AD">
        <w:rPr>
          <w:rFonts w:ascii="Times New Roman" w:eastAsia="Times New Roman" w:hAnsi="Times New Roman" w:cs="Times New Roman"/>
        </w:rPr>
        <w:t>, seen in 10.8% of the patients</w:t>
      </w:r>
      <w:r>
        <w:rPr>
          <w:rFonts w:ascii="Times New Roman" w:eastAsia="Times New Roman" w:hAnsi="Times New Roman" w:cs="Times New Roman"/>
        </w:rPr>
        <w:t xml:space="preserve"> </w:t>
      </w:r>
      <w:r w:rsidR="003D34AD">
        <w:rPr>
          <w:rFonts w:ascii="Times New Roman" w:eastAsia="Times New Roman" w:hAnsi="Times New Roman" w:cs="Times New Roman"/>
        </w:rPr>
        <w:t>and resolved with topical corticosteroids</w:t>
      </w:r>
      <w:r w:rsidR="00DA67D2" w:rsidRPr="00A96836">
        <w:rPr>
          <w:rFonts w:ascii="Times New Roman" w:eastAsia="Times New Roman" w:hAnsi="Times New Roman" w:cs="Times New Roman"/>
        </w:rPr>
        <w:t xml:space="preserve">. </w:t>
      </w:r>
      <w:r w:rsidR="003D34AD">
        <w:rPr>
          <w:rFonts w:ascii="Times New Roman" w:eastAsia="Times New Roman" w:hAnsi="Times New Roman" w:cs="Times New Roman"/>
        </w:rPr>
        <w:t>This aligns with findings from</w:t>
      </w:r>
      <w:r w:rsidR="00DA67D2" w:rsidRPr="00A96836">
        <w:rPr>
          <w:rFonts w:ascii="Times New Roman" w:eastAsia="Times New Roman" w:hAnsi="Times New Roman" w:cs="Times New Roman"/>
        </w:rPr>
        <w:t xml:space="preserve"> </w:t>
      </w:r>
      <w:r w:rsidR="00450B9A" w:rsidRPr="00A96836">
        <w:rPr>
          <w:rFonts w:ascii="Times New Roman" w:eastAsia="Times New Roman" w:hAnsi="Times New Roman" w:cs="Times New Roman"/>
        </w:rPr>
        <w:fldChar w:fldCharType="begin" w:fldLock="1"/>
      </w:r>
      <w:r w:rsidR="00DB630F">
        <w:rPr>
          <w:rFonts w:ascii="Times New Roman" w:eastAsia="Times New Roman" w:hAnsi="Times New Roman" w:cs="Times New Roman"/>
        </w:rPr>
        <w:instrText>ADDIN CSL_CITATION {"citationItems":[{"id":"ITEM-1","itemData":{"author":[{"dropping-particle":"","family":"Thomas","given":"Jason Peter","non-dropping-particle":"","parse-names":false,"suffix":""}],"id":"ITEM-1","issue":"April","issued":{"date-parts":[["2022"]]},"title":"The Efficacy and Safety of Diode Laser Cycloablation in the Treatment of Refractory Glaucoma in a South African Population","type":"article-journal"},"uris":["http://www.mendeley.com/documents/?uuid=2499368a-b5f6-4170-9728-4fcc3c744ed4"]}],"mendeley":{"formattedCitation":"(15)","plainTextFormattedCitation":"(15)","previouslyFormattedCitation":"(15)"},"properties":{"noteIndex":0},"schema":"https://github.com/citation-style-language/schema/raw/master/csl-citation.json"}</w:instrText>
      </w:r>
      <w:r w:rsidR="00450B9A" w:rsidRPr="00A96836">
        <w:rPr>
          <w:rFonts w:ascii="Times New Roman" w:eastAsia="Times New Roman" w:hAnsi="Times New Roman" w:cs="Times New Roman"/>
        </w:rPr>
        <w:fldChar w:fldCharType="separate"/>
      </w:r>
      <w:r w:rsidR="006F2937" w:rsidRPr="006F2937">
        <w:rPr>
          <w:rFonts w:ascii="Times New Roman" w:eastAsia="Times New Roman" w:hAnsi="Times New Roman" w:cs="Times New Roman"/>
          <w:noProof/>
        </w:rPr>
        <w:t>(15)</w:t>
      </w:r>
      <w:r w:rsidR="00450B9A" w:rsidRPr="00A96836">
        <w:rPr>
          <w:rFonts w:ascii="Times New Roman" w:eastAsia="Times New Roman" w:hAnsi="Times New Roman" w:cs="Times New Roman"/>
        </w:rPr>
        <w:fldChar w:fldCharType="end"/>
      </w:r>
      <w:r w:rsidR="00DA67D2" w:rsidRPr="00A96836">
        <w:rPr>
          <w:rFonts w:ascii="Times New Roman" w:eastAsia="Times New Roman" w:hAnsi="Times New Roman" w:cs="Times New Roman"/>
        </w:rPr>
        <w:t xml:space="preserve">, </w:t>
      </w:r>
      <w:r w:rsidR="00450B9A" w:rsidRPr="00A96836">
        <w:rPr>
          <w:rFonts w:ascii="Times New Roman" w:eastAsia="Times New Roman" w:hAnsi="Times New Roman" w:cs="Times New Roman"/>
        </w:rPr>
        <w:fldChar w:fldCharType="begin" w:fldLock="1"/>
      </w:r>
      <w:r w:rsidR="00DB630F">
        <w:rPr>
          <w:rFonts w:ascii="Times New Roman" w:eastAsia="Times New Roman" w:hAnsi="Times New Roman" w:cs="Times New Roman"/>
        </w:rPr>
        <w:instrText>ADDIN CSL_CITATION {"citationItems":[{"id":"ITEM-1","itemData":{"DOI":"10.1007/s10792-021-01697-1","ISBN":"0123456789","ISSN":"15732630","PMID":"33550537","abstract":"Purpose: To evaluate the efficacy and safety of micro-pulse trans-scleral diode laser cyclophotocoagulation (MP-TSCPC) in Indian eyes with refractory glaucoma. Methods: A prospective interventional short-term study was carried out with relatively small sample size of 55 eyes with refractory glaucoma. All eyes had visual acuity (VA) and intraocular pressure (IOP) measurements at baseline, 1 week (1w), 1 month (1 m) and 3 months (3 m). A single surgeon treated all eyes with recommended MP-TSCPC treatment settings. Surgical success was defined as achieving an IOP between 8–21 mmHg or achieving &gt; 20% IOP reduction. Results: The age of participants was 56.98 ± 15.74 years. Our study had more number of males. VA (in logMAR) at baseline was 1.38 ± 0.99. VA was 1.43 ± 0.93 at 1w, 1.47 ± 0.94 at 1 m and 1.47 ± 0.96 at 3 m (p &gt; 0.05 for all). IOP (in mmHg) at baseline was 30.38 ± 10.70. IOP was 15.72 ± 6.85 at 1w, 16.98 ± 8.72 at 1 m and 17.60 ± 8.40 at 3 m (p &lt; 0.001 for all). At 3 m, 49 (89.1%) eyes had surgical success. Surgical success was lesser in primary open angle glaucoma (p = 0.03). IOP at baseline showed significant correlation with percentage reduction in IOP at each review (p &lt; 0.05). Use of glaucoma medication reduced from 2.94 ± 0.98 to 2.01 ± 1.16 at 3 m (p &lt; 0.001). At 3 m, hypotony was noted in 4 (7.3%) eyes and reduction in visual acuity was seen in 15 (27.3%) eyes. Conclusion: Initial experience in Indian eyes has shown that MP-TSCPC is safe and effective for refractory glaucoma. Patients can expect significant IOP lowering along with reduction in number of topical medications required for control of IOP.","author":[{"dropping-particle":"","family":"Ariga","given":"Murali","non-dropping-particle":"","parse-names":false,"suffix":""},{"dropping-particle":"","family":"Nivean","given":"","non-dropping-particle":"","parse-names":false,"suffix":""},{"dropping-particle":"","family":"Nivean","given":"Pratheeba Devi","non-dropping-particle":"","parse-names":false,"suffix":""},{"dropping-particle":"","family":"Madanagopalan","given":"V. G.","non-dropping-particle":"","parse-names":false,"suffix":""},{"dropping-particle":"","family":"Mohan","given":"Sujatha","non-dropping-particle":"","parse-names":false,"suffix":""}],"container-title":"International Ophthalmology","id":"ITEM-1","issue":"8","issued":{"date-parts":[["2021"]]},"page":"2639-2645","publisher":"Springer Netherlands","title":"Micropulse trans-scleral diode laser cyclophotocoagulation in refractory glaucoma: an initial experience in Indian eyes","type":"article-journal","volume":"41"},"uris":["http://www.mendeley.com/documents/?uuid=2e5c744e-2375-453a-b414-c90b250d86f1"]}],"mendeley":{"formattedCitation":"(20)","plainTextFormattedCitation":"(20)","previouslyFormattedCitation":"(20)"},"properties":{"noteIndex":0},"schema":"https://github.com/citation-style-language/schema/raw/master/csl-citation.json"}</w:instrText>
      </w:r>
      <w:r w:rsidR="00450B9A" w:rsidRPr="00A96836">
        <w:rPr>
          <w:rFonts w:ascii="Times New Roman" w:eastAsia="Times New Roman" w:hAnsi="Times New Roman" w:cs="Times New Roman"/>
        </w:rPr>
        <w:fldChar w:fldCharType="separate"/>
      </w:r>
      <w:r w:rsidR="006F2937" w:rsidRPr="006F2937">
        <w:rPr>
          <w:rFonts w:ascii="Times New Roman" w:eastAsia="Times New Roman" w:hAnsi="Times New Roman" w:cs="Times New Roman"/>
          <w:noProof/>
        </w:rPr>
        <w:t>(20)</w:t>
      </w:r>
      <w:r w:rsidR="00450B9A" w:rsidRPr="00A96836">
        <w:rPr>
          <w:rFonts w:ascii="Times New Roman" w:eastAsia="Times New Roman" w:hAnsi="Times New Roman" w:cs="Times New Roman"/>
        </w:rPr>
        <w:fldChar w:fldCharType="end"/>
      </w:r>
      <w:r w:rsidR="00450B9A" w:rsidRPr="00A96836">
        <w:rPr>
          <w:rFonts w:ascii="Times New Roman" w:eastAsia="Times New Roman" w:hAnsi="Times New Roman" w:cs="Times New Roman"/>
        </w:rPr>
        <w:t xml:space="preserve"> </w:t>
      </w:r>
      <w:r w:rsidR="00DA67D2" w:rsidRPr="00A96836">
        <w:rPr>
          <w:rFonts w:ascii="Times New Roman" w:eastAsia="Times New Roman" w:hAnsi="Times New Roman" w:cs="Times New Roman"/>
        </w:rPr>
        <w:t xml:space="preserve"> </w:t>
      </w:r>
      <w:r w:rsidR="003D34AD">
        <w:rPr>
          <w:rFonts w:ascii="Times New Roman" w:eastAsia="Times New Roman" w:hAnsi="Times New Roman" w:cs="Times New Roman"/>
        </w:rPr>
        <w:t xml:space="preserve">and </w:t>
      </w:r>
      <w:r w:rsidR="00450B9A" w:rsidRPr="00A96836">
        <w:rPr>
          <w:rFonts w:ascii="Times New Roman" w:eastAsia="Times New Roman" w:hAnsi="Times New Roman" w:cs="Times New Roman"/>
        </w:rPr>
        <w:fldChar w:fldCharType="begin" w:fldLock="1"/>
      </w:r>
      <w:r w:rsidR="00DB630F">
        <w:rPr>
          <w:rFonts w:ascii="Times New Roman" w:eastAsia="Times New Roman" w:hAnsi="Times New Roman" w:cs="Times New Roman"/>
        </w:rPr>
        <w:instrText>ADDIN CSL_CITATION {"citationItems":[{"id":"ITEM-1","itemData":{"DOI":"10.1177/1120672119877586","ISSN":"17246016","PMID":"31544505","abstract":"Purpose: To assess the efficacy and safety of a standardized micropulse transscleral diode laser cyclophotocoagulation procedure in refractory glaucoma. Methods: Retrospective, interventional study in a series of 37 consecutive patients with refractory glaucoma, cyclodestructive procedure-naive, who underwent micropulse transscleral diode laser cyclophotocoagulation from December 2016 to October 2017. A successful laser treatment was defined as (1) intraocular pressure between 6 and 18 mm Hg; (2) 20% of baseline intraocular pressure reduction; (3) no additional glaucoma medications; (4) no decrease in vision due to complications or change in intraocular pressure; and (5) no need for additional glaucoma surgery except micropulse transscleral diode laser cyclophotocoagulation retreatment. Results: Mean age was 60.2 years. Mean follow-up was 9.7 ± 3.9 months. The mean preoperative intraocular pressure (28.7 mm Hg) significantly decreased to 21.0 mm Hg at 1 month, 18.5 mm Hg at 3 months, 18.4 mm Hg at 6 months, and 18.5 mm Hg at 12 months (p &lt; 0.01 at all time points). The mean number of preoperative glaucoma medications (4.7) decreased to 4.0 at 1 month (p = 0.14), 4.5 at 3 months (p &lt; 0.05), 3.9 at 6 months (p &lt; 0.05), and 3.6 at 12 months (p &lt; 0.05). At 1 year, the success rate was 35% with a mean intraocular pressure lowering of 36%. One patient had hypotony and a loss of best-corrected visual acuity. Mild transient postoperative inflammation was observed in 8% of the cases. Conclusion: Using a standardized procedure, micropulse transscleral diode laser cyclophotocoagulation allows a mild intraocular pressure decrease with a low rate of complications and thus achieves a relatively good profit risk benefit, mostly for moderately hypertensive refractory glaucoma.","author":[{"dropping-particle":"","family":"Souissi","given":"Soufiane","non-dropping-particle":"","parse-names":false,"suffix":""},{"dropping-particle":"","family":"Baudouin","given":"Christophe","non-dropping-particle":"","parse-names":false,"suffix":""},{"dropping-particle":"","family":"Labbé","given":"Antoine","non-dropping-particle":"","parse-names":false,"suffix":""},{"dropping-particle":"","family":"Hamard","given":"Pascale","non-dropping-particle":"","parse-names":false,"suffix":""}],"container-title":"European Journal of Ophthalmology","id":"ITEM-1","issue":"1","issued":{"date-parts":[["2021"]]},"page":"112-119","title":"Micropulse transscleral cyclophotocoagulation using a standard protocol in patients with refractory glaucoma naive of cyclodestruction","type":"article-journal","volume":"31"},"uris":["http://www.mendeley.com/documents/?uuid=c909ad77-ab1f-4285-84a3-03992f234326"]}],"mendeley":{"formattedCitation":"(11)","plainTextFormattedCitation":"(11)","previouslyFormattedCitation":"(11)"},"properties":{"noteIndex":0},"schema":"https://github.com/citation-style-language/schema/raw/master/csl-citation.json"}</w:instrText>
      </w:r>
      <w:r w:rsidR="00450B9A" w:rsidRPr="00A96836">
        <w:rPr>
          <w:rFonts w:ascii="Times New Roman" w:eastAsia="Times New Roman" w:hAnsi="Times New Roman" w:cs="Times New Roman"/>
        </w:rPr>
        <w:fldChar w:fldCharType="separate"/>
      </w:r>
      <w:r w:rsidR="006F2937" w:rsidRPr="006F2937">
        <w:rPr>
          <w:rFonts w:ascii="Times New Roman" w:eastAsia="Times New Roman" w:hAnsi="Times New Roman" w:cs="Times New Roman"/>
          <w:noProof/>
        </w:rPr>
        <w:t>(11)</w:t>
      </w:r>
      <w:r w:rsidR="00450B9A" w:rsidRPr="00A96836">
        <w:rPr>
          <w:rFonts w:ascii="Times New Roman" w:eastAsia="Times New Roman" w:hAnsi="Times New Roman" w:cs="Times New Roman"/>
        </w:rPr>
        <w:fldChar w:fldCharType="end"/>
      </w:r>
      <w:r w:rsidR="00DA67D2" w:rsidRPr="00A96836">
        <w:rPr>
          <w:rFonts w:ascii="Times New Roman" w:eastAsia="Times New Roman" w:hAnsi="Times New Roman" w:cs="Times New Roman"/>
        </w:rPr>
        <w:t xml:space="preserve">, </w:t>
      </w:r>
      <w:r w:rsidR="003D34AD">
        <w:rPr>
          <w:rFonts w:ascii="Times New Roman" w:eastAsia="Times New Roman" w:hAnsi="Times New Roman" w:cs="Times New Roman"/>
        </w:rPr>
        <w:t xml:space="preserve">all of whom reported transient inflammatory  responses following CPC. </w:t>
      </w:r>
    </w:p>
    <w:p w14:paraId="03A3E9E4" w14:textId="4253FD4F" w:rsidR="00DA67D2" w:rsidRPr="00A96836" w:rsidRDefault="003D34AD" w:rsidP="00A96836">
      <w:pPr>
        <w:spacing w:before="100" w:beforeAutospacing="1" w:after="100" w:afterAutospacing="1" w:line="360" w:lineRule="auto"/>
        <w:jc w:val="both"/>
        <w:rPr>
          <w:rFonts w:ascii="Times New Roman" w:eastAsia="Times New Roman" w:hAnsi="Times New Roman" w:cs="Times New Roman"/>
        </w:rPr>
      </w:pPr>
      <w:r>
        <w:rPr>
          <w:rFonts w:ascii="Times New Roman" w:eastAsia="Times New Roman" w:hAnsi="Times New Roman" w:cs="Times New Roman"/>
        </w:rPr>
        <w:t xml:space="preserve">Cystoid macular edema (CME), particularly in patients with diabetic retinopathy or prior retinal treatment </w:t>
      </w:r>
      <w:r w:rsidR="00553AEA">
        <w:rPr>
          <w:rFonts w:ascii="Times New Roman" w:eastAsia="Times New Roman" w:hAnsi="Times New Roman" w:cs="Times New Roman"/>
        </w:rPr>
        <w:t>was the second most prevalent</w:t>
      </w:r>
      <w:r w:rsidR="00025155">
        <w:rPr>
          <w:rFonts w:ascii="Times New Roman" w:eastAsia="Times New Roman" w:hAnsi="Times New Roman" w:cs="Times New Roman"/>
        </w:rPr>
        <w:t>,</w:t>
      </w:r>
      <w:r w:rsidR="00553AEA">
        <w:rPr>
          <w:rFonts w:ascii="Times New Roman" w:eastAsia="Times New Roman" w:hAnsi="Times New Roman" w:cs="Times New Roman"/>
        </w:rPr>
        <w:t xml:space="preserve"> affecting 8.1% of the patients. A few patients required intravitreal steroids, and two experienced persistent </w:t>
      </w:r>
      <w:r w:rsidR="00025155">
        <w:rPr>
          <w:rFonts w:ascii="Times New Roman" w:eastAsia="Times New Roman" w:hAnsi="Times New Roman" w:cs="Times New Roman"/>
        </w:rPr>
        <w:t>edemas</w:t>
      </w:r>
      <w:r w:rsidR="00553AEA">
        <w:rPr>
          <w:rFonts w:ascii="Times New Roman" w:eastAsia="Times New Roman" w:hAnsi="Times New Roman" w:cs="Times New Roman"/>
        </w:rPr>
        <w:t xml:space="preserve"> with subsequent vision loss. </w:t>
      </w:r>
      <w:r w:rsidR="00982F90">
        <w:rPr>
          <w:rFonts w:ascii="Times New Roman" w:eastAsia="Times New Roman" w:hAnsi="Times New Roman" w:cs="Times New Roman"/>
        </w:rPr>
        <w:t xml:space="preserve">These findings necessitate the importance of pre operative screening and risk </w:t>
      </w:r>
      <w:r w:rsidR="005F6672">
        <w:rPr>
          <w:rFonts w:ascii="Times New Roman" w:eastAsia="Times New Roman" w:hAnsi="Times New Roman" w:cs="Times New Roman"/>
        </w:rPr>
        <w:t>assessment particularly in patients with known macular vulnerabilities.</w:t>
      </w:r>
      <w:r w:rsidR="00982F90">
        <w:rPr>
          <w:rFonts w:ascii="Times New Roman" w:eastAsia="Times New Roman" w:hAnsi="Times New Roman" w:cs="Times New Roman"/>
        </w:rPr>
        <w:t xml:space="preserve"> </w:t>
      </w:r>
    </w:p>
    <w:p w14:paraId="425088B3" w14:textId="59527A72" w:rsidR="00DA67D2" w:rsidRPr="00A96836" w:rsidRDefault="005F6672" w:rsidP="00A96836">
      <w:pPr>
        <w:spacing w:before="100" w:beforeAutospacing="1" w:after="100" w:afterAutospacing="1" w:line="360" w:lineRule="auto"/>
        <w:jc w:val="both"/>
        <w:rPr>
          <w:rFonts w:ascii="Times New Roman" w:eastAsia="Times New Roman" w:hAnsi="Times New Roman" w:cs="Times New Roman"/>
        </w:rPr>
      </w:pPr>
      <w:r>
        <w:rPr>
          <w:rFonts w:ascii="Times New Roman" w:eastAsia="Times New Roman" w:hAnsi="Times New Roman" w:cs="Times New Roman"/>
        </w:rPr>
        <w:t xml:space="preserve">Hypotony occurred in 2.7% of patients but was transient with no cases of phthisis bulbi at three months. Continued follow up is warranted to monitor for long term sequelae. These complications align with those reported by </w:t>
      </w:r>
      <w:r w:rsidR="00450B9A" w:rsidRPr="00A96836">
        <w:rPr>
          <w:rFonts w:ascii="Times New Roman" w:eastAsia="Times New Roman" w:hAnsi="Times New Roman" w:cs="Times New Roman"/>
        </w:rPr>
        <w:fldChar w:fldCharType="begin" w:fldLock="1"/>
      </w:r>
      <w:r w:rsidR="00DB630F">
        <w:rPr>
          <w:rFonts w:ascii="Times New Roman" w:eastAsia="Times New Roman" w:hAnsi="Times New Roman" w:cs="Times New Roman"/>
        </w:rPr>
        <w:instrText>ADDIN CSL_CITATION {"citationItems":[{"id":"ITEM-1","itemData":{"DOI":"10.1097/IJG.0000000000001008","ISBN":"0000000000","ISSN":"1536481X","PMID":"29916995","abstract":"Purpose: To compare outcomes of transscleral diode cyclophotocoagulation with the treatment parameters used. Patients and Methods: This was a retrospective chart review of a random, 50% sample of diode procedures using the G-probe over 10 years for uncontrolled glaucoma. The main outcome measure was intraocular pressure (IOP) reduction by 20% and final IOP≤21 mm Hg. Results: In 236 eyes (persons) treated by 5 glaucoma specialists, most eyes had severe glaucoma, with 75% having &lt;20/200 acuity. Median follow-up was 2.7 years. In eyes receiving only 1 treatment, IOP success criterion was met in 72% (129/180). Success was significantly related to power per delivery and median total joules per treatment (successes=135 J, failures=98 J; P=0.0009), but not to number of deliveries, nor to extent of circumference treated. Greater success was associated with 3 or 4 second duration per delivery, power level based on audible cues, and firm pressure on the sclera. Using a standard 2000 mW, 2 seconds, 20 deliveries in each eye had the lowest success (49%). Of those with no preoperative pain, 40 persons (57%) had no postoperative pain, whereas 20 reported pain of 1-3/10 (29%). Phthisis occurred in 7 eyes (3%), 5 of which had severe secondary eye disease. Nine eyes had no light perception preoperatively, whereas 50 eyes were no light perception at last follow-up, many after additional surgeries for other conditions. Conclusions: Diode cyclophotocoagulation achieved reasonable IOP lowering, often without severe postoperative pain or complication. Greater success was achieved when audible effects were used to tailor the power settings to individual responses. Diode treatments with no intraoperative effect adjustment or using standardized protocols may not achieve optimal success.","author":[{"dropping-particle":"","family":"Quigley","given":"Harry A.","non-dropping-particle":"","parse-names":false,"suffix":""}],"container-title":"Journal of Glaucoma","id":"ITEM-1","issue":"8","issued":{"date-parts":[["2018"]]},"page":"674-681","title":"Improved Outcomes for Transscleral Cyclophotocoagulation Through Optimized Treatment Parameters","type":"article-journal","volume":"27"},"uris":["http://www.mendeley.com/documents/?uuid=9e49c1c1-eb36-41fc-be77-c837cced8563"]}],"mendeley":{"formattedCitation":"(10)","plainTextFormattedCitation":"(10)","previouslyFormattedCitation":"(10)"},"properties":{"noteIndex":0},"schema":"https://github.com/citation-style-language/schema/raw/master/csl-citation.json"}</w:instrText>
      </w:r>
      <w:r w:rsidR="00450B9A" w:rsidRPr="00A96836">
        <w:rPr>
          <w:rFonts w:ascii="Times New Roman" w:eastAsia="Times New Roman" w:hAnsi="Times New Roman" w:cs="Times New Roman"/>
        </w:rPr>
        <w:fldChar w:fldCharType="separate"/>
      </w:r>
      <w:r w:rsidR="006F2937" w:rsidRPr="006F2937">
        <w:rPr>
          <w:rFonts w:ascii="Times New Roman" w:eastAsia="Times New Roman" w:hAnsi="Times New Roman" w:cs="Times New Roman"/>
          <w:noProof/>
        </w:rPr>
        <w:t>(10)</w:t>
      </w:r>
      <w:r w:rsidR="00450B9A" w:rsidRPr="00A96836">
        <w:rPr>
          <w:rFonts w:ascii="Times New Roman" w:eastAsia="Times New Roman" w:hAnsi="Times New Roman" w:cs="Times New Roman"/>
        </w:rPr>
        <w:fldChar w:fldCharType="end"/>
      </w:r>
      <w:r w:rsidR="00DA67D2" w:rsidRPr="00A96836">
        <w:rPr>
          <w:rFonts w:ascii="Times New Roman" w:eastAsia="Times New Roman" w:hAnsi="Times New Roman" w:cs="Times New Roman"/>
        </w:rPr>
        <w:t xml:space="preserve">, </w:t>
      </w:r>
      <w:r w:rsidR="00450B9A" w:rsidRPr="00A96836">
        <w:rPr>
          <w:rFonts w:ascii="Times New Roman" w:eastAsia="Times New Roman" w:hAnsi="Times New Roman" w:cs="Times New Roman"/>
        </w:rPr>
        <w:fldChar w:fldCharType="begin" w:fldLock="1"/>
      </w:r>
      <w:r w:rsidR="00DB630F">
        <w:rPr>
          <w:rFonts w:ascii="Times New Roman" w:eastAsia="Times New Roman" w:hAnsi="Times New Roman" w:cs="Times New Roman"/>
        </w:rPr>
        <w:instrText>ADDIN CSL_CITATION {"citationItems":[{"id":"ITEM-1","itemData":{"DOI":"10.1111/ceo.13328","ISSN":"14429071","PMID":"29808573","abstract":"Importance: To investigate the safety, effectiveness and follow-up rates after transscleral diode laser cyclophotocoagulation as primary treatment for seeing eyes with primary open angle glaucoma in Bauchi, Nigeria. Background: There is a high prevalence of primary open angle glaucoma in Africa where adherence to medical treatment and acceptance of surgery are poor. Design: Prospective case series. Participants: New glaucoma patients where surgical intervention was recommended. Methods: A diode 810 nm laser G-probe was used under retrobulbar anaesthesia to deliver approximately 20 shots for 2000 ms, titrating the power. If both eyes were treated the first was the study eye. Repeat treatment offered if the intraocular pressure (IOP) was &gt;21 mmHg on two consecutive visits. Main Outcome Measures: IOP &lt; 22 mmHg, change in ≥2 lines of Snellen visual acuity (VA), and complications. Results: 201 out of 204 eyes with complete data analysed. Mean age 52 years, 17 (8.3%) eyes were re-treated. Mean pre-treatment IOP was 39 (SD 11) mmHg. 106 (53%) attended at 12 months when the mean IOP was 19 (7–45) mmHg; 77 (73%) had IOP &lt; 22 mmHg. VAs were better in 13 (12.3%) and worse in 23 (21.7%) eyes. Postoperative complications included mild uveitis (5.5%), corneal oedema (2.5%), severe uveitis (0.5%) and transient hypotony (2.0%). No hypotony at 12 months. Conclusions and Relevance: Transscleral diode laser cyclophotocoagulation controlled IOP in almost three quarters of eyes at 12 months with short-term preservation of vision and minimal complications. Poor follow-up in this setting highlights the need for an effective, safe and acceptable treatment where regular follow-up is less critical.","author":[{"dropping-particle":"","family":"Abdull","given":"Mohammed M.","non-dropping-particle":"","parse-names":false,"suffix":""},{"dropping-particle":"","family":"Broadway","given":"David C.","non-dropping-particle":"","parse-names":false,"suffix":""},{"dropping-particle":"","family":"Evans","given":"Jennifer","non-dropping-particle":"","parse-names":false,"suffix":""},{"dropping-particle":"","family":"Kyari","given":"Fatima","non-dropping-particle":"","parse-names":false,"suffix":""},{"dropping-particle":"","family":"Muazu","given":"Fatima","non-dropping-particle":"","parse-names":false,"suffix":""},{"dropping-particle":"","family":"Gilbert","given":"Clare","non-dropping-particle":"","parse-names":false,"suffix":""}],"container-title":"Clinical and Experimental Ophthalmology","id":"ITEM-1","issue":"9","issued":{"date-parts":[["2018"]]},"page":"1041-1047","title":"Safety and effectiveness of primary transscleral diode laser cyclophotoablation for glaucoma in Nigeria","type":"article-journal","volume":"46"},"uris":["http://www.mendeley.com/documents/?uuid=5a405e76-4b11-4549-859b-ff72fd6c906a"]}],"mendeley":{"formattedCitation":"(17)","plainTextFormattedCitation":"(17)","previouslyFormattedCitation":"(17)"},"properties":{"noteIndex":0},"schema":"https://github.com/citation-style-language/schema/raw/master/csl-citation.json"}</w:instrText>
      </w:r>
      <w:r w:rsidR="00450B9A" w:rsidRPr="00A96836">
        <w:rPr>
          <w:rFonts w:ascii="Times New Roman" w:eastAsia="Times New Roman" w:hAnsi="Times New Roman" w:cs="Times New Roman"/>
        </w:rPr>
        <w:fldChar w:fldCharType="separate"/>
      </w:r>
      <w:r w:rsidR="006F2937" w:rsidRPr="006F2937">
        <w:rPr>
          <w:rFonts w:ascii="Times New Roman" w:eastAsia="Times New Roman" w:hAnsi="Times New Roman" w:cs="Times New Roman"/>
          <w:noProof/>
        </w:rPr>
        <w:t>(17)</w:t>
      </w:r>
      <w:r w:rsidR="00450B9A" w:rsidRPr="00A96836">
        <w:rPr>
          <w:rFonts w:ascii="Times New Roman" w:eastAsia="Times New Roman" w:hAnsi="Times New Roman" w:cs="Times New Roman"/>
        </w:rPr>
        <w:fldChar w:fldCharType="end"/>
      </w:r>
      <w:r w:rsidR="00450B9A" w:rsidRPr="00A96836">
        <w:rPr>
          <w:rFonts w:ascii="Times New Roman" w:eastAsia="Times New Roman" w:hAnsi="Times New Roman" w:cs="Times New Roman"/>
        </w:rPr>
        <w:t xml:space="preserve"> </w:t>
      </w:r>
      <w:r w:rsidR="00DA67D2" w:rsidRPr="00A96836">
        <w:rPr>
          <w:rFonts w:ascii="Times New Roman" w:eastAsia="Times New Roman" w:hAnsi="Times New Roman" w:cs="Times New Roman"/>
        </w:rPr>
        <w:t xml:space="preserve">and </w:t>
      </w:r>
      <w:r w:rsidR="00450B9A" w:rsidRPr="00A96836">
        <w:rPr>
          <w:rFonts w:ascii="Times New Roman" w:eastAsia="Times New Roman" w:hAnsi="Times New Roman" w:cs="Times New Roman"/>
        </w:rPr>
        <w:fldChar w:fldCharType="begin" w:fldLock="1"/>
      </w:r>
      <w:r w:rsidR="00DB630F">
        <w:rPr>
          <w:rFonts w:ascii="Times New Roman" w:eastAsia="Times New Roman" w:hAnsi="Times New Roman" w:cs="Times New Roman"/>
        </w:rPr>
        <w:instrText>ADDIN CSL_CITATION {"citationItems":[{"id":"ITEM-1","itemData":{"author":[{"dropping-particle":"","family":"Thomas","given":"Jason Peter","non-dropping-particle":"","parse-names":false,"suffix":""}],"id":"ITEM-1","issue":"April","issued":{"date-parts":[["2022"]]},"title":"The Efficacy and Safety of Diode Laser Cycloablation in the Treatment of Refractory Glaucoma in a South African Population","type":"article-journal"},"uris":["http://www.mendeley.com/documents/?uuid=2499368a-b5f6-4170-9728-4fcc3c744ed4"]}],"mendeley":{"formattedCitation":"(15)","plainTextFormattedCitation":"(15)","previouslyFormattedCitation":"(15)"},"properties":{"noteIndex":0},"schema":"https://github.com/citation-style-language/schema/raw/master/csl-citation.json"}</w:instrText>
      </w:r>
      <w:r w:rsidR="00450B9A" w:rsidRPr="00A96836">
        <w:rPr>
          <w:rFonts w:ascii="Times New Roman" w:eastAsia="Times New Roman" w:hAnsi="Times New Roman" w:cs="Times New Roman"/>
        </w:rPr>
        <w:fldChar w:fldCharType="separate"/>
      </w:r>
      <w:r w:rsidR="006F2937" w:rsidRPr="006F2937">
        <w:rPr>
          <w:rFonts w:ascii="Times New Roman" w:eastAsia="Times New Roman" w:hAnsi="Times New Roman" w:cs="Times New Roman"/>
          <w:noProof/>
        </w:rPr>
        <w:t>(15)</w:t>
      </w:r>
      <w:r w:rsidR="00450B9A" w:rsidRPr="00A96836">
        <w:rPr>
          <w:rFonts w:ascii="Times New Roman" w:eastAsia="Times New Roman" w:hAnsi="Times New Roman" w:cs="Times New Roman"/>
        </w:rPr>
        <w:fldChar w:fldCharType="end"/>
      </w:r>
      <w:r w:rsidR="00DA67D2" w:rsidRPr="00A96836">
        <w:rPr>
          <w:rFonts w:ascii="Times New Roman" w:eastAsia="Times New Roman" w:hAnsi="Times New Roman" w:cs="Times New Roman"/>
        </w:rPr>
        <w:t xml:space="preserve">, </w:t>
      </w:r>
      <w:r>
        <w:rPr>
          <w:rFonts w:ascii="Times New Roman" w:eastAsia="Times New Roman" w:hAnsi="Times New Roman" w:cs="Times New Roman"/>
        </w:rPr>
        <w:t xml:space="preserve">who noted transient hypotony as  a potential but relatively uncommon </w:t>
      </w:r>
      <w:r w:rsidR="00DA209B">
        <w:rPr>
          <w:rFonts w:ascii="Times New Roman" w:eastAsia="Times New Roman" w:hAnsi="Times New Roman" w:cs="Times New Roman"/>
        </w:rPr>
        <w:t>consequence of CPC.</w:t>
      </w:r>
    </w:p>
    <w:p w14:paraId="4AB8E276" w14:textId="61D4FC60" w:rsidR="00FE03EC" w:rsidRPr="00A96836" w:rsidRDefault="00DA209B" w:rsidP="00A96836">
      <w:pPr>
        <w:spacing w:before="100" w:beforeAutospacing="1" w:after="100" w:afterAutospacing="1" w:line="360" w:lineRule="auto"/>
        <w:jc w:val="both"/>
        <w:rPr>
          <w:rFonts w:ascii="Times New Roman" w:eastAsia="Times New Roman" w:hAnsi="Times New Roman" w:cs="Times New Roman"/>
        </w:rPr>
      </w:pPr>
      <w:r>
        <w:rPr>
          <w:rFonts w:ascii="Times New Roman" w:eastAsia="Times New Roman" w:hAnsi="Times New Roman" w:cs="Times New Roman"/>
        </w:rPr>
        <w:t xml:space="preserve">This study </w:t>
      </w:r>
      <w:r w:rsidR="00912107">
        <w:rPr>
          <w:rFonts w:ascii="Times New Roman" w:eastAsia="Times New Roman" w:hAnsi="Times New Roman" w:cs="Times New Roman"/>
        </w:rPr>
        <w:t xml:space="preserve">findings reinforce the efficacy of limited CPC in reducing IOP among patients with refractory glaucoma, while also highlighting the role of baseline characteristics and comorbidities in determining outcomes. The treatment success rates, complications and predictive factors observed in this Tanzanian cohort are broadly consistent with those documented in other geographic and clinical settings, adding to the growing body of evidence supporting CPC as a practical option in glaucoma management. However, careful patient </w:t>
      </w:r>
      <w:r w:rsidR="00912107">
        <w:rPr>
          <w:rFonts w:ascii="Times New Roman" w:eastAsia="Times New Roman" w:hAnsi="Times New Roman" w:cs="Times New Roman"/>
        </w:rPr>
        <w:lastRenderedPageBreak/>
        <w:t>selection, standardized technique and vigilant post procedure monitoring remain essential to maximize</w:t>
      </w:r>
      <w:r w:rsidR="002B2210">
        <w:rPr>
          <w:rFonts w:ascii="Times New Roman" w:eastAsia="Times New Roman" w:hAnsi="Times New Roman" w:cs="Times New Roman"/>
        </w:rPr>
        <w:t xml:space="preserve"> efficacy and minimize risks.</w:t>
      </w:r>
      <w:r w:rsidR="00DA67D2" w:rsidRPr="00A96836">
        <w:rPr>
          <w:rFonts w:ascii="Times New Roman" w:eastAsia="Times New Roman" w:hAnsi="Times New Roman" w:cs="Times New Roman"/>
        </w:rPr>
        <w:t xml:space="preserve"> </w:t>
      </w:r>
      <w:bookmarkStart w:id="12" w:name="_Toc199960657"/>
    </w:p>
    <w:p w14:paraId="4541EDA0" w14:textId="77777777" w:rsidR="00FE03EC" w:rsidRPr="00A96836" w:rsidRDefault="00FE03EC" w:rsidP="00A96836">
      <w:pPr>
        <w:pStyle w:val="Heading2"/>
        <w:spacing w:line="360" w:lineRule="auto"/>
        <w:jc w:val="both"/>
        <w:rPr>
          <w:rFonts w:ascii="Times New Roman" w:eastAsia="Times New Roman" w:hAnsi="Times New Roman" w:cs="Times New Roman"/>
          <w:b/>
          <w:color w:val="000000"/>
          <w:sz w:val="24"/>
          <w:szCs w:val="24"/>
        </w:rPr>
      </w:pPr>
    </w:p>
    <w:p w14:paraId="4D8F7DB0" w14:textId="77777777" w:rsidR="00FE03EC" w:rsidRPr="00A96836" w:rsidRDefault="00FE03EC" w:rsidP="00A96836">
      <w:pPr>
        <w:pStyle w:val="Heading2"/>
        <w:spacing w:line="360" w:lineRule="auto"/>
        <w:jc w:val="both"/>
        <w:rPr>
          <w:rFonts w:ascii="Times New Roman" w:eastAsia="Times New Roman" w:hAnsi="Times New Roman" w:cs="Times New Roman"/>
          <w:b/>
          <w:color w:val="000000"/>
          <w:sz w:val="24"/>
          <w:szCs w:val="24"/>
        </w:rPr>
      </w:pPr>
    </w:p>
    <w:p w14:paraId="73E20AE8" w14:textId="6CAC922F" w:rsidR="00FE03EC" w:rsidRPr="00A96836" w:rsidRDefault="00FE03EC" w:rsidP="00A96836">
      <w:pPr>
        <w:pStyle w:val="Heading2"/>
        <w:spacing w:line="360" w:lineRule="auto"/>
        <w:jc w:val="both"/>
        <w:rPr>
          <w:rFonts w:ascii="Times New Roman" w:eastAsia="Times New Roman" w:hAnsi="Times New Roman" w:cs="Times New Roman"/>
          <w:b/>
          <w:color w:val="000000"/>
          <w:sz w:val="24"/>
          <w:szCs w:val="24"/>
        </w:rPr>
      </w:pPr>
      <w:r w:rsidRPr="00A96836">
        <w:rPr>
          <w:rFonts w:ascii="Times New Roman" w:eastAsia="Times New Roman" w:hAnsi="Times New Roman" w:cs="Times New Roman"/>
          <w:b/>
          <w:color w:val="000000"/>
          <w:sz w:val="24"/>
          <w:szCs w:val="24"/>
        </w:rPr>
        <w:t>Conclusion</w:t>
      </w:r>
    </w:p>
    <w:p w14:paraId="44F82C1C" w14:textId="21CAAEDD" w:rsidR="00FE03EC" w:rsidRPr="00A96836" w:rsidRDefault="00FF4F6F" w:rsidP="00FF4F6F">
      <w:pPr>
        <w:pStyle w:val="NormalWeb"/>
        <w:spacing w:line="360" w:lineRule="auto"/>
      </w:pPr>
      <w:r>
        <w:t xml:space="preserve">This study demonstrates that limited TSCPC applied to </w:t>
      </w:r>
      <w:r w:rsidR="00FE03EC" w:rsidRPr="00A96836">
        <w:t xml:space="preserve">180° </w:t>
      </w:r>
      <w:r>
        <w:t>of the ciliary body, offers a moderate but clinically meaningful reduction of IOP among patients with refractory glaucoma. The procedure was generally safe with a low incidence of significant complications, the most common being transient uveitis.</w:t>
      </w:r>
    </w:p>
    <w:p w14:paraId="7FC0FE44" w14:textId="18B090ED" w:rsidR="00FE03EC" w:rsidRPr="00A96836" w:rsidRDefault="00E73919" w:rsidP="00B007FB">
      <w:pPr>
        <w:pStyle w:val="NormalWeb"/>
        <w:spacing w:line="360" w:lineRule="auto"/>
        <w:jc w:val="both"/>
      </w:pPr>
      <w:r>
        <w:t>A success rate of 48.6% was observed, with efficacy closely linked to baseline IOP and the presence of optic disc notching.</w:t>
      </w:r>
      <w:r w:rsidR="00B007FB">
        <w:t xml:space="preserve"> Conversely, patients with ocular comorbidities or advanced optic disc cupping showed reduced treatment success. </w:t>
      </w:r>
      <w:r w:rsidR="00FE03EC" w:rsidRPr="00A96836">
        <w:t xml:space="preserve"> </w:t>
      </w:r>
    </w:p>
    <w:p w14:paraId="59E0D69D" w14:textId="77777777" w:rsidR="007F06EC" w:rsidRDefault="007F06EC" w:rsidP="00A96836">
      <w:pPr>
        <w:pStyle w:val="NormalWeb"/>
        <w:spacing w:line="360" w:lineRule="auto"/>
        <w:jc w:val="both"/>
        <w:rPr>
          <w:b/>
          <w:bCs/>
        </w:rPr>
      </w:pPr>
    </w:p>
    <w:p w14:paraId="199B0CFC" w14:textId="77777777" w:rsidR="007F06EC" w:rsidRDefault="007F06EC" w:rsidP="00A96836">
      <w:pPr>
        <w:pStyle w:val="NormalWeb"/>
        <w:spacing w:line="360" w:lineRule="auto"/>
        <w:jc w:val="both"/>
        <w:rPr>
          <w:b/>
          <w:bCs/>
        </w:rPr>
      </w:pPr>
    </w:p>
    <w:p w14:paraId="048AD1FB" w14:textId="77777777" w:rsidR="007F06EC" w:rsidRDefault="007F06EC" w:rsidP="00A96836">
      <w:pPr>
        <w:pStyle w:val="NormalWeb"/>
        <w:spacing w:line="360" w:lineRule="auto"/>
        <w:jc w:val="both"/>
        <w:rPr>
          <w:b/>
          <w:bCs/>
        </w:rPr>
      </w:pPr>
    </w:p>
    <w:p w14:paraId="6EF4A0F2" w14:textId="77777777" w:rsidR="007F06EC" w:rsidRDefault="007F06EC" w:rsidP="00A96836">
      <w:pPr>
        <w:pStyle w:val="NormalWeb"/>
        <w:spacing w:line="360" w:lineRule="auto"/>
        <w:jc w:val="both"/>
        <w:rPr>
          <w:b/>
          <w:bCs/>
        </w:rPr>
      </w:pPr>
    </w:p>
    <w:p w14:paraId="097231C4" w14:textId="5CA632B8" w:rsidR="004B4309" w:rsidRPr="00A96836" w:rsidRDefault="004B4309" w:rsidP="00A96836">
      <w:pPr>
        <w:pStyle w:val="NormalWeb"/>
        <w:spacing w:line="360" w:lineRule="auto"/>
        <w:jc w:val="both"/>
        <w:rPr>
          <w:b/>
          <w:bCs/>
        </w:rPr>
      </w:pPr>
      <w:r w:rsidRPr="00A96836">
        <w:rPr>
          <w:b/>
          <w:bCs/>
        </w:rPr>
        <w:t>Recommendations</w:t>
      </w:r>
    </w:p>
    <w:bookmarkEnd w:id="12"/>
    <w:p w14:paraId="121B08D8" w14:textId="4E0C6948" w:rsidR="0064616D" w:rsidRPr="00A96836" w:rsidRDefault="00BF193F" w:rsidP="00A96836">
      <w:pPr>
        <w:spacing w:line="360" w:lineRule="auto"/>
        <w:jc w:val="both"/>
        <w:rPr>
          <w:rFonts w:ascii="Times New Roman" w:hAnsi="Times New Roman" w:cs="Times New Roman"/>
        </w:rPr>
      </w:pPr>
      <w:r>
        <w:rPr>
          <w:rFonts w:ascii="Times New Roman" w:hAnsi="Times New Roman" w:cs="Times New Roman"/>
        </w:rPr>
        <w:t xml:space="preserve"> Based on the findings of this study, limited TSCPC can be considered as a viable treatment option for patients with refractory glaucoma, particularly when conventional therapies have failed</w:t>
      </w:r>
      <w:r w:rsidR="004B4309" w:rsidRPr="00A96836">
        <w:rPr>
          <w:rFonts w:ascii="Times New Roman" w:hAnsi="Times New Roman" w:cs="Times New Roman"/>
        </w:rPr>
        <w:t>.</w:t>
      </w:r>
      <w:r w:rsidR="00D208FD">
        <w:rPr>
          <w:rFonts w:ascii="Times New Roman" w:hAnsi="Times New Roman" w:cs="Times New Roman"/>
        </w:rPr>
        <w:t xml:space="preserve"> Performing TSCPC over</w:t>
      </w:r>
      <w:r w:rsidR="004B4309" w:rsidRPr="00A96836">
        <w:rPr>
          <w:rFonts w:ascii="Times New Roman" w:hAnsi="Times New Roman" w:cs="Times New Roman"/>
        </w:rPr>
        <w:t xml:space="preserve"> 180°</w:t>
      </w:r>
      <w:r w:rsidR="00D208FD">
        <w:rPr>
          <w:rFonts w:ascii="Times New Roman" w:hAnsi="Times New Roman" w:cs="Times New Roman"/>
        </w:rPr>
        <w:t xml:space="preserve"> is recommended as a safer alternative to more extensive treatment especially in patients at higher risk for complications. </w:t>
      </w:r>
      <w:r w:rsidR="00090E26">
        <w:rPr>
          <w:rFonts w:ascii="Times New Roman" w:hAnsi="Times New Roman" w:cs="Times New Roman"/>
        </w:rPr>
        <w:t xml:space="preserve"> Future research should focus on optimizing laser parameters such as energy settings, pulse duration and number of burns to improve efficacy while reducing adverse effects. Long term follow-up studies are also essential to evaluate sustained IOP control, retreatment rates and late onset complications. </w:t>
      </w:r>
      <w:r w:rsidR="004B4309" w:rsidRPr="00A96836">
        <w:rPr>
          <w:rFonts w:ascii="Times New Roman" w:hAnsi="Times New Roman" w:cs="Times New Roman"/>
        </w:rPr>
        <w:t xml:space="preserve"> </w:t>
      </w:r>
    </w:p>
    <w:p w14:paraId="3328338E" w14:textId="284EA548" w:rsidR="00672DCF" w:rsidRPr="00A96836" w:rsidRDefault="00672DCF" w:rsidP="00A96836">
      <w:pPr>
        <w:spacing w:line="360" w:lineRule="auto"/>
        <w:jc w:val="both"/>
        <w:rPr>
          <w:rFonts w:ascii="Times New Roman" w:hAnsi="Times New Roman" w:cs="Times New Roman"/>
        </w:rPr>
      </w:pPr>
    </w:p>
    <w:p w14:paraId="6C2774B3" w14:textId="40B4E40C" w:rsidR="00672DCF" w:rsidRPr="00A96836" w:rsidRDefault="00672DCF" w:rsidP="00A96836">
      <w:pPr>
        <w:spacing w:line="360" w:lineRule="auto"/>
        <w:jc w:val="both"/>
        <w:rPr>
          <w:rFonts w:ascii="Times New Roman" w:hAnsi="Times New Roman" w:cs="Times New Roman"/>
        </w:rPr>
      </w:pPr>
    </w:p>
    <w:p w14:paraId="45CA8AB6" w14:textId="77777777" w:rsidR="00DD0443" w:rsidRPr="00DD0443" w:rsidRDefault="00DD0443" w:rsidP="00DD0443">
      <w:pPr>
        <w:spacing w:line="360" w:lineRule="auto"/>
        <w:jc w:val="both"/>
        <w:rPr>
          <w:rFonts w:ascii="Times New Roman" w:hAnsi="Times New Roman" w:cs="Times New Roman"/>
        </w:rPr>
      </w:pPr>
      <w:r w:rsidRPr="00DD0443">
        <w:rPr>
          <w:rFonts w:ascii="Times New Roman" w:hAnsi="Times New Roman" w:cs="Times New Roman"/>
        </w:rPr>
        <w:lastRenderedPageBreak/>
        <w:t>COMPETING INTERESTS DISCLAIMER:</w:t>
      </w:r>
    </w:p>
    <w:p w14:paraId="3B6054CE" w14:textId="77777777" w:rsidR="00DD0443" w:rsidRDefault="00DD0443" w:rsidP="00A96836">
      <w:pPr>
        <w:spacing w:line="360" w:lineRule="auto"/>
        <w:jc w:val="both"/>
        <w:rPr>
          <w:rFonts w:ascii="Times New Roman" w:hAnsi="Times New Roman" w:cs="Times New Roman"/>
        </w:rPr>
      </w:pPr>
      <w:r w:rsidRPr="00DD0443">
        <w:rPr>
          <w:rFonts w:ascii="Times New Roman" w:hAnsi="Times New Roman" w:cs="Times New Roman"/>
        </w:rPr>
        <w:t>Authors have declared that they have no known competing financial interests OR non-financial interests OR personal relationships that could have appeared to influence the work reported in this paper.</w:t>
      </w:r>
    </w:p>
    <w:p w14:paraId="5DAC3CE6" w14:textId="77777777" w:rsidR="00425C0A" w:rsidRDefault="00425C0A" w:rsidP="00A96836">
      <w:pPr>
        <w:spacing w:line="360" w:lineRule="auto"/>
        <w:jc w:val="both"/>
        <w:rPr>
          <w:rFonts w:ascii="Times New Roman" w:hAnsi="Times New Roman" w:cs="Times New Roman"/>
        </w:rPr>
      </w:pPr>
    </w:p>
    <w:p w14:paraId="4D25491E" w14:textId="153F605C" w:rsidR="00672DCF" w:rsidRDefault="00DB630F" w:rsidP="00A96836">
      <w:pPr>
        <w:spacing w:line="360" w:lineRule="auto"/>
        <w:jc w:val="both"/>
        <w:rPr>
          <w:rFonts w:ascii="Times New Roman" w:hAnsi="Times New Roman" w:cs="Times New Roman"/>
        </w:rPr>
      </w:pPr>
      <w:r>
        <w:rPr>
          <w:rFonts w:ascii="Times New Roman" w:hAnsi="Times New Roman" w:cs="Times New Roman"/>
        </w:rPr>
        <w:t>REFERENCES</w:t>
      </w:r>
    </w:p>
    <w:p w14:paraId="6CF66701" w14:textId="54135FEE" w:rsidR="00DB630F" w:rsidRPr="00DB630F" w:rsidRDefault="00DB630F" w:rsidP="00DB630F">
      <w:pPr>
        <w:widowControl w:val="0"/>
        <w:autoSpaceDE w:val="0"/>
        <w:autoSpaceDN w:val="0"/>
        <w:adjustRightInd w:val="0"/>
        <w:spacing w:line="360" w:lineRule="auto"/>
        <w:ind w:left="640" w:hanging="640"/>
        <w:rPr>
          <w:rFonts w:ascii="Times New Roman" w:hAnsi="Times New Roman" w:cs="Times New Roman"/>
          <w:noProof/>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Pr="00DB630F">
        <w:rPr>
          <w:rFonts w:ascii="Times New Roman" w:hAnsi="Times New Roman" w:cs="Times New Roman"/>
          <w:noProof/>
        </w:rPr>
        <w:t>1.</w:t>
      </w:r>
      <w:r w:rsidRPr="00DB630F">
        <w:rPr>
          <w:rFonts w:ascii="Times New Roman" w:hAnsi="Times New Roman" w:cs="Times New Roman"/>
          <w:noProof/>
        </w:rPr>
        <w:tab/>
        <w:t>Wagner I V., Stewart MW, Dorairaj SK. Updates on the Diagnosis and Management of Glaucoma. Mayo Clin Proc Innov Qual Outcomes [Internet]. 2022;6(6):618–35. Available from: https://doi.org/10.1016/j.mayocpiqo.2022.09.007</w:t>
      </w:r>
    </w:p>
    <w:p w14:paraId="43DA856D" w14:textId="77777777" w:rsidR="00DB630F" w:rsidRPr="00DB630F" w:rsidRDefault="00DB630F" w:rsidP="00DB630F">
      <w:pPr>
        <w:widowControl w:val="0"/>
        <w:autoSpaceDE w:val="0"/>
        <w:autoSpaceDN w:val="0"/>
        <w:adjustRightInd w:val="0"/>
        <w:spacing w:line="360" w:lineRule="auto"/>
        <w:ind w:left="640" w:hanging="640"/>
        <w:rPr>
          <w:rFonts w:ascii="Times New Roman" w:hAnsi="Times New Roman" w:cs="Times New Roman"/>
          <w:noProof/>
        </w:rPr>
      </w:pPr>
      <w:r w:rsidRPr="00DB630F">
        <w:rPr>
          <w:rFonts w:ascii="Times New Roman" w:hAnsi="Times New Roman" w:cs="Times New Roman"/>
          <w:noProof/>
        </w:rPr>
        <w:t>2.</w:t>
      </w:r>
      <w:r w:rsidRPr="00DB630F">
        <w:rPr>
          <w:rFonts w:ascii="Times New Roman" w:hAnsi="Times New Roman" w:cs="Times New Roman"/>
          <w:noProof/>
        </w:rPr>
        <w:tab/>
        <w:t>Adebayo A, Laroche D. Unfulfilled Needs in the Detection, Diagnosis, Monitoring, Treatment, and Understanding of Glaucoma in Blacks Globally. J Racial Ethn Heal Disparities [Internet]. 2023;(0123456789):1–6. Available from: https://doi.org/10.1007/s40615-023-01679-2</w:t>
      </w:r>
    </w:p>
    <w:p w14:paraId="313D8E60" w14:textId="77777777" w:rsidR="00DB630F" w:rsidRPr="00DB630F" w:rsidRDefault="00DB630F" w:rsidP="00DB630F">
      <w:pPr>
        <w:widowControl w:val="0"/>
        <w:autoSpaceDE w:val="0"/>
        <w:autoSpaceDN w:val="0"/>
        <w:adjustRightInd w:val="0"/>
        <w:spacing w:line="360" w:lineRule="auto"/>
        <w:ind w:left="640" w:hanging="640"/>
        <w:rPr>
          <w:rFonts w:ascii="Times New Roman" w:hAnsi="Times New Roman" w:cs="Times New Roman"/>
          <w:noProof/>
        </w:rPr>
      </w:pPr>
      <w:r w:rsidRPr="00DB630F">
        <w:rPr>
          <w:rFonts w:ascii="Times New Roman" w:hAnsi="Times New Roman" w:cs="Times New Roman"/>
          <w:noProof/>
        </w:rPr>
        <w:t>3.</w:t>
      </w:r>
      <w:r w:rsidRPr="00DB630F">
        <w:rPr>
          <w:rFonts w:ascii="Times New Roman" w:hAnsi="Times New Roman" w:cs="Times New Roman"/>
          <w:noProof/>
        </w:rPr>
        <w:tab/>
        <w:t>Zhang N, Wang J, Li Y, Jiang B. Prevalence of primary open angle glaucoma in the last 20 years: a meta-analysis and systematic review. Sci Rep [Internet]. 2021;11(1):1–12. Available from: https://doi.org/10.1038/s41598-021-92971-w</w:t>
      </w:r>
    </w:p>
    <w:p w14:paraId="218BC24F" w14:textId="77777777" w:rsidR="00DB630F" w:rsidRPr="00DB630F" w:rsidRDefault="00DB630F" w:rsidP="00DB630F">
      <w:pPr>
        <w:widowControl w:val="0"/>
        <w:autoSpaceDE w:val="0"/>
        <w:autoSpaceDN w:val="0"/>
        <w:adjustRightInd w:val="0"/>
        <w:spacing w:line="360" w:lineRule="auto"/>
        <w:ind w:left="640" w:hanging="640"/>
        <w:rPr>
          <w:rFonts w:ascii="Times New Roman" w:hAnsi="Times New Roman" w:cs="Times New Roman"/>
          <w:noProof/>
        </w:rPr>
      </w:pPr>
      <w:r w:rsidRPr="00DB630F">
        <w:rPr>
          <w:rFonts w:ascii="Times New Roman" w:hAnsi="Times New Roman" w:cs="Times New Roman"/>
          <w:noProof/>
        </w:rPr>
        <w:t>4.</w:t>
      </w:r>
      <w:r w:rsidRPr="00DB630F">
        <w:rPr>
          <w:rFonts w:ascii="Times New Roman" w:hAnsi="Times New Roman" w:cs="Times New Roman"/>
          <w:noProof/>
        </w:rPr>
        <w:tab/>
        <w:t xml:space="preserve">Kyari F, Abdull MM, Bastawrous A, Gilbert CE, Faal H. Epidemiology of glaucoma in Sub-Saharan Africa: Prevalence, incidence and risk factors. Middle East Afr J Ophthalmol. 2013;20(2):111–25. </w:t>
      </w:r>
    </w:p>
    <w:p w14:paraId="09AA047A" w14:textId="77777777" w:rsidR="00DB630F" w:rsidRPr="00DB630F" w:rsidRDefault="00DB630F" w:rsidP="00DB630F">
      <w:pPr>
        <w:widowControl w:val="0"/>
        <w:autoSpaceDE w:val="0"/>
        <w:autoSpaceDN w:val="0"/>
        <w:adjustRightInd w:val="0"/>
        <w:spacing w:line="360" w:lineRule="auto"/>
        <w:ind w:left="640" w:hanging="640"/>
        <w:rPr>
          <w:rFonts w:ascii="Times New Roman" w:hAnsi="Times New Roman" w:cs="Times New Roman"/>
          <w:noProof/>
        </w:rPr>
      </w:pPr>
      <w:r w:rsidRPr="00DB630F">
        <w:rPr>
          <w:rFonts w:ascii="Times New Roman" w:hAnsi="Times New Roman" w:cs="Times New Roman"/>
          <w:noProof/>
        </w:rPr>
        <w:t>5.</w:t>
      </w:r>
      <w:r w:rsidRPr="00DB630F">
        <w:rPr>
          <w:rFonts w:ascii="Times New Roman" w:hAnsi="Times New Roman" w:cs="Times New Roman"/>
          <w:noProof/>
        </w:rPr>
        <w:tab/>
        <w:t xml:space="preserve">Smith AF, Negretti G, Mascaro A, Bokre D, Baker H, Dhalla K, et al. Glaucoma Control Strategies in Sub-Saharan Africa: A Review of the Clinical and Health Economic Evidence. Ophthalmic Epidemiol. 2018;25(5–6):419–35. </w:t>
      </w:r>
    </w:p>
    <w:p w14:paraId="5A7A8380" w14:textId="77777777" w:rsidR="00DB630F" w:rsidRPr="00DB630F" w:rsidRDefault="00DB630F" w:rsidP="00DB630F">
      <w:pPr>
        <w:widowControl w:val="0"/>
        <w:autoSpaceDE w:val="0"/>
        <w:autoSpaceDN w:val="0"/>
        <w:adjustRightInd w:val="0"/>
        <w:spacing w:line="360" w:lineRule="auto"/>
        <w:ind w:left="640" w:hanging="640"/>
        <w:rPr>
          <w:rFonts w:ascii="Times New Roman" w:hAnsi="Times New Roman" w:cs="Times New Roman"/>
          <w:noProof/>
        </w:rPr>
      </w:pPr>
      <w:r w:rsidRPr="00DB630F">
        <w:rPr>
          <w:rFonts w:ascii="Times New Roman" w:hAnsi="Times New Roman" w:cs="Times New Roman"/>
          <w:noProof/>
        </w:rPr>
        <w:t>6.</w:t>
      </w:r>
      <w:r w:rsidRPr="00DB630F">
        <w:rPr>
          <w:rFonts w:ascii="Times New Roman" w:hAnsi="Times New Roman" w:cs="Times New Roman"/>
          <w:noProof/>
        </w:rPr>
        <w:tab/>
        <w:t xml:space="preserve">Allison K, Patel D, Alabi O. Epidemiology of Glaucoma: The Past, Present, and Predictions for the Future. Cureus. 2020;12(11). </w:t>
      </w:r>
    </w:p>
    <w:p w14:paraId="2913B4C5" w14:textId="77777777" w:rsidR="00DB630F" w:rsidRPr="00DB630F" w:rsidRDefault="00DB630F" w:rsidP="00DB630F">
      <w:pPr>
        <w:widowControl w:val="0"/>
        <w:autoSpaceDE w:val="0"/>
        <w:autoSpaceDN w:val="0"/>
        <w:adjustRightInd w:val="0"/>
        <w:spacing w:line="360" w:lineRule="auto"/>
        <w:ind w:left="640" w:hanging="640"/>
        <w:rPr>
          <w:rFonts w:ascii="Times New Roman" w:hAnsi="Times New Roman" w:cs="Times New Roman"/>
          <w:noProof/>
        </w:rPr>
      </w:pPr>
      <w:r w:rsidRPr="00DB630F">
        <w:rPr>
          <w:rFonts w:ascii="Times New Roman" w:hAnsi="Times New Roman" w:cs="Times New Roman"/>
          <w:noProof/>
        </w:rPr>
        <w:t>7.</w:t>
      </w:r>
      <w:r w:rsidRPr="00DB630F">
        <w:rPr>
          <w:rFonts w:ascii="Times New Roman" w:hAnsi="Times New Roman" w:cs="Times New Roman"/>
          <w:noProof/>
        </w:rPr>
        <w:tab/>
        <w:t>Ting NS, Li Yim JFT, Ng JY. Different strategies and cost-effectiveness in the treatment of primary open angle glaucoma. Clin Outcomes Res [Internet]. 2014;6:523–30. Available from: https://doi.org/10.2147/CEOR.S30697</w:t>
      </w:r>
    </w:p>
    <w:p w14:paraId="740AB94A" w14:textId="77777777" w:rsidR="00DB630F" w:rsidRPr="00DB630F" w:rsidRDefault="00DB630F" w:rsidP="00DB630F">
      <w:pPr>
        <w:widowControl w:val="0"/>
        <w:autoSpaceDE w:val="0"/>
        <w:autoSpaceDN w:val="0"/>
        <w:adjustRightInd w:val="0"/>
        <w:spacing w:line="360" w:lineRule="auto"/>
        <w:ind w:left="640" w:hanging="640"/>
        <w:rPr>
          <w:rFonts w:ascii="Times New Roman" w:hAnsi="Times New Roman" w:cs="Times New Roman"/>
          <w:noProof/>
        </w:rPr>
      </w:pPr>
      <w:r w:rsidRPr="00DB630F">
        <w:rPr>
          <w:rFonts w:ascii="Times New Roman" w:hAnsi="Times New Roman" w:cs="Times New Roman"/>
          <w:noProof/>
        </w:rPr>
        <w:t>8.</w:t>
      </w:r>
      <w:r w:rsidRPr="00DB630F">
        <w:rPr>
          <w:rFonts w:ascii="Times New Roman" w:hAnsi="Times New Roman" w:cs="Times New Roman"/>
          <w:noProof/>
        </w:rPr>
        <w:tab/>
        <w:t xml:space="preserve">Boboev SA. STAGES OF ETIOLOGY , PATHOGENESIS , DIAGNOSIS , TREATMENT OF REFRACTER GLUCOMAS. 2022;(May):166–72. </w:t>
      </w:r>
    </w:p>
    <w:p w14:paraId="5A732FE9" w14:textId="77777777" w:rsidR="00DB630F" w:rsidRPr="00DB630F" w:rsidRDefault="00DB630F" w:rsidP="00DB630F">
      <w:pPr>
        <w:widowControl w:val="0"/>
        <w:autoSpaceDE w:val="0"/>
        <w:autoSpaceDN w:val="0"/>
        <w:adjustRightInd w:val="0"/>
        <w:spacing w:line="360" w:lineRule="auto"/>
        <w:ind w:left="640" w:hanging="640"/>
        <w:rPr>
          <w:rFonts w:ascii="Times New Roman" w:hAnsi="Times New Roman" w:cs="Times New Roman"/>
          <w:noProof/>
        </w:rPr>
      </w:pPr>
      <w:r w:rsidRPr="00DB630F">
        <w:rPr>
          <w:rFonts w:ascii="Times New Roman" w:hAnsi="Times New Roman" w:cs="Times New Roman"/>
          <w:noProof/>
        </w:rPr>
        <w:t>9.</w:t>
      </w:r>
      <w:r w:rsidRPr="00DB630F">
        <w:rPr>
          <w:rFonts w:ascii="Times New Roman" w:hAnsi="Times New Roman" w:cs="Times New Roman"/>
          <w:noProof/>
        </w:rPr>
        <w:tab/>
        <w:t xml:space="preserve">Jammal AA, Costa DC, Vasconcellos JPC, Costa VP. Prospective evaluation of micropulse transscleral diode cyclophotocoagulation in refractory glaucoma: 1 year results. Arq Bras Oftalmol. 2019;82(5):381–8. </w:t>
      </w:r>
    </w:p>
    <w:p w14:paraId="1001EA5E" w14:textId="77777777" w:rsidR="00DB630F" w:rsidRPr="00DB630F" w:rsidRDefault="00DB630F" w:rsidP="00DB630F">
      <w:pPr>
        <w:widowControl w:val="0"/>
        <w:autoSpaceDE w:val="0"/>
        <w:autoSpaceDN w:val="0"/>
        <w:adjustRightInd w:val="0"/>
        <w:spacing w:line="360" w:lineRule="auto"/>
        <w:ind w:left="640" w:hanging="640"/>
        <w:rPr>
          <w:rFonts w:ascii="Times New Roman" w:hAnsi="Times New Roman" w:cs="Times New Roman"/>
          <w:noProof/>
        </w:rPr>
      </w:pPr>
      <w:r w:rsidRPr="00DB630F">
        <w:rPr>
          <w:rFonts w:ascii="Times New Roman" w:hAnsi="Times New Roman" w:cs="Times New Roman"/>
          <w:noProof/>
        </w:rPr>
        <w:lastRenderedPageBreak/>
        <w:t>10.</w:t>
      </w:r>
      <w:r w:rsidRPr="00DB630F">
        <w:rPr>
          <w:rFonts w:ascii="Times New Roman" w:hAnsi="Times New Roman" w:cs="Times New Roman"/>
          <w:noProof/>
        </w:rPr>
        <w:tab/>
        <w:t xml:space="preserve">Quigley HA. Improved Outcomes for Transscleral Cyclophotocoagulation Through Optimized Treatment Parameters. J Glaucoma. 2018;27(8):674–81. </w:t>
      </w:r>
    </w:p>
    <w:p w14:paraId="3488E121" w14:textId="77777777" w:rsidR="00DB630F" w:rsidRPr="00DB630F" w:rsidRDefault="00DB630F" w:rsidP="00DB630F">
      <w:pPr>
        <w:widowControl w:val="0"/>
        <w:autoSpaceDE w:val="0"/>
        <w:autoSpaceDN w:val="0"/>
        <w:adjustRightInd w:val="0"/>
        <w:spacing w:line="360" w:lineRule="auto"/>
        <w:ind w:left="640" w:hanging="640"/>
        <w:rPr>
          <w:rFonts w:ascii="Times New Roman" w:hAnsi="Times New Roman" w:cs="Times New Roman"/>
          <w:noProof/>
        </w:rPr>
      </w:pPr>
      <w:r w:rsidRPr="00DB630F">
        <w:rPr>
          <w:rFonts w:ascii="Times New Roman" w:hAnsi="Times New Roman" w:cs="Times New Roman"/>
          <w:noProof/>
        </w:rPr>
        <w:t>11.</w:t>
      </w:r>
      <w:r w:rsidRPr="00DB630F">
        <w:rPr>
          <w:rFonts w:ascii="Times New Roman" w:hAnsi="Times New Roman" w:cs="Times New Roman"/>
          <w:noProof/>
        </w:rPr>
        <w:tab/>
        <w:t xml:space="preserve">Souissi S, Baudouin C, Labbé A, Hamard P. Micropulse transscleral cyclophotocoagulation using a standard protocol in patients with refractory glaucoma naive of cyclodestruction. Eur J Ophthalmol. 2021;31(1):112–9. </w:t>
      </w:r>
    </w:p>
    <w:p w14:paraId="023185AF" w14:textId="77777777" w:rsidR="00DB630F" w:rsidRPr="00DB630F" w:rsidRDefault="00DB630F" w:rsidP="00DB630F">
      <w:pPr>
        <w:widowControl w:val="0"/>
        <w:autoSpaceDE w:val="0"/>
        <w:autoSpaceDN w:val="0"/>
        <w:adjustRightInd w:val="0"/>
        <w:spacing w:line="360" w:lineRule="auto"/>
        <w:ind w:left="640" w:hanging="640"/>
        <w:rPr>
          <w:rFonts w:ascii="Times New Roman" w:hAnsi="Times New Roman" w:cs="Times New Roman"/>
          <w:noProof/>
        </w:rPr>
      </w:pPr>
      <w:r w:rsidRPr="00DB630F">
        <w:rPr>
          <w:rFonts w:ascii="Times New Roman" w:hAnsi="Times New Roman" w:cs="Times New Roman"/>
          <w:noProof/>
        </w:rPr>
        <w:t>12.</w:t>
      </w:r>
      <w:r w:rsidRPr="00DB630F">
        <w:rPr>
          <w:rFonts w:ascii="Times New Roman" w:hAnsi="Times New Roman" w:cs="Times New Roman"/>
          <w:noProof/>
        </w:rPr>
        <w:tab/>
        <w:t xml:space="preserve">Miljković A, Babić N, Čanadanović V, Davidović S, Ljikar J, Vasin M. Efficacy of cyclocryotherapy and transscleral diode laser cyclophotocoagulation in the management of refractory glaucoma. Acta Clin Croat. 2021;60(2):171–7. </w:t>
      </w:r>
    </w:p>
    <w:p w14:paraId="40E2441F" w14:textId="77777777" w:rsidR="00DB630F" w:rsidRPr="00DB630F" w:rsidRDefault="00DB630F" w:rsidP="00DB630F">
      <w:pPr>
        <w:widowControl w:val="0"/>
        <w:autoSpaceDE w:val="0"/>
        <w:autoSpaceDN w:val="0"/>
        <w:adjustRightInd w:val="0"/>
        <w:spacing w:line="360" w:lineRule="auto"/>
        <w:ind w:left="640" w:hanging="640"/>
        <w:rPr>
          <w:rFonts w:ascii="Times New Roman" w:hAnsi="Times New Roman" w:cs="Times New Roman"/>
          <w:noProof/>
        </w:rPr>
      </w:pPr>
      <w:r w:rsidRPr="00DB630F">
        <w:rPr>
          <w:rFonts w:ascii="Times New Roman" w:hAnsi="Times New Roman" w:cs="Times New Roman"/>
          <w:noProof/>
        </w:rPr>
        <w:t>13.</w:t>
      </w:r>
      <w:r w:rsidRPr="00DB630F">
        <w:rPr>
          <w:rFonts w:ascii="Times New Roman" w:hAnsi="Times New Roman" w:cs="Times New Roman"/>
          <w:noProof/>
        </w:rPr>
        <w:tab/>
        <w:t xml:space="preserve">Aygün FB, Mocan MC, Kocabeyoğlu S, İrkeç M. Efficacy of 180° cyclodiode transscleral photocoagulation for refractory glaucoma. Turkish J Ophthalmol. 2018;48(6):299–303. </w:t>
      </w:r>
    </w:p>
    <w:p w14:paraId="435C1FEC" w14:textId="77777777" w:rsidR="00DB630F" w:rsidRPr="00DB630F" w:rsidRDefault="00DB630F" w:rsidP="00DB630F">
      <w:pPr>
        <w:widowControl w:val="0"/>
        <w:autoSpaceDE w:val="0"/>
        <w:autoSpaceDN w:val="0"/>
        <w:adjustRightInd w:val="0"/>
        <w:spacing w:line="360" w:lineRule="auto"/>
        <w:ind w:left="640" w:hanging="640"/>
        <w:rPr>
          <w:rFonts w:ascii="Times New Roman" w:hAnsi="Times New Roman" w:cs="Times New Roman"/>
          <w:noProof/>
        </w:rPr>
      </w:pPr>
      <w:r w:rsidRPr="00DB630F">
        <w:rPr>
          <w:rFonts w:ascii="Times New Roman" w:hAnsi="Times New Roman" w:cs="Times New Roman"/>
          <w:noProof/>
        </w:rPr>
        <w:t>14.</w:t>
      </w:r>
      <w:r w:rsidRPr="00DB630F">
        <w:rPr>
          <w:rFonts w:ascii="Times New Roman" w:hAnsi="Times New Roman" w:cs="Times New Roman"/>
          <w:noProof/>
        </w:rPr>
        <w:tab/>
        <w:t xml:space="preserve">Schulze Schwering M, Kayange P, Klauss V, Kalua K, Spitzer MS. Low-dose transscleral diode laser cyclophotocoagulation (TSCPC) as a potential single treatment for primary open-angle glaucoma (POAG) in Malawi? Graefe’s Arch Clin Exp Ophthalmol. 2013;251(10):2389–93. </w:t>
      </w:r>
    </w:p>
    <w:p w14:paraId="4041763A" w14:textId="77777777" w:rsidR="00DB630F" w:rsidRPr="00DB630F" w:rsidRDefault="00DB630F" w:rsidP="00DB630F">
      <w:pPr>
        <w:widowControl w:val="0"/>
        <w:autoSpaceDE w:val="0"/>
        <w:autoSpaceDN w:val="0"/>
        <w:adjustRightInd w:val="0"/>
        <w:spacing w:line="360" w:lineRule="auto"/>
        <w:ind w:left="640" w:hanging="640"/>
        <w:rPr>
          <w:rFonts w:ascii="Times New Roman" w:hAnsi="Times New Roman" w:cs="Times New Roman"/>
          <w:noProof/>
        </w:rPr>
      </w:pPr>
      <w:r w:rsidRPr="00DB630F">
        <w:rPr>
          <w:rFonts w:ascii="Times New Roman" w:hAnsi="Times New Roman" w:cs="Times New Roman"/>
          <w:noProof/>
        </w:rPr>
        <w:t>15.</w:t>
      </w:r>
      <w:r w:rsidRPr="00DB630F">
        <w:rPr>
          <w:rFonts w:ascii="Times New Roman" w:hAnsi="Times New Roman" w:cs="Times New Roman"/>
          <w:noProof/>
        </w:rPr>
        <w:tab/>
        <w:t xml:space="preserve">Thomas JP. The Efficacy and Safety of Diode Laser Cycloablation in the Treatment of Refractory Glaucoma in a South African Population. 2022;(April). </w:t>
      </w:r>
    </w:p>
    <w:p w14:paraId="2A617294" w14:textId="77777777" w:rsidR="00DB630F" w:rsidRPr="00DB630F" w:rsidRDefault="00DB630F" w:rsidP="00DB630F">
      <w:pPr>
        <w:widowControl w:val="0"/>
        <w:autoSpaceDE w:val="0"/>
        <w:autoSpaceDN w:val="0"/>
        <w:adjustRightInd w:val="0"/>
        <w:spacing w:line="360" w:lineRule="auto"/>
        <w:ind w:left="640" w:hanging="640"/>
        <w:rPr>
          <w:rFonts w:ascii="Times New Roman" w:hAnsi="Times New Roman" w:cs="Times New Roman"/>
          <w:noProof/>
        </w:rPr>
      </w:pPr>
      <w:r w:rsidRPr="00DB630F">
        <w:rPr>
          <w:rFonts w:ascii="Times New Roman" w:hAnsi="Times New Roman" w:cs="Times New Roman"/>
          <w:noProof/>
        </w:rPr>
        <w:t>16.</w:t>
      </w:r>
      <w:r w:rsidRPr="00DB630F">
        <w:rPr>
          <w:rFonts w:ascii="Times New Roman" w:hAnsi="Times New Roman" w:cs="Times New Roman"/>
          <w:noProof/>
        </w:rPr>
        <w:tab/>
        <w:t xml:space="preserve">Mavrakanas N, Dhalla K, Kapesa I, Alibhai A, Murdoch I. Diode laser transscleral cyclophotocoagulation for the treatment of glaucoma in East Africa. Eye. 2013;27(3):453–4. </w:t>
      </w:r>
    </w:p>
    <w:p w14:paraId="777553A1" w14:textId="77777777" w:rsidR="00DB630F" w:rsidRPr="00DB630F" w:rsidRDefault="00DB630F" w:rsidP="00DB630F">
      <w:pPr>
        <w:widowControl w:val="0"/>
        <w:autoSpaceDE w:val="0"/>
        <w:autoSpaceDN w:val="0"/>
        <w:adjustRightInd w:val="0"/>
        <w:spacing w:line="360" w:lineRule="auto"/>
        <w:ind w:left="640" w:hanging="640"/>
        <w:rPr>
          <w:rFonts w:ascii="Times New Roman" w:hAnsi="Times New Roman" w:cs="Times New Roman"/>
          <w:noProof/>
        </w:rPr>
      </w:pPr>
      <w:r w:rsidRPr="00DB630F">
        <w:rPr>
          <w:rFonts w:ascii="Times New Roman" w:hAnsi="Times New Roman" w:cs="Times New Roman"/>
          <w:noProof/>
        </w:rPr>
        <w:t>17.</w:t>
      </w:r>
      <w:r w:rsidRPr="00DB630F">
        <w:rPr>
          <w:rFonts w:ascii="Times New Roman" w:hAnsi="Times New Roman" w:cs="Times New Roman"/>
          <w:noProof/>
        </w:rPr>
        <w:tab/>
        <w:t xml:space="preserve">Abdull MM, Broadway DC, Evans J, Kyari F, Muazu F, Gilbert C. Safety and effectiveness of primary transscleral diode laser cyclophotoablation for glaucoma in Nigeria. Clin Exp Ophthalmol. 2018;46(9):1041–7. </w:t>
      </w:r>
    </w:p>
    <w:p w14:paraId="6B164CB5" w14:textId="77777777" w:rsidR="00DB630F" w:rsidRPr="00DB630F" w:rsidRDefault="00DB630F" w:rsidP="00DB630F">
      <w:pPr>
        <w:widowControl w:val="0"/>
        <w:autoSpaceDE w:val="0"/>
        <w:autoSpaceDN w:val="0"/>
        <w:adjustRightInd w:val="0"/>
        <w:spacing w:line="360" w:lineRule="auto"/>
        <w:ind w:left="640" w:hanging="640"/>
        <w:rPr>
          <w:rFonts w:ascii="Times New Roman" w:hAnsi="Times New Roman" w:cs="Times New Roman"/>
          <w:noProof/>
        </w:rPr>
      </w:pPr>
      <w:r w:rsidRPr="00DB630F">
        <w:rPr>
          <w:rFonts w:ascii="Times New Roman" w:hAnsi="Times New Roman" w:cs="Times New Roman"/>
          <w:noProof/>
        </w:rPr>
        <w:t>18.</w:t>
      </w:r>
      <w:r w:rsidRPr="00DB630F">
        <w:rPr>
          <w:rFonts w:ascii="Times New Roman" w:hAnsi="Times New Roman" w:cs="Times New Roman"/>
          <w:noProof/>
        </w:rPr>
        <w:tab/>
        <w:t xml:space="preserve">Aquino MCD, Barton K, Tan AMWT, Sng C, Li X, Loon SC, et al. Micropulse versus continuous wave transscleral diode cyclophotocoagulation in refractory glaucoma: A randomized exploratory study. Clin Exp Ophthalmol. 2015;43(1):40–6. </w:t>
      </w:r>
    </w:p>
    <w:p w14:paraId="5189BA75" w14:textId="77777777" w:rsidR="00DB630F" w:rsidRPr="00DB630F" w:rsidRDefault="00DB630F" w:rsidP="00DB630F">
      <w:pPr>
        <w:widowControl w:val="0"/>
        <w:autoSpaceDE w:val="0"/>
        <w:autoSpaceDN w:val="0"/>
        <w:adjustRightInd w:val="0"/>
        <w:spacing w:line="360" w:lineRule="auto"/>
        <w:ind w:left="640" w:hanging="640"/>
        <w:rPr>
          <w:rFonts w:ascii="Times New Roman" w:hAnsi="Times New Roman" w:cs="Times New Roman"/>
          <w:noProof/>
        </w:rPr>
      </w:pPr>
      <w:r w:rsidRPr="00DB630F">
        <w:rPr>
          <w:rFonts w:ascii="Times New Roman" w:hAnsi="Times New Roman" w:cs="Times New Roman"/>
          <w:noProof/>
        </w:rPr>
        <w:t>19.</w:t>
      </w:r>
      <w:r w:rsidRPr="00DB630F">
        <w:rPr>
          <w:rFonts w:ascii="Times New Roman" w:hAnsi="Times New Roman" w:cs="Times New Roman"/>
          <w:noProof/>
        </w:rPr>
        <w:tab/>
        <w:t xml:space="preserve">Shah P, Bhakta A, Vanner EA, Kishor KS, Greenfield DS, Maharaj ASR. Safety and efficacy of diode laser transscleral cyclophotocoagulation in eyes with good visual acuity. J Glaucoma. 2018;27(10):874–9. </w:t>
      </w:r>
    </w:p>
    <w:p w14:paraId="2BC2FA57" w14:textId="77777777" w:rsidR="00DB630F" w:rsidRPr="00DB630F" w:rsidRDefault="00DB630F" w:rsidP="00DB630F">
      <w:pPr>
        <w:widowControl w:val="0"/>
        <w:autoSpaceDE w:val="0"/>
        <w:autoSpaceDN w:val="0"/>
        <w:adjustRightInd w:val="0"/>
        <w:spacing w:line="360" w:lineRule="auto"/>
        <w:ind w:left="640" w:hanging="640"/>
        <w:rPr>
          <w:rFonts w:ascii="Times New Roman" w:hAnsi="Times New Roman" w:cs="Times New Roman"/>
          <w:noProof/>
        </w:rPr>
      </w:pPr>
      <w:r w:rsidRPr="00DB630F">
        <w:rPr>
          <w:rFonts w:ascii="Times New Roman" w:hAnsi="Times New Roman" w:cs="Times New Roman"/>
          <w:noProof/>
        </w:rPr>
        <w:t>20.</w:t>
      </w:r>
      <w:r w:rsidRPr="00DB630F">
        <w:rPr>
          <w:rFonts w:ascii="Times New Roman" w:hAnsi="Times New Roman" w:cs="Times New Roman"/>
          <w:noProof/>
        </w:rPr>
        <w:tab/>
        <w:t xml:space="preserve">Ariga M, Nivean, Nivean PD, Madanagopalan VG, Mohan S. Micropulse trans-scleral diode laser cyclophotocoagulation in refractory glaucoma: an initial experience in Indian eyes. Int Ophthalmol [Internet]. 2021;41(8):2639–45. Available from: </w:t>
      </w:r>
      <w:r w:rsidRPr="00DB630F">
        <w:rPr>
          <w:rFonts w:ascii="Times New Roman" w:hAnsi="Times New Roman" w:cs="Times New Roman"/>
          <w:noProof/>
        </w:rPr>
        <w:lastRenderedPageBreak/>
        <w:t>https://doi.org/10.1007/s10792-021-01697-1</w:t>
      </w:r>
    </w:p>
    <w:p w14:paraId="7BF092E9" w14:textId="0C41D19E" w:rsidR="00DB630F" w:rsidRPr="00A96836" w:rsidRDefault="00DB630F" w:rsidP="00A96836">
      <w:pPr>
        <w:spacing w:line="360" w:lineRule="auto"/>
        <w:jc w:val="both"/>
        <w:rPr>
          <w:rFonts w:ascii="Times New Roman" w:hAnsi="Times New Roman" w:cs="Times New Roman"/>
        </w:rPr>
      </w:pPr>
      <w:r>
        <w:rPr>
          <w:rFonts w:ascii="Times New Roman" w:hAnsi="Times New Roman" w:cs="Times New Roman"/>
        </w:rPr>
        <w:fldChar w:fldCharType="end"/>
      </w:r>
    </w:p>
    <w:p w14:paraId="0AFA2DAA" w14:textId="77B34CEB" w:rsidR="00672DCF" w:rsidRPr="00A96836" w:rsidRDefault="00672DCF" w:rsidP="00A96836">
      <w:pPr>
        <w:spacing w:line="360" w:lineRule="auto"/>
        <w:jc w:val="both"/>
        <w:rPr>
          <w:rFonts w:ascii="Times New Roman" w:eastAsia="Times New Roman" w:hAnsi="Times New Roman" w:cs="Times New Roman"/>
        </w:rPr>
      </w:pPr>
    </w:p>
    <w:sectPr w:rsidR="00672DCF" w:rsidRPr="00A96836" w:rsidSect="00A96836">
      <w:headerReference w:type="even" r:id="rId18"/>
      <w:headerReference w:type="default" r:id="rId19"/>
      <w:footerReference w:type="even" r:id="rId20"/>
      <w:footerReference w:type="default" r:id="rId21"/>
      <w:headerReference w:type="first" r:id="rId22"/>
      <w:footerReference w:type="first" r:id="rId23"/>
      <w:pgSz w:w="11900" w:h="16840"/>
      <w:pgMar w:top="1350" w:right="1440" w:bottom="1440" w:left="1440" w:header="706" w:footer="22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14A42" w14:textId="77777777" w:rsidR="00652F85" w:rsidRDefault="00652F85">
      <w:r>
        <w:separator/>
      </w:r>
    </w:p>
  </w:endnote>
  <w:endnote w:type="continuationSeparator" w:id="0">
    <w:p w14:paraId="13D63588" w14:textId="77777777" w:rsidR="00652F85" w:rsidRDefault="0065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783D" w14:textId="77777777" w:rsidR="00425C0A" w:rsidRDefault="00425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998DC" w14:textId="07CE01A3" w:rsidR="0064616D" w:rsidRDefault="000C2B1D">
    <w:pPr>
      <w:pBdr>
        <w:top w:val="nil"/>
        <w:left w:val="nil"/>
        <w:bottom w:val="nil"/>
        <w:right w:val="nil"/>
        <w:between w:val="nil"/>
      </w:pBdr>
      <w:tabs>
        <w:tab w:val="center" w:pos="4680"/>
        <w:tab w:val="right" w:pos="9360"/>
        <w:tab w:val="center" w:pos="4510"/>
        <w:tab w:val="left" w:pos="5040"/>
        <w:tab w:val="left" w:pos="5760"/>
        <w:tab w:val="left" w:pos="6480"/>
      </w:tabs>
      <w:rPr>
        <w:color w:val="000000"/>
      </w:rPr>
    </w:pPr>
    <w:r>
      <w:rPr>
        <w:color w:val="000000"/>
      </w:rPr>
      <w:tab/>
    </w:r>
    <w:r>
      <w:rPr>
        <w:color w:val="000000"/>
      </w:rPr>
      <w:tab/>
    </w:r>
    <w:r>
      <w:rPr>
        <w:color w:val="000000"/>
      </w:rPr>
      <w:tab/>
    </w:r>
    <w:r>
      <w:rPr>
        <w:color w:val="000000"/>
      </w:rPr>
      <w:tab/>
    </w:r>
    <w:r>
      <w:rPr>
        <w:color w:val="000000"/>
      </w:rPr>
      <w:tab/>
    </w:r>
    <w:r>
      <w:rPr>
        <w:color w:val="000000"/>
      </w:rPr>
      <w:tab/>
    </w:r>
  </w:p>
  <w:p w14:paraId="0399E86C" w14:textId="77777777" w:rsidR="0064616D" w:rsidRDefault="0064616D">
    <w:pPr>
      <w:pBdr>
        <w:top w:val="nil"/>
        <w:left w:val="nil"/>
        <w:bottom w:val="nil"/>
        <w:right w:val="nil"/>
        <w:between w:val="nil"/>
      </w:pBdr>
      <w:tabs>
        <w:tab w:val="center" w:pos="4680"/>
        <w:tab w:val="right" w:pos="9360"/>
      </w:tabs>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21CA2" w14:textId="77777777" w:rsidR="0064616D" w:rsidRDefault="000C2B1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3E15A2E" w14:textId="77777777" w:rsidR="0064616D" w:rsidRDefault="0064616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F8E78" w14:textId="77777777" w:rsidR="00652F85" w:rsidRDefault="00652F85">
      <w:r>
        <w:separator/>
      </w:r>
    </w:p>
  </w:footnote>
  <w:footnote w:type="continuationSeparator" w:id="0">
    <w:p w14:paraId="072C7D6B" w14:textId="77777777" w:rsidR="00652F85" w:rsidRDefault="00652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1B952" w14:textId="7F2FBA65" w:rsidR="00425C0A" w:rsidRDefault="00425C0A">
    <w:pPr>
      <w:pStyle w:val="Header"/>
    </w:pPr>
    <w:r>
      <w:rPr>
        <w:noProof/>
      </w:rPr>
      <w:pict w14:anchorId="046A5A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652172" o:spid="_x0000_s1026" type="#_x0000_t136" style="position:absolute;margin-left:0;margin-top:0;width:535.4pt;height:100.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03291" w14:textId="7BF0B114" w:rsidR="0064616D" w:rsidRDefault="00425C0A">
    <w:pPr>
      <w:pBdr>
        <w:top w:val="nil"/>
        <w:left w:val="nil"/>
        <w:bottom w:val="nil"/>
        <w:right w:val="nil"/>
        <w:between w:val="nil"/>
      </w:pBdr>
      <w:tabs>
        <w:tab w:val="center" w:pos="4680"/>
        <w:tab w:val="right" w:pos="9360"/>
      </w:tabs>
      <w:rPr>
        <w:color w:val="000000"/>
      </w:rPr>
    </w:pPr>
    <w:r>
      <w:rPr>
        <w:noProof/>
      </w:rPr>
      <w:pict w14:anchorId="3ADAEE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652173" o:spid="_x0000_s1027" type="#_x0000_t136" style="position:absolute;margin-left:0;margin-top:0;width:535.4pt;height:100.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39D0BA2B" w14:textId="77777777" w:rsidR="0064616D" w:rsidRDefault="0064616D">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BAD17" w14:textId="12FEDB42" w:rsidR="00425C0A" w:rsidRDefault="00425C0A">
    <w:pPr>
      <w:pStyle w:val="Header"/>
    </w:pPr>
    <w:r>
      <w:rPr>
        <w:noProof/>
      </w:rPr>
      <w:pict w14:anchorId="7D49CB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652171" o:spid="_x0000_s1025" type="#_x0000_t136" style="position:absolute;margin-left:0;margin-top:0;width:535.4pt;height:100.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D6465"/>
    <w:multiLevelType w:val="multilevel"/>
    <w:tmpl w:val="7548AB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341A2C"/>
    <w:multiLevelType w:val="multilevel"/>
    <w:tmpl w:val="7F5A0B0C"/>
    <w:lvl w:ilvl="0">
      <w:start w:val="3"/>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A464B5B"/>
    <w:multiLevelType w:val="multilevel"/>
    <w:tmpl w:val="42CCFFFC"/>
    <w:lvl w:ilvl="0">
      <w:start w:val="1"/>
      <w:numFmt w:val="lowerRoman"/>
      <w:lvlText w:val="%1."/>
      <w:lvlJc w:val="righ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3" w15:restartNumberingAfterBreak="0">
    <w:nsid w:val="1A2530B8"/>
    <w:multiLevelType w:val="multilevel"/>
    <w:tmpl w:val="84FAE1A0"/>
    <w:lvl w:ilvl="0">
      <w:start w:val="1"/>
      <w:numFmt w:val="lowerRoman"/>
      <w:lvlText w:val="%1."/>
      <w:lvlJc w:val="righ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309583C"/>
    <w:multiLevelType w:val="multilevel"/>
    <w:tmpl w:val="90CE947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B46CCF"/>
    <w:multiLevelType w:val="multilevel"/>
    <w:tmpl w:val="1CA418AC"/>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5305051"/>
    <w:multiLevelType w:val="multilevel"/>
    <w:tmpl w:val="F2EE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F7397C"/>
    <w:multiLevelType w:val="multilevel"/>
    <w:tmpl w:val="2334C3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40621415">
    <w:abstractNumId w:val="0"/>
  </w:num>
  <w:num w:numId="2" w16cid:durableId="1711103612">
    <w:abstractNumId w:val="5"/>
  </w:num>
  <w:num w:numId="3" w16cid:durableId="665980096">
    <w:abstractNumId w:val="7"/>
  </w:num>
  <w:num w:numId="4" w16cid:durableId="908031031">
    <w:abstractNumId w:val="2"/>
  </w:num>
  <w:num w:numId="5" w16cid:durableId="2023194468">
    <w:abstractNumId w:val="3"/>
  </w:num>
  <w:num w:numId="6" w16cid:durableId="2080445687">
    <w:abstractNumId w:val="4"/>
  </w:num>
  <w:num w:numId="7" w16cid:durableId="217591587">
    <w:abstractNumId w:val="1"/>
  </w:num>
  <w:num w:numId="8" w16cid:durableId="11774256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16D"/>
    <w:rsid w:val="00013502"/>
    <w:rsid w:val="00014286"/>
    <w:rsid w:val="00025155"/>
    <w:rsid w:val="0003146A"/>
    <w:rsid w:val="000408C7"/>
    <w:rsid w:val="000415FE"/>
    <w:rsid w:val="00055796"/>
    <w:rsid w:val="0006087A"/>
    <w:rsid w:val="000618D6"/>
    <w:rsid w:val="00063F01"/>
    <w:rsid w:val="00067C25"/>
    <w:rsid w:val="00073CCD"/>
    <w:rsid w:val="00076014"/>
    <w:rsid w:val="00082B9F"/>
    <w:rsid w:val="00090E26"/>
    <w:rsid w:val="000B092B"/>
    <w:rsid w:val="000B3F53"/>
    <w:rsid w:val="000C2B1D"/>
    <w:rsid w:val="000C2C4E"/>
    <w:rsid w:val="000C5133"/>
    <w:rsid w:val="000C67BC"/>
    <w:rsid w:val="000F19F7"/>
    <w:rsid w:val="000F6CF1"/>
    <w:rsid w:val="001022B3"/>
    <w:rsid w:val="0011343D"/>
    <w:rsid w:val="0012128A"/>
    <w:rsid w:val="00124D3C"/>
    <w:rsid w:val="00130694"/>
    <w:rsid w:val="00133BCE"/>
    <w:rsid w:val="0013474D"/>
    <w:rsid w:val="001347CA"/>
    <w:rsid w:val="00142A97"/>
    <w:rsid w:val="001456A5"/>
    <w:rsid w:val="00151790"/>
    <w:rsid w:val="0019119D"/>
    <w:rsid w:val="001A7A8E"/>
    <w:rsid w:val="001A7C6A"/>
    <w:rsid w:val="001B1D0D"/>
    <w:rsid w:val="001D1398"/>
    <w:rsid w:val="001D3147"/>
    <w:rsid w:val="00217F84"/>
    <w:rsid w:val="00243CD6"/>
    <w:rsid w:val="00245ACC"/>
    <w:rsid w:val="0024769B"/>
    <w:rsid w:val="00254813"/>
    <w:rsid w:val="00255D0F"/>
    <w:rsid w:val="00255EA1"/>
    <w:rsid w:val="00261776"/>
    <w:rsid w:val="00267F14"/>
    <w:rsid w:val="002705C3"/>
    <w:rsid w:val="00280A5E"/>
    <w:rsid w:val="00282765"/>
    <w:rsid w:val="00293E28"/>
    <w:rsid w:val="00294BD7"/>
    <w:rsid w:val="0029618F"/>
    <w:rsid w:val="002A47FD"/>
    <w:rsid w:val="002B2210"/>
    <w:rsid w:val="002B619A"/>
    <w:rsid w:val="002C0636"/>
    <w:rsid w:val="002C1BD4"/>
    <w:rsid w:val="002C4EE8"/>
    <w:rsid w:val="002E18A6"/>
    <w:rsid w:val="002E33FF"/>
    <w:rsid w:val="003063BA"/>
    <w:rsid w:val="00336E61"/>
    <w:rsid w:val="00337B78"/>
    <w:rsid w:val="0036089C"/>
    <w:rsid w:val="00360BB6"/>
    <w:rsid w:val="003668E3"/>
    <w:rsid w:val="00372F16"/>
    <w:rsid w:val="003A2916"/>
    <w:rsid w:val="003A6DA5"/>
    <w:rsid w:val="003B0AE8"/>
    <w:rsid w:val="003D34AD"/>
    <w:rsid w:val="003E465F"/>
    <w:rsid w:val="003E6D0D"/>
    <w:rsid w:val="00410F22"/>
    <w:rsid w:val="004151E2"/>
    <w:rsid w:val="00425C0A"/>
    <w:rsid w:val="004374D6"/>
    <w:rsid w:val="00450B9A"/>
    <w:rsid w:val="00450D40"/>
    <w:rsid w:val="00451A16"/>
    <w:rsid w:val="004577E5"/>
    <w:rsid w:val="004747BC"/>
    <w:rsid w:val="00494349"/>
    <w:rsid w:val="004A7A1C"/>
    <w:rsid w:val="004B14CD"/>
    <w:rsid w:val="004B4309"/>
    <w:rsid w:val="004C0C1D"/>
    <w:rsid w:val="004C3191"/>
    <w:rsid w:val="004D6D9E"/>
    <w:rsid w:val="004E1097"/>
    <w:rsid w:val="004E4F08"/>
    <w:rsid w:val="004E7DDE"/>
    <w:rsid w:val="004F1688"/>
    <w:rsid w:val="004F1A28"/>
    <w:rsid w:val="0051248A"/>
    <w:rsid w:val="005230D8"/>
    <w:rsid w:val="005275D1"/>
    <w:rsid w:val="005434AB"/>
    <w:rsid w:val="00553AEA"/>
    <w:rsid w:val="00555D1A"/>
    <w:rsid w:val="005640D0"/>
    <w:rsid w:val="00564899"/>
    <w:rsid w:val="00587109"/>
    <w:rsid w:val="005C64ED"/>
    <w:rsid w:val="005E194D"/>
    <w:rsid w:val="005F6242"/>
    <w:rsid w:val="005F6672"/>
    <w:rsid w:val="00606F69"/>
    <w:rsid w:val="00611F6E"/>
    <w:rsid w:val="00623AD0"/>
    <w:rsid w:val="0064616D"/>
    <w:rsid w:val="00652D41"/>
    <w:rsid w:val="00652F85"/>
    <w:rsid w:val="00655927"/>
    <w:rsid w:val="00657F26"/>
    <w:rsid w:val="00661B1E"/>
    <w:rsid w:val="00665CD2"/>
    <w:rsid w:val="00672DCF"/>
    <w:rsid w:val="00685ECA"/>
    <w:rsid w:val="006872ED"/>
    <w:rsid w:val="00690B99"/>
    <w:rsid w:val="00696FD3"/>
    <w:rsid w:val="006B0980"/>
    <w:rsid w:val="006B2FFF"/>
    <w:rsid w:val="006B3176"/>
    <w:rsid w:val="006B5DC9"/>
    <w:rsid w:val="006F14C7"/>
    <w:rsid w:val="006F2937"/>
    <w:rsid w:val="00705920"/>
    <w:rsid w:val="00720860"/>
    <w:rsid w:val="00723BAF"/>
    <w:rsid w:val="00732592"/>
    <w:rsid w:val="00736C56"/>
    <w:rsid w:val="007379A2"/>
    <w:rsid w:val="00742F96"/>
    <w:rsid w:val="00747D0F"/>
    <w:rsid w:val="00753181"/>
    <w:rsid w:val="0076371D"/>
    <w:rsid w:val="00767540"/>
    <w:rsid w:val="007702DE"/>
    <w:rsid w:val="007703B5"/>
    <w:rsid w:val="00776C5C"/>
    <w:rsid w:val="00786AAB"/>
    <w:rsid w:val="00791AA3"/>
    <w:rsid w:val="00797BF8"/>
    <w:rsid w:val="007A7D4A"/>
    <w:rsid w:val="007B4261"/>
    <w:rsid w:val="007B77B1"/>
    <w:rsid w:val="007D45B8"/>
    <w:rsid w:val="007D4FD8"/>
    <w:rsid w:val="007D6339"/>
    <w:rsid w:val="007D7AA3"/>
    <w:rsid w:val="007E30EC"/>
    <w:rsid w:val="007E5CA6"/>
    <w:rsid w:val="007F06EC"/>
    <w:rsid w:val="007F1996"/>
    <w:rsid w:val="0080599F"/>
    <w:rsid w:val="00807045"/>
    <w:rsid w:val="00813550"/>
    <w:rsid w:val="008175B6"/>
    <w:rsid w:val="008235F5"/>
    <w:rsid w:val="00845BE9"/>
    <w:rsid w:val="008515C4"/>
    <w:rsid w:val="0086122B"/>
    <w:rsid w:val="00862473"/>
    <w:rsid w:val="0087693D"/>
    <w:rsid w:val="0089694C"/>
    <w:rsid w:val="008A3030"/>
    <w:rsid w:val="008C3A6A"/>
    <w:rsid w:val="008D7D8D"/>
    <w:rsid w:val="008E3351"/>
    <w:rsid w:val="008E7C34"/>
    <w:rsid w:val="00911B44"/>
    <w:rsid w:val="00912107"/>
    <w:rsid w:val="00913F25"/>
    <w:rsid w:val="00914DB2"/>
    <w:rsid w:val="009375FD"/>
    <w:rsid w:val="00941624"/>
    <w:rsid w:val="00950F11"/>
    <w:rsid w:val="00952951"/>
    <w:rsid w:val="0095778B"/>
    <w:rsid w:val="00982F90"/>
    <w:rsid w:val="00984EBE"/>
    <w:rsid w:val="00991A60"/>
    <w:rsid w:val="00993B51"/>
    <w:rsid w:val="009A6BEB"/>
    <w:rsid w:val="009A6F70"/>
    <w:rsid w:val="009B6F69"/>
    <w:rsid w:val="009D2A76"/>
    <w:rsid w:val="009E304F"/>
    <w:rsid w:val="00A01000"/>
    <w:rsid w:val="00A06020"/>
    <w:rsid w:val="00A1559C"/>
    <w:rsid w:val="00A25D30"/>
    <w:rsid w:val="00A31120"/>
    <w:rsid w:val="00A352C3"/>
    <w:rsid w:val="00A43CD9"/>
    <w:rsid w:val="00A43D19"/>
    <w:rsid w:val="00A46E47"/>
    <w:rsid w:val="00A47738"/>
    <w:rsid w:val="00A57229"/>
    <w:rsid w:val="00A63954"/>
    <w:rsid w:val="00A7272A"/>
    <w:rsid w:val="00A72ABA"/>
    <w:rsid w:val="00A931B4"/>
    <w:rsid w:val="00A96836"/>
    <w:rsid w:val="00A97527"/>
    <w:rsid w:val="00AA784F"/>
    <w:rsid w:val="00AC269B"/>
    <w:rsid w:val="00AC2A2F"/>
    <w:rsid w:val="00AC2ECE"/>
    <w:rsid w:val="00AD4A85"/>
    <w:rsid w:val="00AF0FD3"/>
    <w:rsid w:val="00AF3A54"/>
    <w:rsid w:val="00AF6CC9"/>
    <w:rsid w:val="00AF6F86"/>
    <w:rsid w:val="00B007FB"/>
    <w:rsid w:val="00B111D4"/>
    <w:rsid w:val="00B128EA"/>
    <w:rsid w:val="00B159C3"/>
    <w:rsid w:val="00B253F7"/>
    <w:rsid w:val="00B26408"/>
    <w:rsid w:val="00B27237"/>
    <w:rsid w:val="00B30724"/>
    <w:rsid w:val="00B51A44"/>
    <w:rsid w:val="00B624BC"/>
    <w:rsid w:val="00B6450B"/>
    <w:rsid w:val="00B7005D"/>
    <w:rsid w:val="00B753DA"/>
    <w:rsid w:val="00B75E47"/>
    <w:rsid w:val="00B84548"/>
    <w:rsid w:val="00B84DD6"/>
    <w:rsid w:val="00BB4824"/>
    <w:rsid w:val="00BC53E1"/>
    <w:rsid w:val="00BF193F"/>
    <w:rsid w:val="00BF46C7"/>
    <w:rsid w:val="00BF7E1F"/>
    <w:rsid w:val="00C024DD"/>
    <w:rsid w:val="00C10FB8"/>
    <w:rsid w:val="00C2013C"/>
    <w:rsid w:val="00C241FA"/>
    <w:rsid w:val="00C32013"/>
    <w:rsid w:val="00C3277B"/>
    <w:rsid w:val="00C366F0"/>
    <w:rsid w:val="00C67817"/>
    <w:rsid w:val="00C70300"/>
    <w:rsid w:val="00C7342A"/>
    <w:rsid w:val="00C7737A"/>
    <w:rsid w:val="00C8148F"/>
    <w:rsid w:val="00CA3EFF"/>
    <w:rsid w:val="00CB7BAD"/>
    <w:rsid w:val="00CB7DCE"/>
    <w:rsid w:val="00CC1A86"/>
    <w:rsid w:val="00CC2295"/>
    <w:rsid w:val="00CE2D65"/>
    <w:rsid w:val="00CF33AE"/>
    <w:rsid w:val="00CF6ABD"/>
    <w:rsid w:val="00D06CA2"/>
    <w:rsid w:val="00D208FD"/>
    <w:rsid w:val="00D2710D"/>
    <w:rsid w:val="00D3419A"/>
    <w:rsid w:val="00D43599"/>
    <w:rsid w:val="00D44AAC"/>
    <w:rsid w:val="00D50F6F"/>
    <w:rsid w:val="00D55AFB"/>
    <w:rsid w:val="00D63ED2"/>
    <w:rsid w:val="00D66B1C"/>
    <w:rsid w:val="00D66CC6"/>
    <w:rsid w:val="00D771EA"/>
    <w:rsid w:val="00D81A60"/>
    <w:rsid w:val="00DA109C"/>
    <w:rsid w:val="00DA209B"/>
    <w:rsid w:val="00DA67D2"/>
    <w:rsid w:val="00DB630F"/>
    <w:rsid w:val="00DC7290"/>
    <w:rsid w:val="00DC799F"/>
    <w:rsid w:val="00DD0443"/>
    <w:rsid w:val="00DD6ABA"/>
    <w:rsid w:val="00DE4A53"/>
    <w:rsid w:val="00DF6853"/>
    <w:rsid w:val="00E158AD"/>
    <w:rsid w:val="00E1753D"/>
    <w:rsid w:val="00E344A3"/>
    <w:rsid w:val="00E412BD"/>
    <w:rsid w:val="00E47047"/>
    <w:rsid w:val="00E555B8"/>
    <w:rsid w:val="00E650D3"/>
    <w:rsid w:val="00E73919"/>
    <w:rsid w:val="00E95A6F"/>
    <w:rsid w:val="00EA1445"/>
    <w:rsid w:val="00EA5DD2"/>
    <w:rsid w:val="00EB70A0"/>
    <w:rsid w:val="00EB7BFB"/>
    <w:rsid w:val="00EC037E"/>
    <w:rsid w:val="00EC118F"/>
    <w:rsid w:val="00EC1D68"/>
    <w:rsid w:val="00ED4316"/>
    <w:rsid w:val="00ED6759"/>
    <w:rsid w:val="00EE42B4"/>
    <w:rsid w:val="00EE5012"/>
    <w:rsid w:val="00EF2538"/>
    <w:rsid w:val="00EF79DD"/>
    <w:rsid w:val="00F04889"/>
    <w:rsid w:val="00F077EA"/>
    <w:rsid w:val="00F20C1C"/>
    <w:rsid w:val="00F27A8B"/>
    <w:rsid w:val="00F61253"/>
    <w:rsid w:val="00F670DC"/>
    <w:rsid w:val="00F756DB"/>
    <w:rsid w:val="00F85DC8"/>
    <w:rsid w:val="00F863A4"/>
    <w:rsid w:val="00FA5C49"/>
    <w:rsid w:val="00FA6CF4"/>
    <w:rsid w:val="00FA6E44"/>
    <w:rsid w:val="00FC74BD"/>
    <w:rsid w:val="00FD4810"/>
    <w:rsid w:val="00FE03EC"/>
    <w:rsid w:val="00FE79E3"/>
    <w:rsid w:val="00FF0592"/>
    <w:rsid w:val="00FF3236"/>
    <w:rsid w:val="00FF4F6F"/>
    <w:rsid w:val="00FF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6909F"/>
  <w15:docId w15:val="{AED023C7-31A6-4F71-8362-547EBD43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unhideWhenUsed/>
    <w:qFormat/>
    <w:pPr>
      <w:keepNext/>
      <w:keepLines/>
      <w:spacing w:before="40"/>
      <w:outlineLvl w:val="1"/>
    </w:pPr>
    <w:rPr>
      <w:color w:val="2F5496"/>
      <w:sz w:val="26"/>
      <w:szCs w:val="26"/>
    </w:rPr>
  </w:style>
  <w:style w:type="paragraph" w:styleId="Heading3">
    <w:name w:val="heading 3"/>
    <w:basedOn w:val="Normal"/>
    <w:next w:val="Normal"/>
    <w:uiPriority w:val="9"/>
    <w:unhideWhenUsed/>
    <w:qFormat/>
    <w:pPr>
      <w:keepNext/>
      <w:keepLines/>
      <w:spacing w:before="40" w:line="360" w:lineRule="auto"/>
      <w:outlineLvl w:val="2"/>
    </w:pPr>
    <w:rPr>
      <w:rFonts w:ascii="Times New Roman" w:eastAsia="Times New Roman" w:hAnsi="Times New Roman" w:cs="Times New Roman"/>
      <w:b/>
    </w:rPr>
  </w:style>
  <w:style w:type="paragraph" w:styleId="Heading4">
    <w:name w:val="heading 4"/>
    <w:basedOn w:val="Normal"/>
    <w:next w:val="Normal"/>
    <w:uiPriority w:val="9"/>
    <w:semiHidden/>
    <w:unhideWhenUsed/>
    <w:qFormat/>
    <w:pPr>
      <w:keepNext/>
      <w:keepLines/>
      <w:spacing w:before="4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sz w:val="22"/>
      <w:szCs w:val="22"/>
    </w:r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rPr>
      <w:sz w:val="22"/>
      <w:szCs w:val="22"/>
    </w:rPr>
    <w:tblPr>
      <w:tblStyleRowBandSize w:val="1"/>
      <w:tblStyleColBandSize w:val="1"/>
    </w:tblPr>
  </w:style>
  <w:style w:type="table" w:customStyle="1" w:styleId="a6">
    <w:basedOn w:val="TableNormal"/>
    <w:rPr>
      <w:sz w:val="22"/>
      <w:szCs w:val="22"/>
    </w:rPr>
    <w:tblPr>
      <w:tblStyleRowBandSize w:val="1"/>
      <w:tblStyleColBandSize w:val="1"/>
    </w:tblPr>
  </w:style>
  <w:style w:type="paragraph" w:styleId="NormalWeb">
    <w:name w:val="Normal (Web)"/>
    <w:basedOn w:val="Normal"/>
    <w:uiPriority w:val="99"/>
    <w:unhideWhenUsed/>
    <w:rsid w:val="008175B6"/>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C2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55B8"/>
    <w:pPr>
      <w:tabs>
        <w:tab w:val="center" w:pos="4680"/>
        <w:tab w:val="right" w:pos="9360"/>
      </w:tabs>
    </w:pPr>
  </w:style>
  <w:style w:type="character" w:customStyle="1" w:styleId="HeaderChar">
    <w:name w:val="Header Char"/>
    <w:basedOn w:val="DefaultParagraphFont"/>
    <w:link w:val="Header"/>
    <w:uiPriority w:val="99"/>
    <w:rsid w:val="00E555B8"/>
  </w:style>
  <w:style w:type="paragraph" w:styleId="Footer">
    <w:name w:val="footer"/>
    <w:basedOn w:val="Normal"/>
    <w:link w:val="FooterChar"/>
    <w:uiPriority w:val="99"/>
    <w:unhideWhenUsed/>
    <w:rsid w:val="00E555B8"/>
    <w:pPr>
      <w:tabs>
        <w:tab w:val="center" w:pos="4680"/>
        <w:tab w:val="right" w:pos="9360"/>
      </w:tabs>
    </w:pPr>
  </w:style>
  <w:style w:type="character" w:customStyle="1" w:styleId="FooterChar">
    <w:name w:val="Footer Char"/>
    <w:basedOn w:val="DefaultParagraphFont"/>
    <w:link w:val="Footer"/>
    <w:uiPriority w:val="99"/>
    <w:rsid w:val="00E555B8"/>
  </w:style>
  <w:style w:type="paragraph" w:styleId="TOC1">
    <w:name w:val="toc 1"/>
    <w:basedOn w:val="Normal"/>
    <w:next w:val="Normal"/>
    <w:autoRedefine/>
    <w:uiPriority w:val="39"/>
    <w:unhideWhenUsed/>
    <w:rsid w:val="00F756DB"/>
    <w:pPr>
      <w:spacing w:after="100"/>
    </w:pPr>
  </w:style>
  <w:style w:type="paragraph" w:styleId="TOC2">
    <w:name w:val="toc 2"/>
    <w:basedOn w:val="Normal"/>
    <w:next w:val="Normal"/>
    <w:autoRedefine/>
    <w:uiPriority w:val="39"/>
    <w:unhideWhenUsed/>
    <w:rsid w:val="00F756DB"/>
    <w:pPr>
      <w:spacing w:after="100"/>
      <w:ind w:left="240"/>
    </w:pPr>
  </w:style>
  <w:style w:type="paragraph" w:styleId="TOC3">
    <w:name w:val="toc 3"/>
    <w:basedOn w:val="Normal"/>
    <w:next w:val="Normal"/>
    <w:autoRedefine/>
    <w:uiPriority w:val="39"/>
    <w:unhideWhenUsed/>
    <w:rsid w:val="00F756DB"/>
    <w:pPr>
      <w:spacing w:after="100"/>
      <w:ind w:left="480"/>
    </w:pPr>
  </w:style>
  <w:style w:type="character" w:styleId="Hyperlink">
    <w:name w:val="Hyperlink"/>
    <w:basedOn w:val="DefaultParagraphFont"/>
    <w:uiPriority w:val="99"/>
    <w:unhideWhenUsed/>
    <w:rsid w:val="00F756DB"/>
    <w:rPr>
      <w:color w:val="0000FF" w:themeColor="hyperlink"/>
      <w:u w:val="single"/>
    </w:rPr>
  </w:style>
  <w:style w:type="paragraph" w:styleId="TOCHeading">
    <w:name w:val="TOC Heading"/>
    <w:basedOn w:val="Heading1"/>
    <w:next w:val="Normal"/>
    <w:uiPriority w:val="39"/>
    <w:unhideWhenUsed/>
    <w:qFormat/>
    <w:rsid w:val="00F756DB"/>
    <w:pPr>
      <w:spacing w:line="259" w:lineRule="auto"/>
      <w:outlineLvl w:val="9"/>
    </w:pPr>
    <w:rPr>
      <w:rFonts w:asciiTheme="majorHAnsi" w:eastAsiaTheme="majorEastAsia" w:hAnsiTheme="majorHAnsi" w:cstheme="majorBidi"/>
      <w:color w:val="365F91" w:themeColor="accent1" w:themeShade="BF"/>
    </w:rPr>
  </w:style>
  <w:style w:type="character" w:styleId="Strong">
    <w:name w:val="Strong"/>
    <w:basedOn w:val="DefaultParagraphFont"/>
    <w:uiPriority w:val="22"/>
    <w:qFormat/>
    <w:rsid w:val="00732592"/>
    <w:rPr>
      <w:b/>
      <w:bCs/>
    </w:rPr>
  </w:style>
  <w:style w:type="character" w:styleId="UnresolvedMention">
    <w:name w:val="Unresolved Mention"/>
    <w:basedOn w:val="DefaultParagraphFont"/>
    <w:uiPriority w:val="99"/>
    <w:semiHidden/>
    <w:unhideWhenUsed/>
    <w:rsid w:val="0045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77465">
      <w:bodyDiv w:val="1"/>
      <w:marLeft w:val="0"/>
      <w:marRight w:val="0"/>
      <w:marTop w:val="0"/>
      <w:marBottom w:val="0"/>
      <w:divBdr>
        <w:top w:val="none" w:sz="0" w:space="0" w:color="auto"/>
        <w:left w:val="none" w:sz="0" w:space="0" w:color="auto"/>
        <w:bottom w:val="none" w:sz="0" w:space="0" w:color="auto"/>
        <w:right w:val="none" w:sz="0" w:space="0" w:color="auto"/>
      </w:divBdr>
    </w:div>
    <w:div w:id="94400341">
      <w:bodyDiv w:val="1"/>
      <w:marLeft w:val="0"/>
      <w:marRight w:val="0"/>
      <w:marTop w:val="0"/>
      <w:marBottom w:val="0"/>
      <w:divBdr>
        <w:top w:val="none" w:sz="0" w:space="0" w:color="auto"/>
        <w:left w:val="none" w:sz="0" w:space="0" w:color="auto"/>
        <w:bottom w:val="none" w:sz="0" w:space="0" w:color="auto"/>
        <w:right w:val="none" w:sz="0" w:space="0" w:color="auto"/>
      </w:divBdr>
    </w:div>
    <w:div w:id="161775133">
      <w:bodyDiv w:val="1"/>
      <w:marLeft w:val="0"/>
      <w:marRight w:val="0"/>
      <w:marTop w:val="0"/>
      <w:marBottom w:val="0"/>
      <w:divBdr>
        <w:top w:val="none" w:sz="0" w:space="0" w:color="auto"/>
        <w:left w:val="none" w:sz="0" w:space="0" w:color="auto"/>
        <w:bottom w:val="none" w:sz="0" w:space="0" w:color="auto"/>
        <w:right w:val="none" w:sz="0" w:space="0" w:color="auto"/>
      </w:divBdr>
    </w:div>
    <w:div w:id="231500422">
      <w:bodyDiv w:val="1"/>
      <w:marLeft w:val="0"/>
      <w:marRight w:val="0"/>
      <w:marTop w:val="0"/>
      <w:marBottom w:val="0"/>
      <w:divBdr>
        <w:top w:val="none" w:sz="0" w:space="0" w:color="auto"/>
        <w:left w:val="none" w:sz="0" w:space="0" w:color="auto"/>
        <w:bottom w:val="none" w:sz="0" w:space="0" w:color="auto"/>
        <w:right w:val="none" w:sz="0" w:space="0" w:color="auto"/>
      </w:divBdr>
    </w:div>
    <w:div w:id="500051267">
      <w:bodyDiv w:val="1"/>
      <w:marLeft w:val="0"/>
      <w:marRight w:val="0"/>
      <w:marTop w:val="0"/>
      <w:marBottom w:val="0"/>
      <w:divBdr>
        <w:top w:val="none" w:sz="0" w:space="0" w:color="auto"/>
        <w:left w:val="none" w:sz="0" w:space="0" w:color="auto"/>
        <w:bottom w:val="none" w:sz="0" w:space="0" w:color="auto"/>
        <w:right w:val="none" w:sz="0" w:space="0" w:color="auto"/>
      </w:divBdr>
    </w:div>
    <w:div w:id="656691112">
      <w:bodyDiv w:val="1"/>
      <w:marLeft w:val="0"/>
      <w:marRight w:val="0"/>
      <w:marTop w:val="0"/>
      <w:marBottom w:val="0"/>
      <w:divBdr>
        <w:top w:val="none" w:sz="0" w:space="0" w:color="auto"/>
        <w:left w:val="none" w:sz="0" w:space="0" w:color="auto"/>
        <w:bottom w:val="none" w:sz="0" w:space="0" w:color="auto"/>
        <w:right w:val="none" w:sz="0" w:space="0" w:color="auto"/>
      </w:divBdr>
    </w:div>
    <w:div w:id="695161759">
      <w:bodyDiv w:val="1"/>
      <w:marLeft w:val="0"/>
      <w:marRight w:val="0"/>
      <w:marTop w:val="0"/>
      <w:marBottom w:val="0"/>
      <w:divBdr>
        <w:top w:val="none" w:sz="0" w:space="0" w:color="auto"/>
        <w:left w:val="none" w:sz="0" w:space="0" w:color="auto"/>
        <w:bottom w:val="none" w:sz="0" w:space="0" w:color="auto"/>
        <w:right w:val="none" w:sz="0" w:space="0" w:color="auto"/>
      </w:divBdr>
    </w:div>
    <w:div w:id="773092011">
      <w:bodyDiv w:val="1"/>
      <w:marLeft w:val="0"/>
      <w:marRight w:val="0"/>
      <w:marTop w:val="0"/>
      <w:marBottom w:val="0"/>
      <w:divBdr>
        <w:top w:val="none" w:sz="0" w:space="0" w:color="auto"/>
        <w:left w:val="none" w:sz="0" w:space="0" w:color="auto"/>
        <w:bottom w:val="none" w:sz="0" w:space="0" w:color="auto"/>
        <w:right w:val="none" w:sz="0" w:space="0" w:color="auto"/>
      </w:divBdr>
      <w:divsChild>
        <w:div w:id="980695926">
          <w:marLeft w:val="446"/>
          <w:marRight w:val="0"/>
          <w:marTop w:val="0"/>
          <w:marBottom w:val="0"/>
          <w:divBdr>
            <w:top w:val="none" w:sz="0" w:space="0" w:color="auto"/>
            <w:left w:val="none" w:sz="0" w:space="0" w:color="auto"/>
            <w:bottom w:val="none" w:sz="0" w:space="0" w:color="auto"/>
            <w:right w:val="none" w:sz="0" w:space="0" w:color="auto"/>
          </w:divBdr>
        </w:div>
      </w:divsChild>
    </w:div>
    <w:div w:id="933167141">
      <w:bodyDiv w:val="1"/>
      <w:marLeft w:val="0"/>
      <w:marRight w:val="0"/>
      <w:marTop w:val="0"/>
      <w:marBottom w:val="0"/>
      <w:divBdr>
        <w:top w:val="none" w:sz="0" w:space="0" w:color="auto"/>
        <w:left w:val="none" w:sz="0" w:space="0" w:color="auto"/>
        <w:bottom w:val="none" w:sz="0" w:space="0" w:color="auto"/>
        <w:right w:val="none" w:sz="0" w:space="0" w:color="auto"/>
      </w:divBdr>
    </w:div>
    <w:div w:id="1055352352">
      <w:bodyDiv w:val="1"/>
      <w:marLeft w:val="0"/>
      <w:marRight w:val="0"/>
      <w:marTop w:val="0"/>
      <w:marBottom w:val="0"/>
      <w:divBdr>
        <w:top w:val="none" w:sz="0" w:space="0" w:color="auto"/>
        <w:left w:val="none" w:sz="0" w:space="0" w:color="auto"/>
        <w:bottom w:val="none" w:sz="0" w:space="0" w:color="auto"/>
        <w:right w:val="none" w:sz="0" w:space="0" w:color="auto"/>
      </w:divBdr>
    </w:div>
    <w:div w:id="1142964930">
      <w:bodyDiv w:val="1"/>
      <w:marLeft w:val="0"/>
      <w:marRight w:val="0"/>
      <w:marTop w:val="0"/>
      <w:marBottom w:val="0"/>
      <w:divBdr>
        <w:top w:val="none" w:sz="0" w:space="0" w:color="auto"/>
        <w:left w:val="none" w:sz="0" w:space="0" w:color="auto"/>
        <w:bottom w:val="none" w:sz="0" w:space="0" w:color="auto"/>
        <w:right w:val="none" w:sz="0" w:space="0" w:color="auto"/>
      </w:divBdr>
    </w:div>
    <w:div w:id="1275478240">
      <w:bodyDiv w:val="1"/>
      <w:marLeft w:val="0"/>
      <w:marRight w:val="0"/>
      <w:marTop w:val="0"/>
      <w:marBottom w:val="0"/>
      <w:divBdr>
        <w:top w:val="none" w:sz="0" w:space="0" w:color="auto"/>
        <w:left w:val="none" w:sz="0" w:space="0" w:color="auto"/>
        <w:bottom w:val="none" w:sz="0" w:space="0" w:color="auto"/>
        <w:right w:val="none" w:sz="0" w:space="0" w:color="auto"/>
      </w:divBdr>
    </w:div>
    <w:div w:id="1365013771">
      <w:bodyDiv w:val="1"/>
      <w:marLeft w:val="0"/>
      <w:marRight w:val="0"/>
      <w:marTop w:val="0"/>
      <w:marBottom w:val="0"/>
      <w:divBdr>
        <w:top w:val="none" w:sz="0" w:space="0" w:color="auto"/>
        <w:left w:val="none" w:sz="0" w:space="0" w:color="auto"/>
        <w:bottom w:val="none" w:sz="0" w:space="0" w:color="auto"/>
        <w:right w:val="none" w:sz="0" w:space="0" w:color="auto"/>
      </w:divBdr>
    </w:div>
    <w:div w:id="1497842030">
      <w:bodyDiv w:val="1"/>
      <w:marLeft w:val="0"/>
      <w:marRight w:val="0"/>
      <w:marTop w:val="0"/>
      <w:marBottom w:val="0"/>
      <w:divBdr>
        <w:top w:val="none" w:sz="0" w:space="0" w:color="auto"/>
        <w:left w:val="none" w:sz="0" w:space="0" w:color="auto"/>
        <w:bottom w:val="none" w:sz="0" w:space="0" w:color="auto"/>
        <w:right w:val="none" w:sz="0" w:space="0" w:color="auto"/>
      </w:divBdr>
    </w:div>
    <w:div w:id="1638535130">
      <w:bodyDiv w:val="1"/>
      <w:marLeft w:val="0"/>
      <w:marRight w:val="0"/>
      <w:marTop w:val="0"/>
      <w:marBottom w:val="0"/>
      <w:divBdr>
        <w:top w:val="none" w:sz="0" w:space="0" w:color="auto"/>
        <w:left w:val="none" w:sz="0" w:space="0" w:color="auto"/>
        <w:bottom w:val="none" w:sz="0" w:space="0" w:color="auto"/>
        <w:right w:val="none" w:sz="0" w:space="0" w:color="auto"/>
      </w:divBdr>
    </w:div>
    <w:div w:id="1672368882">
      <w:bodyDiv w:val="1"/>
      <w:marLeft w:val="0"/>
      <w:marRight w:val="0"/>
      <w:marTop w:val="0"/>
      <w:marBottom w:val="0"/>
      <w:divBdr>
        <w:top w:val="none" w:sz="0" w:space="0" w:color="auto"/>
        <w:left w:val="none" w:sz="0" w:space="0" w:color="auto"/>
        <w:bottom w:val="none" w:sz="0" w:space="0" w:color="auto"/>
        <w:right w:val="none" w:sz="0" w:space="0" w:color="auto"/>
      </w:divBdr>
    </w:div>
    <w:div w:id="2118910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4/relationships/chartEx" Target="charts/chartEx1.xml"/><Relationship Id="rId24"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footer" Target="footer3.xml"/><Relationship Id="rId10" Type="http://schemas.openxmlformats.org/officeDocument/2006/relationships/image" Target="media/image3.jp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svg"/><Relationship Id="rId22" Type="http://schemas.openxmlformats.org/officeDocument/2006/relationships/header" Target="header3.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Krwego\Research%20Stuff\Research%20deals\Dr%20Kyara\Figure-Kyara.xlsx" TargetMode="Externa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Sheet1!$B$2:$B$26</cx:f>
        <cx:lvl ptCount="25">
          <cx:pt idx="0">Initial IOP</cx:pt>
          <cx:pt idx="1">Initial IOP</cx:pt>
          <cx:pt idx="2">Initial IOP</cx:pt>
          <cx:pt idx="3">Initial IOP</cx:pt>
          <cx:pt idx="4">Initial IOP</cx:pt>
          <cx:pt idx="5">IOP day one</cx:pt>
          <cx:pt idx="6">IOP day one</cx:pt>
          <cx:pt idx="7">IOP day one</cx:pt>
          <cx:pt idx="8">IOP day one</cx:pt>
          <cx:pt idx="9">IOP day one</cx:pt>
          <cx:pt idx="10">IOP 2 weeks</cx:pt>
          <cx:pt idx="11">IOP 2 weeks</cx:pt>
          <cx:pt idx="12">IOP 2 weeks</cx:pt>
          <cx:pt idx="13">IOP 2 weeks</cx:pt>
          <cx:pt idx="14">IOP 2 weeks</cx:pt>
          <cx:pt idx="15">IOP 6 weeks</cx:pt>
          <cx:pt idx="16">IOP 6 weeks</cx:pt>
          <cx:pt idx="17">IOP 6 weeks</cx:pt>
          <cx:pt idx="18">IOP 6 weeks</cx:pt>
          <cx:pt idx="19">IOP 6 weeks</cx:pt>
          <cx:pt idx="20">IOP 3 month</cx:pt>
          <cx:pt idx="21">IOP 3 month</cx:pt>
          <cx:pt idx="22">IOP 3 month</cx:pt>
          <cx:pt idx="23">IOP 3 month</cx:pt>
          <cx:pt idx="24">IOP 3 month</cx:pt>
        </cx:lvl>
      </cx:strDim>
      <cx:numDim type="val">
        <cx:f>Sheet1!$C$2:$C$26</cx:f>
        <cx:lvl ptCount="25" formatCode="General">
          <cx:pt idx="0">30</cx:pt>
          <cx:pt idx="1">39</cx:pt>
          <cx:pt idx="2">46.5</cx:pt>
          <cx:pt idx="3">56</cx:pt>
          <cx:pt idx="4">94</cx:pt>
          <cx:pt idx="5">6</cx:pt>
          <cx:pt idx="6">22</cx:pt>
          <cx:pt idx="7">29</cx:pt>
          <cx:pt idx="8">38</cx:pt>
          <cx:pt idx="9">56</cx:pt>
          <cx:pt idx="10">8</cx:pt>
          <cx:pt idx="11">23</cx:pt>
          <cx:pt idx="12">31</cx:pt>
          <cx:pt idx="13">38</cx:pt>
          <cx:pt idx="14">63</cx:pt>
          <cx:pt idx="15">5</cx:pt>
          <cx:pt idx="16">18</cx:pt>
          <cx:pt idx="17">25</cx:pt>
          <cx:pt idx="18">39</cx:pt>
          <cx:pt idx="19">60</cx:pt>
          <cx:pt idx="20">5</cx:pt>
          <cx:pt idx="21">18</cx:pt>
          <cx:pt idx="22">25</cx:pt>
          <cx:pt idx="23">38</cx:pt>
          <cx:pt idx="24">64</cx:pt>
        </cx:lvl>
      </cx:numDim>
    </cx:data>
  </cx:chartData>
  <cx:chart>
    <cx:plotArea>
      <cx:plotAreaRegion>
        <cx:series layoutId="boxWhisker" uniqueId="{5D68CF38-0A6F-4BEC-BFED-B23EADD9A305}">
          <cx:spPr>
            <a:gradFill>
              <a:gsLst>
                <a:gs pos="0">
                  <a:schemeClr val="accent1">
                    <a:lumMod val="7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cx:spPr>
          <cx:dataLabels>
            <cx:txPr>
              <a:bodyPr spcFirstLastPara="1" vertOverflow="ellipsis" horzOverflow="overflow" wrap="square" lIns="0" tIns="0" rIns="0" bIns="0" anchor="ctr" anchorCtr="1"/>
              <a:lstStyle/>
              <a:p>
                <a:pPr algn="ctr" rtl="0">
                  <a:defRPr sz="1050">
                    <a:solidFill>
                      <a:sysClr val="windowText" lastClr="000000"/>
                    </a:solidFill>
                  </a:defRPr>
                </a:pPr>
                <a:endParaRPr lang="en-US" sz="1050" b="0" i="0" u="none" strike="noStrike" baseline="0">
                  <a:solidFill>
                    <a:sysClr val="windowText" lastClr="000000"/>
                  </a:solidFill>
                  <a:latin typeface="Calibri" panose="020F0502020204030204"/>
                </a:endParaRPr>
              </a:p>
            </cx:txPr>
            <cx:visibility seriesName="0" categoryName="0" value="1"/>
          </cx:dataLabels>
          <cx:dataId val="0"/>
          <cx:layoutPr>
            <cx:visibility meanLine="0" meanMarker="0" nonoutliers="0" outliers="1"/>
            <cx:statistics quartileMethod="inclusive"/>
          </cx:layoutPr>
        </cx:series>
      </cx:plotAreaRegion>
      <cx:axis id="0">
        <cx:catScaling gapWidth="1"/>
        <cx:tickLabels/>
        <cx:txPr>
          <a:bodyPr spcFirstLastPara="1" vertOverflow="ellipsis" horzOverflow="overflow" wrap="square" lIns="0" tIns="0" rIns="0" bIns="0" anchor="ctr" anchorCtr="1"/>
          <a:lstStyle/>
          <a:p>
            <a:pPr algn="ctr" rtl="0">
              <a:defRPr sz="1200" b="1">
                <a:solidFill>
                  <a:sysClr val="windowText" lastClr="000000"/>
                </a:solidFill>
              </a:defRPr>
            </a:pPr>
            <a:endParaRPr lang="en-US" sz="1200" b="1" i="0" u="none" strike="noStrike" baseline="0">
              <a:solidFill>
                <a:sysClr val="windowText" lastClr="000000"/>
              </a:solidFill>
              <a:latin typeface="Calibri" panose="020F0502020204030204"/>
            </a:endParaRPr>
          </a:p>
        </cx:txPr>
      </cx:axis>
      <cx:axis id="1">
        <cx:valScaling/>
        <cx:title>
          <cx:tx>
            <cx:txData>
              <cx:v>IOP in mmHg</cx:v>
            </cx:txData>
          </cx:tx>
          <cx:txPr>
            <a:bodyPr spcFirstLastPara="1" vertOverflow="ellipsis" horzOverflow="overflow" wrap="square" lIns="0" tIns="0" rIns="0" bIns="0" anchor="ctr" anchorCtr="1"/>
            <a:lstStyle/>
            <a:p>
              <a:pPr algn="ctr" rtl="0">
                <a:defRPr sz="1200"/>
              </a:pPr>
              <a:r>
                <a:rPr lang="en-US" sz="1200" b="1" i="0" u="none" strike="noStrike" baseline="0">
                  <a:solidFill>
                    <a:sysClr val="windowText" lastClr="000000"/>
                  </a:solidFill>
                  <a:latin typeface="Calibri" panose="020F0502020204030204"/>
                </a:rPr>
                <a:t>IOP in mmHg</a:t>
              </a:r>
            </a:p>
          </cx:txPr>
        </cx:title>
        <cx:majorGridlines/>
        <cx:tickLabels/>
        <cx:txPr>
          <a:bodyPr spcFirstLastPara="1" vertOverflow="ellipsis" horzOverflow="overflow" wrap="square" lIns="0" tIns="0" rIns="0" bIns="0" anchor="ctr" anchorCtr="1"/>
          <a:lstStyle/>
          <a:p>
            <a:pPr algn="ctr" rtl="0">
              <a:defRPr sz="1050" b="1">
                <a:solidFill>
                  <a:sysClr val="windowText" lastClr="000000"/>
                </a:solidFill>
              </a:defRPr>
            </a:pPr>
            <a:endParaRPr lang="en-US" sz="1050" b="1" i="0" u="none" strike="noStrike" baseline="0">
              <a:solidFill>
                <a:sysClr val="windowText" lastClr="000000"/>
              </a:solidFill>
              <a:latin typeface="Calibri" panose="020F0502020204030204"/>
            </a:endParaRPr>
          </a:p>
        </cx:txPr>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F8AE3-36F3-495E-A136-E474414B7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17</Pages>
  <Words>16927</Words>
  <Characters>96487</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Kyara</dc:creator>
  <cp:lastModifiedBy>Editor-22</cp:lastModifiedBy>
  <cp:revision>60</cp:revision>
  <dcterms:created xsi:type="dcterms:W3CDTF">2025-06-25T07:15:00Z</dcterms:created>
  <dcterms:modified xsi:type="dcterms:W3CDTF">2025-07-01T10:26:00Z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12th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4th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92b440eb-7e24-32c2-b503-321b3a4ff66a</vt:lpwstr>
  </property>
  <property fmtid="{D5CDD505-2E9C-101B-9397-08002B2CF9AE}" pid="24" name="Mendeley Citation Style_1">
    <vt:lpwstr>http://www.zotero.org/styles/vancouver</vt:lpwstr>
  </property>
  <property fmtid="{D5CDD505-2E9C-101B-9397-08002B2CF9AE}" pid="25" name="KSOProductBuildVer">
    <vt:lpwstr>1033-11.2.0.11537</vt:lpwstr>
  </property>
  <property fmtid="{D5CDD505-2E9C-101B-9397-08002B2CF9AE}" pid="26" name="ICV">
    <vt:lpwstr>9BC54B5241B84E3CB8D2158F373F7A0E</vt:lpwstr>
  </property>
</Properties>
</file>