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1C6FA" w14:textId="77777777" w:rsidR="00754C9A" w:rsidRDefault="00754C9A" w:rsidP="00441B6F">
      <w:pPr>
        <w:pStyle w:val="Title"/>
        <w:spacing w:after="0"/>
        <w:jc w:val="both"/>
        <w:rPr>
          <w:rFonts w:ascii="Arial" w:hAnsi="Arial" w:cs="Arial"/>
        </w:rPr>
      </w:pPr>
    </w:p>
    <w:p w14:paraId="63BFF7AF" w14:textId="488BB2BD" w:rsidR="00A258C3" w:rsidRDefault="00CE1A93" w:rsidP="00441B6F">
      <w:pPr>
        <w:pStyle w:val="Author"/>
        <w:spacing w:line="240" w:lineRule="auto"/>
        <w:jc w:val="both"/>
        <w:rPr>
          <w:rFonts w:ascii="Arial" w:hAnsi="Arial" w:cs="Arial"/>
          <w:bCs/>
          <w:color w:val="262626"/>
          <w:szCs w:val="24"/>
        </w:rPr>
      </w:pPr>
      <w:r w:rsidRPr="004F612C">
        <w:rPr>
          <w:rFonts w:ascii="Arial" w:hAnsi="Arial" w:cs="Arial"/>
          <w:bCs/>
          <w:color w:val="262626"/>
          <w:szCs w:val="24"/>
        </w:rPr>
        <w:t>Impact of Genotype and Phosphorus Fertilization on the Occurrence of Phosphorus Solubilizers at Different Developmental Stages of Wheat</w:t>
      </w:r>
    </w:p>
    <w:p w14:paraId="736933A9" w14:textId="77777777" w:rsidR="00E82BFB" w:rsidRPr="004F612C" w:rsidRDefault="00E82BFB" w:rsidP="00441B6F">
      <w:pPr>
        <w:pStyle w:val="Author"/>
        <w:spacing w:line="240" w:lineRule="auto"/>
        <w:jc w:val="both"/>
        <w:rPr>
          <w:rFonts w:ascii="Arial" w:hAnsi="Arial" w:cs="Arial"/>
          <w:szCs w:val="24"/>
        </w:rPr>
      </w:pPr>
    </w:p>
    <w:p w14:paraId="62FDC7BE" w14:textId="20E9528E" w:rsidR="00633614" w:rsidRDefault="00633614" w:rsidP="00441B6F">
      <w:pPr>
        <w:pStyle w:val="Affiliation"/>
        <w:spacing w:after="0" w:line="240" w:lineRule="auto"/>
        <w:rPr>
          <w:rFonts w:ascii="Arial" w:hAnsi="Arial" w:cs="Arial"/>
          <w:i/>
        </w:rPr>
      </w:pPr>
    </w:p>
    <w:p w14:paraId="3CE4AA14" w14:textId="77777777" w:rsidR="00790ADA" w:rsidRDefault="00790ADA" w:rsidP="00441B6F">
      <w:pPr>
        <w:pStyle w:val="Affiliation"/>
        <w:spacing w:after="0" w:line="240" w:lineRule="auto"/>
        <w:jc w:val="both"/>
        <w:rPr>
          <w:rFonts w:ascii="Arial" w:hAnsi="Arial" w:cs="Arial"/>
        </w:rPr>
      </w:pPr>
    </w:p>
    <w:p w14:paraId="34B709F8" w14:textId="21C210B5" w:rsidR="00B01FCD" w:rsidRDefault="007D2339" w:rsidP="00A465D4">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523DA01" wp14:editId="23560140">
                <wp:extent cx="5303520" cy="635"/>
                <wp:effectExtent l="13335" t="13335" r="17145" b="15240"/>
                <wp:docPr id="20066132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E26FA8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D063C44" w14:textId="052AEC5A" w:rsidR="00790ADA" w:rsidRPr="00FB3A86" w:rsidRDefault="0086447B" w:rsidP="00441B6F">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FC69209" w14:textId="77777777" w:rsidTr="001E44FE">
        <w:tc>
          <w:tcPr>
            <w:tcW w:w="9576" w:type="dxa"/>
            <w:shd w:val="clear" w:color="auto" w:fill="F2F2F2"/>
          </w:tcPr>
          <w:p w14:paraId="29B84EEF" w14:textId="77777777" w:rsidR="00A465D4" w:rsidRPr="00A465D4" w:rsidRDefault="00BA1B01" w:rsidP="00A465D4">
            <w:pPr>
              <w:rPr>
                <w:rFonts w:ascii="Arial" w:hAnsi="Arial" w:cs="Arial"/>
                <w:sz w:val="22"/>
                <w:szCs w:val="22"/>
              </w:rPr>
            </w:pPr>
            <w:r w:rsidRPr="00BA1B01">
              <w:rPr>
                <w:rFonts w:ascii="Arial" w:eastAsia="Calibri" w:hAnsi="Arial" w:cs="Arial"/>
                <w:b/>
                <w:szCs w:val="22"/>
              </w:rPr>
              <w:t>Aims</w:t>
            </w:r>
            <w:r w:rsidRPr="00A465D4">
              <w:rPr>
                <w:rFonts w:ascii="Arial" w:eastAsia="Calibri" w:hAnsi="Arial" w:cs="Arial"/>
                <w:b/>
                <w:sz w:val="22"/>
                <w:szCs w:val="22"/>
              </w:rPr>
              <w:t xml:space="preserve">: </w:t>
            </w:r>
            <w:r w:rsidR="00A465D4" w:rsidRPr="00A465D4">
              <w:rPr>
                <w:rFonts w:ascii="Arial" w:hAnsi="Arial" w:cs="Arial"/>
                <w:sz w:val="22"/>
                <w:szCs w:val="22"/>
              </w:rPr>
              <w:t>This study aimed to investigate (</w:t>
            </w:r>
            <w:proofErr w:type="spellStart"/>
            <w:r w:rsidR="00A465D4" w:rsidRPr="00A465D4">
              <w:rPr>
                <w:rFonts w:ascii="Arial" w:hAnsi="Arial" w:cs="Arial"/>
                <w:sz w:val="22"/>
                <w:szCs w:val="22"/>
              </w:rPr>
              <w:t>i</w:t>
            </w:r>
            <w:proofErr w:type="spellEnd"/>
            <w:r w:rsidR="00A465D4" w:rsidRPr="00A465D4">
              <w:rPr>
                <w:rFonts w:ascii="Arial" w:hAnsi="Arial" w:cs="Arial"/>
                <w:sz w:val="22"/>
                <w:szCs w:val="22"/>
              </w:rPr>
              <w:t xml:space="preserve">) how wheat genotype (landrace vs. modern cultivars) and phosphorus (P) fertilization influence the occurrence of phosphate-solubilizing bacteria (PSB) in </w:t>
            </w:r>
            <w:proofErr w:type="spellStart"/>
            <w:r w:rsidR="00A465D4" w:rsidRPr="00A465D4">
              <w:rPr>
                <w:rFonts w:ascii="Arial" w:hAnsi="Arial" w:cs="Arial"/>
                <w:sz w:val="22"/>
                <w:szCs w:val="22"/>
              </w:rPr>
              <w:t>rhizospheric</w:t>
            </w:r>
            <w:proofErr w:type="spellEnd"/>
            <w:r w:rsidR="00A465D4" w:rsidRPr="00A465D4">
              <w:rPr>
                <w:rFonts w:ascii="Arial" w:hAnsi="Arial" w:cs="Arial"/>
                <w:sz w:val="22"/>
                <w:szCs w:val="22"/>
              </w:rPr>
              <w:t xml:space="preserve"> soil, roots, and shoots across different developmental stages, and (ii) to characterize the functional traits of PSB isolates to identify efficient candidates for bioinoculant development.</w:t>
            </w:r>
          </w:p>
          <w:p w14:paraId="358304EA" w14:textId="43EBF9F8" w:rsidR="00BA1B01" w:rsidRPr="00A465D4" w:rsidRDefault="00BA1B01" w:rsidP="00A465D4">
            <w:pPr>
              <w:pStyle w:val="Body"/>
              <w:spacing w:after="0"/>
              <w:jc w:val="left"/>
              <w:rPr>
                <w:rFonts w:ascii="Arial" w:eastAsia="Calibri" w:hAnsi="Arial" w:cs="Arial"/>
                <w:sz w:val="22"/>
                <w:szCs w:val="22"/>
              </w:rPr>
            </w:pPr>
            <w:r w:rsidRPr="00A465D4">
              <w:rPr>
                <w:rFonts w:ascii="Arial" w:eastAsia="Calibri" w:hAnsi="Arial" w:cs="Arial"/>
                <w:b/>
                <w:sz w:val="22"/>
                <w:szCs w:val="22"/>
              </w:rPr>
              <w:t>Study design:</w:t>
            </w:r>
            <w:r w:rsidRPr="00A465D4">
              <w:rPr>
                <w:rFonts w:ascii="Arial" w:eastAsia="Calibri" w:hAnsi="Arial" w:cs="Arial"/>
                <w:sz w:val="22"/>
                <w:szCs w:val="22"/>
              </w:rPr>
              <w:t xml:space="preserve">  </w:t>
            </w:r>
            <w:r w:rsidR="00A465D4" w:rsidRPr="00A465D4">
              <w:rPr>
                <w:rFonts w:ascii="Arial" w:eastAsia="Calibri" w:hAnsi="Arial" w:cs="Arial"/>
                <w:sz w:val="22"/>
                <w:szCs w:val="22"/>
              </w:rPr>
              <w:t>Field trails, randomized block design.</w:t>
            </w:r>
          </w:p>
          <w:p w14:paraId="7E60570D" w14:textId="00438BFD" w:rsidR="00BA1B01" w:rsidRPr="00A465D4" w:rsidRDefault="00BA1B01" w:rsidP="00A465D4">
            <w:pPr>
              <w:pStyle w:val="Body"/>
              <w:spacing w:after="0"/>
              <w:jc w:val="left"/>
              <w:rPr>
                <w:rFonts w:ascii="Arial" w:eastAsia="Calibri" w:hAnsi="Arial" w:cs="Arial"/>
                <w:sz w:val="22"/>
                <w:szCs w:val="22"/>
              </w:rPr>
            </w:pPr>
            <w:r w:rsidRPr="00A465D4">
              <w:rPr>
                <w:rFonts w:ascii="Arial" w:eastAsia="Calibri" w:hAnsi="Arial" w:cs="Arial"/>
                <w:b/>
                <w:sz w:val="22"/>
                <w:szCs w:val="22"/>
              </w:rPr>
              <w:t>Place and Duration of Study:</w:t>
            </w:r>
            <w:r w:rsidRPr="00A465D4">
              <w:rPr>
                <w:rFonts w:ascii="Arial" w:eastAsia="Calibri" w:hAnsi="Arial" w:cs="Arial"/>
                <w:sz w:val="22"/>
                <w:szCs w:val="22"/>
              </w:rPr>
              <w:t xml:space="preserve"> </w:t>
            </w:r>
            <w:r w:rsidR="00A465D4" w:rsidRPr="00A465D4">
              <w:rPr>
                <w:rFonts w:ascii="Arial" w:eastAsia="Calibri" w:hAnsi="Arial" w:cs="Arial"/>
                <w:sz w:val="22"/>
                <w:szCs w:val="22"/>
              </w:rPr>
              <w:t>Research fields, Department of Plant Breeding and Genetics, College of Agriculture, Punjab Agriculture University Ludhiana Punjab.</w:t>
            </w:r>
          </w:p>
          <w:p w14:paraId="376F58BE" w14:textId="611FB6D8" w:rsidR="00A465D4" w:rsidRPr="00A465D4" w:rsidRDefault="00BA1B01" w:rsidP="00A465D4">
            <w:pPr>
              <w:rPr>
                <w:rFonts w:ascii="Arial" w:hAnsi="Arial" w:cs="Arial"/>
                <w:sz w:val="22"/>
                <w:szCs w:val="22"/>
              </w:rPr>
            </w:pPr>
            <w:r w:rsidRPr="00A465D4">
              <w:rPr>
                <w:rFonts w:ascii="Arial" w:eastAsia="Calibri" w:hAnsi="Arial" w:cs="Arial"/>
                <w:b/>
                <w:bCs/>
                <w:sz w:val="22"/>
                <w:szCs w:val="22"/>
              </w:rPr>
              <w:t>Methodology:</w:t>
            </w:r>
            <w:r w:rsidRPr="00A465D4">
              <w:rPr>
                <w:rFonts w:ascii="Arial" w:eastAsia="Calibri" w:hAnsi="Arial" w:cs="Arial"/>
                <w:sz w:val="22"/>
                <w:szCs w:val="22"/>
              </w:rPr>
              <w:t xml:space="preserve"> </w:t>
            </w:r>
            <w:r w:rsidR="00A465D4" w:rsidRPr="00A465D4">
              <w:rPr>
                <w:rFonts w:ascii="Arial" w:hAnsi="Arial" w:cs="Arial"/>
                <w:sz w:val="22"/>
                <w:szCs w:val="22"/>
              </w:rPr>
              <w:t xml:space="preserve">Field experiments were conducted with a wheat landrace (LC306) and two modern cultivars (PBW725, HD3086) under P-amended and P-starved conditions in a randomized block design. Samples from </w:t>
            </w:r>
            <w:proofErr w:type="spellStart"/>
            <w:r w:rsidR="00A465D4" w:rsidRPr="00A465D4">
              <w:rPr>
                <w:rFonts w:ascii="Arial" w:hAnsi="Arial" w:cs="Arial"/>
                <w:sz w:val="22"/>
                <w:szCs w:val="22"/>
              </w:rPr>
              <w:t>rhizospheric</w:t>
            </w:r>
            <w:proofErr w:type="spellEnd"/>
            <w:r w:rsidR="00A465D4" w:rsidRPr="00A465D4">
              <w:rPr>
                <w:rFonts w:ascii="Arial" w:hAnsi="Arial" w:cs="Arial"/>
                <w:sz w:val="22"/>
                <w:szCs w:val="22"/>
              </w:rPr>
              <w:t xml:space="preserve"> soil, root, and shoot tissues were collected at four developmental stages (20-25</w:t>
            </w:r>
            <w:r w:rsidR="003A3FE2">
              <w:rPr>
                <w:rFonts w:ascii="Arial" w:hAnsi="Arial" w:cs="Arial"/>
                <w:sz w:val="22"/>
                <w:szCs w:val="22"/>
              </w:rPr>
              <w:t xml:space="preserve"> days after sowing DAS</w:t>
            </w:r>
            <w:r w:rsidR="00A465D4" w:rsidRPr="00A465D4">
              <w:rPr>
                <w:rFonts w:ascii="Arial" w:hAnsi="Arial" w:cs="Arial"/>
                <w:sz w:val="22"/>
                <w:szCs w:val="22"/>
              </w:rPr>
              <w:t>, 60</w:t>
            </w:r>
            <w:r w:rsidR="003A3FE2">
              <w:rPr>
                <w:rFonts w:ascii="Arial" w:hAnsi="Arial" w:cs="Arial"/>
                <w:sz w:val="22"/>
                <w:szCs w:val="22"/>
              </w:rPr>
              <w:t>DAS</w:t>
            </w:r>
            <w:r w:rsidR="00A465D4" w:rsidRPr="00A465D4">
              <w:rPr>
                <w:rFonts w:ascii="Arial" w:hAnsi="Arial" w:cs="Arial"/>
                <w:sz w:val="22"/>
                <w:szCs w:val="22"/>
              </w:rPr>
              <w:t xml:space="preserve">, 90DAS, and flowering). PSB were isolated on </w:t>
            </w:r>
            <w:proofErr w:type="spellStart"/>
            <w:r w:rsidR="00A465D4" w:rsidRPr="00A465D4">
              <w:rPr>
                <w:rFonts w:ascii="Arial" w:hAnsi="Arial" w:cs="Arial"/>
                <w:sz w:val="22"/>
                <w:szCs w:val="22"/>
              </w:rPr>
              <w:t>Pikovskaya’s</w:t>
            </w:r>
            <w:proofErr w:type="spellEnd"/>
            <w:r w:rsidR="00A465D4" w:rsidRPr="00A465D4">
              <w:rPr>
                <w:rFonts w:ascii="Arial" w:hAnsi="Arial" w:cs="Arial"/>
                <w:sz w:val="22"/>
                <w:szCs w:val="22"/>
              </w:rPr>
              <w:t xml:space="preserve"> agar and characterized for solubilization index (SI) and quantitative phosphate solubilization in broth. Efficient isolates were identified by 16S rRNA gene sequencing. Phylogenetic relationships were assessed, and morphological and biochemical traits documented.</w:t>
            </w:r>
          </w:p>
          <w:p w14:paraId="7C2A136A" w14:textId="77777777" w:rsidR="00A465D4" w:rsidRPr="00A465D4" w:rsidRDefault="00BA1B01" w:rsidP="00A465D4">
            <w:pPr>
              <w:rPr>
                <w:rFonts w:ascii="Arial" w:hAnsi="Arial" w:cs="Arial"/>
                <w:sz w:val="22"/>
                <w:szCs w:val="22"/>
              </w:rPr>
            </w:pPr>
            <w:r w:rsidRPr="00A465D4">
              <w:rPr>
                <w:rFonts w:ascii="Arial" w:eastAsia="Calibri" w:hAnsi="Arial" w:cs="Arial"/>
                <w:b/>
                <w:bCs/>
                <w:sz w:val="22"/>
                <w:szCs w:val="22"/>
              </w:rPr>
              <w:t>Results:</w:t>
            </w:r>
            <w:r w:rsidRPr="00A465D4">
              <w:rPr>
                <w:rFonts w:ascii="Arial" w:eastAsia="Calibri" w:hAnsi="Arial" w:cs="Arial"/>
                <w:sz w:val="22"/>
                <w:szCs w:val="22"/>
              </w:rPr>
              <w:t xml:space="preserve"> </w:t>
            </w:r>
            <w:r w:rsidR="00A465D4" w:rsidRPr="00A465D4">
              <w:rPr>
                <w:rFonts w:ascii="Arial" w:hAnsi="Arial" w:cs="Arial"/>
                <w:sz w:val="22"/>
                <w:szCs w:val="22"/>
              </w:rPr>
              <w:t xml:space="preserve">P-starved rhizospheres showed significantly higher PSB counts at early growth stages (log 6.95 </w:t>
            </w:r>
            <w:proofErr w:type="spellStart"/>
            <w:r w:rsidR="00A465D4" w:rsidRPr="00A465D4">
              <w:rPr>
                <w:rFonts w:ascii="Arial" w:hAnsi="Arial" w:cs="Arial"/>
                <w:sz w:val="22"/>
                <w:szCs w:val="22"/>
              </w:rPr>
              <w:t>cfu</w:t>
            </w:r>
            <w:proofErr w:type="spellEnd"/>
            <w:r w:rsidR="00A465D4" w:rsidRPr="00A465D4">
              <w:rPr>
                <w:rFonts w:ascii="Arial" w:hAnsi="Arial" w:cs="Arial"/>
                <w:sz w:val="22"/>
                <w:szCs w:val="22"/>
              </w:rPr>
              <w:t xml:space="preserve">/g at 20-25 DAS in LC306) compared to P-amended soils. Root tissues also had higher PSB under P starvation initially, but counts declined toward flowering. Conversely, shoots had greater PSB counts under P-amended conditions. The landrace LC306 consistently harbored more PSB, especially under P stress. Among 21 isolates, SI ranged from 2.06 to 2.71, and phosphate solubilization reached up to 76.86 </w:t>
            </w:r>
            <w:proofErr w:type="spellStart"/>
            <w:r w:rsidR="00A465D4" w:rsidRPr="00A465D4">
              <w:rPr>
                <w:rFonts w:ascii="Arial" w:hAnsi="Arial" w:cs="Arial"/>
                <w:sz w:val="22"/>
                <w:szCs w:val="22"/>
              </w:rPr>
              <w:t>μg</w:t>
            </w:r>
            <w:proofErr w:type="spellEnd"/>
            <w:r w:rsidR="00A465D4" w:rsidRPr="00A465D4">
              <w:rPr>
                <w:rFonts w:ascii="Arial" w:hAnsi="Arial" w:cs="Arial"/>
                <w:sz w:val="22"/>
                <w:szCs w:val="22"/>
              </w:rPr>
              <w:t xml:space="preserve">/ml at 5 days. Three highly efficient isolates were identified as </w:t>
            </w:r>
            <w:r w:rsidR="00A465D4" w:rsidRPr="00A465D4">
              <w:rPr>
                <w:rFonts w:ascii="Arial" w:hAnsi="Arial" w:cs="Arial"/>
                <w:i/>
                <w:iCs/>
                <w:sz w:val="22"/>
                <w:szCs w:val="22"/>
              </w:rPr>
              <w:t>Bacillus cereus</w:t>
            </w:r>
            <w:r w:rsidR="00A465D4" w:rsidRPr="00A465D4">
              <w:rPr>
                <w:rFonts w:ascii="Arial" w:hAnsi="Arial" w:cs="Arial"/>
                <w:sz w:val="22"/>
                <w:szCs w:val="22"/>
              </w:rPr>
              <w:t xml:space="preserve"> and </w:t>
            </w:r>
            <w:r w:rsidR="00A465D4" w:rsidRPr="00A465D4">
              <w:rPr>
                <w:rFonts w:ascii="Arial" w:hAnsi="Arial" w:cs="Arial"/>
                <w:i/>
                <w:iCs/>
                <w:sz w:val="22"/>
                <w:szCs w:val="22"/>
              </w:rPr>
              <w:t>Bacillus subtilis</w:t>
            </w:r>
            <w:r w:rsidR="00A465D4" w:rsidRPr="00A465D4">
              <w:rPr>
                <w:rFonts w:ascii="Arial" w:hAnsi="Arial" w:cs="Arial"/>
                <w:sz w:val="22"/>
                <w:szCs w:val="22"/>
              </w:rPr>
              <w:t xml:space="preserve"> by 16S rRNA analysis.</w:t>
            </w:r>
          </w:p>
          <w:p w14:paraId="5E006243" w14:textId="17B07F69" w:rsidR="00505F06" w:rsidRPr="00BA1B01" w:rsidRDefault="00BA1B01" w:rsidP="00A465D4">
            <w:pPr>
              <w:rPr>
                <w:rFonts w:ascii="Arial" w:eastAsia="Calibri" w:hAnsi="Arial" w:cs="Arial"/>
                <w:szCs w:val="22"/>
              </w:rPr>
            </w:pPr>
            <w:r w:rsidRPr="00A465D4">
              <w:rPr>
                <w:rFonts w:ascii="Arial" w:eastAsia="Calibri" w:hAnsi="Arial" w:cs="Arial"/>
                <w:b/>
                <w:bCs/>
                <w:sz w:val="22"/>
                <w:szCs w:val="22"/>
              </w:rPr>
              <w:t>Conclusion:</w:t>
            </w:r>
            <w:r w:rsidRPr="00A465D4">
              <w:rPr>
                <w:rFonts w:ascii="Arial" w:eastAsia="Calibri" w:hAnsi="Arial" w:cs="Arial"/>
                <w:sz w:val="22"/>
                <w:szCs w:val="22"/>
              </w:rPr>
              <w:t xml:space="preserve"> </w:t>
            </w:r>
            <w:r w:rsidR="00A465D4" w:rsidRPr="00A465D4">
              <w:rPr>
                <w:rFonts w:ascii="Arial" w:hAnsi="Arial" w:cs="Arial"/>
                <w:sz w:val="22"/>
                <w:szCs w:val="22"/>
              </w:rPr>
              <w:t xml:space="preserve">Our findings demonstrate that wheat genotype and P availability distinctly shape PSB abundance in </w:t>
            </w:r>
            <w:proofErr w:type="spellStart"/>
            <w:r w:rsidR="00A465D4" w:rsidRPr="00A465D4">
              <w:rPr>
                <w:rFonts w:ascii="Arial" w:hAnsi="Arial" w:cs="Arial"/>
                <w:sz w:val="22"/>
                <w:szCs w:val="22"/>
              </w:rPr>
              <w:t>rhizospheric</w:t>
            </w:r>
            <w:proofErr w:type="spellEnd"/>
            <w:r w:rsidR="00A465D4" w:rsidRPr="00A465D4">
              <w:rPr>
                <w:rFonts w:ascii="Arial" w:hAnsi="Arial" w:cs="Arial"/>
                <w:sz w:val="22"/>
                <w:szCs w:val="22"/>
              </w:rPr>
              <w:t xml:space="preserve"> and endophytic niches, with the landrace supporting richer PSB communities under P stress. The study underscores the potential of harnessing PSB from landrace varieties grown under P-deficient conditions for developing biofertilizers aimed at reducing reliance on chemical phosphorus inputs</w:t>
            </w:r>
            <w:r w:rsidR="00A465D4" w:rsidRPr="00DE74A9">
              <w:t>.</w:t>
            </w:r>
          </w:p>
        </w:tc>
      </w:tr>
    </w:tbl>
    <w:p w14:paraId="0FDD3A1D" w14:textId="77777777" w:rsidR="00636EB2" w:rsidRDefault="00636EB2" w:rsidP="00441B6F">
      <w:pPr>
        <w:pStyle w:val="Body"/>
        <w:spacing w:after="0"/>
        <w:rPr>
          <w:rFonts w:ascii="Arial" w:hAnsi="Arial" w:cs="Arial"/>
          <w:i/>
        </w:rPr>
      </w:pPr>
    </w:p>
    <w:p w14:paraId="799E9DB7" w14:textId="77777777" w:rsidR="00A465D4" w:rsidRDefault="00A24E7E" w:rsidP="00441B6F">
      <w:pPr>
        <w:pStyle w:val="Body"/>
        <w:spacing w:after="0"/>
        <w:rPr>
          <w:rFonts w:ascii="Arial" w:hAnsi="Arial" w:cs="Arial"/>
          <w:i/>
        </w:rPr>
      </w:pPr>
      <w:r>
        <w:rPr>
          <w:rFonts w:ascii="Arial" w:hAnsi="Arial" w:cs="Arial"/>
          <w:i/>
        </w:rPr>
        <w:t xml:space="preserve">Keywords: </w:t>
      </w:r>
      <w:r w:rsidR="00A465D4">
        <w:rPr>
          <w:rFonts w:ascii="Arial" w:hAnsi="Arial" w:cs="Arial"/>
          <w:i/>
        </w:rPr>
        <w:t>Wheat landrace and cultivars, phosphate fertilization, phosphate solubilizing bacteria, solubility index, 16S rRNA identification</w:t>
      </w:r>
    </w:p>
    <w:p w14:paraId="098AA83C" w14:textId="77777777" w:rsidR="00790ADA" w:rsidRDefault="00790ADA" w:rsidP="00441B6F">
      <w:pPr>
        <w:pStyle w:val="Body"/>
        <w:spacing w:after="0"/>
        <w:rPr>
          <w:rFonts w:ascii="Arial" w:hAnsi="Arial" w:cs="Arial"/>
          <w:i/>
        </w:rPr>
      </w:pPr>
    </w:p>
    <w:p w14:paraId="67F5EB1E" w14:textId="1C56E6B6"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6049D854" w14:textId="77777777" w:rsidR="00790ADA" w:rsidRPr="00FB3A86" w:rsidRDefault="00790ADA" w:rsidP="00441B6F">
      <w:pPr>
        <w:pStyle w:val="AbstHead"/>
        <w:spacing w:after="0"/>
        <w:jc w:val="both"/>
        <w:rPr>
          <w:rFonts w:ascii="Arial" w:hAnsi="Arial" w:cs="Arial"/>
        </w:rPr>
      </w:pPr>
    </w:p>
    <w:p w14:paraId="53DA5BBE" w14:textId="77777777" w:rsidR="00534422" w:rsidRPr="00534422" w:rsidRDefault="00534422" w:rsidP="00EA0B52">
      <w:pPr>
        <w:widowControl w:val="0"/>
        <w:spacing w:before="40" w:after="40"/>
        <w:jc w:val="both"/>
        <w:rPr>
          <w:rFonts w:ascii="Arial" w:hAnsi="Arial" w:cs="Arial"/>
        </w:rPr>
      </w:pPr>
      <w:r w:rsidRPr="00534422">
        <w:rPr>
          <w:rFonts w:ascii="Arial" w:hAnsi="Arial" w:cs="Arial"/>
        </w:rPr>
        <w:t>As the world's population grows, one of the most difficult challenges facing the agricultural community will be meeting the demands placed on agriculture to supply future food (</w:t>
      </w:r>
      <w:proofErr w:type="spellStart"/>
      <w:r w:rsidRPr="00534422">
        <w:rPr>
          <w:rFonts w:ascii="Arial" w:hAnsi="Arial" w:cs="Arial"/>
        </w:rPr>
        <w:t>Hemathilake</w:t>
      </w:r>
      <w:proofErr w:type="spellEnd"/>
      <w:r w:rsidRPr="00534422">
        <w:rPr>
          <w:rFonts w:ascii="Arial" w:hAnsi="Arial" w:cs="Arial"/>
        </w:rPr>
        <w:t xml:space="preserve"> </w:t>
      </w:r>
      <w:r w:rsidRPr="00534422">
        <w:rPr>
          <w:rFonts w:ascii="Arial" w:hAnsi="Arial" w:cs="Arial"/>
          <w:i/>
        </w:rPr>
        <w:t xml:space="preserve">et al </w:t>
      </w:r>
      <w:r w:rsidRPr="00534422">
        <w:rPr>
          <w:rFonts w:ascii="Arial" w:hAnsi="Arial" w:cs="Arial"/>
        </w:rPr>
        <w:t xml:space="preserve">2022). To meet this challenge, a significant effort focusing on the soil biological system and the agroecosystem as a whole is required to better understand the complex processes and interactions governing the stability of agricultural land (Sengupta and </w:t>
      </w:r>
      <w:proofErr w:type="spellStart"/>
      <w:r w:rsidRPr="00534422">
        <w:rPr>
          <w:rFonts w:ascii="Arial" w:hAnsi="Arial" w:cs="Arial"/>
        </w:rPr>
        <w:t>Gunri</w:t>
      </w:r>
      <w:proofErr w:type="spellEnd"/>
      <w:r w:rsidRPr="00534422">
        <w:rPr>
          <w:rFonts w:ascii="Arial" w:hAnsi="Arial" w:cs="Arial"/>
        </w:rPr>
        <w:t xml:space="preserve"> 2015). Agricultural scientists have begun to focus on belowground plant characteristics, including plant, soil and environmental factors that influence above-ground traits like yield. Yield is an essential aspect for farmers and is influenced by soil-related factors involving below-ground microbiomes (Preece and Penuelas 2016). The belowground microbiome communicates between plants and available nutrient and water in soil (</w:t>
      </w:r>
      <w:proofErr w:type="spellStart"/>
      <w:r w:rsidRPr="00534422">
        <w:rPr>
          <w:rFonts w:ascii="Arial" w:hAnsi="Arial" w:cs="Arial"/>
        </w:rPr>
        <w:t>Orrelle</w:t>
      </w:r>
      <w:proofErr w:type="spellEnd"/>
      <w:r w:rsidRPr="00534422">
        <w:rPr>
          <w:rFonts w:ascii="Arial" w:hAnsi="Arial" w:cs="Arial"/>
        </w:rPr>
        <w:t xml:space="preserve"> and Bennett 2013).</w:t>
      </w:r>
    </w:p>
    <w:p w14:paraId="7AFE6B00" w14:textId="77777777" w:rsidR="00534422" w:rsidRPr="00534422" w:rsidRDefault="00534422" w:rsidP="00EA0B52">
      <w:pPr>
        <w:widowControl w:val="0"/>
        <w:spacing w:before="40" w:after="40"/>
        <w:jc w:val="both"/>
        <w:rPr>
          <w:rFonts w:ascii="Arial" w:hAnsi="Arial" w:cs="Arial"/>
        </w:rPr>
      </w:pPr>
      <w:r w:rsidRPr="00534422">
        <w:rPr>
          <w:rFonts w:ascii="Arial" w:hAnsi="Arial" w:cs="Arial"/>
        </w:rPr>
        <w:t xml:space="preserve">Among the many challenges being faced by agricultural, soil nutrient deficiency is a significant environmental stress that limits plant growth and crop productivity. Plants respond to the availability and distribution of nutrients in soils by modulating their root architecture and using efficient physiological strategies to obtain nutrients from less soluble sources (Francis </w:t>
      </w:r>
      <w:r w:rsidRPr="00534422">
        <w:rPr>
          <w:rFonts w:ascii="Arial" w:hAnsi="Arial" w:cs="Arial"/>
          <w:i/>
        </w:rPr>
        <w:t xml:space="preserve">et al </w:t>
      </w:r>
      <w:r w:rsidRPr="00534422">
        <w:rPr>
          <w:rFonts w:ascii="Arial" w:hAnsi="Arial" w:cs="Arial"/>
        </w:rPr>
        <w:t xml:space="preserve">2023). Root exudates from plants attract microbes and interlink plants to soil microbiota. They are plant responses to conditions that may be </w:t>
      </w:r>
      <w:proofErr w:type="spellStart"/>
      <w:r w:rsidRPr="00534422">
        <w:rPr>
          <w:rFonts w:ascii="Arial" w:hAnsi="Arial" w:cs="Arial"/>
        </w:rPr>
        <w:t>favourable</w:t>
      </w:r>
      <w:proofErr w:type="spellEnd"/>
      <w:r w:rsidRPr="00534422">
        <w:rPr>
          <w:rFonts w:ascii="Arial" w:hAnsi="Arial" w:cs="Arial"/>
        </w:rPr>
        <w:t xml:space="preserve"> or </w:t>
      </w:r>
      <w:proofErr w:type="spellStart"/>
      <w:r w:rsidRPr="00534422">
        <w:rPr>
          <w:rFonts w:ascii="Arial" w:hAnsi="Arial" w:cs="Arial"/>
        </w:rPr>
        <w:t>unfavourable</w:t>
      </w:r>
      <w:proofErr w:type="spellEnd"/>
      <w:r w:rsidRPr="00534422">
        <w:rPr>
          <w:rFonts w:ascii="Arial" w:hAnsi="Arial" w:cs="Arial"/>
        </w:rPr>
        <w:t xml:space="preserve"> for growth and play a role in overcoming different stresses (Iannucci </w:t>
      </w:r>
      <w:r w:rsidRPr="00534422">
        <w:rPr>
          <w:rFonts w:ascii="Arial" w:hAnsi="Arial" w:cs="Arial"/>
          <w:i/>
        </w:rPr>
        <w:t xml:space="preserve">et al </w:t>
      </w:r>
      <w:r w:rsidRPr="00534422">
        <w:rPr>
          <w:rFonts w:ascii="Arial" w:hAnsi="Arial" w:cs="Arial"/>
        </w:rPr>
        <w:t xml:space="preserve">2017). </w:t>
      </w:r>
    </w:p>
    <w:p w14:paraId="0D5BDD2F" w14:textId="4FDFB1D4" w:rsidR="00534422" w:rsidRPr="00534422" w:rsidRDefault="00534422" w:rsidP="00EA0B52">
      <w:pPr>
        <w:widowControl w:val="0"/>
        <w:spacing w:before="40" w:after="40"/>
        <w:jc w:val="both"/>
        <w:rPr>
          <w:rFonts w:ascii="Arial" w:hAnsi="Arial" w:cs="Arial"/>
        </w:rPr>
      </w:pPr>
      <w:r w:rsidRPr="00534422">
        <w:rPr>
          <w:rFonts w:ascii="Arial" w:hAnsi="Arial" w:cs="Arial"/>
        </w:rPr>
        <w:t>Phosphorus is an essential plant nutrient whose deficiency severely limits crop yields especially wheat (</w:t>
      </w:r>
      <w:proofErr w:type="spellStart"/>
      <w:r w:rsidRPr="00534422">
        <w:rPr>
          <w:rFonts w:ascii="Arial" w:hAnsi="Arial" w:cs="Arial"/>
        </w:rPr>
        <w:t>Munishi</w:t>
      </w:r>
      <w:proofErr w:type="spellEnd"/>
      <w:r w:rsidRPr="00534422">
        <w:rPr>
          <w:rFonts w:ascii="Arial" w:hAnsi="Arial" w:cs="Arial"/>
        </w:rPr>
        <w:t xml:space="preserve"> and </w:t>
      </w:r>
      <w:proofErr w:type="spellStart"/>
      <w:r w:rsidRPr="00534422">
        <w:rPr>
          <w:rFonts w:ascii="Arial" w:hAnsi="Arial" w:cs="Arial"/>
        </w:rPr>
        <w:t>Ndakidemi</w:t>
      </w:r>
      <w:proofErr w:type="spellEnd"/>
      <w:r w:rsidRPr="00534422">
        <w:rPr>
          <w:rFonts w:ascii="Arial" w:hAnsi="Arial" w:cs="Arial"/>
          <w:i/>
        </w:rPr>
        <w:t xml:space="preserve"> </w:t>
      </w:r>
      <w:r w:rsidRPr="00534422">
        <w:rPr>
          <w:rFonts w:ascii="Arial" w:hAnsi="Arial" w:cs="Arial"/>
        </w:rPr>
        <w:t>2022). Wheat is a critical staple crop that accounts for approximately 20 % of the global daily caloric intake. Substantial enhancements in wheat yields are required to mitigate the ongoing population expansion (</w:t>
      </w:r>
      <w:proofErr w:type="spellStart"/>
      <w:r w:rsidRPr="00534422">
        <w:rPr>
          <w:rFonts w:ascii="Arial" w:hAnsi="Arial" w:cs="Arial"/>
        </w:rPr>
        <w:t>Erenstein</w:t>
      </w:r>
      <w:proofErr w:type="spellEnd"/>
      <w:r w:rsidRPr="00534422">
        <w:rPr>
          <w:rFonts w:ascii="Arial" w:hAnsi="Arial" w:cs="Arial"/>
        </w:rPr>
        <w:t xml:space="preserve"> </w:t>
      </w:r>
      <w:r w:rsidRPr="00534422">
        <w:rPr>
          <w:rFonts w:ascii="Arial" w:hAnsi="Arial" w:cs="Arial"/>
          <w:i/>
        </w:rPr>
        <w:t xml:space="preserve">et al </w:t>
      </w:r>
      <w:r w:rsidRPr="00534422">
        <w:rPr>
          <w:rFonts w:ascii="Arial" w:hAnsi="Arial" w:cs="Arial"/>
        </w:rPr>
        <w:t xml:space="preserve">2022). Agricultural intensification has necessitated the addition of phosphate not only to increase crop yield but also to improve soil phosphorus status to avoid further soil degradation. However, it is becoming increasingly clear that conventional agricultural practices cannot sustain a healthy plant-soil system as a production base. Agriculturally important microbes, biofertilizers, can potentially be used to reduce dependency on chemical P fertilizers. For the present study, we hypothesized that the abundance of phosphate solubilizing bacteria (PSB) present associated with locally adapted landrace variety would </w:t>
      </w:r>
      <w:r w:rsidR="00B82FA5">
        <w:rPr>
          <w:rFonts w:ascii="Arial" w:hAnsi="Arial" w:cs="Arial"/>
        </w:rPr>
        <w:t xml:space="preserve">be greater </w:t>
      </w:r>
      <w:r w:rsidRPr="00534422">
        <w:rPr>
          <w:rFonts w:ascii="Arial" w:hAnsi="Arial" w:cs="Arial"/>
        </w:rPr>
        <w:t xml:space="preserve">from that associated with modern cultivars. Our second focus question was to determine whether the PSB were more predominant in </w:t>
      </w:r>
      <w:proofErr w:type="spellStart"/>
      <w:r w:rsidRPr="00534422">
        <w:rPr>
          <w:rFonts w:ascii="Arial" w:hAnsi="Arial" w:cs="Arial"/>
        </w:rPr>
        <w:t>rhizospheric</w:t>
      </w:r>
      <w:proofErr w:type="spellEnd"/>
      <w:r w:rsidRPr="00534422">
        <w:rPr>
          <w:rFonts w:ascii="Arial" w:hAnsi="Arial" w:cs="Arial"/>
        </w:rPr>
        <w:t xml:space="preserve"> soil than endophytic tissue (root and shoot). It has been reported that decades of breeding programs have resulted in alteration of plant </w:t>
      </w:r>
      <w:proofErr w:type="spellStart"/>
      <w:r w:rsidRPr="00534422">
        <w:rPr>
          <w:rFonts w:ascii="Arial" w:hAnsi="Arial" w:cs="Arial"/>
        </w:rPr>
        <w:t>holobionts</w:t>
      </w:r>
      <w:proofErr w:type="spellEnd"/>
      <w:r w:rsidRPr="00534422">
        <w:rPr>
          <w:rFonts w:ascii="Arial" w:hAnsi="Arial" w:cs="Arial"/>
        </w:rPr>
        <w:t xml:space="preserve"> (</w:t>
      </w:r>
      <w:proofErr w:type="spellStart"/>
      <w:r w:rsidRPr="00534422">
        <w:rPr>
          <w:rFonts w:ascii="Arial" w:hAnsi="Arial" w:cs="Arial"/>
        </w:rPr>
        <w:t>Dasotgeer</w:t>
      </w:r>
      <w:proofErr w:type="spellEnd"/>
      <w:r w:rsidRPr="00534422">
        <w:rPr>
          <w:rFonts w:ascii="Arial" w:hAnsi="Arial" w:cs="Arial"/>
        </w:rPr>
        <w:t xml:space="preserve"> et al 2020). Landrace varieties evolve naturally in absence of anthropogenic control and exhibit greater adaptability to natural environment. </w:t>
      </w:r>
    </w:p>
    <w:p w14:paraId="36DE5083" w14:textId="77777777" w:rsidR="00790ADA" w:rsidRPr="00FB3A86" w:rsidRDefault="00790ADA" w:rsidP="00441B6F">
      <w:pPr>
        <w:pStyle w:val="Body"/>
        <w:spacing w:after="0"/>
        <w:rPr>
          <w:rFonts w:ascii="Arial" w:hAnsi="Arial" w:cs="Arial"/>
        </w:rPr>
      </w:pPr>
    </w:p>
    <w:p w14:paraId="09C38B48" w14:textId="6CBCECA1" w:rsidR="007F7B32" w:rsidRDefault="00902823" w:rsidP="00441B6F">
      <w:pPr>
        <w:pStyle w:val="AbstHead"/>
        <w:spacing w:after="0"/>
        <w:jc w:val="both"/>
        <w:rPr>
          <w:rFonts w:ascii="Arial" w:hAnsi="Arial" w:cs="Arial"/>
        </w:rPr>
      </w:pPr>
      <w:r>
        <w:rPr>
          <w:rFonts w:ascii="Arial" w:hAnsi="Arial" w:cs="Arial"/>
        </w:rPr>
        <w:t>2. m</w:t>
      </w:r>
      <w:r w:rsidR="00B6756F">
        <w:rPr>
          <w:rFonts w:ascii="Arial" w:hAnsi="Arial" w:cs="Arial"/>
        </w:rPr>
        <w:t>ETHODOLOGY</w:t>
      </w:r>
    </w:p>
    <w:p w14:paraId="2DC30CE5" w14:textId="77777777" w:rsidR="00790ADA" w:rsidRPr="00FB3A86" w:rsidRDefault="00790ADA" w:rsidP="00441B6F">
      <w:pPr>
        <w:pStyle w:val="AbstHead"/>
        <w:spacing w:after="0"/>
        <w:jc w:val="both"/>
        <w:rPr>
          <w:rFonts w:ascii="Arial" w:hAnsi="Arial" w:cs="Arial"/>
        </w:rPr>
      </w:pPr>
    </w:p>
    <w:p w14:paraId="0A46B700" w14:textId="7CD3BB3E" w:rsidR="00534422" w:rsidRPr="00B00DE1" w:rsidRDefault="00B00DE1" w:rsidP="00534422">
      <w:pPr>
        <w:widowControl w:val="0"/>
        <w:jc w:val="both"/>
        <w:rPr>
          <w:rFonts w:ascii="Arial" w:hAnsi="Arial" w:cs="Arial"/>
          <w:b/>
          <w:bCs/>
          <w:i/>
        </w:rPr>
      </w:pPr>
      <w:r w:rsidRPr="00B00DE1">
        <w:rPr>
          <w:rFonts w:ascii="Arial" w:hAnsi="Arial" w:cs="Arial"/>
          <w:b/>
          <w:bCs/>
          <w:i/>
        </w:rPr>
        <w:t xml:space="preserve">2.1 </w:t>
      </w:r>
      <w:r w:rsidR="00534422" w:rsidRPr="00B00DE1">
        <w:rPr>
          <w:rFonts w:ascii="Arial" w:hAnsi="Arial" w:cs="Arial"/>
          <w:b/>
          <w:bCs/>
          <w:i/>
        </w:rPr>
        <w:t>Experimental design and soil sampling</w:t>
      </w:r>
    </w:p>
    <w:p w14:paraId="55E74182" w14:textId="6CB5627A" w:rsidR="00534422" w:rsidRPr="00534422" w:rsidRDefault="00534422" w:rsidP="00EA0B52">
      <w:pPr>
        <w:widowControl w:val="0"/>
        <w:jc w:val="both"/>
        <w:rPr>
          <w:rFonts w:ascii="Arial" w:hAnsi="Arial" w:cs="Arial"/>
        </w:rPr>
      </w:pPr>
      <w:r w:rsidRPr="00534422">
        <w:rPr>
          <w:rFonts w:ascii="Arial" w:hAnsi="Arial" w:cs="Arial"/>
        </w:rPr>
        <w:t>In our study, we focused on two independent variables- wheat genotype and the P level of the soil. Wheat varieties- landrace (locally adapted wild variety) LC306 and a high yielding modern cultivars PBW 725 and HD3086 were procured from the Department of Plant Breeding and Genetics, Punjab Agricultural University, Ludhiana. Seeds were surface sterili</w:t>
      </w:r>
      <w:r w:rsidR="00B217BC">
        <w:rPr>
          <w:rFonts w:ascii="Arial" w:hAnsi="Arial" w:cs="Arial"/>
        </w:rPr>
        <w:t>z</w:t>
      </w:r>
      <w:r w:rsidRPr="00534422">
        <w:rPr>
          <w:rFonts w:ascii="Arial" w:hAnsi="Arial" w:cs="Arial"/>
        </w:rPr>
        <w:t>ed by treating with 70% ethanol and 0.1% HgCl</w:t>
      </w:r>
      <w:r w:rsidRPr="00534422">
        <w:rPr>
          <w:rFonts w:ascii="Arial" w:hAnsi="Arial" w:cs="Arial"/>
          <w:vertAlign w:val="subscript"/>
        </w:rPr>
        <w:t>2</w:t>
      </w:r>
      <w:r w:rsidRPr="00534422">
        <w:rPr>
          <w:rFonts w:ascii="Arial" w:hAnsi="Arial" w:cs="Arial"/>
        </w:rPr>
        <w:t>. The sterile seeds were washed with autoclaved water for at least 3-5 minutes. Seeds were placed on 0.5% Nutrient Agar plates and incubated at 25-28°C for 24-48 h. Sterility was confirmed by the absence of microbial growth on the agar plates. Sterile seeds of winter wheat were sown in 1.5m X 1.5 m plots.  Approximately 250 g of seeds were sown into manually dug 5 cm deep tranches in the winter season of 2023-2024 and 2024-2025. Plots of each variety (LC 306 and PBW 725) and two treatments, P-amended and P-starved, were replicated in a randomi</w:t>
      </w:r>
      <w:r w:rsidR="00B217BC">
        <w:rPr>
          <w:rFonts w:ascii="Arial" w:hAnsi="Arial" w:cs="Arial"/>
        </w:rPr>
        <w:t>z</w:t>
      </w:r>
      <w:r w:rsidRPr="00534422">
        <w:rPr>
          <w:rFonts w:ascii="Arial" w:hAnsi="Arial" w:cs="Arial"/>
        </w:rPr>
        <w:t xml:space="preserve">ed block design. These plots were in a research field where the rice-wheat monoculture cropping system is extensively </w:t>
      </w:r>
      <w:r w:rsidR="00B217BC" w:rsidRPr="00534422">
        <w:rPr>
          <w:rFonts w:ascii="Arial" w:hAnsi="Arial" w:cs="Arial"/>
        </w:rPr>
        <w:t>practiced</w:t>
      </w:r>
      <w:r w:rsidRPr="00534422">
        <w:rPr>
          <w:rFonts w:ascii="Arial" w:hAnsi="Arial" w:cs="Arial"/>
        </w:rPr>
        <w:t xml:space="preserve">. Plots were </w:t>
      </w:r>
      <w:r w:rsidRPr="00534422">
        <w:rPr>
          <w:rFonts w:ascii="Arial" w:hAnsi="Arial" w:cs="Arial"/>
        </w:rPr>
        <w:lastRenderedPageBreak/>
        <w:t>managed manually for agronomic operations as weeding, and examined visually for the appearance of any disease. Diammonium phosphate (DAP) was applied @ 30g/plot in P amended plots (</w:t>
      </w:r>
      <w:hyperlink r:id="rId8" w:history="1">
        <w:r w:rsidRPr="00534422">
          <w:rPr>
            <w:rStyle w:val="Hyperlink"/>
            <w:rFonts w:ascii="Arial" w:hAnsi="Arial" w:cs="Arial"/>
          </w:rPr>
          <w:t>pp_rabi.pdf</w:t>
        </w:r>
      </w:hyperlink>
      <w:r w:rsidR="00B00DE1">
        <w:rPr>
          <w:rFonts w:ascii="Arial" w:hAnsi="Arial" w:cs="Arial"/>
        </w:rPr>
        <w:t>)</w:t>
      </w:r>
      <w:r w:rsidRPr="00534422">
        <w:rPr>
          <w:rFonts w:ascii="Arial" w:hAnsi="Arial" w:cs="Arial"/>
        </w:rPr>
        <w:t>, commensurate with 55kg/acre farmer advisory). In P-starved condition, no P fertilization was provided. Ita application was synchroni</w:t>
      </w:r>
      <w:r w:rsidR="00B217BC">
        <w:rPr>
          <w:rFonts w:ascii="Arial" w:hAnsi="Arial" w:cs="Arial"/>
        </w:rPr>
        <w:t>z</w:t>
      </w:r>
      <w:r w:rsidRPr="00534422">
        <w:rPr>
          <w:rFonts w:ascii="Arial" w:hAnsi="Arial" w:cs="Arial"/>
        </w:rPr>
        <w:t xml:space="preserve">ed with irrigation. Soil moisture level was maintained at 40% and checked subjectively.  </w:t>
      </w:r>
    </w:p>
    <w:p w14:paraId="23C8EF25" w14:textId="77777777" w:rsidR="00534422" w:rsidRPr="00534422" w:rsidRDefault="00534422" w:rsidP="00EA0B52">
      <w:pPr>
        <w:widowControl w:val="0"/>
        <w:jc w:val="both"/>
        <w:rPr>
          <w:rFonts w:ascii="Arial" w:hAnsi="Arial" w:cs="Arial"/>
        </w:rPr>
      </w:pPr>
      <w:proofErr w:type="spellStart"/>
      <w:r w:rsidRPr="00534422">
        <w:rPr>
          <w:rFonts w:ascii="Arial" w:hAnsi="Arial" w:cs="Arial"/>
        </w:rPr>
        <w:t>Rhizospheric</w:t>
      </w:r>
      <w:proofErr w:type="spellEnd"/>
      <w:r w:rsidRPr="00534422">
        <w:rPr>
          <w:rFonts w:ascii="Arial" w:hAnsi="Arial" w:cs="Arial"/>
        </w:rPr>
        <w:t xml:space="preserve"> soil, root and shoot tissue samples were collected at different developmental stages of growth- at 20-25 days after sowing (DAS), 60 DAS, 90 DAS and at the flowering stage. The seedlings were harvested carefully by digging around each plant to a depth of at least 6-8”. </w:t>
      </w:r>
      <w:proofErr w:type="spellStart"/>
      <w:r w:rsidRPr="00534422">
        <w:rPr>
          <w:rFonts w:ascii="Arial" w:hAnsi="Arial" w:cs="Arial"/>
        </w:rPr>
        <w:t>Rhizospheric</w:t>
      </w:r>
      <w:proofErr w:type="spellEnd"/>
      <w:r w:rsidRPr="00534422">
        <w:rPr>
          <w:rFonts w:ascii="Arial" w:hAnsi="Arial" w:cs="Arial"/>
        </w:rPr>
        <w:t xml:space="preserve">, root and shoot tissue were collected from at least five plants per plot. Plants were placed in sterile bags and transported to the laboratory. Roots were shaken to remove the bulk soil. They were then placed in flasks having 50 ml of sterile 0.85% NaCl to collect </w:t>
      </w:r>
      <w:proofErr w:type="spellStart"/>
      <w:r w:rsidRPr="00534422">
        <w:rPr>
          <w:rFonts w:ascii="Arial" w:hAnsi="Arial" w:cs="Arial"/>
        </w:rPr>
        <w:t>rhizospheric</w:t>
      </w:r>
      <w:proofErr w:type="spellEnd"/>
      <w:r w:rsidRPr="00534422">
        <w:rPr>
          <w:rFonts w:ascii="Arial" w:hAnsi="Arial" w:cs="Arial"/>
        </w:rPr>
        <w:t xml:space="preserve"> soil samples. These containers were placed in an orbital shaker for 20 minutes. The contents were centrifuged at 5000 rpm for 15 minutes. The pellet having </w:t>
      </w:r>
      <w:proofErr w:type="spellStart"/>
      <w:r w:rsidRPr="00534422">
        <w:rPr>
          <w:rFonts w:ascii="Arial" w:hAnsi="Arial" w:cs="Arial"/>
        </w:rPr>
        <w:t>rhizospheric</w:t>
      </w:r>
      <w:proofErr w:type="spellEnd"/>
      <w:r w:rsidRPr="00534422">
        <w:rPr>
          <w:rFonts w:ascii="Arial" w:hAnsi="Arial" w:cs="Arial"/>
        </w:rPr>
        <w:t xml:space="preserve"> soil was stored at -20°C.</w:t>
      </w:r>
    </w:p>
    <w:p w14:paraId="6E8B2CE4" w14:textId="356F4897" w:rsidR="00534422" w:rsidRPr="00B00DE1" w:rsidRDefault="00B00DE1" w:rsidP="00534422">
      <w:pPr>
        <w:widowControl w:val="0"/>
        <w:jc w:val="both"/>
        <w:rPr>
          <w:rFonts w:ascii="Arial" w:hAnsi="Arial" w:cs="Arial"/>
          <w:b/>
          <w:bCs/>
          <w:i/>
        </w:rPr>
      </w:pPr>
      <w:r w:rsidRPr="00B00DE1">
        <w:rPr>
          <w:rFonts w:ascii="Arial" w:hAnsi="Arial" w:cs="Arial"/>
          <w:b/>
          <w:bCs/>
          <w:i/>
        </w:rPr>
        <w:t xml:space="preserve">2.2 </w:t>
      </w:r>
      <w:r w:rsidR="00534422" w:rsidRPr="00B00DE1">
        <w:rPr>
          <w:rFonts w:ascii="Arial" w:hAnsi="Arial" w:cs="Arial"/>
          <w:b/>
          <w:bCs/>
          <w:i/>
        </w:rPr>
        <w:t xml:space="preserve">Isolation of phosphate solubilizers from </w:t>
      </w:r>
      <w:proofErr w:type="spellStart"/>
      <w:r w:rsidR="00534422" w:rsidRPr="00B00DE1">
        <w:rPr>
          <w:rFonts w:ascii="Arial" w:hAnsi="Arial" w:cs="Arial"/>
          <w:b/>
          <w:bCs/>
          <w:i/>
        </w:rPr>
        <w:t>rhizospheric</w:t>
      </w:r>
      <w:proofErr w:type="spellEnd"/>
      <w:r w:rsidR="00534422" w:rsidRPr="00B00DE1">
        <w:rPr>
          <w:rFonts w:ascii="Arial" w:hAnsi="Arial" w:cs="Arial"/>
          <w:b/>
          <w:bCs/>
          <w:i/>
        </w:rPr>
        <w:t xml:space="preserve"> soil, root and shoot samples </w:t>
      </w:r>
      <w:proofErr w:type="spellStart"/>
      <w:r w:rsidR="00534422" w:rsidRPr="00B00DE1">
        <w:rPr>
          <w:rFonts w:ascii="Arial" w:hAnsi="Arial" w:cs="Arial"/>
          <w:b/>
          <w:bCs/>
          <w:i/>
        </w:rPr>
        <w:t>samples</w:t>
      </w:r>
      <w:proofErr w:type="spellEnd"/>
    </w:p>
    <w:p w14:paraId="6C46077C" w14:textId="4A9C565F" w:rsidR="00534422" w:rsidRPr="00534422" w:rsidRDefault="00534422" w:rsidP="00EA0B52">
      <w:pPr>
        <w:widowControl w:val="0"/>
        <w:jc w:val="both"/>
        <w:rPr>
          <w:rFonts w:ascii="Arial" w:hAnsi="Arial" w:cs="Arial"/>
        </w:rPr>
      </w:pPr>
      <w:r w:rsidRPr="00534422">
        <w:rPr>
          <w:rFonts w:ascii="Arial" w:hAnsi="Arial" w:cs="Arial"/>
        </w:rPr>
        <w:t xml:space="preserve">Appropriate dilution of 10 g of </w:t>
      </w:r>
      <w:proofErr w:type="spellStart"/>
      <w:r w:rsidRPr="00534422">
        <w:rPr>
          <w:rFonts w:ascii="Arial" w:hAnsi="Arial" w:cs="Arial"/>
        </w:rPr>
        <w:t>rhizospheric</w:t>
      </w:r>
      <w:proofErr w:type="spellEnd"/>
      <w:r w:rsidRPr="00534422">
        <w:rPr>
          <w:rFonts w:ascii="Arial" w:hAnsi="Arial" w:cs="Arial"/>
        </w:rPr>
        <w:t xml:space="preserve"> soil were serially diluted in saline blanks and plated (10</w:t>
      </w:r>
      <w:r w:rsidRPr="00534422">
        <w:rPr>
          <w:rFonts w:ascii="Cambria Math" w:hAnsi="Cambria Math" w:cs="Cambria Math"/>
        </w:rPr>
        <w:t>⁻</w:t>
      </w:r>
      <w:r w:rsidRPr="00534422">
        <w:rPr>
          <w:rFonts w:ascii="Arial" w:hAnsi="Arial" w:cs="Arial"/>
          <w:vertAlign w:val="superscript"/>
        </w:rPr>
        <w:t>3</w:t>
      </w:r>
      <w:r w:rsidRPr="00534422">
        <w:rPr>
          <w:rFonts w:ascii="Arial" w:hAnsi="Arial" w:cs="Arial"/>
        </w:rPr>
        <w:t xml:space="preserve"> to 10</w:t>
      </w:r>
      <w:r w:rsidRPr="00534422">
        <w:rPr>
          <w:rFonts w:ascii="Cambria Math" w:hAnsi="Cambria Math" w:cs="Cambria Math"/>
        </w:rPr>
        <w:t>⁻</w:t>
      </w:r>
      <w:r w:rsidRPr="00534422">
        <w:rPr>
          <w:rFonts w:ascii="Arial" w:hAnsi="Arial" w:cs="Arial"/>
        </w:rPr>
        <w:t xml:space="preserve">⁵ dilutions, 100 </w:t>
      </w:r>
      <w:proofErr w:type="spellStart"/>
      <w:r w:rsidRPr="00534422">
        <w:rPr>
          <w:rFonts w:ascii="Arial" w:hAnsi="Arial" w:cs="Arial"/>
        </w:rPr>
        <w:t>μl</w:t>
      </w:r>
      <w:proofErr w:type="spellEnd"/>
      <w:r w:rsidRPr="00534422">
        <w:rPr>
          <w:rFonts w:ascii="Arial" w:hAnsi="Arial" w:cs="Arial"/>
        </w:rPr>
        <w:t xml:space="preserve"> each) on </w:t>
      </w:r>
      <w:proofErr w:type="spellStart"/>
      <w:r w:rsidRPr="00534422">
        <w:rPr>
          <w:rFonts w:ascii="Arial" w:hAnsi="Arial" w:cs="Arial"/>
        </w:rPr>
        <w:t>Pikovskaya’s</w:t>
      </w:r>
      <w:proofErr w:type="spellEnd"/>
      <w:r w:rsidRPr="00534422">
        <w:rPr>
          <w:rFonts w:ascii="Arial" w:hAnsi="Arial" w:cs="Arial"/>
        </w:rPr>
        <w:t xml:space="preserve"> agar medium. Plates were incubated at 28±2 °C for 48–96 hours. Morphologically distinct colonies were purified through repeated subculturing to obtain pure cultures. Root and shoot tissues (10 g fresh weight) were washed with autoclaved distilled water, surface-sterili</w:t>
      </w:r>
      <w:r w:rsidR="00B217BC">
        <w:rPr>
          <w:rFonts w:ascii="Arial" w:hAnsi="Arial" w:cs="Arial"/>
        </w:rPr>
        <w:t>z</w:t>
      </w:r>
      <w:r w:rsidRPr="00534422">
        <w:rPr>
          <w:rFonts w:ascii="Arial" w:hAnsi="Arial" w:cs="Arial"/>
        </w:rPr>
        <w:t>ed with 70% ethanol and 0.1% HgCl</w:t>
      </w:r>
      <w:r w:rsidRPr="00534422">
        <w:rPr>
          <w:rFonts w:ascii="Arial" w:hAnsi="Arial" w:cs="Arial"/>
          <w:vertAlign w:val="subscript"/>
        </w:rPr>
        <w:t xml:space="preserve">2 </w:t>
      </w:r>
      <w:r w:rsidRPr="00534422">
        <w:rPr>
          <w:rFonts w:ascii="Arial" w:hAnsi="Arial" w:cs="Arial"/>
        </w:rPr>
        <w:t xml:space="preserve">and then washed with sterile water. Samples were macerated aseptically and suspended in 90 ml sterile phosphate buffer (pH 7.0) in 150 mL flasks. The suspensions were sonicated using Probe </w:t>
      </w:r>
      <w:proofErr w:type="spellStart"/>
      <w:r w:rsidRPr="00534422">
        <w:rPr>
          <w:rFonts w:ascii="Arial" w:hAnsi="Arial" w:cs="Arial"/>
        </w:rPr>
        <w:t>Sonicator</w:t>
      </w:r>
      <w:proofErr w:type="spellEnd"/>
      <w:r w:rsidRPr="00534422">
        <w:rPr>
          <w:rFonts w:ascii="Arial" w:hAnsi="Arial" w:cs="Arial"/>
        </w:rPr>
        <w:t xml:space="preserve"> (10 min, 82% power, 40 kHz, 25°C), serially diluted to 10</w:t>
      </w:r>
      <w:r w:rsidRPr="00534422">
        <w:rPr>
          <w:rFonts w:ascii="Cambria Math" w:hAnsi="Cambria Math" w:cs="Cambria Math"/>
        </w:rPr>
        <w:t>⁻</w:t>
      </w:r>
      <w:r w:rsidRPr="00534422">
        <w:rPr>
          <w:rFonts w:ascii="Arial" w:hAnsi="Arial" w:cs="Arial"/>
        </w:rPr>
        <w:t>², and plated (10</w:t>
      </w:r>
      <w:r w:rsidRPr="00534422">
        <w:rPr>
          <w:rFonts w:ascii="Cambria Math" w:hAnsi="Cambria Math" w:cs="Cambria Math"/>
        </w:rPr>
        <w:t>⁻</w:t>
      </w:r>
      <w:r w:rsidRPr="00534422">
        <w:rPr>
          <w:rFonts w:ascii="Arial" w:hAnsi="Arial" w:cs="Arial"/>
        </w:rPr>
        <w:t>³ to 10</w:t>
      </w:r>
      <w:r w:rsidRPr="00534422">
        <w:rPr>
          <w:rFonts w:ascii="Cambria Math" w:hAnsi="Cambria Math" w:cs="Cambria Math"/>
        </w:rPr>
        <w:t>⁻</w:t>
      </w:r>
      <w:r w:rsidRPr="00534422">
        <w:rPr>
          <w:rFonts w:ascii="Arial" w:hAnsi="Arial" w:cs="Arial"/>
        </w:rPr>
        <w:t xml:space="preserve">⁵ dilutions, 100 </w:t>
      </w:r>
      <w:proofErr w:type="spellStart"/>
      <w:r w:rsidRPr="00534422">
        <w:rPr>
          <w:rFonts w:ascii="Arial" w:hAnsi="Arial" w:cs="Arial"/>
        </w:rPr>
        <w:t>μl</w:t>
      </w:r>
      <w:proofErr w:type="spellEnd"/>
      <w:r w:rsidRPr="00534422">
        <w:rPr>
          <w:rFonts w:ascii="Arial" w:hAnsi="Arial" w:cs="Arial"/>
        </w:rPr>
        <w:t xml:space="preserve">) on </w:t>
      </w:r>
      <w:proofErr w:type="spellStart"/>
      <w:r w:rsidRPr="00534422">
        <w:rPr>
          <w:rFonts w:ascii="Arial" w:hAnsi="Arial" w:cs="Arial"/>
        </w:rPr>
        <w:t>Pikovskaya’s</w:t>
      </w:r>
      <w:proofErr w:type="spellEnd"/>
      <w:r w:rsidRPr="00534422">
        <w:rPr>
          <w:rFonts w:ascii="Arial" w:hAnsi="Arial" w:cs="Arial"/>
        </w:rPr>
        <w:t xml:space="preserve"> agar. Plates were incubated at 28 °C for 48–96 h, and distinct colonies were purified by repeated subculturing.</w:t>
      </w:r>
    </w:p>
    <w:p w14:paraId="559A062C" w14:textId="5E8BBA8D" w:rsidR="00534422" w:rsidRPr="00B00DE1" w:rsidRDefault="00B00DE1" w:rsidP="00534422">
      <w:pPr>
        <w:widowControl w:val="0"/>
        <w:jc w:val="both"/>
        <w:rPr>
          <w:rFonts w:ascii="Arial" w:hAnsi="Arial" w:cs="Arial"/>
          <w:b/>
          <w:bCs/>
          <w:i/>
        </w:rPr>
      </w:pPr>
      <w:r w:rsidRPr="00B00DE1">
        <w:rPr>
          <w:rFonts w:ascii="Arial" w:hAnsi="Arial" w:cs="Arial"/>
          <w:b/>
          <w:bCs/>
          <w:i/>
        </w:rPr>
        <w:t xml:space="preserve">2.3 </w:t>
      </w:r>
      <w:r w:rsidR="00534422" w:rsidRPr="00B00DE1">
        <w:rPr>
          <w:rFonts w:ascii="Arial" w:hAnsi="Arial" w:cs="Arial"/>
          <w:b/>
          <w:bCs/>
          <w:i/>
        </w:rPr>
        <w:t>Quantitative estimation of phosphate solubilization on agar and broth</w:t>
      </w:r>
    </w:p>
    <w:p w14:paraId="10EBB601" w14:textId="77777777" w:rsidR="00534422" w:rsidRPr="00534422" w:rsidRDefault="00534422" w:rsidP="00EA0B52">
      <w:pPr>
        <w:widowControl w:val="0"/>
        <w:jc w:val="both"/>
        <w:rPr>
          <w:rFonts w:ascii="Arial" w:hAnsi="Arial" w:cs="Arial"/>
        </w:rPr>
      </w:pPr>
      <w:r w:rsidRPr="00534422">
        <w:rPr>
          <w:rFonts w:ascii="Arial" w:hAnsi="Arial" w:cs="Arial"/>
        </w:rPr>
        <w:t>The viable cell counts for the quantitative estimation of phosphate solubilization ability corresponded to McFarland Standard 0.5 (1.5 x 10</w:t>
      </w:r>
      <w:r w:rsidRPr="00534422">
        <w:rPr>
          <w:rFonts w:ascii="Arial" w:hAnsi="Arial" w:cs="Arial"/>
          <w:vertAlign w:val="superscript"/>
        </w:rPr>
        <w:t>8</w:t>
      </w:r>
      <w:r w:rsidRPr="00534422">
        <w:rPr>
          <w:rFonts w:ascii="Arial" w:hAnsi="Arial" w:cs="Arial"/>
        </w:rPr>
        <w:t xml:space="preserve"> CFU/ml). Pure cultures of bacterial isolates obtained earlier from </w:t>
      </w:r>
      <w:proofErr w:type="spellStart"/>
      <w:r w:rsidRPr="00534422">
        <w:rPr>
          <w:rFonts w:ascii="Arial" w:hAnsi="Arial" w:cs="Arial"/>
        </w:rPr>
        <w:t>rhizospheric</w:t>
      </w:r>
      <w:proofErr w:type="spellEnd"/>
      <w:r w:rsidRPr="00534422">
        <w:rPr>
          <w:rFonts w:ascii="Arial" w:hAnsi="Arial" w:cs="Arial"/>
        </w:rPr>
        <w:t xml:space="preserve"> soil, root, and shoot tissues were sub-cultured and spot-inoculated onto </w:t>
      </w:r>
      <w:proofErr w:type="spellStart"/>
      <w:r w:rsidRPr="00534422">
        <w:rPr>
          <w:rFonts w:ascii="Arial" w:hAnsi="Arial" w:cs="Arial"/>
        </w:rPr>
        <w:t>Pikovskaya’s</w:t>
      </w:r>
      <w:proofErr w:type="spellEnd"/>
      <w:r w:rsidRPr="00534422">
        <w:rPr>
          <w:rFonts w:ascii="Arial" w:hAnsi="Arial" w:cs="Arial"/>
        </w:rPr>
        <w:t xml:space="preserve"> agar plates. Plates were incubated at 28 °C for 9 days. Phosphate solubilization was indicated by zone of clearing around the colony and solubilization efficiency was quantified by measuring the diameter of the clear zone relative to the colony diameter. The solubilization index (SI) was calculated using the following formula:</w:t>
      </w:r>
    </w:p>
    <w:p w14:paraId="3DB20D0B" w14:textId="77777777" w:rsidR="00534422" w:rsidRPr="00534422" w:rsidRDefault="00534422" w:rsidP="00534422">
      <w:pPr>
        <w:widowControl w:val="0"/>
        <w:jc w:val="both"/>
        <w:rPr>
          <w:rFonts w:ascii="Arial" w:hAnsi="Arial" w:cs="Arial"/>
        </w:rPr>
      </w:pPr>
      <w:r w:rsidRPr="00534422">
        <w:rPr>
          <w:rFonts w:ascii="Arial" w:hAnsi="Arial" w:cs="Arial"/>
        </w:rPr>
        <w:t xml:space="preserve">Solubilization index (PSI) = </w:t>
      </w:r>
      <w:proofErr w:type="spellStart"/>
      <w:r w:rsidRPr="00534422">
        <w:rPr>
          <w:rFonts w:ascii="Arial" w:hAnsi="Arial" w:cs="Arial"/>
        </w:rPr>
        <w:t>z+c</w:t>
      </w:r>
      <w:proofErr w:type="spellEnd"/>
      <w:r w:rsidRPr="00534422">
        <w:rPr>
          <w:rFonts w:ascii="Arial" w:hAnsi="Arial" w:cs="Arial"/>
        </w:rPr>
        <w:t xml:space="preserve"> /c</w:t>
      </w:r>
    </w:p>
    <w:p w14:paraId="72AB402D" w14:textId="77777777" w:rsidR="00534422" w:rsidRPr="00534422" w:rsidRDefault="00534422" w:rsidP="00534422">
      <w:pPr>
        <w:widowControl w:val="0"/>
        <w:jc w:val="both"/>
        <w:rPr>
          <w:rFonts w:ascii="Arial" w:hAnsi="Arial" w:cs="Arial"/>
        </w:rPr>
      </w:pPr>
      <w:r w:rsidRPr="00534422">
        <w:rPr>
          <w:rFonts w:ascii="Arial" w:hAnsi="Arial" w:cs="Arial"/>
        </w:rPr>
        <w:t xml:space="preserve">where Z= Zone of solubilization (mm), C= Colony diameter (mm) </w:t>
      </w:r>
    </w:p>
    <w:p w14:paraId="2EC9EEBE" w14:textId="12CB419C" w:rsidR="00534422" w:rsidRPr="00534422" w:rsidRDefault="00534422" w:rsidP="00EA0B52">
      <w:pPr>
        <w:widowControl w:val="0"/>
        <w:jc w:val="both"/>
        <w:rPr>
          <w:rFonts w:ascii="Arial" w:hAnsi="Arial" w:cs="Arial"/>
        </w:rPr>
      </w:pPr>
      <w:r w:rsidRPr="00534422">
        <w:rPr>
          <w:rFonts w:ascii="Arial" w:hAnsi="Arial" w:cs="Arial"/>
        </w:rPr>
        <w:t xml:space="preserve">Isolates exhibiting zone of clearing were grown in </w:t>
      </w:r>
      <w:proofErr w:type="spellStart"/>
      <w:r w:rsidRPr="00534422">
        <w:rPr>
          <w:rFonts w:ascii="Arial" w:hAnsi="Arial" w:cs="Arial"/>
        </w:rPr>
        <w:t>Pikovskaya’s</w:t>
      </w:r>
      <w:proofErr w:type="spellEnd"/>
      <w:r w:rsidRPr="00534422">
        <w:rPr>
          <w:rFonts w:ascii="Arial" w:hAnsi="Arial" w:cs="Arial"/>
        </w:rPr>
        <w:t xml:space="preserve"> broth to achieve McFarland Standard 0.5. Equal volume of broth culture aliquots was centrifuged at 10,000 rpm for 15 min. From the supernatant, 100 </w:t>
      </w:r>
      <w:proofErr w:type="spellStart"/>
      <w:r w:rsidRPr="00534422">
        <w:rPr>
          <w:rFonts w:ascii="Arial" w:hAnsi="Arial" w:cs="Arial"/>
        </w:rPr>
        <w:t>μl</w:t>
      </w:r>
      <w:proofErr w:type="spellEnd"/>
      <w:r w:rsidRPr="00534422">
        <w:rPr>
          <w:rFonts w:ascii="Arial" w:hAnsi="Arial" w:cs="Arial"/>
        </w:rPr>
        <w:t xml:space="preserve"> was transferred to a 50 ml volumetric flask. 10 ml of </w:t>
      </w:r>
      <w:proofErr w:type="spellStart"/>
      <w:r w:rsidRPr="00534422">
        <w:rPr>
          <w:rFonts w:ascii="Arial" w:hAnsi="Arial" w:cs="Arial"/>
        </w:rPr>
        <w:t>chloromolybdic</w:t>
      </w:r>
      <w:proofErr w:type="spellEnd"/>
      <w:r w:rsidRPr="00534422">
        <w:rPr>
          <w:rFonts w:ascii="Arial" w:hAnsi="Arial" w:cs="Arial"/>
        </w:rPr>
        <w:t xml:space="preserve"> acid reagent and 1 ml of </w:t>
      </w:r>
      <w:proofErr w:type="spellStart"/>
      <w:r w:rsidRPr="00534422">
        <w:rPr>
          <w:rFonts w:ascii="Arial" w:hAnsi="Arial" w:cs="Arial"/>
        </w:rPr>
        <w:t>chlorostannous</w:t>
      </w:r>
      <w:proofErr w:type="spellEnd"/>
      <w:r w:rsidRPr="00534422">
        <w:rPr>
          <w:rFonts w:ascii="Arial" w:hAnsi="Arial" w:cs="Arial"/>
        </w:rPr>
        <w:t xml:space="preserve"> acid reagent were added, and the volume was made up to 50 ml with distilled water. Absorbance was measured at 600 nm using a spectrophotometer (Shimadzu UV-1280). A standard curve was prepared using phosphorus solution at concentrations of 0–10 </w:t>
      </w:r>
      <w:proofErr w:type="spellStart"/>
      <w:r w:rsidRPr="00534422">
        <w:rPr>
          <w:rFonts w:ascii="Arial" w:hAnsi="Arial" w:cs="Arial"/>
        </w:rPr>
        <w:t>μg</w:t>
      </w:r>
      <w:proofErr w:type="spellEnd"/>
      <w:r w:rsidRPr="00534422">
        <w:rPr>
          <w:rFonts w:ascii="Arial" w:hAnsi="Arial" w:cs="Arial"/>
        </w:rPr>
        <w:t>/ml</w:t>
      </w:r>
      <w:r w:rsidR="00B00DE1">
        <w:rPr>
          <w:rFonts w:ascii="Arial" w:hAnsi="Arial" w:cs="Arial"/>
        </w:rPr>
        <w:t xml:space="preserve"> (Fig 1).</w:t>
      </w:r>
      <w:r w:rsidRPr="00534422">
        <w:rPr>
          <w:rFonts w:ascii="Arial" w:hAnsi="Arial" w:cs="Arial"/>
        </w:rPr>
        <w:t xml:space="preserve"> Reagents were added similarly and absorbance was recorded at 600 nm to interpolate phosphate concentrations in the test samples. Standard curve thus prepared facilitated the interpolation of the curve to ascertain the concentration of soluble phosphorus in the test samples.</w:t>
      </w:r>
    </w:p>
    <w:p w14:paraId="7B853BA6" w14:textId="3FBC0920" w:rsidR="00534422" w:rsidRDefault="009D4FDD" w:rsidP="00534422">
      <w:pPr>
        <w:widowControl w:val="0"/>
        <w:jc w:val="both"/>
        <w:rPr>
          <w:rFonts w:ascii="Arial" w:hAnsi="Arial" w:cs="Arial"/>
        </w:rPr>
      </w:pPr>
      <w:r>
        <w:rPr>
          <w:noProof/>
        </w:rPr>
        <w:lastRenderedPageBreak/>
        <w:drawing>
          <wp:anchor distT="0" distB="0" distL="0" distR="0" simplePos="0" relativeHeight="251659264" behindDoc="0" locked="0" layoutInCell="1" hidden="0" allowOverlap="1" wp14:anchorId="40858C23" wp14:editId="421AEFAD">
            <wp:simplePos x="0" y="0"/>
            <wp:positionH relativeFrom="column">
              <wp:posOffset>-4445</wp:posOffset>
            </wp:positionH>
            <wp:positionV relativeFrom="paragraph">
              <wp:posOffset>290195</wp:posOffset>
            </wp:positionV>
            <wp:extent cx="4241800" cy="2636520"/>
            <wp:effectExtent l="0" t="0" r="6350" b="0"/>
            <wp:wrapTopAndBottom distT="0" distB="0"/>
            <wp:docPr id="12" name="image2.png" descr="Description: Chart"/>
            <wp:cNvGraphicFramePr/>
            <a:graphic xmlns:a="http://schemas.openxmlformats.org/drawingml/2006/main">
              <a:graphicData uri="http://schemas.openxmlformats.org/drawingml/2006/picture">
                <pic:pic xmlns:pic="http://schemas.openxmlformats.org/drawingml/2006/picture">
                  <pic:nvPicPr>
                    <pic:cNvPr id="0" name="image2.png" descr="Description: Chart"/>
                    <pic:cNvPicPr preferRelativeResize="0"/>
                  </pic:nvPicPr>
                  <pic:blipFill>
                    <a:blip r:embed="rId9"/>
                    <a:srcRect/>
                    <a:stretch>
                      <a:fillRect/>
                    </a:stretch>
                  </pic:blipFill>
                  <pic:spPr>
                    <a:xfrm>
                      <a:off x="0" y="0"/>
                      <a:ext cx="4241800" cy="2636520"/>
                    </a:xfrm>
                    <a:prstGeom prst="rect">
                      <a:avLst/>
                    </a:prstGeom>
                    <a:ln/>
                  </pic:spPr>
                </pic:pic>
              </a:graphicData>
            </a:graphic>
            <wp14:sizeRelH relativeFrom="margin">
              <wp14:pctWidth>0</wp14:pctWidth>
            </wp14:sizeRelH>
            <wp14:sizeRelV relativeFrom="margin">
              <wp14:pctHeight>0</wp14:pctHeight>
            </wp14:sizeRelV>
          </wp:anchor>
        </w:drawing>
      </w:r>
      <w:r w:rsidR="00534422" w:rsidRPr="00534422">
        <w:rPr>
          <w:rFonts w:ascii="Arial" w:hAnsi="Arial" w:cs="Arial"/>
          <w:i/>
        </w:rPr>
        <w:t>Equation</w:t>
      </w:r>
      <w:r w:rsidR="00B00DE1">
        <w:rPr>
          <w:rFonts w:ascii="Arial" w:hAnsi="Arial" w:cs="Arial"/>
          <w:i/>
        </w:rPr>
        <w:t xml:space="preserve">- </w:t>
      </w:r>
      <w:r w:rsidR="00534422" w:rsidRPr="00534422">
        <w:rPr>
          <w:rFonts w:ascii="Arial" w:hAnsi="Arial" w:cs="Arial"/>
        </w:rPr>
        <w:t>y = 0.185x + 0.053, R² = 0.973</w:t>
      </w:r>
    </w:p>
    <w:p w14:paraId="31C004AD" w14:textId="6CB30D33" w:rsidR="009D4FDD" w:rsidRPr="009D4FDD" w:rsidRDefault="009D4FDD" w:rsidP="00534422">
      <w:pPr>
        <w:widowControl w:val="0"/>
        <w:jc w:val="both"/>
        <w:rPr>
          <w:rFonts w:ascii="Arial" w:hAnsi="Arial" w:cs="Arial"/>
        </w:rPr>
      </w:pPr>
      <w:r w:rsidRPr="009D4FDD">
        <w:rPr>
          <w:rFonts w:ascii="Arial" w:hAnsi="Arial" w:cs="Arial"/>
        </w:rPr>
        <w:t>Fig 1</w:t>
      </w:r>
      <w:r w:rsidRPr="009D4FDD">
        <w:rPr>
          <w:rFonts w:ascii="Arial" w:eastAsia="Helvetica Neue" w:hAnsi="Arial" w:cs="Arial"/>
        </w:rPr>
        <w:t xml:space="preserve"> Standard curve for estimation of phosphate solubilization</w:t>
      </w:r>
    </w:p>
    <w:p w14:paraId="414E4192" w14:textId="1657C99A" w:rsidR="00534422" w:rsidRPr="00B00DE1" w:rsidRDefault="00B00DE1" w:rsidP="00534422">
      <w:pPr>
        <w:widowControl w:val="0"/>
        <w:jc w:val="both"/>
        <w:rPr>
          <w:rFonts w:ascii="Arial" w:hAnsi="Arial" w:cs="Arial"/>
          <w:b/>
          <w:bCs/>
          <w:i/>
        </w:rPr>
      </w:pPr>
      <w:r w:rsidRPr="00B00DE1">
        <w:rPr>
          <w:rFonts w:ascii="Arial" w:hAnsi="Arial" w:cs="Arial"/>
          <w:b/>
          <w:bCs/>
          <w:i/>
        </w:rPr>
        <w:t xml:space="preserve">2.4 </w:t>
      </w:r>
      <w:r w:rsidR="00534422" w:rsidRPr="00B00DE1">
        <w:rPr>
          <w:rFonts w:ascii="Arial" w:hAnsi="Arial" w:cs="Arial"/>
          <w:b/>
          <w:bCs/>
          <w:i/>
        </w:rPr>
        <w:t>Microscopic, colony and biochemical characterization of isolates</w:t>
      </w:r>
    </w:p>
    <w:p w14:paraId="72365806" w14:textId="77777777" w:rsidR="00534422" w:rsidRPr="00534422" w:rsidRDefault="00534422" w:rsidP="00EA0B52">
      <w:pPr>
        <w:widowControl w:val="0"/>
        <w:jc w:val="both"/>
        <w:rPr>
          <w:rFonts w:ascii="Arial" w:hAnsi="Arial" w:cs="Arial"/>
        </w:rPr>
      </w:pPr>
      <w:r w:rsidRPr="00534422">
        <w:rPr>
          <w:rFonts w:ascii="Arial" w:hAnsi="Arial" w:cs="Arial"/>
        </w:rPr>
        <w:t xml:space="preserve">The cultural and morphological characterization of phosphate-solubilizing bacterial isolates was carried out by observing 24-hour-old colonies for shape, size, color, margin, opacity and elevation. Microscopic characterization was done by Gram staining the isolates. Biochemical characterization with </w:t>
      </w:r>
      <w:proofErr w:type="spellStart"/>
      <w:r w:rsidRPr="00534422">
        <w:rPr>
          <w:rFonts w:ascii="Arial" w:hAnsi="Arial" w:cs="Arial"/>
        </w:rPr>
        <w:t>IMViC</w:t>
      </w:r>
      <w:proofErr w:type="spellEnd"/>
      <w:r w:rsidRPr="00534422">
        <w:rPr>
          <w:rFonts w:ascii="Arial" w:hAnsi="Arial" w:cs="Arial"/>
        </w:rPr>
        <w:t xml:space="preserve"> test was performed to assess metabolic traits.  </w:t>
      </w:r>
    </w:p>
    <w:p w14:paraId="29DBE427" w14:textId="06259974" w:rsidR="00534422" w:rsidRPr="00B00DE1" w:rsidRDefault="00B00DE1" w:rsidP="00534422">
      <w:pPr>
        <w:jc w:val="both"/>
        <w:rPr>
          <w:rFonts w:ascii="Arial" w:hAnsi="Arial" w:cs="Arial"/>
          <w:b/>
          <w:bCs/>
          <w:i/>
        </w:rPr>
      </w:pPr>
      <w:r w:rsidRPr="00B00DE1">
        <w:rPr>
          <w:rFonts w:ascii="Arial" w:hAnsi="Arial" w:cs="Arial"/>
          <w:b/>
          <w:bCs/>
          <w:i/>
        </w:rPr>
        <w:t xml:space="preserve">2.5 </w:t>
      </w:r>
      <w:r w:rsidR="00534422" w:rsidRPr="00B00DE1">
        <w:rPr>
          <w:rFonts w:ascii="Arial" w:hAnsi="Arial" w:cs="Arial"/>
          <w:b/>
          <w:bCs/>
          <w:i/>
        </w:rPr>
        <w:t>Identification of efficient PSB isolates</w:t>
      </w:r>
    </w:p>
    <w:p w14:paraId="73CC7D50" w14:textId="46E2105D" w:rsidR="00534422" w:rsidRDefault="00534422" w:rsidP="00EA0B52">
      <w:pPr>
        <w:jc w:val="both"/>
        <w:rPr>
          <w:rFonts w:ascii="Arial" w:eastAsia="Cardo" w:hAnsi="Arial" w:cs="Arial"/>
        </w:rPr>
      </w:pPr>
      <w:r w:rsidRPr="00534422">
        <w:rPr>
          <w:rFonts w:ascii="Arial" w:hAnsi="Arial" w:cs="Arial"/>
        </w:rPr>
        <w:t xml:space="preserve">Genomic DNA from bacterial isolates was extracted using the </w:t>
      </w:r>
      <w:proofErr w:type="spellStart"/>
      <w:r w:rsidRPr="00534422">
        <w:rPr>
          <w:rFonts w:ascii="Arial" w:hAnsi="Arial" w:cs="Arial"/>
        </w:rPr>
        <w:t>HiPurA</w:t>
      </w:r>
      <w:proofErr w:type="spellEnd"/>
      <w:r w:rsidRPr="00534422">
        <w:rPr>
          <w:rFonts w:ascii="Arial" w:hAnsi="Arial" w:cs="Arial"/>
        </w:rPr>
        <w:t xml:space="preserve">™ Bacterial DNA Purification Kit. A 1.5 ml overnight bacterial culture was centrifuged at 13,000 rpm for 2 min, and the pellet was resuspended in 180 µl lysis buffer with 20 µl Proteinase K. After incubation at 55 °C, lysis and wash steps were performed using prewash, wash, and elution buffers. Purified DNA was eluted in 200 µl elution buffer and stored for downstream applications. The 16S rRNA gene (~1200bp) was amplified using universal primers in a 20µl PCR reaction containing 100 ng DNA, 2 U </w:t>
      </w:r>
      <w:proofErr w:type="spellStart"/>
      <w:r w:rsidRPr="00534422">
        <w:rPr>
          <w:rFonts w:ascii="Arial" w:hAnsi="Arial" w:cs="Arial"/>
        </w:rPr>
        <w:t>Taq</w:t>
      </w:r>
      <w:proofErr w:type="spellEnd"/>
      <w:r w:rsidRPr="00534422">
        <w:rPr>
          <w:rFonts w:ascii="Arial" w:hAnsi="Arial" w:cs="Arial"/>
        </w:rPr>
        <w:t xml:space="preserve"> polymerase (</w:t>
      </w:r>
      <w:proofErr w:type="spellStart"/>
      <w:r w:rsidRPr="00534422">
        <w:rPr>
          <w:rFonts w:ascii="Arial" w:hAnsi="Arial" w:cs="Arial"/>
        </w:rPr>
        <w:t>TaKaRa</w:t>
      </w:r>
      <w:proofErr w:type="spellEnd"/>
      <w:r w:rsidR="00B217BC">
        <w:rPr>
          <w:rFonts w:ascii="Arial" w:hAnsi="Arial" w:cs="Arial"/>
        </w:rPr>
        <w:t xml:space="preserve"> </w:t>
      </w:r>
      <w:proofErr w:type="spellStart"/>
      <w:r w:rsidRPr="00534422">
        <w:rPr>
          <w:rFonts w:ascii="Arial" w:hAnsi="Arial" w:cs="Arial"/>
        </w:rPr>
        <w:t>Taq</w:t>
      </w:r>
      <w:r w:rsidRPr="00534422">
        <w:rPr>
          <w:rFonts w:ascii="Arial" w:hAnsi="Arial" w:cs="Arial"/>
          <w:vertAlign w:val="superscript"/>
        </w:rPr>
        <w:t>TM</w:t>
      </w:r>
      <w:proofErr w:type="spellEnd"/>
      <w:r w:rsidRPr="00534422">
        <w:rPr>
          <w:rFonts w:ascii="Arial" w:hAnsi="Arial" w:cs="Arial"/>
        </w:rPr>
        <w:t>), 10X buffer, 0.1 mM dNTPs, and 0.5µM primers. PCR conditions included initial denaturation at 95°C for 3 min, followed by 32 cycles of denaturation (95°C, 30s), annealing (</w:t>
      </w:r>
      <w:r w:rsidRPr="00534422">
        <w:rPr>
          <w:rFonts w:ascii="Arial" w:eastAsia="Cardo" w:hAnsi="Arial" w:cs="Arial"/>
        </w:rPr>
        <w:t>42°C, 30 s), extension (72°C, 1 mint), and a final extension at 72°C for 10 min. Amplified products were visualized on a 1.5% agarose gel stained with ethidium bromide and documented under UV illumination. Sanger sequencing was performed on an ABI 3500XL platform. U</w:t>
      </w:r>
      <w:r w:rsidRPr="00534422">
        <w:rPr>
          <w:rFonts w:ascii="Arial" w:hAnsi="Arial" w:cs="Arial"/>
        </w:rPr>
        <w:t xml:space="preserve">niversal primers targeting hypervariable V4-V7 regions were used for taxonomic profiling and phylogenetic analysis. </w:t>
      </w:r>
      <w:r w:rsidRPr="00534422">
        <w:rPr>
          <w:rFonts w:ascii="Arial" w:eastAsia="Cardo" w:hAnsi="Arial" w:cs="Arial"/>
        </w:rPr>
        <w:t>Resulting sequences were analy</w:t>
      </w:r>
      <w:r w:rsidR="00B217BC">
        <w:rPr>
          <w:rFonts w:ascii="Arial" w:eastAsia="Cardo" w:hAnsi="Arial" w:cs="Arial"/>
        </w:rPr>
        <w:t>z</w:t>
      </w:r>
      <w:r w:rsidRPr="00534422">
        <w:rPr>
          <w:rFonts w:ascii="Arial" w:eastAsia="Cardo" w:hAnsi="Arial" w:cs="Arial"/>
        </w:rPr>
        <w:t xml:space="preserve">ed using BLAST against NCBI GenBank to identify isolates based on </w:t>
      </w:r>
      <w:r w:rsidRPr="00534422">
        <w:rPr>
          <w:rFonts w:ascii="Arial" w:eastAsia="Cardo" w:hAnsi="Arial" w:cs="Arial"/>
          <w:u w:val="single"/>
        </w:rPr>
        <w:t>&gt;</w:t>
      </w:r>
      <w:r w:rsidRPr="00534422">
        <w:rPr>
          <w:rFonts w:ascii="Arial" w:eastAsia="Cardo" w:hAnsi="Arial" w:cs="Arial"/>
        </w:rPr>
        <w:t xml:space="preserve"> 97% sequence similarity. Top hits with the lowest E-values and highest identity were used to confirm bacterial species. Validated sequences were submitted to NCBI for accession.</w:t>
      </w:r>
    </w:p>
    <w:p w14:paraId="32A3137A" w14:textId="77777777" w:rsidR="009D4FDD" w:rsidRPr="00534422" w:rsidRDefault="009D4FDD" w:rsidP="00534422">
      <w:pPr>
        <w:ind w:firstLine="720"/>
        <w:jc w:val="both"/>
        <w:rPr>
          <w:rFonts w:ascii="Arial" w:hAnsi="Arial" w:cs="Arial"/>
          <w:vertAlign w:val="superscript"/>
        </w:rPr>
      </w:pPr>
    </w:p>
    <w:p w14:paraId="1186DB37" w14:textId="509716B2"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FF27684" w14:textId="2EE04BBD" w:rsidR="009D4FDD" w:rsidRPr="000E3935" w:rsidRDefault="009D4FDD" w:rsidP="00EA0B52">
      <w:pPr>
        <w:spacing w:before="40" w:after="40"/>
        <w:jc w:val="both"/>
        <w:rPr>
          <w:rFonts w:ascii="Arial" w:hAnsi="Arial" w:cs="Arial"/>
        </w:rPr>
      </w:pPr>
      <w:r w:rsidRPr="000E3935">
        <w:rPr>
          <w:rFonts w:ascii="Arial" w:hAnsi="Arial" w:cs="Arial"/>
        </w:rPr>
        <w:t>The phosphate solubili</w:t>
      </w:r>
      <w:r w:rsidR="00B217BC">
        <w:rPr>
          <w:rFonts w:ascii="Arial" w:hAnsi="Arial" w:cs="Arial"/>
        </w:rPr>
        <w:t>z</w:t>
      </w:r>
      <w:r w:rsidRPr="000E3935">
        <w:rPr>
          <w:rFonts w:ascii="Arial" w:hAnsi="Arial" w:cs="Arial"/>
        </w:rPr>
        <w:t xml:space="preserve">ing bacterial (PSB) counts were assessed in </w:t>
      </w:r>
      <w:proofErr w:type="spellStart"/>
      <w:r w:rsidRPr="000E3935">
        <w:rPr>
          <w:rFonts w:ascii="Arial" w:hAnsi="Arial" w:cs="Arial"/>
        </w:rPr>
        <w:t>rhizospheric</w:t>
      </w:r>
      <w:proofErr w:type="spellEnd"/>
      <w:r w:rsidRPr="000E3935">
        <w:rPr>
          <w:rFonts w:ascii="Arial" w:hAnsi="Arial" w:cs="Arial"/>
        </w:rPr>
        <w:t xml:space="preserve"> soil, root and shoot tissues of three wheat (landrace LC306 and cultivars PBW725, HD3086) under phosphorus (P) amended and P starved conditions across four growth stages (20-25 DAS, 60 DAS, 90 DAS, and flowering). Plant growth promoting tra</w:t>
      </w:r>
      <w:r w:rsidR="002B545B">
        <w:rPr>
          <w:rFonts w:ascii="Arial" w:hAnsi="Arial" w:cs="Arial"/>
        </w:rPr>
        <w:t>it</w:t>
      </w:r>
      <w:r w:rsidRPr="000E3935">
        <w:rPr>
          <w:rFonts w:ascii="Arial" w:hAnsi="Arial" w:cs="Arial"/>
        </w:rPr>
        <w:t>s of efficient isolates were estimated and they were later identified using 16S rRNA profiling.</w:t>
      </w:r>
    </w:p>
    <w:p w14:paraId="33B95DED" w14:textId="365CC4DD" w:rsidR="009D4FDD" w:rsidRPr="000E3935" w:rsidRDefault="007F2BF9" w:rsidP="009D4FDD">
      <w:pPr>
        <w:spacing w:before="40" w:after="40"/>
        <w:jc w:val="both"/>
        <w:rPr>
          <w:rFonts w:ascii="Arial" w:hAnsi="Arial" w:cs="Arial"/>
          <w:b/>
          <w:bCs/>
        </w:rPr>
      </w:pPr>
      <w:r>
        <w:rPr>
          <w:rFonts w:ascii="Arial" w:hAnsi="Arial" w:cs="Arial"/>
          <w:b/>
          <w:bCs/>
        </w:rPr>
        <w:t xml:space="preserve">3.1 </w:t>
      </w:r>
      <w:r w:rsidR="009D4FDD" w:rsidRPr="000E3935">
        <w:rPr>
          <w:rFonts w:ascii="Arial" w:hAnsi="Arial" w:cs="Arial"/>
          <w:b/>
          <w:bCs/>
        </w:rPr>
        <w:t>Phosphate solubili</w:t>
      </w:r>
      <w:r w:rsidR="002B545B">
        <w:rPr>
          <w:rFonts w:ascii="Arial" w:hAnsi="Arial" w:cs="Arial"/>
          <w:b/>
          <w:bCs/>
        </w:rPr>
        <w:t>z</w:t>
      </w:r>
      <w:r w:rsidR="009D4FDD" w:rsidRPr="000E3935">
        <w:rPr>
          <w:rFonts w:ascii="Arial" w:hAnsi="Arial" w:cs="Arial"/>
          <w:b/>
          <w:bCs/>
        </w:rPr>
        <w:t>ing bacterial (PSB) counts in rhizosphere, roots, and shoots</w:t>
      </w:r>
    </w:p>
    <w:p w14:paraId="69551ADF" w14:textId="2DD69B13" w:rsidR="009D4FDD" w:rsidRPr="000E3935" w:rsidRDefault="007F2BF9" w:rsidP="009D4FDD">
      <w:pPr>
        <w:jc w:val="both"/>
        <w:rPr>
          <w:rFonts w:ascii="Arial" w:hAnsi="Arial" w:cs="Arial"/>
          <w:b/>
          <w:bCs/>
        </w:rPr>
      </w:pPr>
      <w:r>
        <w:rPr>
          <w:rFonts w:ascii="Arial" w:hAnsi="Arial" w:cs="Arial"/>
          <w:b/>
          <w:bCs/>
        </w:rPr>
        <w:t xml:space="preserve">3.1.1 </w:t>
      </w:r>
      <w:proofErr w:type="spellStart"/>
      <w:r w:rsidR="009D4FDD" w:rsidRPr="000E3935">
        <w:rPr>
          <w:rFonts w:ascii="Arial" w:hAnsi="Arial" w:cs="Arial"/>
          <w:b/>
          <w:bCs/>
        </w:rPr>
        <w:t>Rhizospheric</w:t>
      </w:r>
      <w:proofErr w:type="spellEnd"/>
      <w:r w:rsidR="009D4FDD" w:rsidRPr="000E3935">
        <w:rPr>
          <w:rFonts w:ascii="Arial" w:hAnsi="Arial" w:cs="Arial"/>
          <w:b/>
          <w:bCs/>
        </w:rPr>
        <w:t xml:space="preserve"> PSB</w:t>
      </w:r>
    </w:p>
    <w:p w14:paraId="00F4CBAF" w14:textId="6BA25056" w:rsidR="009D4FDD" w:rsidRPr="000E3935" w:rsidRDefault="009D4FDD" w:rsidP="00EA0B52">
      <w:pPr>
        <w:jc w:val="both"/>
        <w:rPr>
          <w:rFonts w:ascii="Arial" w:hAnsi="Arial" w:cs="Arial"/>
        </w:rPr>
      </w:pPr>
      <w:r w:rsidRPr="000E3935">
        <w:rPr>
          <w:rFonts w:ascii="Arial" w:hAnsi="Arial" w:cs="Arial"/>
        </w:rPr>
        <w:lastRenderedPageBreak/>
        <w:t xml:space="preserve">The PSB counts in the </w:t>
      </w:r>
      <w:proofErr w:type="spellStart"/>
      <w:r w:rsidRPr="000E3935">
        <w:rPr>
          <w:rFonts w:ascii="Arial" w:hAnsi="Arial" w:cs="Arial"/>
        </w:rPr>
        <w:t>rhizospheric</w:t>
      </w:r>
      <w:proofErr w:type="spellEnd"/>
      <w:r w:rsidRPr="000E3935">
        <w:rPr>
          <w:rFonts w:ascii="Arial" w:hAnsi="Arial" w:cs="Arial"/>
        </w:rPr>
        <w:t xml:space="preserve"> soil varied with phosphorus (P) availability and genotype (Fig </w:t>
      </w:r>
      <w:r w:rsidR="000E3935" w:rsidRPr="000E3935">
        <w:rPr>
          <w:rFonts w:ascii="Arial" w:hAnsi="Arial" w:cs="Arial"/>
        </w:rPr>
        <w:t>2</w:t>
      </w:r>
      <w:r w:rsidRPr="000E3935">
        <w:rPr>
          <w:rFonts w:ascii="Arial" w:hAnsi="Arial" w:cs="Arial"/>
        </w:rPr>
        <w:t xml:space="preserve">). At 20-25DAS, P-starved plants exhibited significantly higher PSB counts (log 6.95±0.03 </w:t>
      </w:r>
      <w:proofErr w:type="spellStart"/>
      <w:r w:rsidRPr="000E3935">
        <w:rPr>
          <w:rFonts w:ascii="Arial" w:hAnsi="Arial" w:cs="Arial"/>
        </w:rPr>
        <w:t>cfu</w:t>
      </w:r>
      <w:proofErr w:type="spellEnd"/>
      <w:r w:rsidRPr="000E3935">
        <w:rPr>
          <w:rFonts w:ascii="Arial" w:hAnsi="Arial" w:cs="Arial"/>
        </w:rPr>
        <w:t xml:space="preserve">/g in LC306) compared to P-amended treatments (log 6.00±0.03 </w:t>
      </w:r>
      <w:proofErr w:type="spellStart"/>
      <w:r w:rsidRPr="000E3935">
        <w:rPr>
          <w:rFonts w:ascii="Arial" w:hAnsi="Arial" w:cs="Arial"/>
        </w:rPr>
        <w:t>cfu</w:t>
      </w:r>
      <w:proofErr w:type="spellEnd"/>
      <w:r w:rsidRPr="000E3935">
        <w:rPr>
          <w:rFonts w:ascii="Arial" w:hAnsi="Arial" w:cs="Arial"/>
        </w:rPr>
        <w:t xml:space="preserve">/g), </w:t>
      </w:r>
      <w:r w:rsidR="007F2BF9" w:rsidRPr="007F2BF9">
        <w:rPr>
          <w:rFonts w:ascii="Arial" w:hAnsi="Arial" w:cs="Arial"/>
          <w:i/>
          <w:iCs/>
        </w:rPr>
        <w:t>P</w:t>
      </w:r>
      <w:r w:rsidRPr="000E3935">
        <w:rPr>
          <w:rFonts w:ascii="Arial" w:hAnsi="Arial" w:cs="Arial"/>
        </w:rPr>
        <w:t xml:space="preserve"> &lt; .0001, indicating a stimulation of PSB proliferation under P deficiency. At the same developmental stage, PSB count in cultivars PBW725 and HD3086 was significantly higher in P starved 6.80 and 6.45 log </w:t>
      </w:r>
      <w:proofErr w:type="spellStart"/>
      <w:r w:rsidRPr="000E3935">
        <w:rPr>
          <w:rFonts w:ascii="Arial" w:hAnsi="Arial" w:cs="Arial"/>
        </w:rPr>
        <w:t>cfu</w:t>
      </w:r>
      <w:proofErr w:type="spellEnd"/>
      <w:r w:rsidRPr="000E3935">
        <w:rPr>
          <w:rFonts w:ascii="Arial" w:hAnsi="Arial" w:cs="Arial"/>
        </w:rPr>
        <w:t>/g, respectively (</w:t>
      </w:r>
      <w:r w:rsidR="007F2BF9" w:rsidRPr="007F2BF9">
        <w:rPr>
          <w:rFonts w:ascii="Arial" w:hAnsi="Arial" w:cs="Arial"/>
          <w:i/>
          <w:iCs/>
        </w:rPr>
        <w:t>P</w:t>
      </w:r>
      <w:r w:rsidRPr="000E3935">
        <w:rPr>
          <w:rFonts w:ascii="Arial" w:hAnsi="Arial" w:cs="Arial"/>
        </w:rPr>
        <w:t xml:space="preserve"> &lt; 0.0001 for PBW725, </w:t>
      </w:r>
      <w:r w:rsidR="007F2BF9" w:rsidRPr="007F2BF9">
        <w:rPr>
          <w:rFonts w:ascii="Arial" w:hAnsi="Arial" w:cs="Arial"/>
          <w:i/>
          <w:iCs/>
        </w:rPr>
        <w:t>P</w:t>
      </w:r>
      <w:r w:rsidR="007F2BF9" w:rsidRPr="000E3935">
        <w:rPr>
          <w:rFonts w:ascii="Arial" w:hAnsi="Arial" w:cs="Arial"/>
        </w:rPr>
        <w:t xml:space="preserve"> </w:t>
      </w:r>
      <w:r w:rsidRPr="000E3935">
        <w:rPr>
          <w:rFonts w:ascii="Arial" w:hAnsi="Arial" w:cs="Arial"/>
        </w:rPr>
        <w:t xml:space="preserve">of .001 for HD3086). The PSB counts stabilized near 6.00 log </w:t>
      </w:r>
      <w:proofErr w:type="spellStart"/>
      <w:r w:rsidRPr="000E3935">
        <w:rPr>
          <w:rFonts w:ascii="Arial" w:hAnsi="Arial" w:cs="Arial"/>
        </w:rPr>
        <w:t>cfu</w:t>
      </w:r>
      <w:proofErr w:type="spellEnd"/>
      <w:r w:rsidRPr="000E3935">
        <w:rPr>
          <w:rFonts w:ascii="Arial" w:hAnsi="Arial" w:cs="Arial"/>
        </w:rPr>
        <w:t xml:space="preserve">/g at flowering. However, HD3086 exhibited a high count of 6.95 log </w:t>
      </w:r>
      <w:proofErr w:type="spellStart"/>
      <w:r w:rsidRPr="000E3935">
        <w:rPr>
          <w:rFonts w:ascii="Arial" w:hAnsi="Arial" w:cs="Arial"/>
        </w:rPr>
        <w:t>cfu</w:t>
      </w:r>
      <w:proofErr w:type="spellEnd"/>
      <w:r w:rsidRPr="000E3935">
        <w:rPr>
          <w:rFonts w:ascii="Arial" w:hAnsi="Arial" w:cs="Arial"/>
        </w:rPr>
        <w:t>/g.</w:t>
      </w:r>
    </w:p>
    <w:p w14:paraId="49B43291" w14:textId="61E9076F" w:rsidR="000E3935" w:rsidRPr="000E3935" w:rsidRDefault="000E3935" w:rsidP="000E3935">
      <w:pPr>
        <w:jc w:val="both"/>
        <w:rPr>
          <w:rFonts w:ascii="Arial" w:hAnsi="Arial" w:cs="Arial"/>
        </w:rPr>
      </w:pPr>
      <w:r w:rsidRPr="000E3935">
        <w:rPr>
          <w:rFonts w:ascii="Arial" w:hAnsi="Arial" w:cs="Arial"/>
          <w:noProof/>
        </w:rPr>
        <w:drawing>
          <wp:inline distT="0" distB="0" distL="0" distR="0" wp14:anchorId="04B0DB66" wp14:editId="6D2A3D69">
            <wp:extent cx="5124060" cy="3127239"/>
            <wp:effectExtent l="0" t="0" r="635" b="0"/>
            <wp:docPr id="1102252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4607" cy="3133676"/>
                    </a:xfrm>
                    <a:prstGeom prst="rect">
                      <a:avLst/>
                    </a:prstGeom>
                    <a:noFill/>
                    <a:ln>
                      <a:noFill/>
                    </a:ln>
                  </pic:spPr>
                </pic:pic>
              </a:graphicData>
            </a:graphic>
          </wp:inline>
        </w:drawing>
      </w:r>
    </w:p>
    <w:p w14:paraId="433BFFB1" w14:textId="77777777" w:rsidR="009420DA" w:rsidRDefault="000E3935" w:rsidP="000E3935">
      <w:pPr>
        <w:jc w:val="both"/>
        <w:rPr>
          <w:rFonts w:ascii="Arial" w:hAnsi="Arial" w:cs="Arial"/>
        </w:rPr>
      </w:pPr>
      <w:r w:rsidRPr="000E3935">
        <w:rPr>
          <w:rFonts w:ascii="Arial" w:hAnsi="Arial" w:cs="Arial"/>
        </w:rPr>
        <w:t>Fig 2</w:t>
      </w:r>
      <w:r w:rsidR="00981665">
        <w:rPr>
          <w:rFonts w:ascii="Arial" w:hAnsi="Arial" w:cs="Arial"/>
        </w:rPr>
        <w:t>-</w:t>
      </w:r>
      <w:r w:rsidRPr="000E3935">
        <w:rPr>
          <w:rFonts w:ascii="Arial" w:hAnsi="Arial" w:cs="Arial"/>
        </w:rPr>
        <w:t xml:space="preserve"> </w:t>
      </w:r>
      <w:r w:rsidRPr="009420DA">
        <w:rPr>
          <w:rFonts w:ascii="Arial" w:hAnsi="Arial" w:cs="Arial"/>
          <w:b/>
          <w:bCs/>
        </w:rPr>
        <w:t xml:space="preserve">Heatmap of </w:t>
      </w:r>
      <w:proofErr w:type="spellStart"/>
      <w:r w:rsidRPr="009420DA">
        <w:rPr>
          <w:rFonts w:ascii="Arial" w:hAnsi="Arial" w:cs="Arial"/>
          <w:b/>
          <w:bCs/>
        </w:rPr>
        <w:t>rhizospheric</w:t>
      </w:r>
      <w:proofErr w:type="spellEnd"/>
      <w:r w:rsidRPr="009420DA">
        <w:rPr>
          <w:rFonts w:ascii="Arial" w:hAnsi="Arial" w:cs="Arial"/>
          <w:b/>
          <w:bCs/>
        </w:rPr>
        <w:t xml:space="preserve"> PSB counts (log </w:t>
      </w:r>
      <w:proofErr w:type="spellStart"/>
      <w:r w:rsidRPr="009420DA">
        <w:rPr>
          <w:rFonts w:ascii="Arial" w:hAnsi="Arial" w:cs="Arial"/>
          <w:b/>
          <w:bCs/>
        </w:rPr>
        <w:t>cfu</w:t>
      </w:r>
      <w:proofErr w:type="spellEnd"/>
      <w:r w:rsidRPr="009420DA">
        <w:rPr>
          <w:rFonts w:ascii="Arial" w:hAnsi="Arial" w:cs="Arial"/>
          <w:b/>
          <w:bCs/>
        </w:rPr>
        <w:t>/g) across wheat genotypes, treatments, and sampling stages.</w:t>
      </w:r>
      <w:r w:rsidRPr="000E3935">
        <w:rPr>
          <w:rFonts w:ascii="Arial" w:hAnsi="Arial" w:cs="Arial"/>
        </w:rPr>
        <w:t xml:space="preserve"> </w:t>
      </w:r>
    </w:p>
    <w:p w14:paraId="7A3D8AEB" w14:textId="23EF588A" w:rsidR="000E3935" w:rsidRPr="000E3935" w:rsidRDefault="009420DA" w:rsidP="000E3935">
      <w:pPr>
        <w:jc w:val="both"/>
        <w:rPr>
          <w:rFonts w:ascii="Arial" w:hAnsi="Arial" w:cs="Arial"/>
        </w:rPr>
      </w:pPr>
      <w:proofErr w:type="spellStart"/>
      <w:proofErr w:type="gramStart"/>
      <w:r w:rsidRPr="009420DA">
        <w:rPr>
          <w:rFonts w:ascii="Arial" w:hAnsi="Arial" w:cs="Arial"/>
          <w:b/>
          <w:bCs/>
        </w:rPr>
        <w:t>Note:</w:t>
      </w:r>
      <w:r w:rsidR="000E3935" w:rsidRPr="000E3935">
        <w:rPr>
          <w:rFonts w:ascii="Arial" w:hAnsi="Arial" w:cs="Arial"/>
        </w:rPr>
        <w:t>Illustrates</w:t>
      </w:r>
      <w:proofErr w:type="spellEnd"/>
      <w:proofErr w:type="gramEnd"/>
      <w:r w:rsidR="000E3935" w:rsidRPr="000E3935">
        <w:rPr>
          <w:rFonts w:ascii="Arial" w:hAnsi="Arial" w:cs="Arial"/>
        </w:rPr>
        <w:t xml:space="preserve"> population densities under P-amended vs. P-starved conditions across genotypes PBW725, HD3086, and LC306, from early vegetative stages (20-25 DAS) to flowering. </w:t>
      </w:r>
    </w:p>
    <w:p w14:paraId="4A36B6EA" w14:textId="6760D8B9" w:rsidR="009D4FDD" w:rsidRPr="000E3935" w:rsidRDefault="007F2BF9" w:rsidP="009D4FDD">
      <w:pPr>
        <w:jc w:val="both"/>
        <w:rPr>
          <w:rFonts w:ascii="Arial" w:hAnsi="Arial" w:cs="Arial"/>
          <w:b/>
          <w:bCs/>
        </w:rPr>
      </w:pPr>
      <w:r>
        <w:rPr>
          <w:rFonts w:ascii="Arial" w:hAnsi="Arial" w:cs="Arial"/>
          <w:b/>
          <w:bCs/>
        </w:rPr>
        <w:t xml:space="preserve">3.1.2 </w:t>
      </w:r>
      <w:r w:rsidR="009D4FDD" w:rsidRPr="000E3935">
        <w:rPr>
          <w:rFonts w:ascii="Arial" w:hAnsi="Arial" w:cs="Arial"/>
          <w:b/>
          <w:bCs/>
        </w:rPr>
        <w:t>Root-associated PSB</w:t>
      </w:r>
    </w:p>
    <w:p w14:paraId="30140DA5" w14:textId="3F001049" w:rsidR="009D4FDD" w:rsidRDefault="009D4FDD" w:rsidP="00EA0B52">
      <w:pPr>
        <w:jc w:val="both"/>
        <w:rPr>
          <w:rFonts w:ascii="Arial" w:hAnsi="Arial" w:cs="Arial"/>
        </w:rPr>
      </w:pPr>
      <w:r w:rsidRPr="000E3935">
        <w:rPr>
          <w:rFonts w:ascii="Arial" w:hAnsi="Arial" w:cs="Arial"/>
        </w:rPr>
        <w:t>PSB colonization in root tissues showed a genotype- and treatment-dependent trend, a gradual decline in PSB count over time (Fig</w:t>
      </w:r>
      <w:r w:rsidR="000E3935">
        <w:rPr>
          <w:rFonts w:ascii="Arial" w:hAnsi="Arial" w:cs="Arial"/>
        </w:rPr>
        <w:t xml:space="preserve"> 3</w:t>
      </w:r>
      <w:r w:rsidRPr="000E3935">
        <w:rPr>
          <w:rFonts w:ascii="Arial" w:hAnsi="Arial" w:cs="Arial"/>
        </w:rPr>
        <w:t xml:space="preserve">). A greater abundance of PSB bacteria was recorded in P starved than in P amended condition. In P-starved, at 20-25 DAS, higher counts were recorded under P-starved conditions (log 4.10±0.07 </w:t>
      </w:r>
      <w:proofErr w:type="spellStart"/>
      <w:r w:rsidRPr="000E3935">
        <w:rPr>
          <w:rFonts w:ascii="Arial" w:hAnsi="Arial" w:cs="Arial"/>
        </w:rPr>
        <w:t>cfu</w:t>
      </w:r>
      <w:proofErr w:type="spellEnd"/>
      <w:r w:rsidRPr="000E3935">
        <w:rPr>
          <w:rFonts w:ascii="Arial" w:hAnsi="Arial" w:cs="Arial"/>
        </w:rPr>
        <w:t xml:space="preserve">/g in LC306) which steadily decreased to 3.4 log </w:t>
      </w:r>
      <w:proofErr w:type="spellStart"/>
      <w:r w:rsidRPr="000E3935">
        <w:rPr>
          <w:rFonts w:ascii="Arial" w:hAnsi="Arial" w:cs="Arial"/>
        </w:rPr>
        <w:t>cfu</w:t>
      </w:r>
      <w:proofErr w:type="spellEnd"/>
      <w:r w:rsidRPr="000E3935">
        <w:rPr>
          <w:rFonts w:ascii="Arial" w:hAnsi="Arial" w:cs="Arial"/>
        </w:rPr>
        <w:t>/g at flowering. Statistically significant difference between 20-25DAS and flowering was recorded for PBW 725 and HD3086 as well (</w:t>
      </w:r>
      <w:r w:rsidR="007F2BF9" w:rsidRPr="007F2BF9">
        <w:rPr>
          <w:rFonts w:ascii="Arial" w:hAnsi="Arial" w:cs="Arial"/>
          <w:i/>
          <w:iCs/>
        </w:rPr>
        <w:t>P</w:t>
      </w:r>
      <w:r w:rsidRPr="000E3935">
        <w:rPr>
          <w:rFonts w:ascii="Arial" w:hAnsi="Arial" w:cs="Arial"/>
        </w:rPr>
        <w:t xml:space="preserve"> &lt;.01). Comparing PSB counts at these two stages in P-amended conditions, both cultivars PBW725 and HD3086 exhibited PSB count between 3.30-3.62 log </w:t>
      </w:r>
      <w:proofErr w:type="spellStart"/>
      <w:r w:rsidRPr="000E3935">
        <w:rPr>
          <w:rFonts w:ascii="Arial" w:hAnsi="Arial" w:cs="Arial"/>
        </w:rPr>
        <w:t>cfu</w:t>
      </w:r>
      <w:proofErr w:type="spellEnd"/>
      <w:r w:rsidRPr="000E3935">
        <w:rPr>
          <w:rFonts w:ascii="Arial" w:hAnsi="Arial" w:cs="Arial"/>
        </w:rPr>
        <w:t xml:space="preserve">/g and landrace LC306 exhibited a stable count between 3.20 and 3.40 log </w:t>
      </w:r>
      <w:proofErr w:type="spellStart"/>
      <w:r w:rsidRPr="000E3935">
        <w:rPr>
          <w:rFonts w:ascii="Arial" w:hAnsi="Arial" w:cs="Arial"/>
        </w:rPr>
        <w:t>cfu</w:t>
      </w:r>
      <w:proofErr w:type="spellEnd"/>
      <w:r w:rsidRPr="000E3935">
        <w:rPr>
          <w:rFonts w:ascii="Arial" w:hAnsi="Arial" w:cs="Arial"/>
        </w:rPr>
        <w:t>/g. Broadly, the PSB counts decreased significantly with development in all cultivars and in both conditions- P-amended and P-starved, indicating reduced endophytic colonization over time (</w:t>
      </w:r>
      <w:proofErr w:type="gramStart"/>
      <w:r w:rsidR="007F2BF9" w:rsidRPr="007F2BF9">
        <w:rPr>
          <w:rFonts w:ascii="Arial" w:hAnsi="Arial" w:cs="Arial"/>
          <w:i/>
          <w:iCs/>
        </w:rPr>
        <w:t>P</w:t>
      </w:r>
      <w:r w:rsidR="007F2BF9" w:rsidRPr="000E3935">
        <w:rPr>
          <w:rFonts w:ascii="Arial" w:hAnsi="Arial" w:cs="Arial"/>
        </w:rPr>
        <w:t xml:space="preserve"> </w:t>
      </w:r>
      <w:r w:rsidR="007F2BF9">
        <w:rPr>
          <w:rFonts w:ascii="Arial" w:hAnsi="Arial" w:cs="Arial"/>
        </w:rPr>
        <w:t xml:space="preserve"> </w:t>
      </w:r>
      <w:r w:rsidRPr="000E3935">
        <w:rPr>
          <w:rFonts w:ascii="Arial" w:hAnsi="Arial" w:cs="Arial"/>
        </w:rPr>
        <w:t>&lt;</w:t>
      </w:r>
      <w:proofErr w:type="gramEnd"/>
      <w:r w:rsidRPr="000E3935">
        <w:rPr>
          <w:rFonts w:ascii="Arial" w:hAnsi="Arial" w:cs="Arial"/>
        </w:rPr>
        <w:t xml:space="preserve">.05). </w:t>
      </w:r>
    </w:p>
    <w:p w14:paraId="3371FF21" w14:textId="4EF2FC89" w:rsidR="000E3935" w:rsidRDefault="000E3935" w:rsidP="000E3935">
      <w:pPr>
        <w:jc w:val="both"/>
        <w:rPr>
          <w:rFonts w:ascii="Arial" w:hAnsi="Arial" w:cs="Arial"/>
        </w:rPr>
      </w:pPr>
      <w:r>
        <w:rPr>
          <w:noProof/>
        </w:rPr>
        <w:lastRenderedPageBreak/>
        <w:drawing>
          <wp:inline distT="0" distB="0" distL="0" distR="0" wp14:anchorId="55B951A8" wp14:editId="0232AD2D">
            <wp:extent cx="5212080" cy="3127375"/>
            <wp:effectExtent l="0" t="0" r="7620" b="0"/>
            <wp:docPr id="1028160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3127375"/>
                    </a:xfrm>
                    <a:prstGeom prst="rect">
                      <a:avLst/>
                    </a:prstGeom>
                    <a:noFill/>
                    <a:ln>
                      <a:noFill/>
                    </a:ln>
                  </pic:spPr>
                </pic:pic>
              </a:graphicData>
            </a:graphic>
          </wp:inline>
        </w:drawing>
      </w:r>
    </w:p>
    <w:p w14:paraId="1EBD80A6" w14:textId="77777777" w:rsidR="009420DA" w:rsidRDefault="000E3935" w:rsidP="000E3935">
      <w:pPr>
        <w:jc w:val="both"/>
        <w:rPr>
          <w:rFonts w:ascii="Arial" w:hAnsi="Arial" w:cs="Arial"/>
        </w:rPr>
      </w:pPr>
      <w:r w:rsidRPr="000E3935">
        <w:rPr>
          <w:rFonts w:ascii="Arial" w:hAnsi="Arial" w:cs="Arial"/>
        </w:rPr>
        <w:t xml:space="preserve">Fig </w:t>
      </w:r>
      <w:r>
        <w:rPr>
          <w:rFonts w:ascii="Arial" w:hAnsi="Arial" w:cs="Arial"/>
        </w:rPr>
        <w:t>3</w:t>
      </w:r>
      <w:r w:rsidR="00981665">
        <w:rPr>
          <w:rFonts w:ascii="Arial" w:hAnsi="Arial" w:cs="Arial"/>
        </w:rPr>
        <w:t>-</w:t>
      </w:r>
      <w:r w:rsidRPr="000E3935">
        <w:rPr>
          <w:rFonts w:ascii="Arial" w:hAnsi="Arial" w:cs="Arial"/>
        </w:rPr>
        <w:t xml:space="preserve"> </w:t>
      </w:r>
      <w:r w:rsidRPr="009420DA">
        <w:rPr>
          <w:rFonts w:ascii="Arial" w:hAnsi="Arial" w:cs="Arial"/>
          <w:b/>
          <w:bCs/>
        </w:rPr>
        <w:t xml:space="preserve">Heatmap of root associated PSB counts (log </w:t>
      </w:r>
      <w:proofErr w:type="spellStart"/>
      <w:r w:rsidRPr="009420DA">
        <w:rPr>
          <w:rFonts w:ascii="Arial" w:hAnsi="Arial" w:cs="Arial"/>
          <w:b/>
          <w:bCs/>
        </w:rPr>
        <w:t>cfu</w:t>
      </w:r>
      <w:proofErr w:type="spellEnd"/>
      <w:r w:rsidRPr="009420DA">
        <w:rPr>
          <w:rFonts w:ascii="Arial" w:hAnsi="Arial" w:cs="Arial"/>
          <w:b/>
          <w:bCs/>
        </w:rPr>
        <w:t>/g) across wheat genotypes, treatments, and sampling stages</w:t>
      </w:r>
      <w:r w:rsidRPr="000E3935">
        <w:rPr>
          <w:rFonts w:ascii="Arial" w:hAnsi="Arial" w:cs="Arial"/>
        </w:rPr>
        <w:t xml:space="preserve">. </w:t>
      </w:r>
    </w:p>
    <w:p w14:paraId="2D5502E3" w14:textId="21519980" w:rsidR="000E3935" w:rsidRPr="000E3935" w:rsidRDefault="009420DA" w:rsidP="000E3935">
      <w:pPr>
        <w:jc w:val="both"/>
        <w:rPr>
          <w:rFonts w:ascii="Arial" w:hAnsi="Arial" w:cs="Arial"/>
        </w:rPr>
      </w:pPr>
      <w:r w:rsidRPr="009420DA">
        <w:rPr>
          <w:rFonts w:ascii="Arial" w:hAnsi="Arial" w:cs="Arial"/>
          <w:b/>
          <w:bCs/>
        </w:rPr>
        <w:t>Note:</w:t>
      </w:r>
      <w:r>
        <w:rPr>
          <w:rFonts w:ascii="Arial" w:hAnsi="Arial" w:cs="Arial"/>
        </w:rPr>
        <w:t xml:space="preserve"> </w:t>
      </w:r>
      <w:r w:rsidR="000E3935" w:rsidRPr="000E3935">
        <w:rPr>
          <w:rFonts w:ascii="Arial" w:hAnsi="Arial" w:cs="Arial"/>
        </w:rPr>
        <w:t xml:space="preserve">Illustrates population densities under P-amended vs. P-starved conditions across genotypes PBW725, HD3086, and LC306, from early vegetative stages (20-25 DAS) to flowering. </w:t>
      </w:r>
    </w:p>
    <w:p w14:paraId="43BEB6F6" w14:textId="77777777" w:rsidR="00EA0B52" w:rsidRDefault="007F2BF9" w:rsidP="009D4FDD">
      <w:pPr>
        <w:jc w:val="both"/>
        <w:rPr>
          <w:rFonts w:ascii="Arial" w:hAnsi="Arial" w:cs="Arial"/>
          <w:b/>
          <w:bCs/>
        </w:rPr>
      </w:pPr>
      <w:r>
        <w:rPr>
          <w:rFonts w:ascii="Arial" w:hAnsi="Arial" w:cs="Arial"/>
          <w:b/>
          <w:bCs/>
        </w:rPr>
        <w:t xml:space="preserve">3.1.3 </w:t>
      </w:r>
      <w:r w:rsidR="009D4FDD" w:rsidRPr="000E3935">
        <w:rPr>
          <w:rFonts w:ascii="Arial" w:hAnsi="Arial" w:cs="Arial"/>
          <w:b/>
          <w:bCs/>
        </w:rPr>
        <w:t>Shoot-associated PSB</w:t>
      </w:r>
    </w:p>
    <w:p w14:paraId="4A50F978" w14:textId="5A76CBE9" w:rsidR="009D4FDD" w:rsidRPr="00EA0B52" w:rsidRDefault="009D4FDD" w:rsidP="009D4FDD">
      <w:pPr>
        <w:jc w:val="both"/>
        <w:rPr>
          <w:rFonts w:ascii="Arial" w:hAnsi="Arial" w:cs="Arial"/>
          <w:b/>
          <w:bCs/>
        </w:rPr>
      </w:pPr>
      <w:r w:rsidRPr="000E3935">
        <w:rPr>
          <w:rFonts w:ascii="Arial" w:hAnsi="Arial" w:cs="Arial"/>
        </w:rPr>
        <w:t>Shoot tissues exhibited significant differences across treatments and cultivars (</w:t>
      </w:r>
      <w:r w:rsidR="007F2BF9" w:rsidRPr="007F2BF9">
        <w:rPr>
          <w:rFonts w:ascii="Arial" w:hAnsi="Arial" w:cs="Arial"/>
          <w:i/>
          <w:iCs/>
        </w:rPr>
        <w:t>P</w:t>
      </w:r>
      <w:r w:rsidR="007F2BF9" w:rsidRPr="000E3935">
        <w:rPr>
          <w:rFonts w:ascii="Arial" w:hAnsi="Arial" w:cs="Arial"/>
        </w:rPr>
        <w:t xml:space="preserve"> </w:t>
      </w:r>
      <w:r w:rsidR="007F2BF9">
        <w:rPr>
          <w:rFonts w:ascii="Arial" w:hAnsi="Arial" w:cs="Arial"/>
        </w:rPr>
        <w:t>&lt;</w:t>
      </w:r>
      <w:r w:rsidRPr="000E3935">
        <w:rPr>
          <w:rFonts w:ascii="Arial" w:hAnsi="Arial" w:cs="Arial"/>
        </w:rPr>
        <w:t xml:space="preserve"> .005) (Fig</w:t>
      </w:r>
      <w:r w:rsidR="000E3935">
        <w:rPr>
          <w:rFonts w:ascii="Arial" w:hAnsi="Arial" w:cs="Arial"/>
        </w:rPr>
        <w:t xml:space="preserve"> 4</w:t>
      </w:r>
      <w:r w:rsidRPr="000E3935">
        <w:rPr>
          <w:rFonts w:ascii="Arial" w:hAnsi="Arial" w:cs="Arial"/>
        </w:rPr>
        <w:t xml:space="preserve">). PSB counts were statistically higher in P-amended conditions, than P -starved, in all three genotypes and at all stages of development, </w:t>
      </w:r>
      <w:r w:rsidR="007F2BF9" w:rsidRPr="007F2BF9">
        <w:rPr>
          <w:rFonts w:ascii="Arial" w:hAnsi="Arial" w:cs="Arial"/>
          <w:i/>
          <w:iCs/>
        </w:rPr>
        <w:t>P</w:t>
      </w:r>
      <w:r w:rsidR="007F2BF9" w:rsidRPr="000E3935">
        <w:rPr>
          <w:rFonts w:ascii="Arial" w:hAnsi="Arial" w:cs="Arial"/>
        </w:rPr>
        <w:t xml:space="preserve"> </w:t>
      </w:r>
      <w:r w:rsidRPr="000E3935">
        <w:rPr>
          <w:rFonts w:ascii="Arial" w:hAnsi="Arial" w:cs="Arial"/>
        </w:rPr>
        <w:t>&lt;.0</w:t>
      </w:r>
      <w:r w:rsidR="007F2BF9">
        <w:rPr>
          <w:rFonts w:ascii="Arial" w:hAnsi="Arial" w:cs="Arial"/>
        </w:rPr>
        <w:t>5</w:t>
      </w:r>
      <w:r w:rsidRPr="000E3935">
        <w:rPr>
          <w:rFonts w:ascii="Arial" w:hAnsi="Arial" w:cs="Arial"/>
        </w:rPr>
        <w:t xml:space="preserve">. In P-starved, LC306 exhibited abundance of PSB at 20-25DAS, 3.85 log </w:t>
      </w:r>
      <w:proofErr w:type="spellStart"/>
      <w:r w:rsidRPr="000E3935">
        <w:rPr>
          <w:rFonts w:ascii="Arial" w:hAnsi="Arial" w:cs="Arial"/>
        </w:rPr>
        <w:t>cfu</w:t>
      </w:r>
      <w:proofErr w:type="spellEnd"/>
      <w:r w:rsidRPr="000E3935">
        <w:rPr>
          <w:rFonts w:ascii="Arial" w:hAnsi="Arial" w:cs="Arial"/>
        </w:rPr>
        <w:t>/g. PSB count gradually declined as the plant matured (P-starved) and greater abundance of PSB was recorded in P amended compared to P starved.</w:t>
      </w:r>
    </w:p>
    <w:p w14:paraId="05315D64" w14:textId="6A067C8A" w:rsidR="000E3935" w:rsidRDefault="000E3935" w:rsidP="009D4FDD">
      <w:pPr>
        <w:jc w:val="both"/>
        <w:rPr>
          <w:rFonts w:ascii="Arial" w:hAnsi="Arial" w:cs="Arial"/>
        </w:rPr>
      </w:pPr>
      <w:r>
        <w:rPr>
          <w:noProof/>
        </w:rPr>
        <w:drawing>
          <wp:inline distT="0" distB="0" distL="0" distR="0" wp14:anchorId="6EDEA964" wp14:editId="0DE0C001">
            <wp:extent cx="5212080" cy="3127375"/>
            <wp:effectExtent l="0" t="0" r="7620" b="0"/>
            <wp:docPr id="13789963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3127375"/>
                    </a:xfrm>
                    <a:prstGeom prst="rect">
                      <a:avLst/>
                    </a:prstGeom>
                    <a:noFill/>
                    <a:ln>
                      <a:noFill/>
                    </a:ln>
                  </pic:spPr>
                </pic:pic>
              </a:graphicData>
            </a:graphic>
          </wp:inline>
        </w:drawing>
      </w:r>
    </w:p>
    <w:p w14:paraId="3907C738" w14:textId="77777777" w:rsidR="009420DA" w:rsidRDefault="000E3935" w:rsidP="000E3935">
      <w:pPr>
        <w:jc w:val="both"/>
        <w:rPr>
          <w:rFonts w:ascii="Arial" w:hAnsi="Arial" w:cs="Arial"/>
        </w:rPr>
      </w:pPr>
      <w:r w:rsidRPr="000E3935">
        <w:rPr>
          <w:rFonts w:ascii="Arial" w:hAnsi="Arial" w:cs="Arial"/>
        </w:rPr>
        <w:lastRenderedPageBreak/>
        <w:t xml:space="preserve">Fig </w:t>
      </w:r>
      <w:r>
        <w:rPr>
          <w:rFonts w:ascii="Arial" w:hAnsi="Arial" w:cs="Arial"/>
        </w:rPr>
        <w:t>4</w:t>
      </w:r>
      <w:r w:rsidR="00981665">
        <w:rPr>
          <w:rFonts w:ascii="Arial" w:hAnsi="Arial" w:cs="Arial"/>
        </w:rPr>
        <w:t>-</w:t>
      </w:r>
      <w:r w:rsidRPr="000E3935">
        <w:rPr>
          <w:rFonts w:ascii="Arial" w:hAnsi="Arial" w:cs="Arial"/>
        </w:rPr>
        <w:t xml:space="preserve"> </w:t>
      </w:r>
      <w:r w:rsidRPr="009420DA">
        <w:rPr>
          <w:rFonts w:ascii="Arial" w:hAnsi="Arial" w:cs="Arial"/>
          <w:b/>
          <w:bCs/>
        </w:rPr>
        <w:t xml:space="preserve">Heatmap of root associated PSB counts (log </w:t>
      </w:r>
      <w:proofErr w:type="spellStart"/>
      <w:r w:rsidRPr="009420DA">
        <w:rPr>
          <w:rFonts w:ascii="Arial" w:hAnsi="Arial" w:cs="Arial"/>
          <w:b/>
          <w:bCs/>
        </w:rPr>
        <w:t>cfu</w:t>
      </w:r>
      <w:proofErr w:type="spellEnd"/>
      <w:r w:rsidRPr="009420DA">
        <w:rPr>
          <w:rFonts w:ascii="Arial" w:hAnsi="Arial" w:cs="Arial"/>
          <w:b/>
          <w:bCs/>
        </w:rPr>
        <w:t>/g) across wheat genotypes, treatments, and sampling stages</w:t>
      </w:r>
      <w:r w:rsidRPr="000E3935">
        <w:rPr>
          <w:rFonts w:ascii="Arial" w:hAnsi="Arial" w:cs="Arial"/>
        </w:rPr>
        <w:t xml:space="preserve">. </w:t>
      </w:r>
    </w:p>
    <w:p w14:paraId="06A78E79" w14:textId="4A4F74F3" w:rsidR="000E3935" w:rsidRPr="000E3935" w:rsidRDefault="009420DA" w:rsidP="000E3935">
      <w:pPr>
        <w:jc w:val="both"/>
        <w:rPr>
          <w:rFonts w:ascii="Arial" w:hAnsi="Arial" w:cs="Arial"/>
        </w:rPr>
      </w:pPr>
      <w:r w:rsidRPr="009420DA">
        <w:rPr>
          <w:rFonts w:ascii="Arial" w:hAnsi="Arial" w:cs="Arial"/>
          <w:b/>
          <w:bCs/>
        </w:rPr>
        <w:t>Note:</w:t>
      </w:r>
      <w:r>
        <w:rPr>
          <w:rFonts w:ascii="Arial" w:hAnsi="Arial" w:cs="Arial"/>
        </w:rPr>
        <w:t xml:space="preserve"> </w:t>
      </w:r>
      <w:r w:rsidR="000E3935" w:rsidRPr="000E3935">
        <w:rPr>
          <w:rFonts w:ascii="Arial" w:hAnsi="Arial" w:cs="Arial"/>
        </w:rPr>
        <w:t xml:space="preserve">Illustrates population densities under P-amended vs. P-starved conditions across genotypes PBW725, HD3086, and LC306, from early vegetative stages (20-25 DAS) to flowering. </w:t>
      </w:r>
    </w:p>
    <w:p w14:paraId="1F7F4617" w14:textId="60C53547" w:rsidR="009D4FDD" w:rsidRPr="000E3935" w:rsidRDefault="007F2BF9" w:rsidP="009D4FDD">
      <w:pPr>
        <w:jc w:val="both"/>
        <w:rPr>
          <w:rFonts w:ascii="Arial" w:hAnsi="Arial" w:cs="Arial"/>
          <w:b/>
          <w:bCs/>
        </w:rPr>
      </w:pPr>
      <w:r>
        <w:rPr>
          <w:rFonts w:ascii="Arial" w:hAnsi="Arial" w:cs="Arial"/>
          <w:b/>
          <w:bCs/>
        </w:rPr>
        <w:t xml:space="preserve">3.2 </w:t>
      </w:r>
      <w:r w:rsidR="009D4FDD" w:rsidRPr="000E3935">
        <w:rPr>
          <w:rFonts w:ascii="Arial" w:hAnsi="Arial" w:cs="Arial"/>
          <w:b/>
          <w:bCs/>
        </w:rPr>
        <w:t>PSB functional traits: Solubility index and phosphate solubilization capacity</w:t>
      </w:r>
    </w:p>
    <w:p w14:paraId="70B09D7F" w14:textId="4423D2AF" w:rsidR="009D4FDD" w:rsidRDefault="009D4FDD" w:rsidP="00EA0B52">
      <w:pPr>
        <w:widowControl w:val="0"/>
        <w:spacing w:before="40" w:after="40"/>
        <w:jc w:val="both"/>
        <w:rPr>
          <w:rFonts w:ascii="Arial" w:hAnsi="Arial" w:cs="Arial"/>
        </w:rPr>
      </w:pPr>
      <w:r w:rsidRPr="000E3935">
        <w:rPr>
          <w:rFonts w:ascii="Arial" w:hAnsi="Arial" w:cs="Arial"/>
        </w:rPr>
        <w:t xml:space="preserve">A total of 21 isolates were obtained in this study-13 from samples drawn from P-starved conditions and 8 from samples drawn from P-amended conditions. Most of the isolates were obtained from root tissue and </w:t>
      </w:r>
      <w:proofErr w:type="spellStart"/>
      <w:r w:rsidRPr="000E3935">
        <w:rPr>
          <w:rFonts w:ascii="Arial" w:hAnsi="Arial" w:cs="Arial"/>
        </w:rPr>
        <w:t>rhizospheric</w:t>
      </w:r>
      <w:proofErr w:type="spellEnd"/>
      <w:r w:rsidRPr="000E3935">
        <w:rPr>
          <w:rFonts w:ascii="Arial" w:hAnsi="Arial" w:cs="Arial"/>
        </w:rPr>
        <w:t xml:space="preserve"> soil suggesting compartmentalization of PSB in P-stress conditions. Also, landrace LC306 </w:t>
      </w:r>
      <w:proofErr w:type="spellStart"/>
      <w:r w:rsidRPr="000E3935">
        <w:rPr>
          <w:rFonts w:ascii="Arial" w:hAnsi="Arial" w:cs="Arial"/>
        </w:rPr>
        <w:t>harboured</w:t>
      </w:r>
      <w:proofErr w:type="spellEnd"/>
      <w:r w:rsidRPr="000E3935">
        <w:rPr>
          <w:rFonts w:ascii="Arial" w:hAnsi="Arial" w:cs="Arial"/>
        </w:rPr>
        <w:t xml:space="preserve"> greater abundance of PSB than the modern cultivars. The SI of PSB isolates varied between 2.06 to 2.71. Isolate 16 recorded the highest SI (2.71±0.16), indicating robust </w:t>
      </w:r>
      <w:r w:rsidRPr="000E3935">
        <w:rPr>
          <w:rFonts w:ascii="Arial" w:hAnsi="Arial" w:cs="Arial"/>
          <w:i/>
          <w:iCs/>
        </w:rPr>
        <w:t>in vitro</w:t>
      </w:r>
      <w:r w:rsidRPr="000E3935">
        <w:rPr>
          <w:rFonts w:ascii="Arial" w:hAnsi="Arial" w:cs="Arial"/>
        </w:rPr>
        <w:t xml:space="preserve"> solubilization. Appreciable solubilization was recorded by isolate 1 at 2.53</w:t>
      </w:r>
      <w:r w:rsidRPr="000E3935">
        <w:rPr>
          <w:rFonts w:ascii="Arial" w:hAnsi="Arial" w:cs="Arial"/>
          <w:u w:val="single"/>
        </w:rPr>
        <w:t>+</w:t>
      </w:r>
      <w:r w:rsidRPr="000E3935">
        <w:rPr>
          <w:rFonts w:ascii="Arial" w:hAnsi="Arial" w:cs="Arial"/>
        </w:rPr>
        <w:t>0.18, isolate 19 at 2.52 ±0.20, isolate 12 at 2.45 ± 0.12, isolate 13 at 2.45 ± 0.14 and isolate 8 at 2.45 ± 0.16.  Fi</w:t>
      </w:r>
      <w:r w:rsidR="00A4671D">
        <w:rPr>
          <w:rFonts w:ascii="Arial" w:hAnsi="Arial" w:cs="Arial"/>
        </w:rPr>
        <w:t>g</w:t>
      </w:r>
      <w:r w:rsidRPr="000E3935">
        <w:rPr>
          <w:rFonts w:ascii="Arial" w:hAnsi="Arial" w:cs="Arial"/>
        </w:rPr>
        <w:t xml:space="preserve"> </w:t>
      </w:r>
      <w:r w:rsidR="000E3935">
        <w:rPr>
          <w:rFonts w:ascii="Arial" w:hAnsi="Arial" w:cs="Arial"/>
        </w:rPr>
        <w:t>5</w:t>
      </w:r>
      <w:r w:rsidRPr="000E3935">
        <w:rPr>
          <w:rFonts w:ascii="Arial" w:hAnsi="Arial" w:cs="Arial"/>
        </w:rPr>
        <w:t xml:space="preserve">a shows a violin plot displaying the range and density of SI values, with the inner box indicating the median and interquartile range. The spread highlights variability in organic acid-mediated phosphate solubilization potential among isolates. Most of the isolates recording SI of 2.2-2.4. Fig </w:t>
      </w:r>
      <w:r w:rsidR="00A2536B">
        <w:rPr>
          <w:rFonts w:ascii="Arial" w:hAnsi="Arial" w:cs="Arial"/>
        </w:rPr>
        <w:t>5</w:t>
      </w:r>
      <w:r w:rsidRPr="000E3935">
        <w:rPr>
          <w:rFonts w:ascii="Arial" w:hAnsi="Arial" w:cs="Arial"/>
        </w:rPr>
        <w:t xml:space="preserve">b shows isolates with zone of clearing on </w:t>
      </w:r>
      <w:proofErr w:type="spellStart"/>
      <w:r w:rsidRPr="000E3935">
        <w:rPr>
          <w:rFonts w:ascii="Arial" w:hAnsi="Arial" w:cs="Arial"/>
        </w:rPr>
        <w:t>Pikovskaya's</w:t>
      </w:r>
      <w:proofErr w:type="spellEnd"/>
      <w:r w:rsidRPr="000E3935">
        <w:rPr>
          <w:rFonts w:ascii="Arial" w:hAnsi="Arial" w:cs="Arial"/>
        </w:rPr>
        <w:t xml:space="preserve"> Agar.</w:t>
      </w:r>
    </w:p>
    <w:p w14:paraId="2380A08F" w14:textId="77777777" w:rsidR="000E3935" w:rsidRDefault="000E3935" w:rsidP="009D4FDD">
      <w:pPr>
        <w:widowControl w:val="0"/>
        <w:spacing w:before="40" w:after="40"/>
        <w:ind w:firstLine="720"/>
        <w:jc w:val="both"/>
        <w:rPr>
          <w:rFonts w:ascii="Arial" w:hAnsi="Arial" w:cs="Arial"/>
        </w:rPr>
      </w:pPr>
    </w:p>
    <w:p w14:paraId="2B114106" w14:textId="61CF02A6" w:rsidR="000E3935" w:rsidRDefault="000E3935" w:rsidP="009D4FDD">
      <w:pPr>
        <w:widowControl w:val="0"/>
        <w:spacing w:before="40" w:after="40"/>
        <w:ind w:firstLine="720"/>
        <w:jc w:val="both"/>
        <w:rPr>
          <w:rFonts w:ascii="Arial" w:hAnsi="Arial" w:cs="Arial"/>
        </w:rPr>
      </w:pPr>
      <w:r>
        <w:rPr>
          <w:noProof/>
        </w:rPr>
        <w:drawing>
          <wp:inline distT="0" distB="0" distL="0" distR="0" wp14:anchorId="786B0052" wp14:editId="24D0D935">
            <wp:extent cx="3594537" cy="2695903"/>
            <wp:effectExtent l="0" t="0" r="6350" b="9525"/>
            <wp:docPr id="11520860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383" cy="2699537"/>
                    </a:xfrm>
                    <a:prstGeom prst="rect">
                      <a:avLst/>
                    </a:prstGeom>
                    <a:noFill/>
                    <a:ln>
                      <a:noFill/>
                    </a:ln>
                  </pic:spPr>
                </pic:pic>
              </a:graphicData>
            </a:graphic>
          </wp:inline>
        </w:drawing>
      </w:r>
    </w:p>
    <w:p w14:paraId="67064F9F" w14:textId="2676A87A" w:rsidR="00F559D9" w:rsidRDefault="00F559D9" w:rsidP="009D4FDD">
      <w:pPr>
        <w:widowControl w:val="0"/>
        <w:spacing w:before="40" w:after="40"/>
        <w:ind w:firstLine="720"/>
        <w:jc w:val="both"/>
        <w:rPr>
          <w:rFonts w:ascii="Arial" w:hAnsi="Arial" w:cs="Arial"/>
        </w:rPr>
      </w:pPr>
      <w:r>
        <w:rPr>
          <w:rFonts w:ascii="Arial" w:hAnsi="Arial" w:cs="Arial"/>
        </w:rPr>
        <w:t>Fig 5a-</w:t>
      </w:r>
      <w:r w:rsidR="009420DA">
        <w:rPr>
          <w:rFonts w:ascii="Arial" w:hAnsi="Arial" w:cs="Arial"/>
        </w:rPr>
        <w:t xml:space="preserve"> </w:t>
      </w:r>
      <w:r w:rsidR="009420DA" w:rsidRPr="009420DA">
        <w:rPr>
          <w:rFonts w:ascii="Arial" w:hAnsi="Arial" w:cs="Arial"/>
          <w:b/>
          <w:bCs/>
        </w:rPr>
        <w:t>Graph indicating Distribution of Solubility index among PSB Isolates</w:t>
      </w:r>
    </w:p>
    <w:p w14:paraId="3B4D8CC4" w14:textId="6E521556" w:rsidR="000E3935" w:rsidRDefault="000E3935" w:rsidP="009D4FDD">
      <w:pPr>
        <w:widowControl w:val="0"/>
        <w:spacing w:before="40" w:after="40"/>
        <w:ind w:firstLine="720"/>
        <w:jc w:val="both"/>
        <w:rPr>
          <w:rFonts w:ascii="Arial" w:hAnsi="Arial" w:cs="Arial"/>
        </w:rPr>
      </w:pPr>
      <w:r>
        <w:rPr>
          <w:rFonts w:ascii="Arial" w:hAnsi="Arial" w:cs="Arial"/>
        </w:rPr>
        <w:t xml:space="preserve">Fig 5a </w:t>
      </w:r>
      <w:r w:rsidRPr="000E3935">
        <w:rPr>
          <w:rFonts w:ascii="Arial" w:hAnsi="Arial" w:cs="Arial"/>
        </w:rPr>
        <w:t>shows a violin plot displaying the range and density of SI values, with the inner box indicating the median and interquartile range. The spread highlights variability in organic acid-mediated phosphate solubilization potential among isolates</w:t>
      </w:r>
    </w:p>
    <w:p w14:paraId="5D7249F9" w14:textId="6055846A" w:rsidR="000E3935" w:rsidRDefault="00A2536B" w:rsidP="009D4FDD">
      <w:pPr>
        <w:widowControl w:val="0"/>
        <w:spacing w:before="40" w:after="40"/>
        <w:ind w:firstLine="720"/>
        <w:jc w:val="both"/>
        <w:rPr>
          <w:rFonts w:ascii="Arial" w:hAnsi="Arial" w:cs="Arial"/>
        </w:rPr>
      </w:pPr>
      <w:r>
        <w:rPr>
          <w:rFonts w:ascii="Times New Roman" w:hAnsi="Times New Roman"/>
          <w:b/>
          <w:noProof/>
        </w:rPr>
        <w:lastRenderedPageBreak/>
        <w:drawing>
          <wp:inline distT="0" distB="0" distL="0" distR="0" wp14:anchorId="4BC5AF39" wp14:editId="3ECD1687">
            <wp:extent cx="2128345" cy="1702676"/>
            <wp:effectExtent l="0" t="0" r="5715"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6859" t="7094" r="6676" b="12836"/>
                    <a:stretch>
                      <a:fillRect/>
                    </a:stretch>
                  </pic:blipFill>
                  <pic:spPr>
                    <a:xfrm>
                      <a:off x="0" y="0"/>
                      <a:ext cx="2135563" cy="1708450"/>
                    </a:xfrm>
                    <a:prstGeom prst="rect">
                      <a:avLst/>
                    </a:prstGeom>
                    <a:ln/>
                  </pic:spPr>
                </pic:pic>
              </a:graphicData>
            </a:graphic>
          </wp:inline>
        </w:drawing>
      </w:r>
    </w:p>
    <w:p w14:paraId="1540D97D" w14:textId="017D3BDD" w:rsidR="000E3935" w:rsidRPr="000E3935" w:rsidRDefault="000E3935" w:rsidP="009D4FDD">
      <w:pPr>
        <w:widowControl w:val="0"/>
        <w:spacing w:before="40" w:after="40"/>
        <w:ind w:firstLine="720"/>
        <w:jc w:val="both"/>
        <w:rPr>
          <w:rFonts w:ascii="Arial" w:hAnsi="Arial" w:cs="Arial"/>
        </w:rPr>
      </w:pPr>
      <w:r>
        <w:rPr>
          <w:rFonts w:ascii="Arial" w:hAnsi="Arial" w:cs="Arial"/>
        </w:rPr>
        <w:t>Fig 5b</w:t>
      </w:r>
      <w:r w:rsidR="00F559D9">
        <w:rPr>
          <w:rFonts w:ascii="Arial" w:hAnsi="Arial" w:cs="Arial"/>
        </w:rPr>
        <w:t>-</w:t>
      </w:r>
      <w:r>
        <w:rPr>
          <w:rFonts w:ascii="Arial" w:hAnsi="Arial" w:cs="Arial"/>
        </w:rPr>
        <w:t xml:space="preserve"> </w:t>
      </w:r>
      <w:r w:rsidR="00DE237A" w:rsidRPr="00DE237A">
        <w:rPr>
          <w:rFonts w:ascii="Arial" w:hAnsi="Arial" w:cs="Arial"/>
          <w:i/>
          <w:iCs/>
        </w:rPr>
        <w:t>In vitro</w:t>
      </w:r>
      <w:r w:rsidR="00DE237A">
        <w:rPr>
          <w:rFonts w:ascii="Arial" w:hAnsi="Arial" w:cs="Arial"/>
        </w:rPr>
        <w:t xml:space="preserve"> phos</w:t>
      </w:r>
      <w:r w:rsidR="00A2536B">
        <w:rPr>
          <w:rFonts w:ascii="Arial" w:hAnsi="Arial" w:cs="Arial"/>
        </w:rPr>
        <w:t>phate solubilization as evidenced by zone of clearing</w:t>
      </w:r>
    </w:p>
    <w:p w14:paraId="4296F35E" w14:textId="44C0A895" w:rsidR="009D4FDD" w:rsidRDefault="009D4FDD" w:rsidP="00EA0B52">
      <w:pPr>
        <w:jc w:val="both"/>
        <w:rPr>
          <w:rFonts w:ascii="Arial" w:hAnsi="Arial" w:cs="Arial"/>
        </w:rPr>
      </w:pPr>
      <w:r w:rsidRPr="000E3935">
        <w:rPr>
          <w:rFonts w:ascii="Arial" w:hAnsi="Arial" w:cs="Arial"/>
        </w:rPr>
        <w:t xml:space="preserve">We observed dynamic changes in phosphate solubilization capacity with time. Fig </w:t>
      </w:r>
      <w:r w:rsidR="00A4671D">
        <w:rPr>
          <w:rFonts w:ascii="Arial" w:hAnsi="Arial" w:cs="Arial"/>
        </w:rPr>
        <w:t>6</w:t>
      </w:r>
      <w:r w:rsidRPr="000E3935">
        <w:rPr>
          <w:rFonts w:ascii="Arial" w:hAnsi="Arial" w:cs="Arial"/>
        </w:rPr>
        <w:t xml:space="preserve"> depicts the mean phosphate solubilization (</w:t>
      </w:r>
      <w:proofErr w:type="spellStart"/>
      <w:r w:rsidRPr="000E3935">
        <w:rPr>
          <w:rFonts w:ascii="Arial" w:hAnsi="Arial" w:cs="Arial"/>
        </w:rPr>
        <w:t>μg</w:t>
      </w:r>
      <w:proofErr w:type="spellEnd"/>
      <w:r w:rsidRPr="000E3935">
        <w:rPr>
          <w:rFonts w:ascii="Arial" w:hAnsi="Arial" w:cs="Arial"/>
        </w:rPr>
        <w:t xml:space="preserve">/ml) at 2, 5, and 9 days across all isolates, with shaded area representing standard deviation. Peak solubilization was observed at 5 days indicates optimal metabolic activity for phosphate release. High phosphate solubilization ability was recorded with 9 isolates obtained from both P-amended and P-starved conditions. It varied between 76.86 </w:t>
      </w:r>
      <w:proofErr w:type="spellStart"/>
      <w:r w:rsidRPr="000E3935">
        <w:rPr>
          <w:rFonts w:ascii="Arial" w:hAnsi="Arial" w:cs="Arial"/>
        </w:rPr>
        <w:t>μg</w:t>
      </w:r>
      <w:proofErr w:type="spellEnd"/>
      <w:r w:rsidRPr="000E3935">
        <w:rPr>
          <w:rFonts w:ascii="Arial" w:hAnsi="Arial" w:cs="Arial"/>
        </w:rPr>
        <w:t xml:space="preserve">/ml and 73.89 </w:t>
      </w:r>
      <w:proofErr w:type="spellStart"/>
      <w:r w:rsidRPr="000E3935">
        <w:rPr>
          <w:rFonts w:ascii="Arial" w:hAnsi="Arial" w:cs="Arial"/>
        </w:rPr>
        <w:t>μg</w:t>
      </w:r>
      <w:proofErr w:type="spellEnd"/>
      <w:r w:rsidRPr="000E3935">
        <w:rPr>
          <w:rFonts w:ascii="Arial" w:hAnsi="Arial" w:cs="Arial"/>
        </w:rPr>
        <w:t xml:space="preserve">/ml. This time-dependent pattern mirrors the metabolic adaptability of PSB in mineralizing insoluble phosphate, as reported by </w:t>
      </w:r>
      <w:r w:rsidR="00966578">
        <w:rPr>
          <w:rFonts w:ascii="Arial" w:hAnsi="Arial" w:cs="Arial"/>
        </w:rPr>
        <w:t>Pan and Cai (2023)</w:t>
      </w:r>
      <w:r w:rsidRPr="000E3935">
        <w:rPr>
          <w:rFonts w:ascii="Arial" w:hAnsi="Arial" w:cs="Arial"/>
        </w:rPr>
        <w:t>. A slight decline in some isolates after peak days hints at re-assimilation or precipitation phenomena (</w:t>
      </w:r>
      <w:r w:rsidR="003C03E4">
        <w:rPr>
          <w:rFonts w:ascii="Arial" w:hAnsi="Arial" w:cs="Arial"/>
        </w:rPr>
        <w:t xml:space="preserve">Jagadesh </w:t>
      </w:r>
      <w:r w:rsidRPr="000E3935">
        <w:rPr>
          <w:rFonts w:ascii="Arial" w:hAnsi="Arial" w:cs="Arial"/>
        </w:rPr>
        <w:t>et al., 2024) suggesting variability in metabolic sustainability and phosphorus utilization efficiency among isolates.</w:t>
      </w:r>
    </w:p>
    <w:p w14:paraId="2CBB2AC6" w14:textId="7762BF81" w:rsidR="00A4671D" w:rsidRDefault="00A4671D" w:rsidP="009D4FDD">
      <w:pPr>
        <w:ind w:firstLine="720"/>
        <w:jc w:val="both"/>
        <w:rPr>
          <w:rFonts w:ascii="Arial" w:hAnsi="Arial" w:cs="Arial"/>
        </w:rPr>
      </w:pPr>
      <w:r>
        <w:rPr>
          <w:noProof/>
        </w:rPr>
        <w:drawing>
          <wp:inline distT="0" distB="0" distL="0" distR="0" wp14:anchorId="21B660F0" wp14:editId="33EF3D34">
            <wp:extent cx="3379960" cy="2534970"/>
            <wp:effectExtent l="0" t="0" r="0" b="0"/>
            <wp:docPr id="407524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5867" cy="2539400"/>
                    </a:xfrm>
                    <a:prstGeom prst="rect">
                      <a:avLst/>
                    </a:prstGeom>
                    <a:noFill/>
                    <a:ln>
                      <a:noFill/>
                    </a:ln>
                  </pic:spPr>
                </pic:pic>
              </a:graphicData>
            </a:graphic>
          </wp:inline>
        </w:drawing>
      </w:r>
    </w:p>
    <w:p w14:paraId="25C529D2" w14:textId="77777777" w:rsidR="00531C9D" w:rsidRDefault="00A4671D" w:rsidP="00A4671D">
      <w:pPr>
        <w:jc w:val="both"/>
        <w:rPr>
          <w:rFonts w:ascii="Arial" w:hAnsi="Arial" w:cs="Arial"/>
        </w:rPr>
      </w:pPr>
      <w:r w:rsidRPr="00A4671D">
        <w:rPr>
          <w:rFonts w:ascii="Arial" w:hAnsi="Arial" w:cs="Arial"/>
        </w:rPr>
        <w:t>Fig 6</w:t>
      </w:r>
      <w:r w:rsidR="00371D2D">
        <w:rPr>
          <w:rFonts w:ascii="Arial" w:hAnsi="Arial" w:cs="Arial"/>
        </w:rPr>
        <w:t>-</w:t>
      </w:r>
      <w:r w:rsidRPr="00A4671D">
        <w:rPr>
          <w:rFonts w:ascii="Arial" w:hAnsi="Arial" w:cs="Arial"/>
        </w:rPr>
        <w:t xml:space="preserve"> </w:t>
      </w:r>
      <w:r w:rsidRPr="00531C9D">
        <w:rPr>
          <w:rFonts w:ascii="Arial" w:hAnsi="Arial" w:cs="Arial"/>
          <w:b/>
          <w:bCs/>
        </w:rPr>
        <w:t>Mean phosphate solubilization by PSB isolates over time.</w:t>
      </w:r>
      <w:r w:rsidRPr="00A4671D">
        <w:rPr>
          <w:rFonts w:ascii="Arial" w:hAnsi="Arial" w:cs="Arial"/>
        </w:rPr>
        <w:t xml:space="preserve"> </w:t>
      </w:r>
    </w:p>
    <w:p w14:paraId="18CB2561" w14:textId="0C85EB37" w:rsidR="00A4671D" w:rsidRPr="00A4671D" w:rsidRDefault="00531C9D" w:rsidP="00A4671D">
      <w:pPr>
        <w:jc w:val="both"/>
        <w:rPr>
          <w:rFonts w:ascii="Arial" w:hAnsi="Arial" w:cs="Arial"/>
        </w:rPr>
      </w:pPr>
      <w:r w:rsidRPr="00531C9D">
        <w:rPr>
          <w:rFonts w:ascii="Arial" w:hAnsi="Arial" w:cs="Arial"/>
          <w:b/>
          <w:bCs/>
        </w:rPr>
        <w:t>Note:</w:t>
      </w:r>
      <w:r>
        <w:rPr>
          <w:rFonts w:ascii="Arial" w:hAnsi="Arial" w:cs="Arial"/>
        </w:rPr>
        <w:t xml:space="preserve"> </w:t>
      </w:r>
      <w:r w:rsidR="00A4671D" w:rsidRPr="00A4671D">
        <w:rPr>
          <w:rFonts w:ascii="Arial" w:hAnsi="Arial" w:cs="Arial"/>
        </w:rPr>
        <w:t>Line plot showing average phosphate solubilization (</w:t>
      </w:r>
      <w:proofErr w:type="spellStart"/>
      <w:r w:rsidR="00A4671D" w:rsidRPr="00A4671D">
        <w:rPr>
          <w:rFonts w:ascii="Arial" w:hAnsi="Arial" w:cs="Arial"/>
        </w:rPr>
        <w:t>μg</w:t>
      </w:r>
      <w:proofErr w:type="spellEnd"/>
      <w:r w:rsidR="00A4671D" w:rsidRPr="00A4671D">
        <w:rPr>
          <w:rFonts w:ascii="Arial" w:hAnsi="Arial" w:cs="Arial"/>
        </w:rPr>
        <w:t>/ml) at 2, 5, and 9 days across all isolates, with shaded area representing standard deviation. Peak solubilization observed at 5 days indicates optimal metabolic activity for phosphate release.</w:t>
      </w:r>
    </w:p>
    <w:p w14:paraId="34033C15" w14:textId="53CFCAB0" w:rsidR="009D4FDD" w:rsidRPr="007F2BF9" w:rsidRDefault="007F2BF9" w:rsidP="009D4FDD">
      <w:pPr>
        <w:widowControl w:val="0"/>
        <w:spacing w:before="40" w:after="40"/>
        <w:ind w:right="296"/>
        <w:jc w:val="both"/>
        <w:rPr>
          <w:rFonts w:ascii="Arial" w:hAnsi="Arial" w:cs="Arial"/>
          <w:b/>
          <w:bCs/>
          <w:iCs/>
        </w:rPr>
      </w:pPr>
      <w:r w:rsidRPr="007F2BF9">
        <w:rPr>
          <w:rFonts w:ascii="Arial" w:hAnsi="Arial" w:cs="Arial"/>
          <w:b/>
          <w:bCs/>
          <w:iCs/>
        </w:rPr>
        <w:t xml:space="preserve">3.3 </w:t>
      </w:r>
      <w:r w:rsidR="009D4FDD" w:rsidRPr="007F2BF9">
        <w:rPr>
          <w:rFonts w:ascii="Arial" w:hAnsi="Arial" w:cs="Arial"/>
          <w:b/>
          <w:bCs/>
          <w:iCs/>
        </w:rPr>
        <w:t>Identification of isolates</w:t>
      </w:r>
    </w:p>
    <w:p w14:paraId="7B24D0C9" w14:textId="77777777" w:rsidR="009D4FDD" w:rsidRPr="000E3935" w:rsidRDefault="009D4FDD" w:rsidP="009D4FDD">
      <w:pPr>
        <w:widowControl w:val="0"/>
        <w:tabs>
          <w:tab w:val="left" w:pos="8910"/>
        </w:tabs>
        <w:spacing w:before="40" w:after="40"/>
        <w:ind w:right="29"/>
        <w:jc w:val="both"/>
        <w:rPr>
          <w:rFonts w:ascii="Arial" w:hAnsi="Arial" w:cs="Arial"/>
        </w:rPr>
      </w:pPr>
      <w:r w:rsidRPr="000E3935">
        <w:rPr>
          <w:rFonts w:ascii="Arial" w:hAnsi="Arial" w:cs="Arial"/>
          <w:iCs/>
        </w:rPr>
        <w:t xml:space="preserve"> Microscopic characteristics</w:t>
      </w:r>
      <w:r w:rsidRPr="000E3935">
        <w:rPr>
          <w:rFonts w:ascii="Arial" w:hAnsi="Arial" w:cs="Arial"/>
          <w:i/>
        </w:rPr>
        <w:t xml:space="preserve"> </w:t>
      </w:r>
      <w:r w:rsidRPr="000E3935">
        <w:rPr>
          <w:rFonts w:ascii="Arial" w:hAnsi="Arial" w:cs="Arial"/>
          <w:iCs/>
        </w:rPr>
        <w:t xml:space="preserve">of phosphate solubilizing isolate revealed that the isolates belonged to Gram-positive and Gram-negative groups (Suppl Table 1). They were mostly cocci in shape. They colonies formed by them were </w:t>
      </w:r>
      <w:proofErr w:type="spellStart"/>
      <w:r w:rsidRPr="000E3935">
        <w:rPr>
          <w:rFonts w:ascii="Arial" w:hAnsi="Arial" w:cs="Arial"/>
          <w:iCs/>
        </w:rPr>
        <w:t>butyrous</w:t>
      </w:r>
      <w:proofErr w:type="spellEnd"/>
      <w:r w:rsidRPr="000E3935">
        <w:rPr>
          <w:rFonts w:ascii="Arial" w:hAnsi="Arial" w:cs="Arial"/>
          <w:iCs/>
        </w:rPr>
        <w:t xml:space="preserve">, glistening, flat, round, translucent to opaque. Preliminary biochemical characterization gave an insight to the metabolic pathways and nature of end products and utilization of citrate as sole carbon source (Suppl Table 2). </w:t>
      </w:r>
      <w:r w:rsidRPr="000E3935">
        <w:rPr>
          <w:rFonts w:ascii="Arial" w:hAnsi="Arial" w:cs="Arial"/>
        </w:rPr>
        <w:t xml:space="preserve">16S rRNA sequence of </w:t>
      </w:r>
      <w:r w:rsidRPr="000E3935">
        <w:rPr>
          <w:rFonts w:ascii="Arial" w:hAnsi="Arial" w:cs="Arial"/>
          <w:iCs/>
        </w:rPr>
        <w:t>three isolates, isolate 9, isolate 13, and isolate 20, exhibiting high phosphate solubility</w:t>
      </w:r>
      <w:r w:rsidRPr="000E3935">
        <w:rPr>
          <w:rFonts w:ascii="Arial" w:hAnsi="Arial" w:cs="Arial"/>
          <w:i/>
        </w:rPr>
        <w:t xml:space="preserve"> </w:t>
      </w:r>
      <w:r w:rsidRPr="000E3935">
        <w:rPr>
          <w:rFonts w:ascii="Arial" w:hAnsi="Arial" w:cs="Arial"/>
          <w:iCs/>
        </w:rPr>
        <w:t xml:space="preserve">has been </w:t>
      </w:r>
      <w:r w:rsidRPr="000E3935">
        <w:rPr>
          <w:rFonts w:ascii="Arial" w:hAnsi="Arial" w:cs="Arial"/>
        </w:rPr>
        <w:t xml:space="preserve">submitted to NCBI with the accession numbers PP889728, PP889727 and PP889726, respectively. Two of these isolates are deposited as a </w:t>
      </w:r>
      <w:r w:rsidRPr="000E3935">
        <w:rPr>
          <w:rFonts w:ascii="Arial" w:hAnsi="Arial" w:cs="Arial"/>
        </w:rPr>
        <w:lastRenderedPageBreak/>
        <w:t xml:space="preserve">general deposit in the MTCC (Microbial Type Culture Collection), with accession numbers MTCC 13666 and MTCC 13667. Phosphate solubilization recorded by these three isolates was 75.51 </w:t>
      </w:r>
      <w:proofErr w:type="spellStart"/>
      <w:r w:rsidRPr="000E3935">
        <w:rPr>
          <w:rFonts w:ascii="Arial" w:hAnsi="Arial" w:cs="Arial"/>
        </w:rPr>
        <w:t>μg</w:t>
      </w:r>
      <w:proofErr w:type="spellEnd"/>
      <w:r w:rsidRPr="000E3935">
        <w:rPr>
          <w:rFonts w:ascii="Arial" w:hAnsi="Arial" w:cs="Arial"/>
        </w:rPr>
        <w:t xml:space="preserve">/ml (isolate 9, LC306, 20-25DAS, root tissue, P-starved conditions), 75.78 </w:t>
      </w:r>
      <w:proofErr w:type="spellStart"/>
      <w:r w:rsidRPr="000E3935">
        <w:rPr>
          <w:rFonts w:ascii="Arial" w:hAnsi="Arial" w:cs="Arial"/>
        </w:rPr>
        <w:t>μg</w:t>
      </w:r>
      <w:proofErr w:type="spellEnd"/>
      <w:r w:rsidRPr="000E3935">
        <w:rPr>
          <w:rFonts w:ascii="Arial" w:hAnsi="Arial" w:cs="Arial"/>
        </w:rPr>
        <w:t xml:space="preserve">/ml (isolate 13, PBW725, 90DAS, root tissue, P-starved conditions) and 76.86 </w:t>
      </w:r>
      <w:proofErr w:type="spellStart"/>
      <w:r w:rsidRPr="000E3935">
        <w:rPr>
          <w:rFonts w:ascii="Arial" w:hAnsi="Arial" w:cs="Arial"/>
        </w:rPr>
        <w:t>μg</w:t>
      </w:r>
      <w:proofErr w:type="spellEnd"/>
      <w:r w:rsidRPr="000E3935">
        <w:rPr>
          <w:rFonts w:ascii="Arial" w:hAnsi="Arial" w:cs="Arial"/>
        </w:rPr>
        <w:t xml:space="preserve">/ml (isolate 20, LC306, 20-25DAS, </w:t>
      </w:r>
      <w:proofErr w:type="spellStart"/>
      <w:r w:rsidRPr="000E3935">
        <w:rPr>
          <w:rFonts w:ascii="Arial" w:hAnsi="Arial" w:cs="Arial"/>
        </w:rPr>
        <w:t>rhizospheric</w:t>
      </w:r>
      <w:proofErr w:type="spellEnd"/>
      <w:r w:rsidRPr="000E3935">
        <w:rPr>
          <w:rFonts w:ascii="Arial" w:hAnsi="Arial" w:cs="Arial"/>
        </w:rPr>
        <w:t xml:space="preserve"> soil, P-amended conditions).</w:t>
      </w:r>
    </w:p>
    <w:p w14:paraId="4E6AA315" w14:textId="493F6044" w:rsidR="009D4FDD" w:rsidRPr="000E3935" w:rsidRDefault="009D4FDD" w:rsidP="009D4FDD">
      <w:pPr>
        <w:widowControl w:val="0"/>
        <w:tabs>
          <w:tab w:val="left" w:pos="8910"/>
        </w:tabs>
        <w:spacing w:before="40" w:after="40"/>
        <w:ind w:right="29"/>
        <w:jc w:val="both"/>
        <w:rPr>
          <w:rFonts w:ascii="Arial" w:hAnsi="Arial" w:cs="Arial"/>
        </w:rPr>
      </w:pPr>
      <w:r w:rsidRPr="000E3935">
        <w:rPr>
          <w:rFonts w:ascii="Arial" w:hAnsi="Arial" w:cs="Arial"/>
        </w:rPr>
        <w:t>A phylogenetic tree, constructed using 16S rRNA sequences to elucidate phylogenetic distance between these isolates is presented in Fig</w:t>
      </w:r>
      <w:r w:rsidR="00A4671D">
        <w:rPr>
          <w:rFonts w:ascii="Arial" w:hAnsi="Arial" w:cs="Arial"/>
        </w:rPr>
        <w:t xml:space="preserve"> 7</w:t>
      </w:r>
      <w:r w:rsidRPr="000E3935">
        <w:rPr>
          <w:rFonts w:ascii="Arial" w:hAnsi="Arial" w:cs="Arial"/>
        </w:rPr>
        <w:t xml:space="preserve">. The phylogenetic tree reveals distinct clades of bacteria predominantly within the </w:t>
      </w:r>
      <w:r w:rsidRPr="000E3935">
        <w:rPr>
          <w:rFonts w:ascii="Arial" w:hAnsi="Arial" w:cs="Arial"/>
          <w:i/>
        </w:rPr>
        <w:t>Bacillus cereus</w:t>
      </w:r>
      <w:r w:rsidRPr="000E3935">
        <w:rPr>
          <w:rFonts w:ascii="Arial" w:hAnsi="Arial" w:cs="Arial"/>
        </w:rPr>
        <w:t xml:space="preserve"> and </w:t>
      </w:r>
      <w:r w:rsidRPr="000E3935">
        <w:rPr>
          <w:rFonts w:ascii="Arial" w:hAnsi="Arial" w:cs="Arial"/>
          <w:i/>
        </w:rPr>
        <w:t>Bacillus subtilis</w:t>
      </w:r>
      <w:r w:rsidRPr="000E3935">
        <w:rPr>
          <w:rFonts w:ascii="Arial" w:hAnsi="Arial" w:cs="Arial"/>
        </w:rPr>
        <w:t xml:space="preserve"> groups. </w:t>
      </w:r>
      <w:r w:rsidRPr="000E3935">
        <w:rPr>
          <w:rFonts w:ascii="Arial" w:hAnsi="Arial" w:cs="Arial"/>
          <w:i/>
        </w:rPr>
        <w:t>Bacillus cereus</w:t>
      </w:r>
      <w:r w:rsidRPr="000E3935">
        <w:rPr>
          <w:rFonts w:ascii="Arial" w:hAnsi="Arial" w:cs="Arial"/>
          <w:b/>
        </w:rPr>
        <w:t xml:space="preserve"> </w:t>
      </w:r>
      <w:r w:rsidRPr="000E3935">
        <w:rPr>
          <w:rFonts w:ascii="Arial" w:hAnsi="Arial" w:cs="Arial"/>
        </w:rPr>
        <w:t xml:space="preserve">clade includes strains such as </w:t>
      </w:r>
      <w:r w:rsidRPr="000E3935">
        <w:rPr>
          <w:rFonts w:ascii="Arial" w:hAnsi="Arial" w:cs="Arial"/>
          <w:i/>
        </w:rPr>
        <w:t>Bacillus cereus KR3M-30</w:t>
      </w:r>
      <w:r w:rsidRPr="000E3935">
        <w:rPr>
          <w:rFonts w:ascii="Arial" w:hAnsi="Arial" w:cs="Arial"/>
        </w:rPr>
        <w:t xml:space="preserve">, CPO 4.227 and others. These strains cluster closely together, indicating a shared genetic lineage. Their presence in the samples suggests that </w:t>
      </w:r>
      <w:r w:rsidRPr="000E3935">
        <w:rPr>
          <w:rFonts w:ascii="Arial" w:hAnsi="Arial" w:cs="Arial"/>
          <w:i/>
        </w:rPr>
        <w:t>Bacillus cereus</w:t>
      </w:r>
      <w:r w:rsidRPr="000E3935">
        <w:rPr>
          <w:rFonts w:ascii="Arial" w:hAnsi="Arial" w:cs="Arial"/>
        </w:rPr>
        <w:t xml:space="preserve"> might be a common component of the wheat rhizosphere under both P amended and P starved conditions. </w:t>
      </w:r>
      <w:r w:rsidRPr="000E3935">
        <w:rPr>
          <w:rFonts w:ascii="Arial" w:hAnsi="Arial" w:cs="Arial"/>
          <w:i/>
        </w:rPr>
        <w:t>Bacillus subtilis</w:t>
      </w:r>
      <w:r w:rsidRPr="000E3935">
        <w:rPr>
          <w:rFonts w:ascii="Arial" w:hAnsi="Arial" w:cs="Arial"/>
          <w:b/>
        </w:rPr>
        <w:t xml:space="preserve"> </w:t>
      </w:r>
      <w:r w:rsidRPr="000E3935">
        <w:rPr>
          <w:rFonts w:ascii="Arial" w:hAnsi="Arial" w:cs="Arial"/>
        </w:rPr>
        <w:t xml:space="preserve">clade, group encompasses strains like </w:t>
      </w:r>
      <w:r w:rsidRPr="000E3935">
        <w:rPr>
          <w:rFonts w:ascii="Arial" w:hAnsi="Arial" w:cs="Arial"/>
          <w:i/>
        </w:rPr>
        <w:t>Bacillus subtilis soilG2B</w:t>
      </w:r>
      <w:r w:rsidRPr="000E3935">
        <w:rPr>
          <w:rFonts w:ascii="Arial" w:hAnsi="Arial" w:cs="Arial"/>
        </w:rPr>
        <w:t xml:space="preserve">, KA9 and HS8. The strains in this clade are known for their roles in soil health and plant growth promotion, which might reflect the adaptive responses of the wheat-associated microbiome to nutrient deficiency stress other </w:t>
      </w:r>
      <w:r w:rsidRPr="000E3935">
        <w:rPr>
          <w:rFonts w:ascii="Arial" w:hAnsi="Arial" w:cs="Arial"/>
          <w:i/>
        </w:rPr>
        <w:t>Bacillus</w:t>
      </w:r>
      <w:r w:rsidRPr="000E3935">
        <w:rPr>
          <w:rFonts w:ascii="Arial" w:hAnsi="Arial" w:cs="Arial"/>
        </w:rPr>
        <w:t xml:space="preserve"> species and strains such as </w:t>
      </w:r>
      <w:r w:rsidRPr="000E3935">
        <w:rPr>
          <w:rFonts w:ascii="Arial" w:hAnsi="Arial" w:cs="Arial"/>
          <w:i/>
        </w:rPr>
        <w:t>Bacillus sp. D2201</w:t>
      </w:r>
      <w:r w:rsidRPr="000E3935">
        <w:rPr>
          <w:rFonts w:ascii="Arial" w:hAnsi="Arial" w:cs="Arial"/>
        </w:rPr>
        <w:t xml:space="preserve"> and </w:t>
      </w:r>
      <w:r w:rsidRPr="000E3935">
        <w:rPr>
          <w:rFonts w:ascii="Arial" w:hAnsi="Arial" w:cs="Arial"/>
          <w:i/>
        </w:rPr>
        <w:t xml:space="preserve">Bacillus </w:t>
      </w:r>
      <w:proofErr w:type="spellStart"/>
      <w:r w:rsidRPr="000E3935">
        <w:rPr>
          <w:rFonts w:ascii="Arial" w:hAnsi="Arial" w:cs="Arial"/>
          <w:i/>
        </w:rPr>
        <w:t>tequilensis</w:t>
      </w:r>
      <w:proofErr w:type="spellEnd"/>
      <w:r w:rsidRPr="000E3935">
        <w:rPr>
          <w:rFonts w:ascii="Arial" w:hAnsi="Arial" w:cs="Arial"/>
          <w:i/>
        </w:rPr>
        <w:t xml:space="preserve"> SKC-10 </w:t>
      </w:r>
      <w:r w:rsidRPr="000E3935">
        <w:rPr>
          <w:rFonts w:ascii="Arial" w:hAnsi="Arial" w:cs="Arial"/>
        </w:rPr>
        <w:t>occupy distinct branches.</w:t>
      </w:r>
    </w:p>
    <w:p w14:paraId="6BFF4467" w14:textId="2EB095FB" w:rsidR="009D4FDD" w:rsidRPr="000E3935" w:rsidRDefault="00A4671D" w:rsidP="009D4FDD">
      <w:pPr>
        <w:widowControl w:val="0"/>
        <w:tabs>
          <w:tab w:val="left" w:pos="8910"/>
        </w:tabs>
        <w:spacing w:before="40" w:after="40"/>
        <w:ind w:right="29"/>
        <w:jc w:val="both"/>
        <w:rPr>
          <w:rFonts w:ascii="Arial" w:hAnsi="Arial" w:cs="Arial"/>
        </w:rPr>
      </w:pPr>
      <w:r>
        <w:rPr>
          <w:rFonts w:ascii="Times New Roman" w:hAnsi="Times New Roman"/>
          <w:noProof/>
        </w:rPr>
        <w:lastRenderedPageBreak/>
        <w:drawing>
          <wp:inline distT="0" distB="0" distL="0" distR="0" wp14:anchorId="47768DC2" wp14:editId="5D58BD9E">
            <wp:extent cx="5212080" cy="6208461"/>
            <wp:effectExtent l="0" t="0" r="7620" b="1905"/>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10446" t="20898" r="30069"/>
                    <a:stretch>
                      <a:fillRect/>
                    </a:stretch>
                  </pic:blipFill>
                  <pic:spPr>
                    <a:xfrm>
                      <a:off x="0" y="0"/>
                      <a:ext cx="5212080" cy="6208461"/>
                    </a:xfrm>
                    <a:prstGeom prst="rect">
                      <a:avLst/>
                    </a:prstGeom>
                    <a:ln/>
                  </pic:spPr>
                </pic:pic>
              </a:graphicData>
            </a:graphic>
          </wp:inline>
        </w:drawing>
      </w:r>
    </w:p>
    <w:p w14:paraId="6B31160D" w14:textId="01A34D08" w:rsidR="00A4671D" w:rsidRDefault="00A4671D" w:rsidP="00A4671D">
      <w:pPr>
        <w:tabs>
          <w:tab w:val="left" w:pos="1080"/>
        </w:tabs>
        <w:spacing w:before="40" w:after="40"/>
        <w:jc w:val="both"/>
        <w:rPr>
          <w:rFonts w:ascii="Helvetica Neue" w:eastAsia="Helvetica Neue" w:hAnsi="Helvetica Neue" w:cs="Helvetica Neue"/>
        </w:rPr>
      </w:pPr>
      <w:r>
        <w:rPr>
          <w:rFonts w:ascii="Arial" w:hAnsi="Arial" w:cs="Arial"/>
        </w:rPr>
        <w:t xml:space="preserve">Fig 7 </w:t>
      </w:r>
      <w:r>
        <w:rPr>
          <w:rFonts w:ascii="Helvetica Neue" w:eastAsia="Helvetica Neue" w:hAnsi="Helvetica Neue" w:cs="Helvetica Neue"/>
        </w:rPr>
        <w:t>Phylogenetic tree for identified isolates (Evolutionary analysis by Maximum Likelihood method)</w:t>
      </w:r>
    </w:p>
    <w:p w14:paraId="7D947EE1" w14:textId="5527ED07" w:rsidR="00790ADA" w:rsidRPr="000E3935" w:rsidRDefault="00790ADA" w:rsidP="00441B6F">
      <w:pPr>
        <w:pStyle w:val="Head1"/>
        <w:spacing w:after="0"/>
        <w:jc w:val="both"/>
        <w:rPr>
          <w:rFonts w:ascii="Arial" w:hAnsi="Arial" w:cs="Arial"/>
          <w:sz w:val="20"/>
        </w:rPr>
      </w:pPr>
    </w:p>
    <w:p w14:paraId="13DD13F5" w14:textId="5168AD90" w:rsidR="000D657D" w:rsidRPr="000D657D" w:rsidRDefault="000D657D" w:rsidP="000D657D">
      <w:pPr>
        <w:spacing w:before="40" w:after="40"/>
        <w:jc w:val="both"/>
        <w:rPr>
          <w:rFonts w:ascii="Arial" w:hAnsi="Arial" w:cs="Arial"/>
        </w:rPr>
      </w:pPr>
      <w:r w:rsidRPr="000D657D">
        <w:rPr>
          <w:rFonts w:ascii="Arial" w:hAnsi="Arial" w:cs="Arial"/>
        </w:rPr>
        <w:t xml:space="preserve">Wheat, a worldwide staple, has seen substantial changes in its growing methods to satisfy population demands. Phosphorus is essential for its growth but extensive agriculture has reduced soil phosphorus levels. Understanding the relationships between wheat varieties, phosphate levels and abundance of phosphate-solubilizing bacteria (PSB) levels can promote the advancement of sustainable farming techniques. PSB are well known for their role in the rhizosphere, where they convert insoluble phosphorus into forms accessible to plants. Although less common, their presence in shoot tissues offers potential benefits for plant </w:t>
      </w:r>
      <w:r w:rsidRPr="000D657D">
        <w:rPr>
          <w:rFonts w:ascii="Arial" w:hAnsi="Arial" w:cs="Arial"/>
        </w:rPr>
        <w:lastRenderedPageBreak/>
        <w:t xml:space="preserve">growth and systemic health. In shoots, PSB help mobilize internal phosphorus by converting stored organic forms into available inorganic forms, a function that becomes vital under limited root activity or phosphorus-deficient conditions. Beyond nutrient solubilization, PSB in shoots can directly promote growth by regulating cell division, elongation, and differentiation through phytohormones such as auxins, </w:t>
      </w:r>
      <w:proofErr w:type="spellStart"/>
      <w:r w:rsidRPr="000D657D">
        <w:rPr>
          <w:rFonts w:ascii="Arial" w:hAnsi="Arial" w:cs="Arial"/>
        </w:rPr>
        <w:t>cytokinins</w:t>
      </w:r>
      <w:proofErr w:type="spellEnd"/>
      <w:r w:rsidRPr="000D657D">
        <w:rPr>
          <w:rFonts w:ascii="Arial" w:hAnsi="Arial" w:cs="Arial"/>
        </w:rPr>
        <w:t>, and gibberellins. Some PSB strains also induce systemic resistance, improving defen</w:t>
      </w:r>
      <w:r w:rsidR="007F2BF9">
        <w:rPr>
          <w:rFonts w:ascii="Arial" w:hAnsi="Arial" w:cs="Arial"/>
        </w:rPr>
        <w:t>s</w:t>
      </w:r>
      <w:r w:rsidRPr="000D657D">
        <w:rPr>
          <w:rFonts w:ascii="Arial" w:hAnsi="Arial" w:cs="Arial"/>
        </w:rPr>
        <w:t xml:space="preserve">e against pathogens that target aerial parts like leaves and stems. Additionally, PSB can enhance tolerance to abiotic stresses such as salinity and drought. PSB have been reported in the rhizospheres and </w:t>
      </w:r>
      <w:proofErr w:type="spellStart"/>
      <w:r w:rsidRPr="000D657D">
        <w:rPr>
          <w:rFonts w:ascii="Arial" w:hAnsi="Arial" w:cs="Arial"/>
        </w:rPr>
        <w:t>endospheres</w:t>
      </w:r>
      <w:proofErr w:type="spellEnd"/>
      <w:r w:rsidRPr="000D657D">
        <w:rPr>
          <w:rFonts w:ascii="Arial" w:hAnsi="Arial" w:cs="Arial"/>
        </w:rPr>
        <w:t xml:space="preserve"> of many cereals, including wheat, by </w:t>
      </w:r>
      <w:proofErr w:type="spellStart"/>
      <w:r w:rsidRPr="000D657D">
        <w:rPr>
          <w:rFonts w:ascii="Arial" w:hAnsi="Arial" w:cs="Arial"/>
        </w:rPr>
        <w:t>Korenblum</w:t>
      </w:r>
      <w:proofErr w:type="spellEnd"/>
      <w:r w:rsidRPr="000D657D">
        <w:rPr>
          <w:rFonts w:ascii="Arial" w:hAnsi="Arial" w:cs="Arial"/>
        </w:rPr>
        <w:t xml:space="preserve"> </w:t>
      </w:r>
      <w:r w:rsidRPr="000D657D">
        <w:rPr>
          <w:rFonts w:ascii="Arial" w:hAnsi="Arial" w:cs="Arial"/>
          <w:i/>
        </w:rPr>
        <w:t>et al</w:t>
      </w:r>
      <w:r w:rsidRPr="000D657D">
        <w:rPr>
          <w:rFonts w:ascii="Arial" w:hAnsi="Arial" w:cs="Arial"/>
        </w:rPr>
        <w:t xml:space="preserve"> (2022) and Liu </w:t>
      </w:r>
      <w:r w:rsidRPr="000D657D">
        <w:rPr>
          <w:rFonts w:ascii="Arial" w:hAnsi="Arial" w:cs="Arial"/>
          <w:i/>
        </w:rPr>
        <w:t>et al</w:t>
      </w:r>
      <w:r w:rsidRPr="000D657D">
        <w:rPr>
          <w:rFonts w:ascii="Arial" w:hAnsi="Arial" w:cs="Arial"/>
        </w:rPr>
        <w:t xml:space="preserve"> (2020).</w:t>
      </w:r>
    </w:p>
    <w:p w14:paraId="23535D18" w14:textId="7F7873C3" w:rsidR="000D657D" w:rsidRPr="000D657D" w:rsidRDefault="000D657D" w:rsidP="00EA0B52">
      <w:pPr>
        <w:jc w:val="both"/>
        <w:rPr>
          <w:rFonts w:ascii="Arial" w:hAnsi="Arial" w:cs="Arial"/>
        </w:rPr>
      </w:pPr>
      <w:r w:rsidRPr="000D657D">
        <w:rPr>
          <w:rFonts w:ascii="Arial" w:hAnsi="Arial" w:cs="Arial"/>
        </w:rPr>
        <w:t xml:space="preserve">In our study we observed that phosphorus availability significantly affects the PSB community in </w:t>
      </w:r>
      <w:proofErr w:type="spellStart"/>
      <w:r w:rsidRPr="000D657D">
        <w:rPr>
          <w:rFonts w:ascii="Arial" w:hAnsi="Arial" w:cs="Arial"/>
        </w:rPr>
        <w:t>rhizospheric</w:t>
      </w:r>
      <w:proofErr w:type="spellEnd"/>
      <w:r w:rsidRPr="000D657D">
        <w:rPr>
          <w:rFonts w:ascii="Arial" w:hAnsi="Arial" w:cs="Arial"/>
        </w:rPr>
        <w:t xml:space="preserve"> soil, root tissue and shoor tissue of wheat. Under phosphorus-starved conditions, root tissues revealed greater abundance of PSB at early growth stages (20–25 DAS), likely due to increased exudation of organic acids and other compounds that promote microbial proliferation and phosphate solubilization. It corroborates findings that phosphorus deficiency enhances root exudation, thereby recruiting beneficial microbes (Richardson et al., 2011; Sharma et al., 2013). In contrast, shoots exhibited lower PSB colonization under the same conditions, likely due to reduced nutrient translocation. At 60 DAS, PSB counts stabilized across treatments, suggesting possible equilibrium between root exudates and PSB populations, similar to observations by Sharma et al. (2023). At later stages (90 DAS and flowering), PSB counts in both P-amended and P-starved plants tend to converge, suggesting a compensatory adaptation in plant–microbe interactions. This </w:t>
      </w:r>
      <w:r w:rsidR="00EA0B52">
        <w:rPr>
          <w:rFonts w:ascii="Arial" w:hAnsi="Arial" w:cs="Arial"/>
        </w:rPr>
        <w:t>indicates</w:t>
      </w:r>
      <w:r w:rsidRPr="000D657D">
        <w:rPr>
          <w:rFonts w:ascii="Arial" w:hAnsi="Arial" w:cs="Arial"/>
        </w:rPr>
        <w:t xml:space="preserve"> a temporal shift in PSB colonization possibly due to changes in root exudate profile </w:t>
      </w:r>
      <w:r w:rsidR="00EA0B52">
        <w:rPr>
          <w:rFonts w:ascii="Arial" w:hAnsi="Arial" w:cs="Arial"/>
        </w:rPr>
        <w:t xml:space="preserve">commensurate </w:t>
      </w:r>
      <w:r w:rsidRPr="000D657D">
        <w:rPr>
          <w:rFonts w:ascii="Arial" w:hAnsi="Arial" w:cs="Arial"/>
        </w:rPr>
        <w:t xml:space="preserve">with developmental stages (Rajput et al., 2024). In the </w:t>
      </w:r>
      <w:proofErr w:type="spellStart"/>
      <w:r w:rsidRPr="000D657D">
        <w:rPr>
          <w:rFonts w:ascii="Arial" w:hAnsi="Arial" w:cs="Arial"/>
        </w:rPr>
        <w:t>rhizospheric</w:t>
      </w:r>
      <w:proofErr w:type="spellEnd"/>
      <w:r w:rsidRPr="000D657D">
        <w:rPr>
          <w:rFonts w:ascii="Arial" w:hAnsi="Arial" w:cs="Arial"/>
        </w:rPr>
        <w:t xml:space="preserve"> soil, P-starved plants showed significantly higher PSB counts at 20-25 DAS, aligning with reports by </w:t>
      </w:r>
      <w:r w:rsidR="003C03E4" w:rsidRPr="00B540E7">
        <w:t>Cheng</w:t>
      </w:r>
      <w:r w:rsidRPr="000D657D">
        <w:rPr>
          <w:rFonts w:ascii="Arial" w:hAnsi="Arial" w:cs="Arial"/>
        </w:rPr>
        <w:t xml:space="preserve"> et al. (202</w:t>
      </w:r>
      <w:r w:rsidR="003C03E4">
        <w:rPr>
          <w:rFonts w:ascii="Arial" w:hAnsi="Arial" w:cs="Arial"/>
        </w:rPr>
        <w:t>3</w:t>
      </w:r>
      <w:r w:rsidRPr="000D657D">
        <w:rPr>
          <w:rFonts w:ascii="Arial" w:hAnsi="Arial" w:cs="Arial"/>
        </w:rPr>
        <w:t xml:space="preserve">) who demonstrated that P-starvation increases root exudation, thereby enhancing PSB colonization, Comparing P-starved and P-amended conditions, root and shoot tissues showed transient higher colonization under P-starvation indicating phenology-driven shifts (Rajput et al., 2024; </w:t>
      </w:r>
      <w:r w:rsidR="003E3C74" w:rsidRPr="00B540E7">
        <w:t>Enriquez-León</w:t>
      </w:r>
      <w:r w:rsidRPr="000D657D">
        <w:rPr>
          <w:rFonts w:ascii="Arial" w:hAnsi="Arial" w:cs="Arial"/>
        </w:rPr>
        <w:t xml:space="preserve"> et al., 2025). This may imply preferential allocation of PSB colonization sites from aerial to root zones over plant maturity (</w:t>
      </w:r>
      <w:r w:rsidR="003E3C74" w:rsidRPr="00B540E7">
        <w:t>Enriquez-León</w:t>
      </w:r>
      <w:r w:rsidR="003E3C74" w:rsidRPr="000D657D">
        <w:rPr>
          <w:rFonts w:ascii="Arial" w:hAnsi="Arial" w:cs="Arial"/>
        </w:rPr>
        <w:t xml:space="preserve"> </w:t>
      </w:r>
      <w:r w:rsidRPr="000D657D">
        <w:rPr>
          <w:rFonts w:ascii="Arial" w:hAnsi="Arial" w:cs="Arial"/>
        </w:rPr>
        <w:t xml:space="preserve">et al., 2025). Aligning with our hypothesis, the landrace variety did influence PSB abundance and composition compared to modern cultivars as also reported by Zaidi et al., 2015. The LC306 wheat variety consistently showed significantly higher PSB counts under P-starved condition, indicating presence of traits that support enhanced microbial colonization during nutrient limitation. Moreover, the significant variability observed in shoot tissues suggests systemic effects of PSB colonization that are influenced by both nutrient status and host genotype. This underscores the importance of targeting early crop stages for bioinoculant application to maximize P mobilization and uptake (Liu et al., 2020).                                                                                                                                                                                                      </w:t>
      </w:r>
    </w:p>
    <w:p w14:paraId="0A0B7A6F" w14:textId="19811A51" w:rsidR="000D657D" w:rsidRPr="000D657D" w:rsidRDefault="00EA0B52" w:rsidP="00EA0B52">
      <w:pPr>
        <w:jc w:val="both"/>
        <w:rPr>
          <w:rFonts w:ascii="Arial" w:hAnsi="Arial" w:cs="Arial"/>
        </w:rPr>
      </w:pPr>
      <w:r>
        <w:rPr>
          <w:rFonts w:ascii="Arial" w:hAnsi="Arial" w:cs="Arial"/>
        </w:rPr>
        <w:t>T</w:t>
      </w:r>
      <w:r w:rsidR="000D657D" w:rsidRPr="000D657D">
        <w:rPr>
          <w:rFonts w:ascii="Arial" w:hAnsi="Arial" w:cs="Arial"/>
        </w:rPr>
        <w:t xml:space="preserve">he solubility indices of isolates ranged from 2.06 to 2.71, with 25 % above 2.5 and 62.5 % of isolates displayed solubility index values surpassing 2.3. 14 isolates consistently exhibited a high solubility capacity (75.78 </w:t>
      </w:r>
      <w:proofErr w:type="spellStart"/>
      <w:r w:rsidR="000D657D" w:rsidRPr="000D657D">
        <w:rPr>
          <w:rFonts w:ascii="Arial" w:hAnsi="Arial" w:cs="Arial"/>
        </w:rPr>
        <w:t>μg</w:t>
      </w:r>
      <w:proofErr w:type="spellEnd"/>
      <w:r w:rsidR="000D657D" w:rsidRPr="000D657D">
        <w:rPr>
          <w:rFonts w:ascii="Arial" w:hAnsi="Arial" w:cs="Arial"/>
        </w:rPr>
        <w:t xml:space="preserve">/ml) and a stable solubility index (2.45), exhibiting outstanding performance under all conditions. </w:t>
      </w:r>
      <w:r w:rsidR="000D657D" w:rsidRPr="000D657D">
        <w:rPr>
          <w:rFonts w:ascii="Arial" w:hAnsi="Arial" w:cs="Arial"/>
          <w:i/>
          <w:iCs/>
        </w:rPr>
        <w:t>In vitro</w:t>
      </w:r>
      <w:r w:rsidR="000D657D" w:rsidRPr="000D657D">
        <w:rPr>
          <w:rFonts w:ascii="Arial" w:hAnsi="Arial" w:cs="Arial"/>
        </w:rPr>
        <w:t xml:space="preserve"> phosphate solubilization was recorded at a concentration ranging from 70.92 to 76.86 </w:t>
      </w:r>
      <w:proofErr w:type="spellStart"/>
      <w:r w:rsidR="000D657D" w:rsidRPr="000D657D">
        <w:rPr>
          <w:rFonts w:ascii="Arial" w:hAnsi="Arial" w:cs="Arial"/>
        </w:rPr>
        <w:t>μg</w:t>
      </w:r>
      <w:proofErr w:type="spellEnd"/>
      <w:r w:rsidR="000D657D" w:rsidRPr="000D657D">
        <w:rPr>
          <w:rFonts w:ascii="Arial" w:hAnsi="Arial" w:cs="Arial"/>
        </w:rPr>
        <w:t xml:space="preserve">/ml. The solubility of phosphate varied between 64.16 and 70.11 </w:t>
      </w:r>
      <w:proofErr w:type="spellStart"/>
      <w:r w:rsidR="000D657D" w:rsidRPr="000D657D">
        <w:rPr>
          <w:rFonts w:ascii="Arial" w:hAnsi="Arial" w:cs="Arial"/>
        </w:rPr>
        <w:t>μg</w:t>
      </w:r>
      <w:proofErr w:type="spellEnd"/>
      <w:r w:rsidR="000D657D" w:rsidRPr="000D657D">
        <w:rPr>
          <w:rFonts w:ascii="Arial" w:hAnsi="Arial" w:cs="Arial"/>
        </w:rPr>
        <w:t xml:space="preserve">/ml in P-starved circumstances. 7 of the 21 isolates (33.33 %) demonstrated solubility levels surpassing 68.0 </w:t>
      </w:r>
      <w:proofErr w:type="spellStart"/>
      <w:r w:rsidR="000D657D" w:rsidRPr="000D657D">
        <w:rPr>
          <w:rFonts w:ascii="Arial" w:hAnsi="Arial" w:cs="Arial"/>
        </w:rPr>
        <w:t>μg</w:t>
      </w:r>
      <w:proofErr w:type="spellEnd"/>
      <w:r w:rsidR="000D657D" w:rsidRPr="000D657D">
        <w:rPr>
          <w:rFonts w:ascii="Arial" w:hAnsi="Arial" w:cs="Arial"/>
        </w:rPr>
        <w:t xml:space="preserve">/ml. Of these isolates, 14 exhibits the highest solubility capacity at 75.78 </w:t>
      </w:r>
      <w:proofErr w:type="spellStart"/>
      <w:r w:rsidR="000D657D" w:rsidRPr="000D657D">
        <w:rPr>
          <w:rFonts w:ascii="Arial" w:hAnsi="Arial" w:cs="Arial"/>
        </w:rPr>
        <w:t>μg</w:t>
      </w:r>
      <w:proofErr w:type="spellEnd"/>
      <w:r w:rsidR="000D657D" w:rsidRPr="000D657D">
        <w:rPr>
          <w:rFonts w:ascii="Arial" w:hAnsi="Arial" w:cs="Arial"/>
        </w:rPr>
        <w:t xml:space="preserve">/ml. 11 of the 21 isolates had solubility over 74.0 </w:t>
      </w:r>
      <w:proofErr w:type="spellStart"/>
      <w:r w:rsidR="000D657D" w:rsidRPr="000D657D">
        <w:rPr>
          <w:rFonts w:ascii="Arial" w:hAnsi="Arial" w:cs="Arial"/>
        </w:rPr>
        <w:t>μg</w:t>
      </w:r>
      <w:proofErr w:type="spellEnd"/>
      <w:r w:rsidR="000D657D" w:rsidRPr="000D657D">
        <w:rPr>
          <w:rFonts w:ascii="Arial" w:hAnsi="Arial" w:cs="Arial"/>
        </w:rPr>
        <w:t xml:space="preserve">/ml. Correlation between SI and solubilization was moderate at 2 days (r=0.40, p=0.08), but negligible at later stages. These patterns highlight differences in phosphate solubilization kinetics, likely influenced by isolate-specific metabolic traits and phosphorus availability in the medium. These trends agree with dynamic PSB solubilization models (Gomez et al., 2023; </w:t>
      </w:r>
      <w:r w:rsidR="00966578">
        <w:rPr>
          <w:rFonts w:ascii="Arial" w:hAnsi="Arial" w:cs="Arial"/>
        </w:rPr>
        <w:t>Pan and Cai 2023)</w:t>
      </w:r>
      <w:r w:rsidR="000D657D" w:rsidRPr="000D657D">
        <w:rPr>
          <w:rFonts w:ascii="Arial" w:hAnsi="Arial" w:cs="Arial"/>
        </w:rPr>
        <w:t xml:space="preserve">. The synergistic role of PSB under P-starved conditions, not only enhances </w:t>
      </w:r>
      <w:proofErr w:type="spellStart"/>
      <w:r w:rsidR="000D657D" w:rsidRPr="000D657D">
        <w:rPr>
          <w:rFonts w:ascii="Arial" w:hAnsi="Arial" w:cs="Arial"/>
        </w:rPr>
        <w:t>rhizospheric</w:t>
      </w:r>
      <w:proofErr w:type="spellEnd"/>
      <w:r w:rsidR="000D657D" w:rsidRPr="000D657D">
        <w:rPr>
          <w:rFonts w:ascii="Arial" w:hAnsi="Arial" w:cs="Arial"/>
        </w:rPr>
        <w:t xml:space="preserve"> populations but also transiently colonizes endophytic niches. Such interactions are critical for sustainable phosphorus acquisition strategies in cereals. This is similar to the recent paradigms on microbiome-assisted nutrient mobilization reported by some workers </w:t>
      </w:r>
      <w:r w:rsidR="000D657D" w:rsidRPr="000D657D">
        <w:rPr>
          <w:rFonts w:ascii="Arial" w:hAnsi="Arial" w:cs="Arial"/>
        </w:rPr>
        <w:lastRenderedPageBreak/>
        <w:t>(</w:t>
      </w:r>
      <w:r w:rsidR="003C03E4">
        <w:rPr>
          <w:rFonts w:ascii="Arial" w:hAnsi="Arial" w:cs="Arial"/>
        </w:rPr>
        <w:t>Wang</w:t>
      </w:r>
      <w:r w:rsidR="000D657D" w:rsidRPr="000D657D">
        <w:rPr>
          <w:rFonts w:ascii="Arial" w:hAnsi="Arial" w:cs="Arial"/>
        </w:rPr>
        <w:t xml:space="preserve"> et al., 202</w:t>
      </w:r>
      <w:r w:rsidR="003C03E4">
        <w:rPr>
          <w:rFonts w:ascii="Arial" w:hAnsi="Arial" w:cs="Arial"/>
        </w:rPr>
        <w:t>2</w:t>
      </w:r>
      <w:r w:rsidR="000D657D" w:rsidRPr="000D657D">
        <w:rPr>
          <w:rFonts w:ascii="Arial" w:hAnsi="Arial" w:cs="Arial"/>
        </w:rPr>
        <w:t>). Moreover, selecting efficient PSB from plant grown under P-stress holds promise for isolation of a robust strain for bioinoculant development to minimize chemical P fertilizer reliance.</w:t>
      </w:r>
    </w:p>
    <w:p w14:paraId="2FA14546" w14:textId="4D7002A7" w:rsidR="000D657D" w:rsidRPr="000D657D" w:rsidRDefault="000D657D" w:rsidP="00EA0B52">
      <w:pPr>
        <w:jc w:val="both"/>
        <w:rPr>
          <w:rFonts w:ascii="Arial" w:hAnsi="Arial" w:cs="Arial"/>
        </w:rPr>
      </w:pPr>
      <w:r w:rsidRPr="000D657D">
        <w:rPr>
          <w:rFonts w:ascii="Arial" w:hAnsi="Arial" w:cs="Arial"/>
        </w:rPr>
        <w:t>The microscopic analysis of the phosphate-</w:t>
      </w:r>
      <w:proofErr w:type="spellStart"/>
      <w:r w:rsidRPr="000D657D">
        <w:rPr>
          <w:rFonts w:ascii="Arial" w:hAnsi="Arial" w:cs="Arial"/>
        </w:rPr>
        <w:t>solubilising</w:t>
      </w:r>
      <w:proofErr w:type="spellEnd"/>
      <w:r w:rsidRPr="000D657D">
        <w:rPr>
          <w:rFonts w:ascii="Arial" w:hAnsi="Arial" w:cs="Arial"/>
        </w:rPr>
        <w:t xml:space="preserve"> bacterial isolates revealed distinct morphological features. A negligible percentage of the cells were bacilli, while the rest were cocci. Gram-positive and Gram-negative bacteria were evenly distributed across the population. Previous studies highlighting the diversity of PSB strains (Sharma </w:t>
      </w:r>
      <w:r w:rsidRPr="000D657D">
        <w:rPr>
          <w:rFonts w:ascii="Arial" w:hAnsi="Arial" w:cs="Arial"/>
          <w:i/>
        </w:rPr>
        <w:t>et al</w:t>
      </w:r>
      <w:r w:rsidRPr="000D657D">
        <w:rPr>
          <w:rFonts w:ascii="Arial" w:hAnsi="Arial" w:cs="Arial"/>
        </w:rPr>
        <w:t xml:space="preserve"> 2013, </w:t>
      </w:r>
      <w:proofErr w:type="spellStart"/>
      <w:r w:rsidRPr="000D657D">
        <w:rPr>
          <w:rFonts w:ascii="Arial" w:hAnsi="Arial" w:cs="Arial"/>
        </w:rPr>
        <w:t>Oteino</w:t>
      </w:r>
      <w:proofErr w:type="spellEnd"/>
      <w:r w:rsidRPr="000D657D">
        <w:rPr>
          <w:rFonts w:ascii="Arial" w:hAnsi="Arial" w:cs="Arial"/>
        </w:rPr>
        <w:t xml:space="preserve"> </w:t>
      </w:r>
      <w:r w:rsidRPr="000D657D">
        <w:rPr>
          <w:rFonts w:ascii="Arial" w:hAnsi="Arial" w:cs="Arial"/>
          <w:i/>
        </w:rPr>
        <w:t>et al</w:t>
      </w:r>
      <w:r w:rsidRPr="000D657D">
        <w:rPr>
          <w:rFonts w:ascii="Arial" w:hAnsi="Arial" w:cs="Arial"/>
        </w:rPr>
        <w:t xml:space="preserve"> 2015) support our findings, which are consistent with our research. Cocci-shaped PSB were more prevalent in maize rhizospheres than in other cellular configurations. Xiang-</w:t>
      </w:r>
      <w:proofErr w:type="spellStart"/>
      <w:r w:rsidRPr="000D657D">
        <w:rPr>
          <w:rFonts w:ascii="Arial" w:hAnsi="Arial" w:cs="Arial"/>
        </w:rPr>
        <w:t>qian</w:t>
      </w:r>
      <w:proofErr w:type="spellEnd"/>
      <w:r w:rsidRPr="000D657D">
        <w:rPr>
          <w:rFonts w:ascii="Arial" w:hAnsi="Arial" w:cs="Arial"/>
        </w:rPr>
        <w:t xml:space="preserve"> </w:t>
      </w:r>
      <w:r w:rsidRPr="000D657D">
        <w:rPr>
          <w:rFonts w:ascii="Arial" w:hAnsi="Arial" w:cs="Arial"/>
          <w:i/>
        </w:rPr>
        <w:t>et al</w:t>
      </w:r>
      <w:r w:rsidRPr="000D657D">
        <w:rPr>
          <w:rFonts w:ascii="Arial" w:hAnsi="Arial" w:cs="Arial"/>
        </w:rPr>
        <w:t xml:space="preserve"> (2012) showed that the isolates were mostly cocci. The cellular features of the isolates suggest that PSB may swiftly colonize plant environments and adapt to many ecological niches. Research by Matos </w:t>
      </w:r>
      <w:r w:rsidRPr="000D657D">
        <w:rPr>
          <w:rFonts w:ascii="Arial" w:hAnsi="Arial" w:cs="Arial"/>
          <w:i/>
        </w:rPr>
        <w:t>et al</w:t>
      </w:r>
      <w:r w:rsidRPr="000D657D">
        <w:rPr>
          <w:rFonts w:ascii="Arial" w:hAnsi="Arial" w:cs="Arial"/>
        </w:rPr>
        <w:t xml:space="preserve"> (2017) and Sharma </w:t>
      </w:r>
      <w:r w:rsidRPr="000D657D">
        <w:rPr>
          <w:rFonts w:ascii="Arial" w:hAnsi="Arial" w:cs="Arial"/>
          <w:i/>
        </w:rPr>
        <w:t>et al</w:t>
      </w:r>
      <w:r w:rsidRPr="000D657D">
        <w:rPr>
          <w:rFonts w:ascii="Arial" w:hAnsi="Arial" w:cs="Arial"/>
        </w:rPr>
        <w:t xml:space="preserve"> (2013) indicates that PSB isolates display a diverse colony characteristic.75 % of the isolates had a </w:t>
      </w:r>
      <w:proofErr w:type="spellStart"/>
      <w:r w:rsidRPr="000D657D">
        <w:rPr>
          <w:rFonts w:ascii="Arial" w:hAnsi="Arial" w:cs="Arial"/>
        </w:rPr>
        <w:t>butyrous</w:t>
      </w:r>
      <w:proofErr w:type="spellEnd"/>
      <w:r w:rsidRPr="000D657D">
        <w:rPr>
          <w:rFonts w:ascii="Arial" w:hAnsi="Arial" w:cs="Arial"/>
        </w:rPr>
        <w:t xml:space="preserve"> texture. The colonies transitioned to a cream and yellow </w:t>
      </w:r>
      <w:proofErr w:type="spellStart"/>
      <w:r w:rsidRPr="000D657D">
        <w:rPr>
          <w:rFonts w:ascii="Arial" w:hAnsi="Arial" w:cs="Arial"/>
        </w:rPr>
        <w:t>colouration</w:t>
      </w:r>
      <w:proofErr w:type="spellEnd"/>
      <w:r w:rsidRPr="000D657D">
        <w:rPr>
          <w:rFonts w:ascii="Arial" w:hAnsi="Arial" w:cs="Arial"/>
        </w:rPr>
        <w:t xml:space="preserve"> after being primarily white or creamy for most, a change related to the presence of phosphorus. The colony's morphology and microscopic properties are mostly affected by phosphorus availability. Isolates from P-amended showed increased variability in surface roughness, opacity and elevation, while P-starved isolates showed more consistency in texture, surface and elevation. Phosphorus may alter the appearance and evolution of bacterial colonies by enhancing the diversity of colony characteristics. </w:t>
      </w:r>
      <w:proofErr w:type="spellStart"/>
      <w:r w:rsidRPr="000D657D">
        <w:rPr>
          <w:rFonts w:ascii="Arial" w:hAnsi="Arial" w:cs="Arial"/>
        </w:rPr>
        <w:t>Beneduzi</w:t>
      </w:r>
      <w:proofErr w:type="spellEnd"/>
      <w:r w:rsidRPr="000D657D">
        <w:rPr>
          <w:rFonts w:ascii="Arial" w:hAnsi="Arial" w:cs="Arial"/>
        </w:rPr>
        <w:t xml:space="preserve"> and </w:t>
      </w:r>
      <w:proofErr w:type="spellStart"/>
      <w:r w:rsidRPr="000D657D">
        <w:rPr>
          <w:rFonts w:ascii="Arial" w:hAnsi="Arial" w:cs="Arial"/>
        </w:rPr>
        <w:t>Passaglia</w:t>
      </w:r>
      <w:proofErr w:type="spellEnd"/>
      <w:r w:rsidRPr="000D657D">
        <w:rPr>
          <w:rFonts w:ascii="Arial" w:hAnsi="Arial" w:cs="Arial"/>
        </w:rPr>
        <w:t xml:space="preserve"> (2011) ascribe the variety in colony characteristics to ecological niche adaptation and genetic diversity. Sharma </w:t>
      </w:r>
      <w:r w:rsidRPr="000D657D">
        <w:rPr>
          <w:rFonts w:ascii="Arial" w:hAnsi="Arial" w:cs="Arial"/>
          <w:i/>
        </w:rPr>
        <w:t>et al</w:t>
      </w:r>
      <w:r w:rsidRPr="000D657D">
        <w:rPr>
          <w:rFonts w:ascii="Arial" w:hAnsi="Arial" w:cs="Arial"/>
        </w:rPr>
        <w:t xml:space="preserve"> (2013) contended that the varied population of phosphorus-solubilizing bacteria in the rhizosphere and </w:t>
      </w:r>
      <w:proofErr w:type="spellStart"/>
      <w:r w:rsidRPr="000D657D">
        <w:rPr>
          <w:rFonts w:ascii="Arial" w:hAnsi="Arial" w:cs="Arial"/>
        </w:rPr>
        <w:t>endosphere</w:t>
      </w:r>
      <w:proofErr w:type="spellEnd"/>
      <w:r w:rsidRPr="000D657D">
        <w:rPr>
          <w:rFonts w:ascii="Arial" w:hAnsi="Arial" w:cs="Arial"/>
        </w:rPr>
        <w:t xml:space="preserve"> of wheat may clarify the interactions between plants and soil phosphorus concentrations. They claimed that the phosphate solubilization capabilities of isolates correlate with their genetic diversity. </w:t>
      </w:r>
    </w:p>
    <w:p w14:paraId="46B575B2" w14:textId="77777777" w:rsidR="00EA0B52" w:rsidRDefault="000D657D" w:rsidP="00EA0B52">
      <w:pPr>
        <w:spacing w:before="40" w:after="40"/>
        <w:jc w:val="both"/>
        <w:rPr>
          <w:rFonts w:ascii="Arial" w:hAnsi="Arial" w:cs="Arial"/>
        </w:rPr>
      </w:pPr>
      <w:r w:rsidRPr="000D657D">
        <w:rPr>
          <w:rFonts w:ascii="Arial" w:hAnsi="Arial" w:cs="Arial"/>
        </w:rPr>
        <w:t xml:space="preserve">This will enable the separation of the solubility index and variations in phosphate solubility. Vesey and Heisinger (2001) contend that biofertilizers can be derived from isolates with high solubility indices and the capacity to solubilize phosphorus. This would promote plant growth and augment their phosphorus availability. Villa </w:t>
      </w:r>
      <w:r w:rsidRPr="000D657D">
        <w:rPr>
          <w:rFonts w:ascii="Arial" w:hAnsi="Arial" w:cs="Arial"/>
          <w:i/>
        </w:rPr>
        <w:t>et al</w:t>
      </w:r>
      <w:r w:rsidRPr="000D657D">
        <w:rPr>
          <w:rFonts w:ascii="Arial" w:hAnsi="Arial" w:cs="Arial"/>
        </w:rPr>
        <w:t xml:space="preserve"> (2005) advocate for using landraces to identify PSB strains with improved phosphate solubility. The PSB isolates found in the wheat rhizosphere and </w:t>
      </w:r>
      <w:proofErr w:type="spellStart"/>
      <w:r w:rsidRPr="000D657D">
        <w:rPr>
          <w:rFonts w:ascii="Arial" w:hAnsi="Arial" w:cs="Arial"/>
        </w:rPr>
        <w:t>endosphere</w:t>
      </w:r>
      <w:proofErr w:type="spellEnd"/>
      <w:r w:rsidRPr="000D657D">
        <w:rPr>
          <w:rFonts w:ascii="Arial" w:hAnsi="Arial" w:cs="Arial"/>
        </w:rPr>
        <w:t xml:space="preserve"> displayed a complex and dynamic microbial community. This population is </w:t>
      </w:r>
      <w:proofErr w:type="spellStart"/>
      <w:r w:rsidRPr="000D657D">
        <w:rPr>
          <w:rFonts w:ascii="Arial" w:hAnsi="Arial" w:cs="Arial"/>
        </w:rPr>
        <w:t>characterised</w:t>
      </w:r>
      <w:proofErr w:type="spellEnd"/>
      <w:r w:rsidRPr="000D657D">
        <w:rPr>
          <w:rFonts w:ascii="Arial" w:hAnsi="Arial" w:cs="Arial"/>
        </w:rPr>
        <w:t xml:space="preserve"> by a diverse array of colony traits and microscopic attributes. According to Sharma </w:t>
      </w:r>
      <w:r w:rsidRPr="000D657D">
        <w:rPr>
          <w:rFonts w:ascii="Arial" w:hAnsi="Arial" w:cs="Arial"/>
          <w:i/>
        </w:rPr>
        <w:t>et al</w:t>
      </w:r>
      <w:r w:rsidRPr="000D657D">
        <w:rPr>
          <w:rFonts w:ascii="Arial" w:hAnsi="Arial" w:cs="Arial"/>
        </w:rPr>
        <w:t xml:space="preserve"> (2013), enhancing the impact of PSB populations on plant growth and phosphorus uptake depends on comprehending these interactions and the dynamics of these populations. </w:t>
      </w:r>
    </w:p>
    <w:p w14:paraId="1F1843A1" w14:textId="62AA9F7D" w:rsidR="000D657D" w:rsidRPr="00E35825" w:rsidRDefault="000D657D" w:rsidP="00EA0B52">
      <w:pPr>
        <w:spacing w:before="40" w:after="40"/>
        <w:jc w:val="both"/>
        <w:rPr>
          <w:rFonts w:ascii="Arial" w:hAnsi="Arial" w:cs="Arial"/>
        </w:rPr>
      </w:pPr>
      <w:r w:rsidRPr="000D657D">
        <w:rPr>
          <w:rFonts w:ascii="Arial" w:hAnsi="Arial" w:cs="Arial"/>
        </w:rPr>
        <w:t xml:space="preserve">Phosphate solubilization capabilities of isolates correlate with their genetic diversity (Sharma </w:t>
      </w:r>
      <w:r w:rsidRPr="000D657D">
        <w:rPr>
          <w:rFonts w:ascii="Arial" w:hAnsi="Arial" w:cs="Arial"/>
          <w:i/>
          <w:iCs/>
        </w:rPr>
        <w:t>et al</w:t>
      </w:r>
      <w:r w:rsidRPr="000D657D">
        <w:rPr>
          <w:rFonts w:ascii="Arial" w:hAnsi="Arial" w:cs="Arial"/>
        </w:rPr>
        <w:t xml:space="preserve"> 2013). The genetic diversity and adaptability of landrace samples to various environmental circumstances provided PSB isolates that are more efficient than those derived from isolates obtained from modern cultivars. LC-306 generated 14 of 21 PSB isolates, PBW735 yielded three and HD086 provided four. The separation of PSB displayed distinct patterns particular to each variety. In comparison to modern cultivars, LC-306 demonstrated enhanced effectiveness. Landrace samples, which possess natural genetic variation and display tolerance to diverse environmental situations, demonstrate enhanced efficiency. Richardson </w:t>
      </w:r>
      <w:r w:rsidRPr="000D657D">
        <w:rPr>
          <w:rFonts w:ascii="Arial" w:hAnsi="Arial" w:cs="Arial"/>
          <w:i/>
        </w:rPr>
        <w:t>et al</w:t>
      </w:r>
      <w:r w:rsidRPr="000D657D">
        <w:rPr>
          <w:rFonts w:ascii="Arial" w:hAnsi="Arial" w:cs="Arial"/>
        </w:rPr>
        <w:t xml:space="preserve"> (2009) reported that increased number of isolates during the early growth phase indicate that PSB colonization and activity are crucial for plant development, especially at peak phosphorus need.</w:t>
      </w:r>
    </w:p>
    <w:p w14:paraId="444A4B1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D84FCF6" w14:textId="77777777" w:rsidR="00E35825" w:rsidRPr="000D657D" w:rsidRDefault="00E35825" w:rsidP="00E35825">
      <w:pPr>
        <w:jc w:val="both"/>
        <w:rPr>
          <w:rFonts w:ascii="Arial" w:hAnsi="Arial" w:cs="Arial"/>
        </w:rPr>
      </w:pPr>
      <w:r w:rsidRPr="000D657D">
        <w:rPr>
          <w:rFonts w:ascii="Arial" w:hAnsi="Arial" w:cs="Arial"/>
        </w:rPr>
        <w:t xml:space="preserve">Integrated implications of our work </w:t>
      </w:r>
      <w:proofErr w:type="spellStart"/>
      <w:r w:rsidRPr="000D657D">
        <w:rPr>
          <w:rFonts w:ascii="Arial" w:hAnsi="Arial" w:cs="Arial"/>
        </w:rPr>
        <w:t>centre</w:t>
      </w:r>
      <w:proofErr w:type="spellEnd"/>
      <w:r w:rsidRPr="000D657D">
        <w:rPr>
          <w:rFonts w:ascii="Arial" w:hAnsi="Arial" w:cs="Arial"/>
        </w:rPr>
        <w:t xml:space="preserve"> around PSB </w:t>
      </w:r>
      <w:proofErr w:type="spellStart"/>
      <w:r w:rsidRPr="000D657D">
        <w:rPr>
          <w:rFonts w:ascii="Arial" w:hAnsi="Arial" w:cs="Arial"/>
        </w:rPr>
        <w:t>occurence</w:t>
      </w:r>
      <w:proofErr w:type="spellEnd"/>
      <w:r w:rsidRPr="000D657D">
        <w:rPr>
          <w:rFonts w:ascii="Arial" w:hAnsi="Arial" w:cs="Arial"/>
        </w:rPr>
        <w:t xml:space="preserve"> with respect to phosphorus availability and wheat genotype. In the </w:t>
      </w:r>
      <w:proofErr w:type="spellStart"/>
      <w:r w:rsidRPr="000D657D">
        <w:rPr>
          <w:rFonts w:ascii="Arial" w:hAnsi="Arial" w:cs="Arial"/>
        </w:rPr>
        <w:t>rhizospheric</w:t>
      </w:r>
      <w:proofErr w:type="spellEnd"/>
      <w:r w:rsidRPr="000D657D">
        <w:rPr>
          <w:rFonts w:ascii="Arial" w:hAnsi="Arial" w:cs="Arial"/>
        </w:rPr>
        <w:t xml:space="preserve"> soil, P-starved plants showed significantly higher PSB counts at 20-25 DAS, aligning with recent reports. Root and shoot tissues showed transient higher colonization under P-starvation, but declined by flowering stage, indicating phenology-driven shifts. Overall, these results emphasize the synergistic role of PSB under P-starved conditions, not only enhancing </w:t>
      </w:r>
      <w:proofErr w:type="spellStart"/>
      <w:r w:rsidRPr="000D657D">
        <w:rPr>
          <w:rFonts w:ascii="Arial" w:hAnsi="Arial" w:cs="Arial"/>
        </w:rPr>
        <w:t>rhizospheric</w:t>
      </w:r>
      <w:proofErr w:type="spellEnd"/>
      <w:r w:rsidRPr="000D657D">
        <w:rPr>
          <w:rFonts w:ascii="Arial" w:hAnsi="Arial" w:cs="Arial"/>
        </w:rPr>
        <w:t xml:space="preserve"> populations but also transiently colonizing </w:t>
      </w:r>
      <w:r w:rsidRPr="000D657D">
        <w:rPr>
          <w:rFonts w:ascii="Arial" w:hAnsi="Arial" w:cs="Arial"/>
        </w:rPr>
        <w:lastRenderedPageBreak/>
        <w:t>endophytic niches. Such interactions are critical for sustainable phosphorus acquisition strategies in cereals, aligning with recent paradigms on microbiome-assisted nutrient mobilization. Moreover, selecting high-SI isolates holds promise for bioinoculant development to minimize chemical P fertilizer reliance.</w:t>
      </w:r>
    </w:p>
    <w:p w14:paraId="71E96E5D" w14:textId="77777777" w:rsidR="00E35825" w:rsidRPr="000E3935" w:rsidRDefault="00E35825" w:rsidP="00E35825">
      <w:pPr>
        <w:pStyle w:val="Body"/>
        <w:spacing w:after="0"/>
        <w:rPr>
          <w:rFonts w:ascii="Arial" w:hAnsi="Arial" w:cs="Arial"/>
        </w:rPr>
      </w:pPr>
    </w:p>
    <w:p w14:paraId="712F8AE4" w14:textId="77777777" w:rsidR="00790ADA" w:rsidRPr="00FB3A86" w:rsidRDefault="00790ADA" w:rsidP="00441B6F">
      <w:pPr>
        <w:pStyle w:val="ConcHead"/>
        <w:spacing w:after="0"/>
        <w:jc w:val="both"/>
        <w:rPr>
          <w:rFonts w:ascii="Arial" w:hAnsi="Arial" w:cs="Arial"/>
        </w:rPr>
      </w:pPr>
    </w:p>
    <w:p w14:paraId="0E5274FA" w14:textId="2D256529" w:rsidR="00B6756F" w:rsidRPr="00DE0965" w:rsidRDefault="00B6756F" w:rsidP="00B6756F">
      <w:pPr>
        <w:jc w:val="both"/>
        <w:rPr>
          <w:rFonts w:ascii="Times New Roman" w:hAnsi="Times New Roman"/>
        </w:rPr>
      </w:pPr>
      <w:bookmarkStart w:id="0" w:name="_GoBack"/>
      <w:bookmarkEnd w:id="0"/>
      <w:r w:rsidRPr="00DE0965">
        <w:rPr>
          <w:rFonts w:ascii="Times New Roman" w:hAnsi="Times New Roman"/>
          <w:b/>
          <w:bCs/>
        </w:rPr>
        <w:t>Data availability</w:t>
      </w:r>
      <w:r w:rsidRPr="00DE0965">
        <w:rPr>
          <w:rFonts w:ascii="Times New Roman" w:hAnsi="Times New Roman"/>
        </w:rPr>
        <w:t xml:space="preserve"> The datasets generated during the current study are available in the NCBI with accession number PP889728 </w:t>
      </w:r>
      <w:hyperlink r:id="rId17" w:history="1">
        <w:r w:rsidRPr="00DE0965">
          <w:rPr>
            <w:rStyle w:val="Hyperlink"/>
            <w:rFonts w:ascii="Times New Roman" w:hAnsi="Times New Roman"/>
          </w:rPr>
          <w:t xml:space="preserve">Bacillus cereus strain SG7-LC306 16S ribosomal RNA gene, partial </w:t>
        </w:r>
        <w:proofErr w:type="spellStart"/>
        <w:r w:rsidRPr="00DE0965">
          <w:rPr>
            <w:rStyle w:val="Hyperlink"/>
            <w:rFonts w:ascii="Times New Roman" w:hAnsi="Times New Roman"/>
          </w:rPr>
          <w:t>seque</w:t>
        </w:r>
        <w:proofErr w:type="spellEnd"/>
        <w:r w:rsidRPr="00DE0965">
          <w:rPr>
            <w:rStyle w:val="Hyperlink"/>
            <w:rFonts w:ascii="Times New Roman" w:hAnsi="Times New Roman"/>
          </w:rPr>
          <w:t xml:space="preserve"> - Nucleotide - NCBI</w:t>
        </w:r>
      </w:hyperlink>
      <w:r w:rsidRPr="00DE0965">
        <w:rPr>
          <w:rFonts w:ascii="Times New Roman" w:hAnsi="Times New Roman"/>
        </w:rPr>
        <w:t xml:space="preserve">;  PP889727 </w:t>
      </w:r>
      <w:hyperlink r:id="rId18" w:history="1">
        <w:r w:rsidRPr="00DE0965">
          <w:rPr>
            <w:rStyle w:val="Hyperlink"/>
            <w:rFonts w:ascii="Times New Roman" w:hAnsi="Times New Roman"/>
          </w:rPr>
          <w:t xml:space="preserve">Bacillus cereus strain C-LC307 16S ribosomal RNA gene, partial </w:t>
        </w:r>
        <w:proofErr w:type="spellStart"/>
        <w:r w:rsidRPr="00DE0965">
          <w:rPr>
            <w:rStyle w:val="Hyperlink"/>
            <w:rFonts w:ascii="Times New Roman" w:hAnsi="Times New Roman"/>
          </w:rPr>
          <w:t>sequenc</w:t>
        </w:r>
        <w:proofErr w:type="spellEnd"/>
        <w:r w:rsidRPr="00DE0965">
          <w:rPr>
            <w:rStyle w:val="Hyperlink"/>
            <w:rFonts w:ascii="Times New Roman" w:hAnsi="Times New Roman"/>
          </w:rPr>
          <w:t xml:space="preserve"> - Nucleotide - NCBI</w:t>
        </w:r>
      </w:hyperlink>
      <w:r w:rsidRPr="00DE0965">
        <w:rPr>
          <w:rFonts w:ascii="Times New Roman" w:hAnsi="Times New Roman"/>
        </w:rPr>
        <w:t xml:space="preserve"> and PP889726 </w:t>
      </w:r>
      <w:hyperlink r:id="rId19" w:history="1">
        <w:r w:rsidRPr="00DE0965">
          <w:rPr>
            <w:rStyle w:val="Hyperlink"/>
            <w:rFonts w:ascii="Times New Roman" w:hAnsi="Times New Roman"/>
          </w:rPr>
          <w:t xml:space="preserve">Bacillus subtilis strain 10-LC306 16S ribosomal RNA gene, partial </w:t>
        </w:r>
        <w:proofErr w:type="spellStart"/>
        <w:r w:rsidRPr="00DE0965">
          <w:rPr>
            <w:rStyle w:val="Hyperlink"/>
            <w:rFonts w:ascii="Times New Roman" w:hAnsi="Times New Roman"/>
          </w:rPr>
          <w:t>sequ</w:t>
        </w:r>
        <w:proofErr w:type="spellEnd"/>
        <w:r w:rsidRPr="00DE0965">
          <w:rPr>
            <w:rStyle w:val="Hyperlink"/>
            <w:rFonts w:ascii="Times New Roman" w:hAnsi="Times New Roman"/>
          </w:rPr>
          <w:t xml:space="preserve"> - Nucleotide - NCBI</w:t>
        </w:r>
      </w:hyperlink>
      <w:r>
        <w:rPr>
          <w:rFonts w:ascii="Times New Roman" w:hAnsi="Times New Roman"/>
        </w:rPr>
        <w:t xml:space="preserve"> </w:t>
      </w:r>
    </w:p>
    <w:p w14:paraId="1A6F86D3" w14:textId="77777777" w:rsidR="00790ADA" w:rsidRPr="00FB3A86" w:rsidRDefault="00790ADA" w:rsidP="00441B6F">
      <w:pPr>
        <w:pStyle w:val="AcknHead"/>
        <w:spacing w:after="0"/>
        <w:jc w:val="both"/>
        <w:rPr>
          <w:rFonts w:ascii="Arial" w:hAnsi="Arial" w:cs="Arial"/>
        </w:rPr>
      </w:pPr>
    </w:p>
    <w:p w14:paraId="4217B443" w14:textId="77777777" w:rsidR="00453613" w:rsidRDefault="00453613" w:rsidP="00441B6F">
      <w:pPr>
        <w:pStyle w:val="ReferHead"/>
        <w:spacing w:after="0"/>
        <w:jc w:val="both"/>
        <w:rPr>
          <w:rFonts w:ascii="Arial" w:hAnsi="Arial" w:cs="Arial"/>
          <w:bCs/>
        </w:rPr>
      </w:pPr>
    </w:p>
    <w:p w14:paraId="15AA6D96" w14:textId="77777777" w:rsidR="00453613" w:rsidRPr="00453613" w:rsidRDefault="00453613" w:rsidP="00453613">
      <w:pPr>
        <w:spacing w:after="160" w:line="259" w:lineRule="auto"/>
        <w:rPr>
          <w:rFonts w:ascii="Arial" w:eastAsia="Calibri" w:hAnsi="Arial" w:cs="Arial"/>
          <w:b/>
          <w:bCs/>
          <w:kern w:val="2"/>
          <w:sz w:val="22"/>
          <w:szCs w:val="22"/>
          <w:lang w:val="en-IN"/>
          <w14:ligatures w14:val="standardContextual"/>
        </w:rPr>
      </w:pPr>
      <w:r w:rsidRPr="00453613">
        <w:rPr>
          <w:rFonts w:ascii="Arial" w:eastAsia="Calibri" w:hAnsi="Arial" w:cs="Arial"/>
          <w:b/>
          <w:bCs/>
          <w:kern w:val="2"/>
          <w:sz w:val="22"/>
          <w:szCs w:val="22"/>
          <w:lang w:val="en-IN"/>
          <w14:ligatures w14:val="standardContextual"/>
        </w:rPr>
        <w:t>Highlights-</w:t>
      </w:r>
    </w:p>
    <w:p w14:paraId="463ACE9C"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Phosphate solubilising bacteria colonized rhizosphere, roots and shoots.</w:t>
      </w:r>
    </w:p>
    <w:p w14:paraId="59151C93"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PSB counts were higher under phosphorus-starved than amended conditions.</w:t>
      </w:r>
    </w:p>
    <w:p w14:paraId="19F60E71"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Isolates varied in solubility index and temporal phosphate solubilization.</w:t>
      </w:r>
    </w:p>
    <w:p w14:paraId="0F94D321"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Correlation of solubility index with P release was transient and stage-dependent.</w:t>
      </w:r>
    </w:p>
    <w:p w14:paraId="5B7456CE"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Findings support PSB selection to improve phosphorus use efficiency in wheat.</w:t>
      </w:r>
    </w:p>
    <w:p w14:paraId="1932F10F" w14:textId="77777777" w:rsidR="00453613" w:rsidRPr="00453613" w:rsidRDefault="00453613" w:rsidP="00453613">
      <w:pPr>
        <w:spacing w:after="160" w:line="259" w:lineRule="auto"/>
        <w:rPr>
          <w:rFonts w:ascii="Arial" w:eastAsia="Calibri" w:hAnsi="Arial" w:cs="Arial"/>
          <w:kern w:val="2"/>
          <w:sz w:val="22"/>
          <w:szCs w:val="22"/>
          <w:lang w:val="en-IN"/>
          <w14:ligatures w14:val="standardContextual"/>
        </w:rPr>
      </w:pPr>
    </w:p>
    <w:p w14:paraId="4AE7F04A" w14:textId="77777777" w:rsidR="00453613" w:rsidRPr="00371FB6" w:rsidRDefault="00453613" w:rsidP="00441B6F">
      <w:pPr>
        <w:pStyle w:val="ReferHead"/>
        <w:spacing w:after="0"/>
        <w:jc w:val="both"/>
        <w:rPr>
          <w:rFonts w:ascii="Arial" w:hAnsi="Arial" w:cs="Arial"/>
          <w:bCs/>
        </w:rPr>
      </w:pPr>
    </w:p>
    <w:p w14:paraId="1FABD48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E052D1D" w14:textId="77777777" w:rsidR="00790ADA" w:rsidRPr="00FB3A86" w:rsidRDefault="00790ADA" w:rsidP="00441B6F">
      <w:pPr>
        <w:pStyle w:val="ReferHead"/>
        <w:spacing w:after="0"/>
        <w:jc w:val="both"/>
        <w:rPr>
          <w:rFonts w:ascii="Arial" w:hAnsi="Arial" w:cs="Arial"/>
        </w:rPr>
      </w:pPr>
    </w:p>
    <w:p w14:paraId="76789638" w14:textId="77777777" w:rsidR="00F36870" w:rsidRPr="00EB1326" w:rsidRDefault="00F36870" w:rsidP="00F36870">
      <w:pPr>
        <w:pStyle w:val="ListParagraph"/>
        <w:widowControl w:val="0"/>
        <w:numPr>
          <w:ilvl w:val="0"/>
          <w:numId w:val="31"/>
        </w:numPr>
        <w:spacing w:before="240" w:after="240"/>
        <w:jc w:val="both"/>
        <w:rPr>
          <w:rFonts w:ascii="Arial" w:hAnsi="Arial" w:cs="Arial"/>
          <w:lang w:val="en-IN"/>
        </w:rPr>
      </w:pPr>
      <w:proofErr w:type="spellStart"/>
      <w:r w:rsidRPr="00EB1326">
        <w:rPr>
          <w:rFonts w:ascii="Arial" w:hAnsi="Arial" w:cs="Arial"/>
          <w:lang w:val="en-IN"/>
        </w:rPr>
        <w:t>Hemathilake</w:t>
      </w:r>
      <w:proofErr w:type="spellEnd"/>
      <w:r w:rsidRPr="00EB1326">
        <w:rPr>
          <w:rFonts w:ascii="Arial" w:hAnsi="Arial" w:cs="Arial"/>
          <w:lang w:val="en-IN"/>
        </w:rPr>
        <w:t xml:space="preserve">, D. M. K. S., &amp; Gunathilake, D. M. C. C. (2022). Agricultural productivity and food supply to meet increased demands. In </w:t>
      </w:r>
      <w:r w:rsidRPr="00EB1326">
        <w:rPr>
          <w:rFonts w:ascii="Arial" w:hAnsi="Arial" w:cs="Arial"/>
          <w:i/>
          <w:iCs/>
          <w:lang w:val="en-IN"/>
        </w:rPr>
        <w:t>Future foods</w:t>
      </w:r>
      <w:r w:rsidRPr="00EB1326">
        <w:rPr>
          <w:rFonts w:ascii="Arial" w:hAnsi="Arial" w:cs="Arial"/>
          <w:lang w:val="en-IN"/>
        </w:rPr>
        <w:t xml:space="preserve"> (pp. 539–553). Academic Press. </w:t>
      </w:r>
      <w:hyperlink r:id="rId20" w:tgtFrame="_new" w:history="1">
        <w:r w:rsidRPr="00EB1326">
          <w:rPr>
            <w:rStyle w:val="Hyperlink"/>
            <w:rFonts w:ascii="Arial" w:hAnsi="Arial" w:cs="Arial"/>
            <w:lang w:val="en-IN"/>
          </w:rPr>
          <w:t>https://doi.org/10.1016/B978-0-323-91001-9.00016-5</w:t>
        </w:r>
      </w:hyperlink>
    </w:p>
    <w:p w14:paraId="0B27EC71" w14:textId="77777777" w:rsidR="00F36870" w:rsidRPr="00EB1326" w:rsidRDefault="00F36870" w:rsidP="00F36870">
      <w:pPr>
        <w:pStyle w:val="ListParagraph"/>
        <w:widowControl w:val="0"/>
        <w:numPr>
          <w:ilvl w:val="0"/>
          <w:numId w:val="31"/>
        </w:numPr>
        <w:spacing w:before="240" w:after="240"/>
        <w:jc w:val="both"/>
        <w:rPr>
          <w:rFonts w:ascii="Arial" w:hAnsi="Arial" w:cs="Arial"/>
          <w:lang w:val="en-IN"/>
        </w:rPr>
      </w:pPr>
      <w:r w:rsidRPr="00EB1326">
        <w:rPr>
          <w:rFonts w:ascii="Arial" w:hAnsi="Arial" w:cs="Arial"/>
          <w:lang w:val="en-IN"/>
        </w:rPr>
        <w:t xml:space="preserve"> Sengupta, A., &amp; </w:t>
      </w:r>
      <w:proofErr w:type="spellStart"/>
      <w:r w:rsidRPr="00EB1326">
        <w:rPr>
          <w:rFonts w:ascii="Arial" w:hAnsi="Arial" w:cs="Arial"/>
          <w:lang w:val="en-IN"/>
        </w:rPr>
        <w:t>Gunri</w:t>
      </w:r>
      <w:proofErr w:type="spellEnd"/>
      <w:r w:rsidRPr="00EB1326">
        <w:rPr>
          <w:rFonts w:ascii="Arial" w:hAnsi="Arial" w:cs="Arial"/>
          <w:lang w:val="en-IN"/>
        </w:rPr>
        <w:t xml:space="preserve">, S. K. (2015). Microbial intervention in agriculture: An overview. </w:t>
      </w:r>
      <w:r w:rsidRPr="00EB1326">
        <w:rPr>
          <w:rFonts w:ascii="Arial" w:hAnsi="Arial" w:cs="Arial"/>
          <w:i/>
          <w:iCs/>
          <w:lang w:val="en-IN"/>
        </w:rPr>
        <w:t>African Journal of Microbiology Research</w:t>
      </w:r>
      <w:r w:rsidRPr="00EB1326">
        <w:rPr>
          <w:rFonts w:ascii="Arial" w:hAnsi="Arial" w:cs="Arial"/>
          <w:lang w:val="en-IN"/>
        </w:rPr>
        <w:t xml:space="preserve">, </w:t>
      </w:r>
      <w:r w:rsidRPr="00EB1326">
        <w:rPr>
          <w:rFonts w:ascii="Arial" w:hAnsi="Arial" w:cs="Arial"/>
          <w:i/>
          <w:iCs/>
          <w:lang w:val="en-IN"/>
        </w:rPr>
        <w:t>9</w:t>
      </w:r>
      <w:r w:rsidRPr="00EB1326">
        <w:rPr>
          <w:rFonts w:ascii="Arial" w:hAnsi="Arial" w:cs="Arial"/>
          <w:lang w:val="en-IN"/>
        </w:rPr>
        <w:t xml:space="preserve">(18), 1215–1226. </w:t>
      </w:r>
      <w:hyperlink r:id="rId21" w:tgtFrame="_new" w:history="1">
        <w:r w:rsidRPr="00EB1326">
          <w:rPr>
            <w:rStyle w:val="Hyperlink"/>
            <w:rFonts w:ascii="Arial" w:hAnsi="Arial" w:cs="Arial"/>
            <w:lang w:val="en-IN"/>
          </w:rPr>
          <w:t>https://doi.org/10.5897/ajmr2014.7325</w:t>
        </w:r>
      </w:hyperlink>
    </w:p>
    <w:p w14:paraId="15A6558A" w14:textId="77777777" w:rsidR="00F36870" w:rsidRPr="00EB1326" w:rsidRDefault="00F36870" w:rsidP="00F36870">
      <w:pPr>
        <w:pStyle w:val="ListParagraph"/>
        <w:widowControl w:val="0"/>
        <w:numPr>
          <w:ilvl w:val="0"/>
          <w:numId w:val="31"/>
        </w:numPr>
        <w:spacing w:before="240" w:after="240"/>
        <w:jc w:val="both"/>
        <w:rPr>
          <w:rFonts w:ascii="Arial" w:hAnsi="Arial" w:cs="Arial"/>
          <w:lang w:val="en-IN"/>
        </w:rPr>
      </w:pPr>
      <w:r w:rsidRPr="00EB1326">
        <w:rPr>
          <w:rFonts w:ascii="Arial" w:hAnsi="Arial" w:cs="Arial"/>
          <w:lang w:val="en-IN"/>
        </w:rPr>
        <w:t xml:space="preserve">Preece, C., &amp; </w:t>
      </w:r>
      <w:proofErr w:type="spellStart"/>
      <w:r w:rsidRPr="00EB1326">
        <w:rPr>
          <w:rFonts w:ascii="Arial" w:hAnsi="Arial" w:cs="Arial"/>
          <w:lang w:val="en-IN"/>
        </w:rPr>
        <w:t>Peñuelas</w:t>
      </w:r>
      <w:proofErr w:type="spellEnd"/>
      <w:r w:rsidRPr="00EB1326">
        <w:rPr>
          <w:rFonts w:ascii="Arial" w:hAnsi="Arial" w:cs="Arial"/>
          <w:lang w:val="en-IN"/>
        </w:rPr>
        <w:t xml:space="preserve">, J. (2016). Rhizodeposition under drought and consequences for soil communities and ecosystem resilience. </w:t>
      </w:r>
      <w:r w:rsidRPr="00EB1326">
        <w:rPr>
          <w:rFonts w:ascii="Arial" w:hAnsi="Arial" w:cs="Arial"/>
          <w:i/>
          <w:iCs/>
          <w:lang w:val="en-IN"/>
        </w:rPr>
        <w:t>Plant and Soil</w:t>
      </w:r>
      <w:r w:rsidRPr="00EB1326">
        <w:rPr>
          <w:rFonts w:ascii="Arial" w:hAnsi="Arial" w:cs="Arial"/>
          <w:lang w:val="en-IN"/>
        </w:rPr>
        <w:t xml:space="preserve">, </w:t>
      </w:r>
      <w:r w:rsidRPr="00EB1326">
        <w:rPr>
          <w:rFonts w:ascii="Arial" w:hAnsi="Arial" w:cs="Arial"/>
          <w:i/>
          <w:iCs/>
          <w:lang w:val="en-IN"/>
        </w:rPr>
        <w:t>409</w:t>
      </w:r>
      <w:r w:rsidRPr="00EB1326">
        <w:rPr>
          <w:rFonts w:ascii="Arial" w:hAnsi="Arial" w:cs="Arial"/>
          <w:lang w:val="en-IN"/>
        </w:rPr>
        <w:t xml:space="preserve">(1), 1–17. </w:t>
      </w:r>
      <w:hyperlink r:id="rId22" w:tgtFrame="_new" w:history="1">
        <w:r w:rsidRPr="00EB1326">
          <w:rPr>
            <w:rStyle w:val="Hyperlink"/>
            <w:rFonts w:ascii="Arial" w:hAnsi="Arial" w:cs="Arial"/>
            <w:lang w:val="en-IN"/>
          </w:rPr>
          <w:t>https://doi.org/10.1007/s11104-016-3090-z</w:t>
        </w:r>
      </w:hyperlink>
    </w:p>
    <w:p w14:paraId="292C423C"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Orrell, P., &amp; Bennett, A. E. (2013). How can we exploit above–belowground interactions to assist in addressing the challenges of food security? </w:t>
      </w:r>
      <w:r w:rsidRPr="00EB1326">
        <w:rPr>
          <w:rStyle w:val="Emphasis"/>
          <w:rFonts w:ascii="Arial" w:eastAsiaTheme="majorEastAsia" w:hAnsi="Arial" w:cs="Arial"/>
          <w:sz w:val="20"/>
          <w:szCs w:val="20"/>
        </w:rPr>
        <w:t>Frontiers in Plant Science, 4</w:t>
      </w:r>
      <w:r w:rsidRPr="00EB1326">
        <w:rPr>
          <w:rFonts w:ascii="Arial" w:hAnsi="Arial" w:cs="Arial"/>
          <w:sz w:val="20"/>
          <w:szCs w:val="20"/>
        </w:rPr>
        <w:t xml:space="preserve">, 432. </w:t>
      </w:r>
      <w:hyperlink r:id="rId23" w:tgtFrame="_new" w:history="1">
        <w:r w:rsidRPr="00EB1326">
          <w:rPr>
            <w:rStyle w:val="Hyperlink"/>
            <w:rFonts w:ascii="Arial" w:eastAsiaTheme="majorEastAsia" w:hAnsi="Arial" w:cs="Arial"/>
            <w:sz w:val="20"/>
            <w:szCs w:val="20"/>
          </w:rPr>
          <w:t>https://doi.org/10.3389/fpls.2013.00432</w:t>
        </w:r>
      </w:hyperlink>
    </w:p>
    <w:p w14:paraId="21F5CCFE"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Francis, B., </w:t>
      </w:r>
      <w:proofErr w:type="spellStart"/>
      <w:r w:rsidRPr="00EB1326">
        <w:rPr>
          <w:rFonts w:ascii="Arial" w:hAnsi="Arial" w:cs="Arial"/>
          <w:sz w:val="20"/>
          <w:szCs w:val="20"/>
        </w:rPr>
        <w:t>Aravindakumar</w:t>
      </w:r>
      <w:proofErr w:type="spellEnd"/>
      <w:r w:rsidRPr="00EB1326">
        <w:rPr>
          <w:rFonts w:ascii="Arial" w:hAnsi="Arial" w:cs="Arial"/>
          <w:sz w:val="20"/>
          <w:szCs w:val="20"/>
        </w:rPr>
        <w:t xml:space="preserve">, C. T., Brewer, P. B., &amp; Simon, S. (2023). Plant nutrient stress adaptation: A prospect for fertilizer-limited agriculture. </w:t>
      </w:r>
      <w:r w:rsidRPr="00EB1326">
        <w:rPr>
          <w:rStyle w:val="Emphasis"/>
          <w:rFonts w:ascii="Arial" w:eastAsiaTheme="majorEastAsia" w:hAnsi="Arial" w:cs="Arial"/>
          <w:sz w:val="20"/>
          <w:szCs w:val="20"/>
        </w:rPr>
        <w:t>Environmental and Experimental Botany, 213</w:t>
      </w:r>
      <w:r w:rsidRPr="00EB1326">
        <w:rPr>
          <w:rFonts w:ascii="Arial" w:hAnsi="Arial" w:cs="Arial"/>
          <w:sz w:val="20"/>
          <w:szCs w:val="20"/>
        </w:rPr>
        <w:t xml:space="preserve">, 105431. </w:t>
      </w:r>
      <w:hyperlink r:id="rId24" w:tgtFrame="_new" w:history="1">
        <w:r w:rsidRPr="00EB1326">
          <w:rPr>
            <w:rStyle w:val="Hyperlink"/>
            <w:rFonts w:ascii="Arial" w:eastAsiaTheme="majorEastAsia" w:hAnsi="Arial" w:cs="Arial"/>
            <w:sz w:val="20"/>
            <w:szCs w:val="20"/>
          </w:rPr>
          <w:t>https://doi.org/10.1016/j.envexpbot.2023.105431</w:t>
        </w:r>
      </w:hyperlink>
    </w:p>
    <w:p w14:paraId="6DC5F3E7"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Iannucci, A., </w:t>
      </w:r>
      <w:proofErr w:type="spellStart"/>
      <w:r w:rsidRPr="00EB1326">
        <w:rPr>
          <w:rFonts w:ascii="Arial" w:hAnsi="Arial" w:cs="Arial"/>
          <w:sz w:val="20"/>
          <w:szCs w:val="20"/>
        </w:rPr>
        <w:t>Fragasso</w:t>
      </w:r>
      <w:proofErr w:type="spellEnd"/>
      <w:r w:rsidRPr="00EB1326">
        <w:rPr>
          <w:rFonts w:ascii="Arial" w:hAnsi="Arial" w:cs="Arial"/>
          <w:sz w:val="20"/>
          <w:szCs w:val="20"/>
        </w:rPr>
        <w:t xml:space="preserve">, M., </w:t>
      </w:r>
      <w:proofErr w:type="spellStart"/>
      <w:r w:rsidRPr="00EB1326">
        <w:rPr>
          <w:rFonts w:ascii="Arial" w:hAnsi="Arial" w:cs="Arial"/>
          <w:sz w:val="20"/>
          <w:szCs w:val="20"/>
        </w:rPr>
        <w:t>Beleggia</w:t>
      </w:r>
      <w:proofErr w:type="spellEnd"/>
      <w:r w:rsidRPr="00EB1326">
        <w:rPr>
          <w:rFonts w:ascii="Arial" w:hAnsi="Arial" w:cs="Arial"/>
          <w:sz w:val="20"/>
          <w:szCs w:val="20"/>
        </w:rPr>
        <w:t>, R., Nigro, F., &amp; Papa, R. (2017). Evolution of the crop rhizosphere: Impact of domestication on root exudates in tetraploid wheat (</w:t>
      </w:r>
      <w:r w:rsidRPr="00EB1326">
        <w:rPr>
          <w:rStyle w:val="Emphasis"/>
          <w:rFonts w:ascii="Arial" w:eastAsiaTheme="majorEastAsia" w:hAnsi="Arial" w:cs="Arial"/>
          <w:sz w:val="20"/>
          <w:szCs w:val="20"/>
        </w:rPr>
        <w:t>Triticum turgidum</w:t>
      </w:r>
      <w:r w:rsidRPr="00EB1326">
        <w:rPr>
          <w:rFonts w:ascii="Arial" w:hAnsi="Arial" w:cs="Arial"/>
          <w:sz w:val="20"/>
          <w:szCs w:val="20"/>
        </w:rPr>
        <w:t xml:space="preserve"> L.). </w:t>
      </w:r>
      <w:r w:rsidRPr="00EB1326">
        <w:rPr>
          <w:rStyle w:val="Emphasis"/>
          <w:rFonts w:ascii="Arial" w:eastAsiaTheme="majorEastAsia" w:hAnsi="Arial" w:cs="Arial"/>
          <w:sz w:val="20"/>
          <w:szCs w:val="20"/>
        </w:rPr>
        <w:t>Frontiers in Plant Science, 8</w:t>
      </w:r>
      <w:r w:rsidRPr="00EB1326">
        <w:rPr>
          <w:rFonts w:ascii="Arial" w:hAnsi="Arial" w:cs="Arial"/>
          <w:sz w:val="20"/>
          <w:szCs w:val="20"/>
        </w:rPr>
        <w:t xml:space="preserve">, 2124. </w:t>
      </w:r>
      <w:hyperlink r:id="rId25" w:tgtFrame="_new" w:history="1">
        <w:r w:rsidRPr="00EB1326">
          <w:rPr>
            <w:rStyle w:val="Hyperlink"/>
            <w:rFonts w:ascii="Arial" w:eastAsiaTheme="majorEastAsia" w:hAnsi="Arial" w:cs="Arial"/>
            <w:sz w:val="20"/>
            <w:szCs w:val="20"/>
          </w:rPr>
          <w:t>https://doi.org/10.3389/fpls.2017.02124</w:t>
        </w:r>
      </w:hyperlink>
    </w:p>
    <w:p w14:paraId="5E2AD7A2" w14:textId="77777777" w:rsidR="00F36870" w:rsidRPr="00EB1326" w:rsidRDefault="00F36870" w:rsidP="00F36870">
      <w:pPr>
        <w:pStyle w:val="NormalWeb"/>
        <w:numPr>
          <w:ilvl w:val="0"/>
          <w:numId w:val="31"/>
        </w:numPr>
        <w:rPr>
          <w:rFonts w:ascii="Arial" w:hAnsi="Arial" w:cs="Arial"/>
          <w:sz w:val="20"/>
          <w:szCs w:val="20"/>
        </w:rPr>
      </w:pPr>
      <w:proofErr w:type="spellStart"/>
      <w:r w:rsidRPr="00EB1326">
        <w:rPr>
          <w:rFonts w:ascii="Arial" w:hAnsi="Arial" w:cs="Arial"/>
          <w:sz w:val="20"/>
          <w:szCs w:val="20"/>
        </w:rPr>
        <w:t>Munishi</w:t>
      </w:r>
      <w:proofErr w:type="spellEnd"/>
      <w:r w:rsidRPr="00EB1326">
        <w:rPr>
          <w:rFonts w:ascii="Arial" w:hAnsi="Arial" w:cs="Arial"/>
          <w:sz w:val="20"/>
          <w:szCs w:val="20"/>
        </w:rPr>
        <w:t xml:space="preserve">, L. K., &amp; </w:t>
      </w:r>
      <w:proofErr w:type="spellStart"/>
      <w:r w:rsidRPr="00EB1326">
        <w:rPr>
          <w:rFonts w:ascii="Arial" w:hAnsi="Arial" w:cs="Arial"/>
          <w:sz w:val="20"/>
          <w:szCs w:val="20"/>
        </w:rPr>
        <w:t>Ndakidemi</w:t>
      </w:r>
      <w:proofErr w:type="spellEnd"/>
      <w:r w:rsidRPr="00EB1326">
        <w:rPr>
          <w:rFonts w:ascii="Arial" w:hAnsi="Arial" w:cs="Arial"/>
          <w:sz w:val="20"/>
          <w:szCs w:val="20"/>
        </w:rPr>
        <w:t xml:space="preserve">, P. A. (2022). Increasing agricultural soil phosphate (P) status influences water P levels in paddy farming areas: Their implication on </w:t>
      </w:r>
      <w:r w:rsidRPr="00EB1326">
        <w:rPr>
          <w:rFonts w:ascii="Arial" w:hAnsi="Arial" w:cs="Arial"/>
          <w:sz w:val="20"/>
          <w:szCs w:val="20"/>
        </w:rPr>
        <w:lastRenderedPageBreak/>
        <w:t xml:space="preserve">environmental quality. </w:t>
      </w:r>
      <w:r w:rsidRPr="00EB1326">
        <w:rPr>
          <w:rStyle w:val="Emphasis"/>
          <w:rFonts w:ascii="Arial" w:eastAsiaTheme="majorEastAsia" w:hAnsi="Arial" w:cs="Arial"/>
          <w:sz w:val="20"/>
          <w:szCs w:val="20"/>
        </w:rPr>
        <w:t>Case Studies in Chemical and Environmental Engineering, 6</w:t>
      </w:r>
      <w:r w:rsidRPr="00EB1326">
        <w:rPr>
          <w:rFonts w:ascii="Arial" w:hAnsi="Arial" w:cs="Arial"/>
          <w:sz w:val="20"/>
          <w:szCs w:val="20"/>
        </w:rPr>
        <w:t xml:space="preserve">, 100259. </w:t>
      </w:r>
      <w:hyperlink r:id="rId26" w:tgtFrame="_new" w:history="1">
        <w:r w:rsidRPr="00EB1326">
          <w:rPr>
            <w:rStyle w:val="Hyperlink"/>
            <w:rFonts w:ascii="Arial" w:eastAsiaTheme="majorEastAsia" w:hAnsi="Arial" w:cs="Arial"/>
            <w:sz w:val="20"/>
            <w:szCs w:val="20"/>
          </w:rPr>
          <w:t>https://doi.org/10.1016/j.cscee.2022.100259</w:t>
        </w:r>
      </w:hyperlink>
    </w:p>
    <w:p w14:paraId="7C54E28A" w14:textId="77777777" w:rsidR="00EB1326" w:rsidRDefault="00F36870" w:rsidP="00C76886">
      <w:pPr>
        <w:pStyle w:val="NormalWeb"/>
        <w:widowControl w:val="0"/>
        <w:numPr>
          <w:ilvl w:val="0"/>
          <w:numId w:val="31"/>
        </w:numPr>
        <w:spacing w:before="240" w:after="240"/>
        <w:jc w:val="both"/>
        <w:rPr>
          <w:rFonts w:ascii="Arial" w:hAnsi="Arial" w:cs="Arial"/>
          <w:sz w:val="20"/>
          <w:szCs w:val="20"/>
        </w:rPr>
      </w:pPr>
      <w:proofErr w:type="spellStart"/>
      <w:r w:rsidRPr="00EB1326">
        <w:rPr>
          <w:rFonts w:ascii="Arial" w:hAnsi="Arial" w:cs="Arial"/>
          <w:sz w:val="20"/>
          <w:szCs w:val="20"/>
        </w:rPr>
        <w:t>Erenstein</w:t>
      </w:r>
      <w:proofErr w:type="spellEnd"/>
      <w:r w:rsidRPr="00EB1326">
        <w:rPr>
          <w:rFonts w:ascii="Arial" w:hAnsi="Arial" w:cs="Arial"/>
          <w:sz w:val="20"/>
          <w:szCs w:val="20"/>
        </w:rPr>
        <w:t xml:space="preserve">, O., </w:t>
      </w:r>
      <w:proofErr w:type="spellStart"/>
      <w:r w:rsidRPr="00EB1326">
        <w:rPr>
          <w:rFonts w:ascii="Arial" w:hAnsi="Arial" w:cs="Arial"/>
          <w:sz w:val="20"/>
          <w:szCs w:val="20"/>
        </w:rPr>
        <w:t>Jaleta</w:t>
      </w:r>
      <w:proofErr w:type="spellEnd"/>
      <w:r w:rsidRPr="00EB1326">
        <w:rPr>
          <w:rFonts w:ascii="Arial" w:hAnsi="Arial" w:cs="Arial"/>
          <w:sz w:val="20"/>
          <w:szCs w:val="20"/>
        </w:rPr>
        <w:t xml:space="preserve">, M., </w:t>
      </w:r>
      <w:proofErr w:type="spellStart"/>
      <w:r w:rsidRPr="00EB1326">
        <w:rPr>
          <w:rFonts w:ascii="Arial" w:hAnsi="Arial" w:cs="Arial"/>
          <w:sz w:val="20"/>
          <w:szCs w:val="20"/>
        </w:rPr>
        <w:t>Mottaleb</w:t>
      </w:r>
      <w:proofErr w:type="spellEnd"/>
      <w:r w:rsidRPr="00EB1326">
        <w:rPr>
          <w:rFonts w:ascii="Arial" w:hAnsi="Arial" w:cs="Arial"/>
          <w:sz w:val="20"/>
          <w:szCs w:val="20"/>
        </w:rPr>
        <w:t xml:space="preserve">, K. A., Sonder, K., Donovan, J., &amp; Braun, H. J. (2022). Global trends in wheat production, consumption and trade. In M. P. Reynolds &amp; H. J. Braun (Eds.), </w:t>
      </w:r>
      <w:r w:rsidRPr="00EB1326">
        <w:rPr>
          <w:rStyle w:val="Emphasis"/>
          <w:rFonts w:ascii="Arial" w:eastAsiaTheme="majorEastAsia" w:hAnsi="Arial" w:cs="Arial"/>
          <w:sz w:val="20"/>
          <w:szCs w:val="20"/>
        </w:rPr>
        <w:t>Wheat improvement</w:t>
      </w:r>
      <w:r w:rsidRPr="00EB1326">
        <w:rPr>
          <w:rFonts w:ascii="Arial" w:hAnsi="Arial" w:cs="Arial"/>
          <w:sz w:val="20"/>
          <w:szCs w:val="20"/>
        </w:rPr>
        <w:t xml:space="preserve"> (pp. [insert page range if available]). Springer. </w:t>
      </w:r>
      <w:hyperlink r:id="rId27" w:tgtFrame="_new" w:history="1">
        <w:r w:rsidRPr="00EB1326">
          <w:rPr>
            <w:rStyle w:val="Hyperlink"/>
            <w:rFonts w:ascii="Arial" w:eastAsiaTheme="majorEastAsia" w:hAnsi="Arial" w:cs="Arial"/>
            <w:sz w:val="20"/>
            <w:szCs w:val="20"/>
          </w:rPr>
          <w:t>https://doi.org/10.1007/978-3-030-90673-3_4</w:t>
        </w:r>
      </w:hyperlink>
    </w:p>
    <w:p w14:paraId="52F24BDE" w14:textId="6D68BAC4" w:rsidR="00EB1326" w:rsidRPr="00EB1326" w:rsidRDefault="00EB1326" w:rsidP="00C76886">
      <w:pPr>
        <w:pStyle w:val="NormalWeb"/>
        <w:widowControl w:val="0"/>
        <w:numPr>
          <w:ilvl w:val="0"/>
          <w:numId w:val="31"/>
        </w:numPr>
        <w:spacing w:before="240" w:after="240"/>
        <w:jc w:val="both"/>
        <w:rPr>
          <w:rFonts w:ascii="Arial" w:hAnsi="Arial" w:cs="Arial"/>
          <w:sz w:val="20"/>
          <w:szCs w:val="20"/>
        </w:rPr>
      </w:pPr>
      <w:proofErr w:type="spellStart"/>
      <w:r w:rsidRPr="00EB1326">
        <w:rPr>
          <w:rFonts w:ascii="Arial" w:hAnsi="Arial" w:cs="Arial"/>
          <w:sz w:val="20"/>
          <w:szCs w:val="20"/>
        </w:rPr>
        <w:t>Dastogee</w:t>
      </w:r>
      <w:r>
        <w:rPr>
          <w:rFonts w:ascii="Arial" w:hAnsi="Arial" w:cs="Arial"/>
          <w:sz w:val="20"/>
          <w:szCs w:val="20"/>
        </w:rPr>
        <w:t>r</w:t>
      </w:r>
      <w:proofErr w:type="spellEnd"/>
      <w:r>
        <w:rPr>
          <w:rFonts w:ascii="Arial" w:hAnsi="Arial" w:cs="Arial"/>
          <w:sz w:val="20"/>
          <w:szCs w:val="20"/>
        </w:rPr>
        <w:t xml:space="preserve">, </w:t>
      </w:r>
      <w:r w:rsidRPr="00EB1326">
        <w:rPr>
          <w:rFonts w:ascii="Arial" w:hAnsi="Arial" w:cs="Arial"/>
          <w:sz w:val="20"/>
          <w:szCs w:val="20"/>
        </w:rPr>
        <w:t>K</w:t>
      </w:r>
      <w:r>
        <w:rPr>
          <w:rFonts w:ascii="Arial" w:hAnsi="Arial" w:cs="Arial"/>
          <w:sz w:val="20"/>
          <w:szCs w:val="20"/>
        </w:rPr>
        <w:t>.</w:t>
      </w:r>
      <w:r w:rsidRPr="00EB1326">
        <w:rPr>
          <w:rFonts w:ascii="Arial" w:hAnsi="Arial" w:cs="Arial"/>
          <w:sz w:val="20"/>
          <w:szCs w:val="20"/>
        </w:rPr>
        <w:t>M</w:t>
      </w:r>
      <w:r>
        <w:rPr>
          <w:rFonts w:ascii="Arial" w:hAnsi="Arial" w:cs="Arial"/>
          <w:sz w:val="20"/>
          <w:szCs w:val="20"/>
        </w:rPr>
        <w:t>.</w:t>
      </w:r>
      <w:r w:rsidRPr="00EB1326">
        <w:rPr>
          <w:rFonts w:ascii="Arial" w:hAnsi="Arial" w:cs="Arial"/>
          <w:sz w:val="20"/>
          <w:szCs w:val="20"/>
        </w:rPr>
        <w:t>G</w:t>
      </w:r>
      <w:r>
        <w:rPr>
          <w:rFonts w:ascii="Arial" w:hAnsi="Arial" w:cs="Arial"/>
          <w:sz w:val="20"/>
          <w:szCs w:val="20"/>
        </w:rPr>
        <w:t>.</w:t>
      </w:r>
      <w:r w:rsidRPr="00EB1326">
        <w:rPr>
          <w:rFonts w:ascii="Arial" w:hAnsi="Arial" w:cs="Arial"/>
          <w:sz w:val="20"/>
          <w:szCs w:val="20"/>
        </w:rPr>
        <w:t xml:space="preserve">, </w:t>
      </w:r>
      <w:proofErr w:type="spellStart"/>
      <w:r w:rsidRPr="00EB1326">
        <w:rPr>
          <w:rFonts w:ascii="Arial" w:hAnsi="Arial" w:cs="Arial"/>
          <w:sz w:val="20"/>
          <w:szCs w:val="20"/>
        </w:rPr>
        <w:t>Tumpa</w:t>
      </w:r>
      <w:proofErr w:type="spellEnd"/>
      <w:r>
        <w:rPr>
          <w:rFonts w:ascii="Arial" w:hAnsi="Arial" w:cs="Arial"/>
          <w:sz w:val="20"/>
          <w:szCs w:val="20"/>
        </w:rPr>
        <w:t>,</w:t>
      </w:r>
      <w:r w:rsidRPr="00EB1326">
        <w:rPr>
          <w:rFonts w:ascii="Arial" w:hAnsi="Arial" w:cs="Arial"/>
          <w:sz w:val="20"/>
          <w:szCs w:val="20"/>
        </w:rPr>
        <w:t xml:space="preserve"> F</w:t>
      </w:r>
      <w:r>
        <w:rPr>
          <w:rFonts w:ascii="Arial" w:hAnsi="Arial" w:cs="Arial"/>
          <w:sz w:val="20"/>
          <w:szCs w:val="20"/>
        </w:rPr>
        <w:t>.</w:t>
      </w:r>
      <w:r w:rsidRPr="00EB1326">
        <w:rPr>
          <w:rFonts w:ascii="Arial" w:hAnsi="Arial" w:cs="Arial"/>
          <w:sz w:val="20"/>
          <w:szCs w:val="20"/>
        </w:rPr>
        <w:t>H</w:t>
      </w:r>
      <w:r>
        <w:rPr>
          <w:rFonts w:ascii="Arial" w:hAnsi="Arial" w:cs="Arial"/>
          <w:sz w:val="20"/>
          <w:szCs w:val="20"/>
        </w:rPr>
        <w:t>.</w:t>
      </w:r>
      <w:r w:rsidRPr="00EB1326">
        <w:rPr>
          <w:rFonts w:ascii="Arial" w:hAnsi="Arial" w:cs="Arial"/>
          <w:sz w:val="20"/>
          <w:szCs w:val="20"/>
        </w:rPr>
        <w:t>, Sultana</w:t>
      </w:r>
      <w:r>
        <w:rPr>
          <w:rFonts w:ascii="Arial" w:hAnsi="Arial" w:cs="Arial"/>
          <w:sz w:val="20"/>
          <w:szCs w:val="20"/>
        </w:rPr>
        <w:t>,</w:t>
      </w:r>
      <w:r w:rsidRPr="00EB1326">
        <w:rPr>
          <w:rFonts w:ascii="Arial" w:hAnsi="Arial" w:cs="Arial"/>
          <w:sz w:val="20"/>
          <w:szCs w:val="20"/>
        </w:rPr>
        <w:t xml:space="preserve"> A</w:t>
      </w:r>
      <w:r>
        <w:rPr>
          <w:rFonts w:ascii="Arial" w:hAnsi="Arial" w:cs="Arial"/>
          <w:sz w:val="20"/>
          <w:szCs w:val="20"/>
        </w:rPr>
        <w:t>.</w:t>
      </w:r>
      <w:r w:rsidRPr="00EB1326">
        <w:rPr>
          <w:rFonts w:ascii="Arial" w:hAnsi="Arial" w:cs="Arial"/>
          <w:sz w:val="20"/>
          <w:szCs w:val="20"/>
        </w:rPr>
        <w:t>, Akter</w:t>
      </w:r>
      <w:r>
        <w:rPr>
          <w:rFonts w:ascii="Arial" w:hAnsi="Arial" w:cs="Arial"/>
          <w:sz w:val="20"/>
          <w:szCs w:val="20"/>
        </w:rPr>
        <w:t>,</w:t>
      </w:r>
      <w:r w:rsidRPr="00EB1326">
        <w:rPr>
          <w:rFonts w:ascii="Arial" w:hAnsi="Arial" w:cs="Arial"/>
          <w:sz w:val="20"/>
          <w:szCs w:val="20"/>
        </w:rPr>
        <w:t xml:space="preserve"> M</w:t>
      </w:r>
      <w:r>
        <w:rPr>
          <w:rFonts w:ascii="Arial" w:hAnsi="Arial" w:cs="Arial"/>
          <w:sz w:val="20"/>
          <w:szCs w:val="20"/>
        </w:rPr>
        <w:t>.</w:t>
      </w:r>
      <w:r w:rsidRPr="00EB1326">
        <w:rPr>
          <w:rFonts w:ascii="Arial" w:hAnsi="Arial" w:cs="Arial"/>
          <w:sz w:val="20"/>
          <w:szCs w:val="20"/>
        </w:rPr>
        <w:t>A</w:t>
      </w:r>
      <w:r>
        <w:rPr>
          <w:rFonts w:ascii="Arial" w:hAnsi="Arial" w:cs="Arial"/>
          <w:sz w:val="20"/>
          <w:szCs w:val="20"/>
        </w:rPr>
        <w:t>.</w:t>
      </w:r>
      <w:r w:rsidRPr="00EB1326">
        <w:rPr>
          <w:rFonts w:ascii="Arial" w:hAnsi="Arial" w:cs="Arial"/>
          <w:sz w:val="20"/>
          <w:szCs w:val="20"/>
        </w:rPr>
        <w:t>, Chakraborty</w:t>
      </w:r>
      <w:r>
        <w:rPr>
          <w:rFonts w:ascii="Arial" w:hAnsi="Arial" w:cs="Arial"/>
          <w:sz w:val="20"/>
          <w:szCs w:val="20"/>
        </w:rPr>
        <w:t>,</w:t>
      </w:r>
      <w:r w:rsidRPr="00EB1326">
        <w:rPr>
          <w:rFonts w:ascii="Arial" w:hAnsi="Arial" w:cs="Arial"/>
          <w:sz w:val="20"/>
          <w:szCs w:val="20"/>
        </w:rPr>
        <w:t xml:space="preserve"> A</w:t>
      </w:r>
      <w:r>
        <w:rPr>
          <w:rFonts w:ascii="Arial" w:hAnsi="Arial" w:cs="Arial"/>
          <w:sz w:val="20"/>
          <w:szCs w:val="20"/>
        </w:rPr>
        <w:t>.</w:t>
      </w:r>
      <w:r w:rsidRPr="00EB1326">
        <w:rPr>
          <w:rFonts w:ascii="Arial" w:hAnsi="Arial" w:cs="Arial"/>
          <w:sz w:val="20"/>
          <w:szCs w:val="20"/>
        </w:rPr>
        <w:t xml:space="preserve"> (2020) Plant microbiome–an account of the drivers that shape community composition and structure</w:t>
      </w:r>
      <w:r>
        <w:rPr>
          <w:rFonts w:ascii="Arial" w:hAnsi="Arial" w:cs="Arial"/>
          <w:sz w:val="20"/>
          <w:szCs w:val="20"/>
        </w:rPr>
        <w:t xml:space="preserve">. </w:t>
      </w:r>
      <w:proofErr w:type="spellStart"/>
      <w:r w:rsidRPr="00EB1326">
        <w:rPr>
          <w:rFonts w:ascii="Arial" w:hAnsi="Arial" w:cs="Arial"/>
          <w:i/>
          <w:iCs/>
          <w:sz w:val="20"/>
          <w:szCs w:val="20"/>
        </w:rPr>
        <w:t>Curr</w:t>
      </w:r>
      <w:proofErr w:type="spellEnd"/>
      <w:r w:rsidRPr="00EB1326">
        <w:rPr>
          <w:rFonts w:ascii="Arial" w:hAnsi="Arial" w:cs="Arial"/>
          <w:i/>
          <w:iCs/>
          <w:sz w:val="20"/>
          <w:szCs w:val="20"/>
        </w:rPr>
        <w:t xml:space="preserve"> Plant </w:t>
      </w:r>
      <w:proofErr w:type="spellStart"/>
      <w:r w:rsidRPr="00EB1326">
        <w:rPr>
          <w:rFonts w:ascii="Arial" w:hAnsi="Arial" w:cs="Arial"/>
          <w:i/>
          <w:iCs/>
          <w:sz w:val="20"/>
          <w:szCs w:val="20"/>
        </w:rPr>
        <w:t>Biol</w:t>
      </w:r>
      <w:proofErr w:type="spellEnd"/>
      <w:r w:rsidRPr="00EB1326">
        <w:rPr>
          <w:rFonts w:ascii="Arial" w:hAnsi="Arial" w:cs="Arial"/>
          <w:sz w:val="20"/>
          <w:szCs w:val="20"/>
        </w:rPr>
        <w:t xml:space="preserve">, 23 </w:t>
      </w:r>
      <w:hyperlink r:id="rId28" w:history="1">
        <w:r w:rsidRPr="00EB1326">
          <w:rPr>
            <w:rStyle w:val="Hyperlink"/>
            <w:rFonts w:ascii="Arial" w:hAnsi="Arial" w:cs="Arial"/>
            <w:sz w:val="20"/>
            <w:szCs w:val="20"/>
          </w:rPr>
          <w:t>https://doi.org/10.1016/j.cpb. 2020.100161</w:t>
        </w:r>
      </w:hyperlink>
      <w:r w:rsidRPr="00EB1326">
        <w:rPr>
          <w:rFonts w:ascii="Arial" w:hAnsi="Arial" w:cs="Arial"/>
          <w:sz w:val="20"/>
          <w:szCs w:val="20"/>
        </w:rPr>
        <w:t xml:space="preserve"> </w:t>
      </w:r>
    </w:p>
    <w:p w14:paraId="744BC0C3"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Sharma, S. B., Sayyed, R. Z., Trivedi, M. H., &amp; Gobi, T. A. (2013). Phosphate-solubilizing microbes: Sustainable approach for managing phosphorus deficiency in agricultural soils. </w:t>
      </w:r>
      <w:proofErr w:type="spellStart"/>
      <w:r w:rsidRPr="00EB1326">
        <w:rPr>
          <w:rStyle w:val="Emphasis"/>
          <w:rFonts w:ascii="Arial" w:eastAsiaTheme="majorEastAsia" w:hAnsi="Arial" w:cs="Arial"/>
          <w:sz w:val="20"/>
          <w:szCs w:val="20"/>
        </w:rPr>
        <w:t>SpringerPlus</w:t>
      </w:r>
      <w:proofErr w:type="spellEnd"/>
      <w:r w:rsidRPr="00EB1326">
        <w:rPr>
          <w:rStyle w:val="Emphasis"/>
          <w:rFonts w:ascii="Arial" w:eastAsiaTheme="majorEastAsia" w:hAnsi="Arial" w:cs="Arial"/>
          <w:sz w:val="20"/>
          <w:szCs w:val="20"/>
        </w:rPr>
        <w:t>, 2</w:t>
      </w:r>
      <w:r w:rsidRPr="00EB1326">
        <w:rPr>
          <w:rFonts w:ascii="Arial" w:hAnsi="Arial" w:cs="Arial"/>
          <w:sz w:val="20"/>
          <w:szCs w:val="20"/>
        </w:rPr>
        <w:t xml:space="preserve">, 587. </w:t>
      </w:r>
      <w:hyperlink r:id="rId29" w:tgtFrame="_new" w:history="1">
        <w:r w:rsidRPr="00EB1326">
          <w:rPr>
            <w:rStyle w:val="Hyperlink"/>
            <w:rFonts w:ascii="Arial" w:eastAsiaTheme="majorEastAsia" w:hAnsi="Arial" w:cs="Arial"/>
            <w:sz w:val="20"/>
            <w:szCs w:val="20"/>
          </w:rPr>
          <w:t>https://doi.org/10.1186/2193-1801-2-587</w:t>
        </w:r>
      </w:hyperlink>
    </w:p>
    <w:p w14:paraId="192EF29A"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Rajput, A., Kumar, S., Dhyani, B. P., Kumar, Y., Singh, A., &amp; Singh, B. (2024). Enhancing yield and sustainability in a maize+ </w:t>
      </w:r>
      <w:proofErr w:type="spellStart"/>
      <w:r w:rsidRPr="00EB1326">
        <w:rPr>
          <w:rFonts w:ascii="Arial" w:hAnsi="Arial" w:cs="Arial"/>
          <w:sz w:val="20"/>
          <w:szCs w:val="20"/>
        </w:rPr>
        <w:t>mungbeanwheat</w:t>
      </w:r>
      <w:proofErr w:type="spellEnd"/>
      <w:r w:rsidRPr="00EB1326">
        <w:rPr>
          <w:rFonts w:ascii="Arial" w:hAnsi="Arial" w:cs="Arial"/>
          <w:sz w:val="20"/>
          <w:szCs w:val="20"/>
        </w:rPr>
        <w:t xml:space="preserve"> cropping sequence through integrated nutrient management: a viable alternative to the rice-wheat system. </w:t>
      </w:r>
      <w:r w:rsidRPr="00EB1326">
        <w:rPr>
          <w:rFonts w:ascii="Arial" w:hAnsi="Arial" w:cs="Arial"/>
          <w:i/>
          <w:iCs/>
          <w:sz w:val="20"/>
          <w:szCs w:val="20"/>
        </w:rPr>
        <w:t>Plant Archives (09725210)</w:t>
      </w:r>
      <w:r w:rsidRPr="00EB1326">
        <w:rPr>
          <w:rFonts w:ascii="Arial" w:hAnsi="Arial" w:cs="Arial"/>
          <w:sz w:val="20"/>
          <w:szCs w:val="20"/>
        </w:rPr>
        <w:t>, </w:t>
      </w:r>
      <w:r w:rsidRPr="00EB1326">
        <w:rPr>
          <w:rFonts w:ascii="Arial" w:hAnsi="Arial" w:cs="Arial"/>
          <w:i/>
          <w:iCs/>
          <w:sz w:val="20"/>
          <w:szCs w:val="20"/>
        </w:rPr>
        <w:t>24</w:t>
      </w:r>
      <w:r w:rsidRPr="00EB1326">
        <w:rPr>
          <w:rFonts w:ascii="Arial" w:hAnsi="Arial" w:cs="Arial"/>
          <w:sz w:val="20"/>
          <w:szCs w:val="20"/>
        </w:rPr>
        <w:t>(2).</w:t>
      </w:r>
    </w:p>
    <w:p w14:paraId="391DB7DE"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Enriquez-León, R., De la Cruz-Mantilla, J., &amp; Huerta-Chombo, G. L. (2025). Evaluation of Phosphate-Solubilizing Bacteria (PSB) on Phosphorus Availability in Agricultural Soils and the Growth of Wheat (Triticum aestivum L.). </w:t>
      </w:r>
      <w:r w:rsidRPr="00EB1326">
        <w:rPr>
          <w:rFonts w:ascii="Arial" w:hAnsi="Arial" w:cs="Arial"/>
          <w:i/>
          <w:iCs/>
          <w:sz w:val="20"/>
          <w:szCs w:val="20"/>
        </w:rPr>
        <w:t>Sustainability</w:t>
      </w:r>
      <w:r w:rsidRPr="00EB1326">
        <w:rPr>
          <w:rFonts w:ascii="Arial" w:hAnsi="Arial" w:cs="Arial"/>
          <w:sz w:val="20"/>
          <w:szCs w:val="20"/>
        </w:rPr>
        <w:t>, </w:t>
      </w:r>
      <w:r w:rsidRPr="00EB1326">
        <w:rPr>
          <w:rFonts w:ascii="Arial" w:hAnsi="Arial" w:cs="Arial"/>
          <w:i/>
          <w:iCs/>
          <w:sz w:val="20"/>
          <w:szCs w:val="20"/>
        </w:rPr>
        <w:t>17</w:t>
      </w:r>
      <w:r w:rsidRPr="00EB1326">
        <w:rPr>
          <w:rFonts w:ascii="Arial" w:hAnsi="Arial" w:cs="Arial"/>
          <w:sz w:val="20"/>
          <w:szCs w:val="20"/>
        </w:rPr>
        <w:t>(10), 4545.</w:t>
      </w:r>
    </w:p>
    <w:p w14:paraId="442382C9"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Gómez, E., Alonso, A., Sánchez, J., Muñoz, P., Marín, J., </w:t>
      </w:r>
      <w:proofErr w:type="spellStart"/>
      <w:r w:rsidRPr="00EB1326">
        <w:rPr>
          <w:rFonts w:ascii="Arial" w:hAnsi="Arial" w:cs="Arial"/>
          <w:sz w:val="20"/>
          <w:szCs w:val="20"/>
        </w:rPr>
        <w:t>Mostaza-Colado</w:t>
      </w:r>
      <w:proofErr w:type="spellEnd"/>
      <w:r w:rsidRPr="00EB1326">
        <w:rPr>
          <w:rFonts w:ascii="Arial" w:hAnsi="Arial" w:cs="Arial"/>
          <w:sz w:val="20"/>
          <w:szCs w:val="20"/>
        </w:rPr>
        <w:t xml:space="preserve">, D., &amp; Mauri, P. V. (2024). Application of </w:t>
      </w:r>
      <w:proofErr w:type="spellStart"/>
      <w:r w:rsidRPr="00EB1326">
        <w:rPr>
          <w:rFonts w:ascii="Arial" w:hAnsi="Arial" w:cs="Arial"/>
          <w:sz w:val="20"/>
          <w:szCs w:val="20"/>
        </w:rPr>
        <w:t>biostimulant</w:t>
      </w:r>
      <w:proofErr w:type="spellEnd"/>
      <w:r w:rsidRPr="00EB1326">
        <w:rPr>
          <w:rFonts w:ascii="Arial" w:hAnsi="Arial" w:cs="Arial"/>
          <w:sz w:val="20"/>
          <w:szCs w:val="20"/>
        </w:rPr>
        <w:t xml:space="preserve"> in seeds and soil on three chickpea varieties: impacts on germination, vegetative development, and bacterial facilitation of nitrogen and phosphorus. </w:t>
      </w:r>
      <w:r w:rsidRPr="00EB1326">
        <w:rPr>
          <w:rFonts w:ascii="Arial" w:hAnsi="Arial" w:cs="Arial"/>
          <w:i/>
          <w:iCs/>
          <w:sz w:val="20"/>
          <w:szCs w:val="20"/>
        </w:rPr>
        <w:t>Life</w:t>
      </w:r>
      <w:r w:rsidRPr="00EB1326">
        <w:rPr>
          <w:rFonts w:ascii="Arial" w:hAnsi="Arial" w:cs="Arial"/>
          <w:sz w:val="20"/>
          <w:szCs w:val="20"/>
        </w:rPr>
        <w:t>, </w:t>
      </w:r>
      <w:r w:rsidRPr="00EB1326">
        <w:rPr>
          <w:rFonts w:ascii="Arial" w:hAnsi="Arial" w:cs="Arial"/>
          <w:i/>
          <w:iCs/>
          <w:sz w:val="20"/>
          <w:szCs w:val="20"/>
        </w:rPr>
        <w:t>14</w:t>
      </w:r>
      <w:r w:rsidRPr="00EB1326">
        <w:rPr>
          <w:rFonts w:ascii="Arial" w:hAnsi="Arial" w:cs="Arial"/>
          <w:sz w:val="20"/>
          <w:szCs w:val="20"/>
        </w:rPr>
        <w:t>(1), 148.</w:t>
      </w:r>
    </w:p>
    <w:p w14:paraId="215D2945"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Pan, L., &amp; Cai, B. (2023). Phosphate-solubilizing bacteria: advances in their physiology, molecular mechanisms and microbial community effects. </w:t>
      </w:r>
      <w:r w:rsidRPr="00EB1326">
        <w:rPr>
          <w:rFonts w:ascii="Arial" w:hAnsi="Arial" w:cs="Arial"/>
          <w:i/>
          <w:iCs/>
          <w:sz w:val="20"/>
          <w:szCs w:val="20"/>
        </w:rPr>
        <w:t>Microorganisms</w:t>
      </w:r>
      <w:r w:rsidRPr="00EB1326">
        <w:rPr>
          <w:rFonts w:ascii="Arial" w:hAnsi="Arial" w:cs="Arial"/>
          <w:sz w:val="20"/>
          <w:szCs w:val="20"/>
        </w:rPr>
        <w:t>, </w:t>
      </w:r>
      <w:r w:rsidRPr="00EB1326">
        <w:rPr>
          <w:rFonts w:ascii="Arial" w:hAnsi="Arial" w:cs="Arial"/>
          <w:i/>
          <w:iCs/>
          <w:sz w:val="20"/>
          <w:szCs w:val="20"/>
        </w:rPr>
        <w:t>11</w:t>
      </w:r>
      <w:r w:rsidRPr="00EB1326">
        <w:rPr>
          <w:rFonts w:ascii="Arial" w:hAnsi="Arial" w:cs="Arial"/>
          <w:sz w:val="20"/>
          <w:szCs w:val="20"/>
        </w:rPr>
        <w:t>(12), 2904.</w:t>
      </w:r>
    </w:p>
    <w:p w14:paraId="0E050427"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Jagadesh, M., Dash, M., Kumari, A., Singh, S. K., Verma, K. K., Kumar, P., ... &amp; Sharma, S. K. (2024). Revealing the hidden world of soil microbes: metagenomic insights into plant, bacteria, and fungi interactions for sustainable agriculture and ecosystem restoration. </w:t>
      </w:r>
      <w:r w:rsidRPr="00EB1326">
        <w:rPr>
          <w:rFonts w:ascii="Arial" w:hAnsi="Arial" w:cs="Arial"/>
          <w:i/>
          <w:iCs/>
          <w:sz w:val="20"/>
          <w:szCs w:val="20"/>
        </w:rPr>
        <w:t>Microbiological Research</w:t>
      </w:r>
      <w:r w:rsidRPr="00EB1326">
        <w:rPr>
          <w:rFonts w:ascii="Arial" w:hAnsi="Arial" w:cs="Arial"/>
          <w:sz w:val="20"/>
          <w:szCs w:val="20"/>
        </w:rPr>
        <w:t>, </w:t>
      </w:r>
      <w:r w:rsidRPr="00EB1326">
        <w:rPr>
          <w:rFonts w:ascii="Arial" w:hAnsi="Arial" w:cs="Arial"/>
          <w:i/>
          <w:iCs/>
          <w:sz w:val="20"/>
          <w:szCs w:val="20"/>
        </w:rPr>
        <w:t>285</w:t>
      </w:r>
      <w:r w:rsidRPr="00EB1326">
        <w:rPr>
          <w:rFonts w:ascii="Arial" w:hAnsi="Arial" w:cs="Arial"/>
          <w:sz w:val="20"/>
          <w:szCs w:val="20"/>
        </w:rPr>
        <w:t>, 127764.</w:t>
      </w:r>
    </w:p>
    <w:p w14:paraId="717CF59A"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proofErr w:type="spellStart"/>
      <w:r w:rsidRPr="00EB1326">
        <w:rPr>
          <w:rFonts w:ascii="Arial" w:hAnsi="Arial" w:cs="Arial"/>
          <w:sz w:val="20"/>
          <w:szCs w:val="20"/>
        </w:rPr>
        <w:t>Korenblum</w:t>
      </w:r>
      <w:proofErr w:type="spellEnd"/>
      <w:r w:rsidRPr="00EB1326">
        <w:rPr>
          <w:rFonts w:ascii="Arial" w:hAnsi="Arial" w:cs="Arial"/>
          <w:sz w:val="20"/>
          <w:szCs w:val="20"/>
        </w:rPr>
        <w:t xml:space="preserve">, E., Solanki, M. K., Kai, M., &amp; Prestwich, B. D. (2022). Small molecules bridging terrestrial microbial interactions in multitrophic systems. </w:t>
      </w:r>
      <w:r w:rsidRPr="00EB1326">
        <w:rPr>
          <w:rFonts w:ascii="Arial" w:hAnsi="Arial" w:cs="Arial"/>
          <w:i/>
          <w:iCs/>
          <w:sz w:val="20"/>
          <w:szCs w:val="20"/>
        </w:rPr>
        <w:t>Frontiers in Microbiology, 9</w:t>
      </w:r>
      <w:r w:rsidRPr="00EB1326">
        <w:rPr>
          <w:rFonts w:ascii="Arial" w:hAnsi="Arial" w:cs="Arial"/>
          <w:sz w:val="20"/>
          <w:szCs w:val="20"/>
        </w:rPr>
        <w:t xml:space="preserve">, 53–57. </w:t>
      </w:r>
    </w:p>
    <w:p w14:paraId="61E6FFF1"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Liu, J., Ma, Q., Hui, X., Ran, J., Ma, Q., Wang, X., &amp; Wang, Z. (2020). Long-term high-P fertilizer input decreased the total bacterial diversity but not </w:t>
      </w:r>
      <w:proofErr w:type="spellStart"/>
      <w:r w:rsidRPr="00EB1326">
        <w:rPr>
          <w:rFonts w:ascii="Arial" w:hAnsi="Arial" w:cs="Arial"/>
          <w:i/>
          <w:iCs/>
          <w:sz w:val="20"/>
          <w:szCs w:val="20"/>
        </w:rPr>
        <w:t>phoD</w:t>
      </w:r>
      <w:r w:rsidRPr="00EB1326">
        <w:rPr>
          <w:rFonts w:ascii="Arial" w:hAnsi="Arial" w:cs="Arial"/>
          <w:sz w:val="20"/>
          <w:szCs w:val="20"/>
        </w:rPr>
        <w:t>-harboring</w:t>
      </w:r>
      <w:proofErr w:type="spellEnd"/>
      <w:r w:rsidRPr="00EB1326">
        <w:rPr>
          <w:rFonts w:ascii="Arial" w:hAnsi="Arial" w:cs="Arial"/>
          <w:sz w:val="20"/>
          <w:szCs w:val="20"/>
        </w:rPr>
        <w:t xml:space="preserve"> bacteria in wheat rhizosphere soil with available-P deficiency. </w:t>
      </w:r>
      <w:r w:rsidRPr="00EB1326">
        <w:rPr>
          <w:rFonts w:ascii="Arial" w:hAnsi="Arial" w:cs="Arial"/>
          <w:i/>
          <w:iCs/>
          <w:sz w:val="20"/>
          <w:szCs w:val="20"/>
        </w:rPr>
        <w:t>Soil Biology and Biochemistry, 149</w:t>
      </w:r>
      <w:r w:rsidRPr="00EB1326">
        <w:rPr>
          <w:rFonts w:ascii="Arial" w:hAnsi="Arial" w:cs="Arial"/>
          <w:sz w:val="20"/>
          <w:szCs w:val="20"/>
        </w:rPr>
        <w:t xml:space="preserve">, 107918. </w:t>
      </w:r>
      <w:hyperlink r:id="rId30" w:tgtFrame="_new" w:history="1">
        <w:r w:rsidRPr="00EB1326">
          <w:rPr>
            <w:rStyle w:val="Hyperlink"/>
            <w:rFonts w:ascii="Arial" w:hAnsi="Arial" w:cs="Arial"/>
            <w:sz w:val="20"/>
            <w:szCs w:val="20"/>
          </w:rPr>
          <w:t>https://doi.org/10.1016/j.soilbio.2020.107918</w:t>
        </w:r>
      </w:hyperlink>
    </w:p>
    <w:p w14:paraId="75F5A913"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Richardson, A.E., et al. (2011). Plant and microbial strategies to improve the phosphorus efficiency of agriculture. Plant and Soil, 349(1-2), 121-156.</w:t>
      </w:r>
    </w:p>
    <w:p w14:paraId="6C6426A6"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Cheng, Y., Narayanan, M., Shi, X., Chen, X., Li, Z., &amp; Ma, Y. (2023). Phosphate-solubilizing bacteria: Their agroecological function and optimistic application for enhancing </w:t>
      </w:r>
      <w:proofErr w:type="spellStart"/>
      <w:r w:rsidRPr="00EB1326">
        <w:rPr>
          <w:rFonts w:ascii="Arial" w:hAnsi="Arial" w:cs="Arial"/>
          <w:sz w:val="20"/>
          <w:szCs w:val="20"/>
        </w:rPr>
        <w:t>agro</w:t>
      </w:r>
      <w:proofErr w:type="spellEnd"/>
      <w:r w:rsidRPr="00EB1326">
        <w:rPr>
          <w:rFonts w:ascii="Arial" w:hAnsi="Arial" w:cs="Arial"/>
          <w:sz w:val="20"/>
          <w:szCs w:val="20"/>
        </w:rPr>
        <w:t>-productivity. </w:t>
      </w:r>
      <w:r w:rsidRPr="00EB1326">
        <w:rPr>
          <w:rFonts w:ascii="Arial" w:hAnsi="Arial" w:cs="Arial"/>
          <w:i/>
          <w:iCs/>
          <w:sz w:val="20"/>
          <w:szCs w:val="20"/>
        </w:rPr>
        <w:t>Science of The Total Environment</w:t>
      </w:r>
      <w:r w:rsidRPr="00EB1326">
        <w:rPr>
          <w:rFonts w:ascii="Arial" w:hAnsi="Arial" w:cs="Arial"/>
          <w:sz w:val="20"/>
          <w:szCs w:val="20"/>
        </w:rPr>
        <w:t>, </w:t>
      </w:r>
      <w:r w:rsidRPr="00EB1326">
        <w:rPr>
          <w:rFonts w:ascii="Arial" w:hAnsi="Arial" w:cs="Arial"/>
          <w:i/>
          <w:iCs/>
          <w:sz w:val="20"/>
          <w:szCs w:val="20"/>
        </w:rPr>
        <w:t>901</w:t>
      </w:r>
      <w:r w:rsidRPr="00EB1326">
        <w:rPr>
          <w:rFonts w:ascii="Arial" w:hAnsi="Arial" w:cs="Arial"/>
          <w:sz w:val="20"/>
          <w:szCs w:val="20"/>
        </w:rPr>
        <w:t>, 166468.</w:t>
      </w:r>
    </w:p>
    <w:p w14:paraId="592BAC1C"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lang w:val="en-US"/>
        </w:rPr>
        <w:t xml:space="preserve">Zaidi, A., Khan, M. S., Ahmad, E., &amp; Saif, S. (2015). Role of plant growth promoting rhizobacteria in sustainable production of vegetables: Current perspective. </w:t>
      </w:r>
      <w:r w:rsidRPr="00EB1326">
        <w:rPr>
          <w:rFonts w:ascii="Arial" w:hAnsi="Arial" w:cs="Arial"/>
          <w:i/>
          <w:iCs/>
          <w:sz w:val="20"/>
          <w:szCs w:val="20"/>
          <w:lang w:val="en-US"/>
        </w:rPr>
        <w:t xml:space="preserve">Scientia </w:t>
      </w:r>
      <w:proofErr w:type="spellStart"/>
      <w:r w:rsidRPr="00EB1326">
        <w:rPr>
          <w:rFonts w:ascii="Arial" w:hAnsi="Arial" w:cs="Arial"/>
          <w:i/>
          <w:iCs/>
          <w:sz w:val="20"/>
          <w:szCs w:val="20"/>
          <w:lang w:val="en-US"/>
        </w:rPr>
        <w:t>Horticulturae</w:t>
      </w:r>
      <w:proofErr w:type="spellEnd"/>
      <w:r w:rsidRPr="00EB1326">
        <w:rPr>
          <w:rFonts w:ascii="Arial" w:hAnsi="Arial" w:cs="Arial"/>
          <w:i/>
          <w:iCs/>
          <w:sz w:val="20"/>
          <w:szCs w:val="20"/>
          <w:lang w:val="en-US"/>
        </w:rPr>
        <w:t>, 193</w:t>
      </w:r>
      <w:r w:rsidRPr="00EB1326">
        <w:rPr>
          <w:rFonts w:ascii="Arial" w:hAnsi="Arial" w:cs="Arial"/>
          <w:sz w:val="20"/>
          <w:szCs w:val="20"/>
          <w:lang w:val="en-US"/>
        </w:rPr>
        <w:t xml:space="preserve">, 231–239. </w:t>
      </w:r>
      <w:hyperlink r:id="rId31" w:history="1">
        <w:r w:rsidRPr="00EB1326">
          <w:rPr>
            <w:rStyle w:val="Hyperlink"/>
            <w:rFonts w:ascii="Arial" w:hAnsi="Arial" w:cs="Arial"/>
            <w:sz w:val="20"/>
            <w:szCs w:val="20"/>
            <w:lang w:val="en-US"/>
          </w:rPr>
          <w:t>https://doi.org/10.1016/j.scienta.2015.07.020</w:t>
        </w:r>
      </w:hyperlink>
      <w:r w:rsidRPr="00EB1326">
        <w:rPr>
          <w:rFonts w:ascii="Arial" w:hAnsi="Arial" w:cs="Arial"/>
          <w:sz w:val="20"/>
          <w:szCs w:val="20"/>
          <w:lang w:val="en-US"/>
        </w:rPr>
        <w:t>.</w:t>
      </w:r>
    </w:p>
    <w:p w14:paraId="7B76871C"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Wang, Z., Zhang, H., Liu, L., Li, S., Xie, J., Xue, X., &amp; Jiang, Y. (2022). Screening of phosphate-solubilizing bacteria and their abilities of phosphorus solubilization and wheat growth promotion. </w:t>
      </w:r>
      <w:r w:rsidRPr="00EB1326">
        <w:rPr>
          <w:rFonts w:ascii="Arial" w:hAnsi="Arial" w:cs="Arial"/>
          <w:i/>
          <w:iCs/>
          <w:sz w:val="20"/>
          <w:szCs w:val="20"/>
        </w:rPr>
        <w:t>BMC microbiology</w:t>
      </w:r>
      <w:r w:rsidRPr="00EB1326">
        <w:rPr>
          <w:rFonts w:ascii="Arial" w:hAnsi="Arial" w:cs="Arial"/>
          <w:sz w:val="20"/>
          <w:szCs w:val="20"/>
        </w:rPr>
        <w:t>, </w:t>
      </w:r>
      <w:r w:rsidRPr="00EB1326">
        <w:rPr>
          <w:rFonts w:ascii="Arial" w:hAnsi="Arial" w:cs="Arial"/>
          <w:i/>
          <w:iCs/>
          <w:sz w:val="20"/>
          <w:szCs w:val="20"/>
        </w:rPr>
        <w:t>22</w:t>
      </w:r>
      <w:r w:rsidRPr="00EB1326">
        <w:rPr>
          <w:rFonts w:ascii="Arial" w:hAnsi="Arial" w:cs="Arial"/>
          <w:sz w:val="20"/>
          <w:szCs w:val="20"/>
        </w:rPr>
        <w:t>(1), 296.</w:t>
      </w:r>
    </w:p>
    <w:p w14:paraId="0D2A2E51" w14:textId="77777777" w:rsidR="00F36870" w:rsidRPr="00EB1326" w:rsidRDefault="00F36870" w:rsidP="00F36870">
      <w:pPr>
        <w:pStyle w:val="NormalWeb"/>
        <w:numPr>
          <w:ilvl w:val="0"/>
          <w:numId w:val="31"/>
        </w:numPr>
        <w:rPr>
          <w:rFonts w:ascii="Arial" w:hAnsi="Arial" w:cs="Arial"/>
          <w:sz w:val="20"/>
          <w:szCs w:val="20"/>
        </w:rPr>
      </w:pPr>
      <w:proofErr w:type="spellStart"/>
      <w:r w:rsidRPr="00EB1326">
        <w:rPr>
          <w:rFonts w:ascii="Arial" w:hAnsi="Arial" w:cs="Arial"/>
          <w:sz w:val="20"/>
          <w:szCs w:val="20"/>
        </w:rPr>
        <w:t>Oteino</w:t>
      </w:r>
      <w:proofErr w:type="spellEnd"/>
      <w:r w:rsidRPr="00EB1326">
        <w:rPr>
          <w:rFonts w:ascii="Arial" w:hAnsi="Arial" w:cs="Arial"/>
          <w:sz w:val="20"/>
          <w:szCs w:val="20"/>
        </w:rPr>
        <w:t xml:space="preserve">, N., Lally, R. D., Kiwanuka, S., Lloyd, A., Ryan, D., Germaine, K. J., &amp; Dowling, D. N. (2015). Plant growth promotion induced by phosphate solubilizing endophytic </w:t>
      </w:r>
      <w:r w:rsidRPr="00EB1326">
        <w:rPr>
          <w:rStyle w:val="Emphasis"/>
          <w:rFonts w:ascii="Arial" w:eastAsiaTheme="majorEastAsia" w:hAnsi="Arial" w:cs="Arial"/>
          <w:sz w:val="20"/>
          <w:szCs w:val="20"/>
        </w:rPr>
        <w:t>Pseudomonas</w:t>
      </w:r>
      <w:r w:rsidRPr="00EB1326">
        <w:rPr>
          <w:rFonts w:ascii="Arial" w:hAnsi="Arial" w:cs="Arial"/>
          <w:sz w:val="20"/>
          <w:szCs w:val="20"/>
        </w:rPr>
        <w:t xml:space="preserve"> isolates. </w:t>
      </w:r>
      <w:r w:rsidRPr="00EB1326">
        <w:rPr>
          <w:rStyle w:val="Emphasis"/>
          <w:rFonts w:ascii="Arial" w:eastAsiaTheme="majorEastAsia" w:hAnsi="Arial" w:cs="Arial"/>
          <w:sz w:val="20"/>
          <w:szCs w:val="20"/>
        </w:rPr>
        <w:t>Frontiers in Microbiology, 6</w:t>
      </w:r>
      <w:r w:rsidRPr="00EB1326">
        <w:rPr>
          <w:rFonts w:ascii="Arial" w:hAnsi="Arial" w:cs="Arial"/>
          <w:sz w:val="20"/>
          <w:szCs w:val="20"/>
        </w:rPr>
        <w:t xml:space="preserve">, 745. </w:t>
      </w:r>
      <w:hyperlink r:id="rId32" w:tgtFrame="_new" w:history="1">
        <w:r w:rsidRPr="00EB1326">
          <w:rPr>
            <w:rStyle w:val="Hyperlink"/>
            <w:rFonts w:ascii="Arial" w:eastAsiaTheme="majorEastAsia" w:hAnsi="Arial" w:cs="Arial"/>
            <w:sz w:val="20"/>
            <w:szCs w:val="20"/>
          </w:rPr>
          <w:t>https://doi.org/10.3389/fmicb.2015.00745</w:t>
        </w:r>
      </w:hyperlink>
    </w:p>
    <w:p w14:paraId="263F97B1"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lastRenderedPageBreak/>
        <w:t xml:space="preserve">Zhang, X.-Q., Hu, G.-Q., Bai, X.-M., &amp; Zhang, Q.-G. (2012). Effects of nitrogen fertilization and root separation on the plant growth and grain yield of maize and its rhizosphere microorganisms. </w:t>
      </w:r>
      <w:r w:rsidRPr="00EB1326">
        <w:rPr>
          <w:rStyle w:val="Emphasis"/>
          <w:rFonts w:ascii="Arial" w:eastAsiaTheme="majorEastAsia" w:hAnsi="Arial" w:cs="Arial"/>
          <w:sz w:val="20"/>
          <w:szCs w:val="20"/>
        </w:rPr>
        <w:t>Ying Yong Sheng Tai Xue Bao (Chinese Journal of Applied Ecology), 23</w:t>
      </w:r>
      <w:r w:rsidRPr="00EB1326">
        <w:rPr>
          <w:rFonts w:ascii="Arial" w:hAnsi="Arial" w:cs="Arial"/>
          <w:sz w:val="20"/>
          <w:szCs w:val="20"/>
        </w:rPr>
        <w:t>(1), 79–82.</w:t>
      </w:r>
      <w:r w:rsidRPr="00EB1326">
        <w:rPr>
          <w:rFonts w:ascii="Arial" w:hAnsi="Arial" w:cs="Arial"/>
          <w:sz w:val="20"/>
          <w:szCs w:val="20"/>
        </w:rPr>
        <w:br/>
      </w:r>
      <w:r w:rsidRPr="00EB1326">
        <w:rPr>
          <w:rStyle w:val="Emphasis"/>
          <w:rFonts w:ascii="Arial" w:eastAsiaTheme="majorEastAsia" w:hAnsi="Arial" w:cs="Arial"/>
          <w:sz w:val="20"/>
          <w:szCs w:val="20"/>
        </w:rPr>
        <w:t>(Note: Chinese names have been adapted to APA format with family name first and initials capitalized. Let me know if you want to keep original romanization.)</w:t>
      </w:r>
    </w:p>
    <w:p w14:paraId="70AB38F7"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Matos, A. D. M., Gomes, I. C. P., </w:t>
      </w:r>
      <w:proofErr w:type="spellStart"/>
      <w:r w:rsidRPr="00EB1326">
        <w:rPr>
          <w:rFonts w:ascii="Arial" w:hAnsi="Arial" w:cs="Arial"/>
          <w:sz w:val="20"/>
          <w:szCs w:val="20"/>
        </w:rPr>
        <w:t>Nietsche</w:t>
      </w:r>
      <w:proofErr w:type="spellEnd"/>
      <w:r w:rsidRPr="00EB1326">
        <w:rPr>
          <w:rFonts w:ascii="Arial" w:hAnsi="Arial" w:cs="Arial"/>
          <w:sz w:val="20"/>
          <w:szCs w:val="20"/>
        </w:rPr>
        <w:t xml:space="preserve">, S., Xavier, A. A., Gomes, W. S., Dos Santos, J. A. Neto, &amp; Pereira, M. C. T. (2017). Phosphate solubilization by endophytic bacteria isolated from banana trees. </w:t>
      </w:r>
      <w:r w:rsidRPr="00EB1326">
        <w:rPr>
          <w:rStyle w:val="Emphasis"/>
          <w:rFonts w:ascii="Arial" w:eastAsiaTheme="majorEastAsia" w:hAnsi="Arial" w:cs="Arial"/>
          <w:sz w:val="20"/>
          <w:szCs w:val="20"/>
        </w:rPr>
        <w:t xml:space="preserve">Anais da Academia </w:t>
      </w:r>
      <w:proofErr w:type="spellStart"/>
      <w:r w:rsidRPr="00EB1326">
        <w:rPr>
          <w:rStyle w:val="Emphasis"/>
          <w:rFonts w:ascii="Arial" w:eastAsiaTheme="majorEastAsia" w:hAnsi="Arial" w:cs="Arial"/>
          <w:sz w:val="20"/>
          <w:szCs w:val="20"/>
        </w:rPr>
        <w:t>Brasileira</w:t>
      </w:r>
      <w:proofErr w:type="spellEnd"/>
      <w:r w:rsidRPr="00EB1326">
        <w:rPr>
          <w:rStyle w:val="Emphasis"/>
          <w:rFonts w:ascii="Arial" w:eastAsiaTheme="majorEastAsia" w:hAnsi="Arial" w:cs="Arial"/>
          <w:sz w:val="20"/>
          <w:szCs w:val="20"/>
        </w:rPr>
        <w:t xml:space="preserve"> de </w:t>
      </w:r>
      <w:proofErr w:type="spellStart"/>
      <w:r w:rsidRPr="00EB1326">
        <w:rPr>
          <w:rStyle w:val="Emphasis"/>
          <w:rFonts w:ascii="Arial" w:eastAsiaTheme="majorEastAsia" w:hAnsi="Arial" w:cs="Arial"/>
          <w:sz w:val="20"/>
          <w:szCs w:val="20"/>
        </w:rPr>
        <w:t>Ciências</w:t>
      </w:r>
      <w:proofErr w:type="spellEnd"/>
      <w:r w:rsidRPr="00EB1326">
        <w:rPr>
          <w:rStyle w:val="Emphasis"/>
          <w:rFonts w:ascii="Arial" w:eastAsiaTheme="majorEastAsia" w:hAnsi="Arial" w:cs="Arial"/>
          <w:sz w:val="20"/>
          <w:szCs w:val="20"/>
        </w:rPr>
        <w:t>, 89</w:t>
      </w:r>
      <w:r w:rsidRPr="00EB1326">
        <w:rPr>
          <w:rFonts w:ascii="Arial" w:hAnsi="Arial" w:cs="Arial"/>
          <w:sz w:val="20"/>
          <w:szCs w:val="20"/>
        </w:rPr>
        <w:t xml:space="preserve">(4), 2945–2954. </w:t>
      </w:r>
      <w:hyperlink r:id="rId33" w:tgtFrame="_new" w:history="1">
        <w:r w:rsidRPr="00EB1326">
          <w:rPr>
            <w:rStyle w:val="Hyperlink"/>
            <w:rFonts w:ascii="Arial" w:eastAsiaTheme="majorEastAsia" w:hAnsi="Arial" w:cs="Arial"/>
            <w:sz w:val="20"/>
            <w:szCs w:val="20"/>
          </w:rPr>
          <w:t>https://doi.org/10.1590/0001-3765201720160111</w:t>
        </w:r>
      </w:hyperlink>
    </w:p>
    <w:p w14:paraId="73B5497F"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proofErr w:type="spellStart"/>
      <w:r w:rsidRPr="00EB1326">
        <w:rPr>
          <w:rFonts w:ascii="Arial" w:hAnsi="Arial" w:cs="Arial"/>
          <w:sz w:val="20"/>
          <w:szCs w:val="20"/>
        </w:rPr>
        <w:t>Beneduzi</w:t>
      </w:r>
      <w:proofErr w:type="spellEnd"/>
      <w:r w:rsidRPr="00EB1326">
        <w:rPr>
          <w:rFonts w:ascii="Arial" w:hAnsi="Arial" w:cs="Arial"/>
          <w:sz w:val="20"/>
          <w:szCs w:val="20"/>
        </w:rPr>
        <w:t xml:space="preserve">, A., &amp; Passaglia, L.M.P. (2011). Genetic and Phenotypic Diversity of Plant Growth Promoting Bacilli. In: Maheshwari, D. (Eds) Bacteria in Agrobiology: Plant Growth Responses. Springer, Berlin, Heidelberg. </w:t>
      </w:r>
      <w:hyperlink r:id="rId34" w:history="1">
        <w:r w:rsidRPr="00EB1326">
          <w:rPr>
            <w:rStyle w:val="Hyperlink"/>
            <w:rFonts w:ascii="Arial" w:hAnsi="Arial" w:cs="Arial"/>
            <w:sz w:val="20"/>
            <w:szCs w:val="20"/>
          </w:rPr>
          <w:t>https://doi.org/10.1007/978-3-642-20332-9_1</w:t>
        </w:r>
      </w:hyperlink>
      <w:r w:rsidRPr="00EB1326">
        <w:rPr>
          <w:rFonts w:ascii="Arial" w:hAnsi="Arial" w:cs="Arial"/>
          <w:sz w:val="20"/>
          <w:szCs w:val="20"/>
        </w:rPr>
        <w:t xml:space="preserve"> </w:t>
      </w:r>
    </w:p>
    <w:p w14:paraId="0CD19163"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Vessey, J. K. &amp; Heisinger, K. G. (2001) Effect of </w:t>
      </w:r>
      <w:r w:rsidRPr="00EB1326">
        <w:rPr>
          <w:rFonts w:ascii="Arial" w:hAnsi="Arial" w:cs="Arial"/>
          <w:i/>
          <w:sz w:val="20"/>
          <w:szCs w:val="20"/>
        </w:rPr>
        <w:t xml:space="preserve">Penicillium </w:t>
      </w:r>
      <w:proofErr w:type="spellStart"/>
      <w:r w:rsidRPr="00EB1326">
        <w:rPr>
          <w:rFonts w:ascii="Arial" w:hAnsi="Arial" w:cs="Arial"/>
          <w:i/>
          <w:sz w:val="20"/>
          <w:szCs w:val="20"/>
        </w:rPr>
        <w:t>bilaii</w:t>
      </w:r>
      <w:proofErr w:type="spellEnd"/>
      <w:r w:rsidRPr="00EB1326">
        <w:rPr>
          <w:rFonts w:ascii="Arial" w:hAnsi="Arial" w:cs="Arial"/>
          <w:sz w:val="20"/>
          <w:szCs w:val="20"/>
        </w:rPr>
        <w:t xml:space="preserve"> inoculation and phosphorus fertilization on root and shoot parameters of field-grown pea. </w:t>
      </w:r>
      <w:r w:rsidRPr="00EB1326">
        <w:rPr>
          <w:rFonts w:ascii="Arial" w:hAnsi="Arial" w:cs="Arial"/>
          <w:i/>
          <w:sz w:val="20"/>
          <w:szCs w:val="20"/>
        </w:rPr>
        <w:t>Canadian J Plant Sci</w:t>
      </w:r>
      <w:r w:rsidRPr="00EB1326">
        <w:rPr>
          <w:rFonts w:ascii="Arial" w:hAnsi="Arial" w:cs="Arial"/>
          <w:iCs/>
          <w:sz w:val="20"/>
          <w:szCs w:val="20"/>
        </w:rPr>
        <w:t xml:space="preserve"> </w:t>
      </w:r>
      <w:r w:rsidRPr="00EB1326">
        <w:rPr>
          <w:rFonts w:ascii="Arial" w:hAnsi="Arial" w:cs="Arial"/>
          <w:sz w:val="20"/>
          <w:szCs w:val="20"/>
        </w:rPr>
        <w:t xml:space="preserve">81:361–366 </w:t>
      </w:r>
      <w:hyperlink r:id="rId35" w:history="1">
        <w:r w:rsidRPr="00EB1326">
          <w:rPr>
            <w:rStyle w:val="Hyperlink"/>
            <w:rFonts w:ascii="Arial" w:hAnsi="Arial" w:cs="Arial"/>
            <w:sz w:val="20"/>
            <w:szCs w:val="20"/>
          </w:rPr>
          <w:t>https://doi.org/10.4141/P00-083</w:t>
        </w:r>
      </w:hyperlink>
      <w:r w:rsidRPr="00EB1326">
        <w:rPr>
          <w:rFonts w:ascii="Arial" w:hAnsi="Arial" w:cs="Arial"/>
          <w:sz w:val="20"/>
          <w:szCs w:val="20"/>
        </w:rPr>
        <w:t xml:space="preserve"> </w:t>
      </w:r>
    </w:p>
    <w:p w14:paraId="5EC34D5E"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Villa, T.C.C., Maxted, N., Scholten, M. &amp; Ford-Lloyd, B. (2005) Defining and identifying crop landraces. </w:t>
      </w:r>
      <w:r w:rsidRPr="00EB1326">
        <w:rPr>
          <w:rFonts w:ascii="Arial" w:hAnsi="Arial" w:cs="Arial"/>
          <w:i/>
          <w:sz w:val="20"/>
          <w:szCs w:val="20"/>
        </w:rPr>
        <w:t>Plant Genetic Resources</w:t>
      </w:r>
      <w:r w:rsidRPr="00EB1326">
        <w:rPr>
          <w:rFonts w:ascii="Arial" w:hAnsi="Arial" w:cs="Arial"/>
          <w:sz w:val="20"/>
          <w:szCs w:val="20"/>
        </w:rPr>
        <w:t xml:space="preserve"> 3:373–384 </w:t>
      </w:r>
      <w:hyperlink r:id="rId36" w:history="1">
        <w:r w:rsidRPr="00EB1326">
          <w:rPr>
            <w:rStyle w:val="Hyperlink"/>
            <w:rFonts w:ascii="Arial" w:hAnsi="Arial" w:cs="Arial"/>
            <w:sz w:val="20"/>
            <w:szCs w:val="20"/>
          </w:rPr>
          <w:t>https://doi.org/10.1079/PGR200591</w:t>
        </w:r>
      </w:hyperlink>
    </w:p>
    <w:p w14:paraId="057BF727"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sectPr w:rsidR="00F36870" w:rsidRPr="00EB1326" w:rsidSect="00ED760C">
          <w:headerReference w:type="even" r:id="rId37"/>
          <w:headerReference w:type="default" r:id="rId38"/>
          <w:footerReference w:type="even" r:id="rId39"/>
          <w:footerReference w:type="default" r:id="rId40"/>
          <w:headerReference w:type="first" r:id="rId41"/>
          <w:footerReference w:type="first" r:id="rId42"/>
          <w:type w:val="nextPage"/>
          <w:pgSz w:w="12240" w:h="15840"/>
          <w:pgMar w:top="1440" w:right="2016" w:bottom="2016" w:left="2016" w:header="720" w:footer="1123" w:gutter="0"/>
          <w:cols w:space="720"/>
          <w:docGrid w:linePitch="272"/>
        </w:sectPr>
      </w:pPr>
      <w:r w:rsidRPr="00EB1326">
        <w:rPr>
          <w:rFonts w:ascii="Arial" w:hAnsi="Arial" w:cs="Arial"/>
          <w:sz w:val="20"/>
          <w:szCs w:val="20"/>
        </w:rPr>
        <w:t xml:space="preserve">Richardson, A.E., Barea, </w:t>
      </w:r>
      <w:proofErr w:type="gramStart"/>
      <w:r w:rsidRPr="00EB1326">
        <w:rPr>
          <w:rFonts w:ascii="Arial" w:hAnsi="Arial" w:cs="Arial"/>
          <w:sz w:val="20"/>
          <w:szCs w:val="20"/>
        </w:rPr>
        <w:t>J.M,,</w:t>
      </w:r>
      <w:proofErr w:type="gramEnd"/>
      <w:r w:rsidRPr="00EB1326">
        <w:rPr>
          <w:rFonts w:ascii="Arial" w:hAnsi="Arial" w:cs="Arial"/>
          <w:sz w:val="20"/>
          <w:szCs w:val="20"/>
        </w:rPr>
        <w:t xml:space="preserve"> McNeill, A.M, </w:t>
      </w:r>
      <w:r w:rsidRPr="00EB1326">
        <w:rPr>
          <w:rFonts w:ascii="Arial" w:hAnsi="Arial" w:cs="Arial"/>
          <w:i/>
          <w:iCs/>
          <w:sz w:val="20"/>
          <w:szCs w:val="20"/>
        </w:rPr>
        <w:t>et al.</w:t>
      </w:r>
      <w:r w:rsidRPr="00EB1326">
        <w:rPr>
          <w:rFonts w:ascii="Arial" w:hAnsi="Arial" w:cs="Arial"/>
          <w:sz w:val="20"/>
          <w:szCs w:val="20"/>
        </w:rPr>
        <w:t> (2009) Acquisition of phosphorus and nitrogen in the rhizosphere and plant growth promotion by microorganisms. </w:t>
      </w:r>
      <w:r w:rsidRPr="00EB1326">
        <w:rPr>
          <w:rFonts w:ascii="Arial" w:hAnsi="Arial" w:cs="Arial"/>
          <w:i/>
          <w:iCs/>
          <w:sz w:val="20"/>
          <w:szCs w:val="20"/>
        </w:rPr>
        <w:t>Plant Soil</w:t>
      </w:r>
      <w:r w:rsidRPr="00EB1326">
        <w:rPr>
          <w:rFonts w:ascii="Arial" w:hAnsi="Arial" w:cs="Arial"/>
          <w:sz w:val="20"/>
          <w:szCs w:val="20"/>
        </w:rPr>
        <w:t xml:space="preserve"> 321, 305–339 </w:t>
      </w:r>
      <w:hyperlink r:id="rId43" w:history="1">
        <w:r w:rsidRPr="00EB1326">
          <w:rPr>
            <w:rStyle w:val="Hyperlink"/>
            <w:rFonts w:ascii="Arial" w:hAnsi="Arial" w:cs="Arial"/>
            <w:sz w:val="20"/>
            <w:szCs w:val="20"/>
          </w:rPr>
          <w:t>https://doi.org/10.1007/s11104-009-9895-2</w:t>
        </w:r>
      </w:hyperlink>
    </w:p>
    <w:p w14:paraId="7FC54B23" w14:textId="77777777" w:rsidR="00F36870" w:rsidRPr="00EB1326" w:rsidRDefault="00F36870" w:rsidP="00F36870">
      <w:pPr>
        <w:rPr>
          <w:rFonts w:ascii="Arial" w:hAnsi="Arial" w:cs="Arial"/>
        </w:rPr>
      </w:pPr>
    </w:p>
    <w:p w14:paraId="16855BEA" w14:textId="57A93FCF" w:rsidR="00B01FCD" w:rsidRDefault="00B01FCD" w:rsidP="00F36870">
      <w:pPr>
        <w:pStyle w:val="Body"/>
        <w:spacing w:after="0"/>
        <w:rPr>
          <w:rFonts w:ascii="Arial" w:hAnsi="Arial" w:cs="Arial"/>
          <w:b/>
        </w:rPr>
      </w:pPr>
    </w:p>
    <w:p w14:paraId="6B4F58C3" w14:textId="77777777" w:rsidR="002340C1" w:rsidRDefault="002340C1" w:rsidP="00F36870">
      <w:pPr>
        <w:pStyle w:val="Body"/>
        <w:spacing w:after="0"/>
        <w:rPr>
          <w:rFonts w:ascii="Arial" w:hAnsi="Arial" w:cs="Arial"/>
          <w:b/>
        </w:rPr>
      </w:pPr>
    </w:p>
    <w:p w14:paraId="4E80663B" w14:textId="77777777" w:rsidR="002340C1" w:rsidRPr="002340C1" w:rsidRDefault="002340C1" w:rsidP="002340C1">
      <w:pPr>
        <w:spacing w:before="40" w:after="40"/>
        <w:jc w:val="both"/>
        <w:rPr>
          <w:rFonts w:ascii="Arial" w:eastAsia="Helvetica Neue" w:hAnsi="Arial" w:cs="Arial"/>
          <w:b/>
          <w:bCs/>
          <w:sz w:val="22"/>
          <w:szCs w:val="22"/>
          <w:lang w:val="en-GB" w:eastAsia="en-IN" w:bidi="pa-IN"/>
        </w:rPr>
      </w:pPr>
      <w:r w:rsidRPr="002340C1">
        <w:rPr>
          <w:rFonts w:ascii="Arial" w:eastAsia="Helvetica Neue" w:hAnsi="Arial" w:cs="Arial"/>
          <w:b/>
          <w:bCs/>
          <w:sz w:val="22"/>
          <w:szCs w:val="22"/>
          <w:lang w:val="en-GB" w:eastAsia="en-IN" w:bidi="pa-IN"/>
        </w:rPr>
        <w:t xml:space="preserve">Supplementary Table 1-Microscopic and colony characteristics of Phosphate solubilizing bacteria isolates </w:t>
      </w:r>
    </w:p>
    <w:p w14:paraId="2EDECCC3" w14:textId="77777777" w:rsidR="002340C1" w:rsidRPr="002340C1" w:rsidRDefault="002340C1" w:rsidP="002340C1">
      <w:pPr>
        <w:spacing w:before="40" w:after="40"/>
        <w:jc w:val="both"/>
        <w:rPr>
          <w:rFonts w:ascii="Arial" w:eastAsia="Helvetica Neue" w:hAnsi="Arial" w:cs="Arial"/>
          <w:lang w:val="en-GB" w:eastAsia="en-IN" w:bidi="pa-IN"/>
        </w:rPr>
      </w:pPr>
    </w:p>
    <w:tbl>
      <w:tblPr>
        <w:tblW w:w="14040" w:type="dxa"/>
        <w:jc w:val="center"/>
        <w:tblBorders>
          <w:insideH w:val="single" w:sz="4" w:space="0" w:color="auto"/>
        </w:tblBorders>
        <w:tblLayout w:type="fixed"/>
        <w:tblLook w:val="0000" w:firstRow="0" w:lastRow="0" w:firstColumn="0" w:lastColumn="0" w:noHBand="0" w:noVBand="0"/>
      </w:tblPr>
      <w:tblGrid>
        <w:gridCol w:w="120"/>
        <w:gridCol w:w="1065"/>
        <w:gridCol w:w="1080"/>
        <w:gridCol w:w="1095"/>
        <w:gridCol w:w="3360"/>
        <w:gridCol w:w="960"/>
        <w:gridCol w:w="1020"/>
        <w:gridCol w:w="1095"/>
        <w:gridCol w:w="1335"/>
        <w:gridCol w:w="810"/>
        <w:gridCol w:w="975"/>
        <w:gridCol w:w="1125"/>
      </w:tblGrid>
      <w:tr w:rsidR="002340C1" w:rsidRPr="002340C1" w14:paraId="2A2104C7" w14:textId="77777777" w:rsidTr="00F40745">
        <w:trPr>
          <w:gridBefore w:val="1"/>
          <w:wBefore w:w="120" w:type="dxa"/>
          <w:cantSplit/>
          <w:trHeight w:val="20"/>
          <w:jc w:val="center"/>
        </w:trPr>
        <w:tc>
          <w:tcPr>
            <w:tcW w:w="1065" w:type="dxa"/>
            <w:vMerge w:val="restart"/>
            <w:vAlign w:val="center"/>
          </w:tcPr>
          <w:p w14:paraId="346228B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Isolate No.</w:t>
            </w:r>
          </w:p>
        </w:tc>
        <w:tc>
          <w:tcPr>
            <w:tcW w:w="5535" w:type="dxa"/>
            <w:gridSpan w:val="3"/>
            <w:vAlign w:val="center"/>
          </w:tcPr>
          <w:p w14:paraId="34BFA53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Microscopic characteristics</w:t>
            </w:r>
          </w:p>
        </w:tc>
        <w:tc>
          <w:tcPr>
            <w:tcW w:w="7320" w:type="dxa"/>
            <w:gridSpan w:val="7"/>
            <w:vAlign w:val="center"/>
          </w:tcPr>
          <w:p w14:paraId="3732923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Colony characteristics</w:t>
            </w:r>
          </w:p>
        </w:tc>
      </w:tr>
      <w:tr w:rsidR="002340C1" w:rsidRPr="002340C1" w14:paraId="7BC424B6" w14:textId="77777777" w:rsidTr="00F40745">
        <w:trPr>
          <w:gridBefore w:val="1"/>
          <w:wBefore w:w="120" w:type="dxa"/>
          <w:cantSplit/>
          <w:trHeight w:val="20"/>
          <w:jc w:val="center"/>
        </w:trPr>
        <w:tc>
          <w:tcPr>
            <w:tcW w:w="1065" w:type="dxa"/>
            <w:vMerge/>
            <w:vAlign w:val="center"/>
          </w:tcPr>
          <w:p w14:paraId="4FC11F3B" w14:textId="77777777" w:rsidR="002340C1" w:rsidRPr="002340C1" w:rsidRDefault="002340C1" w:rsidP="002340C1">
            <w:pPr>
              <w:widowControl w:val="0"/>
              <w:pBdr>
                <w:top w:val="nil"/>
                <w:left w:val="nil"/>
                <w:bottom w:val="nil"/>
                <w:right w:val="nil"/>
                <w:between w:val="nil"/>
              </w:pBdr>
              <w:jc w:val="both"/>
              <w:rPr>
                <w:rFonts w:ascii="Arial" w:hAnsi="Arial" w:cs="Arial"/>
                <w:lang w:val="en-GB" w:eastAsia="en-IN" w:bidi="pa-IN"/>
              </w:rPr>
            </w:pPr>
          </w:p>
        </w:tc>
        <w:tc>
          <w:tcPr>
            <w:tcW w:w="1080" w:type="dxa"/>
            <w:vAlign w:val="center"/>
          </w:tcPr>
          <w:p w14:paraId="3ED80B9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Gram reaction</w:t>
            </w:r>
          </w:p>
        </w:tc>
        <w:tc>
          <w:tcPr>
            <w:tcW w:w="1095" w:type="dxa"/>
            <w:vAlign w:val="center"/>
          </w:tcPr>
          <w:p w14:paraId="0140EAE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Cell shape</w:t>
            </w:r>
          </w:p>
        </w:tc>
        <w:tc>
          <w:tcPr>
            <w:tcW w:w="3360" w:type="dxa"/>
            <w:vAlign w:val="center"/>
          </w:tcPr>
          <w:p w14:paraId="327FA9D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Cell arrangement</w:t>
            </w:r>
          </w:p>
        </w:tc>
        <w:tc>
          <w:tcPr>
            <w:tcW w:w="960" w:type="dxa"/>
            <w:vAlign w:val="center"/>
          </w:tcPr>
          <w:p w14:paraId="66A3200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Texture</w:t>
            </w:r>
          </w:p>
        </w:tc>
        <w:tc>
          <w:tcPr>
            <w:tcW w:w="1020" w:type="dxa"/>
            <w:vAlign w:val="center"/>
          </w:tcPr>
          <w:p w14:paraId="1B10951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Surface</w:t>
            </w:r>
          </w:p>
        </w:tc>
        <w:tc>
          <w:tcPr>
            <w:tcW w:w="1095" w:type="dxa"/>
            <w:vAlign w:val="center"/>
          </w:tcPr>
          <w:p w14:paraId="663505D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Opacity</w:t>
            </w:r>
          </w:p>
        </w:tc>
        <w:tc>
          <w:tcPr>
            <w:tcW w:w="1335" w:type="dxa"/>
            <w:vAlign w:val="center"/>
          </w:tcPr>
          <w:p w14:paraId="1B2D4167"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b/>
                <w:lang w:val="en-GB" w:eastAsia="en-IN" w:bidi="pa-IN"/>
              </w:rPr>
              <w:t>Color</w:t>
            </w:r>
            <w:proofErr w:type="spellEnd"/>
          </w:p>
        </w:tc>
        <w:tc>
          <w:tcPr>
            <w:tcW w:w="810" w:type="dxa"/>
            <w:vAlign w:val="center"/>
          </w:tcPr>
          <w:p w14:paraId="3232C66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Edge</w:t>
            </w:r>
          </w:p>
        </w:tc>
        <w:tc>
          <w:tcPr>
            <w:tcW w:w="975" w:type="dxa"/>
            <w:vAlign w:val="center"/>
          </w:tcPr>
          <w:p w14:paraId="60F29A9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Shape</w:t>
            </w:r>
          </w:p>
        </w:tc>
        <w:tc>
          <w:tcPr>
            <w:tcW w:w="1125" w:type="dxa"/>
            <w:vAlign w:val="center"/>
          </w:tcPr>
          <w:p w14:paraId="5622452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Elevation</w:t>
            </w:r>
          </w:p>
        </w:tc>
      </w:tr>
      <w:tr w:rsidR="002340C1" w:rsidRPr="002340C1" w14:paraId="48AA8505" w14:textId="77777777" w:rsidTr="00F40745">
        <w:trPr>
          <w:gridBefore w:val="1"/>
          <w:wBefore w:w="120" w:type="dxa"/>
          <w:trHeight w:val="469"/>
          <w:jc w:val="center"/>
        </w:trPr>
        <w:tc>
          <w:tcPr>
            <w:tcW w:w="13920" w:type="dxa"/>
            <w:gridSpan w:val="11"/>
            <w:vAlign w:val="center"/>
          </w:tcPr>
          <w:p w14:paraId="2EC14CC2" w14:textId="77777777" w:rsidR="002340C1" w:rsidRPr="002340C1" w:rsidRDefault="002340C1" w:rsidP="002340C1">
            <w:pPr>
              <w:widowControl w:val="0"/>
              <w:spacing w:before="20" w:after="20"/>
              <w:ind w:left="-86" w:right="-115"/>
              <w:jc w:val="both"/>
              <w:rPr>
                <w:rFonts w:ascii="Arial" w:hAnsi="Arial" w:cs="Arial"/>
                <w:b/>
                <w:bCs/>
                <w:lang w:val="en-GB" w:eastAsia="en-IN" w:bidi="pa-IN"/>
              </w:rPr>
            </w:pPr>
            <w:r w:rsidRPr="002340C1">
              <w:rPr>
                <w:rFonts w:ascii="Arial" w:hAnsi="Arial" w:cs="Arial"/>
                <w:b/>
                <w:bCs/>
                <w:lang w:val="en-GB" w:eastAsia="en-IN" w:bidi="pa-IN"/>
              </w:rPr>
              <w:t>P-starved conditions</w:t>
            </w:r>
          </w:p>
        </w:tc>
      </w:tr>
      <w:tr w:rsidR="002340C1" w:rsidRPr="002340C1" w14:paraId="669D1B51" w14:textId="77777777" w:rsidTr="00F40745">
        <w:trPr>
          <w:gridBefore w:val="1"/>
          <w:wBefore w:w="120" w:type="dxa"/>
          <w:trHeight w:val="469"/>
          <w:jc w:val="center"/>
        </w:trPr>
        <w:tc>
          <w:tcPr>
            <w:tcW w:w="1065" w:type="dxa"/>
            <w:vAlign w:val="center"/>
          </w:tcPr>
          <w:p w14:paraId="50BDE2C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w:t>
            </w:r>
          </w:p>
        </w:tc>
        <w:tc>
          <w:tcPr>
            <w:tcW w:w="1080" w:type="dxa"/>
            <w:vAlign w:val="center"/>
          </w:tcPr>
          <w:p w14:paraId="1FB22E49"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1A6644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37612B9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forming tetrads.</w:t>
            </w:r>
          </w:p>
        </w:tc>
        <w:tc>
          <w:tcPr>
            <w:tcW w:w="960" w:type="dxa"/>
            <w:vAlign w:val="center"/>
          </w:tcPr>
          <w:p w14:paraId="25D2241D"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09C021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ACCA26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0780584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Greyish White</w:t>
            </w:r>
          </w:p>
        </w:tc>
        <w:tc>
          <w:tcPr>
            <w:tcW w:w="810" w:type="dxa"/>
            <w:vAlign w:val="center"/>
          </w:tcPr>
          <w:p w14:paraId="61C6D74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243ECAC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Irregular</w:t>
            </w:r>
          </w:p>
        </w:tc>
        <w:tc>
          <w:tcPr>
            <w:tcW w:w="1125" w:type="dxa"/>
            <w:vAlign w:val="center"/>
          </w:tcPr>
          <w:p w14:paraId="17F6801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107B6995" w14:textId="77777777" w:rsidTr="00F40745">
        <w:trPr>
          <w:gridBefore w:val="1"/>
          <w:wBefore w:w="120" w:type="dxa"/>
          <w:trHeight w:val="20"/>
          <w:jc w:val="center"/>
        </w:trPr>
        <w:tc>
          <w:tcPr>
            <w:tcW w:w="1065" w:type="dxa"/>
            <w:vAlign w:val="center"/>
          </w:tcPr>
          <w:p w14:paraId="342DE34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2</w:t>
            </w:r>
          </w:p>
        </w:tc>
        <w:tc>
          <w:tcPr>
            <w:tcW w:w="1080" w:type="dxa"/>
            <w:vAlign w:val="center"/>
          </w:tcPr>
          <w:p w14:paraId="5F7496AC"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6C51EB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2337872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forming simple chain-like structures</w:t>
            </w:r>
          </w:p>
        </w:tc>
        <w:tc>
          <w:tcPr>
            <w:tcW w:w="960" w:type="dxa"/>
            <w:vAlign w:val="center"/>
          </w:tcPr>
          <w:p w14:paraId="2449B47F"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3A9E3C3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6379AA4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Clear</w:t>
            </w:r>
          </w:p>
        </w:tc>
        <w:tc>
          <w:tcPr>
            <w:tcW w:w="1335" w:type="dxa"/>
            <w:vAlign w:val="center"/>
          </w:tcPr>
          <w:p w14:paraId="4D874A6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5A3D2F1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7845A7D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3445B9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45084F5B" w14:textId="77777777" w:rsidTr="00F40745">
        <w:trPr>
          <w:gridBefore w:val="1"/>
          <w:wBefore w:w="120" w:type="dxa"/>
          <w:trHeight w:val="20"/>
          <w:jc w:val="center"/>
        </w:trPr>
        <w:tc>
          <w:tcPr>
            <w:tcW w:w="1065" w:type="dxa"/>
            <w:vAlign w:val="center"/>
          </w:tcPr>
          <w:p w14:paraId="698E40E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3</w:t>
            </w:r>
          </w:p>
        </w:tc>
        <w:tc>
          <w:tcPr>
            <w:tcW w:w="1080" w:type="dxa"/>
            <w:vAlign w:val="center"/>
          </w:tcPr>
          <w:p w14:paraId="115D04F0"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389319F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7E57199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individually or in pairs.</w:t>
            </w:r>
          </w:p>
        </w:tc>
        <w:tc>
          <w:tcPr>
            <w:tcW w:w="960" w:type="dxa"/>
            <w:vAlign w:val="center"/>
          </w:tcPr>
          <w:p w14:paraId="6E7D133C"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4F57E84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7A777D0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55056CE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4C30E79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B3057E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Irregular</w:t>
            </w:r>
          </w:p>
        </w:tc>
        <w:tc>
          <w:tcPr>
            <w:tcW w:w="1125" w:type="dxa"/>
            <w:vAlign w:val="center"/>
          </w:tcPr>
          <w:p w14:paraId="58A8210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3C79283F" w14:textId="77777777" w:rsidTr="00F40745">
        <w:trPr>
          <w:gridBefore w:val="1"/>
          <w:wBefore w:w="120" w:type="dxa"/>
          <w:trHeight w:val="20"/>
          <w:jc w:val="center"/>
        </w:trPr>
        <w:tc>
          <w:tcPr>
            <w:tcW w:w="1065" w:type="dxa"/>
            <w:vAlign w:val="center"/>
          </w:tcPr>
          <w:p w14:paraId="6AD91DE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4</w:t>
            </w:r>
          </w:p>
        </w:tc>
        <w:tc>
          <w:tcPr>
            <w:tcW w:w="1080" w:type="dxa"/>
            <w:vAlign w:val="center"/>
          </w:tcPr>
          <w:p w14:paraId="265D7B44"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6B4EB0D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3360" w:type="dxa"/>
            <w:vAlign w:val="center"/>
          </w:tcPr>
          <w:p w14:paraId="44E36A2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arranged in pairs.</w:t>
            </w:r>
          </w:p>
        </w:tc>
        <w:tc>
          <w:tcPr>
            <w:tcW w:w="960" w:type="dxa"/>
            <w:vAlign w:val="center"/>
          </w:tcPr>
          <w:p w14:paraId="636CDED7"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62ADDB8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42CBF32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Transparent</w:t>
            </w:r>
          </w:p>
        </w:tc>
        <w:tc>
          <w:tcPr>
            <w:tcW w:w="1335" w:type="dxa"/>
            <w:vAlign w:val="center"/>
          </w:tcPr>
          <w:p w14:paraId="253C1DF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Greyish White</w:t>
            </w:r>
          </w:p>
        </w:tc>
        <w:tc>
          <w:tcPr>
            <w:tcW w:w="810" w:type="dxa"/>
            <w:vAlign w:val="center"/>
          </w:tcPr>
          <w:p w14:paraId="0E55B3A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8D9758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197F1C9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764192A9" w14:textId="77777777" w:rsidTr="00F40745">
        <w:trPr>
          <w:gridBefore w:val="1"/>
          <w:wBefore w:w="120" w:type="dxa"/>
          <w:trHeight w:val="514"/>
          <w:jc w:val="center"/>
        </w:trPr>
        <w:tc>
          <w:tcPr>
            <w:tcW w:w="1065" w:type="dxa"/>
            <w:vAlign w:val="center"/>
          </w:tcPr>
          <w:p w14:paraId="0F09CCB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5</w:t>
            </w:r>
          </w:p>
        </w:tc>
        <w:tc>
          <w:tcPr>
            <w:tcW w:w="1080" w:type="dxa"/>
            <w:vAlign w:val="center"/>
          </w:tcPr>
          <w:p w14:paraId="06000598"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49E33BA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3360" w:type="dxa"/>
            <w:vAlign w:val="center"/>
          </w:tcPr>
          <w:p w14:paraId="2D74990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pairs, occasionally forming short chains.</w:t>
            </w:r>
          </w:p>
        </w:tc>
        <w:tc>
          <w:tcPr>
            <w:tcW w:w="960" w:type="dxa"/>
            <w:vAlign w:val="center"/>
          </w:tcPr>
          <w:p w14:paraId="6D1EE107"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54ABBAA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5B25B03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4FE5928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Yellow</w:t>
            </w:r>
          </w:p>
        </w:tc>
        <w:tc>
          <w:tcPr>
            <w:tcW w:w="810" w:type="dxa"/>
            <w:vAlign w:val="center"/>
          </w:tcPr>
          <w:p w14:paraId="35343F5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306F63D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3C57255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1C6B3FA6" w14:textId="77777777" w:rsidTr="00F40745">
        <w:trPr>
          <w:gridBefore w:val="1"/>
          <w:wBefore w:w="120" w:type="dxa"/>
          <w:trHeight w:val="20"/>
          <w:jc w:val="center"/>
        </w:trPr>
        <w:tc>
          <w:tcPr>
            <w:tcW w:w="1065" w:type="dxa"/>
            <w:vAlign w:val="center"/>
          </w:tcPr>
          <w:p w14:paraId="4CA465D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6</w:t>
            </w:r>
          </w:p>
        </w:tc>
        <w:tc>
          <w:tcPr>
            <w:tcW w:w="1080" w:type="dxa"/>
            <w:vAlign w:val="center"/>
          </w:tcPr>
          <w:p w14:paraId="59E3BA1A"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0675ED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68AE77C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linear chains.</w:t>
            </w:r>
          </w:p>
        </w:tc>
        <w:tc>
          <w:tcPr>
            <w:tcW w:w="960" w:type="dxa"/>
            <w:vAlign w:val="center"/>
          </w:tcPr>
          <w:p w14:paraId="08362267"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1FD28EB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6BBA501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659F1FA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248E246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7C17825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CF05EA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001DD758" w14:textId="77777777" w:rsidTr="00F40745">
        <w:trPr>
          <w:gridBefore w:val="1"/>
          <w:wBefore w:w="120" w:type="dxa"/>
          <w:trHeight w:val="20"/>
          <w:jc w:val="center"/>
        </w:trPr>
        <w:tc>
          <w:tcPr>
            <w:tcW w:w="1065" w:type="dxa"/>
            <w:vAlign w:val="center"/>
          </w:tcPr>
          <w:p w14:paraId="5975922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7</w:t>
            </w:r>
          </w:p>
        </w:tc>
        <w:tc>
          <w:tcPr>
            <w:tcW w:w="1080" w:type="dxa"/>
            <w:vAlign w:val="center"/>
          </w:tcPr>
          <w:p w14:paraId="0E73D921"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0D5D720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54EB278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in small clusters.</w:t>
            </w:r>
          </w:p>
        </w:tc>
        <w:tc>
          <w:tcPr>
            <w:tcW w:w="960" w:type="dxa"/>
            <w:vAlign w:val="center"/>
          </w:tcPr>
          <w:p w14:paraId="5C57D1A9"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3013310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6B4C1A2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619430B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0D1EDC7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Wavy</w:t>
            </w:r>
          </w:p>
        </w:tc>
        <w:tc>
          <w:tcPr>
            <w:tcW w:w="975" w:type="dxa"/>
            <w:vAlign w:val="center"/>
          </w:tcPr>
          <w:p w14:paraId="73FD7DB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Tiny</w:t>
            </w:r>
          </w:p>
        </w:tc>
        <w:tc>
          <w:tcPr>
            <w:tcW w:w="1125" w:type="dxa"/>
            <w:vAlign w:val="center"/>
          </w:tcPr>
          <w:p w14:paraId="5ECD2C0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51EDD194" w14:textId="77777777" w:rsidTr="00F40745">
        <w:trPr>
          <w:gridBefore w:val="1"/>
          <w:wBefore w:w="120" w:type="dxa"/>
          <w:trHeight w:val="20"/>
          <w:jc w:val="center"/>
        </w:trPr>
        <w:tc>
          <w:tcPr>
            <w:tcW w:w="1065" w:type="dxa"/>
            <w:vAlign w:val="center"/>
          </w:tcPr>
          <w:p w14:paraId="13DAE83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8</w:t>
            </w:r>
          </w:p>
        </w:tc>
        <w:tc>
          <w:tcPr>
            <w:tcW w:w="1080" w:type="dxa"/>
            <w:vAlign w:val="center"/>
          </w:tcPr>
          <w:p w14:paraId="500A737F"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3BFDB33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0ED166D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linear arrangements.</w:t>
            </w:r>
          </w:p>
        </w:tc>
        <w:tc>
          <w:tcPr>
            <w:tcW w:w="960" w:type="dxa"/>
            <w:vAlign w:val="center"/>
          </w:tcPr>
          <w:p w14:paraId="126293AF"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6AC84AA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0E5F89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Transparent</w:t>
            </w:r>
          </w:p>
        </w:tc>
        <w:tc>
          <w:tcPr>
            <w:tcW w:w="1335" w:type="dxa"/>
            <w:vAlign w:val="center"/>
          </w:tcPr>
          <w:p w14:paraId="317D6FD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 greenish</w:t>
            </w:r>
          </w:p>
        </w:tc>
        <w:tc>
          <w:tcPr>
            <w:tcW w:w="810" w:type="dxa"/>
            <w:vAlign w:val="center"/>
          </w:tcPr>
          <w:p w14:paraId="3437BE6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Wavy</w:t>
            </w:r>
          </w:p>
        </w:tc>
        <w:tc>
          <w:tcPr>
            <w:tcW w:w="975" w:type="dxa"/>
            <w:vAlign w:val="center"/>
          </w:tcPr>
          <w:p w14:paraId="598F691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Angular</w:t>
            </w:r>
          </w:p>
        </w:tc>
        <w:tc>
          <w:tcPr>
            <w:tcW w:w="1125" w:type="dxa"/>
            <w:vAlign w:val="center"/>
          </w:tcPr>
          <w:p w14:paraId="6DBEF5E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0921A8BE" w14:textId="77777777" w:rsidTr="00F40745">
        <w:trPr>
          <w:gridBefore w:val="1"/>
          <w:wBefore w:w="120" w:type="dxa"/>
          <w:trHeight w:val="20"/>
          <w:jc w:val="center"/>
        </w:trPr>
        <w:tc>
          <w:tcPr>
            <w:tcW w:w="1065" w:type="dxa"/>
            <w:vAlign w:val="center"/>
          </w:tcPr>
          <w:p w14:paraId="2B8DE91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9</w:t>
            </w:r>
          </w:p>
        </w:tc>
        <w:tc>
          <w:tcPr>
            <w:tcW w:w="1080" w:type="dxa"/>
            <w:vAlign w:val="center"/>
          </w:tcPr>
          <w:p w14:paraId="7E3303E5"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0629566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7AE4DB7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arranged in pairs.</w:t>
            </w:r>
          </w:p>
        </w:tc>
        <w:tc>
          <w:tcPr>
            <w:tcW w:w="960" w:type="dxa"/>
            <w:vAlign w:val="center"/>
          </w:tcPr>
          <w:p w14:paraId="38C4AF49"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6C8566F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54CB538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1750B84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Yellow</w:t>
            </w:r>
          </w:p>
        </w:tc>
        <w:tc>
          <w:tcPr>
            <w:tcW w:w="810" w:type="dxa"/>
            <w:vAlign w:val="center"/>
          </w:tcPr>
          <w:p w14:paraId="0EB9C81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83E0DD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4FA5079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547611F3" w14:textId="77777777" w:rsidTr="00F40745">
        <w:trPr>
          <w:gridBefore w:val="1"/>
          <w:wBefore w:w="120" w:type="dxa"/>
          <w:trHeight w:val="20"/>
          <w:jc w:val="center"/>
        </w:trPr>
        <w:tc>
          <w:tcPr>
            <w:tcW w:w="1065" w:type="dxa"/>
            <w:vAlign w:val="center"/>
          </w:tcPr>
          <w:p w14:paraId="6B5335E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10</w:t>
            </w:r>
          </w:p>
        </w:tc>
        <w:tc>
          <w:tcPr>
            <w:tcW w:w="1080" w:type="dxa"/>
            <w:vAlign w:val="center"/>
          </w:tcPr>
          <w:p w14:paraId="724881B6"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62A5215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73FE15E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small clusters.</w:t>
            </w:r>
          </w:p>
        </w:tc>
        <w:tc>
          <w:tcPr>
            <w:tcW w:w="960" w:type="dxa"/>
            <w:vAlign w:val="center"/>
          </w:tcPr>
          <w:p w14:paraId="759AF0F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20" w:type="dxa"/>
            <w:vAlign w:val="center"/>
          </w:tcPr>
          <w:p w14:paraId="541B40D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3492935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Clear</w:t>
            </w:r>
          </w:p>
        </w:tc>
        <w:tc>
          <w:tcPr>
            <w:tcW w:w="1335" w:type="dxa"/>
            <w:vAlign w:val="center"/>
          </w:tcPr>
          <w:p w14:paraId="762ACB9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62D1440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12BE19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5B79386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3870D937" w14:textId="77777777" w:rsidTr="00F40745">
        <w:trPr>
          <w:gridBefore w:val="1"/>
          <w:wBefore w:w="120" w:type="dxa"/>
          <w:trHeight w:val="20"/>
          <w:jc w:val="center"/>
        </w:trPr>
        <w:tc>
          <w:tcPr>
            <w:tcW w:w="1065" w:type="dxa"/>
            <w:vAlign w:val="center"/>
          </w:tcPr>
          <w:p w14:paraId="509B702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11</w:t>
            </w:r>
          </w:p>
        </w:tc>
        <w:tc>
          <w:tcPr>
            <w:tcW w:w="1080" w:type="dxa"/>
            <w:vAlign w:val="center"/>
          </w:tcPr>
          <w:p w14:paraId="7629FF40"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443222D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526FCE8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tetrads</w:t>
            </w:r>
          </w:p>
        </w:tc>
        <w:tc>
          <w:tcPr>
            <w:tcW w:w="960" w:type="dxa"/>
            <w:vAlign w:val="center"/>
          </w:tcPr>
          <w:p w14:paraId="2653CA65"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77884FF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4371B22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7BCCEED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w:t>
            </w:r>
          </w:p>
        </w:tc>
        <w:tc>
          <w:tcPr>
            <w:tcW w:w="810" w:type="dxa"/>
            <w:vAlign w:val="center"/>
          </w:tcPr>
          <w:p w14:paraId="7FF48CE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63CEFE4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16FE64E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7731C848" w14:textId="77777777" w:rsidTr="00F40745">
        <w:trPr>
          <w:gridBefore w:val="1"/>
          <w:wBefore w:w="120" w:type="dxa"/>
          <w:trHeight w:val="20"/>
          <w:jc w:val="center"/>
        </w:trPr>
        <w:tc>
          <w:tcPr>
            <w:tcW w:w="1065" w:type="dxa"/>
            <w:vAlign w:val="center"/>
          </w:tcPr>
          <w:p w14:paraId="5C49E5C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12</w:t>
            </w:r>
          </w:p>
        </w:tc>
        <w:tc>
          <w:tcPr>
            <w:tcW w:w="1080" w:type="dxa"/>
            <w:vAlign w:val="center"/>
          </w:tcPr>
          <w:p w14:paraId="1A00D21F"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2C89A60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37B378A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occasionally forming clusters.</w:t>
            </w:r>
          </w:p>
        </w:tc>
        <w:tc>
          <w:tcPr>
            <w:tcW w:w="960" w:type="dxa"/>
            <w:vAlign w:val="center"/>
          </w:tcPr>
          <w:p w14:paraId="7B280F74"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4AE5DA3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6EF13A3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Dull</w:t>
            </w:r>
          </w:p>
        </w:tc>
        <w:tc>
          <w:tcPr>
            <w:tcW w:w="1335" w:type="dxa"/>
            <w:vAlign w:val="center"/>
          </w:tcPr>
          <w:p w14:paraId="3753E9D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w:t>
            </w:r>
          </w:p>
        </w:tc>
        <w:tc>
          <w:tcPr>
            <w:tcW w:w="810" w:type="dxa"/>
            <w:vAlign w:val="center"/>
          </w:tcPr>
          <w:p w14:paraId="293F83A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04AA524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1522E82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r w:rsidR="002340C1" w:rsidRPr="002340C1" w14:paraId="5CC15E45" w14:textId="77777777" w:rsidTr="00F40745">
        <w:trPr>
          <w:gridBefore w:val="1"/>
          <w:wBefore w:w="120" w:type="dxa"/>
          <w:trHeight w:val="20"/>
          <w:jc w:val="center"/>
        </w:trPr>
        <w:tc>
          <w:tcPr>
            <w:tcW w:w="1065" w:type="dxa"/>
            <w:vAlign w:val="center"/>
          </w:tcPr>
          <w:p w14:paraId="4BDD6C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13</w:t>
            </w:r>
          </w:p>
        </w:tc>
        <w:tc>
          <w:tcPr>
            <w:tcW w:w="1080" w:type="dxa"/>
            <w:vAlign w:val="center"/>
          </w:tcPr>
          <w:p w14:paraId="08930F85"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0CC70BB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4B19B11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chains.</w:t>
            </w:r>
          </w:p>
        </w:tc>
        <w:tc>
          <w:tcPr>
            <w:tcW w:w="960" w:type="dxa"/>
            <w:vAlign w:val="center"/>
          </w:tcPr>
          <w:p w14:paraId="33AAB27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Viscid</w:t>
            </w:r>
          </w:p>
        </w:tc>
        <w:tc>
          <w:tcPr>
            <w:tcW w:w="1020" w:type="dxa"/>
            <w:vAlign w:val="center"/>
          </w:tcPr>
          <w:p w14:paraId="368E530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0D1429C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Transparent</w:t>
            </w:r>
          </w:p>
        </w:tc>
        <w:tc>
          <w:tcPr>
            <w:tcW w:w="1335" w:type="dxa"/>
            <w:vAlign w:val="center"/>
          </w:tcPr>
          <w:p w14:paraId="5993A94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10D12D6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43C6CB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3C74828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5251A5EC" w14:textId="77777777" w:rsidTr="00F40745">
        <w:trPr>
          <w:gridBefore w:val="1"/>
          <w:wBefore w:w="120" w:type="dxa"/>
          <w:trHeight w:val="20"/>
          <w:jc w:val="center"/>
        </w:trPr>
        <w:tc>
          <w:tcPr>
            <w:tcW w:w="1065" w:type="dxa"/>
            <w:vAlign w:val="center"/>
          </w:tcPr>
          <w:p w14:paraId="014A715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14</w:t>
            </w:r>
          </w:p>
        </w:tc>
        <w:tc>
          <w:tcPr>
            <w:tcW w:w="1080" w:type="dxa"/>
            <w:vAlign w:val="center"/>
          </w:tcPr>
          <w:p w14:paraId="1FEB864E"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298C147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7DF8D13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in small groups.</w:t>
            </w:r>
          </w:p>
        </w:tc>
        <w:tc>
          <w:tcPr>
            <w:tcW w:w="960" w:type="dxa"/>
            <w:vAlign w:val="center"/>
          </w:tcPr>
          <w:p w14:paraId="4D7ECF82"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14EB8A0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2B1A827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330CB06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08D7513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47531B2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Angular</w:t>
            </w:r>
          </w:p>
        </w:tc>
        <w:tc>
          <w:tcPr>
            <w:tcW w:w="1125" w:type="dxa"/>
            <w:vAlign w:val="center"/>
          </w:tcPr>
          <w:p w14:paraId="5A46344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275205DC" w14:textId="77777777" w:rsidTr="00F40745">
        <w:trPr>
          <w:trHeight w:val="20"/>
          <w:jc w:val="center"/>
        </w:trPr>
        <w:tc>
          <w:tcPr>
            <w:tcW w:w="14040" w:type="dxa"/>
            <w:gridSpan w:val="12"/>
            <w:vAlign w:val="center"/>
          </w:tcPr>
          <w:p w14:paraId="215725CE" w14:textId="77777777" w:rsidR="002340C1" w:rsidRPr="002340C1" w:rsidRDefault="002340C1" w:rsidP="002340C1">
            <w:pPr>
              <w:widowControl w:val="0"/>
              <w:spacing w:before="20" w:after="20"/>
              <w:ind w:left="-86" w:right="-115"/>
              <w:jc w:val="both"/>
              <w:rPr>
                <w:rFonts w:ascii="Arial" w:hAnsi="Arial" w:cs="Arial"/>
                <w:b/>
                <w:bCs/>
                <w:lang w:val="en-GB" w:eastAsia="en-IN" w:bidi="pa-IN"/>
              </w:rPr>
            </w:pPr>
            <w:r w:rsidRPr="002340C1">
              <w:rPr>
                <w:rFonts w:ascii="Arial" w:hAnsi="Arial" w:cs="Arial"/>
                <w:b/>
                <w:bCs/>
                <w:lang w:val="en-GB" w:eastAsia="en-IN" w:bidi="pa-IN"/>
              </w:rPr>
              <w:t>P-amended condition</w:t>
            </w:r>
          </w:p>
        </w:tc>
      </w:tr>
      <w:tr w:rsidR="002340C1" w:rsidRPr="002340C1" w14:paraId="175878E3" w14:textId="77777777" w:rsidTr="00F40745">
        <w:trPr>
          <w:gridBefore w:val="1"/>
          <w:wBefore w:w="120" w:type="dxa"/>
          <w:trHeight w:val="20"/>
          <w:jc w:val="center"/>
        </w:trPr>
        <w:tc>
          <w:tcPr>
            <w:tcW w:w="1065" w:type="dxa"/>
            <w:vAlign w:val="center"/>
          </w:tcPr>
          <w:p w14:paraId="10B7A15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lastRenderedPageBreak/>
              <w:t>14</w:t>
            </w:r>
          </w:p>
        </w:tc>
        <w:tc>
          <w:tcPr>
            <w:tcW w:w="1080" w:type="dxa"/>
            <w:vAlign w:val="center"/>
          </w:tcPr>
          <w:p w14:paraId="6FB546F7"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870730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2CFACDB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in small groups.</w:t>
            </w:r>
          </w:p>
        </w:tc>
        <w:tc>
          <w:tcPr>
            <w:tcW w:w="960" w:type="dxa"/>
            <w:vAlign w:val="center"/>
          </w:tcPr>
          <w:p w14:paraId="2CB268A1"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5364B41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595DBAC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7BD28D9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578F20B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28E6E95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Angular</w:t>
            </w:r>
          </w:p>
        </w:tc>
        <w:tc>
          <w:tcPr>
            <w:tcW w:w="1125" w:type="dxa"/>
            <w:vAlign w:val="center"/>
          </w:tcPr>
          <w:p w14:paraId="3D91A44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4A78ABF9" w14:textId="77777777" w:rsidTr="00F40745">
        <w:trPr>
          <w:gridBefore w:val="1"/>
          <w:wBefore w:w="120" w:type="dxa"/>
          <w:trHeight w:val="20"/>
          <w:jc w:val="center"/>
        </w:trPr>
        <w:tc>
          <w:tcPr>
            <w:tcW w:w="1065" w:type="dxa"/>
            <w:vAlign w:val="center"/>
          </w:tcPr>
          <w:p w14:paraId="3822535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15</w:t>
            </w:r>
          </w:p>
        </w:tc>
        <w:tc>
          <w:tcPr>
            <w:tcW w:w="1080" w:type="dxa"/>
            <w:vAlign w:val="center"/>
          </w:tcPr>
          <w:p w14:paraId="17E2FC68"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79F9DB2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015A2C7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simple groupings.</w:t>
            </w:r>
          </w:p>
        </w:tc>
        <w:tc>
          <w:tcPr>
            <w:tcW w:w="960" w:type="dxa"/>
            <w:vAlign w:val="center"/>
          </w:tcPr>
          <w:p w14:paraId="7B67652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Brittle</w:t>
            </w:r>
          </w:p>
        </w:tc>
        <w:tc>
          <w:tcPr>
            <w:tcW w:w="1020" w:type="dxa"/>
            <w:vAlign w:val="center"/>
          </w:tcPr>
          <w:p w14:paraId="489F95C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D41E32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53B47D0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4E2C526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562E8E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0E8CCBF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760052FC" w14:textId="77777777" w:rsidTr="00F40745">
        <w:trPr>
          <w:gridBefore w:val="1"/>
          <w:wBefore w:w="120" w:type="dxa"/>
          <w:trHeight w:val="20"/>
          <w:jc w:val="center"/>
        </w:trPr>
        <w:tc>
          <w:tcPr>
            <w:tcW w:w="1065" w:type="dxa"/>
            <w:vAlign w:val="center"/>
          </w:tcPr>
          <w:p w14:paraId="126A5DF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16</w:t>
            </w:r>
          </w:p>
        </w:tc>
        <w:tc>
          <w:tcPr>
            <w:tcW w:w="1080" w:type="dxa"/>
            <w:vAlign w:val="center"/>
          </w:tcPr>
          <w:p w14:paraId="15A41697"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53035F5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436E820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linear sequences</w:t>
            </w:r>
          </w:p>
        </w:tc>
        <w:tc>
          <w:tcPr>
            <w:tcW w:w="960" w:type="dxa"/>
            <w:vAlign w:val="center"/>
          </w:tcPr>
          <w:p w14:paraId="017FEB97"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237DC28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A9D1B4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682D1EE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 grey</w:t>
            </w:r>
          </w:p>
        </w:tc>
        <w:tc>
          <w:tcPr>
            <w:tcW w:w="810" w:type="dxa"/>
            <w:vAlign w:val="center"/>
          </w:tcPr>
          <w:p w14:paraId="2607F99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AFE304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48DFBC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r w:rsidR="002340C1" w:rsidRPr="002340C1" w14:paraId="16BA60C5" w14:textId="77777777" w:rsidTr="00F40745">
        <w:trPr>
          <w:gridBefore w:val="1"/>
          <w:wBefore w:w="120" w:type="dxa"/>
          <w:trHeight w:val="20"/>
          <w:jc w:val="center"/>
        </w:trPr>
        <w:tc>
          <w:tcPr>
            <w:tcW w:w="1065" w:type="dxa"/>
            <w:vAlign w:val="center"/>
          </w:tcPr>
          <w:p w14:paraId="057C840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17</w:t>
            </w:r>
          </w:p>
        </w:tc>
        <w:tc>
          <w:tcPr>
            <w:tcW w:w="1080" w:type="dxa"/>
            <w:vAlign w:val="center"/>
          </w:tcPr>
          <w:p w14:paraId="14E12150"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BC7B2B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571FAFE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occasionally forming tetrads.</w:t>
            </w:r>
          </w:p>
        </w:tc>
        <w:tc>
          <w:tcPr>
            <w:tcW w:w="960" w:type="dxa"/>
            <w:vAlign w:val="center"/>
          </w:tcPr>
          <w:p w14:paraId="75AB3AAE"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44F70D4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54C58EE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Clear</w:t>
            </w:r>
          </w:p>
        </w:tc>
        <w:tc>
          <w:tcPr>
            <w:tcW w:w="1335" w:type="dxa"/>
            <w:vAlign w:val="center"/>
          </w:tcPr>
          <w:p w14:paraId="3A07DE2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5AE34F4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5D64EB9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03B01FA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62389A8A" w14:textId="77777777" w:rsidTr="00F40745">
        <w:trPr>
          <w:gridBefore w:val="1"/>
          <w:wBefore w:w="120" w:type="dxa"/>
          <w:trHeight w:val="20"/>
          <w:jc w:val="center"/>
        </w:trPr>
        <w:tc>
          <w:tcPr>
            <w:tcW w:w="1065" w:type="dxa"/>
            <w:vAlign w:val="center"/>
          </w:tcPr>
          <w:p w14:paraId="071F340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18</w:t>
            </w:r>
          </w:p>
        </w:tc>
        <w:tc>
          <w:tcPr>
            <w:tcW w:w="1080" w:type="dxa"/>
            <w:vAlign w:val="center"/>
          </w:tcPr>
          <w:p w14:paraId="531B5E1C"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5BF63E2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10BB19D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small groupings.</w:t>
            </w:r>
          </w:p>
        </w:tc>
        <w:tc>
          <w:tcPr>
            <w:tcW w:w="960" w:type="dxa"/>
            <w:vAlign w:val="center"/>
          </w:tcPr>
          <w:p w14:paraId="74DA0A84"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6BD24E8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7E1AA21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5EC88C7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Creamy</w:t>
            </w:r>
          </w:p>
        </w:tc>
        <w:tc>
          <w:tcPr>
            <w:tcW w:w="810" w:type="dxa"/>
            <w:vAlign w:val="center"/>
          </w:tcPr>
          <w:p w14:paraId="4EC0A74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4FDE8C5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Wavy</w:t>
            </w:r>
          </w:p>
        </w:tc>
        <w:tc>
          <w:tcPr>
            <w:tcW w:w="1125" w:type="dxa"/>
            <w:vAlign w:val="center"/>
          </w:tcPr>
          <w:p w14:paraId="27BB946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6667FA2C" w14:textId="77777777" w:rsidTr="00F40745">
        <w:trPr>
          <w:gridBefore w:val="1"/>
          <w:wBefore w:w="120" w:type="dxa"/>
          <w:trHeight w:val="20"/>
          <w:jc w:val="center"/>
        </w:trPr>
        <w:tc>
          <w:tcPr>
            <w:tcW w:w="1065" w:type="dxa"/>
            <w:vAlign w:val="center"/>
          </w:tcPr>
          <w:p w14:paraId="308D94A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19</w:t>
            </w:r>
          </w:p>
        </w:tc>
        <w:tc>
          <w:tcPr>
            <w:tcW w:w="1080" w:type="dxa"/>
            <w:vAlign w:val="center"/>
          </w:tcPr>
          <w:p w14:paraId="428C6917"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FA8677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1A95ADA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forming simple linear arrangements.</w:t>
            </w:r>
          </w:p>
        </w:tc>
        <w:tc>
          <w:tcPr>
            <w:tcW w:w="960" w:type="dxa"/>
            <w:vAlign w:val="center"/>
          </w:tcPr>
          <w:p w14:paraId="7B339158"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045BC73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4FF678B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3D813E33"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Creamish</w:t>
            </w:r>
            <w:proofErr w:type="spellEnd"/>
          </w:p>
        </w:tc>
        <w:tc>
          <w:tcPr>
            <w:tcW w:w="810" w:type="dxa"/>
            <w:vAlign w:val="center"/>
          </w:tcPr>
          <w:p w14:paraId="223BF5D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7152B4E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Irregular</w:t>
            </w:r>
          </w:p>
        </w:tc>
        <w:tc>
          <w:tcPr>
            <w:tcW w:w="1125" w:type="dxa"/>
            <w:vAlign w:val="center"/>
          </w:tcPr>
          <w:p w14:paraId="0CF321E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46872E0E" w14:textId="77777777" w:rsidTr="00F40745">
        <w:trPr>
          <w:gridBefore w:val="1"/>
          <w:wBefore w:w="120" w:type="dxa"/>
          <w:trHeight w:val="20"/>
          <w:jc w:val="center"/>
        </w:trPr>
        <w:tc>
          <w:tcPr>
            <w:tcW w:w="1065" w:type="dxa"/>
            <w:vAlign w:val="center"/>
          </w:tcPr>
          <w:p w14:paraId="3DF55BB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20</w:t>
            </w:r>
          </w:p>
        </w:tc>
        <w:tc>
          <w:tcPr>
            <w:tcW w:w="1080" w:type="dxa"/>
            <w:vAlign w:val="center"/>
          </w:tcPr>
          <w:p w14:paraId="08CCBE13"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31A487A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0FF5576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small clusters.</w:t>
            </w:r>
          </w:p>
        </w:tc>
        <w:tc>
          <w:tcPr>
            <w:tcW w:w="960" w:type="dxa"/>
            <w:vAlign w:val="center"/>
          </w:tcPr>
          <w:p w14:paraId="5226F1A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20" w:type="dxa"/>
            <w:vAlign w:val="center"/>
          </w:tcPr>
          <w:p w14:paraId="3B12128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3F5C892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5C05552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Yellow cream</w:t>
            </w:r>
          </w:p>
        </w:tc>
        <w:tc>
          <w:tcPr>
            <w:tcW w:w="810" w:type="dxa"/>
            <w:vAlign w:val="center"/>
          </w:tcPr>
          <w:p w14:paraId="53A1CDA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15A86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08E14E5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r w:rsidR="002340C1" w:rsidRPr="002340C1" w14:paraId="1CFEC9BF" w14:textId="77777777" w:rsidTr="00F40745">
        <w:trPr>
          <w:gridBefore w:val="1"/>
          <w:wBefore w:w="120" w:type="dxa"/>
          <w:trHeight w:val="20"/>
          <w:jc w:val="center"/>
        </w:trPr>
        <w:tc>
          <w:tcPr>
            <w:tcW w:w="1065" w:type="dxa"/>
            <w:vAlign w:val="center"/>
          </w:tcPr>
          <w:p w14:paraId="4AFEBB3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21</w:t>
            </w:r>
          </w:p>
        </w:tc>
        <w:tc>
          <w:tcPr>
            <w:tcW w:w="1080" w:type="dxa"/>
            <w:vAlign w:val="center"/>
          </w:tcPr>
          <w:p w14:paraId="29622E1D"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368FDA4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47B614D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linear groupings.</w:t>
            </w:r>
          </w:p>
        </w:tc>
        <w:tc>
          <w:tcPr>
            <w:tcW w:w="960" w:type="dxa"/>
            <w:vAlign w:val="center"/>
          </w:tcPr>
          <w:p w14:paraId="2F4B1CCE"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6F9CDF5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70317BB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3563738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43547C8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B3A298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156E0E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bl>
    <w:p w14:paraId="758E7754" w14:textId="77777777" w:rsidR="002340C1" w:rsidRPr="002340C1" w:rsidRDefault="002340C1" w:rsidP="002340C1">
      <w:pPr>
        <w:spacing w:before="40" w:after="4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r w:rsidRPr="002340C1">
        <w:rPr>
          <w:rFonts w:ascii="Arial" w:hAnsi="Arial" w:cs="Arial"/>
          <w:lang w:val="en-GB" w:eastAsia="en-IN" w:bidi="pa-IN"/>
        </w:rPr>
        <w:t>) negative (+</w:t>
      </w:r>
      <w:proofErr w:type="spellStart"/>
      <w:r w:rsidRPr="002340C1">
        <w:rPr>
          <w:rFonts w:ascii="Arial" w:hAnsi="Arial" w:cs="Arial"/>
          <w:lang w:val="en-GB" w:eastAsia="en-IN" w:bidi="pa-IN"/>
        </w:rPr>
        <w:t>ve</w:t>
      </w:r>
      <w:proofErr w:type="spellEnd"/>
      <w:r w:rsidRPr="002340C1">
        <w:rPr>
          <w:rFonts w:ascii="Arial" w:hAnsi="Arial" w:cs="Arial"/>
          <w:lang w:val="en-GB" w:eastAsia="en-IN" w:bidi="pa-IN"/>
        </w:rPr>
        <w:t>) positive</w:t>
      </w:r>
    </w:p>
    <w:p w14:paraId="7584D4A3" w14:textId="77777777" w:rsidR="002340C1" w:rsidRPr="002340C1" w:rsidRDefault="002340C1" w:rsidP="002340C1">
      <w:pPr>
        <w:spacing w:before="40" w:after="40"/>
        <w:jc w:val="both"/>
        <w:rPr>
          <w:rFonts w:ascii="Arial" w:hAnsi="Arial" w:cs="Arial"/>
          <w:lang w:val="en-GB" w:eastAsia="en-IN" w:bidi="pa-IN"/>
        </w:rPr>
      </w:pPr>
    </w:p>
    <w:p w14:paraId="03DE6CA0" w14:textId="77777777" w:rsidR="002340C1" w:rsidRPr="002340C1" w:rsidRDefault="002340C1" w:rsidP="002340C1">
      <w:pPr>
        <w:spacing w:before="40" w:after="40"/>
        <w:jc w:val="both"/>
        <w:rPr>
          <w:rFonts w:ascii="Arial" w:hAnsi="Arial" w:cs="Arial"/>
          <w:lang w:val="en-GB" w:eastAsia="en-IN" w:bidi="pa-IN"/>
        </w:rPr>
        <w:sectPr w:rsidR="002340C1" w:rsidRPr="002340C1" w:rsidSect="00ED760C">
          <w:type w:val="nextPage"/>
          <w:pgSz w:w="16834" w:h="11909" w:orient="landscape"/>
          <w:pgMar w:top="1440" w:right="1440" w:bottom="1440" w:left="1440" w:header="720" w:footer="720" w:gutter="0"/>
          <w:cols w:space="720"/>
          <w:docGrid w:linePitch="299"/>
        </w:sectPr>
      </w:pPr>
    </w:p>
    <w:p w14:paraId="06F9EFE6" w14:textId="77777777" w:rsidR="002340C1" w:rsidRPr="002340C1" w:rsidRDefault="002340C1" w:rsidP="002340C1">
      <w:pPr>
        <w:spacing w:before="40" w:after="40"/>
        <w:jc w:val="both"/>
        <w:rPr>
          <w:rFonts w:ascii="Arial" w:eastAsia="Helvetica Neue" w:hAnsi="Arial" w:cs="Arial"/>
          <w:b/>
          <w:bCs/>
          <w:sz w:val="22"/>
          <w:szCs w:val="22"/>
          <w:lang w:val="en-GB" w:eastAsia="en-IN" w:bidi="pa-IN"/>
        </w:rPr>
      </w:pPr>
      <w:r w:rsidRPr="002340C1">
        <w:rPr>
          <w:rFonts w:ascii="Arial" w:eastAsia="Helvetica Neue" w:hAnsi="Arial" w:cs="Arial"/>
          <w:b/>
          <w:bCs/>
          <w:sz w:val="22"/>
          <w:szCs w:val="22"/>
          <w:lang w:val="en-GB" w:eastAsia="en-IN" w:bidi="pa-IN"/>
        </w:rPr>
        <w:lastRenderedPageBreak/>
        <w:t>Supplementary Table 2- Biochemical characterization of PSB isolates (</w:t>
      </w:r>
      <w:proofErr w:type="spellStart"/>
      <w:r w:rsidRPr="002340C1">
        <w:rPr>
          <w:rFonts w:ascii="Arial" w:eastAsia="Helvetica Neue" w:hAnsi="Arial" w:cs="Arial"/>
          <w:b/>
          <w:bCs/>
          <w:sz w:val="22"/>
          <w:szCs w:val="22"/>
          <w:lang w:val="en-GB" w:eastAsia="en-IN" w:bidi="pa-IN"/>
        </w:rPr>
        <w:t>IMViC</w:t>
      </w:r>
      <w:proofErr w:type="spellEnd"/>
      <w:r w:rsidRPr="002340C1">
        <w:rPr>
          <w:rFonts w:ascii="Arial" w:eastAsia="Helvetica Neue" w:hAnsi="Arial" w:cs="Arial"/>
          <w:b/>
          <w:bCs/>
          <w:sz w:val="22"/>
          <w:szCs w:val="22"/>
          <w:lang w:val="en-GB" w:eastAsia="en-IN" w:bidi="pa-IN"/>
        </w:rPr>
        <w:t xml:space="preserve"> test)</w:t>
      </w:r>
    </w:p>
    <w:tbl>
      <w:tblPr>
        <w:tblW w:w="8208" w:type="dxa"/>
        <w:jc w:val="center"/>
        <w:tblBorders>
          <w:insideH w:val="single" w:sz="4" w:space="0" w:color="auto"/>
        </w:tblBorders>
        <w:tblLayout w:type="fixed"/>
        <w:tblLook w:val="0000" w:firstRow="0" w:lastRow="0" w:firstColumn="0" w:lastColumn="0" w:noHBand="0" w:noVBand="0"/>
      </w:tblPr>
      <w:tblGrid>
        <w:gridCol w:w="1467"/>
        <w:gridCol w:w="1466"/>
        <w:gridCol w:w="1685"/>
        <w:gridCol w:w="1685"/>
        <w:gridCol w:w="1905"/>
      </w:tblGrid>
      <w:tr w:rsidR="002340C1" w:rsidRPr="002340C1" w14:paraId="5FD90568" w14:textId="77777777" w:rsidTr="00F40745">
        <w:trPr>
          <w:trHeight w:val="315"/>
          <w:jc w:val="center"/>
        </w:trPr>
        <w:tc>
          <w:tcPr>
            <w:tcW w:w="1467" w:type="dxa"/>
            <w:vAlign w:val="center"/>
          </w:tcPr>
          <w:p w14:paraId="3D74FFC1"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Isolate</w:t>
            </w:r>
          </w:p>
        </w:tc>
        <w:tc>
          <w:tcPr>
            <w:tcW w:w="1466" w:type="dxa"/>
            <w:vAlign w:val="center"/>
          </w:tcPr>
          <w:p w14:paraId="4C84679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Methyl red test</w:t>
            </w:r>
          </w:p>
        </w:tc>
        <w:tc>
          <w:tcPr>
            <w:tcW w:w="1685" w:type="dxa"/>
            <w:vAlign w:val="center"/>
          </w:tcPr>
          <w:p w14:paraId="0E876CA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Voges-Proskauer test</w:t>
            </w:r>
          </w:p>
        </w:tc>
        <w:tc>
          <w:tcPr>
            <w:tcW w:w="1685" w:type="dxa"/>
            <w:vAlign w:val="center"/>
          </w:tcPr>
          <w:p w14:paraId="7C5FA66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Indole test</w:t>
            </w:r>
          </w:p>
        </w:tc>
        <w:tc>
          <w:tcPr>
            <w:tcW w:w="1905" w:type="dxa"/>
            <w:vAlign w:val="center"/>
          </w:tcPr>
          <w:p w14:paraId="7C8044B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Citrate Utilization Test</w:t>
            </w:r>
          </w:p>
        </w:tc>
      </w:tr>
      <w:tr w:rsidR="002340C1" w:rsidRPr="002340C1" w14:paraId="28657405" w14:textId="77777777" w:rsidTr="00F40745">
        <w:trPr>
          <w:trHeight w:val="315"/>
          <w:jc w:val="center"/>
        </w:trPr>
        <w:tc>
          <w:tcPr>
            <w:tcW w:w="1467" w:type="dxa"/>
            <w:vAlign w:val="center"/>
          </w:tcPr>
          <w:p w14:paraId="23B15A6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w:t>
            </w:r>
          </w:p>
        </w:tc>
        <w:tc>
          <w:tcPr>
            <w:tcW w:w="1466" w:type="dxa"/>
            <w:vAlign w:val="center"/>
          </w:tcPr>
          <w:p w14:paraId="65E5B8F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38F4F71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28B87C7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488B7071"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4E244C79" w14:textId="77777777" w:rsidTr="00F40745">
        <w:trPr>
          <w:trHeight w:val="315"/>
          <w:jc w:val="center"/>
        </w:trPr>
        <w:tc>
          <w:tcPr>
            <w:tcW w:w="1467" w:type="dxa"/>
            <w:vAlign w:val="center"/>
          </w:tcPr>
          <w:p w14:paraId="5720BCE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2</w:t>
            </w:r>
          </w:p>
        </w:tc>
        <w:tc>
          <w:tcPr>
            <w:tcW w:w="1466" w:type="dxa"/>
            <w:vAlign w:val="center"/>
          </w:tcPr>
          <w:p w14:paraId="1DFBE90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4265AD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2E790DD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7515532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27978776" w14:textId="77777777" w:rsidTr="00F40745">
        <w:trPr>
          <w:trHeight w:val="315"/>
          <w:jc w:val="center"/>
        </w:trPr>
        <w:tc>
          <w:tcPr>
            <w:tcW w:w="1467" w:type="dxa"/>
            <w:vAlign w:val="center"/>
          </w:tcPr>
          <w:p w14:paraId="61968C1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3</w:t>
            </w:r>
          </w:p>
        </w:tc>
        <w:tc>
          <w:tcPr>
            <w:tcW w:w="1466" w:type="dxa"/>
            <w:vAlign w:val="center"/>
          </w:tcPr>
          <w:p w14:paraId="6789D2F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2D6ED11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F58B2F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58D612A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1ADF5A16" w14:textId="77777777" w:rsidTr="00F40745">
        <w:trPr>
          <w:trHeight w:val="315"/>
          <w:jc w:val="center"/>
        </w:trPr>
        <w:tc>
          <w:tcPr>
            <w:tcW w:w="1467" w:type="dxa"/>
            <w:vAlign w:val="center"/>
          </w:tcPr>
          <w:p w14:paraId="7B34831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4</w:t>
            </w:r>
          </w:p>
        </w:tc>
        <w:tc>
          <w:tcPr>
            <w:tcW w:w="1466" w:type="dxa"/>
            <w:vAlign w:val="center"/>
          </w:tcPr>
          <w:p w14:paraId="2895352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F24534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2F9AF91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6753F4B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39EDEAC3" w14:textId="77777777" w:rsidTr="00F40745">
        <w:trPr>
          <w:trHeight w:val="315"/>
          <w:jc w:val="center"/>
        </w:trPr>
        <w:tc>
          <w:tcPr>
            <w:tcW w:w="1467" w:type="dxa"/>
            <w:vAlign w:val="center"/>
          </w:tcPr>
          <w:p w14:paraId="058FB66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6</w:t>
            </w:r>
          </w:p>
        </w:tc>
        <w:tc>
          <w:tcPr>
            <w:tcW w:w="1466" w:type="dxa"/>
            <w:vAlign w:val="center"/>
          </w:tcPr>
          <w:p w14:paraId="7555D1B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85BC8E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436206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5B85DFF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72F773FD" w14:textId="77777777" w:rsidTr="00F40745">
        <w:trPr>
          <w:trHeight w:val="315"/>
          <w:jc w:val="center"/>
        </w:trPr>
        <w:tc>
          <w:tcPr>
            <w:tcW w:w="1467" w:type="dxa"/>
            <w:vAlign w:val="center"/>
          </w:tcPr>
          <w:p w14:paraId="7754011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7</w:t>
            </w:r>
          </w:p>
        </w:tc>
        <w:tc>
          <w:tcPr>
            <w:tcW w:w="1466" w:type="dxa"/>
            <w:vAlign w:val="center"/>
          </w:tcPr>
          <w:p w14:paraId="6CBBEAA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0254A1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3198AE0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4958E93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5B01315C" w14:textId="77777777" w:rsidTr="00F40745">
        <w:trPr>
          <w:trHeight w:val="315"/>
          <w:jc w:val="center"/>
        </w:trPr>
        <w:tc>
          <w:tcPr>
            <w:tcW w:w="1467" w:type="dxa"/>
            <w:vAlign w:val="center"/>
          </w:tcPr>
          <w:p w14:paraId="1A2993A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8</w:t>
            </w:r>
          </w:p>
        </w:tc>
        <w:tc>
          <w:tcPr>
            <w:tcW w:w="1466" w:type="dxa"/>
            <w:vAlign w:val="center"/>
          </w:tcPr>
          <w:p w14:paraId="4812CA2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13E3365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EA90D4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066E92C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37015FDE" w14:textId="77777777" w:rsidTr="00F40745">
        <w:trPr>
          <w:trHeight w:val="315"/>
          <w:jc w:val="center"/>
        </w:trPr>
        <w:tc>
          <w:tcPr>
            <w:tcW w:w="1467" w:type="dxa"/>
            <w:vAlign w:val="center"/>
          </w:tcPr>
          <w:p w14:paraId="57CF6D3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9</w:t>
            </w:r>
          </w:p>
        </w:tc>
        <w:tc>
          <w:tcPr>
            <w:tcW w:w="1466" w:type="dxa"/>
            <w:vAlign w:val="center"/>
          </w:tcPr>
          <w:p w14:paraId="4B9CB15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554B32F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40EEEC9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28F76C4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7FE36FF8" w14:textId="77777777" w:rsidTr="00F40745">
        <w:trPr>
          <w:trHeight w:val="315"/>
          <w:jc w:val="center"/>
        </w:trPr>
        <w:tc>
          <w:tcPr>
            <w:tcW w:w="1467" w:type="dxa"/>
            <w:vAlign w:val="center"/>
          </w:tcPr>
          <w:p w14:paraId="4AC7A87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10</w:t>
            </w:r>
          </w:p>
        </w:tc>
        <w:tc>
          <w:tcPr>
            <w:tcW w:w="1466" w:type="dxa"/>
            <w:vAlign w:val="center"/>
          </w:tcPr>
          <w:p w14:paraId="68965E0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BA318D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AFD2DE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0DD6AE2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3EC5D900" w14:textId="77777777" w:rsidTr="00F40745">
        <w:trPr>
          <w:trHeight w:val="315"/>
          <w:jc w:val="center"/>
        </w:trPr>
        <w:tc>
          <w:tcPr>
            <w:tcW w:w="1467" w:type="dxa"/>
            <w:vAlign w:val="center"/>
          </w:tcPr>
          <w:p w14:paraId="534B759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11</w:t>
            </w:r>
          </w:p>
        </w:tc>
        <w:tc>
          <w:tcPr>
            <w:tcW w:w="1466" w:type="dxa"/>
            <w:vAlign w:val="center"/>
          </w:tcPr>
          <w:p w14:paraId="10EA8B9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10FA6ED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279C93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452886B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75913B86" w14:textId="77777777" w:rsidTr="00F40745">
        <w:trPr>
          <w:trHeight w:val="315"/>
          <w:jc w:val="center"/>
        </w:trPr>
        <w:tc>
          <w:tcPr>
            <w:tcW w:w="1467" w:type="dxa"/>
            <w:vAlign w:val="center"/>
          </w:tcPr>
          <w:p w14:paraId="4722B4C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12</w:t>
            </w:r>
          </w:p>
        </w:tc>
        <w:tc>
          <w:tcPr>
            <w:tcW w:w="1466" w:type="dxa"/>
            <w:vAlign w:val="center"/>
          </w:tcPr>
          <w:p w14:paraId="197D559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8483C0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6345DD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2200037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6518F9C7" w14:textId="77777777" w:rsidTr="00F40745">
        <w:trPr>
          <w:trHeight w:val="315"/>
          <w:jc w:val="center"/>
        </w:trPr>
        <w:tc>
          <w:tcPr>
            <w:tcW w:w="1467" w:type="dxa"/>
            <w:vAlign w:val="center"/>
          </w:tcPr>
          <w:p w14:paraId="5FA5815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13</w:t>
            </w:r>
          </w:p>
        </w:tc>
        <w:tc>
          <w:tcPr>
            <w:tcW w:w="1466" w:type="dxa"/>
            <w:vAlign w:val="center"/>
          </w:tcPr>
          <w:p w14:paraId="6B5F8B3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4B6DC2E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4CDB220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0DB49DD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30698005" w14:textId="77777777" w:rsidTr="00F40745">
        <w:trPr>
          <w:trHeight w:val="315"/>
          <w:jc w:val="center"/>
        </w:trPr>
        <w:tc>
          <w:tcPr>
            <w:tcW w:w="1467" w:type="dxa"/>
            <w:vAlign w:val="center"/>
          </w:tcPr>
          <w:p w14:paraId="0A3346F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14</w:t>
            </w:r>
          </w:p>
        </w:tc>
        <w:tc>
          <w:tcPr>
            <w:tcW w:w="1466" w:type="dxa"/>
            <w:vAlign w:val="center"/>
          </w:tcPr>
          <w:p w14:paraId="6C3685B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2B48D5C"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39FA7C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7EF5A28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2395E781" w14:textId="77777777" w:rsidTr="00F40745">
        <w:trPr>
          <w:trHeight w:val="315"/>
          <w:jc w:val="center"/>
        </w:trPr>
        <w:tc>
          <w:tcPr>
            <w:tcW w:w="1467" w:type="dxa"/>
            <w:vAlign w:val="center"/>
          </w:tcPr>
          <w:p w14:paraId="5A610B4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15</w:t>
            </w:r>
          </w:p>
        </w:tc>
        <w:tc>
          <w:tcPr>
            <w:tcW w:w="1466" w:type="dxa"/>
            <w:vAlign w:val="center"/>
          </w:tcPr>
          <w:p w14:paraId="57FA2C8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338B4EC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259D4F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4B4B520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26189FDE" w14:textId="77777777" w:rsidTr="00F40745">
        <w:trPr>
          <w:trHeight w:val="315"/>
          <w:jc w:val="center"/>
        </w:trPr>
        <w:tc>
          <w:tcPr>
            <w:tcW w:w="1467" w:type="dxa"/>
            <w:vAlign w:val="center"/>
          </w:tcPr>
          <w:p w14:paraId="48DF030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16</w:t>
            </w:r>
          </w:p>
        </w:tc>
        <w:tc>
          <w:tcPr>
            <w:tcW w:w="1466" w:type="dxa"/>
            <w:vAlign w:val="center"/>
          </w:tcPr>
          <w:p w14:paraId="2E82E74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EEE4A5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46A66EA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79F0CDE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1CFF5429" w14:textId="77777777" w:rsidTr="00F40745">
        <w:trPr>
          <w:trHeight w:val="315"/>
          <w:jc w:val="center"/>
        </w:trPr>
        <w:tc>
          <w:tcPr>
            <w:tcW w:w="1467" w:type="dxa"/>
            <w:vAlign w:val="center"/>
          </w:tcPr>
          <w:p w14:paraId="19B9C5E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17</w:t>
            </w:r>
          </w:p>
        </w:tc>
        <w:tc>
          <w:tcPr>
            <w:tcW w:w="1466" w:type="dxa"/>
            <w:vAlign w:val="center"/>
          </w:tcPr>
          <w:p w14:paraId="06EA79A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C4AA94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74C006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09B918F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7D6BBC66" w14:textId="77777777" w:rsidTr="00F40745">
        <w:trPr>
          <w:trHeight w:val="315"/>
          <w:jc w:val="center"/>
        </w:trPr>
        <w:tc>
          <w:tcPr>
            <w:tcW w:w="1467" w:type="dxa"/>
            <w:vAlign w:val="center"/>
          </w:tcPr>
          <w:p w14:paraId="0A4C649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18</w:t>
            </w:r>
          </w:p>
        </w:tc>
        <w:tc>
          <w:tcPr>
            <w:tcW w:w="1466" w:type="dxa"/>
            <w:vAlign w:val="center"/>
          </w:tcPr>
          <w:p w14:paraId="2FBCABF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41DB66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32ECB7C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3E527BF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799ECC10" w14:textId="77777777" w:rsidTr="00F40745">
        <w:trPr>
          <w:trHeight w:val="315"/>
          <w:jc w:val="center"/>
        </w:trPr>
        <w:tc>
          <w:tcPr>
            <w:tcW w:w="1467" w:type="dxa"/>
            <w:vAlign w:val="center"/>
          </w:tcPr>
          <w:p w14:paraId="2927A24C"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19</w:t>
            </w:r>
          </w:p>
        </w:tc>
        <w:tc>
          <w:tcPr>
            <w:tcW w:w="1466" w:type="dxa"/>
            <w:vAlign w:val="center"/>
          </w:tcPr>
          <w:p w14:paraId="708A003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937508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5A19A30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24916A11"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1456AE45" w14:textId="77777777" w:rsidTr="00F40745">
        <w:trPr>
          <w:trHeight w:val="315"/>
          <w:jc w:val="center"/>
        </w:trPr>
        <w:tc>
          <w:tcPr>
            <w:tcW w:w="1467" w:type="dxa"/>
            <w:vAlign w:val="center"/>
          </w:tcPr>
          <w:p w14:paraId="5C07835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20</w:t>
            </w:r>
          </w:p>
        </w:tc>
        <w:tc>
          <w:tcPr>
            <w:tcW w:w="1466" w:type="dxa"/>
            <w:vAlign w:val="center"/>
          </w:tcPr>
          <w:p w14:paraId="274762E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8A8E7E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2D5F33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64E084E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2E5823D9" w14:textId="77777777" w:rsidTr="00F40745">
        <w:trPr>
          <w:trHeight w:val="315"/>
          <w:jc w:val="center"/>
        </w:trPr>
        <w:tc>
          <w:tcPr>
            <w:tcW w:w="1467" w:type="dxa"/>
            <w:vAlign w:val="center"/>
          </w:tcPr>
          <w:p w14:paraId="5C68413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21</w:t>
            </w:r>
          </w:p>
        </w:tc>
        <w:tc>
          <w:tcPr>
            <w:tcW w:w="1466" w:type="dxa"/>
            <w:vAlign w:val="center"/>
          </w:tcPr>
          <w:p w14:paraId="269AC50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1A84920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AE2E82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1DF07F8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19BDE44C" w14:textId="77777777" w:rsidTr="00F40745">
        <w:trPr>
          <w:trHeight w:val="315"/>
          <w:jc w:val="center"/>
        </w:trPr>
        <w:tc>
          <w:tcPr>
            <w:tcW w:w="1467" w:type="dxa"/>
            <w:vAlign w:val="center"/>
          </w:tcPr>
          <w:p w14:paraId="0664073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5</w:t>
            </w:r>
          </w:p>
        </w:tc>
        <w:tc>
          <w:tcPr>
            <w:tcW w:w="1466" w:type="dxa"/>
            <w:vAlign w:val="center"/>
          </w:tcPr>
          <w:p w14:paraId="4675721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22A7B80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174B90D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48FFD5E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bl>
    <w:p w14:paraId="24EC083C" w14:textId="77777777" w:rsidR="002340C1" w:rsidRPr="002340C1" w:rsidRDefault="002340C1" w:rsidP="002340C1">
      <w:pPr>
        <w:spacing w:before="40" w:after="4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r w:rsidRPr="002340C1">
        <w:rPr>
          <w:rFonts w:ascii="Arial" w:hAnsi="Arial" w:cs="Arial"/>
          <w:lang w:val="en-GB" w:eastAsia="en-IN" w:bidi="pa-IN"/>
        </w:rPr>
        <w:t>) negative (+</w:t>
      </w:r>
      <w:proofErr w:type="spellStart"/>
      <w:r w:rsidRPr="002340C1">
        <w:rPr>
          <w:rFonts w:ascii="Arial" w:hAnsi="Arial" w:cs="Arial"/>
          <w:lang w:val="en-GB" w:eastAsia="en-IN" w:bidi="pa-IN"/>
        </w:rPr>
        <w:t>ve</w:t>
      </w:r>
      <w:proofErr w:type="spellEnd"/>
      <w:r w:rsidRPr="002340C1">
        <w:rPr>
          <w:rFonts w:ascii="Arial" w:hAnsi="Arial" w:cs="Arial"/>
          <w:lang w:val="en-GB" w:eastAsia="en-IN" w:bidi="pa-IN"/>
        </w:rPr>
        <w:t>) positive</w:t>
      </w:r>
    </w:p>
    <w:p w14:paraId="0E04AA5C" w14:textId="77777777" w:rsidR="002340C1" w:rsidRPr="002340C1" w:rsidRDefault="002340C1" w:rsidP="002340C1">
      <w:pPr>
        <w:spacing w:line="276" w:lineRule="auto"/>
        <w:rPr>
          <w:rFonts w:ascii="Arial" w:eastAsia="Arial" w:hAnsi="Arial" w:cs="Arial"/>
          <w:lang w:val="en-GB" w:eastAsia="en-IN" w:bidi="pa-IN"/>
        </w:rPr>
      </w:pPr>
    </w:p>
    <w:p w14:paraId="254499DF" w14:textId="77777777" w:rsidR="002340C1" w:rsidRPr="00EB1326" w:rsidRDefault="002340C1" w:rsidP="00F36870">
      <w:pPr>
        <w:pStyle w:val="Body"/>
        <w:spacing w:after="0"/>
        <w:rPr>
          <w:rFonts w:ascii="Arial" w:hAnsi="Arial" w:cs="Arial"/>
          <w:b/>
        </w:rPr>
      </w:pPr>
    </w:p>
    <w:sectPr w:rsidR="002340C1" w:rsidRPr="00EB1326" w:rsidSect="00ED760C">
      <w:headerReference w:type="even" r:id="rId44"/>
      <w:headerReference w:type="default" r:id="rId45"/>
      <w:footerReference w:type="default" r:id="rId46"/>
      <w:headerReference w:type="first" r:id="rId47"/>
      <w:type w:val="nextPage"/>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23EF2" w14:textId="77777777" w:rsidR="00B97BC1" w:rsidRDefault="00B97BC1" w:rsidP="00C37E61">
      <w:r>
        <w:separator/>
      </w:r>
    </w:p>
  </w:endnote>
  <w:endnote w:type="continuationSeparator" w:id="0">
    <w:p w14:paraId="5782B5BF" w14:textId="77777777" w:rsidR="00B97BC1" w:rsidRDefault="00B97BC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Neue">
    <w:altName w:val="SimSun"/>
    <w:charset w:val="00"/>
    <w:family w:val="auto"/>
    <w:pitch w:val="default"/>
  </w:font>
  <w:font w:name="Cardo">
    <w:charset w:val="00"/>
    <w:family w:val="auto"/>
    <w:pitch w:val="default"/>
  </w:font>
  <w:font w:name="Cambria">
    <w:panose1 w:val="02040503050406030204"/>
    <w:charset w:val="00"/>
    <w:family w:val="roman"/>
    <w:pitch w:val="variable"/>
    <w:sig w:usb0="E00006FF" w:usb1="420024FF" w:usb2="02000000" w:usb3="00000000" w:csb0="0000019F" w:csb1="00000000"/>
  </w:font>
  <w:font w:name="Raavi">
    <w:panose1 w:val="02000500000000000000"/>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31187" w14:textId="77777777" w:rsidR="00ED760C" w:rsidRDefault="00ED7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071DA" w14:textId="77777777" w:rsidR="00F36870" w:rsidRPr="00C37E61" w:rsidRDefault="00F36870"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DB3C3" w14:textId="77777777" w:rsidR="00ED760C" w:rsidRDefault="00ED76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D72F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654AF" w14:textId="77777777" w:rsidR="00B97BC1" w:rsidRDefault="00B97BC1" w:rsidP="00C37E61">
      <w:r>
        <w:separator/>
      </w:r>
    </w:p>
  </w:footnote>
  <w:footnote w:type="continuationSeparator" w:id="0">
    <w:p w14:paraId="266E8506" w14:textId="77777777" w:rsidR="00B97BC1" w:rsidRDefault="00B97BC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23DFB" w14:textId="36B1D2F1" w:rsidR="00ED760C" w:rsidRDefault="00ED760C">
    <w:pPr>
      <w:pStyle w:val="Header"/>
    </w:pPr>
    <w:r>
      <w:rPr>
        <w:noProof/>
      </w:rPr>
      <w:pict w14:anchorId="7A700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53E72" w14:textId="507AF073" w:rsidR="00ED760C" w:rsidRDefault="00ED760C">
    <w:pPr>
      <w:pStyle w:val="Header"/>
    </w:pPr>
    <w:r>
      <w:rPr>
        <w:noProof/>
      </w:rPr>
      <w:pict w14:anchorId="25949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8E1FD" w14:textId="5DB99694" w:rsidR="00ED760C" w:rsidRDefault="00ED760C">
    <w:pPr>
      <w:pStyle w:val="Header"/>
    </w:pPr>
    <w:r>
      <w:rPr>
        <w:noProof/>
      </w:rPr>
      <w:pict w14:anchorId="362FA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6"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5591" w14:textId="62FFD050" w:rsidR="00ED760C" w:rsidRDefault="00ED760C">
    <w:pPr>
      <w:pStyle w:val="Header"/>
    </w:pPr>
    <w:r>
      <w:rPr>
        <w:noProof/>
      </w:rPr>
      <w:pict w14:anchorId="292A9E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6A82D" w14:textId="068A5F08" w:rsidR="00ED760C" w:rsidRDefault="00ED760C">
    <w:pPr>
      <w:pStyle w:val="Header"/>
    </w:pPr>
    <w:r>
      <w:rPr>
        <w:noProof/>
      </w:rPr>
      <w:pict w14:anchorId="2D007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565A6" w14:textId="186AB2D9" w:rsidR="00ED760C" w:rsidRDefault="00ED760C">
    <w:pPr>
      <w:pStyle w:val="Header"/>
    </w:pPr>
    <w:r>
      <w:rPr>
        <w:noProof/>
      </w:rPr>
      <w:pict w14:anchorId="1E1B4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067346"/>
    <w:multiLevelType w:val="hybridMultilevel"/>
    <w:tmpl w:val="F98CFF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2584B"/>
    <w:multiLevelType w:val="hybridMultilevel"/>
    <w:tmpl w:val="1826AB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7"/>
  </w:num>
  <w:num w:numId="27">
    <w:abstractNumId w:val="22"/>
  </w:num>
  <w:num w:numId="28">
    <w:abstractNumId w:val="29"/>
  </w:num>
  <w:num w:numId="29">
    <w:abstractNumId w:val="26"/>
  </w:num>
  <w:num w:numId="30">
    <w:abstractNumId w:val="11"/>
  </w:num>
  <w:num w:numId="31">
    <w:abstractNumId w:val="2"/>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2Nze2MDO0NDW3NDdT0lEKTi0uzszPAykwrAUAAGDwKiwAAAA="/>
  </w:docVars>
  <w:rsids>
    <w:rsidRoot w:val="00AA6219"/>
    <w:rsid w:val="000002E6"/>
    <w:rsid w:val="00000F8F"/>
    <w:rsid w:val="000031C1"/>
    <w:rsid w:val="0001689F"/>
    <w:rsid w:val="00030174"/>
    <w:rsid w:val="00035519"/>
    <w:rsid w:val="0004576D"/>
    <w:rsid w:val="0004579C"/>
    <w:rsid w:val="000A47FA"/>
    <w:rsid w:val="000A65D3"/>
    <w:rsid w:val="000B1E33"/>
    <w:rsid w:val="000D657D"/>
    <w:rsid w:val="000D689F"/>
    <w:rsid w:val="000E3935"/>
    <w:rsid w:val="000E7B7B"/>
    <w:rsid w:val="000E7D62"/>
    <w:rsid w:val="00103357"/>
    <w:rsid w:val="00123C9F"/>
    <w:rsid w:val="00126190"/>
    <w:rsid w:val="00130F17"/>
    <w:rsid w:val="001320BF"/>
    <w:rsid w:val="001360CF"/>
    <w:rsid w:val="00163BC4"/>
    <w:rsid w:val="00191062"/>
    <w:rsid w:val="00192B72"/>
    <w:rsid w:val="001A29D8"/>
    <w:rsid w:val="001A5CAA"/>
    <w:rsid w:val="001B0427"/>
    <w:rsid w:val="001D3A51"/>
    <w:rsid w:val="001E10D2"/>
    <w:rsid w:val="001E25B4"/>
    <w:rsid w:val="001E44FE"/>
    <w:rsid w:val="001F6050"/>
    <w:rsid w:val="00200595"/>
    <w:rsid w:val="00204835"/>
    <w:rsid w:val="00231920"/>
    <w:rsid w:val="0023195C"/>
    <w:rsid w:val="002340C1"/>
    <w:rsid w:val="0024282C"/>
    <w:rsid w:val="002460DC"/>
    <w:rsid w:val="00250985"/>
    <w:rsid w:val="002556F6"/>
    <w:rsid w:val="00283105"/>
    <w:rsid w:val="00284C4C"/>
    <w:rsid w:val="00287E68"/>
    <w:rsid w:val="00296529"/>
    <w:rsid w:val="002B27FB"/>
    <w:rsid w:val="002B545B"/>
    <w:rsid w:val="002B685A"/>
    <w:rsid w:val="002C51F5"/>
    <w:rsid w:val="002C57D2"/>
    <w:rsid w:val="002E0D56"/>
    <w:rsid w:val="00315186"/>
    <w:rsid w:val="0033343E"/>
    <w:rsid w:val="003512C2"/>
    <w:rsid w:val="00371D2D"/>
    <w:rsid w:val="00371FB6"/>
    <w:rsid w:val="003744F0"/>
    <w:rsid w:val="003763C1"/>
    <w:rsid w:val="00376BBE"/>
    <w:rsid w:val="00381D3D"/>
    <w:rsid w:val="0039224F"/>
    <w:rsid w:val="003A3FE2"/>
    <w:rsid w:val="003A43A4"/>
    <w:rsid w:val="003A7E18"/>
    <w:rsid w:val="003C03E4"/>
    <w:rsid w:val="003C4C86"/>
    <w:rsid w:val="003C6258"/>
    <w:rsid w:val="003E2904"/>
    <w:rsid w:val="003E3C74"/>
    <w:rsid w:val="00401927"/>
    <w:rsid w:val="00406F2E"/>
    <w:rsid w:val="0041027F"/>
    <w:rsid w:val="00412475"/>
    <w:rsid w:val="00423789"/>
    <w:rsid w:val="00440F43"/>
    <w:rsid w:val="00441B6F"/>
    <w:rsid w:val="00446221"/>
    <w:rsid w:val="00446459"/>
    <w:rsid w:val="00450E62"/>
    <w:rsid w:val="00453613"/>
    <w:rsid w:val="004539DB"/>
    <w:rsid w:val="00457A51"/>
    <w:rsid w:val="00471A80"/>
    <w:rsid w:val="004824DC"/>
    <w:rsid w:val="00496BC3"/>
    <w:rsid w:val="004D305E"/>
    <w:rsid w:val="004D4277"/>
    <w:rsid w:val="004F612C"/>
    <w:rsid w:val="00502516"/>
    <w:rsid w:val="00505F06"/>
    <w:rsid w:val="00506828"/>
    <w:rsid w:val="0053056E"/>
    <w:rsid w:val="00531C9D"/>
    <w:rsid w:val="00534422"/>
    <w:rsid w:val="00554FDA"/>
    <w:rsid w:val="00560F83"/>
    <w:rsid w:val="005C784C"/>
    <w:rsid w:val="005D17F6"/>
    <w:rsid w:val="005E5539"/>
    <w:rsid w:val="00602BF5"/>
    <w:rsid w:val="00617FDD"/>
    <w:rsid w:val="00630608"/>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2AA6"/>
    <w:rsid w:val="007369E6"/>
    <w:rsid w:val="00746E59"/>
    <w:rsid w:val="00754C9A"/>
    <w:rsid w:val="0075599A"/>
    <w:rsid w:val="00761D52"/>
    <w:rsid w:val="00775990"/>
    <w:rsid w:val="0077749E"/>
    <w:rsid w:val="00790ADA"/>
    <w:rsid w:val="007D2288"/>
    <w:rsid w:val="007D2339"/>
    <w:rsid w:val="007E088F"/>
    <w:rsid w:val="007F2BF9"/>
    <w:rsid w:val="007F7B32"/>
    <w:rsid w:val="00804BC2"/>
    <w:rsid w:val="0081431A"/>
    <w:rsid w:val="00831BA6"/>
    <w:rsid w:val="0083216F"/>
    <w:rsid w:val="008501B0"/>
    <w:rsid w:val="00860000"/>
    <w:rsid w:val="00863BD3"/>
    <w:rsid w:val="008641ED"/>
    <w:rsid w:val="0086447B"/>
    <w:rsid w:val="00866D66"/>
    <w:rsid w:val="008671C6"/>
    <w:rsid w:val="00875803"/>
    <w:rsid w:val="00877772"/>
    <w:rsid w:val="008B459E"/>
    <w:rsid w:val="008C7AB9"/>
    <w:rsid w:val="008E13AE"/>
    <w:rsid w:val="008E1506"/>
    <w:rsid w:val="008E710C"/>
    <w:rsid w:val="008F69D6"/>
    <w:rsid w:val="00902823"/>
    <w:rsid w:val="00915CA6"/>
    <w:rsid w:val="00927834"/>
    <w:rsid w:val="009420DA"/>
    <w:rsid w:val="009500A6"/>
    <w:rsid w:val="00957C18"/>
    <w:rsid w:val="00964100"/>
    <w:rsid w:val="009659A3"/>
    <w:rsid w:val="009659BA"/>
    <w:rsid w:val="00966578"/>
    <w:rsid w:val="00981665"/>
    <w:rsid w:val="00983040"/>
    <w:rsid w:val="009B3FB9"/>
    <w:rsid w:val="009C2465"/>
    <w:rsid w:val="009D35A0"/>
    <w:rsid w:val="009D4FDD"/>
    <w:rsid w:val="009D7EB7"/>
    <w:rsid w:val="009E048A"/>
    <w:rsid w:val="009E08E9"/>
    <w:rsid w:val="009E3DB9"/>
    <w:rsid w:val="009E6E35"/>
    <w:rsid w:val="009F0EDA"/>
    <w:rsid w:val="00A03B96"/>
    <w:rsid w:val="00A05B19"/>
    <w:rsid w:val="00A1134E"/>
    <w:rsid w:val="00A24E7E"/>
    <w:rsid w:val="00A2536B"/>
    <w:rsid w:val="00A258C3"/>
    <w:rsid w:val="00A347C0"/>
    <w:rsid w:val="00A465D4"/>
    <w:rsid w:val="00A4671D"/>
    <w:rsid w:val="00A51431"/>
    <w:rsid w:val="00A539AD"/>
    <w:rsid w:val="00A94063"/>
    <w:rsid w:val="00AA6219"/>
    <w:rsid w:val="00AA74E0"/>
    <w:rsid w:val="00AB703F"/>
    <w:rsid w:val="00AC6BB8"/>
    <w:rsid w:val="00AE008F"/>
    <w:rsid w:val="00B00DE1"/>
    <w:rsid w:val="00B01FCD"/>
    <w:rsid w:val="00B1776C"/>
    <w:rsid w:val="00B217BC"/>
    <w:rsid w:val="00B52583"/>
    <w:rsid w:val="00B52896"/>
    <w:rsid w:val="00B6756F"/>
    <w:rsid w:val="00B82FA5"/>
    <w:rsid w:val="00B95236"/>
    <w:rsid w:val="00B96BD9"/>
    <w:rsid w:val="00B97BC1"/>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1A93"/>
    <w:rsid w:val="00CE793C"/>
    <w:rsid w:val="00CF193C"/>
    <w:rsid w:val="00D173F1"/>
    <w:rsid w:val="00D74CB0"/>
    <w:rsid w:val="00D8295D"/>
    <w:rsid w:val="00DC2A65"/>
    <w:rsid w:val="00DC7C74"/>
    <w:rsid w:val="00DE15F0"/>
    <w:rsid w:val="00DE237A"/>
    <w:rsid w:val="00DE5663"/>
    <w:rsid w:val="00DE78AA"/>
    <w:rsid w:val="00E053D0"/>
    <w:rsid w:val="00E15994"/>
    <w:rsid w:val="00E3114E"/>
    <w:rsid w:val="00E31A70"/>
    <w:rsid w:val="00E35825"/>
    <w:rsid w:val="00E35B02"/>
    <w:rsid w:val="00E40BF3"/>
    <w:rsid w:val="00E66496"/>
    <w:rsid w:val="00E66B35"/>
    <w:rsid w:val="00E66E10"/>
    <w:rsid w:val="00E769F6"/>
    <w:rsid w:val="00E82BFB"/>
    <w:rsid w:val="00E8407C"/>
    <w:rsid w:val="00E84F3C"/>
    <w:rsid w:val="00EA012C"/>
    <w:rsid w:val="00EA0B52"/>
    <w:rsid w:val="00EB1326"/>
    <w:rsid w:val="00EB6F79"/>
    <w:rsid w:val="00EC6A55"/>
    <w:rsid w:val="00ED0288"/>
    <w:rsid w:val="00ED760C"/>
    <w:rsid w:val="00EE52CB"/>
    <w:rsid w:val="00EF581D"/>
    <w:rsid w:val="00EF7FD8"/>
    <w:rsid w:val="00F06F59"/>
    <w:rsid w:val="00F17988"/>
    <w:rsid w:val="00F36870"/>
    <w:rsid w:val="00F469F0"/>
    <w:rsid w:val="00F53273"/>
    <w:rsid w:val="00F559D9"/>
    <w:rsid w:val="00F755E4"/>
    <w:rsid w:val="00F77D02"/>
    <w:rsid w:val="00F824F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F9A3E0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36870"/>
    <w:pPr>
      <w:ind w:left="720"/>
      <w:contextualSpacing/>
    </w:pPr>
  </w:style>
  <w:style w:type="character" w:customStyle="1" w:styleId="FooterChar">
    <w:name w:val="Footer Char"/>
    <w:basedOn w:val="DefaultParagraphFont"/>
    <w:link w:val="Footer"/>
    <w:rsid w:val="00F36870"/>
    <w:rPr>
      <w:rFonts w:ascii="Helvetica" w:hAnsi="Helvetica"/>
    </w:rPr>
  </w:style>
  <w:style w:type="paragraph" w:styleId="NormalWeb">
    <w:name w:val="Normal (Web)"/>
    <w:basedOn w:val="Normal"/>
    <w:uiPriority w:val="99"/>
    <w:unhideWhenUsed/>
    <w:rsid w:val="00F36870"/>
    <w:pPr>
      <w:spacing w:before="100" w:beforeAutospacing="1" w:after="100" w:afterAutospacing="1"/>
    </w:pPr>
    <w:rPr>
      <w:rFonts w:ascii="Times New Roman" w:hAnsi="Times New Roman"/>
      <w:sz w:val="24"/>
      <w:szCs w:val="24"/>
      <w:lang w:val="en-IN" w:eastAsia="en-IN"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ncbi.nlm.nih.gov/nuccore/PP889727.1/" TargetMode="External"/><Relationship Id="rId26" Type="http://schemas.openxmlformats.org/officeDocument/2006/relationships/hyperlink" Target="https://doi.org/10.1016/j.cscee.2022.100259" TargetMode="External"/><Relationship Id="rId39" Type="http://schemas.openxmlformats.org/officeDocument/2006/relationships/footer" Target="footer1.xml"/><Relationship Id="rId21" Type="http://schemas.openxmlformats.org/officeDocument/2006/relationships/hyperlink" Target="https://doi.org/10.5897/ajmr2014.7325" TargetMode="External"/><Relationship Id="rId34" Type="http://schemas.openxmlformats.org/officeDocument/2006/relationships/hyperlink" Target="https://doi.org/10.1007/978-3-642-20332-9_1" TargetMode="External"/><Relationship Id="rId42" Type="http://schemas.openxmlformats.org/officeDocument/2006/relationships/footer" Target="footer3.xml"/><Relationship Id="rId47"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186/2193-1801-2-587" TargetMode="External"/><Relationship Id="rId11" Type="http://schemas.openxmlformats.org/officeDocument/2006/relationships/image" Target="media/image3.png"/><Relationship Id="rId24" Type="http://schemas.openxmlformats.org/officeDocument/2006/relationships/hyperlink" Target="https://doi.org/10.1016/j.envexpbot.2023.105431" TargetMode="External"/><Relationship Id="rId32" Type="http://schemas.openxmlformats.org/officeDocument/2006/relationships/hyperlink" Target="https://doi.org/10.3389/fmicb.2015.00745"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3389/fpls.2013.00432" TargetMode="External"/><Relationship Id="rId28" Type="http://schemas.openxmlformats.org/officeDocument/2006/relationships/hyperlink" Target="https://doi.org/10.1016/j.cpb.%202020.100161" TargetMode="External"/><Relationship Id="rId36" Type="http://schemas.openxmlformats.org/officeDocument/2006/relationships/hyperlink" Target="https://doi.org/10.1079/PGR200591"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ncbi.nlm.nih.gov/nuccore/PP889726.1/" TargetMode="External"/><Relationship Id="rId31" Type="http://schemas.openxmlformats.org/officeDocument/2006/relationships/hyperlink" Target="https://doi.org/10.1016/j.scienta.2015.07.020"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07/s11104-016-3090-z" TargetMode="External"/><Relationship Id="rId27" Type="http://schemas.openxmlformats.org/officeDocument/2006/relationships/hyperlink" Target="https://doi.org/10.1007/978-3-030-90673-3_4" TargetMode="External"/><Relationship Id="rId30" Type="http://schemas.openxmlformats.org/officeDocument/2006/relationships/hyperlink" Target="https://doi.org/10.1016/j.soilbio.2020.107918" TargetMode="External"/><Relationship Id="rId35" Type="http://schemas.openxmlformats.org/officeDocument/2006/relationships/hyperlink" Target="https://doi.org/10.4141/P00-083" TargetMode="External"/><Relationship Id="rId43" Type="http://schemas.openxmlformats.org/officeDocument/2006/relationships/hyperlink" Target="https://doi.org/10.1007/s11104-009-9895-2" TargetMode="External"/><Relationship Id="rId48" Type="http://schemas.openxmlformats.org/officeDocument/2006/relationships/fontTable" Target="fontTable.xml"/><Relationship Id="rId8" Type="http://schemas.openxmlformats.org/officeDocument/2006/relationships/hyperlink" Target="https://www.pau.edu/content/ccil/pf/pp_rabi.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ncbi.nlm.nih.gov/nuccore/PP889728.1/" TargetMode="External"/><Relationship Id="rId25" Type="http://schemas.openxmlformats.org/officeDocument/2006/relationships/hyperlink" Target="https://doi.org/10.3389/fpls.2017.02124" TargetMode="External"/><Relationship Id="rId33" Type="http://schemas.openxmlformats.org/officeDocument/2006/relationships/hyperlink" Target="https://doi.org/10.1590/0001-3765201720160111" TargetMode="External"/><Relationship Id="rId38" Type="http://schemas.openxmlformats.org/officeDocument/2006/relationships/header" Target="header2.xml"/><Relationship Id="rId46" Type="http://schemas.openxmlformats.org/officeDocument/2006/relationships/footer" Target="footer4.xml"/><Relationship Id="rId20" Type="http://schemas.openxmlformats.org/officeDocument/2006/relationships/hyperlink" Target="https://doi.org/10.1016/B978-0-323-91001-9.00016-5"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2D04C-D6E4-479E-9F42-4D52A27F7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419</TotalTime>
  <Pages>18</Pages>
  <Words>6625</Words>
  <Characters>37769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44306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37</cp:revision>
  <cp:lastPrinted>1999-07-06T11:00:00Z</cp:lastPrinted>
  <dcterms:created xsi:type="dcterms:W3CDTF">2025-07-14T10:13:00Z</dcterms:created>
  <dcterms:modified xsi:type="dcterms:W3CDTF">2025-07-19T08:10:00Z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0e52d3d2-1b06-40da-b455-000a69ca913a</vt:lpwstr>
  </property>
</Properties>
</file>