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2FDE" w14:textId="5E195270" w:rsidR="004A4B6A" w:rsidRPr="00D932B9" w:rsidRDefault="00454FBF" w:rsidP="0054497B">
      <w:pPr>
        <w:spacing w:before="240"/>
        <w:jc w:val="center"/>
        <w:rPr>
          <w:rFonts w:ascii="Times New Roman" w:hAnsi="Times New Roman" w:cs="Times New Roman"/>
          <w:b/>
          <w:bCs/>
          <w:sz w:val="24"/>
          <w:szCs w:val="24"/>
        </w:rPr>
      </w:pPr>
      <w:r w:rsidRPr="00D932B9">
        <w:rPr>
          <w:rFonts w:ascii="Times New Roman" w:hAnsi="Times New Roman" w:cs="Times New Roman"/>
          <w:b/>
          <w:sz w:val="24"/>
          <w:szCs w:val="24"/>
        </w:rPr>
        <w:t>Digital Transformation in Agriculture: Impact on Business Strategies and Market Dynamics</w:t>
      </w:r>
    </w:p>
    <w:p w14:paraId="00C598AE" w14:textId="77777777" w:rsidR="00F33443" w:rsidRPr="00D932B9" w:rsidRDefault="00F33443" w:rsidP="0054497B">
      <w:pPr>
        <w:pStyle w:val="NormalWeb"/>
        <w:spacing w:before="240" w:beforeAutospacing="0" w:after="200" w:afterAutospacing="0" w:line="276" w:lineRule="auto"/>
        <w:jc w:val="both"/>
      </w:pPr>
      <w:bookmarkStart w:id="0" w:name="_GoBack"/>
      <w:bookmarkEnd w:id="0"/>
    </w:p>
    <w:p w14:paraId="3A89D894" w14:textId="77777777" w:rsidR="008F7CCC" w:rsidRPr="00D932B9" w:rsidRDefault="008F7CCC" w:rsidP="0054497B">
      <w:pPr>
        <w:spacing w:before="240"/>
        <w:jc w:val="both"/>
        <w:rPr>
          <w:rFonts w:ascii="Times New Roman" w:eastAsia="Times New Roman" w:hAnsi="Times New Roman" w:cs="Times New Roman"/>
          <w:b/>
          <w:sz w:val="24"/>
          <w:szCs w:val="24"/>
          <w:lang w:val="en-IN" w:eastAsia="en-IN" w:bidi="ar-SA"/>
        </w:rPr>
      </w:pPr>
      <w:r w:rsidRPr="00D932B9">
        <w:rPr>
          <w:rFonts w:ascii="Times New Roman" w:eastAsia="Times New Roman" w:hAnsi="Times New Roman" w:cs="Times New Roman"/>
          <w:b/>
          <w:sz w:val="24"/>
          <w:szCs w:val="24"/>
          <w:lang w:val="en-IN" w:eastAsia="en-IN" w:bidi="ar-SA"/>
        </w:rPr>
        <w:t>Abstract</w:t>
      </w:r>
    </w:p>
    <w:p w14:paraId="477EE4FF" w14:textId="33992259" w:rsidR="00F33443" w:rsidRPr="00D932B9" w:rsidRDefault="0013145B" w:rsidP="0054497B">
      <w:pPr>
        <w:spacing w:before="240"/>
        <w:ind w:firstLine="720"/>
        <w:jc w:val="both"/>
        <w:rPr>
          <w:rFonts w:ascii="Times New Roman" w:eastAsia="Times New Roman" w:hAnsi="Times New Roman" w:cs="Times New Roman"/>
          <w:sz w:val="24"/>
          <w:szCs w:val="24"/>
          <w:lang w:val="en-IN" w:eastAsia="en-IN" w:bidi="ar-SA"/>
        </w:rPr>
      </w:pPr>
      <w:r w:rsidRPr="0013145B">
        <w:rPr>
          <w:rFonts w:ascii="Times New Roman" w:eastAsia="Times New Roman" w:hAnsi="Times New Roman" w:cs="Times New Roman"/>
          <w:sz w:val="24"/>
          <w:szCs w:val="24"/>
          <w:lang w:val="en-IN" w:eastAsia="en-IN" w:bidi="ar-SA"/>
        </w:rPr>
        <w:t xml:space="preserve">The agriculture industry is changing due in large part to digital transformation, which allows companies to increase productivity, responsiveness, and value generation.  Agribusinesses are rethinking operating models and competitive strategies by integrating digital technologies like blockchain, cloud-based platforms, artificial intelligence (AI), and the Internet of Things (IoT).  This study </w:t>
      </w:r>
      <w:proofErr w:type="spellStart"/>
      <w:r w:rsidRPr="0013145B">
        <w:rPr>
          <w:rFonts w:ascii="Times New Roman" w:eastAsia="Times New Roman" w:hAnsi="Times New Roman" w:cs="Times New Roman"/>
          <w:sz w:val="24"/>
          <w:szCs w:val="24"/>
          <w:lang w:val="en-IN" w:eastAsia="en-IN" w:bidi="ar-SA"/>
        </w:rPr>
        <w:t>analyzes</w:t>
      </w:r>
      <w:proofErr w:type="spellEnd"/>
      <w:r w:rsidRPr="0013145B">
        <w:rPr>
          <w:rFonts w:ascii="Times New Roman" w:eastAsia="Times New Roman" w:hAnsi="Times New Roman" w:cs="Times New Roman"/>
          <w:sz w:val="24"/>
          <w:szCs w:val="24"/>
          <w:lang w:val="en-IN" w:eastAsia="en-IN" w:bidi="ar-SA"/>
        </w:rPr>
        <w:t xml:space="preserve"> how digital technologies are impacting strategic corporate decision-making and changing agricultural market dynamics by combining findings from thirteen peer-reviewed research.  The results point to important areas that have improved transparency, productivity, and connectedness across the agri-food industry, including precision agriculture, smart farming technologies, and platform-based value chains (</w:t>
      </w:r>
      <w:proofErr w:type="spellStart"/>
      <w:r w:rsidRPr="0013145B">
        <w:rPr>
          <w:rFonts w:ascii="Times New Roman" w:eastAsia="Times New Roman" w:hAnsi="Times New Roman" w:cs="Times New Roman"/>
          <w:sz w:val="24"/>
          <w:szCs w:val="24"/>
          <w:lang w:val="en-IN" w:eastAsia="en-IN" w:bidi="ar-SA"/>
        </w:rPr>
        <w:t>Anastasiadis</w:t>
      </w:r>
      <w:proofErr w:type="spellEnd"/>
      <w:r w:rsidRPr="0013145B">
        <w:rPr>
          <w:rFonts w:ascii="Times New Roman" w:eastAsia="Times New Roman" w:hAnsi="Times New Roman" w:cs="Times New Roman"/>
          <w:sz w:val="24"/>
          <w:szCs w:val="24"/>
          <w:lang w:val="en-IN" w:eastAsia="en-IN" w:bidi="ar-SA"/>
        </w:rPr>
        <w:t xml:space="preserve"> et al., 2018; </w:t>
      </w:r>
      <w:proofErr w:type="spellStart"/>
      <w:r w:rsidRPr="0013145B">
        <w:rPr>
          <w:rFonts w:ascii="Times New Roman" w:eastAsia="Times New Roman" w:hAnsi="Times New Roman" w:cs="Times New Roman"/>
          <w:sz w:val="24"/>
          <w:szCs w:val="24"/>
          <w:lang w:val="en-IN" w:eastAsia="en-IN" w:bidi="ar-SA"/>
        </w:rPr>
        <w:t>Birner</w:t>
      </w:r>
      <w:proofErr w:type="spellEnd"/>
      <w:r w:rsidRPr="0013145B">
        <w:rPr>
          <w:rFonts w:ascii="Times New Roman" w:eastAsia="Times New Roman" w:hAnsi="Times New Roman" w:cs="Times New Roman"/>
          <w:sz w:val="24"/>
          <w:szCs w:val="24"/>
          <w:lang w:val="en-IN" w:eastAsia="en-IN" w:bidi="ar-SA"/>
        </w:rPr>
        <w:t xml:space="preserve"> et al., 2021).  The assessment also looks at how new business models are emerging and how they affect supply chain management, customer </w:t>
      </w:r>
      <w:proofErr w:type="spellStart"/>
      <w:r w:rsidRPr="0013145B">
        <w:rPr>
          <w:rFonts w:ascii="Times New Roman" w:eastAsia="Times New Roman" w:hAnsi="Times New Roman" w:cs="Times New Roman"/>
          <w:sz w:val="24"/>
          <w:szCs w:val="24"/>
          <w:lang w:val="en-IN" w:eastAsia="en-IN" w:bidi="ar-SA"/>
        </w:rPr>
        <w:t>behavior</w:t>
      </w:r>
      <w:proofErr w:type="spellEnd"/>
      <w:r w:rsidRPr="0013145B">
        <w:rPr>
          <w:rFonts w:ascii="Times New Roman" w:eastAsia="Times New Roman" w:hAnsi="Times New Roman" w:cs="Times New Roman"/>
          <w:sz w:val="24"/>
          <w:szCs w:val="24"/>
          <w:lang w:val="en-IN" w:eastAsia="en-IN" w:bidi="ar-SA"/>
        </w:rPr>
        <w:t>, and market participation.  Notwithstanding encouraging developments, issues with infrastructure, policy support, capacity building, and the digital divide still exist, particularly for small and medium-sized businesses (</w:t>
      </w:r>
      <w:proofErr w:type="spellStart"/>
      <w:r w:rsidRPr="0013145B">
        <w:rPr>
          <w:rFonts w:ascii="Times New Roman" w:eastAsia="Times New Roman" w:hAnsi="Times New Roman" w:cs="Times New Roman"/>
          <w:sz w:val="24"/>
          <w:szCs w:val="24"/>
          <w:lang w:val="en-IN" w:eastAsia="en-IN" w:bidi="ar-SA"/>
        </w:rPr>
        <w:t>Ayim</w:t>
      </w:r>
      <w:proofErr w:type="spellEnd"/>
      <w:r w:rsidRPr="0013145B">
        <w:rPr>
          <w:rFonts w:ascii="Times New Roman" w:eastAsia="Times New Roman" w:hAnsi="Times New Roman" w:cs="Times New Roman"/>
          <w:sz w:val="24"/>
          <w:szCs w:val="24"/>
          <w:lang w:val="en-IN" w:eastAsia="en-IN" w:bidi="ar-SA"/>
        </w:rPr>
        <w:t xml:space="preserve"> et al., 2022; </w:t>
      </w:r>
      <w:proofErr w:type="spellStart"/>
      <w:r w:rsidRPr="0013145B">
        <w:rPr>
          <w:rFonts w:ascii="Times New Roman" w:eastAsia="Times New Roman" w:hAnsi="Times New Roman" w:cs="Times New Roman"/>
          <w:sz w:val="24"/>
          <w:szCs w:val="24"/>
          <w:lang w:val="en-IN" w:eastAsia="en-IN" w:bidi="ar-SA"/>
        </w:rPr>
        <w:t>Daum</w:t>
      </w:r>
      <w:proofErr w:type="spellEnd"/>
      <w:r w:rsidRPr="0013145B">
        <w:rPr>
          <w:rFonts w:ascii="Times New Roman" w:eastAsia="Times New Roman" w:hAnsi="Times New Roman" w:cs="Times New Roman"/>
          <w:sz w:val="24"/>
          <w:szCs w:val="24"/>
          <w:lang w:val="en-IN" w:eastAsia="en-IN" w:bidi="ar-SA"/>
        </w:rPr>
        <w:t xml:space="preserve"> et al., 2021).  In order to improve digital inclusion and the sustainable incorporation of digital technology in agricultural business frameworks, the paper's conclusion identifies research needs and suggests future directions.</w:t>
      </w:r>
    </w:p>
    <w:p w14:paraId="7FF5177C" w14:textId="29AC187D" w:rsidR="00F33443" w:rsidRPr="00D932B9" w:rsidRDefault="00F33443" w:rsidP="0054497B">
      <w:pPr>
        <w:spacing w:before="240"/>
        <w:jc w:val="both"/>
        <w:rPr>
          <w:rFonts w:ascii="Times New Roman" w:eastAsia="Times New Roman" w:hAnsi="Times New Roman" w:cs="Times New Roman"/>
          <w:sz w:val="24"/>
          <w:szCs w:val="24"/>
          <w:lang w:val="en-IN" w:eastAsia="en-IN" w:bidi="ar-SA"/>
        </w:rPr>
      </w:pPr>
      <w:r w:rsidRPr="0013145B">
        <w:rPr>
          <w:rFonts w:ascii="Times New Roman" w:eastAsia="Times New Roman" w:hAnsi="Times New Roman" w:cs="Times New Roman"/>
          <w:b/>
          <w:sz w:val="24"/>
          <w:szCs w:val="24"/>
          <w:lang w:val="en-IN" w:eastAsia="en-IN" w:bidi="ar-SA"/>
        </w:rPr>
        <w:t>Keywords:</w:t>
      </w:r>
      <w:r w:rsidRPr="00D932B9">
        <w:rPr>
          <w:rFonts w:ascii="Times New Roman" w:eastAsia="Times New Roman" w:hAnsi="Times New Roman" w:cs="Times New Roman"/>
          <w:sz w:val="24"/>
          <w:szCs w:val="24"/>
          <w:lang w:val="en-IN" w:eastAsia="en-IN" w:bidi="ar-SA"/>
        </w:rPr>
        <w:t xml:space="preserve"> </w:t>
      </w:r>
      <w:r w:rsidR="00E57022" w:rsidRPr="00096A78">
        <w:rPr>
          <w:rFonts w:ascii="Times New Roman" w:eastAsia="Times New Roman" w:hAnsi="Times New Roman" w:cs="Times New Roman"/>
          <w:sz w:val="24"/>
          <w:szCs w:val="24"/>
          <w:lang w:val="en-IN" w:eastAsia="en-IN" w:bidi="ar-SA"/>
        </w:rPr>
        <w:t>Agribusiness</w:t>
      </w:r>
      <w:r w:rsidR="00E57022">
        <w:rPr>
          <w:rFonts w:ascii="Times New Roman" w:eastAsia="Times New Roman" w:hAnsi="Times New Roman" w:cs="Times New Roman"/>
          <w:sz w:val="24"/>
          <w:szCs w:val="24"/>
          <w:lang w:val="en-IN" w:eastAsia="en-IN" w:bidi="ar-SA"/>
        </w:rPr>
        <w:t>,</w:t>
      </w:r>
      <w:r w:rsidR="00096A78">
        <w:rPr>
          <w:rFonts w:ascii="Times New Roman" w:eastAsia="Times New Roman" w:hAnsi="Times New Roman" w:cs="Times New Roman"/>
          <w:sz w:val="24"/>
          <w:szCs w:val="24"/>
          <w:lang w:val="en-IN" w:eastAsia="en-IN" w:bidi="ar-SA"/>
        </w:rPr>
        <w:t xml:space="preserve"> Digital Transformation</w:t>
      </w:r>
      <w:r w:rsidR="00096A78" w:rsidRPr="00096A78">
        <w:rPr>
          <w:rFonts w:ascii="Times New Roman" w:eastAsia="Times New Roman" w:hAnsi="Times New Roman" w:cs="Times New Roman"/>
          <w:sz w:val="24"/>
          <w:szCs w:val="24"/>
          <w:lang w:val="en-IN" w:eastAsia="en-IN" w:bidi="ar-SA"/>
        </w:rPr>
        <w:t>, Precision Agriculture, Smart Farming, Supply Chain Management, Digital Inclusion</w:t>
      </w:r>
    </w:p>
    <w:p w14:paraId="4D89E66E" w14:textId="77777777" w:rsidR="008F7CCC" w:rsidRPr="00D932B9" w:rsidRDefault="008F7CCC" w:rsidP="00E57022">
      <w:pPr>
        <w:numPr>
          <w:ilvl w:val="0"/>
          <w:numId w:val="1"/>
        </w:numPr>
        <w:spacing w:before="240"/>
        <w:jc w:val="both"/>
        <w:rPr>
          <w:rFonts w:ascii="Times New Roman" w:eastAsia="Times New Roman" w:hAnsi="Times New Roman" w:cs="Times New Roman"/>
          <w:b/>
          <w:sz w:val="24"/>
          <w:szCs w:val="24"/>
          <w:lang w:val="en-IN" w:eastAsia="en-IN" w:bidi="ar-SA"/>
        </w:rPr>
      </w:pPr>
      <w:r w:rsidRPr="00D932B9">
        <w:rPr>
          <w:rFonts w:ascii="Times New Roman" w:eastAsia="Times New Roman" w:hAnsi="Times New Roman" w:cs="Times New Roman"/>
          <w:b/>
          <w:sz w:val="24"/>
          <w:szCs w:val="24"/>
          <w:lang w:val="en-IN" w:eastAsia="en-IN" w:bidi="ar-SA"/>
        </w:rPr>
        <w:t>Introduction</w:t>
      </w:r>
    </w:p>
    <w:p w14:paraId="271E66D5" w14:textId="00DFC522" w:rsidR="0013145B" w:rsidRPr="0013145B" w:rsidRDefault="0013145B" w:rsidP="0054497B">
      <w:pPr>
        <w:spacing w:before="240"/>
        <w:jc w:val="both"/>
        <w:rPr>
          <w:rFonts w:ascii="Times New Roman" w:eastAsia="Times New Roman" w:hAnsi="Times New Roman" w:cs="Times New Roman"/>
          <w:sz w:val="24"/>
          <w:szCs w:val="24"/>
          <w:lang w:val="en-IN" w:eastAsia="en-IN" w:bidi="ar-SA"/>
        </w:rPr>
      </w:pPr>
      <w:r w:rsidRPr="0013145B">
        <w:rPr>
          <w:rFonts w:ascii="Times New Roman" w:eastAsia="Times New Roman" w:hAnsi="Times New Roman" w:cs="Times New Roman"/>
          <w:sz w:val="24"/>
          <w:szCs w:val="24"/>
          <w:lang w:val="en-IN" w:eastAsia="en-IN" w:bidi="ar-SA"/>
        </w:rPr>
        <w:t xml:space="preserve">Rapid digitization is causing a paradigm change in the worldwide agriculture scene.  Agriculture, which has historically relied on manual </w:t>
      </w:r>
      <w:proofErr w:type="spellStart"/>
      <w:r w:rsidRPr="0013145B">
        <w:rPr>
          <w:rFonts w:ascii="Times New Roman" w:eastAsia="Times New Roman" w:hAnsi="Times New Roman" w:cs="Times New Roman"/>
          <w:sz w:val="24"/>
          <w:szCs w:val="24"/>
          <w:lang w:val="en-IN" w:eastAsia="en-IN" w:bidi="ar-SA"/>
        </w:rPr>
        <w:t>labor</w:t>
      </w:r>
      <w:proofErr w:type="spellEnd"/>
      <w:r w:rsidRPr="0013145B">
        <w:rPr>
          <w:rFonts w:ascii="Times New Roman" w:eastAsia="Times New Roman" w:hAnsi="Times New Roman" w:cs="Times New Roman"/>
          <w:sz w:val="24"/>
          <w:szCs w:val="24"/>
          <w:lang w:val="en-IN" w:eastAsia="en-IN" w:bidi="ar-SA"/>
        </w:rPr>
        <w:t xml:space="preserve"> and input-intensive procedures, is increasingly adopting technology that facilitates data-driven practices, real-time decision-making, and resource allocation that is maximized.  Restructuring supply chains, changing business strategies, and creating new market mechanisms are just a few of the far-reaching effects of this digital revolution on agribusinesses (Fitzgerald et al., 2014; Benitez et al., 2018).  Digital agriculture, often known as smart farming, e-agriculture, or </w:t>
      </w:r>
      <w:proofErr w:type="spellStart"/>
      <w:r w:rsidRPr="0013145B">
        <w:rPr>
          <w:rFonts w:ascii="Times New Roman" w:eastAsia="Times New Roman" w:hAnsi="Times New Roman" w:cs="Times New Roman"/>
          <w:sz w:val="24"/>
          <w:szCs w:val="24"/>
          <w:lang w:val="en-IN" w:eastAsia="en-IN" w:bidi="ar-SA"/>
        </w:rPr>
        <w:t>agri</w:t>
      </w:r>
      <w:proofErr w:type="spellEnd"/>
      <w:r w:rsidRPr="0013145B">
        <w:rPr>
          <w:rFonts w:ascii="Times New Roman" w:eastAsia="Times New Roman" w:hAnsi="Times New Roman" w:cs="Times New Roman"/>
          <w:sz w:val="24"/>
          <w:szCs w:val="24"/>
          <w:lang w:val="en-IN" w:eastAsia="en-IN" w:bidi="ar-SA"/>
        </w:rPr>
        <w:t>-tech, is the use of digital technology to improve a range of agricultural processes, from logistics after harvest to pre-production planning.  In addition to improving operational efficiency, the integration of sensors, remote sensing, big data analytics, artificial intelligence, mobile platforms, and blockchain technology is changing how agricultural companies engage with institutions, markets, and customers (Brons</w:t>
      </w:r>
      <w:r>
        <w:rPr>
          <w:rFonts w:ascii="Times New Roman" w:eastAsia="Times New Roman" w:hAnsi="Times New Roman" w:cs="Times New Roman"/>
          <w:sz w:val="24"/>
          <w:szCs w:val="24"/>
          <w:lang w:val="en-IN" w:eastAsia="en-IN" w:bidi="ar-SA"/>
        </w:rPr>
        <w:t xml:space="preserve">on, 2018; </w:t>
      </w:r>
      <w:proofErr w:type="spellStart"/>
      <w:r>
        <w:rPr>
          <w:rFonts w:ascii="Times New Roman" w:eastAsia="Times New Roman" w:hAnsi="Times New Roman" w:cs="Times New Roman"/>
          <w:sz w:val="24"/>
          <w:szCs w:val="24"/>
          <w:lang w:val="en-IN" w:eastAsia="en-IN" w:bidi="ar-SA"/>
        </w:rPr>
        <w:t>Birner</w:t>
      </w:r>
      <w:proofErr w:type="spellEnd"/>
      <w:r>
        <w:rPr>
          <w:rFonts w:ascii="Times New Roman" w:eastAsia="Times New Roman" w:hAnsi="Times New Roman" w:cs="Times New Roman"/>
          <w:sz w:val="24"/>
          <w:szCs w:val="24"/>
          <w:lang w:val="en-IN" w:eastAsia="en-IN" w:bidi="ar-SA"/>
        </w:rPr>
        <w:t xml:space="preserve"> et al., 2021).</w:t>
      </w:r>
      <w:r w:rsidRPr="0013145B">
        <w:rPr>
          <w:rFonts w:ascii="Times New Roman" w:eastAsia="Times New Roman" w:hAnsi="Times New Roman" w:cs="Times New Roman"/>
          <w:sz w:val="24"/>
          <w:szCs w:val="24"/>
          <w:lang w:val="en-IN" w:eastAsia="en-IN" w:bidi="ar-SA"/>
        </w:rPr>
        <w:t xml:space="preserve"> In order to comprehend how digital transformation is influencing corporate strategy and market dynamics in the agriculture industry, this study attempts to provide a thorough synthesis of contemporary scholarly work.  </w:t>
      </w:r>
      <w:r w:rsidRPr="0013145B">
        <w:rPr>
          <w:rFonts w:ascii="Times New Roman" w:eastAsia="Times New Roman" w:hAnsi="Times New Roman" w:cs="Times New Roman"/>
          <w:sz w:val="24"/>
          <w:szCs w:val="24"/>
          <w:lang w:val="en-IN" w:eastAsia="en-IN" w:bidi="ar-SA"/>
        </w:rPr>
        <w:lastRenderedPageBreak/>
        <w:t>It tackles the following key topics and is based on thirteen peer-reviewed studies from various technical and geographical contexts:</w:t>
      </w:r>
    </w:p>
    <w:p w14:paraId="545BCCD9" w14:textId="79789381" w:rsidR="0013145B" w:rsidRPr="0013145B" w:rsidRDefault="0013145B" w:rsidP="00E57022">
      <w:pPr>
        <w:pStyle w:val="ListParagraph"/>
        <w:numPr>
          <w:ilvl w:val="0"/>
          <w:numId w:val="3"/>
        </w:numPr>
        <w:spacing w:before="240"/>
        <w:jc w:val="both"/>
        <w:rPr>
          <w:rFonts w:ascii="Times New Roman" w:eastAsia="Times New Roman" w:hAnsi="Times New Roman" w:cs="Times New Roman"/>
          <w:sz w:val="24"/>
          <w:szCs w:val="24"/>
          <w:lang w:val="en-IN" w:eastAsia="en-IN" w:bidi="ar-SA"/>
        </w:rPr>
      </w:pPr>
      <w:r w:rsidRPr="0013145B">
        <w:rPr>
          <w:rFonts w:ascii="Times New Roman" w:eastAsia="Times New Roman" w:hAnsi="Times New Roman" w:cs="Times New Roman"/>
          <w:sz w:val="24"/>
          <w:szCs w:val="24"/>
          <w:lang w:val="en-IN" w:eastAsia="en-IN" w:bidi="ar-SA"/>
        </w:rPr>
        <w:t>How are strategic business choices in agriculture being impacted by digital transformation?</w:t>
      </w:r>
    </w:p>
    <w:p w14:paraId="0A6472B4" w14:textId="77777777" w:rsidR="0013145B" w:rsidRDefault="0013145B" w:rsidP="00E57022">
      <w:pPr>
        <w:pStyle w:val="ListParagraph"/>
        <w:numPr>
          <w:ilvl w:val="0"/>
          <w:numId w:val="3"/>
        </w:numPr>
        <w:spacing w:before="240"/>
        <w:jc w:val="both"/>
        <w:rPr>
          <w:rFonts w:ascii="Times New Roman" w:eastAsia="Times New Roman" w:hAnsi="Times New Roman" w:cs="Times New Roman"/>
          <w:sz w:val="24"/>
          <w:szCs w:val="24"/>
          <w:lang w:val="en-IN" w:eastAsia="en-IN" w:bidi="ar-SA"/>
        </w:rPr>
      </w:pPr>
      <w:r w:rsidRPr="0013145B">
        <w:rPr>
          <w:rFonts w:ascii="Times New Roman" w:eastAsia="Times New Roman" w:hAnsi="Times New Roman" w:cs="Times New Roman"/>
          <w:sz w:val="24"/>
          <w:szCs w:val="24"/>
          <w:lang w:val="en-IN" w:eastAsia="en-IN" w:bidi="ar-SA"/>
        </w:rPr>
        <w:t>What are the main technology factors influencing agriculture industry shifts, and what possibilities and obstacles exist for long-term digital adoption?</w:t>
      </w:r>
    </w:p>
    <w:p w14:paraId="6516D56E" w14:textId="3DDEB506" w:rsidR="00F33443" w:rsidRPr="0013145B" w:rsidRDefault="0013145B" w:rsidP="0054497B">
      <w:pPr>
        <w:spacing w:before="240"/>
        <w:jc w:val="both"/>
        <w:rPr>
          <w:rFonts w:ascii="Times New Roman" w:eastAsia="Times New Roman" w:hAnsi="Times New Roman" w:cs="Times New Roman"/>
          <w:sz w:val="24"/>
          <w:szCs w:val="24"/>
          <w:lang w:val="en-IN" w:eastAsia="en-IN" w:bidi="ar-SA"/>
        </w:rPr>
      </w:pPr>
      <w:r w:rsidRPr="0013145B">
        <w:rPr>
          <w:rFonts w:ascii="Times New Roman" w:eastAsia="Times New Roman" w:hAnsi="Times New Roman" w:cs="Times New Roman"/>
          <w:sz w:val="24"/>
          <w:szCs w:val="24"/>
          <w:lang w:val="en-IN" w:eastAsia="en-IN" w:bidi="ar-SA"/>
        </w:rPr>
        <w:t xml:space="preserve">By bridging the gap between technology innovation and agribusiness strategy, the review adds to the present conversation and provides insights for scholars, practitioners, and politicians that are dedicated to furthering agricultural digitalization (Day &amp; </w:t>
      </w:r>
      <w:proofErr w:type="spellStart"/>
      <w:r w:rsidRPr="0013145B">
        <w:rPr>
          <w:rFonts w:ascii="Times New Roman" w:eastAsia="Times New Roman" w:hAnsi="Times New Roman" w:cs="Times New Roman"/>
          <w:sz w:val="24"/>
          <w:szCs w:val="24"/>
          <w:lang w:val="en-IN" w:eastAsia="en-IN" w:bidi="ar-SA"/>
        </w:rPr>
        <w:t>Schoemaker</w:t>
      </w:r>
      <w:proofErr w:type="spellEnd"/>
      <w:r w:rsidRPr="0013145B">
        <w:rPr>
          <w:rFonts w:ascii="Times New Roman" w:eastAsia="Times New Roman" w:hAnsi="Times New Roman" w:cs="Times New Roman"/>
          <w:sz w:val="24"/>
          <w:szCs w:val="24"/>
          <w:lang w:val="en-IN" w:eastAsia="en-IN" w:bidi="ar-SA"/>
        </w:rPr>
        <w:t>, 2016).</w:t>
      </w:r>
    </w:p>
    <w:p w14:paraId="2D2BE250" w14:textId="77777777" w:rsidR="008F7CCC" w:rsidRPr="00D932B9" w:rsidRDefault="00F33443" w:rsidP="00E57022">
      <w:pPr>
        <w:numPr>
          <w:ilvl w:val="0"/>
          <w:numId w:val="2"/>
        </w:numPr>
        <w:spacing w:before="240"/>
        <w:jc w:val="both"/>
        <w:rPr>
          <w:rFonts w:ascii="Times New Roman" w:eastAsia="Times New Roman" w:hAnsi="Times New Roman" w:cs="Times New Roman"/>
          <w:sz w:val="24"/>
          <w:szCs w:val="24"/>
          <w:lang w:val="en-IN" w:eastAsia="en-IN" w:bidi="ar-SA"/>
        </w:rPr>
      </w:pPr>
      <w:r w:rsidRPr="00D932B9">
        <w:rPr>
          <w:rFonts w:ascii="Times New Roman" w:eastAsia="Times New Roman" w:hAnsi="Times New Roman" w:cs="Times New Roman"/>
          <w:b/>
          <w:sz w:val="24"/>
          <w:szCs w:val="24"/>
          <w:lang w:val="en-IN" w:eastAsia="en-IN" w:bidi="ar-SA"/>
        </w:rPr>
        <w:t>Methodology</w:t>
      </w:r>
    </w:p>
    <w:p w14:paraId="04D4AB27" w14:textId="0A0D72C6" w:rsidR="007E05CF" w:rsidRPr="00D932B9" w:rsidRDefault="0013145B" w:rsidP="0054497B">
      <w:pPr>
        <w:spacing w:before="240"/>
        <w:jc w:val="both"/>
        <w:rPr>
          <w:rFonts w:ascii="Times New Roman" w:eastAsia="Times New Roman" w:hAnsi="Times New Roman" w:cs="Times New Roman"/>
          <w:sz w:val="24"/>
          <w:szCs w:val="24"/>
          <w:lang w:val="en-IN" w:eastAsia="en-IN" w:bidi="ar-SA"/>
        </w:rPr>
      </w:pPr>
      <w:r w:rsidRPr="0013145B">
        <w:rPr>
          <w:rFonts w:ascii="Times New Roman" w:eastAsia="Times New Roman" w:hAnsi="Times New Roman" w:cs="Times New Roman"/>
          <w:sz w:val="24"/>
          <w:szCs w:val="24"/>
          <w:lang w:val="en-IN" w:eastAsia="en-IN" w:bidi="ar-SA"/>
        </w:rPr>
        <w:t xml:space="preserve">This review </w:t>
      </w:r>
      <w:proofErr w:type="spellStart"/>
      <w:r w:rsidRPr="0013145B">
        <w:rPr>
          <w:rFonts w:ascii="Times New Roman" w:eastAsia="Times New Roman" w:hAnsi="Times New Roman" w:cs="Times New Roman"/>
          <w:sz w:val="24"/>
          <w:szCs w:val="24"/>
          <w:lang w:val="en-IN" w:eastAsia="en-IN" w:bidi="ar-SA"/>
        </w:rPr>
        <w:t>analyzed</w:t>
      </w:r>
      <w:proofErr w:type="spellEnd"/>
      <w:r w:rsidRPr="0013145B">
        <w:rPr>
          <w:rFonts w:ascii="Times New Roman" w:eastAsia="Times New Roman" w:hAnsi="Times New Roman" w:cs="Times New Roman"/>
          <w:sz w:val="24"/>
          <w:szCs w:val="24"/>
          <w:lang w:val="en-IN" w:eastAsia="en-IN" w:bidi="ar-SA"/>
        </w:rPr>
        <w:t xml:space="preserve"> and interpreted academic literature on digital change in agriculture using a qualitative and theme synthesis method.  Thirteen peer-reviewed research publications in all, published between 2014 and 2024, were chosen for their emphasis on digital technologies, agricultural strategies, and market dynamics, as well as their scientific rigor and relevance.  According to </w:t>
      </w:r>
      <w:proofErr w:type="spellStart"/>
      <w:r w:rsidRPr="0013145B">
        <w:rPr>
          <w:rFonts w:ascii="Times New Roman" w:eastAsia="Times New Roman" w:hAnsi="Times New Roman" w:cs="Times New Roman"/>
          <w:sz w:val="24"/>
          <w:szCs w:val="24"/>
          <w:lang w:val="en-IN" w:eastAsia="en-IN" w:bidi="ar-SA"/>
        </w:rPr>
        <w:t>Assarroudi</w:t>
      </w:r>
      <w:proofErr w:type="spellEnd"/>
      <w:r w:rsidRPr="0013145B">
        <w:rPr>
          <w:rFonts w:ascii="Times New Roman" w:eastAsia="Times New Roman" w:hAnsi="Times New Roman" w:cs="Times New Roman"/>
          <w:sz w:val="24"/>
          <w:szCs w:val="24"/>
          <w:lang w:val="en-IN" w:eastAsia="en-IN" w:bidi="ar-SA"/>
        </w:rPr>
        <w:t xml:space="preserve"> et al. (2018), the studies cover a variety of geographic locations, methodological approaches (qualitative, mixed-method, and quantitative), </w:t>
      </w:r>
      <w:r>
        <w:rPr>
          <w:rFonts w:ascii="Times New Roman" w:eastAsia="Times New Roman" w:hAnsi="Times New Roman" w:cs="Times New Roman"/>
          <w:sz w:val="24"/>
          <w:szCs w:val="24"/>
          <w:lang w:val="en-IN" w:eastAsia="en-IN" w:bidi="ar-SA"/>
        </w:rPr>
        <w:t xml:space="preserve">and technology implementations. </w:t>
      </w:r>
      <w:r w:rsidRPr="0013145B">
        <w:rPr>
          <w:rFonts w:ascii="Times New Roman" w:eastAsia="Times New Roman" w:hAnsi="Times New Roman" w:cs="Times New Roman"/>
          <w:sz w:val="24"/>
          <w:szCs w:val="24"/>
          <w:lang w:val="en-IN" w:eastAsia="en-IN" w:bidi="ar-SA"/>
        </w:rPr>
        <w:t>To find similarities between the studies, a theme analysis was used.  Themes were arranged according to key aspects such stakeholder reactions, market restructuring, business model innovation, and technology integration.  Every manuscript was thoroughly examined to find recurrent themes, difficulties, and new developments.  To prevent duplication and preserve citation uniformity, reference management software was used.  Instead of producing a meta-analysis, the synthesis sought to provide a comprehensive understanding, which was consistent with the review's exploratory and integrative goals.</w:t>
      </w:r>
    </w:p>
    <w:p w14:paraId="7500ACD0"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3. Agriculture's Digital Transformation: </w:t>
      </w:r>
    </w:p>
    <w:p w14:paraId="363AFD0F" w14:textId="40E8B41E"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The term "digital transformation" describes how digital technology are systematically incorporated into farming methods, decision-making procedures, and market interaction.  By integrating intelligence, connection, and automation throughout the agricultural value chain, digital transformation goes beyond physical infrastructure, in contrast to classical mechanization or Green Revolution technology, which mainly improved production capacity (Lucas et al., 2013).</w:t>
      </w:r>
    </w:p>
    <w:p w14:paraId="100AF5A1"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3.1 Conceptual Underpinnings: </w:t>
      </w:r>
      <w:r w:rsidRPr="0054497B">
        <w:rPr>
          <w:lang w:bidi="ar-SA"/>
        </w:rPr>
        <w:t xml:space="preserve">The use of technologies like blockchain, cloud computing, mobile apps, artificial intelligence (AI), the Internet of Things (IoT), and geospatial analytics in farm-level and agribusiness operations is what is meant by digital agriculture.  It signifies a change from </w:t>
      </w:r>
      <w:proofErr w:type="spellStart"/>
      <w:r w:rsidRPr="0054497B">
        <w:rPr>
          <w:lang w:bidi="ar-SA"/>
        </w:rPr>
        <w:t>analog</w:t>
      </w:r>
      <w:proofErr w:type="spellEnd"/>
      <w:r w:rsidRPr="0054497B">
        <w:rPr>
          <w:lang w:bidi="ar-SA"/>
        </w:rPr>
        <w:t xml:space="preserve"> to intelligent, networked systems that facilitate accuracy, forecasting, and customization.  These instruments make it possible to monitor crop health, soil moisture, insect dynamics, and weather variations in real time, which lowers uncertainty and improves the accuracy of decisions made at the farm level.  Additionally, they assist with off-farm operations including marketing, finance, logistics, and supply chain management (Teece, 2007).</w:t>
      </w:r>
    </w:p>
    <w:p w14:paraId="0F7DD86A"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lastRenderedPageBreak/>
        <w:t xml:space="preserve"> 3.2 Evolution and Global Context: </w:t>
      </w:r>
      <w:r w:rsidRPr="0054497B">
        <w:rPr>
          <w:lang w:bidi="ar-SA"/>
        </w:rPr>
        <w:t xml:space="preserve">Digital agriculture has evolved over the last ten years from a specialized invention to a key area of choice for agribusinesses.  Large farms that can afford to invest in cutting-edge equipment and analytics have been the driving force behind this transformation in high-income nations.  On the other hand, mobile penetration, government e-extension services, and donor-supported platforms often serve as catalysts for digital adoption in poor nations (Duncombe, 2016; </w:t>
      </w:r>
      <w:proofErr w:type="spellStart"/>
      <w:r w:rsidRPr="0054497B">
        <w:rPr>
          <w:lang w:bidi="ar-SA"/>
        </w:rPr>
        <w:t>Ayim</w:t>
      </w:r>
      <w:proofErr w:type="spellEnd"/>
      <w:r w:rsidRPr="0054497B">
        <w:rPr>
          <w:lang w:bidi="ar-SA"/>
        </w:rPr>
        <w:t xml:space="preserve"> et al., 2022).  The emergence of digital agriculture is consistent with more general economic shifts that are marked by service-oriented value chains, platform-based business models, and data monetization (Nambisan, 2017).</w:t>
      </w:r>
    </w:p>
    <w:p w14:paraId="69E41373"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3.3 strategy Relevance: </w:t>
      </w:r>
      <w:r w:rsidRPr="0054497B">
        <w:rPr>
          <w:lang w:bidi="ar-SA"/>
        </w:rPr>
        <w:t xml:space="preserve">Digital transformation is a strategy realignment as well as a technology advancement.  According to Porter and </w:t>
      </w:r>
      <w:proofErr w:type="spellStart"/>
      <w:r w:rsidRPr="0054497B">
        <w:rPr>
          <w:lang w:bidi="ar-SA"/>
        </w:rPr>
        <w:t>Heppelmann</w:t>
      </w:r>
      <w:proofErr w:type="spellEnd"/>
      <w:r w:rsidRPr="0054497B">
        <w:rPr>
          <w:lang w:bidi="ar-SA"/>
        </w:rPr>
        <w:t xml:space="preserve"> (2014), it helps businesses to switch from product-centric to customer-centric models, implement responsive supply chains, and use predictive marketing.  Digital technologies are being used by agribusinesses to gather real-time market knowledge, save operating costs, and distinguish their goods.  In order to maintain competitiveness, improve resilience against market and climatic shocks, and promote innovation ecosystems in agriculture, digital transformation has become essential (</w:t>
      </w:r>
      <w:proofErr w:type="spellStart"/>
      <w:r w:rsidRPr="0054497B">
        <w:rPr>
          <w:lang w:bidi="ar-SA"/>
        </w:rPr>
        <w:t>Hanelt</w:t>
      </w:r>
      <w:proofErr w:type="spellEnd"/>
      <w:r w:rsidRPr="0054497B">
        <w:rPr>
          <w:lang w:bidi="ar-SA"/>
        </w:rPr>
        <w:t xml:space="preserve"> et al., 2021).</w:t>
      </w:r>
    </w:p>
    <w:p w14:paraId="6DCB24C7"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4. Tools and Technological Advancements in Digital Agriculture</w:t>
      </w:r>
    </w:p>
    <w:p w14:paraId="254EC5C1" w14:textId="3A52B6F8"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 xml:space="preserve">A technological renaissance has occurred in the agricultural industry, marked by the incorporation of digital advances that have revolutionized the production, processing, marketing, and consumption of food.  According to </w:t>
      </w:r>
      <w:proofErr w:type="spellStart"/>
      <w:r w:rsidRPr="0054497B">
        <w:rPr>
          <w:lang w:bidi="ar-SA"/>
        </w:rPr>
        <w:t>Anastasiadis</w:t>
      </w:r>
      <w:proofErr w:type="spellEnd"/>
      <w:r w:rsidRPr="0054497B">
        <w:rPr>
          <w:lang w:bidi="ar-SA"/>
        </w:rPr>
        <w:t xml:space="preserve"> et al. (2018), these technologies are revolutionizing the agri-food value chain, improving efficiency, lowering environmental footprints, and facilitating data-driven decision-making.</w:t>
      </w:r>
    </w:p>
    <w:p w14:paraId="5A054079"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4.1 Internet of Things (IoT) and Smart Sensors: </w:t>
      </w:r>
      <w:r w:rsidRPr="0054497B">
        <w:rPr>
          <w:lang w:bidi="ar-SA"/>
        </w:rPr>
        <w:t>By enabling real-time farm condition monitoring, the IoT serves as the foundation for contemporary digital agriculture.  Data on soil moisture, temperature, pH levels, insect activity, and crop health are gathered via sensors installed in fields, machinery, and storage facilities.  Wireless networks are used to send this data to centralized platforms for analysis and decision-making.  Farmers may administer pesticides, fertilizers, and water with spatial and temporal accuracy using IoT-enabled precision farming systems, which maximizes input use and reduces losses (</w:t>
      </w:r>
      <w:proofErr w:type="spellStart"/>
      <w:r w:rsidRPr="0054497B">
        <w:rPr>
          <w:lang w:bidi="ar-SA"/>
        </w:rPr>
        <w:t>Gerguri-Rashiti</w:t>
      </w:r>
      <w:proofErr w:type="spellEnd"/>
      <w:r w:rsidRPr="0054497B">
        <w:rPr>
          <w:lang w:bidi="ar-SA"/>
        </w:rPr>
        <w:t xml:space="preserve"> et al., 2017).</w:t>
      </w:r>
    </w:p>
    <w:p w14:paraId="1687471D"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4.2 Artificial Intelligence (AI) and Machine Learning (ML): </w:t>
      </w:r>
      <w:r w:rsidRPr="0054497B">
        <w:rPr>
          <w:lang w:bidi="ar-SA"/>
        </w:rPr>
        <w:t xml:space="preserve">By automating tasks, recognizing patterns, and using predictive analytics, AI and ML algorithms are transforming agricultural intelligence.  In order to predict yields, identify crop illnesses, identify abnormalities in plant development, and optimize resource allocation, these technologies can evaluate large, complicated datasets.  AI is used by platforms such as </w:t>
      </w:r>
      <w:proofErr w:type="spellStart"/>
      <w:r w:rsidRPr="0054497B">
        <w:rPr>
          <w:lang w:bidi="ar-SA"/>
        </w:rPr>
        <w:t>Plantix</w:t>
      </w:r>
      <w:proofErr w:type="spellEnd"/>
      <w:r w:rsidRPr="0054497B">
        <w:rPr>
          <w:lang w:bidi="ar-SA"/>
        </w:rPr>
        <w:t xml:space="preserve"> and </w:t>
      </w:r>
      <w:proofErr w:type="spellStart"/>
      <w:r w:rsidRPr="0054497B">
        <w:rPr>
          <w:lang w:bidi="ar-SA"/>
        </w:rPr>
        <w:t>KrishiKart</w:t>
      </w:r>
      <w:proofErr w:type="spellEnd"/>
      <w:r w:rsidRPr="0054497B">
        <w:rPr>
          <w:lang w:bidi="ar-SA"/>
        </w:rPr>
        <w:t xml:space="preserve"> India to recognize crop problems from smartphone photos and provide suggestions for tailored treatment.  Similar to this, drone imagery and monitoring enabled by AI may identify early indicators of biotic or abiotic stress, allowing for preventative measures (</w:t>
      </w:r>
      <w:proofErr w:type="spellStart"/>
      <w:r w:rsidRPr="0054497B">
        <w:rPr>
          <w:lang w:bidi="ar-SA"/>
        </w:rPr>
        <w:t>Pavlou</w:t>
      </w:r>
      <w:proofErr w:type="spellEnd"/>
      <w:r w:rsidRPr="0054497B">
        <w:rPr>
          <w:lang w:bidi="ar-SA"/>
        </w:rPr>
        <w:t xml:space="preserve"> &amp; El </w:t>
      </w:r>
      <w:proofErr w:type="spellStart"/>
      <w:r w:rsidRPr="0054497B">
        <w:rPr>
          <w:lang w:bidi="ar-SA"/>
        </w:rPr>
        <w:t>Sawy</w:t>
      </w:r>
      <w:proofErr w:type="spellEnd"/>
      <w:r w:rsidRPr="0054497B">
        <w:rPr>
          <w:lang w:bidi="ar-SA"/>
        </w:rPr>
        <w:t>, 2011).</w:t>
      </w:r>
    </w:p>
    <w:p w14:paraId="5EBFDF40"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lastRenderedPageBreak/>
        <w:t xml:space="preserve"> 4.3 Geographic Information Systems (GIS) and Remote Sensing:</w:t>
      </w:r>
      <w:r w:rsidRPr="0054497B">
        <w:rPr>
          <w:lang w:bidi="ar-SA"/>
        </w:rPr>
        <w:t xml:space="preserve"> Agricultural landscapes may be spatially </w:t>
      </w:r>
      <w:proofErr w:type="spellStart"/>
      <w:r w:rsidRPr="0054497B">
        <w:rPr>
          <w:lang w:bidi="ar-SA"/>
        </w:rPr>
        <w:t>analyzed</w:t>
      </w:r>
      <w:proofErr w:type="spellEnd"/>
      <w:r w:rsidRPr="0054497B">
        <w:rPr>
          <w:lang w:bidi="ar-SA"/>
        </w:rPr>
        <w:t xml:space="preserve"> via the use of remote sensing technologies in conjunction with GIS platforms.  Monitoring land-use changes, mapping fertility gradients, and evaluating vegetation indicators (such as the NDVI) are all done via satellite and drone photography.  Disaster preparation, irrigation timing, and land planning are all influenced by these ideas.  By combining GIS with AI, a potent toolset for climate-smart agriculture is created, allowing meteorological data to be correlated with crop and soil conditions to reduce risks (</w:t>
      </w:r>
      <w:proofErr w:type="spellStart"/>
      <w:r w:rsidRPr="0054497B">
        <w:rPr>
          <w:lang w:bidi="ar-SA"/>
        </w:rPr>
        <w:t>Nieuwenhuis</w:t>
      </w:r>
      <w:proofErr w:type="spellEnd"/>
      <w:r w:rsidRPr="0054497B">
        <w:rPr>
          <w:lang w:bidi="ar-SA"/>
        </w:rPr>
        <w:t xml:space="preserve"> et al., 2018).</w:t>
      </w:r>
    </w:p>
    <w:p w14:paraId="01E4918A"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4.4 Distributed Ledger Technologies and Block Chain: </w:t>
      </w:r>
      <w:r w:rsidRPr="0054497B">
        <w:rPr>
          <w:lang w:bidi="ar-SA"/>
        </w:rPr>
        <w:t>Block chain is becoming a revolutionary force in guaranteeing traceability, transparency, and confidence in the agri-food industry.  It makes it possible to record supply chain movements, certifications, and transactions in a safe and unchangeable manner.  Use scenarios include digital identity verification for smallholder farmers, smart contracts for input supply and payment, and block chain-enabled food traceability (e.g., IBM Food Trust) (</w:t>
      </w:r>
      <w:proofErr w:type="spellStart"/>
      <w:r w:rsidRPr="0054497B">
        <w:rPr>
          <w:lang w:bidi="ar-SA"/>
        </w:rPr>
        <w:t>Birner</w:t>
      </w:r>
      <w:proofErr w:type="spellEnd"/>
      <w:r w:rsidRPr="0054497B">
        <w:rPr>
          <w:lang w:bidi="ar-SA"/>
        </w:rPr>
        <w:t xml:space="preserve"> et al., 2021).  Block chains encourage market participation and the guarantee of food safety by lowering transaction costs and information asymmetry (</w:t>
      </w:r>
      <w:proofErr w:type="spellStart"/>
      <w:r w:rsidRPr="0054497B">
        <w:rPr>
          <w:lang w:bidi="ar-SA"/>
        </w:rPr>
        <w:t>Stilgoe</w:t>
      </w:r>
      <w:proofErr w:type="spellEnd"/>
      <w:r w:rsidRPr="0054497B">
        <w:rPr>
          <w:lang w:bidi="ar-SA"/>
        </w:rPr>
        <w:t xml:space="preserve"> et al., 2013).</w:t>
      </w:r>
    </w:p>
    <w:p w14:paraId="38B01534"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4.5 Mobile Applications and E-Agriculture Platforms: </w:t>
      </w:r>
      <w:r w:rsidRPr="0054497B">
        <w:rPr>
          <w:lang w:bidi="ar-SA"/>
        </w:rPr>
        <w:t xml:space="preserve">Access to agricultural information and services has become more accessible thanks to mobile technology, especially in areas with limited resources.  Agronomic advice, market pricing, real-time weather predictions, and financial instruments like insurance and credit score are all available via apps.  Digital transactions, price discovery, and market connections are made easier by e-agriculture platforms like </w:t>
      </w:r>
      <w:proofErr w:type="spellStart"/>
      <w:r w:rsidRPr="0054497B">
        <w:rPr>
          <w:lang w:bidi="ar-SA"/>
        </w:rPr>
        <w:t>Esoko</w:t>
      </w:r>
      <w:proofErr w:type="spellEnd"/>
      <w:r w:rsidRPr="0054497B">
        <w:rPr>
          <w:lang w:bidi="ar-SA"/>
        </w:rPr>
        <w:t xml:space="preserve"> (Africa) and e-NAM (India's electronic National Agriculture Market) (Duncombe, 2016).  By facilitating direct access to customers and lowering dependency on intermediaries, these instruments provide farmers more influence.</w:t>
      </w:r>
    </w:p>
    <w:p w14:paraId="562A3CF7"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4.6 Cloud Computing and Big Data Analytics: </w:t>
      </w:r>
      <w:r w:rsidRPr="0054497B">
        <w:rPr>
          <w:lang w:bidi="ar-SA"/>
        </w:rPr>
        <w:t xml:space="preserve">Large datasets produced by supply chains, marketplaces, and farms may be centrally stored, shared, and </w:t>
      </w:r>
      <w:proofErr w:type="spellStart"/>
      <w:r w:rsidRPr="0054497B">
        <w:rPr>
          <w:lang w:bidi="ar-SA"/>
        </w:rPr>
        <w:t>analyzed</w:t>
      </w:r>
      <w:proofErr w:type="spellEnd"/>
      <w:r w:rsidRPr="0054497B">
        <w:rPr>
          <w:lang w:bidi="ar-SA"/>
        </w:rPr>
        <w:t xml:space="preserve"> thanks to cloud-based systems.  These data lakes help agricultural companies with strategic planning, benchmarking, and predictive </w:t>
      </w:r>
      <w:proofErr w:type="spellStart"/>
      <w:r w:rsidRPr="0054497B">
        <w:rPr>
          <w:lang w:bidi="ar-SA"/>
        </w:rPr>
        <w:t>modeling</w:t>
      </w:r>
      <w:proofErr w:type="spellEnd"/>
      <w:r w:rsidRPr="0054497B">
        <w:rPr>
          <w:lang w:bidi="ar-SA"/>
        </w:rPr>
        <w:t>.  Operational intelligence is improved by big data analytics, which enables businesses to manage inventories, estimate demand, segment their clientele, and create focused marketing campaigns.  Business agility is further improved by integration with CRM platforms and ERP systems (</w:t>
      </w:r>
      <w:proofErr w:type="spellStart"/>
      <w:r w:rsidRPr="0054497B">
        <w:rPr>
          <w:lang w:bidi="ar-SA"/>
        </w:rPr>
        <w:t>Foroudi</w:t>
      </w:r>
      <w:proofErr w:type="spellEnd"/>
      <w:r w:rsidRPr="0054497B">
        <w:rPr>
          <w:lang w:bidi="ar-SA"/>
        </w:rPr>
        <w:t xml:space="preserve"> et al., 2017).</w:t>
      </w:r>
    </w:p>
    <w:p w14:paraId="2D71AEBE"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5. Changes in Agribusiness Business Strategies</w:t>
      </w:r>
    </w:p>
    <w:p w14:paraId="7D496EC9" w14:textId="1D435C2F"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The design, implementation, and adaptation of business strategies by agricultural firms have been profoundly impacted by digital transformation.  New business models, redesigned value propositions, and a change in emphasis from product-centric to customer- and data-centric operations have all resulted from the incorporation of digital technology (</w:t>
      </w:r>
      <w:proofErr w:type="spellStart"/>
      <w:r w:rsidRPr="0054497B">
        <w:rPr>
          <w:lang w:bidi="ar-SA"/>
        </w:rPr>
        <w:t>Ellonen</w:t>
      </w:r>
      <w:proofErr w:type="spellEnd"/>
      <w:r w:rsidRPr="0054497B">
        <w:rPr>
          <w:lang w:bidi="ar-SA"/>
        </w:rPr>
        <w:t xml:space="preserve"> et al., 2011).</w:t>
      </w:r>
    </w:p>
    <w:p w14:paraId="052C04F7"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lastRenderedPageBreak/>
        <w:t xml:space="preserve"> 5.1 Shift from Conventional to Digital Business Models: </w:t>
      </w:r>
      <w:r w:rsidRPr="0054497B">
        <w:rPr>
          <w:lang w:bidi="ar-SA"/>
        </w:rPr>
        <w:t>In the past, agribusinesses used input-output, linear models that had static supply chains and no contact with customers.  This paradigm has been upended by digital transformation, which has led to platform-based, feedback-driven models that allow for more creativity and reactivity.  The following are important business models that are developing in the digital agriculture economy:</w:t>
      </w:r>
    </w:p>
    <w:p w14:paraId="04C73999" w14:textId="006B9C3E" w:rsidR="0013145B" w:rsidRPr="0054497B" w:rsidRDefault="0013145B" w:rsidP="00E57022">
      <w:pPr>
        <w:pStyle w:val="NormalWeb"/>
        <w:numPr>
          <w:ilvl w:val="0"/>
          <w:numId w:val="4"/>
        </w:numPr>
        <w:spacing w:before="240" w:after="200" w:afterAutospacing="0" w:line="276" w:lineRule="auto"/>
        <w:ind w:left="709" w:hanging="709"/>
        <w:jc w:val="both"/>
        <w:rPr>
          <w:lang w:bidi="ar-SA"/>
        </w:rPr>
      </w:pPr>
      <w:r w:rsidRPr="0054497B">
        <w:rPr>
          <w:lang w:bidi="ar-SA"/>
        </w:rPr>
        <w:t>Freemium Model: Farmers may use basic digital advising services for free, but premium capabilities (including data analytics and precision tools) need a membership.</w:t>
      </w:r>
    </w:p>
    <w:p w14:paraId="69F94918" w14:textId="5F22C249" w:rsidR="0013145B" w:rsidRPr="0054497B" w:rsidRDefault="0013145B" w:rsidP="00E57022">
      <w:pPr>
        <w:pStyle w:val="NormalWeb"/>
        <w:numPr>
          <w:ilvl w:val="0"/>
          <w:numId w:val="4"/>
        </w:numPr>
        <w:spacing w:before="240" w:after="200" w:afterAutospacing="0" w:line="276" w:lineRule="auto"/>
        <w:ind w:left="709" w:hanging="709"/>
        <w:jc w:val="both"/>
        <w:rPr>
          <w:lang w:bidi="ar-SA"/>
        </w:rPr>
      </w:pPr>
      <w:r w:rsidRPr="0054497B">
        <w:rPr>
          <w:lang w:bidi="ar-SA"/>
        </w:rPr>
        <w:t>Ecosystem Model: Integrated platforms that provide packaged services under one digital roof, such as funding, inputs, market access, and logistics (</w:t>
      </w:r>
      <w:proofErr w:type="spellStart"/>
      <w:r w:rsidRPr="0054497B">
        <w:rPr>
          <w:lang w:bidi="ar-SA"/>
        </w:rPr>
        <w:t>DeHaat</w:t>
      </w:r>
      <w:proofErr w:type="spellEnd"/>
      <w:r w:rsidRPr="0054497B">
        <w:rPr>
          <w:lang w:bidi="ar-SA"/>
        </w:rPr>
        <w:t xml:space="preserve"> in India, for example).</w:t>
      </w:r>
    </w:p>
    <w:p w14:paraId="1B76057F" w14:textId="16B1F2E7" w:rsidR="0013145B" w:rsidRPr="0054497B" w:rsidRDefault="0013145B" w:rsidP="00E57022">
      <w:pPr>
        <w:pStyle w:val="NormalWeb"/>
        <w:numPr>
          <w:ilvl w:val="0"/>
          <w:numId w:val="4"/>
        </w:numPr>
        <w:spacing w:before="240" w:after="200" w:afterAutospacing="0" w:line="276" w:lineRule="auto"/>
        <w:ind w:left="709" w:hanging="709"/>
        <w:jc w:val="both"/>
        <w:rPr>
          <w:lang w:bidi="ar-SA"/>
        </w:rPr>
      </w:pPr>
      <w:r w:rsidRPr="0054497B">
        <w:rPr>
          <w:lang w:bidi="ar-SA"/>
        </w:rPr>
        <w:t>Ad-Supported Model: Online portals and mobile applications provide free services that are funded by ad sales.</w:t>
      </w:r>
    </w:p>
    <w:p w14:paraId="19BDA292" w14:textId="43FABD9A" w:rsidR="0013145B" w:rsidRPr="0054497B" w:rsidRDefault="0013145B" w:rsidP="00E57022">
      <w:pPr>
        <w:pStyle w:val="NormalWeb"/>
        <w:numPr>
          <w:ilvl w:val="0"/>
          <w:numId w:val="4"/>
        </w:numPr>
        <w:spacing w:before="240" w:after="200" w:afterAutospacing="0" w:line="276" w:lineRule="auto"/>
        <w:ind w:left="709" w:hanging="709"/>
        <w:jc w:val="both"/>
        <w:rPr>
          <w:lang w:bidi="ar-SA"/>
        </w:rPr>
      </w:pPr>
      <w:r w:rsidRPr="0054497B">
        <w:rPr>
          <w:lang w:bidi="ar-SA"/>
        </w:rPr>
        <w:t>Subscription-Based Services: Businesses charge a monthly or annual subscription for data dashboards, remote diagnostics, and farm management platforms.</w:t>
      </w:r>
    </w:p>
    <w:p w14:paraId="1B126ED1" w14:textId="4A9FC7C8" w:rsidR="0013145B" w:rsidRPr="0054497B" w:rsidRDefault="0013145B" w:rsidP="00E57022">
      <w:pPr>
        <w:pStyle w:val="NormalWeb"/>
        <w:numPr>
          <w:ilvl w:val="0"/>
          <w:numId w:val="4"/>
        </w:numPr>
        <w:spacing w:before="240" w:after="200" w:afterAutospacing="0" w:line="276" w:lineRule="auto"/>
        <w:ind w:left="709" w:hanging="709"/>
        <w:jc w:val="both"/>
        <w:rPr>
          <w:lang w:bidi="ar-SA"/>
        </w:rPr>
      </w:pPr>
      <w:r w:rsidRPr="0054497B">
        <w:rPr>
          <w:lang w:bidi="ar-SA"/>
        </w:rPr>
        <w:t>Hidden-Revenue Model: According to Nambisan (2017), value is produced by combining user data and providing insights or services to other parties, like financial institutions and providers of agricultural inputs.</w:t>
      </w:r>
    </w:p>
    <w:p w14:paraId="2D320F1C"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5.2 Value Co-Creation and Customer-Centricity: </w:t>
      </w:r>
      <w:r w:rsidRPr="0054497B">
        <w:rPr>
          <w:lang w:bidi="ar-SA"/>
        </w:rPr>
        <w:t>Digital agriculture encourages the co-creation of value via real-time interactions between farmers, agribusinesses, and consumers via digital platforms.  In order to enhance service offerings, match production to customer preferences, and guarantee traceability, agribusiness companies increasingly actively gather and use user input.  For example, companies may now advertise transparency as a competitive advantage by allowing supply chain participants to track food from "farm to fork" via digital QR codes or blockchain records.  Additionally, organic, fair-trade, and sustainably produced items now have access to niche markets thanks to the move from mass manufacturing to value-driven differentiation (</w:t>
      </w:r>
      <w:proofErr w:type="spellStart"/>
      <w:r w:rsidRPr="0054497B">
        <w:rPr>
          <w:lang w:bidi="ar-SA"/>
        </w:rPr>
        <w:t>Birner</w:t>
      </w:r>
      <w:proofErr w:type="spellEnd"/>
      <w:r w:rsidRPr="0054497B">
        <w:rPr>
          <w:lang w:bidi="ar-SA"/>
        </w:rPr>
        <w:t xml:space="preserve"> et al., 2021).</w:t>
      </w:r>
    </w:p>
    <w:p w14:paraId="747A6E13"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5.3 Agile Strategy Formulation and Risk Management: </w:t>
      </w:r>
      <w:r w:rsidRPr="0054497B">
        <w:rPr>
          <w:lang w:bidi="ar-SA"/>
        </w:rPr>
        <w:t xml:space="preserve">Agribusinesses may function more strategically thanks to digital instruments.  Businesses may make dynamic adjustments to their marketing, procurement, and logistics plans by using real-time data and predictive analytics.  Planning models may integrate weather predictions, pest outbreaks, and market price variations to lessen their susceptibility to shocks.  Digital platforms also make diversification plans easier.  Companies that started out as input suppliers, for instance, have expanded their income streams and market reach by becoming data service providers, logistics coordinators, and financial intermediaries (Warner &amp; </w:t>
      </w:r>
      <w:proofErr w:type="spellStart"/>
      <w:r w:rsidRPr="0054497B">
        <w:rPr>
          <w:lang w:bidi="ar-SA"/>
        </w:rPr>
        <w:t>Wäger</w:t>
      </w:r>
      <w:proofErr w:type="spellEnd"/>
      <w:r w:rsidRPr="0054497B">
        <w:rPr>
          <w:lang w:bidi="ar-SA"/>
        </w:rPr>
        <w:t>, 2019).</w:t>
      </w:r>
    </w:p>
    <w:p w14:paraId="17DDC4FE"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5.4 Market Intelligence and Data-Driven Decision-Making: </w:t>
      </w:r>
      <w:r w:rsidRPr="0054497B">
        <w:rPr>
          <w:lang w:bidi="ar-SA"/>
        </w:rPr>
        <w:t xml:space="preserve">Strategic planning has changed as a result of the accessibility of big data and analytics.  Businesses today use </w:t>
      </w:r>
      <w:proofErr w:type="spellStart"/>
      <w:r w:rsidRPr="0054497B">
        <w:rPr>
          <w:lang w:bidi="ar-SA"/>
        </w:rPr>
        <w:t>behavioral</w:t>
      </w:r>
      <w:proofErr w:type="spellEnd"/>
      <w:r w:rsidRPr="0054497B">
        <w:rPr>
          <w:lang w:bidi="ar-SA"/>
        </w:rPr>
        <w:t xml:space="preserve"> data, regional demand variances, and customer trends to customize their product </w:t>
      </w:r>
      <w:r w:rsidRPr="0054497B">
        <w:rPr>
          <w:lang w:bidi="ar-SA"/>
        </w:rPr>
        <w:lastRenderedPageBreak/>
        <w:t xml:space="preserve">offers.  Agri-enterprises are increasingly using dynamic pricing techniques, tailored finance solutions, and precision targeting in marketing.  Furthermore, businesses may discover high-potential client groups, evaluate credit risk, and provide customized services via consumer segmentation and predictive </w:t>
      </w:r>
      <w:proofErr w:type="spellStart"/>
      <w:r w:rsidRPr="0054497B">
        <w:rPr>
          <w:lang w:bidi="ar-SA"/>
        </w:rPr>
        <w:t>behavioral</w:t>
      </w:r>
      <w:proofErr w:type="spellEnd"/>
      <w:r w:rsidRPr="0054497B">
        <w:rPr>
          <w:lang w:bidi="ar-SA"/>
        </w:rPr>
        <w:t xml:space="preserve"> analysis. These tools are especially useful in the fields of lending, insurance, and input provisioning (Day &amp; </w:t>
      </w:r>
      <w:proofErr w:type="spellStart"/>
      <w:r w:rsidRPr="0054497B">
        <w:rPr>
          <w:lang w:bidi="ar-SA"/>
        </w:rPr>
        <w:t>Schoemaker</w:t>
      </w:r>
      <w:proofErr w:type="spellEnd"/>
      <w:r w:rsidRPr="0054497B">
        <w:rPr>
          <w:lang w:bidi="ar-SA"/>
        </w:rPr>
        <w:t xml:space="preserve">, 2016; </w:t>
      </w:r>
      <w:proofErr w:type="spellStart"/>
      <w:r w:rsidRPr="0054497B">
        <w:rPr>
          <w:lang w:bidi="ar-SA"/>
        </w:rPr>
        <w:t>Foroudi</w:t>
      </w:r>
      <w:proofErr w:type="spellEnd"/>
      <w:r w:rsidRPr="0054497B">
        <w:rPr>
          <w:lang w:bidi="ar-SA"/>
        </w:rPr>
        <w:t xml:space="preserve"> et al., 2017).</w:t>
      </w:r>
    </w:p>
    <w:p w14:paraId="31DB01F1"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5.5 Strategic Alliances and Ecosystem Thinking: </w:t>
      </w:r>
      <w:r w:rsidRPr="0054497B">
        <w:rPr>
          <w:lang w:bidi="ar-SA"/>
        </w:rPr>
        <w:t xml:space="preserve">Agribusinesses are now more inclined to develop cross-sectoral strategic alliances as a result of digital transformation.  In order to scale operations and improve service portfolios, partnerships with </w:t>
      </w:r>
      <w:proofErr w:type="spellStart"/>
      <w:r w:rsidRPr="0054497B">
        <w:rPr>
          <w:lang w:bidi="ar-SA"/>
        </w:rPr>
        <w:t>fintechs</w:t>
      </w:r>
      <w:proofErr w:type="spellEnd"/>
      <w:r w:rsidRPr="0054497B">
        <w:rPr>
          <w:lang w:bidi="ar-SA"/>
        </w:rPr>
        <w:t xml:space="preserve">, logistics companies, academic institutions, and digital </w:t>
      </w:r>
      <w:proofErr w:type="spellStart"/>
      <w:r w:rsidRPr="0054497B">
        <w:rPr>
          <w:lang w:bidi="ar-SA"/>
        </w:rPr>
        <w:t>startups</w:t>
      </w:r>
      <w:proofErr w:type="spellEnd"/>
      <w:r w:rsidRPr="0054497B">
        <w:rPr>
          <w:lang w:bidi="ar-SA"/>
        </w:rPr>
        <w:t xml:space="preserve"> have become essential.  Agribusiness companies may outsource non-core tasks while concentrating on data integration and value delivery thanks to this ecosystem mindset.  Additionally, partnerships encourage resource sharing and innovation, especially in areas with dispersed farmer populations or inadequate infrastructure (Hernández-Linares et al., 2018).</w:t>
      </w:r>
    </w:p>
    <w:p w14:paraId="39E640D6"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6. Value Chain Shifts and Market Dynamics</w:t>
      </w:r>
    </w:p>
    <w:p w14:paraId="515213C1" w14:textId="28CFCE7C"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Agribusinesses' internal strategy have been impacted by digital transformation, but the external market environment in which they compete has also undergone major restructuring.  Agricultural value chains have been reorganized, market transparency has grown, and formerly excluded players like smallholder farmers now have direct access to markets thanks to the integration of digital technology (</w:t>
      </w:r>
      <w:proofErr w:type="spellStart"/>
      <w:r w:rsidRPr="0054497B">
        <w:rPr>
          <w:lang w:bidi="ar-SA"/>
        </w:rPr>
        <w:t>Birner</w:t>
      </w:r>
      <w:proofErr w:type="spellEnd"/>
      <w:r w:rsidRPr="0054497B">
        <w:rPr>
          <w:lang w:bidi="ar-SA"/>
        </w:rPr>
        <w:t xml:space="preserve"> et al., 2021).</w:t>
      </w:r>
    </w:p>
    <w:p w14:paraId="54CCADED"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6.1 Disintermediation and Shorter Supply Chains: </w:t>
      </w:r>
      <w:r w:rsidRPr="0054497B">
        <w:rPr>
          <w:lang w:bidi="ar-SA"/>
        </w:rPr>
        <w:t xml:space="preserve">The disintermediation of conventional market systems has been one of the most revolutionary effects of digital agriculture.  Historically, the agricultural value chain was controlled by a number of middlemen, including wholesalers, commission agents, and aggregators, which often decreased farmers' price realization.  Digital platforms like </w:t>
      </w:r>
      <w:proofErr w:type="spellStart"/>
      <w:r w:rsidRPr="0054497B">
        <w:rPr>
          <w:lang w:bidi="ar-SA"/>
        </w:rPr>
        <w:t>MFarm</w:t>
      </w:r>
      <w:proofErr w:type="spellEnd"/>
      <w:r w:rsidRPr="0054497B">
        <w:rPr>
          <w:lang w:bidi="ar-SA"/>
        </w:rPr>
        <w:t xml:space="preserve"> (Africa) and e-NAM (India) have made it possible for farmers to interact with buyers directly, obtain real-time market pricing, and negotiate better rates.  Producer-to-consumer transactions are made easier by e-commerce platforms, which eliminate intermediaries and increase transparency (Duncombe, 2016).</w:t>
      </w:r>
    </w:p>
    <w:p w14:paraId="4B393CA2"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6.2 Improved Price Discovery and Market Transparency: </w:t>
      </w:r>
      <w:r w:rsidRPr="0054497B">
        <w:rPr>
          <w:lang w:bidi="ar-SA"/>
        </w:rPr>
        <w:t>A larger audience can access market data such commodity pricing, demand projections, and buyer needs thanks to digital platforms.  Particularly in rural and isolated locations, where farmers have historically depended on verbal or delayed price updates, this lessens information asymmetry.  Mobile-based market information systems greatly enhanced farmers' price realization and decreased geographical price dispersion, according to studies from Niger and India (</w:t>
      </w:r>
      <w:proofErr w:type="spellStart"/>
      <w:r w:rsidRPr="0054497B">
        <w:rPr>
          <w:lang w:bidi="ar-SA"/>
        </w:rPr>
        <w:t>Ayim</w:t>
      </w:r>
      <w:proofErr w:type="spellEnd"/>
      <w:r w:rsidRPr="0054497B">
        <w:rPr>
          <w:lang w:bidi="ar-SA"/>
        </w:rPr>
        <w:t xml:space="preserve"> et al., 2022).  By preventing monopolistic activities and encouraging resource allocation that is efficient, transparency also improves competition.</w:t>
      </w:r>
    </w:p>
    <w:p w14:paraId="6DD7DD07"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6.3 Integration of Cold Chain and Logistics Solutions: </w:t>
      </w:r>
      <w:r w:rsidRPr="0054497B">
        <w:rPr>
          <w:lang w:bidi="ar-SA"/>
        </w:rPr>
        <w:t xml:space="preserve">Infrastructure and logistics accessibility are becoming more and more connected to market access.  In order to improve food safety and decrease post-harvest losses, digital agricultural platforms increasingly include </w:t>
      </w:r>
      <w:r w:rsidRPr="0054497B">
        <w:rPr>
          <w:lang w:bidi="ar-SA"/>
        </w:rPr>
        <w:lastRenderedPageBreak/>
        <w:t>automated storage systems, cold chain monitoring, and last-mile logistics.  The movement of perishable goods is being supported by cutting-edge technologies such sensor-based cold storage monitoring, blockchain-enabled logistics records, and GPS-enabled delivery routing (</w:t>
      </w:r>
      <w:proofErr w:type="spellStart"/>
      <w:r w:rsidRPr="0054497B">
        <w:rPr>
          <w:lang w:bidi="ar-SA"/>
        </w:rPr>
        <w:t>Daum</w:t>
      </w:r>
      <w:proofErr w:type="spellEnd"/>
      <w:r w:rsidRPr="0054497B">
        <w:rPr>
          <w:lang w:bidi="ar-SA"/>
        </w:rPr>
        <w:t xml:space="preserve"> et al., 2021).  In addition to preserving quality, these actions provide small and medium-sized businesses more access to metropolitan and export markets.</w:t>
      </w:r>
    </w:p>
    <w:p w14:paraId="0D474F01"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6.4 Customization and Niche Market Expansion: </w:t>
      </w:r>
      <w:r w:rsidRPr="0054497B">
        <w:rPr>
          <w:lang w:bidi="ar-SA"/>
        </w:rPr>
        <w:t xml:space="preserve">By monitoring customer preferences and </w:t>
      </w:r>
      <w:proofErr w:type="spellStart"/>
      <w:r w:rsidRPr="0054497B">
        <w:rPr>
          <w:lang w:bidi="ar-SA"/>
        </w:rPr>
        <w:t>behavioral</w:t>
      </w:r>
      <w:proofErr w:type="spellEnd"/>
      <w:r w:rsidRPr="0054497B">
        <w:rPr>
          <w:lang w:bidi="ar-SA"/>
        </w:rPr>
        <w:t xml:space="preserve"> patterns, digital transformation helps businesses to identify and serve niche and premium markets.  Agri-enterprises may customize their offers according to taste, origin, sustainability credentials, and health qualities thanks to technologies like customer relationship management (CRM), social media analytics, and e-commerce reviews.  As a result, farm-to-table supply chains, community-supported agriculture (CSA), and direct-to-consumer (D2C) models have become more common, particularly in urban food systems (</w:t>
      </w:r>
      <w:proofErr w:type="spellStart"/>
      <w:r w:rsidRPr="0054497B">
        <w:rPr>
          <w:lang w:bidi="ar-SA"/>
        </w:rPr>
        <w:t>Foroudi</w:t>
      </w:r>
      <w:proofErr w:type="spellEnd"/>
      <w:r w:rsidRPr="0054497B">
        <w:rPr>
          <w:lang w:bidi="ar-SA"/>
        </w:rPr>
        <w:t xml:space="preserve"> et al., 2017).</w:t>
      </w:r>
    </w:p>
    <w:p w14:paraId="03AE9DC7"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6.5 Financial Integration and Market Inclusion: </w:t>
      </w:r>
      <w:r w:rsidRPr="0054497B">
        <w:rPr>
          <w:lang w:bidi="ar-SA"/>
        </w:rPr>
        <w:t>The incorporation of financial services onto digital platforms also affects market dynamics.  E-wallets, digital credit rating systems, and mobile money are lowering liquidity obstacles and facilitating smooth transactions.  These days, farmers may get loans, get payments promptly, and use digital channels to pay for services or supplies.  Market inclusion is promoted by this kind of financial integration, particularly for smallholders who did not previously have official banking access (</w:t>
      </w:r>
      <w:proofErr w:type="spellStart"/>
      <w:r w:rsidRPr="0054497B">
        <w:rPr>
          <w:lang w:bidi="ar-SA"/>
        </w:rPr>
        <w:t>Agyekumhene</w:t>
      </w:r>
      <w:proofErr w:type="spellEnd"/>
      <w:r w:rsidRPr="0054497B">
        <w:rPr>
          <w:lang w:bidi="ar-SA"/>
        </w:rPr>
        <w:t xml:space="preserve"> et al., 2018).  Further access to loans, insurance, and subsidies is made possible by the data trails generated by digital transactions, which also add to credit records.</w:t>
      </w:r>
    </w:p>
    <w:p w14:paraId="5CE7888C"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6.6 International Market Connections and Export Facilitation: </w:t>
      </w:r>
      <w:r w:rsidRPr="0054497B">
        <w:rPr>
          <w:lang w:bidi="ar-SA"/>
        </w:rPr>
        <w:t>Through certifications, traceability, and digital documentation, digitalization is connecting regional producers with international markets.  These days, platforms provide blockchain-based documentation of product origin, handling, and safety requirements—all of which are often necessary for exporting to markets in North America, Europe, and East Asia.  Agri-enterprises can position themselves in higher-value markets like organic, fair-trade, and climate-smart commodities by adhering to digital traceability and quality protocols (</w:t>
      </w:r>
      <w:proofErr w:type="spellStart"/>
      <w:r w:rsidRPr="0054497B">
        <w:rPr>
          <w:lang w:bidi="ar-SA"/>
        </w:rPr>
        <w:t>Stilgoe</w:t>
      </w:r>
      <w:proofErr w:type="spellEnd"/>
      <w:r w:rsidRPr="0054497B">
        <w:rPr>
          <w:lang w:bidi="ar-SA"/>
        </w:rPr>
        <w:t xml:space="preserve"> et al., 2013).  This improves their standing in the market and creates new sources of income.</w:t>
      </w:r>
    </w:p>
    <w:p w14:paraId="396E57F9"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7. Obstacles and Difficulties in Digital Transformation</w:t>
      </w:r>
    </w:p>
    <w:p w14:paraId="5931C1A0" w14:textId="473134ED"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 xml:space="preserve">Agribusinesses and rural economies stand to gain greatly from digital transformation, but there are a number of major obstacles to its uptake and scalability.  These issues are complex, with </w:t>
      </w:r>
      <w:proofErr w:type="spellStart"/>
      <w:r w:rsidRPr="0054497B">
        <w:rPr>
          <w:lang w:bidi="ar-SA"/>
        </w:rPr>
        <w:t>behavioral</w:t>
      </w:r>
      <w:proofErr w:type="spellEnd"/>
      <w:r w:rsidRPr="0054497B">
        <w:rPr>
          <w:lang w:bidi="ar-SA"/>
        </w:rPr>
        <w:t>, institutional, socioeconomic, and infrastructure components.  Designing inclusive and sustainable digital ecosystems in agriculture requires an understanding of these obstacles (</w:t>
      </w:r>
      <w:proofErr w:type="spellStart"/>
      <w:r w:rsidRPr="0054497B">
        <w:rPr>
          <w:lang w:bidi="ar-SA"/>
        </w:rPr>
        <w:t>Ayim</w:t>
      </w:r>
      <w:proofErr w:type="spellEnd"/>
      <w:r w:rsidRPr="0054497B">
        <w:rPr>
          <w:lang w:bidi="ar-SA"/>
        </w:rPr>
        <w:t xml:space="preserve"> et al., 2022).</w:t>
      </w:r>
    </w:p>
    <w:p w14:paraId="64DDEC9E"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7.1 Digital Divide and Unequal Access: </w:t>
      </w:r>
      <w:r w:rsidRPr="0054497B">
        <w:rPr>
          <w:lang w:bidi="ar-SA"/>
        </w:rPr>
        <w:t xml:space="preserve">The difference in access to digital tools and internet connectivity, known as the "digital divide," continues to be a significant barrier, especially in rural and low-income areas.  Many farmers are unable to use digital platforms efficiently because they do not have access to smartphones, fast internet, or consistent electricity.  </w:t>
      </w:r>
      <w:r w:rsidRPr="0054497B">
        <w:rPr>
          <w:lang w:bidi="ar-SA"/>
        </w:rPr>
        <w:lastRenderedPageBreak/>
        <w:t>Furthermore, smallholder and marginal farmers may find the expense of purchasing and maintaining digital devices, as well as platform or service subscription fees, to be unaffordable (</w:t>
      </w:r>
      <w:proofErr w:type="spellStart"/>
      <w:r w:rsidRPr="0054497B">
        <w:rPr>
          <w:lang w:bidi="ar-SA"/>
        </w:rPr>
        <w:t>Birner</w:t>
      </w:r>
      <w:proofErr w:type="spellEnd"/>
      <w:r w:rsidRPr="0054497B">
        <w:rPr>
          <w:lang w:bidi="ar-SA"/>
        </w:rPr>
        <w:t xml:space="preserve"> et al., 2021).  Existing socioeconomic inequalities run the risk of being exacerbated by this technological inequality.</w:t>
      </w:r>
    </w:p>
    <w:p w14:paraId="30CB4CE8"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7.2 Low Digital Literacy and Capacity Constraints: </w:t>
      </w:r>
      <w:r w:rsidRPr="0054497B">
        <w:rPr>
          <w:lang w:bidi="ar-SA"/>
        </w:rPr>
        <w:t>Farmers' inability to effectively use advanced digital tools is hampered by their low digital literacy, especially among older and less educated populations.  Without technical support, many users find it difficult to use mobile applications, navigate interfaces, and understand data visualizations.  Adoption is further limited by the absence of qualified extension staff to close this knowledge gap.  Digital literacy outcomes are fragmented and inconsistent as a result of capacity-building initiatives that are frequently underfunded or poorly targeted (</w:t>
      </w:r>
      <w:proofErr w:type="spellStart"/>
      <w:r w:rsidRPr="0054497B">
        <w:rPr>
          <w:lang w:bidi="ar-SA"/>
        </w:rPr>
        <w:t>Gioia</w:t>
      </w:r>
      <w:proofErr w:type="spellEnd"/>
      <w:r w:rsidRPr="0054497B">
        <w:rPr>
          <w:lang w:bidi="ar-SA"/>
        </w:rPr>
        <w:t xml:space="preserve"> et al., 2012).</w:t>
      </w:r>
    </w:p>
    <w:p w14:paraId="02521C27"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7.3 Gender Inequities and Social Barriers: </w:t>
      </w:r>
      <w:r w:rsidRPr="0054497B">
        <w:rPr>
          <w:lang w:bidi="ar-SA"/>
        </w:rPr>
        <w:t>Digital exclusion based on gender is a recurring problem.  Compared to men, women in many areas have much less access to formal training opportunities, internet services, and cell phones.  This disparity is reinforced by cultural norms, time poverty, and limited control over financial resources.  Without deliberate gender-sensitive design and implementation, digital agriculture initiatives may unintentionally reinforce these inequalities (</w:t>
      </w:r>
      <w:proofErr w:type="spellStart"/>
      <w:r w:rsidRPr="0054497B">
        <w:rPr>
          <w:lang w:bidi="ar-SA"/>
        </w:rPr>
        <w:t>Ayim</w:t>
      </w:r>
      <w:proofErr w:type="spellEnd"/>
      <w:r w:rsidRPr="0054497B">
        <w:rPr>
          <w:lang w:bidi="ar-SA"/>
        </w:rPr>
        <w:t xml:space="preserve"> et al., 2022).  Moreover, most digital content and interfaces are not tailored to the specific needs or language preferences of women farmers.</w:t>
      </w:r>
    </w:p>
    <w:p w14:paraId="230EBCAA"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7.4 Inadequate Infrastructure and Policy Gaps: </w:t>
      </w:r>
      <w:r w:rsidRPr="0054497B">
        <w:rPr>
          <w:lang w:bidi="ar-SA"/>
        </w:rPr>
        <w:t xml:space="preserve">Robust digital infrastructure—broadband networks, reliable power supply, data </w:t>
      </w:r>
      <w:proofErr w:type="spellStart"/>
      <w:r w:rsidRPr="0054497B">
        <w:rPr>
          <w:lang w:bidi="ar-SA"/>
        </w:rPr>
        <w:t>centers</w:t>
      </w:r>
      <w:proofErr w:type="spellEnd"/>
      <w:r w:rsidRPr="0054497B">
        <w:rPr>
          <w:lang w:bidi="ar-SA"/>
        </w:rPr>
        <w:t>—is a prerequisite for effective digital transformation.  However, many developing economies suffer from underdeveloped infrastructure, particularly in rural and mountainous regions.  Policy frameworks often lag behind technological innovations.  Regulatory uncertainties around data privacy, digital payments, blockchain, and smart contracts create barriers to experimentation and scalability.  In addition, fragmented institutional coordination leads to duplication of efforts and inefficient resource allocation (Benitez et al., 2018).</w:t>
      </w:r>
    </w:p>
    <w:p w14:paraId="07689DF4"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7.5 Data Governance and Trust Issues: </w:t>
      </w:r>
      <w:r w:rsidRPr="0054497B">
        <w:rPr>
          <w:lang w:bidi="ar-SA"/>
        </w:rPr>
        <w:t>Digital agriculture relies heavily on data collection, storage, and sharing.  However, concerns around data privacy, ownership, and misuse can erode trust among farmers.  In many cases, farmers are unaware of how their data is being used, who has access to it, and whether it benefits them.  Large agribusinesses and technology providers may gain disproportionate control over data flows, creating asymmetries of power and bargaining capacity.  Ensuring fair and transparent data governance is essential to building inclusive digital ecosystems (</w:t>
      </w:r>
      <w:proofErr w:type="spellStart"/>
      <w:r w:rsidRPr="0054497B">
        <w:rPr>
          <w:lang w:bidi="ar-SA"/>
        </w:rPr>
        <w:t>Stilgoe</w:t>
      </w:r>
      <w:proofErr w:type="spellEnd"/>
      <w:r w:rsidRPr="0054497B">
        <w:rPr>
          <w:lang w:bidi="ar-SA"/>
        </w:rPr>
        <w:t xml:space="preserve"> et al., 2013).</w:t>
      </w:r>
    </w:p>
    <w:p w14:paraId="53805C1A"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7.6 Resistance to Change and Cultural Factors: </w:t>
      </w:r>
      <w:r w:rsidRPr="0054497B">
        <w:rPr>
          <w:lang w:bidi="ar-SA"/>
        </w:rPr>
        <w:t xml:space="preserve">Adoption of digital tools often requires a shift in mindset, operational routines, and risk tolerance.  Resistance to change—due to fear of failure, lack of perceived value, or entrenched traditional practices—is a common barrier.  Farmers may be </w:t>
      </w:r>
      <w:proofErr w:type="spellStart"/>
      <w:r w:rsidRPr="0054497B">
        <w:rPr>
          <w:lang w:bidi="ar-SA"/>
        </w:rPr>
        <w:t>skeptical</w:t>
      </w:r>
      <w:proofErr w:type="spellEnd"/>
      <w:r w:rsidRPr="0054497B">
        <w:rPr>
          <w:lang w:bidi="ar-SA"/>
        </w:rPr>
        <w:t xml:space="preserve"> of new tools unless they see proven benefits among their peers.  Social learning and trust in information sources play a key role in shaping technology adoption </w:t>
      </w:r>
      <w:r w:rsidRPr="0054497B">
        <w:rPr>
          <w:lang w:bidi="ar-SA"/>
        </w:rPr>
        <w:lastRenderedPageBreak/>
        <w:t>decisions.  Without localized demonstration and user-</w:t>
      </w:r>
      <w:proofErr w:type="spellStart"/>
      <w:r w:rsidRPr="0054497B">
        <w:rPr>
          <w:lang w:bidi="ar-SA"/>
        </w:rPr>
        <w:t>centered</w:t>
      </w:r>
      <w:proofErr w:type="spellEnd"/>
      <w:r w:rsidRPr="0054497B">
        <w:rPr>
          <w:lang w:bidi="ar-SA"/>
        </w:rPr>
        <w:t xml:space="preserve"> design, digital interventions may remain underutilized (</w:t>
      </w:r>
      <w:proofErr w:type="spellStart"/>
      <w:r w:rsidRPr="0054497B">
        <w:rPr>
          <w:lang w:bidi="ar-SA"/>
        </w:rPr>
        <w:t>Hanelt</w:t>
      </w:r>
      <w:proofErr w:type="spellEnd"/>
      <w:r w:rsidRPr="0054497B">
        <w:rPr>
          <w:lang w:bidi="ar-SA"/>
        </w:rPr>
        <w:t xml:space="preserve"> et al., 2021).</w:t>
      </w:r>
    </w:p>
    <w:p w14:paraId="7E5A2FB4"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8.  Policy and Institutional Support for Digital Agriculture</w:t>
      </w:r>
    </w:p>
    <w:p w14:paraId="64E4F98F" w14:textId="45C845AF"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The successful integration and scalability of digital transformation in agriculture depend heavily on enabling policy environments and strong institutional frameworks.  Governments and development institutions play a pivotal role in fostering innovation ecosystems, reducing access barriers, and ensuring equitable digital inclusion (</w:t>
      </w:r>
      <w:proofErr w:type="spellStart"/>
      <w:r w:rsidRPr="0054497B">
        <w:rPr>
          <w:lang w:bidi="ar-SA"/>
        </w:rPr>
        <w:t>Birner</w:t>
      </w:r>
      <w:proofErr w:type="spellEnd"/>
      <w:r w:rsidRPr="0054497B">
        <w:rPr>
          <w:lang w:bidi="ar-SA"/>
        </w:rPr>
        <w:t xml:space="preserve"> et al., 2021).</w:t>
      </w:r>
    </w:p>
    <w:p w14:paraId="3F46D5D1"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8.1 Government-Led Digital Initiatives: </w:t>
      </w:r>
      <w:r w:rsidRPr="0054497B">
        <w:rPr>
          <w:lang w:bidi="ar-SA"/>
        </w:rPr>
        <w:t xml:space="preserve">Many countries have launched national-level programs to accelerate digital agriculture.  For instance, India’s Digital India initiative, complemented by </w:t>
      </w:r>
      <w:proofErr w:type="spellStart"/>
      <w:r w:rsidRPr="0054497B">
        <w:rPr>
          <w:lang w:bidi="ar-SA"/>
        </w:rPr>
        <w:t>eNAM</w:t>
      </w:r>
      <w:proofErr w:type="spellEnd"/>
      <w:r w:rsidRPr="0054497B">
        <w:rPr>
          <w:lang w:bidi="ar-SA"/>
        </w:rPr>
        <w:t xml:space="preserve"> (electronic National Agricultural Market), seeks to create a unified online platform for agricultural trade, promoting transparency, competitive pricing, and market access.  Similarly, Nigeria’s e-wallet fertilizer subsidy program demonstrated how mobile phones and biometric verification can be leveraged to reduce transaction costs and improve subsidy delivery to smallholders (</w:t>
      </w:r>
      <w:proofErr w:type="spellStart"/>
      <w:r w:rsidRPr="0054497B">
        <w:rPr>
          <w:lang w:bidi="ar-SA"/>
        </w:rPr>
        <w:t>Ayim</w:t>
      </w:r>
      <w:proofErr w:type="spellEnd"/>
      <w:r w:rsidRPr="0054497B">
        <w:rPr>
          <w:lang w:bidi="ar-SA"/>
        </w:rPr>
        <w:t xml:space="preserve"> et al., 2022).  Governments are also supporting open-access </w:t>
      </w:r>
      <w:proofErr w:type="spellStart"/>
      <w:r w:rsidRPr="0054497B">
        <w:rPr>
          <w:lang w:bidi="ar-SA"/>
        </w:rPr>
        <w:t>agri</w:t>
      </w:r>
      <w:proofErr w:type="spellEnd"/>
      <w:r w:rsidRPr="0054497B">
        <w:rPr>
          <w:lang w:bidi="ar-SA"/>
        </w:rPr>
        <w:t>-data platforms and innovation through real-time dissemination of weather, soil health, and market data.</w:t>
      </w:r>
    </w:p>
    <w:p w14:paraId="1B8577DD"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8.2 Role of Agricultural Extension Services: </w:t>
      </w:r>
      <w:r w:rsidRPr="0054497B">
        <w:rPr>
          <w:lang w:bidi="ar-SA"/>
        </w:rPr>
        <w:t>Traditional extension systems are being restructured to incorporate digital tools and methodologies.  E-extension platforms now deliver multimedia content, interactive advisory services, and real-time problem diagnosis via mobile phones and apps.  Digital Green, for example, uses community-produced videos in local languages to disseminate agricultural practices.  Such initiatives expand scalability and personalization but require upskilling extension personnel and ensuring content is localized, relevant, and culturally appropriate (Duncombe, 2016).</w:t>
      </w:r>
    </w:p>
    <w:p w14:paraId="6A5410F4"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8.3 Public-Private Partnerships (PPPs): </w:t>
      </w:r>
      <w:r w:rsidRPr="0054497B">
        <w:rPr>
          <w:lang w:bidi="ar-SA"/>
        </w:rPr>
        <w:t xml:space="preserve">Public-private partnerships have emerged as an effective mechanism to promote digital agriculture.  Governments often lack the agility or technological expertise needed to deploy digital tools at scale.  Collaborations with </w:t>
      </w:r>
      <w:proofErr w:type="spellStart"/>
      <w:r w:rsidRPr="0054497B">
        <w:rPr>
          <w:lang w:bidi="ar-SA"/>
        </w:rPr>
        <w:t>agri</w:t>
      </w:r>
      <w:proofErr w:type="spellEnd"/>
      <w:r w:rsidRPr="0054497B">
        <w:rPr>
          <w:lang w:bidi="ar-SA"/>
        </w:rPr>
        <w:t>-tech start-ups, NGOs, telecom companies, and financial institutions help bridge this gap.  For instance, partnerships with mobile network operators have expanded mobile-based extension and digital financial services across Sub-Saharan Africa (</w:t>
      </w:r>
      <w:proofErr w:type="spellStart"/>
      <w:r w:rsidRPr="0054497B">
        <w:rPr>
          <w:lang w:bidi="ar-SA"/>
        </w:rPr>
        <w:t>Agyekumhene</w:t>
      </w:r>
      <w:proofErr w:type="spellEnd"/>
      <w:r w:rsidRPr="0054497B">
        <w:rPr>
          <w:lang w:bidi="ar-SA"/>
        </w:rPr>
        <w:t xml:space="preserve"> et al., 2018).  Effective PPPs align commercial incentives with public welfare and promote inclusive business models.</w:t>
      </w:r>
    </w:p>
    <w:p w14:paraId="361B5F45"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8.4 Institutional Innovations and Financial Support: </w:t>
      </w:r>
      <w:r w:rsidRPr="0054497B">
        <w:rPr>
          <w:lang w:bidi="ar-SA"/>
        </w:rPr>
        <w:t xml:space="preserve">International agencies such as the World Bank, FAO, and IFAD are increasingly supporting digital agriculture through grants, loans, and technical assistance.  These funds often target innovation hubs, </w:t>
      </w:r>
      <w:proofErr w:type="spellStart"/>
      <w:r w:rsidRPr="0054497B">
        <w:rPr>
          <w:lang w:bidi="ar-SA"/>
        </w:rPr>
        <w:t>agri</w:t>
      </w:r>
      <w:proofErr w:type="spellEnd"/>
      <w:r w:rsidRPr="0054497B">
        <w:rPr>
          <w:lang w:bidi="ar-SA"/>
        </w:rPr>
        <w:t>-entrepreneur incubators, and digital solution providers working on AI, blockchain, and remote sensing technologies.  In addition, some governments offer subsidies, tax breaks, or credit incentives to farmers and agribusinesses adopting digital tools (</w:t>
      </w:r>
      <w:proofErr w:type="spellStart"/>
      <w:r w:rsidRPr="0054497B">
        <w:rPr>
          <w:lang w:bidi="ar-SA"/>
        </w:rPr>
        <w:t>Foroudi</w:t>
      </w:r>
      <w:proofErr w:type="spellEnd"/>
      <w:r w:rsidRPr="0054497B">
        <w:rPr>
          <w:lang w:bidi="ar-SA"/>
        </w:rPr>
        <w:t xml:space="preserve"> et al., 2017).</w:t>
      </w:r>
    </w:p>
    <w:p w14:paraId="5322B2DB"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lastRenderedPageBreak/>
        <w:t xml:space="preserve"> 8.5 Regulatory Frameworks and Data Policy: </w:t>
      </w:r>
      <w:r w:rsidRPr="0054497B">
        <w:rPr>
          <w:lang w:bidi="ar-SA"/>
        </w:rPr>
        <w:t>The growth of digital agriculture is closely tied to the development of robust regulatory frameworks.  Issues around data privacy, cyber security, and digital transactions need clear legislation and enforcement.  Farmers must have control over their data, understand its use, and receive a share of the value generated from data-driven services.  At the same time, enabling regulations around digital payments, e-commerce, and mobile money are essential to facilitate seamless integration of services (</w:t>
      </w:r>
      <w:proofErr w:type="spellStart"/>
      <w:r w:rsidRPr="0054497B">
        <w:rPr>
          <w:lang w:bidi="ar-SA"/>
        </w:rPr>
        <w:t>Stilgoe</w:t>
      </w:r>
      <w:proofErr w:type="spellEnd"/>
      <w:r w:rsidRPr="0054497B">
        <w:rPr>
          <w:lang w:bidi="ar-SA"/>
        </w:rPr>
        <w:t xml:space="preserve"> et al., 2013).</w:t>
      </w:r>
    </w:p>
    <w:p w14:paraId="75345EC3"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9.  Future Directions and Research Gaps</w:t>
      </w:r>
    </w:p>
    <w:p w14:paraId="75244B8F" w14:textId="2F261F65"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As digital transformation continues to shape the landscape of modern agriculture, it is imperative to critically examine the emerging frontiers and unresolved challenges that warrant further exploration.  Despite the significant progress made, several gaps remain in both practice and scholarship that need to be addressed to unlock the full potential of digital agriculture in enhancing business strategies and market systems.</w:t>
      </w:r>
    </w:p>
    <w:p w14:paraId="0C739C5F"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9.1 Inclusion and Equity in Digital Agriculture: </w:t>
      </w:r>
      <w:r w:rsidRPr="0054497B">
        <w:rPr>
          <w:lang w:bidi="ar-SA"/>
        </w:rPr>
        <w:t>While digital tools offer vast opportunities, their benefits have not been equitably distributed.  Marginalized groups—including women, smallholder farmers, and indigenous communities—remain underrepresented in digital adoption metrics.  Future research should explore inclusive design principles, gender-sensitive content delivery, and socially embedded digital extension models.  Further studies are needed on how digital platforms can be co-created with communities to ensure contextual relevance, trust-building, and long-term engagement (</w:t>
      </w:r>
      <w:proofErr w:type="spellStart"/>
      <w:r w:rsidRPr="0054497B">
        <w:rPr>
          <w:lang w:bidi="ar-SA"/>
        </w:rPr>
        <w:t>Ayim</w:t>
      </w:r>
      <w:proofErr w:type="spellEnd"/>
      <w:r w:rsidRPr="0054497B">
        <w:rPr>
          <w:lang w:bidi="ar-SA"/>
        </w:rPr>
        <w:t xml:space="preserve"> et al., 2022).</w:t>
      </w:r>
    </w:p>
    <w:p w14:paraId="4A429FE2"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9.2 Sustainability and Environmental Impact: </w:t>
      </w:r>
      <w:r w:rsidRPr="0054497B">
        <w:rPr>
          <w:lang w:bidi="ar-SA"/>
        </w:rPr>
        <w:t>Most research and commercial applications of digital agriculture have focused on productivity and profitability.  However, the environmental implications of digital tools—such as their role in promoting regenerative agriculture, reducing greenhouse gas emissions, and improving biodiversity—remain underexplored.  There is a need to evaluate the sustainability footprint of digital innovations, considering energy consumption, e-waste, and techno-dependence, particularly in resource-constrained settings (</w:t>
      </w:r>
      <w:proofErr w:type="spellStart"/>
      <w:r w:rsidRPr="0054497B">
        <w:rPr>
          <w:lang w:bidi="ar-SA"/>
        </w:rPr>
        <w:t>Anastasiadis</w:t>
      </w:r>
      <w:proofErr w:type="spellEnd"/>
      <w:r w:rsidRPr="0054497B">
        <w:rPr>
          <w:lang w:bidi="ar-SA"/>
        </w:rPr>
        <w:t xml:space="preserve"> et al., 2018).</w:t>
      </w:r>
    </w:p>
    <w:p w14:paraId="78FC83DB"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9.3 Interoperability and Data Integration: </w:t>
      </w:r>
      <w:r w:rsidRPr="0054497B">
        <w:rPr>
          <w:lang w:bidi="ar-SA"/>
        </w:rPr>
        <w:t>The proliferation of diverse digital platforms has led to data silos and fragmented systems.  Lack of compatibility across devices, platforms, and organizations limits holistic data integration and system-wide intelligence.  Future research should concentrate on standards for open-source design, data sharing protocols, and platform interoperability that promote seamless coordination among stakeholders—farmers, agribusinesses, financial institutions, and government agencies (</w:t>
      </w:r>
      <w:proofErr w:type="spellStart"/>
      <w:r w:rsidRPr="0054497B">
        <w:rPr>
          <w:lang w:bidi="ar-SA"/>
        </w:rPr>
        <w:t>Pavlou</w:t>
      </w:r>
      <w:proofErr w:type="spellEnd"/>
      <w:r w:rsidRPr="0054497B">
        <w:rPr>
          <w:lang w:bidi="ar-SA"/>
        </w:rPr>
        <w:t xml:space="preserve"> &amp; El </w:t>
      </w:r>
      <w:proofErr w:type="spellStart"/>
      <w:r w:rsidRPr="0054497B">
        <w:rPr>
          <w:lang w:bidi="ar-SA"/>
        </w:rPr>
        <w:t>Sawy</w:t>
      </w:r>
      <w:proofErr w:type="spellEnd"/>
      <w:r w:rsidRPr="0054497B">
        <w:rPr>
          <w:lang w:bidi="ar-SA"/>
        </w:rPr>
        <w:t>, 2011).</w:t>
      </w:r>
    </w:p>
    <w:p w14:paraId="0A5B51D6"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9.4 Ethical, Legal, and Governance Frameworks: </w:t>
      </w:r>
      <w:r w:rsidRPr="0054497B">
        <w:rPr>
          <w:lang w:bidi="ar-SA"/>
        </w:rPr>
        <w:t xml:space="preserve">The high rate of technology deployment has overtaken the establishment of acceptable ethical and legal frameworks.  Issues linked to data ownership, informed consent, algorithmic bias, and digital surveillance deserve immediate attention.  Cross-disciplinary research that incorporate legal, ethical, and socio-political components of digital agriculture are crucial.  Establishing farmer-centric data governance </w:t>
      </w:r>
      <w:r w:rsidRPr="0054497B">
        <w:rPr>
          <w:lang w:bidi="ar-SA"/>
        </w:rPr>
        <w:lastRenderedPageBreak/>
        <w:t>frameworks and responsible innovation protocols will be key to establishing inclusive digital ecosystems (</w:t>
      </w:r>
      <w:proofErr w:type="spellStart"/>
      <w:r w:rsidRPr="0054497B">
        <w:rPr>
          <w:lang w:bidi="ar-SA"/>
        </w:rPr>
        <w:t>Stilgoe</w:t>
      </w:r>
      <w:proofErr w:type="spellEnd"/>
      <w:r w:rsidRPr="0054497B">
        <w:rPr>
          <w:lang w:bidi="ar-SA"/>
        </w:rPr>
        <w:t xml:space="preserve"> et al., 2013).</w:t>
      </w:r>
    </w:p>
    <w:p w14:paraId="6C5F3A28"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9.5 Digital Readiness and Institutional ability: </w:t>
      </w:r>
      <w:r w:rsidRPr="0054497B">
        <w:rPr>
          <w:lang w:bidi="ar-SA"/>
        </w:rPr>
        <w:t>Adoption of digital technologies is intimately connected to institutional readiness, although many public and commercial actors lack the ability to successfully install and operate digital systems.  Future study should examine corporate digital maturity, change management procedures, and institutional innovation preparedness.  Strategies to incorporate digital skills in agriculture education and extension curricula also need comprehensive examination (</w:t>
      </w:r>
      <w:proofErr w:type="spellStart"/>
      <w:r w:rsidRPr="0054497B">
        <w:rPr>
          <w:lang w:bidi="ar-SA"/>
        </w:rPr>
        <w:t>Hanelt</w:t>
      </w:r>
      <w:proofErr w:type="spellEnd"/>
      <w:r w:rsidRPr="0054497B">
        <w:rPr>
          <w:lang w:bidi="ar-SA"/>
        </w:rPr>
        <w:t xml:space="preserve"> et al., 2021).</w:t>
      </w:r>
    </w:p>
    <w:p w14:paraId="1C47124F" w14:textId="77777777" w:rsidR="0013145B" w:rsidRPr="0054497B" w:rsidRDefault="0013145B" w:rsidP="0054497B">
      <w:pPr>
        <w:pStyle w:val="NormalWeb"/>
        <w:spacing w:before="240" w:after="200" w:afterAutospacing="0" w:line="276" w:lineRule="auto"/>
        <w:jc w:val="both"/>
        <w:rPr>
          <w:lang w:bidi="ar-SA"/>
        </w:rPr>
      </w:pPr>
      <w:r w:rsidRPr="0013145B">
        <w:rPr>
          <w:b/>
          <w:lang w:bidi="ar-SA"/>
        </w:rPr>
        <w:t xml:space="preserve"> 9.6 Longitudinal effect Assessment: </w:t>
      </w:r>
      <w:r w:rsidRPr="0054497B">
        <w:rPr>
          <w:lang w:bidi="ar-SA"/>
        </w:rPr>
        <w:t xml:space="preserve">Most present studies depend on cross-sectional data, delivering only glimpses of digital effect.  There is a shortage of longitudinal research that </w:t>
      </w:r>
      <w:proofErr w:type="spellStart"/>
      <w:r w:rsidRPr="0054497B">
        <w:rPr>
          <w:lang w:bidi="ar-SA"/>
        </w:rPr>
        <w:t>analyzes</w:t>
      </w:r>
      <w:proofErr w:type="spellEnd"/>
      <w:r w:rsidRPr="0054497B">
        <w:rPr>
          <w:lang w:bidi="ar-SA"/>
        </w:rPr>
        <w:t xml:space="preserve"> the growth of digital adoption and its cumulative consequences on income, productivity, resilience, and well-being.  Building long-term datasets and assessment frameworks will enable for evidence-based policymaking and adaptive learning in digital agricultural projects (Lucas et al., 2013).</w:t>
      </w:r>
    </w:p>
    <w:p w14:paraId="6D962B40" w14:textId="77777777" w:rsidR="0013145B" w:rsidRPr="0013145B" w:rsidRDefault="0013145B" w:rsidP="0054497B">
      <w:pPr>
        <w:pStyle w:val="NormalWeb"/>
        <w:spacing w:before="240" w:after="200" w:afterAutospacing="0" w:line="276" w:lineRule="auto"/>
        <w:jc w:val="both"/>
        <w:rPr>
          <w:b/>
          <w:lang w:bidi="ar-SA"/>
        </w:rPr>
      </w:pPr>
      <w:r w:rsidRPr="0013145B">
        <w:rPr>
          <w:b/>
          <w:lang w:bidi="ar-SA"/>
        </w:rPr>
        <w:t xml:space="preserve"> 10.  Conclusion</w:t>
      </w:r>
    </w:p>
    <w:p w14:paraId="35062C30" w14:textId="648F30D8" w:rsidR="0013145B" w:rsidRPr="0054497B" w:rsidRDefault="0013145B" w:rsidP="0054497B">
      <w:pPr>
        <w:pStyle w:val="NormalWeb"/>
        <w:spacing w:before="240" w:after="200" w:afterAutospacing="0" w:line="276" w:lineRule="auto"/>
        <w:ind w:firstLine="720"/>
        <w:jc w:val="both"/>
        <w:rPr>
          <w:lang w:bidi="ar-SA"/>
        </w:rPr>
      </w:pPr>
      <w:r w:rsidRPr="0054497B">
        <w:rPr>
          <w:lang w:bidi="ar-SA"/>
        </w:rPr>
        <w:t>Digital revolution in agriculture represents a paradigm change that transcends technology advancement—it reshapes the basic architecture of agribusiness operations and the dynamics of agricultural markets.  As demonstrated across the reviewed literature, the integration of digital tools such as IoT, AI, blockchain, mobile platforms, and data analytics has significantly enhanced efficiency, transparency, and responsiveness throughout the agri-food value chain (</w:t>
      </w:r>
      <w:proofErr w:type="spellStart"/>
      <w:r w:rsidRPr="0054497B">
        <w:rPr>
          <w:lang w:bidi="ar-SA"/>
        </w:rPr>
        <w:t>Anastasiadis</w:t>
      </w:r>
      <w:proofErr w:type="spellEnd"/>
      <w:r w:rsidRPr="0054497B">
        <w:rPr>
          <w:lang w:bidi="ar-SA"/>
        </w:rPr>
        <w:t xml:space="preserve"> et al., 2018; </w:t>
      </w:r>
      <w:proofErr w:type="spellStart"/>
      <w:r w:rsidRPr="0054497B">
        <w:rPr>
          <w:lang w:bidi="ar-SA"/>
        </w:rPr>
        <w:t>Birner</w:t>
      </w:r>
      <w:proofErr w:type="spellEnd"/>
      <w:r w:rsidRPr="0054497B">
        <w:rPr>
          <w:lang w:bidi="ar-SA"/>
        </w:rPr>
        <w:t xml:space="preserve"> et al., 2021).  From the restructuring of old business models to the democratization of market access, digital advances are allowing new forms of value generation and participation.  Customer-centric, data-driven tactics that use real-time knowledge to optimize inputs, lower transaction costs, and adjust to quickly shifting market circumstances are becoming more and more popular among agribusinesses.  Furthermore, farmers now have direct access to markets, financial services, and digital extension tools thanks to the development of platform-based ecosystems.  These changes are especially important in areas where agricultural growth has traditionally been hampered by institutional inefficiencies and infrastructure deficiencies (</w:t>
      </w:r>
      <w:proofErr w:type="spellStart"/>
      <w:r w:rsidRPr="0054497B">
        <w:rPr>
          <w:lang w:bidi="ar-SA"/>
        </w:rPr>
        <w:t>Ayim</w:t>
      </w:r>
      <w:proofErr w:type="spellEnd"/>
      <w:r w:rsidRPr="0054497B">
        <w:rPr>
          <w:lang w:bidi="ar-SA"/>
        </w:rPr>
        <w:t xml:space="preserve"> et al., 2022).</w:t>
      </w:r>
    </w:p>
    <w:p w14:paraId="2C41AE1B" w14:textId="48DA03AE" w:rsidR="00A2165D" w:rsidRPr="00D932B9" w:rsidRDefault="0013145B" w:rsidP="0054497B">
      <w:pPr>
        <w:pStyle w:val="NormalWeb"/>
        <w:spacing w:before="240" w:beforeAutospacing="0" w:after="200" w:afterAutospacing="0" w:line="276" w:lineRule="auto"/>
        <w:jc w:val="both"/>
      </w:pPr>
      <w:r w:rsidRPr="0054497B">
        <w:rPr>
          <w:lang w:bidi="ar-SA"/>
        </w:rPr>
        <w:t xml:space="preserve"> The advantages of digital agriculture are still not equally spread, however.  Vulnerable populations are nonetheless marginalized by structural constraints such poor digital literacy, gender inequity, and the digital divide.  Furthermore, issues with institutional capacity, data privacy, and ethical technology usage present significant obstacles that call for inclusive, participatory, and well-regulated frameworks (</w:t>
      </w:r>
      <w:proofErr w:type="spellStart"/>
      <w:r w:rsidRPr="0054497B">
        <w:rPr>
          <w:lang w:bidi="ar-SA"/>
        </w:rPr>
        <w:t>Stilgoe</w:t>
      </w:r>
      <w:proofErr w:type="spellEnd"/>
      <w:r w:rsidRPr="0054497B">
        <w:rPr>
          <w:lang w:bidi="ar-SA"/>
        </w:rPr>
        <w:t xml:space="preserve"> et al., 2013).  Coordinated efforts from governments, business sector entities, research institutions, and civil society are required to guarantee that digital agriculture realizes its promise in promoting resilient, inclusive, and sustainable food systems.  The protection of digital rights, capacity building, and infrastructure development must be given top priority in policy.  Research must simultaneously keep </w:t>
      </w:r>
      <w:r w:rsidRPr="0054497B">
        <w:rPr>
          <w:lang w:bidi="ar-SA"/>
        </w:rPr>
        <w:lastRenderedPageBreak/>
        <w:t>examining equitable considerations, long-term effects, and locally based solutions that represent the many realities of agricultural stakeholders.</w:t>
      </w:r>
    </w:p>
    <w:p w14:paraId="5CED1427" w14:textId="77777777" w:rsidR="008F7CCC" w:rsidRPr="00D932B9" w:rsidRDefault="008F7CCC" w:rsidP="0054497B">
      <w:pPr>
        <w:pStyle w:val="Heading3"/>
        <w:spacing w:before="240" w:after="200"/>
        <w:jc w:val="both"/>
        <w:rPr>
          <w:rFonts w:ascii="Times New Roman" w:hAnsi="Times New Roman" w:cs="Times New Roman"/>
          <w:color w:val="auto"/>
          <w:szCs w:val="24"/>
        </w:rPr>
      </w:pPr>
      <w:r w:rsidRPr="00D932B9">
        <w:rPr>
          <w:rStyle w:val="Strong"/>
          <w:rFonts w:ascii="Times New Roman" w:hAnsi="Times New Roman" w:cs="Times New Roman"/>
          <w:bCs w:val="0"/>
          <w:color w:val="auto"/>
          <w:szCs w:val="24"/>
        </w:rPr>
        <w:t>References</w:t>
      </w:r>
    </w:p>
    <w:p w14:paraId="0E2B08F8"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Agyekumhene</w:t>
      </w:r>
      <w:proofErr w:type="spellEnd"/>
      <w:r w:rsidRPr="00D932B9">
        <w:t xml:space="preserve">, C., de Vries, J. R., van </w:t>
      </w:r>
      <w:proofErr w:type="spellStart"/>
      <w:r w:rsidRPr="00D932B9">
        <w:t>Paassen</w:t>
      </w:r>
      <w:proofErr w:type="spellEnd"/>
      <w:r w:rsidRPr="00D932B9">
        <w:t xml:space="preserve">, A., </w:t>
      </w:r>
      <w:proofErr w:type="spellStart"/>
      <w:r w:rsidRPr="00D932B9">
        <w:t>Macnaghten</w:t>
      </w:r>
      <w:proofErr w:type="spellEnd"/>
      <w:r w:rsidRPr="00D932B9">
        <w:t xml:space="preserve">, P., </w:t>
      </w:r>
      <w:proofErr w:type="spellStart"/>
      <w:r w:rsidRPr="00D932B9">
        <w:t>Schut</w:t>
      </w:r>
      <w:proofErr w:type="spellEnd"/>
      <w:r w:rsidRPr="00D932B9">
        <w:t xml:space="preserve">, M., &amp; </w:t>
      </w:r>
      <w:proofErr w:type="spellStart"/>
      <w:r w:rsidRPr="00D932B9">
        <w:t>Bregt</w:t>
      </w:r>
      <w:proofErr w:type="spellEnd"/>
      <w:r w:rsidRPr="00D932B9">
        <w:t xml:space="preserve">, A. (2018). Digital platforms for smallholder credit access: The mediation of trust for cooperation in maize value chain financing. </w:t>
      </w:r>
      <w:r w:rsidRPr="00D932B9">
        <w:rPr>
          <w:rStyle w:val="Emphasis"/>
        </w:rPr>
        <w:t>NJAS - Wageningen Journal of Life Sciences</w:t>
      </w:r>
      <w:r w:rsidRPr="00D932B9">
        <w:t>, 4, 77–88.</w:t>
      </w:r>
    </w:p>
    <w:p w14:paraId="2403BBAE" w14:textId="77777777" w:rsidR="008F7CCC" w:rsidRPr="00D932B9" w:rsidRDefault="008F7CCC" w:rsidP="0054497B">
      <w:pPr>
        <w:pStyle w:val="NormalWeb"/>
        <w:spacing w:before="240" w:beforeAutospacing="0" w:after="200" w:afterAutospacing="0" w:line="276" w:lineRule="auto"/>
        <w:ind w:left="1418" w:hanging="1418"/>
        <w:jc w:val="both"/>
      </w:pPr>
      <w:r w:rsidRPr="00D932B9">
        <w:t>Alberti-</w:t>
      </w:r>
      <w:proofErr w:type="spellStart"/>
      <w:r w:rsidRPr="00D932B9">
        <w:t>Alhtaybat</w:t>
      </w:r>
      <w:proofErr w:type="spellEnd"/>
      <w:r w:rsidRPr="00D932B9">
        <w:t>, L. V., Al-</w:t>
      </w:r>
      <w:proofErr w:type="spellStart"/>
      <w:r w:rsidRPr="00D932B9">
        <w:t>Htaybat</w:t>
      </w:r>
      <w:proofErr w:type="spellEnd"/>
      <w:r w:rsidRPr="00D932B9">
        <w:t xml:space="preserve">, K., &amp; </w:t>
      </w:r>
      <w:proofErr w:type="spellStart"/>
      <w:r w:rsidRPr="00D932B9">
        <w:t>Hutaibat</w:t>
      </w:r>
      <w:proofErr w:type="spellEnd"/>
      <w:r w:rsidRPr="00D932B9">
        <w:t xml:space="preserve">, K. (2019). A knowledge management and sharing business model for dealing with disruption: The case of Aramex. </w:t>
      </w:r>
      <w:r w:rsidRPr="00D932B9">
        <w:rPr>
          <w:rStyle w:val="Emphasis"/>
        </w:rPr>
        <w:t>Journal of Business Research</w:t>
      </w:r>
      <w:r w:rsidRPr="00D932B9">
        <w:t xml:space="preserve">, 94, 400–407. </w:t>
      </w:r>
      <w:hyperlink r:id="rId7" w:history="1">
        <w:r w:rsidRPr="00D932B9">
          <w:rPr>
            <w:rStyle w:val="Hyperlink"/>
            <w:color w:val="auto"/>
          </w:rPr>
          <w:t>https://doi.org/10.1016/j.jbusres.2017.11.037</w:t>
        </w:r>
      </w:hyperlink>
    </w:p>
    <w:p w14:paraId="3E43D4C8"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Anastasiadis</w:t>
      </w:r>
      <w:proofErr w:type="spellEnd"/>
      <w:r w:rsidRPr="00D932B9">
        <w:t xml:space="preserve">, F., </w:t>
      </w:r>
      <w:proofErr w:type="spellStart"/>
      <w:r w:rsidRPr="00D932B9">
        <w:t>Tsolakis</w:t>
      </w:r>
      <w:proofErr w:type="spellEnd"/>
      <w:r w:rsidRPr="00D932B9">
        <w:t xml:space="preserve">, N., &amp; </w:t>
      </w:r>
      <w:proofErr w:type="spellStart"/>
      <w:r w:rsidRPr="00D932B9">
        <w:t>Srai</w:t>
      </w:r>
      <w:proofErr w:type="spellEnd"/>
      <w:r w:rsidRPr="00D932B9">
        <w:t xml:space="preserve">, J. (2018). Digital technologies towards resource efficiency in the agri-food sector. </w:t>
      </w:r>
      <w:r w:rsidRPr="00D932B9">
        <w:rPr>
          <w:rStyle w:val="Emphasis"/>
        </w:rPr>
        <w:t>Sustainability</w:t>
      </w:r>
      <w:r w:rsidRPr="00D932B9">
        <w:t xml:space="preserve">, 10(12), 4850. </w:t>
      </w:r>
      <w:hyperlink r:id="rId8" w:history="1">
        <w:r w:rsidRPr="00D932B9">
          <w:rPr>
            <w:rStyle w:val="Hyperlink"/>
            <w:color w:val="auto"/>
          </w:rPr>
          <w:t>https://doi.org/10.3390/su10124850</w:t>
        </w:r>
      </w:hyperlink>
    </w:p>
    <w:p w14:paraId="4B46DCF0"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Assarroudi</w:t>
      </w:r>
      <w:proofErr w:type="spellEnd"/>
      <w:r w:rsidRPr="00D932B9">
        <w:t xml:space="preserve">, A., </w:t>
      </w:r>
      <w:proofErr w:type="spellStart"/>
      <w:r w:rsidRPr="00D932B9">
        <w:t>Heshmati</w:t>
      </w:r>
      <w:proofErr w:type="spellEnd"/>
      <w:r w:rsidRPr="00D932B9">
        <w:t xml:space="preserve"> </w:t>
      </w:r>
      <w:proofErr w:type="spellStart"/>
      <w:r w:rsidRPr="00D932B9">
        <w:t>Nabavi</w:t>
      </w:r>
      <w:proofErr w:type="spellEnd"/>
      <w:r w:rsidRPr="00D932B9">
        <w:t xml:space="preserve">, F., </w:t>
      </w:r>
      <w:proofErr w:type="spellStart"/>
      <w:r w:rsidRPr="00D932B9">
        <w:t>Armat</w:t>
      </w:r>
      <w:proofErr w:type="spellEnd"/>
      <w:r w:rsidRPr="00D932B9">
        <w:t xml:space="preserve">, M. R., </w:t>
      </w:r>
      <w:proofErr w:type="spellStart"/>
      <w:r w:rsidRPr="00D932B9">
        <w:t>Ebadi</w:t>
      </w:r>
      <w:proofErr w:type="spellEnd"/>
      <w:r w:rsidRPr="00D932B9">
        <w:t xml:space="preserve">, A., &amp; </w:t>
      </w:r>
      <w:proofErr w:type="spellStart"/>
      <w:r w:rsidRPr="00D932B9">
        <w:t>Vaismoradi</w:t>
      </w:r>
      <w:proofErr w:type="spellEnd"/>
      <w:r w:rsidRPr="00D932B9">
        <w:t xml:space="preserve">, M. (2018). Qualitative content analysis: A process guide. </w:t>
      </w:r>
      <w:r w:rsidRPr="00D932B9">
        <w:rPr>
          <w:rStyle w:val="Emphasis"/>
        </w:rPr>
        <w:t>Nursing &amp; Midwifery Studies</w:t>
      </w:r>
      <w:r w:rsidRPr="00D932B9">
        <w:t>, 7(1), 27–35.</w:t>
      </w:r>
    </w:p>
    <w:p w14:paraId="7896CCAF"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Ayim</w:t>
      </w:r>
      <w:proofErr w:type="spellEnd"/>
      <w:r w:rsidRPr="00D932B9">
        <w:t xml:space="preserve">, C., </w:t>
      </w:r>
      <w:proofErr w:type="spellStart"/>
      <w:r w:rsidRPr="00D932B9">
        <w:t>Kassahun</w:t>
      </w:r>
      <w:proofErr w:type="spellEnd"/>
      <w:r w:rsidRPr="00D932B9">
        <w:t xml:space="preserve">, A., Addison, C., &amp; </w:t>
      </w:r>
      <w:proofErr w:type="spellStart"/>
      <w:r w:rsidRPr="00D932B9">
        <w:t>Tekinerdogan</w:t>
      </w:r>
      <w:proofErr w:type="spellEnd"/>
      <w:r w:rsidRPr="00D932B9">
        <w:t xml:space="preserve">, B. (2022). Adoption of ICT innovations in the agriculture sector in Africa: A review of the literature. </w:t>
      </w:r>
      <w:r w:rsidRPr="00D932B9">
        <w:rPr>
          <w:rStyle w:val="Emphasis"/>
        </w:rPr>
        <w:t>Agriculture and Food Security</w:t>
      </w:r>
      <w:r w:rsidRPr="00D932B9">
        <w:t>, 11(1), 1–16.</w:t>
      </w:r>
    </w:p>
    <w:p w14:paraId="4C374C2F"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Benitez, J., Ray, G., &amp; </w:t>
      </w:r>
      <w:proofErr w:type="spellStart"/>
      <w:r w:rsidRPr="00D932B9">
        <w:t>Henseler</w:t>
      </w:r>
      <w:proofErr w:type="spellEnd"/>
      <w:r w:rsidRPr="00D932B9">
        <w:t xml:space="preserve">, J. (2018). Impact of IT infrastructure flexibility on IT-enabled business process innovation. </w:t>
      </w:r>
      <w:r w:rsidRPr="00D932B9">
        <w:rPr>
          <w:rStyle w:val="Emphasis"/>
        </w:rPr>
        <w:t>Information &amp; Management</w:t>
      </w:r>
      <w:r w:rsidRPr="00D932B9">
        <w:t>, 55(1), 120–132.</w:t>
      </w:r>
    </w:p>
    <w:p w14:paraId="00729599"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Birner</w:t>
      </w:r>
      <w:proofErr w:type="spellEnd"/>
      <w:r w:rsidRPr="00D932B9">
        <w:t xml:space="preserve">, R., </w:t>
      </w:r>
      <w:proofErr w:type="spellStart"/>
      <w:r w:rsidRPr="00D932B9">
        <w:t>Daum</w:t>
      </w:r>
      <w:proofErr w:type="spellEnd"/>
      <w:r w:rsidRPr="00D932B9">
        <w:t xml:space="preserve">, T., &amp; Pray, C. (2021). Who drives the digital revolution in agriculture? A review of supply-side trends, players and challenges. </w:t>
      </w:r>
      <w:r w:rsidRPr="00D932B9">
        <w:rPr>
          <w:rStyle w:val="Emphasis"/>
        </w:rPr>
        <w:t>Applied Economic Perspectives and Policy</w:t>
      </w:r>
      <w:r w:rsidRPr="00D932B9">
        <w:t xml:space="preserve">, 4, 32–38. </w:t>
      </w:r>
      <w:hyperlink r:id="rId9" w:history="1">
        <w:r w:rsidRPr="00D932B9">
          <w:rPr>
            <w:rStyle w:val="Hyperlink"/>
            <w:color w:val="auto"/>
          </w:rPr>
          <w:t>https://doi.org/10.1002/aepp.13145</w:t>
        </w:r>
      </w:hyperlink>
    </w:p>
    <w:p w14:paraId="46E1BEFC"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Birner</w:t>
      </w:r>
      <w:proofErr w:type="spellEnd"/>
      <w:r w:rsidRPr="00D932B9">
        <w:t xml:space="preserve">, R., </w:t>
      </w:r>
      <w:proofErr w:type="spellStart"/>
      <w:r w:rsidRPr="00D932B9">
        <w:t>Daum</w:t>
      </w:r>
      <w:proofErr w:type="spellEnd"/>
      <w:r w:rsidRPr="00D932B9">
        <w:t xml:space="preserve">, T., &amp; Pray, C. (2021). Who drives the digital revolution in agriculture? </w:t>
      </w:r>
      <w:r w:rsidRPr="00D932B9">
        <w:rPr>
          <w:rStyle w:val="Emphasis"/>
        </w:rPr>
        <w:t>Applied Economic Perspectives and Policy</w:t>
      </w:r>
      <w:r w:rsidRPr="00D932B9">
        <w:t xml:space="preserve">, 43(4), 1260–1285. </w:t>
      </w:r>
      <w:hyperlink r:id="rId10" w:history="1">
        <w:r w:rsidRPr="00D932B9">
          <w:rPr>
            <w:rStyle w:val="Hyperlink"/>
            <w:color w:val="auto"/>
          </w:rPr>
          <w:t>https://doi.org/10.1002/aepp.13145</w:t>
        </w:r>
      </w:hyperlink>
    </w:p>
    <w:p w14:paraId="5D68B06C"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Bronson, K. (2018). Smart farming: Including rights holders for responsible innovation in agricultural technologies. </w:t>
      </w:r>
      <w:r w:rsidRPr="00D932B9">
        <w:rPr>
          <w:rStyle w:val="Emphasis"/>
        </w:rPr>
        <w:t>Technology Innovation Management Review</w:t>
      </w:r>
      <w:r w:rsidRPr="00D932B9">
        <w:t>, 8(2), 7–14.</w:t>
      </w:r>
    </w:p>
    <w:p w14:paraId="1445139A"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Daum</w:t>
      </w:r>
      <w:proofErr w:type="spellEnd"/>
      <w:r w:rsidRPr="00D932B9">
        <w:t xml:space="preserve">, T., </w:t>
      </w:r>
      <w:proofErr w:type="spellStart"/>
      <w:r w:rsidRPr="00D932B9">
        <w:t>Villalba</w:t>
      </w:r>
      <w:proofErr w:type="spellEnd"/>
      <w:r w:rsidRPr="00D932B9">
        <w:t xml:space="preserve">, R., </w:t>
      </w:r>
      <w:proofErr w:type="spellStart"/>
      <w:r w:rsidRPr="00D932B9">
        <w:t>Anidi</w:t>
      </w:r>
      <w:proofErr w:type="spellEnd"/>
      <w:r w:rsidRPr="00D932B9">
        <w:t xml:space="preserve">, O., </w:t>
      </w:r>
      <w:proofErr w:type="spellStart"/>
      <w:r w:rsidRPr="00D932B9">
        <w:t>Mayienga</w:t>
      </w:r>
      <w:proofErr w:type="spellEnd"/>
      <w:r w:rsidRPr="00D932B9">
        <w:t xml:space="preserve">, S. M., Gupta, S., &amp; </w:t>
      </w:r>
      <w:proofErr w:type="spellStart"/>
      <w:r w:rsidRPr="00D932B9">
        <w:t>Birner</w:t>
      </w:r>
      <w:proofErr w:type="spellEnd"/>
      <w:r w:rsidRPr="00D932B9">
        <w:t xml:space="preserve">, R. (2021). Uber for tractors? Opportunities and challenges of digital tools for tractor hire in India and Nigeria. </w:t>
      </w:r>
      <w:r w:rsidRPr="00D932B9">
        <w:rPr>
          <w:rStyle w:val="Emphasis"/>
        </w:rPr>
        <w:t>World Development</w:t>
      </w:r>
      <w:r w:rsidRPr="00D932B9">
        <w:t xml:space="preserve">, 144, 105480. </w:t>
      </w:r>
      <w:hyperlink r:id="rId11" w:history="1">
        <w:r w:rsidRPr="00D932B9">
          <w:rPr>
            <w:rStyle w:val="Hyperlink"/>
            <w:color w:val="auto"/>
          </w:rPr>
          <w:t>https://doi.org/10.1016/j.worlddev.2021.105480</w:t>
        </w:r>
      </w:hyperlink>
    </w:p>
    <w:p w14:paraId="390DB1CB" w14:textId="77777777" w:rsidR="008F7CCC" w:rsidRPr="00D932B9" w:rsidRDefault="008F7CCC" w:rsidP="0054497B">
      <w:pPr>
        <w:pStyle w:val="NormalWeb"/>
        <w:spacing w:before="240" w:beforeAutospacing="0" w:after="200" w:afterAutospacing="0" w:line="276" w:lineRule="auto"/>
        <w:ind w:left="1418" w:hanging="1418"/>
        <w:jc w:val="both"/>
      </w:pPr>
      <w:r w:rsidRPr="00D932B9">
        <w:lastRenderedPageBreak/>
        <w:t xml:space="preserve">Day, G. S., &amp; </w:t>
      </w:r>
      <w:proofErr w:type="spellStart"/>
      <w:r w:rsidRPr="00D932B9">
        <w:t>Schoemaker</w:t>
      </w:r>
      <w:proofErr w:type="spellEnd"/>
      <w:r w:rsidRPr="00D932B9">
        <w:t xml:space="preserve">, P. J. (2016). Adapting to fast-changing markets and technologies. </w:t>
      </w:r>
      <w:r w:rsidRPr="00D932B9">
        <w:rPr>
          <w:rStyle w:val="Emphasis"/>
        </w:rPr>
        <w:t>California Management Review</w:t>
      </w:r>
      <w:r w:rsidRPr="00D932B9">
        <w:t>, 58(4), 59–77.</w:t>
      </w:r>
    </w:p>
    <w:p w14:paraId="5D6A9116"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Dehning</w:t>
      </w:r>
      <w:proofErr w:type="spellEnd"/>
      <w:r w:rsidRPr="00D932B9">
        <w:t xml:space="preserve">, B., Richardson, V. J., &amp; </w:t>
      </w:r>
      <w:proofErr w:type="spellStart"/>
      <w:r w:rsidRPr="00D932B9">
        <w:t>Zmud</w:t>
      </w:r>
      <w:proofErr w:type="spellEnd"/>
      <w:r w:rsidRPr="00D932B9">
        <w:t xml:space="preserve">, R. W. (2003). The value relevance of announcements of transformational information technology investments. </w:t>
      </w:r>
      <w:r w:rsidRPr="00D932B9">
        <w:rPr>
          <w:rStyle w:val="Emphasis"/>
        </w:rPr>
        <w:t>MIS Quarterly</w:t>
      </w:r>
      <w:r w:rsidRPr="00D932B9">
        <w:t>, 27(4), 637–656.</w:t>
      </w:r>
    </w:p>
    <w:p w14:paraId="5C4CD8C0"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Duncombe, R. (2016). Mobile phones for agricultural and rural development: A literature review and suggestions for future research. </w:t>
      </w:r>
      <w:r w:rsidRPr="00D932B9">
        <w:rPr>
          <w:rStyle w:val="Emphasis"/>
        </w:rPr>
        <w:t>European Journal of Development Research</w:t>
      </w:r>
      <w:r w:rsidRPr="00D932B9">
        <w:t>, 28(2), 213–235.</w:t>
      </w:r>
    </w:p>
    <w:p w14:paraId="0B241CD6"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Eisenhardt, K. M., &amp; Martin, J. A. (2000). Dynamic capabilities: What are they? </w:t>
      </w:r>
      <w:r w:rsidRPr="00D932B9">
        <w:rPr>
          <w:rStyle w:val="Emphasis"/>
        </w:rPr>
        <w:t>Strategic Management Journal</w:t>
      </w:r>
      <w:r w:rsidRPr="00D932B9">
        <w:t>, 21(10/11), 1105–1121.</w:t>
      </w:r>
    </w:p>
    <w:p w14:paraId="0373047B"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Ellonen</w:t>
      </w:r>
      <w:proofErr w:type="spellEnd"/>
      <w:r w:rsidRPr="00D932B9">
        <w:t xml:space="preserve">, H.-K., </w:t>
      </w:r>
      <w:proofErr w:type="spellStart"/>
      <w:r w:rsidRPr="00D932B9">
        <w:t>Wikström</w:t>
      </w:r>
      <w:proofErr w:type="spellEnd"/>
      <w:r w:rsidRPr="00D932B9">
        <w:t xml:space="preserve">, K., &amp; </w:t>
      </w:r>
      <w:proofErr w:type="spellStart"/>
      <w:r w:rsidRPr="00D932B9">
        <w:t>Jantunen</w:t>
      </w:r>
      <w:proofErr w:type="spellEnd"/>
      <w:r w:rsidRPr="00D932B9">
        <w:t xml:space="preserve">, A. (2011). Linking dynamic capability portfolios and innovation outcomes. </w:t>
      </w:r>
      <w:proofErr w:type="spellStart"/>
      <w:r w:rsidRPr="00D932B9">
        <w:rPr>
          <w:rStyle w:val="Emphasis"/>
        </w:rPr>
        <w:t>Technovation</w:t>
      </w:r>
      <w:proofErr w:type="spellEnd"/>
      <w:r w:rsidRPr="00D932B9">
        <w:t xml:space="preserve">, </w:t>
      </w:r>
      <w:r w:rsidRPr="00D932B9">
        <w:rPr>
          <w:rStyle w:val="Emphasis"/>
          <w:shd w:val="clear" w:color="auto" w:fill="FFFFFF"/>
        </w:rPr>
        <w:t>29</w:t>
      </w:r>
      <w:r w:rsidRPr="00D932B9">
        <w:rPr>
          <w:shd w:val="clear" w:color="auto" w:fill="FFFFFF"/>
        </w:rPr>
        <w:t>(11), pp. 753-762</w:t>
      </w:r>
      <w:r w:rsidRPr="00D932B9">
        <w:t>.</w:t>
      </w:r>
    </w:p>
    <w:p w14:paraId="6E7F81C7"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Fitzgerald, M., </w:t>
      </w:r>
      <w:proofErr w:type="spellStart"/>
      <w:r w:rsidRPr="00D932B9">
        <w:t>Kruschwitz</w:t>
      </w:r>
      <w:proofErr w:type="spellEnd"/>
      <w:r w:rsidRPr="00D932B9">
        <w:t xml:space="preserve">, N., Bonnet, D., &amp; Welch, M. (2014). Embracing digital technology. </w:t>
      </w:r>
      <w:r w:rsidRPr="00D932B9">
        <w:rPr>
          <w:rStyle w:val="Emphasis"/>
        </w:rPr>
        <w:t>MIT Sloan Management Review</w:t>
      </w:r>
      <w:r w:rsidRPr="00D932B9">
        <w:t>, 55(2), 1–12.</w:t>
      </w:r>
    </w:p>
    <w:p w14:paraId="2CA297BF"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rPr>
          <w:rStyle w:val="personname"/>
          <w:shd w:val="clear" w:color="auto" w:fill="FFFFFF"/>
        </w:rPr>
        <w:t>Foroudi</w:t>
      </w:r>
      <w:proofErr w:type="spellEnd"/>
      <w:r w:rsidRPr="00D932B9">
        <w:rPr>
          <w:rStyle w:val="personname"/>
          <w:shd w:val="clear" w:color="auto" w:fill="FFFFFF"/>
        </w:rPr>
        <w:t xml:space="preserve">, </w:t>
      </w:r>
      <w:proofErr w:type="spellStart"/>
      <w:r w:rsidRPr="00D932B9">
        <w:rPr>
          <w:rStyle w:val="personname"/>
          <w:shd w:val="clear" w:color="auto" w:fill="FFFFFF"/>
        </w:rPr>
        <w:t>Pantea</w:t>
      </w:r>
      <w:proofErr w:type="spellEnd"/>
      <w:r w:rsidRPr="00D932B9">
        <w:rPr>
          <w:shd w:val="clear" w:color="auto" w:fill="FFFFFF"/>
        </w:rPr>
        <w:t>, </w:t>
      </w:r>
      <w:r w:rsidRPr="00D932B9">
        <w:rPr>
          <w:rStyle w:val="personname"/>
          <w:shd w:val="clear" w:color="auto" w:fill="FFFFFF"/>
        </w:rPr>
        <w:t>Suraksha, Gupta</w:t>
      </w:r>
      <w:r w:rsidRPr="00D932B9">
        <w:rPr>
          <w:shd w:val="clear" w:color="auto" w:fill="FFFFFF"/>
        </w:rPr>
        <w:t>, </w:t>
      </w:r>
      <w:r w:rsidRPr="00D932B9">
        <w:rPr>
          <w:rStyle w:val="personname"/>
          <w:shd w:val="clear" w:color="auto" w:fill="FFFFFF"/>
        </w:rPr>
        <w:t>Nazarian, Alireza</w:t>
      </w:r>
      <w:r w:rsidRPr="00D932B9">
        <w:rPr>
          <w:shd w:val="clear" w:color="auto" w:fill="FFFFFF"/>
        </w:rPr>
        <w:t> and </w:t>
      </w:r>
      <w:proofErr w:type="spellStart"/>
      <w:r w:rsidRPr="00D932B9">
        <w:rPr>
          <w:rStyle w:val="personname"/>
          <w:shd w:val="clear" w:color="auto" w:fill="FFFFFF"/>
        </w:rPr>
        <w:t>Duda</w:t>
      </w:r>
      <w:proofErr w:type="spellEnd"/>
      <w:r w:rsidRPr="00D932B9">
        <w:rPr>
          <w:rStyle w:val="personname"/>
          <w:shd w:val="clear" w:color="auto" w:fill="FFFFFF"/>
        </w:rPr>
        <w:t>, Marta</w:t>
      </w:r>
      <w:r w:rsidRPr="00D932B9">
        <w:rPr>
          <w:shd w:val="clear" w:color="auto" w:fill="FFFFFF"/>
        </w:rPr>
        <w:t> (2017) </w:t>
      </w:r>
      <w:r w:rsidRPr="00D932B9">
        <w:rPr>
          <w:rStyle w:val="Emphasis"/>
          <w:shd w:val="clear" w:color="auto" w:fill="FFFFFF"/>
        </w:rPr>
        <w:t>Digital technology and marketing management capability: achieving growth in SMEs.</w:t>
      </w:r>
      <w:r w:rsidRPr="00D932B9">
        <w:rPr>
          <w:shd w:val="clear" w:color="auto" w:fill="FFFFFF"/>
        </w:rPr>
        <w:t> Qualitative Market Research: An International Journal, 20 (2). pp. 230-246. ISSN 1352-2752</w:t>
      </w:r>
      <w:r w:rsidRPr="00D932B9">
        <w:t>.</w:t>
      </w:r>
      <w:r w:rsidRPr="00D932B9">
        <w:rPr>
          <w:shd w:val="clear" w:color="auto" w:fill="FFFFFF"/>
        </w:rPr>
        <w:t xml:space="preserve">  </w:t>
      </w:r>
      <w:hyperlink r:id="rId12" w:tgtFrame="0" w:history="1">
        <w:r w:rsidRPr="00D932B9">
          <w:rPr>
            <w:rStyle w:val="Hyperlink"/>
            <w:b/>
            <w:bCs/>
            <w:color w:val="auto"/>
            <w:u w:val="none"/>
            <w:bdr w:val="none" w:sz="0" w:space="0" w:color="auto" w:frame="1"/>
            <w:shd w:val="clear" w:color="auto" w:fill="FFFFFF"/>
          </w:rPr>
          <w:t>http://dx.doi.org/10.1108/QMR-01-2017-0014</w:t>
        </w:r>
      </w:hyperlink>
    </w:p>
    <w:p w14:paraId="74A435F4"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rPr>
          <w:shd w:val="clear" w:color="auto" w:fill="FFFFFF"/>
        </w:rPr>
        <w:t>Gerguri-Rashiti</w:t>
      </w:r>
      <w:proofErr w:type="spellEnd"/>
      <w:r w:rsidRPr="00D932B9">
        <w:rPr>
          <w:shd w:val="clear" w:color="auto" w:fill="FFFFFF"/>
        </w:rPr>
        <w:t xml:space="preserve">, S., </w:t>
      </w:r>
      <w:proofErr w:type="spellStart"/>
      <w:r w:rsidRPr="00D932B9">
        <w:rPr>
          <w:shd w:val="clear" w:color="auto" w:fill="FFFFFF"/>
        </w:rPr>
        <w:t>Ramadani</w:t>
      </w:r>
      <w:proofErr w:type="spellEnd"/>
      <w:r w:rsidRPr="00D932B9">
        <w:rPr>
          <w:shd w:val="clear" w:color="auto" w:fill="FFFFFF"/>
        </w:rPr>
        <w:t xml:space="preserve">, V., </w:t>
      </w:r>
      <w:proofErr w:type="spellStart"/>
      <w:r w:rsidRPr="00D932B9">
        <w:rPr>
          <w:shd w:val="clear" w:color="auto" w:fill="FFFFFF"/>
        </w:rPr>
        <w:t>Abazi-Alili</w:t>
      </w:r>
      <w:proofErr w:type="spellEnd"/>
      <w:r w:rsidRPr="00D932B9">
        <w:rPr>
          <w:shd w:val="clear" w:color="auto" w:fill="FFFFFF"/>
        </w:rPr>
        <w:t xml:space="preserve">, H., Dana, L.-P., &amp; </w:t>
      </w:r>
      <w:proofErr w:type="spellStart"/>
      <w:r w:rsidRPr="00D932B9">
        <w:rPr>
          <w:shd w:val="clear" w:color="auto" w:fill="FFFFFF"/>
        </w:rPr>
        <w:t>Ratten</w:t>
      </w:r>
      <w:proofErr w:type="spellEnd"/>
      <w:r w:rsidRPr="00D932B9">
        <w:rPr>
          <w:shd w:val="clear" w:color="auto" w:fill="FFFFFF"/>
        </w:rPr>
        <w:t>, V. (2017). ICT, Innovation and Firm Performance: The Transition Economies Context. </w:t>
      </w:r>
      <w:r w:rsidRPr="00D932B9">
        <w:rPr>
          <w:rStyle w:val="Emphasis"/>
          <w:shd w:val="clear" w:color="auto" w:fill="FFFFFF"/>
        </w:rPr>
        <w:t>Thunderbird International Business Review</w:t>
      </w:r>
      <w:r w:rsidRPr="00D932B9">
        <w:rPr>
          <w:shd w:val="clear" w:color="auto" w:fill="FFFFFF"/>
        </w:rPr>
        <w:t>, </w:t>
      </w:r>
      <w:r w:rsidRPr="00D932B9">
        <w:rPr>
          <w:rStyle w:val="Emphasis"/>
          <w:shd w:val="clear" w:color="auto" w:fill="FFFFFF"/>
        </w:rPr>
        <w:t>59</w:t>
      </w:r>
      <w:r w:rsidRPr="00D932B9">
        <w:rPr>
          <w:shd w:val="clear" w:color="auto" w:fill="FFFFFF"/>
        </w:rPr>
        <w:t>(1), 93-102. https://doi.org/10.1002/tie.21772</w:t>
      </w:r>
    </w:p>
    <w:p w14:paraId="5AB6BAFD"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Gioia</w:t>
      </w:r>
      <w:proofErr w:type="spellEnd"/>
      <w:r w:rsidRPr="00D932B9">
        <w:t xml:space="preserve">, D. A., Corley, K. G., &amp; Hamilton, A. L. (2012). Seeking qualitative rigor in inductive research. </w:t>
      </w:r>
      <w:r w:rsidRPr="00D932B9">
        <w:rPr>
          <w:rStyle w:val="Emphasis"/>
        </w:rPr>
        <w:t>Organizational Research Methods</w:t>
      </w:r>
      <w:r w:rsidRPr="00D932B9">
        <w:t>, 16(1), 15–31.</w:t>
      </w:r>
    </w:p>
    <w:p w14:paraId="2F3064BC"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Hanelt</w:t>
      </w:r>
      <w:proofErr w:type="spellEnd"/>
      <w:r w:rsidRPr="00D932B9">
        <w:t xml:space="preserve">, A., </w:t>
      </w:r>
      <w:proofErr w:type="spellStart"/>
      <w:r w:rsidRPr="00D932B9">
        <w:t>Bohnsack</w:t>
      </w:r>
      <w:proofErr w:type="spellEnd"/>
      <w:r w:rsidRPr="00D932B9">
        <w:t xml:space="preserve">, R., </w:t>
      </w:r>
      <w:proofErr w:type="spellStart"/>
      <w:r w:rsidRPr="00D932B9">
        <w:t>Marz</w:t>
      </w:r>
      <w:proofErr w:type="spellEnd"/>
      <w:r w:rsidRPr="00D932B9">
        <w:t xml:space="preserve">, D., &amp; Antunes </w:t>
      </w:r>
      <w:proofErr w:type="spellStart"/>
      <w:r w:rsidRPr="00D932B9">
        <w:t>Marante</w:t>
      </w:r>
      <w:proofErr w:type="spellEnd"/>
      <w:r w:rsidRPr="00D932B9">
        <w:t xml:space="preserve">, C. (2021). A systematic review of the literature on digital transformation: Insights and implications for strategy and organizational change. </w:t>
      </w:r>
      <w:r w:rsidRPr="00D932B9">
        <w:rPr>
          <w:rStyle w:val="Emphasis"/>
        </w:rPr>
        <w:t>Journal of Management Studies</w:t>
      </w:r>
      <w:r w:rsidRPr="00D932B9">
        <w:t xml:space="preserve">, 58(5), 1159–1197. </w:t>
      </w:r>
      <w:hyperlink r:id="rId13" w:history="1">
        <w:r w:rsidRPr="00D932B9">
          <w:rPr>
            <w:rStyle w:val="Hyperlink"/>
            <w:color w:val="auto"/>
          </w:rPr>
          <w:t>https://doi.org/10.1111/joms.12639</w:t>
        </w:r>
      </w:hyperlink>
    </w:p>
    <w:p w14:paraId="6E955E8E"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Helfat</w:t>
      </w:r>
      <w:proofErr w:type="spellEnd"/>
      <w:r w:rsidRPr="00D932B9">
        <w:t xml:space="preserve">, C. E., &amp; Martin, J. A. (2015). Dynamic managerial capabilities. </w:t>
      </w:r>
      <w:r w:rsidRPr="00D932B9">
        <w:rPr>
          <w:rStyle w:val="Emphasis"/>
        </w:rPr>
        <w:t>Journal of Management</w:t>
      </w:r>
      <w:r w:rsidRPr="00D932B9">
        <w:t>, 41(5), 1281–1312.</w:t>
      </w:r>
    </w:p>
    <w:p w14:paraId="73595AC1" w14:textId="77777777" w:rsidR="008F7CCC" w:rsidRPr="00D932B9" w:rsidRDefault="008F7CCC" w:rsidP="0054497B">
      <w:pPr>
        <w:pStyle w:val="NormalWeb"/>
        <w:spacing w:before="240" w:beforeAutospacing="0" w:after="200" w:afterAutospacing="0" w:line="276" w:lineRule="auto"/>
        <w:ind w:left="1418" w:hanging="1418"/>
        <w:jc w:val="both"/>
      </w:pPr>
      <w:r w:rsidRPr="00D932B9">
        <w:rPr>
          <w:shd w:val="clear" w:color="auto" w:fill="FFFFFF"/>
        </w:rPr>
        <w:t xml:space="preserve">Hernández-Linares, Remedios &amp; </w:t>
      </w:r>
      <w:proofErr w:type="spellStart"/>
      <w:r w:rsidRPr="00D932B9">
        <w:rPr>
          <w:shd w:val="clear" w:color="auto" w:fill="FFFFFF"/>
        </w:rPr>
        <w:t>Kellermanns</w:t>
      </w:r>
      <w:proofErr w:type="spellEnd"/>
      <w:r w:rsidRPr="00D932B9">
        <w:rPr>
          <w:shd w:val="clear" w:color="auto" w:fill="FFFFFF"/>
        </w:rPr>
        <w:t>, Franz W. &amp; López-Fernández, María Concepción, 2018. "</w:t>
      </w:r>
      <w:hyperlink r:id="rId14" w:history="1">
        <w:r w:rsidRPr="00D932B9">
          <w:rPr>
            <w:rStyle w:val="Hyperlink"/>
            <w:b/>
            <w:bCs/>
            <w:color w:val="auto"/>
            <w:u w:val="none"/>
          </w:rPr>
          <w:t>A note on the relationships between learning, market, and entrepreneurial orientations in family and nonfamily firms</w:t>
        </w:r>
      </w:hyperlink>
      <w:r w:rsidRPr="00D932B9">
        <w:rPr>
          <w:shd w:val="clear" w:color="auto" w:fill="FFFFFF"/>
        </w:rPr>
        <w:t>," </w:t>
      </w:r>
      <w:hyperlink r:id="rId15" w:history="1">
        <w:r w:rsidRPr="00D932B9">
          <w:rPr>
            <w:rStyle w:val="Hyperlink"/>
            <w:color w:val="auto"/>
            <w:u w:val="none"/>
          </w:rPr>
          <w:t>Journal of Family Business Strategy</w:t>
        </w:r>
      </w:hyperlink>
      <w:r w:rsidRPr="00D932B9">
        <w:rPr>
          <w:shd w:val="clear" w:color="auto" w:fill="FFFFFF"/>
        </w:rPr>
        <w:t>, Elsevier, vol. 9(3), pages 192-204.</w:t>
      </w:r>
    </w:p>
    <w:p w14:paraId="45FB90FA" w14:textId="77777777" w:rsidR="008F7CCC" w:rsidRPr="00D932B9" w:rsidRDefault="008F7CCC" w:rsidP="0054497B">
      <w:pPr>
        <w:pStyle w:val="NormalWeb"/>
        <w:spacing w:before="240" w:beforeAutospacing="0" w:after="200" w:afterAutospacing="0" w:line="276" w:lineRule="auto"/>
        <w:ind w:left="1418" w:hanging="1418"/>
        <w:jc w:val="both"/>
      </w:pPr>
      <w:r w:rsidRPr="00D932B9">
        <w:rPr>
          <w:shd w:val="clear" w:color="auto" w:fill="FFFFFF"/>
        </w:rPr>
        <w:lastRenderedPageBreak/>
        <w:t xml:space="preserve">Liu, D. Y., Chen, S. W., &amp; Chou, T. C. (2011). Resource Fit in Digital Transformation: Lessons Learned from </w:t>
      </w:r>
      <w:proofErr w:type="spellStart"/>
      <w:r w:rsidRPr="00D932B9">
        <w:rPr>
          <w:shd w:val="clear" w:color="auto" w:fill="FFFFFF"/>
        </w:rPr>
        <w:t>tahe</w:t>
      </w:r>
      <w:proofErr w:type="spellEnd"/>
      <w:r w:rsidRPr="00D932B9">
        <w:rPr>
          <w:shd w:val="clear" w:color="auto" w:fill="FFFFFF"/>
        </w:rPr>
        <w:t xml:space="preserve"> CBC Bank Global E-Banking Project. Management Decision, 49, 1728-1742.</w:t>
      </w:r>
      <w:r w:rsidRPr="00D932B9">
        <w:br/>
      </w:r>
      <w:hyperlink r:id="rId16" w:history="1">
        <w:r w:rsidRPr="00D932B9">
          <w:rPr>
            <w:rStyle w:val="Hyperlink"/>
            <w:color w:val="auto"/>
            <w:shd w:val="clear" w:color="auto" w:fill="FFFFFF"/>
          </w:rPr>
          <w:t>https://doi.org/10.1108/00251741111183852</w:t>
        </w:r>
      </w:hyperlink>
    </w:p>
    <w:p w14:paraId="5EF5B231"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Lucas, H. C., Agarwal, R., Clemons, E. K., El </w:t>
      </w:r>
      <w:proofErr w:type="spellStart"/>
      <w:r w:rsidRPr="00D932B9">
        <w:t>Sawy</w:t>
      </w:r>
      <w:proofErr w:type="spellEnd"/>
      <w:r w:rsidRPr="00D932B9">
        <w:t xml:space="preserve">, O. A., &amp; Weber, B. W. (2013). Impact of digital transformation on industry. </w:t>
      </w:r>
      <w:r w:rsidRPr="00D932B9">
        <w:rPr>
          <w:rStyle w:val="Emphasis"/>
        </w:rPr>
        <w:t>MIS Quarterly</w:t>
      </w:r>
      <w:r w:rsidRPr="00D932B9">
        <w:t>, 37(2), 371–382.</w:t>
      </w:r>
    </w:p>
    <w:p w14:paraId="12C1E6CF"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Nambisan, S. (2017). Digital entrepreneurship: Toward a digital technology perspective of entrepreneurship. </w:t>
      </w:r>
      <w:r w:rsidRPr="00D932B9">
        <w:rPr>
          <w:rStyle w:val="Emphasis"/>
        </w:rPr>
        <w:t>Entrepreneurship Theory and Practice</w:t>
      </w:r>
      <w:r w:rsidRPr="00D932B9">
        <w:t xml:space="preserve">, 41, 1029–1055. </w:t>
      </w:r>
      <w:hyperlink r:id="rId17" w:history="1">
        <w:r w:rsidRPr="00D932B9">
          <w:rPr>
            <w:rStyle w:val="Hyperlink"/>
            <w:color w:val="auto"/>
          </w:rPr>
          <w:t>https://doi.org/10.1111/etap.12254</w:t>
        </w:r>
      </w:hyperlink>
    </w:p>
    <w:p w14:paraId="33C040FB"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Nieuwenhuis</w:t>
      </w:r>
      <w:proofErr w:type="spellEnd"/>
      <w:r w:rsidRPr="00D932B9">
        <w:t xml:space="preserve">, L. J. M., </w:t>
      </w:r>
      <w:proofErr w:type="spellStart"/>
      <w:r w:rsidRPr="00D932B9">
        <w:t>Ehrenhard</w:t>
      </w:r>
      <w:proofErr w:type="spellEnd"/>
      <w:r w:rsidRPr="00D932B9">
        <w:t xml:space="preserve">, M. L., &amp; </w:t>
      </w:r>
      <w:proofErr w:type="spellStart"/>
      <w:r w:rsidRPr="00D932B9">
        <w:t>Prause</w:t>
      </w:r>
      <w:proofErr w:type="spellEnd"/>
      <w:r w:rsidRPr="00D932B9">
        <w:t xml:space="preserve">, L. (2018). The shift to cloud computing: The impact of disruptive technology on the enterprise software business ecosystem. </w:t>
      </w:r>
      <w:r w:rsidRPr="00D932B9">
        <w:rPr>
          <w:rStyle w:val="Emphasis"/>
        </w:rPr>
        <w:t>Technological Forecasting and Social Change</w:t>
      </w:r>
      <w:r w:rsidRPr="00D932B9">
        <w:t xml:space="preserve">, 129, 308–313. </w:t>
      </w:r>
      <w:hyperlink r:id="rId18" w:history="1">
        <w:r w:rsidRPr="00D932B9">
          <w:rPr>
            <w:rStyle w:val="Hyperlink"/>
            <w:color w:val="auto"/>
          </w:rPr>
          <w:t>https://doi.org/10.1016/j.techfore.2017.09.037</w:t>
        </w:r>
      </w:hyperlink>
    </w:p>
    <w:p w14:paraId="7189B658"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rPr>
          <w:shd w:val="clear" w:color="auto" w:fill="FFFFFF"/>
        </w:rPr>
        <w:t>Pavlou</w:t>
      </w:r>
      <w:proofErr w:type="spellEnd"/>
      <w:r w:rsidRPr="00D932B9">
        <w:rPr>
          <w:shd w:val="clear" w:color="auto" w:fill="FFFFFF"/>
        </w:rPr>
        <w:t xml:space="preserve">, P.A. and El </w:t>
      </w:r>
      <w:proofErr w:type="spellStart"/>
      <w:r w:rsidRPr="00D932B9">
        <w:rPr>
          <w:shd w:val="clear" w:color="auto" w:fill="FFFFFF"/>
        </w:rPr>
        <w:t>Sawy</w:t>
      </w:r>
      <w:proofErr w:type="spellEnd"/>
      <w:r w:rsidRPr="00D932B9">
        <w:rPr>
          <w:shd w:val="clear" w:color="auto" w:fill="FFFFFF"/>
        </w:rPr>
        <w:t>, O.A. (2011) Understanding the Elusive Black Box of Dynamic Capabilities. Decision Sciences, 42, 239-273.</w:t>
      </w:r>
      <w:r w:rsidRPr="00D932B9">
        <w:br/>
      </w:r>
      <w:r w:rsidRPr="00D932B9">
        <w:rPr>
          <w:shd w:val="clear" w:color="auto" w:fill="FFFFFF"/>
        </w:rPr>
        <w:t>https://doi.org/10.1111/j.1540-5915.2010.00287.x</w:t>
      </w:r>
    </w:p>
    <w:p w14:paraId="4B255404"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Porter, M. E., &amp; </w:t>
      </w:r>
      <w:proofErr w:type="spellStart"/>
      <w:r w:rsidRPr="00D932B9">
        <w:t>Heppelmann</w:t>
      </w:r>
      <w:proofErr w:type="spellEnd"/>
      <w:r w:rsidRPr="00D932B9">
        <w:t xml:space="preserve">, J. E. (2014). How smart, connected products are transforming competition. </w:t>
      </w:r>
      <w:r w:rsidRPr="00D932B9">
        <w:rPr>
          <w:rStyle w:val="Emphasis"/>
        </w:rPr>
        <w:t>Harvard Business Review</w:t>
      </w:r>
      <w:r w:rsidRPr="00D932B9">
        <w:t>, 92(11), 64–88.</w:t>
      </w:r>
    </w:p>
    <w:p w14:paraId="7214F5A4"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Stilgoe</w:t>
      </w:r>
      <w:proofErr w:type="spellEnd"/>
      <w:r w:rsidRPr="00D932B9">
        <w:t xml:space="preserve">, J., Owen, R., &amp; </w:t>
      </w:r>
      <w:proofErr w:type="spellStart"/>
      <w:r w:rsidRPr="00D932B9">
        <w:t>Macnaghten</w:t>
      </w:r>
      <w:proofErr w:type="spellEnd"/>
      <w:r w:rsidRPr="00D932B9">
        <w:t xml:space="preserve">, P. (2013). Developing a framework for responsible innovation. </w:t>
      </w:r>
      <w:r w:rsidRPr="00D932B9">
        <w:rPr>
          <w:rStyle w:val="Emphasis"/>
        </w:rPr>
        <w:t>Research Policy</w:t>
      </w:r>
      <w:r w:rsidRPr="00D932B9">
        <w:t>, 42(9), 1568–1580.</w:t>
      </w:r>
    </w:p>
    <w:p w14:paraId="29208CC4" w14:textId="77777777" w:rsidR="008F7CCC" w:rsidRPr="00D932B9" w:rsidRDefault="008F7CCC" w:rsidP="0054497B">
      <w:pPr>
        <w:pStyle w:val="NormalWeb"/>
        <w:spacing w:before="240" w:beforeAutospacing="0" w:after="200" w:afterAutospacing="0" w:line="276" w:lineRule="auto"/>
        <w:ind w:left="1418" w:hanging="1418"/>
        <w:jc w:val="both"/>
      </w:pPr>
      <w:r w:rsidRPr="00D932B9">
        <w:t xml:space="preserve">Teece, D.J. (2007) Explicating Dynamic Capabilities: The Nature and Micro-Foundations of (Sustainable) Enterprise Performance. Strategic Management Journal, 28, 1319-1350. </w:t>
      </w:r>
      <w:hyperlink r:id="rId19" w:history="1">
        <w:r w:rsidRPr="00D932B9">
          <w:rPr>
            <w:rStyle w:val="Hyperlink"/>
            <w:color w:val="auto"/>
          </w:rPr>
          <w:t>https://doi.org/10.1002/smj.640</w:t>
        </w:r>
      </w:hyperlink>
    </w:p>
    <w:p w14:paraId="60C4FC2A" w14:textId="77777777" w:rsidR="008F7CCC" w:rsidRPr="00D932B9" w:rsidRDefault="008F7CCC" w:rsidP="0054497B">
      <w:pPr>
        <w:pStyle w:val="NormalWeb"/>
        <w:spacing w:before="240" w:beforeAutospacing="0" w:after="200" w:afterAutospacing="0" w:line="276" w:lineRule="auto"/>
        <w:ind w:left="1418" w:hanging="1418"/>
        <w:jc w:val="both"/>
      </w:pPr>
      <w:r w:rsidRPr="00D932B9">
        <w:rPr>
          <w:shd w:val="clear" w:color="auto" w:fill="FFFFFF"/>
        </w:rPr>
        <w:t xml:space="preserve">Warner, K. S., &amp; </w:t>
      </w:r>
      <w:proofErr w:type="spellStart"/>
      <w:r w:rsidRPr="00D932B9">
        <w:rPr>
          <w:shd w:val="clear" w:color="auto" w:fill="FFFFFF"/>
        </w:rPr>
        <w:t>Wäger</w:t>
      </w:r>
      <w:proofErr w:type="spellEnd"/>
      <w:r w:rsidRPr="00D932B9">
        <w:rPr>
          <w:shd w:val="clear" w:color="auto" w:fill="FFFFFF"/>
        </w:rPr>
        <w:t>, M. (2019). Building Dynamic Capabilities for Digital Transformation: An Ongoing Process of Strategic Renewal. Long Range Planning, 52, 326-349.</w:t>
      </w:r>
      <w:r w:rsidRPr="00D932B9">
        <w:br/>
      </w:r>
      <w:r w:rsidRPr="00D932B9">
        <w:rPr>
          <w:shd w:val="clear" w:color="auto" w:fill="FFFFFF"/>
        </w:rPr>
        <w:t>https://doi.org/10.1016/j.lrp.2018.12.001</w:t>
      </w:r>
      <w:r w:rsidRPr="00D932B9">
        <w:t>.</w:t>
      </w:r>
    </w:p>
    <w:p w14:paraId="000AC39C" w14:textId="77777777" w:rsidR="008F7CCC" w:rsidRPr="00D932B9" w:rsidRDefault="008F7CCC" w:rsidP="0054497B">
      <w:pPr>
        <w:pStyle w:val="NormalWeb"/>
        <w:spacing w:before="240" w:beforeAutospacing="0" w:after="200" w:afterAutospacing="0" w:line="276" w:lineRule="auto"/>
        <w:ind w:left="1418" w:hanging="1418"/>
        <w:jc w:val="both"/>
      </w:pPr>
      <w:proofErr w:type="spellStart"/>
      <w:r w:rsidRPr="00D932B9">
        <w:t>Yeow</w:t>
      </w:r>
      <w:proofErr w:type="spellEnd"/>
      <w:r w:rsidRPr="00D932B9">
        <w:t xml:space="preserve">, A., Soh, C., &amp; Hansen, R. (2018). Aligning IT and business strategy. </w:t>
      </w:r>
      <w:r w:rsidRPr="00D932B9">
        <w:rPr>
          <w:rStyle w:val="Emphasis"/>
        </w:rPr>
        <w:t>Information Systems Journal</w:t>
      </w:r>
      <w:r w:rsidRPr="00D932B9">
        <w:t>, 27(1), 43–58.</w:t>
      </w:r>
    </w:p>
    <w:p w14:paraId="078D907F" w14:textId="77777777" w:rsidR="008F7CCC" w:rsidRPr="00D932B9" w:rsidRDefault="008F7CCC" w:rsidP="0054497B">
      <w:pPr>
        <w:pStyle w:val="NormalWeb"/>
        <w:spacing w:before="240" w:beforeAutospacing="0" w:after="200" w:afterAutospacing="0" w:line="276" w:lineRule="auto"/>
        <w:ind w:left="1418" w:hanging="1418"/>
        <w:jc w:val="both"/>
      </w:pPr>
    </w:p>
    <w:sectPr w:rsidR="008F7CCC" w:rsidRPr="00D932B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26B80" w14:textId="77777777" w:rsidR="00266825" w:rsidRDefault="00266825" w:rsidP="00DA63A1">
      <w:pPr>
        <w:spacing w:after="0" w:line="240" w:lineRule="auto"/>
      </w:pPr>
      <w:r>
        <w:separator/>
      </w:r>
    </w:p>
  </w:endnote>
  <w:endnote w:type="continuationSeparator" w:id="0">
    <w:p w14:paraId="081FADA8" w14:textId="77777777" w:rsidR="00266825" w:rsidRDefault="00266825" w:rsidP="00DA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7627" w14:textId="77777777" w:rsidR="00DA63A1" w:rsidRDefault="00DA6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8C59" w14:textId="77777777" w:rsidR="00DA63A1" w:rsidRDefault="00DA6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8EAD" w14:textId="77777777" w:rsidR="00DA63A1" w:rsidRDefault="00DA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36B31" w14:textId="77777777" w:rsidR="00266825" w:rsidRDefault="00266825" w:rsidP="00DA63A1">
      <w:pPr>
        <w:spacing w:after="0" w:line="240" w:lineRule="auto"/>
      </w:pPr>
      <w:r>
        <w:separator/>
      </w:r>
    </w:p>
  </w:footnote>
  <w:footnote w:type="continuationSeparator" w:id="0">
    <w:p w14:paraId="2A87F5F9" w14:textId="77777777" w:rsidR="00266825" w:rsidRDefault="00266825" w:rsidP="00DA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38B3" w14:textId="4B782DE3" w:rsidR="00DA63A1" w:rsidRDefault="00DA63A1">
    <w:pPr>
      <w:pStyle w:val="Header"/>
    </w:pPr>
    <w:r>
      <w:rPr>
        <w:noProof/>
      </w:rPr>
      <w:pict w14:anchorId="39675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4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BBFA" w14:textId="248889BA" w:rsidR="00DA63A1" w:rsidRDefault="00DA63A1">
    <w:pPr>
      <w:pStyle w:val="Header"/>
    </w:pPr>
    <w:r>
      <w:rPr>
        <w:noProof/>
      </w:rPr>
      <w:pict w14:anchorId="7E83E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4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8A84" w14:textId="6F765249" w:rsidR="00DA63A1" w:rsidRDefault="00DA63A1">
    <w:pPr>
      <w:pStyle w:val="Header"/>
    </w:pPr>
    <w:r>
      <w:rPr>
        <w:noProof/>
      </w:rPr>
      <w:pict w14:anchorId="0733F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4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841"/>
    <w:multiLevelType w:val="multilevel"/>
    <w:tmpl w:val="49CED886"/>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63A093C"/>
    <w:multiLevelType w:val="multilevel"/>
    <w:tmpl w:val="437EA6CE"/>
    <w:lvl w:ilvl="0">
      <w:start w:val="1"/>
      <w:numFmt w:val="decimal"/>
      <w:lvlText w:val="%1."/>
      <w:lvlJc w:val="left"/>
      <w:pPr>
        <w:tabs>
          <w:tab w:val="num" w:pos="360"/>
        </w:tabs>
        <w:ind w:left="360" w:hanging="360"/>
      </w:p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8E4148E"/>
    <w:multiLevelType w:val="hybridMultilevel"/>
    <w:tmpl w:val="5D004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EBF5A3A"/>
    <w:multiLevelType w:val="hybridMultilevel"/>
    <w:tmpl w:val="69FC70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6A"/>
    <w:rsid w:val="00006F02"/>
    <w:rsid w:val="000072F7"/>
    <w:rsid w:val="00030EE2"/>
    <w:rsid w:val="00077158"/>
    <w:rsid w:val="00093D7B"/>
    <w:rsid w:val="00096A78"/>
    <w:rsid w:val="000A4306"/>
    <w:rsid w:val="000C00B3"/>
    <w:rsid w:val="000D60F2"/>
    <w:rsid w:val="00124833"/>
    <w:rsid w:val="0013145B"/>
    <w:rsid w:val="001330CE"/>
    <w:rsid w:val="001330FC"/>
    <w:rsid w:val="001607D9"/>
    <w:rsid w:val="00177117"/>
    <w:rsid w:val="0018349C"/>
    <w:rsid w:val="001A1793"/>
    <w:rsid w:val="001B1AD5"/>
    <w:rsid w:val="001B4EB4"/>
    <w:rsid w:val="001C3457"/>
    <w:rsid w:val="001C6EE6"/>
    <w:rsid w:val="001D7C04"/>
    <w:rsid w:val="001F0BD3"/>
    <w:rsid w:val="00202F60"/>
    <w:rsid w:val="00244282"/>
    <w:rsid w:val="00245EF3"/>
    <w:rsid w:val="0024651E"/>
    <w:rsid w:val="00263AEB"/>
    <w:rsid w:val="00266825"/>
    <w:rsid w:val="00276EB7"/>
    <w:rsid w:val="002976B7"/>
    <w:rsid w:val="002A615A"/>
    <w:rsid w:val="002D23BB"/>
    <w:rsid w:val="002D3F01"/>
    <w:rsid w:val="002E1DC6"/>
    <w:rsid w:val="002E5FCD"/>
    <w:rsid w:val="002E7EEB"/>
    <w:rsid w:val="003371AF"/>
    <w:rsid w:val="00345AAC"/>
    <w:rsid w:val="00355D66"/>
    <w:rsid w:val="003617C8"/>
    <w:rsid w:val="00370C93"/>
    <w:rsid w:val="003A2B66"/>
    <w:rsid w:val="003C29E3"/>
    <w:rsid w:val="003D44D7"/>
    <w:rsid w:val="00414CF8"/>
    <w:rsid w:val="0042353F"/>
    <w:rsid w:val="00442808"/>
    <w:rsid w:val="0045311C"/>
    <w:rsid w:val="00454FBF"/>
    <w:rsid w:val="00457026"/>
    <w:rsid w:val="004719C4"/>
    <w:rsid w:val="004A4B6A"/>
    <w:rsid w:val="004B662E"/>
    <w:rsid w:val="004E31F1"/>
    <w:rsid w:val="004F4AE1"/>
    <w:rsid w:val="00507319"/>
    <w:rsid w:val="005073F5"/>
    <w:rsid w:val="00531A71"/>
    <w:rsid w:val="0054497B"/>
    <w:rsid w:val="005470BF"/>
    <w:rsid w:val="005762DF"/>
    <w:rsid w:val="005A2C27"/>
    <w:rsid w:val="005B25EC"/>
    <w:rsid w:val="005B64C4"/>
    <w:rsid w:val="005D2FC6"/>
    <w:rsid w:val="005F21E3"/>
    <w:rsid w:val="006335BE"/>
    <w:rsid w:val="00634FA2"/>
    <w:rsid w:val="00637339"/>
    <w:rsid w:val="0064300B"/>
    <w:rsid w:val="0067220D"/>
    <w:rsid w:val="006A14D7"/>
    <w:rsid w:val="006D38BF"/>
    <w:rsid w:val="006F65CD"/>
    <w:rsid w:val="00701859"/>
    <w:rsid w:val="00707FF2"/>
    <w:rsid w:val="00713F82"/>
    <w:rsid w:val="007279DB"/>
    <w:rsid w:val="007503A9"/>
    <w:rsid w:val="0075501B"/>
    <w:rsid w:val="007C7199"/>
    <w:rsid w:val="007D2AF8"/>
    <w:rsid w:val="007E05CF"/>
    <w:rsid w:val="007E16E2"/>
    <w:rsid w:val="007E6BFF"/>
    <w:rsid w:val="008015EC"/>
    <w:rsid w:val="00811AE1"/>
    <w:rsid w:val="008264CA"/>
    <w:rsid w:val="0082781E"/>
    <w:rsid w:val="008746DE"/>
    <w:rsid w:val="00884CB5"/>
    <w:rsid w:val="008922ED"/>
    <w:rsid w:val="008F7CCC"/>
    <w:rsid w:val="00901439"/>
    <w:rsid w:val="009316B3"/>
    <w:rsid w:val="009540F8"/>
    <w:rsid w:val="00955E24"/>
    <w:rsid w:val="00972CE9"/>
    <w:rsid w:val="0098776F"/>
    <w:rsid w:val="009A751A"/>
    <w:rsid w:val="009B2566"/>
    <w:rsid w:val="009D513F"/>
    <w:rsid w:val="00A0467D"/>
    <w:rsid w:val="00A1075C"/>
    <w:rsid w:val="00A2165D"/>
    <w:rsid w:val="00A277BB"/>
    <w:rsid w:val="00A42074"/>
    <w:rsid w:val="00A45FF6"/>
    <w:rsid w:val="00A56C35"/>
    <w:rsid w:val="00A62C34"/>
    <w:rsid w:val="00A873CB"/>
    <w:rsid w:val="00AA6CAD"/>
    <w:rsid w:val="00AB0AE1"/>
    <w:rsid w:val="00AE29B2"/>
    <w:rsid w:val="00AE40C1"/>
    <w:rsid w:val="00B0291A"/>
    <w:rsid w:val="00B20B8C"/>
    <w:rsid w:val="00B2298F"/>
    <w:rsid w:val="00B240E3"/>
    <w:rsid w:val="00B34D63"/>
    <w:rsid w:val="00B51181"/>
    <w:rsid w:val="00B5761C"/>
    <w:rsid w:val="00B91B60"/>
    <w:rsid w:val="00B97A31"/>
    <w:rsid w:val="00BA6071"/>
    <w:rsid w:val="00BD4E58"/>
    <w:rsid w:val="00BE0499"/>
    <w:rsid w:val="00BF623D"/>
    <w:rsid w:val="00C01FB4"/>
    <w:rsid w:val="00C32281"/>
    <w:rsid w:val="00C43ABF"/>
    <w:rsid w:val="00C45098"/>
    <w:rsid w:val="00C6164A"/>
    <w:rsid w:val="00C74B15"/>
    <w:rsid w:val="00C81B1A"/>
    <w:rsid w:val="00C918D5"/>
    <w:rsid w:val="00C9287B"/>
    <w:rsid w:val="00CC0DDA"/>
    <w:rsid w:val="00CC74F7"/>
    <w:rsid w:val="00D00F6C"/>
    <w:rsid w:val="00D25997"/>
    <w:rsid w:val="00D300D0"/>
    <w:rsid w:val="00D66124"/>
    <w:rsid w:val="00D66760"/>
    <w:rsid w:val="00D713D5"/>
    <w:rsid w:val="00D75A8A"/>
    <w:rsid w:val="00D932B9"/>
    <w:rsid w:val="00DA1DA5"/>
    <w:rsid w:val="00DA63A1"/>
    <w:rsid w:val="00DB6ED9"/>
    <w:rsid w:val="00DB7E8D"/>
    <w:rsid w:val="00DC0EC6"/>
    <w:rsid w:val="00DD23B0"/>
    <w:rsid w:val="00DF0B90"/>
    <w:rsid w:val="00E050D6"/>
    <w:rsid w:val="00E17841"/>
    <w:rsid w:val="00E227B1"/>
    <w:rsid w:val="00E4314E"/>
    <w:rsid w:val="00E452A9"/>
    <w:rsid w:val="00E57022"/>
    <w:rsid w:val="00E8622E"/>
    <w:rsid w:val="00EC7557"/>
    <w:rsid w:val="00ED1EE4"/>
    <w:rsid w:val="00EE1E9B"/>
    <w:rsid w:val="00F02F71"/>
    <w:rsid w:val="00F037C6"/>
    <w:rsid w:val="00F07317"/>
    <w:rsid w:val="00F33443"/>
    <w:rsid w:val="00F35AFF"/>
    <w:rsid w:val="00F9559F"/>
    <w:rsid w:val="00F96CE6"/>
    <w:rsid w:val="00FF4A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9BCC9B"/>
  <w15:chartTrackingRefBased/>
  <w15:docId w15:val="{1533BE6E-0904-4CD5-981A-8CA4F92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B6A"/>
    <w:pPr>
      <w:spacing w:after="200" w:line="276" w:lineRule="auto"/>
    </w:pPr>
    <w:rPr>
      <w:kern w:val="0"/>
      <w:lang w:val="en-US"/>
      <w14:ligatures w14:val="none"/>
    </w:rPr>
  </w:style>
  <w:style w:type="paragraph" w:styleId="Heading1">
    <w:name w:val="heading 1"/>
    <w:basedOn w:val="Normal"/>
    <w:link w:val="Heading1Char"/>
    <w:uiPriority w:val="9"/>
    <w:qFormat/>
    <w:rsid w:val="00531A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E050D6"/>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B51181"/>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unhideWhenUsed/>
    <w:qFormat/>
    <w:rsid w:val="001B4E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B6A"/>
    <w:rPr>
      <w:color w:val="0000FF"/>
      <w:u w:val="single"/>
    </w:rPr>
  </w:style>
  <w:style w:type="paragraph" w:styleId="NormalWeb">
    <w:name w:val="Normal (Web)"/>
    <w:basedOn w:val="Normal"/>
    <w:uiPriority w:val="99"/>
    <w:unhideWhenUsed/>
    <w:rsid w:val="004A4B6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4A4B6A"/>
    <w:pPr>
      <w:ind w:left="720"/>
      <w:contextualSpacing/>
    </w:pPr>
  </w:style>
  <w:style w:type="paragraph" w:customStyle="1" w:styleId="Default">
    <w:name w:val="Default"/>
    <w:uiPriority w:val="99"/>
    <w:rsid w:val="004A4B6A"/>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Strong">
    <w:name w:val="Strong"/>
    <w:basedOn w:val="DefaultParagraphFont"/>
    <w:uiPriority w:val="22"/>
    <w:qFormat/>
    <w:rsid w:val="004A4B6A"/>
    <w:rPr>
      <w:b/>
      <w:bCs/>
    </w:rPr>
  </w:style>
  <w:style w:type="character" w:customStyle="1" w:styleId="Heading1Char">
    <w:name w:val="Heading 1 Char"/>
    <w:basedOn w:val="DefaultParagraphFont"/>
    <w:link w:val="Heading1"/>
    <w:uiPriority w:val="9"/>
    <w:rsid w:val="00531A71"/>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E050D6"/>
    <w:rPr>
      <w:rFonts w:asciiTheme="majorHAnsi" w:eastAsiaTheme="majorEastAsia" w:hAnsiTheme="majorHAnsi" w:cstheme="majorBidi"/>
      <w:color w:val="2F5496" w:themeColor="accent1" w:themeShade="BF"/>
      <w:kern w:val="0"/>
      <w:sz w:val="26"/>
      <w:szCs w:val="23"/>
      <w:lang w:val="en-US"/>
      <w14:ligatures w14:val="none"/>
    </w:rPr>
  </w:style>
  <w:style w:type="character" w:styleId="Emphasis">
    <w:name w:val="Emphasis"/>
    <w:basedOn w:val="DefaultParagraphFont"/>
    <w:uiPriority w:val="20"/>
    <w:qFormat/>
    <w:rsid w:val="00E050D6"/>
    <w:rPr>
      <w:i/>
      <w:iCs/>
    </w:rPr>
  </w:style>
  <w:style w:type="table" w:styleId="TableGrid">
    <w:name w:val="Table Grid"/>
    <w:basedOn w:val="TableNormal"/>
    <w:uiPriority w:val="39"/>
    <w:rsid w:val="006A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hyper">
    <w:name w:val="refhyper"/>
    <w:basedOn w:val="DefaultParagraphFont"/>
    <w:rsid w:val="0064300B"/>
  </w:style>
  <w:style w:type="character" w:customStyle="1" w:styleId="Heading3Char">
    <w:name w:val="Heading 3 Char"/>
    <w:basedOn w:val="DefaultParagraphFont"/>
    <w:link w:val="Heading3"/>
    <w:uiPriority w:val="9"/>
    <w:rsid w:val="00B51181"/>
    <w:rPr>
      <w:rFonts w:asciiTheme="majorHAnsi" w:eastAsiaTheme="majorEastAsia" w:hAnsiTheme="majorHAnsi" w:cstheme="majorBidi"/>
      <w:color w:val="1F3763" w:themeColor="accent1" w:themeShade="7F"/>
      <w:kern w:val="0"/>
      <w:sz w:val="24"/>
      <w:szCs w:val="21"/>
      <w:lang w:val="en-US"/>
      <w14:ligatures w14:val="none"/>
    </w:rPr>
  </w:style>
  <w:style w:type="paragraph" w:styleId="BalloonText">
    <w:name w:val="Balloon Text"/>
    <w:basedOn w:val="Normal"/>
    <w:link w:val="BalloonTextChar"/>
    <w:uiPriority w:val="99"/>
    <w:semiHidden/>
    <w:unhideWhenUsed/>
    <w:rsid w:val="00345AA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5AAC"/>
    <w:rPr>
      <w:rFonts w:ascii="Segoe UI" w:hAnsi="Segoe UI" w:cs="Mangal"/>
      <w:kern w:val="0"/>
      <w:sz w:val="18"/>
      <w:szCs w:val="16"/>
      <w:lang w:val="en-US"/>
      <w14:ligatures w14:val="none"/>
    </w:rPr>
  </w:style>
  <w:style w:type="character" w:customStyle="1" w:styleId="Heading4Char">
    <w:name w:val="Heading 4 Char"/>
    <w:basedOn w:val="DefaultParagraphFont"/>
    <w:link w:val="Heading4"/>
    <w:uiPriority w:val="9"/>
    <w:rsid w:val="001B4EB4"/>
    <w:rPr>
      <w:rFonts w:asciiTheme="majorHAnsi" w:eastAsiaTheme="majorEastAsia" w:hAnsiTheme="majorHAnsi" w:cstheme="majorBidi"/>
      <w:i/>
      <w:iCs/>
      <w:color w:val="2F5496" w:themeColor="accent1" w:themeShade="BF"/>
      <w:kern w:val="0"/>
      <w:lang w:val="en-US"/>
      <w14:ligatures w14:val="none"/>
    </w:rPr>
  </w:style>
  <w:style w:type="character" w:customStyle="1" w:styleId="personname">
    <w:name w:val="person_name"/>
    <w:basedOn w:val="DefaultParagraphFont"/>
    <w:rsid w:val="008746DE"/>
  </w:style>
  <w:style w:type="character" w:styleId="UnresolvedMention">
    <w:name w:val="Unresolved Mention"/>
    <w:basedOn w:val="DefaultParagraphFont"/>
    <w:uiPriority w:val="99"/>
    <w:semiHidden/>
    <w:unhideWhenUsed/>
    <w:rsid w:val="008922ED"/>
    <w:rPr>
      <w:color w:val="605E5C"/>
      <w:shd w:val="clear" w:color="auto" w:fill="E1DFDD"/>
    </w:rPr>
  </w:style>
  <w:style w:type="paragraph" w:styleId="Header">
    <w:name w:val="header"/>
    <w:basedOn w:val="Normal"/>
    <w:link w:val="HeaderChar"/>
    <w:uiPriority w:val="99"/>
    <w:unhideWhenUsed/>
    <w:rsid w:val="00DA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A1"/>
    <w:rPr>
      <w:kern w:val="0"/>
      <w:lang w:val="en-US"/>
      <w14:ligatures w14:val="none"/>
    </w:rPr>
  </w:style>
  <w:style w:type="paragraph" w:styleId="Footer">
    <w:name w:val="footer"/>
    <w:basedOn w:val="Normal"/>
    <w:link w:val="FooterChar"/>
    <w:uiPriority w:val="99"/>
    <w:unhideWhenUsed/>
    <w:rsid w:val="00DA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A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742">
      <w:bodyDiv w:val="1"/>
      <w:marLeft w:val="0"/>
      <w:marRight w:val="0"/>
      <w:marTop w:val="0"/>
      <w:marBottom w:val="0"/>
      <w:divBdr>
        <w:top w:val="none" w:sz="0" w:space="0" w:color="auto"/>
        <w:left w:val="none" w:sz="0" w:space="0" w:color="auto"/>
        <w:bottom w:val="none" w:sz="0" w:space="0" w:color="auto"/>
        <w:right w:val="none" w:sz="0" w:space="0" w:color="auto"/>
      </w:divBdr>
    </w:div>
    <w:div w:id="57285809">
      <w:bodyDiv w:val="1"/>
      <w:marLeft w:val="0"/>
      <w:marRight w:val="0"/>
      <w:marTop w:val="0"/>
      <w:marBottom w:val="0"/>
      <w:divBdr>
        <w:top w:val="none" w:sz="0" w:space="0" w:color="auto"/>
        <w:left w:val="none" w:sz="0" w:space="0" w:color="auto"/>
        <w:bottom w:val="none" w:sz="0" w:space="0" w:color="auto"/>
        <w:right w:val="none" w:sz="0" w:space="0" w:color="auto"/>
      </w:divBdr>
    </w:div>
    <w:div w:id="99449955">
      <w:bodyDiv w:val="1"/>
      <w:marLeft w:val="0"/>
      <w:marRight w:val="0"/>
      <w:marTop w:val="0"/>
      <w:marBottom w:val="0"/>
      <w:divBdr>
        <w:top w:val="none" w:sz="0" w:space="0" w:color="auto"/>
        <w:left w:val="none" w:sz="0" w:space="0" w:color="auto"/>
        <w:bottom w:val="none" w:sz="0" w:space="0" w:color="auto"/>
        <w:right w:val="none" w:sz="0" w:space="0" w:color="auto"/>
      </w:divBdr>
    </w:div>
    <w:div w:id="137459772">
      <w:bodyDiv w:val="1"/>
      <w:marLeft w:val="0"/>
      <w:marRight w:val="0"/>
      <w:marTop w:val="0"/>
      <w:marBottom w:val="0"/>
      <w:divBdr>
        <w:top w:val="none" w:sz="0" w:space="0" w:color="auto"/>
        <w:left w:val="none" w:sz="0" w:space="0" w:color="auto"/>
        <w:bottom w:val="none" w:sz="0" w:space="0" w:color="auto"/>
        <w:right w:val="none" w:sz="0" w:space="0" w:color="auto"/>
      </w:divBdr>
    </w:div>
    <w:div w:id="147719217">
      <w:bodyDiv w:val="1"/>
      <w:marLeft w:val="0"/>
      <w:marRight w:val="0"/>
      <w:marTop w:val="0"/>
      <w:marBottom w:val="0"/>
      <w:divBdr>
        <w:top w:val="none" w:sz="0" w:space="0" w:color="auto"/>
        <w:left w:val="none" w:sz="0" w:space="0" w:color="auto"/>
        <w:bottom w:val="none" w:sz="0" w:space="0" w:color="auto"/>
        <w:right w:val="none" w:sz="0" w:space="0" w:color="auto"/>
      </w:divBdr>
    </w:div>
    <w:div w:id="215164134">
      <w:bodyDiv w:val="1"/>
      <w:marLeft w:val="0"/>
      <w:marRight w:val="0"/>
      <w:marTop w:val="0"/>
      <w:marBottom w:val="0"/>
      <w:divBdr>
        <w:top w:val="none" w:sz="0" w:space="0" w:color="auto"/>
        <w:left w:val="none" w:sz="0" w:space="0" w:color="auto"/>
        <w:bottom w:val="none" w:sz="0" w:space="0" w:color="auto"/>
        <w:right w:val="none" w:sz="0" w:space="0" w:color="auto"/>
      </w:divBdr>
    </w:div>
    <w:div w:id="218789872">
      <w:bodyDiv w:val="1"/>
      <w:marLeft w:val="0"/>
      <w:marRight w:val="0"/>
      <w:marTop w:val="0"/>
      <w:marBottom w:val="0"/>
      <w:divBdr>
        <w:top w:val="none" w:sz="0" w:space="0" w:color="auto"/>
        <w:left w:val="none" w:sz="0" w:space="0" w:color="auto"/>
        <w:bottom w:val="none" w:sz="0" w:space="0" w:color="auto"/>
        <w:right w:val="none" w:sz="0" w:space="0" w:color="auto"/>
      </w:divBdr>
    </w:div>
    <w:div w:id="244147374">
      <w:bodyDiv w:val="1"/>
      <w:marLeft w:val="0"/>
      <w:marRight w:val="0"/>
      <w:marTop w:val="0"/>
      <w:marBottom w:val="0"/>
      <w:divBdr>
        <w:top w:val="none" w:sz="0" w:space="0" w:color="auto"/>
        <w:left w:val="none" w:sz="0" w:space="0" w:color="auto"/>
        <w:bottom w:val="none" w:sz="0" w:space="0" w:color="auto"/>
        <w:right w:val="none" w:sz="0" w:space="0" w:color="auto"/>
      </w:divBdr>
    </w:div>
    <w:div w:id="246354183">
      <w:bodyDiv w:val="1"/>
      <w:marLeft w:val="0"/>
      <w:marRight w:val="0"/>
      <w:marTop w:val="0"/>
      <w:marBottom w:val="0"/>
      <w:divBdr>
        <w:top w:val="none" w:sz="0" w:space="0" w:color="auto"/>
        <w:left w:val="none" w:sz="0" w:space="0" w:color="auto"/>
        <w:bottom w:val="none" w:sz="0" w:space="0" w:color="auto"/>
        <w:right w:val="none" w:sz="0" w:space="0" w:color="auto"/>
      </w:divBdr>
    </w:div>
    <w:div w:id="247471658">
      <w:bodyDiv w:val="1"/>
      <w:marLeft w:val="0"/>
      <w:marRight w:val="0"/>
      <w:marTop w:val="0"/>
      <w:marBottom w:val="0"/>
      <w:divBdr>
        <w:top w:val="none" w:sz="0" w:space="0" w:color="auto"/>
        <w:left w:val="none" w:sz="0" w:space="0" w:color="auto"/>
        <w:bottom w:val="none" w:sz="0" w:space="0" w:color="auto"/>
        <w:right w:val="none" w:sz="0" w:space="0" w:color="auto"/>
      </w:divBdr>
    </w:div>
    <w:div w:id="253100700">
      <w:bodyDiv w:val="1"/>
      <w:marLeft w:val="0"/>
      <w:marRight w:val="0"/>
      <w:marTop w:val="0"/>
      <w:marBottom w:val="0"/>
      <w:divBdr>
        <w:top w:val="none" w:sz="0" w:space="0" w:color="auto"/>
        <w:left w:val="none" w:sz="0" w:space="0" w:color="auto"/>
        <w:bottom w:val="none" w:sz="0" w:space="0" w:color="auto"/>
        <w:right w:val="none" w:sz="0" w:space="0" w:color="auto"/>
      </w:divBdr>
    </w:div>
    <w:div w:id="335494943">
      <w:bodyDiv w:val="1"/>
      <w:marLeft w:val="0"/>
      <w:marRight w:val="0"/>
      <w:marTop w:val="0"/>
      <w:marBottom w:val="0"/>
      <w:divBdr>
        <w:top w:val="none" w:sz="0" w:space="0" w:color="auto"/>
        <w:left w:val="none" w:sz="0" w:space="0" w:color="auto"/>
        <w:bottom w:val="none" w:sz="0" w:space="0" w:color="auto"/>
        <w:right w:val="none" w:sz="0" w:space="0" w:color="auto"/>
      </w:divBdr>
    </w:div>
    <w:div w:id="367725617">
      <w:bodyDiv w:val="1"/>
      <w:marLeft w:val="0"/>
      <w:marRight w:val="0"/>
      <w:marTop w:val="0"/>
      <w:marBottom w:val="0"/>
      <w:divBdr>
        <w:top w:val="none" w:sz="0" w:space="0" w:color="auto"/>
        <w:left w:val="none" w:sz="0" w:space="0" w:color="auto"/>
        <w:bottom w:val="none" w:sz="0" w:space="0" w:color="auto"/>
        <w:right w:val="none" w:sz="0" w:space="0" w:color="auto"/>
      </w:divBdr>
    </w:div>
    <w:div w:id="390230185">
      <w:bodyDiv w:val="1"/>
      <w:marLeft w:val="0"/>
      <w:marRight w:val="0"/>
      <w:marTop w:val="0"/>
      <w:marBottom w:val="0"/>
      <w:divBdr>
        <w:top w:val="none" w:sz="0" w:space="0" w:color="auto"/>
        <w:left w:val="none" w:sz="0" w:space="0" w:color="auto"/>
        <w:bottom w:val="none" w:sz="0" w:space="0" w:color="auto"/>
        <w:right w:val="none" w:sz="0" w:space="0" w:color="auto"/>
      </w:divBdr>
    </w:div>
    <w:div w:id="393893524">
      <w:bodyDiv w:val="1"/>
      <w:marLeft w:val="0"/>
      <w:marRight w:val="0"/>
      <w:marTop w:val="0"/>
      <w:marBottom w:val="0"/>
      <w:divBdr>
        <w:top w:val="none" w:sz="0" w:space="0" w:color="auto"/>
        <w:left w:val="none" w:sz="0" w:space="0" w:color="auto"/>
        <w:bottom w:val="none" w:sz="0" w:space="0" w:color="auto"/>
        <w:right w:val="none" w:sz="0" w:space="0" w:color="auto"/>
      </w:divBdr>
    </w:div>
    <w:div w:id="487863949">
      <w:bodyDiv w:val="1"/>
      <w:marLeft w:val="0"/>
      <w:marRight w:val="0"/>
      <w:marTop w:val="0"/>
      <w:marBottom w:val="0"/>
      <w:divBdr>
        <w:top w:val="none" w:sz="0" w:space="0" w:color="auto"/>
        <w:left w:val="none" w:sz="0" w:space="0" w:color="auto"/>
        <w:bottom w:val="none" w:sz="0" w:space="0" w:color="auto"/>
        <w:right w:val="none" w:sz="0" w:space="0" w:color="auto"/>
      </w:divBdr>
    </w:div>
    <w:div w:id="510802480">
      <w:bodyDiv w:val="1"/>
      <w:marLeft w:val="0"/>
      <w:marRight w:val="0"/>
      <w:marTop w:val="0"/>
      <w:marBottom w:val="0"/>
      <w:divBdr>
        <w:top w:val="none" w:sz="0" w:space="0" w:color="auto"/>
        <w:left w:val="none" w:sz="0" w:space="0" w:color="auto"/>
        <w:bottom w:val="none" w:sz="0" w:space="0" w:color="auto"/>
        <w:right w:val="none" w:sz="0" w:space="0" w:color="auto"/>
      </w:divBdr>
    </w:div>
    <w:div w:id="556625992">
      <w:bodyDiv w:val="1"/>
      <w:marLeft w:val="0"/>
      <w:marRight w:val="0"/>
      <w:marTop w:val="0"/>
      <w:marBottom w:val="0"/>
      <w:divBdr>
        <w:top w:val="none" w:sz="0" w:space="0" w:color="auto"/>
        <w:left w:val="none" w:sz="0" w:space="0" w:color="auto"/>
        <w:bottom w:val="none" w:sz="0" w:space="0" w:color="auto"/>
        <w:right w:val="none" w:sz="0" w:space="0" w:color="auto"/>
      </w:divBdr>
    </w:div>
    <w:div w:id="718095709">
      <w:bodyDiv w:val="1"/>
      <w:marLeft w:val="0"/>
      <w:marRight w:val="0"/>
      <w:marTop w:val="0"/>
      <w:marBottom w:val="0"/>
      <w:divBdr>
        <w:top w:val="none" w:sz="0" w:space="0" w:color="auto"/>
        <w:left w:val="none" w:sz="0" w:space="0" w:color="auto"/>
        <w:bottom w:val="none" w:sz="0" w:space="0" w:color="auto"/>
        <w:right w:val="none" w:sz="0" w:space="0" w:color="auto"/>
      </w:divBdr>
    </w:div>
    <w:div w:id="820658241">
      <w:bodyDiv w:val="1"/>
      <w:marLeft w:val="0"/>
      <w:marRight w:val="0"/>
      <w:marTop w:val="0"/>
      <w:marBottom w:val="0"/>
      <w:divBdr>
        <w:top w:val="none" w:sz="0" w:space="0" w:color="auto"/>
        <w:left w:val="none" w:sz="0" w:space="0" w:color="auto"/>
        <w:bottom w:val="none" w:sz="0" w:space="0" w:color="auto"/>
        <w:right w:val="none" w:sz="0" w:space="0" w:color="auto"/>
      </w:divBdr>
    </w:div>
    <w:div w:id="833182212">
      <w:bodyDiv w:val="1"/>
      <w:marLeft w:val="0"/>
      <w:marRight w:val="0"/>
      <w:marTop w:val="0"/>
      <w:marBottom w:val="0"/>
      <w:divBdr>
        <w:top w:val="none" w:sz="0" w:space="0" w:color="auto"/>
        <w:left w:val="none" w:sz="0" w:space="0" w:color="auto"/>
        <w:bottom w:val="none" w:sz="0" w:space="0" w:color="auto"/>
        <w:right w:val="none" w:sz="0" w:space="0" w:color="auto"/>
      </w:divBdr>
    </w:div>
    <w:div w:id="1052971464">
      <w:bodyDiv w:val="1"/>
      <w:marLeft w:val="0"/>
      <w:marRight w:val="0"/>
      <w:marTop w:val="0"/>
      <w:marBottom w:val="0"/>
      <w:divBdr>
        <w:top w:val="none" w:sz="0" w:space="0" w:color="auto"/>
        <w:left w:val="none" w:sz="0" w:space="0" w:color="auto"/>
        <w:bottom w:val="none" w:sz="0" w:space="0" w:color="auto"/>
        <w:right w:val="none" w:sz="0" w:space="0" w:color="auto"/>
      </w:divBdr>
    </w:div>
    <w:div w:id="1149397747">
      <w:bodyDiv w:val="1"/>
      <w:marLeft w:val="0"/>
      <w:marRight w:val="0"/>
      <w:marTop w:val="0"/>
      <w:marBottom w:val="0"/>
      <w:divBdr>
        <w:top w:val="none" w:sz="0" w:space="0" w:color="auto"/>
        <w:left w:val="none" w:sz="0" w:space="0" w:color="auto"/>
        <w:bottom w:val="none" w:sz="0" w:space="0" w:color="auto"/>
        <w:right w:val="none" w:sz="0" w:space="0" w:color="auto"/>
      </w:divBdr>
    </w:div>
    <w:div w:id="1220289032">
      <w:bodyDiv w:val="1"/>
      <w:marLeft w:val="0"/>
      <w:marRight w:val="0"/>
      <w:marTop w:val="0"/>
      <w:marBottom w:val="0"/>
      <w:divBdr>
        <w:top w:val="none" w:sz="0" w:space="0" w:color="auto"/>
        <w:left w:val="none" w:sz="0" w:space="0" w:color="auto"/>
        <w:bottom w:val="none" w:sz="0" w:space="0" w:color="auto"/>
        <w:right w:val="none" w:sz="0" w:space="0" w:color="auto"/>
      </w:divBdr>
    </w:div>
    <w:div w:id="1260333546">
      <w:bodyDiv w:val="1"/>
      <w:marLeft w:val="0"/>
      <w:marRight w:val="0"/>
      <w:marTop w:val="0"/>
      <w:marBottom w:val="0"/>
      <w:divBdr>
        <w:top w:val="none" w:sz="0" w:space="0" w:color="auto"/>
        <w:left w:val="none" w:sz="0" w:space="0" w:color="auto"/>
        <w:bottom w:val="none" w:sz="0" w:space="0" w:color="auto"/>
        <w:right w:val="none" w:sz="0" w:space="0" w:color="auto"/>
      </w:divBdr>
    </w:div>
    <w:div w:id="1385788132">
      <w:bodyDiv w:val="1"/>
      <w:marLeft w:val="0"/>
      <w:marRight w:val="0"/>
      <w:marTop w:val="0"/>
      <w:marBottom w:val="0"/>
      <w:divBdr>
        <w:top w:val="none" w:sz="0" w:space="0" w:color="auto"/>
        <w:left w:val="none" w:sz="0" w:space="0" w:color="auto"/>
        <w:bottom w:val="none" w:sz="0" w:space="0" w:color="auto"/>
        <w:right w:val="none" w:sz="0" w:space="0" w:color="auto"/>
      </w:divBdr>
    </w:div>
    <w:div w:id="1450516626">
      <w:bodyDiv w:val="1"/>
      <w:marLeft w:val="0"/>
      <w:marRight w:val="0"/>
      <w:marTop w:val="0"/>
      <w:marBottom w:val="0"/>
      <w:divBdr>
        <w:top w:val="none" w:sz="0" w:space="0" w:color="auto"/>
        <w:left w:val="none" w:sz="0" w:space="0" w:color="auto"/>
        <w:bottom w:val="none" w:sz="0" w:space="0" w:color="auto"/>
        <w:right w:val="none" w:sz="0" w:space="0" w:color="auto"/>
      </w:divBdr>
    </w:div>
    <w:div w:id="1494762288">
      <w:bodyDiv w:val="1"/>
      <w:marLeft w:val="0"/>
      <w:marRight w:val="0"/>
      <w:marTop w:val="0"/>
      <w:marBottom w:val="0"/>
      <w:divBdr>
        <w:top w:val="none" w:sz="0" w:space="0" w:color="auto"/>
        <w:left w:val="none" w:sz="0" w:space="0" w:color="auto"/>
        <w:bottom w:val="none" w:sz="0" w:space="0" w:color="auto"/>
        <w:right w:val="none" w:sz="0" w:space="0" w:color="auto"/>
      </w:divBdr>
      <w:divsChild>
        <w:div w:id="1617174695">
          <w:marLeft w:val="0"/>
          <w:marRight w:val="0"/>
          <w:marTop w:val="0"/>
          <w:marBottom w:val="0"/>
          <w:divBdr>
            <w:top w:val="none" w:sz="0" w:space="0" w:color="auto"/>
            <w:left w:val="none" w:sz="0" w:space="0" w:color="auto"/>
            <w:bottom w:val="none" w:sz="0" w:space="0" w:color="auto"/>
            <w:right w:val="none" w:sz="0" w:space="0" w:color="auto"/>
          </w:divBdr>
          <w:divsChild>
            <w:div w:id="2106682635">
              <w:marLeft w:val="0"/>
              <w:marRight w:val="0"/>
              <w:marTop w:val="0"/>
              <w:marBottom w:val="0"/>
              <w:divBdr>
                <w:top w:val="none" w:sz="0" w:space="0" w:color="auto"/>
                <w:left w:val="none" w:sz="0" w:space="0" w:color="auto"/>
                <w:bottom w:val="none" w:sz="0" w:space="0" w:color="auto"/>
                <w:right w:val="none" w:sz="0" w:space="0" w:color="auto"/>
              </w:divBdr>
              <w:divsChild>
                <w:div w:id="296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870">
          <w:marLeft w:val="0"/>
          <w:marRight w:val="0"/>
          <w:marTop w:val="0"/>
          <w:marBottom w:val="0"/>
          <w:divBdr>
            <w:top w:val="none" w:sz="0" w:space="0" w:color="auto"/>
            <w:left w:val="none" w:sz="0" w:space="0" w:color="auto"/>
            <w:bottom w:val="none" w:sz="0" w:space="0" w:color="auto"/>
            <w:right w:val="none" w:sz="0" w:space="0" w:color="auto"/>
          </w:divBdr>
          <w:divsChild>
            <w:div w:id="1931691613">
              <w:marLeft w:val="0"/>
              <w:marRight w:val="0"/>
              <w:marTop w:val="0"/>
              <w:marBottom w:val="0"/>
              <w:divBdr>
                <w:top w:val="none" w:sz="0" w:space="0" w:color="auto"/>
                <w:left w:val="none" w:sz="0" w:space="0" w:color="auto"/>
                <w:bottom w:val="single" w:sz="6" w:space="0" w:color="DDDDDD"/>
                <w:right w:val="none" w:sz="0" w:space="0" w:color="auto"/>
              </w:divBdr>
              <w:divsChild>
                <w:div w:id="9351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5650">
      <w:bodyDiv w:val="1"/>
      <w:marLeft w:val="0"/>
      <w:marRight w:val="0"/>
      <w:marTop w:val="0"/>
      <w:marBottom w:val="0"/>
      <w:divBdr>
        <w:top w:val="none" w:sz="0" w:space="0" w:color="auto"/>
        <w:left w:val="none" w:sz="0" w:space="0" w:color="auto"/>
        <w:bottom w:val="none" w:sz="0" w:space="0" w:color="auto"/>
        <w:right w:val="none" w:sz="0" w:space="0" w:color="auto"/>
      </w:divBdr>
    </w:div>
    <w:div w:id="1769351323">
      <w:bodyDiv w:val="1"/>
      <w:marLeft w:val="0"/>
      <w:marRight w:val="0"/>
      <w:marTop w:val="0"/>
      <w:marBottom w:val="0"/>
      <w:divBdr>
        <w:top w:val="none" w:sz="0" w:space="0" w:color="auto"/>
        <w:left w:val="none" w:sz="0" w:space="0" w:color="auto"/>
        <w:bottom w:val="none" w:sz="0" w:space="0" w:color="auto"/>
        <w:right w:val="none" w:sz="0" w:space="0" w:color="auto"/>
      </w:divBdr>
    </w:div>
    <w:div w:id="1888367730">
      <w:bodyDiv w:val="1"/>
      <w:marLeft w:val="0"/>
      <w:marRight w:val="0"/>
      <w:marTop w:val="0"/>
      <w:marBottom w:val="0"/>
      <w:divBdr>
        <w:top w:val="none" w:sz="0" w:space="0" w:color="auto"/>
        <w:left w:val="none" w:sz="0" w:space="0" w:color="auto"/>
        <w:bottom w:val="none" w:sz="0" w:space="0" w:color="auto"/>
        <w:right w:val="none" w:sz="0" w:space="0" w:color="auto"/>
      </w:divBdr>
    </w:div>
    <w:div w:id="2018799446">
      <w:bodyDiv w:val="1"/>
      <w:marLeft w:val="0"/>
      <w:marRight w:val="0"/>
      <w:marTop w:val="0"/>
      <w:marBottom w:val="0"/>
      <w:divBdr>
        <w:top w:val="none" w:sz="0" w:space="0" w:color="auto"/>
        <w:left w:val="none" w:sz="0" w:space="0" w:color="auto"/>
        <w:bottom w:val="none" w:sz="0" w:space="0" w:color="auto"/>
        <w:right w:val="none" w:sz="0" w:space="0" w:color="auto"/>
      </w:divBdr>
    </w:div>
    <w:div w:id="2079552304">
      <w:bodyDiv w:val="1"/>
      <w:marLeft w:val="0"/>
      <w:marRight w:val="0"/>
      <w:marTop w:val="0"/>
      <w:marBottom w:val="0"/>
      <w:divBdr>
        <w:top w:val="none" w:sz="0" w:space="0" w:color="auto"/>
        <w:left w:val="none" w:sz="0" w:space="0" w:color="auto"/>
        <w:bottom w:val="none" w:sz="0" w:space="0" w:color="auto"/>
        <w:right w:val="none" w:sz="0" w:space="0" w:color="auto"/>
      </w:divBdr>
    </w:div>
    <w:div w:id="2094350953">
      <w:bodyDiv w:val="1"/>
      <w:marLeft w:val="0"/>
      <w:marRight w:val="0"/>
      <w:marTop w:val="0"/>
      <w:marBottom w:val="0"/>
      <w:divBdr>
        <w:top w:val="none" w:sz="0" w:space="0" w:color="auto"/>
        <w:left w:val="none" w:sz="0" w:space="0" w:color="auto"/>
        <w:bottom w:val="none" w:sz="0" w:space="0" w:color="auto"/>
        <w:right w:val="none" w:sz="0" w:space="0" w:color="auto"/>
      </w:divBdr>
    </w:div>
    <w:div w:id="21094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0124850" TargetMode="External"/><Relationship Id="rId13" Type="http://schemas.openxmlformats.org/officeDocument/2006/relationships/hyperlink" Target="https://doi.org/10.1111/joms.12639" TargetMode="External"/><Relationship Id="rId18" Type="http://schemas.openxmlformats.org/officeDocument/2006/relationships/hyperlink" Target="https://doi.org/10.1016/j.techfore.2017.09.03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016/j.jbusres.2017.11.037" TargetMode="External"/><Relationship Id="rId12" Type="http://schemas.openxmlformats.org/officeDocument/2006/relationships/hyperlink" Target="http://dx.doi.org/10.1108/QMR-01-2017-0014" TargetMode="External"/><Relationship Id="rId17" Type="http://schemas.openxmlformats.org/officeDocument/2006/relationships/hyperlink" Target="https://doi.org/10.1111/etap.1225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08/0025174111118385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worlddev.2021.10548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deas.repec.org/s/eee/fambus.html" TargetMode="External"/><Relationship Id="rId23" Type="http://schemas.openxmlformats.org/officeDocument/2006/relationships/footer" Target="footer2.xml"/><Relationship Id="rId10" Type="http://schemas.openxmlformats.org/officeDocument/2006/relationships/hyperlink" Target="https://doi.org/10.1002/aepp.13145" TargetMode="External"/><Relationship Id="rId19" Type="http://schemas.openxmlformats.org/officeDocument/2006/relationships/hyperlink" Target="https://doi.org/10.1002/smj.640" TargetMode="External"/><Relationship Id="rId4" Type="http://schemas.openxmlformats.org/officeDocument/2006/relationships/webSettings" Target="webSettings.xml"/><Relationship Id="rId9" Type="http://schemas.openxmlformats.org/officeDocument/2006/relationships/hyperlink" Target="https://doi.org/10.1002/aepp.13145" TargetMode="External"/><Relationship Id="rId14" Type="http://schemas.openxmlformats.org/officeDocument/2006/relationships/hyperlink" Target="https://ideas.repec.org/a/eee/fambus/v9y2018i3p192-204.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4198</TotalTime>
  <Pages>14</Pages>
  <Words>6281</Words>
  <Characters>35804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 Kumar</dc:creator>
  <cp:keywords/>
  <dc:description/>
  <cp:lastModifiedBy>SDI 1180</cp:lastModifiedBy>
  <cp:revision>158</cp:revision>
  <dcterms:created xsi:type="dcterms:W3CDTF">2023-08-18T04:36:00Z</dcterms:created>
  <dcterms:modified xsi:type="dcterms:W3CDTF">2025-07-11T07:02:00Z</dcterms:modified>
</cp:coreProperties>
</file>