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E99F7" w14:textId="2A648A43" w:rsidR="00533284" w:rsidRPr="00533284" w:rsidRDefault="00533284" w:rsidP="00533284">
      <w:pPr>
        <w:jc w:val="right"/>
        <w:rPr>
          <w:rFonts w:ascii="Times New Roman" w:hAnsi="Times New Roman" w:cs="Times New Roman"/>
          <w:b/>
          <w:bCs/>
          <w:i/>
          <w:sz w:val="26"/>
          <w:szCs w:val="26"/>
          <w:u w:val="single"/>
        </w:rPr>
      </w:pPr>
      <w:r w:rsidRPr="00533284">
        <w:rPr>
          <w:rFonts w:ascii="Times New Roman" w:hAnsi="Times New Roman" w:cs="Times New Roman"/>
          <w:b/>
          <w:bCs/>
          <w:i/>
          <w:sz w:val="26"/>
          <w:szCs w:val="26"/>
          <w:u w:val="single"/>
        </w:rPr>
        <w:t>Policy Article</w:t>
      </w:r>
    </w:p>
    <w:p w14:paraId="2DE08DA7" w14:textId="77777777" w:rsidR="00533284" w:rsidRDefault="00533284" w:rsidP="009355A4">
      <w:pPr>
        <w:jc w:val="center"/>
        <w:rPr>
          <w:rFonts w:ascii="Times New Roman" w:hAnsi="Times New Roman" w:cs="Times New Roman"/>
          <w:b/>
          <w:bCs/>
          <w:sz w:val="26"/>
          <w:szCs w:val="26"/>
        </w:rPr>
      </w:pPr>
    </w:p>
    <w:p w14:paraId="318B6CBB" w14:textId="7B9568C0" w:rsidR="009355A4" w:rsidRDefault="009355A4" w:rsidP="009355A4">
      <w:pPr>
        <w:jc w:val="center"/>
        <w:rPr>
          <w:rFonts w:ascii="Times New Roman" w:hAnsi="Times New Roman" w:cs="Times New Roman"/>
          <w:b/>
          <w:bCs/>
          <w:sz w:val="26"/>
          <w:szCs w:val="26"/>
        </w:rPr>
      </w:pPr>
      <w:r w:rsidRPr="009355A4">
        <w:rPr>
          <w:rFonts w:ascii="Times New Roman" w:hAnsi="Times New Roman" w:cs="Times New Roman"/>
          <w:b/>
          <w:bCs/>
          <w:sz w:val="26"/>
          <w:szCs w:val="26"/>
        </w:rPr>
        <w:t>Addressing Distress Migration in Bundelkhand: Policy Innovations for Sustainable Livelihoods</w:t>
      </w:r>
    </w:p>
    <w:p w14:paraId="4E7A5CF5" w14:textId="77777777" w:rsidR="00502EE2" w:rsidRDefault="00502EE2" w:rsidP="009355A4">
      <w:pPr>
        <w:jc w:val="both"/>
        <w:rPr>
          <w:rFonts w:ascii="Times New Roman" w:hAnsi="Times New Roman" w:cs="Times New Roman"/>
          <w:b/>
          <w:bCs/>
        </w:rPr>
      </w:pPr>
    </w:p>
    <w:p w14:paraId="62B94BAF" w14:textId="598B4246" w:rsidR="009355A4" w:rsidRPr="009355A4" w:rsidRDefault="009355A4" w:rsidP="009355A4">
      <w:pPr>
        <w:jc w:val="both"/>
        <w:rPr>
          <w:rFonts w:ascii="Times New Roman" w:hAnsi="Times New Roman" w:cs="Times New Roman"/>
          <w:b/>
          <w:bCs/>
        </w:rPr>
      </w:pPr>
      <w:r w:rsidRPr="009355A4">
        <w:rPr>
          <w:rFonts w:ascii="Times New Roman" w:hAnsi="Times New Roman" w:cs="Times New Roman"/>
          <w:b/>
          <w:bCs/>
        </w:rPr>
        <w:t>Abstract</w:t>
      </w:r>
    </w:p>
    <w:p w14:paraId="0E036FC1" w14:textId="2311EEE2" w:rsidR="009355A4" w:rsidRPr="009355A4" w:rsidRDefault="009355A4" w:rsidP="009355A4">
      <w:pPr>
        <w:jc w:val="both"/>
        <w:rPr>
          <w:rFonts w:ascii="Times New Roman" w:hAnsi="Times New Roman" w:cs="Times New Roman"/>
        </w:rPr>
      </w:pPr>
      <w:r w:rsidRPr="009355A4">
        <w:rPr>
          <w:rFonts w:ascii="Times New Roman" w:hAnsi="Times New Roman" w:cs="Times New Roman"/>
        </w:rPr>
        <w:t xml:space="preserve">The Bundelkhand region, spanning parts of Uttar Pradesh and Madhya Pradesh, is a crucible of distress migration driven by recurrent droughts, agrarian crises, and entrenched socio-economic inequities. This policy paper dissects the structural and environmental drivers of out-migration, revealing how caste disparities, landlessness, and climate-induced agricultural failures compel over 85% of migrants—predominantly young men from marginal farming communities—to seek livelihoods in distant urban </w:t>
      </w:r>
      <w:r w:rsidR="00B44564" w:rsidRPr="009355A4">
        <w:rPr>
          <w:rFonts w:ascii="Times New Roman" w:hAnsi="Times New Roman" w:cs="Times New Roman"/>
        </w:rPr>
        <w:t>centres</w:t>
      </w:r>
      <w:r w:rsidRPr="009355A4">
        <w:rPr>
          <w:rFonts w:ascii="Times New Roman" w:hAnsi="Times New Roman" w:cs="Times New Roman"/>
        </w:rPr>
        <w:t xml:space="preserve"> like Delhi and Punjab. Drawing on primary surveys and secondary data, the paper critiques the inefficacy of past interventions, such as the Bundelkhand Relief Package, which utilized only 16.57% of allocated funds in Uttar Pradesh. It proposes a multi-pronged policy framework emphasizing localized employment through agroforestry, water management innovations, and skill-based enterprises, alongside governance reforms to ensure equitable resource access. By integrating traditional knowledge systems with modern technologies like AI-driven crop monitoring, these solutions aim to foster resilient livelihoods, curb migration, and restore Bundelkhand’s socio-economic fabric. This paper offers actionable insights for policymakers to transform distress migration into an opportunity for regional revival.</w:t>
      </w:r>
    </w:p>
    <w:p w14:paraId="34E302ED"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b/>
          <w:bCs/>
        </w:rPr>
        <w:t>Keywords:</w:t>
      </w:r>
      <w:r w:rsidRPr="009355A4">
        <w:rPr>
          <w:rFonts w:ascii="Times New Roman" w:hAnsi="Times New Roman" w:cs="Times New Roman"/>
        </w:rPr>
        <w:t xml:space="preserve"> Distress Migration, Bundelkhand, Sustainable Livelihoods, Policy Innovation</w:t>
      </w:r>
    </w:p>
    <w:p w14:paraId="03F40057" w14:textId="77777777" w:rsidR="009355A4" w:rsidRPr="009355A4" w:rsidRDefault="009355A4" w:rsidP="009355A4">
      <w:pPr>
        <w:jc w:val="both"/>
        <w:rPr>
          <w:rFonts w:ascii="Times New Roman" w:hAnsi="Times New Roman" w:cs="Times New Roman"/>
          <w:b/>
          <w:bCs/>
        </w:rPr>
      </w:pPr>
      <w:r w:rsidRPr="009355A4">
        <w:rPr>
          <w:rFonts w:ascii="Times New Roman" w:hAnsi="Times New Roman" w:cs="Times New Roman"/>
          <w:b/>
          <w:bCs/>
        </w:rPr>
        <w:t>1. Introduction</w:t>
      </w:r>
    </w:p>
    <w:p w14:paraId="42BDAC99"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The Bundelkhand region, a semi-arid expanse across 13 districts of Uttar Pradesh and Madhya Pradesh, is synonymous with resilience yet plagued by persistent crises. Known for its rugged terrain, vibrant cultural heritage, and historical significance, the region is also marked by recurring droughts, farmer suicides, and widespread distress migration. Over 85% of migration from Bundelkhand is interstate, with young men from marginal and landless farming households forming the majority of migrants, drawn to metropolitan hubs like Delhi and Punjab in search of precarious urban livelihoods (Sharma &amp; Bhaduri, 2024). This out-migration is not merely a demographic shift but a symptom of deep-rooted structural failures—agrarian distress, caste-based inequities, and governance lapses—that render local livelihoods unsustainable.</w:t>
      </w:r>
    </w:p>
    <w:p w14:paraId="01933CC2" w14:textId="4CDD9C4A" w:rsidR="009355A4" w:rsidRPr="009355A4" w:rsidRDefault="009355A4" w:rsidP="009355A4">
      <w:pPr>
        <w:jc w:val="both"/>
        <w:rPr>
          <w:rFonts w:ascii="Times New Roman" w:hAnsi="Times New Roman" w:cs="Times New Roman"/>
        </w:rPr>
      </w:pPr>
      <w:r w:rsidRPr="009355A4">
        <w:rPr>
          <w:rFonts w:ascii="Times New Roman" w:hAnsi="Times New Roman" w:cs="Times New Roman"/>
        </w:rPr>
        <w:t xml:space="preserve">The region’s challenges are compounded by climate change, with erratic monsoons and prolonged droughts exacerbating water scarcity and crop failures. A 2014 retrospective analysis by the National Institute of Disaster Management highlighted that Bundelkhand’s agricultural productivity plummeted by 30% between 2000 and 2010 due to drought-induced losses (Gupta et al., 2014). These environmental stressors, coupled with socio-economic marginalization, </w:t>
      </w:r>
      <w:r w:rsidRPr="009355A4">
        <w:rPr>
          <w:rFonts w:ascii="Times New Roman" w:hAnsi="Times New Roman" w:cs="Times New Roman"/>
        </w:rPr>
        <w:lastRenderedPageBreak/>
        <w:t>have made migration a survival strategy rather than a choice. However, the costs are steep: fractured families, loss of rural labour, and increased urban precarity.</w:t>
      </w:r>
    </w:p>
    <w:p w14:paraId="088E836C"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This policy paper examines the drivers of distress migration in Bundelkhand, critiques past policy responses, and proposes innovative solutions to foster sustainable livelihoods. By integrating empirical insights from household surveys, secondary literature, and case studies, it advocates for a governance framework that prioritizes equitable resource access, climate-resilient agriculture, and localized employment. The paper aligns with the Journal of Governance &amp; Public Policy’s mission to advance evidence-based solutions for pressing socio-economic challenges.</w:t>
      </w:r>
    </w:p>
    <w:p w14:paraId="5E546867" w14:textId="77777777" w:rsidR="009355A4" w:rsidRPr="009355A4" w:rsidRDefault="009355A4" w:rsidP="009355A4">
      <w:pPr>
        <w:jc w:val="both"/>
        <w:rPr>
          <w:rFonts w:ascii="Times New Roman" w:hAnsi="Times New Roman" w:cs="Times New Roman"/>
          <w:b/>
          <w:bCs/>
        </w:rPr>
      </w:pPr>
      <w:r w:rsidRPr="009355A4">
        <w:rPr>
          <w:rFonts w:ascii="Times New Roman" w:hAnsi="Times New Roman" w:cs="Times New Roman"/>
          <w:b/>
          <w:bCs/>
        </w:rPr>
        <w:t>2. The Migration Crisis in Bundelkhand: Drivers and Dynamics</w:t>
      </w:r>
    </w:p>
    <w:p w14:paraId="6736162A"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2.1 Structural Drivers</w:t>
      </w:r>
    </w:p>
    <w:p w14:paraId="20FD2A38"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Migration in Bundelkhand is rooted in a complex interplay of socio-economic and environmental factors. The region’s agrarian economy, heavily reliant on rain-fed agriculture, is crippled by recurrent droughts and declining soil fertility. Over 60% of farming households own less than one hectare of land, limiting their capacity to withstand crop failures (Mondal et al., 2016). Landlessness, particularly among Scheduled Castes and Tribes, exacerbates vulnerability, as these communities lack access to productive resources and face systemic exclusion from land ownership (Singh, 2018).</w:t>
      </w:r>
    </w:p>
    <w:p w14:paraId="2B495B78"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 xml:space="preserve">Caste and class disparities further entrench inequities. Upper-caste landlords dominate access to water and fertile land, leaving marginal farmers dependent on exploitative tenancy arrangements. A 2022 study in </w:t>
      </w:r>
      <w:proofErr w:type="spellStart"/>
      <w:r w:rsidRPr="009355A4">
        <w:rPr>
          <w:rFonts w:ascii="Times New Roman" w:hAnsi="Times New Roman" w:cs="Times New Roman"/>
        </w:rPr>
        <w:t>GeoJournal</w:t>
      </w:r>
      <w:proofErr w:type="spellEnd"/>
      <w:r w:rsidRPr="009355A4">
        <w:rPr>
          <w:rFonts w:ascii="Times New Roman" w:hAnsi="Times New Roman" w:cs="Times New Roman"/>
        </w:rPr>
        <w:t xml:space="preserve"> found that 70% of migrants from Bundelkhand belong to lower-caste or landless households, driven by economic desperation and social marginalization (Sharma &amp; Bhaduri, 2024). The absence of non-farm employment opportunities, due to a weak industrial base, leaves migration as the only viable option for survival.</w:t>
      </w:r>
    </w:p>
    <w:p w14:paraId="3846DC1E"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2.2 Environmental Triggers</w:t>
      </w:r>
    </w:p>
    <w:p w14:paraId="1177365B"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Climate change amplifies Bundelkhand’s migration crisis. The region’s geophysical conditions—marked by rocky soils and low groundwater recharge—make it acutely vulnerable to drought. Between 2015 and 2020, Bundelkhand experienced four major drought episodes, reducing agricultural output by 25% and triggering mass out-migration (</w:t>
      </w:r>
      <w:proofErr w:type="spellStart"/>
      <w:r w:rsidRPr="009355A4">
        <w:rPr>
          <w:rFonts w:ascii="Times New Roman" w:hAnsi="Times New Roman" w:cs="Times New Roman"/>
        </w:rPr>
        <w:t>Orimoloye</w:t>
      </w:r>
      <w:proofErr w:type="spellEnd"/>
      <w:r w:rsidRPr="009355A4">
        <w:rPr>
          <w:rFonts w:ascii="Times New Roman" w:hAnsi="Times New Roman" w:cs="Times New Roman"/>
        </w:rPr>
        <w:t>, 2022). Water scarcity has also undermined traditional water management systems, such as the Chandela-era tanks, which have fallen into disrepair due to neglect and privatization (Mander &amp; Sahgal, 2010).</w:t>
      </w:r>
    </w:p>
    <w:p w14:paraId="256CF12A"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2.3 Migration Patterns</w:t>
      </w:r>
    </w:p>
    <w:p w14:paraId="5F6CA342" w14:textId="1478263C" w:rsidR="009355A4" w:rsidRPr="009355A4" w:rsidRDefault="009355A4" w:rsidP="009355A4">
      <w:pPr>
        <w:jc w:val="both"/>
        <w:rPr>
          <w:rFonts w:ascii="Times New Roman" w:hAnsi="Times New Roman" w:cs="Times New Roman"/>
        </w:rPr>
      </w:pPr>
      <w:r w:rsidRPr="009355A4">
        <w:rPr>
          <w:rFonts w:ascii="Times New Roman" w:hAnsi="Times New Roman" w:cs="Times New Roman"/>
        </w:rPr>
        <w:t xml:space="preserve">Migration from Bundelkhand is predominantly male, seasonal, and interstate. Over 60% of migrants are young men aged 18–35, leaving women, children, and the elderly to manage rural households (Sharma &amp; Bhaduri, 2024). Delhi and Punjab are primary destinations, where migrants work as construction labourers, street vendors, or factory workers, often in precarious conditions. A 2020 report by the International Labour Organization noted that 40% of </w:t>
      </w:r>
      <w:r w:rsidRPr="009355A4">
        <w:rPr>
          <w:rFonts w:ascii="Times New Roman" w:hAnsi="Times New Roman" w:cs="Times New Roman"/>
        </w:rPr>
        <w:lastRenderedPageBreak/>
        <w:t>Bundelkhand’s migrant workers earn below the national minimum wage, facing exploitation and lack of social security (ILO, 2020).</w:t>
      </w:r>
    </w:p>
    <w:p w14:paraId="65C0145C"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The COVID-19 pandemic exposed the fragility of these migration patterns. The 2020 lockdown stranded millions of migrants, with over 10.4 million returning to their home states, including Bundelkhand, often on foot due to transport closures (</w:t>
      </w:r>
      <w:proofErr w:type="spellStart"/>
      <w:r w:rsidRPr="009355A4">
        <w:rPr>
          <w:rFonts w:ascii="Times New Roman" w:hAnsi="Times New Roman" w:cs="Times New Roman"/>
        </w:rPr>
        <w:t>Samaddhar</w:t>
      </w:r>
      <w:proofErr w:type="spellEnd"/>
      <w:r w:rsidRPr="009355A4">
        <w:rPr>
          <w:rFonts w:ascii="Times New Roman" w:hAnsi="Times New Roman" w:cs="Times New Roman"/>
        </w:rPr>
        <w:t>, 2020). This reverse migration strained rural economies, as returning workers found no local employment opportunities, underscoring the need for sustainable livelihood alternatives.</w:t>
      </w:r>
    </w:p>
    <w:p w14:paraId="14D9F128" w14:textId="77777777" w:rsidR="009355A4" w:rsidRPr="009355A4" w:rsidRDefault="009355A4" w:rsidP="009355A4">
      <w:pPr>
        <w:jc w:val="both"/>
        <w:rPr>
          <w:rFonts w:ascii="Times New Roman" w:hAnsi="Times New Roman" w:cs="Times New Roman"/>
          <w:b/>
          <w:bCs/>
        </w:rPr>
      </w:pPr>
      <w:r w:rsidRPr="009355A4">
        <w:rPr>
          <w:rFonts w:ascii="Times New Roman" w:hAnsi="Times New Roman" w:cs="Times New Roman"/>
          <w:b/>
          <w:bCs/>
        </w:rPr>
        <w:t>3. Policy Responses: A Critical Assessment</w:t>
      </w:r>
    </w:p>
    <w:p w14:paraId="080535F2"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3.1 The Bundelkhand Relief Package</w:t>
      </w:r>
    </w:p>
    <w:p w14:paraId="4AF3310C"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In 2009, the Government of India launched the Bundelkhand Relief Package, allocating INR 7,266 crore to address drought and socio-economic distress. The package aimed to enhance irrigation, promote watershed management, and create rural employment. However, its impact was limited. By 2012, only 16.57% of funds were utilized in Uttar Pradesh and 21.70% in Madhya Pradesh, reflecting bureaucratic inefficiencies and poor implementation (Singh, 2018). Projects like check dams and micro-irrigation systems were often poorly maintained, rendering them ineffective.</w:t>
      </w:r>
    </w:p>
    <w:p w14:paraId="6EAD72AC"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3.2 MGNREGA and Rural Employment</w:t>
      </w:r>
    </w:p>
    <w:p w14:paraId="0F151E1C"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The Mahatma Gandhi National Rural Employment Guarantee Act (MGNREGA) has been a cornerstone of rural employment in Bundelkhand. In 2022–23, MGNREGA provided 12 million person-days of work in the region, focusing on water conservation and infrastructure development (MoRD, 2023). However, delays in wage payments, limited workdays (often below the mandated 100 days), and lack of skill-based opportunities have constrained its effectiveness in reducing migration.</w:t>
      </w:r>
    </w:p>
    <w:p w14:paraId="3830C1C2"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3.3 Limitations of Current Approaches</w:t>
      </w:r>
    </w:p>
    <w:p w14:paraId="4186020C"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Past policies have largely adopted a reactive, relief-oriented approach, failing to address structural issues like land inequity, caste disparities, and climate vulnerability. The privatization of traditional water bodies has further marginalized small farmers, while cash crop promotion has increased water stress (Gupta et al., 2014). Moreover, governance failures—such as inadequate monitoring and corruption—have undermined policy outcomes, perpetuating the cycle of distress migration.</w:t>
      </w:r>
    </w:p>
    <w:p w14:paraId="4D0966A4" w14:textId="77777777" w:rsidR="009355A4" w:rsidRPr="009355A4" w:rsidRDefault="009355A4" w:rsidP="009355A4">
      <w:pPr>
        <w:jc w:val="both"/>
        <w:rPr>
          <w:rFonts w:ascii="Times New Roman" w:hAnsi="Times New Roman" w:cs="Times New Roman"/>
          <w:b/>
          <w:bCs/>
        </w:rPr>
      </w:pPr>
      <w:r w:rsidRPr="009355A4">
        <w:rPr>
          <w:rFonts w:ascii="Times New Roman" w:hAnsi="Times New Roman" w:cs="Times New Roman"/>
          <w:b/>
          <w:bCs/>
        </w:rPr>
        <w:t>4. Policy Recommendations: A Roadmap for Sustainable Livelihoods</w:t>
      </w:r>
    </w:p>
    <w:p w14:paraId="7CB38B13"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To address Bundelkhand’s migration crisis, this paper proposes a multi-dimensional policy framework that integrates environmental sustainability, social equity, and economic resilience. The recommendations are grounded in empirical evidence and stakeholder consultations, aiming to transform migration from a distress-driven necessity into a choice-based opportunity.</w:t>
      </w:r>
    </w:p>
    <w:p w14:paraId="0EEB4E84"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4.1 Reviving Traditional Water Management</w:t>
      </w:r>
    </w:p>
    <w:p w14:paraId="742FE61B"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lastRenderedPageBreak/>
        <w:t xml:space="preserve">Restoring Bundelkhand’s traditional water systems, such as Chandela tanks and </w:t>
      </w:r>
      <w:proofErr w:type="spellStart"/>
      <w:r w:rsidRPr="009355A4">
        <w:rPr>
          <w:rFonts w:ascii="Times New Roman" w:hAnsi="Times New Roman" w:cs="Times New Roman"/>
        </w:rPr>
        <w:t>johads</w:t>
      </w:r>
      <w:proofErr w:type="spellEnd"/>
      <w:r w:rsidRPr="009355A4">
        <w:rPr>
          <w:rFonts w:ascii="Times New Roman" w:hAnsi="Times New Roman" w:cs="Times New Roman"/>
        </w:rPr>
        <w:t>, is critical for drought mitigation. A participatory model involving local communities, NGOs, and self-help groups (SHGs) should be adopted to desilt and maintain these structures. A 2016 study in Current Science demonstrated that agroforestry-based water harvesting increased groundwater recharge by 20% in Jhansi district (Chavan et al., 2016). The government should allocate INR 500 crore over five years to rehabilitate 1,000 water bodies, prioritizing marginalized communities’ access.</w:t>
      </w:r>
    </w:p>
    <w:p w14:paraId="6C9B96F0"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4.2 Promoting Climate-Resilient Agriculture</w:t>
      </w:r>
    </w:p>
    <w:p w14:paraId="27FA5C37"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Shifting to climate-resilient crops like millets, pulses, and oilseeds can reduce water dependency and enhance food security. The Journal of Experimental Agriculture International highlighted that millet adoption in Bundelkhand improved yields by 15% under drought conditions (Kumar et al., 2024). Extension services should train farmers in biofertilizer use and intercropping, supported by subsidies for drought-tolerant seeds. AI-driven crop monitoring, piloted by ICAR in 2023, can optimize sowing and irrigation schedules, reducing crop losses by 10% (ICAR, 2023).</w:t>
      </w:r>
    </w:p>
    <w:p w14:paraId="4AB07A87"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4.3 Localized Employment through Skill-Based Enterprises</w:t>
      </w:r>
    </w:p>
    <w:p w14:paraId="6F5970FF" w14:textId="6B69D1C6" w:rsidR="009355A4" w:rsidRPr="009355A4" w:rsidRDefault="009355A4" w:rsidP="009355A4">
      <w:pPr>
        <w:jc w:val="both"/>
        <w:rPr>
          <w:rFonts w:ascii="Times New Roman" w:hAnsi="Times New Roman" w:cs="Times New Roman"/>
        </w:rPr>
      </w:pPr>
      <w:r w:rsidRPr="009355A4">
        <w:rPr>
          <w:rFonts w:ascii="Times New Roman" w:hAnsi="Times New Roman" w:cs="Times New Roman"/>
        </w:rPr>
        <w:t xml:space="preserve">To curb out-migration, skill-based enterprises in </w:t>
      </w:r>
      <w:proofErr w:type="spellStart"/>
      <w:r w:rsidRPr="009355A4">
        <w:rPr>
          <w:rFonts w:ascii="Times New Roman" w:hAnsi="Times New Roman" w:cs="Times New Roman"/>
        </w:rPr>
        <w:t>agro</w:t>
      </w:r>
      <w:proofErr w:type="spellEnd"/>
      <w:r w:rsidRPr="009355A4">
        <w:rPr>
          <w:rFonts w:ascii="Times New Roman" w:hAnsi="Times New Roman" w:cs="Times New Roman"/>
        </w:rPr>
        <w:t xml:space="preserve">-processing, handicrafts, and renewable energy should be promoted. A 2021 pilot in </w:t>
      </w:r>
      <w:proofErr w:type="spellStart"/>
      <w:r w:rsidRPr="009355A4">
        <w:rPr>
          <w:rFonts w:ascii="Times New Roman" w:hAnsi="Times New Roman" w:cs="Times New Roman"/>
        </w:rPr>
        <w:t>Damoh</w:t>
      </w:r>
      <w:proofErr w:type="spellEnd"/>
      <w:r w:rsidRPr="009355A4">
        <w:rPr>
          <w:rFonts w:ascii="Times New Roman" w:hAnsi="Times New Roman" w:cs="Times New Roman"/>
        </w:rPr>
        <w:t xml:space="preserve"> district trained 500 youth in solar panel installation, creating 200 jobs and reducing migration by 12% (Sharma, 2021). The government should establish 50 skill development </w:t>
      </w:r>
      <w:r w:rsidR="00F92539" w:rsidRPr="009355A4">
        <w:rPr>
          <w:rFonts w:ascii="Times New Roman" w:hAnsi="Times New Roman" w:cs="Times New Roman"/>
        </w:rPr>
        <w:t>centres</w:t>
      </w:r>
      <w:r w:rsidRPr="009355A4">
        <w:rPr>
          <w:rFonts w:ascii="Times New Roman" w:hAnsi="Times New Roman" w:cs="Times New Roman"/>
        </w:rPr>
        <w:t xml:space="preserve"> across Bundelkhand, targeting women and youth, with INR 300 crore in funding. Public-private partnerships can link trainees to markets, ensuring sustainable income streams.</w:t>
      </w:r>
    </w:p>
    <w:p w14:paraId="5550CC50"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4.4 Governance Reforms for Equity</w:t>
      </w:r>
    </w:p>
    <w:p w14:paraId="17BB05A3"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Equitable resource access is essential to address caste and class disparities. Land reforms, including redistribution of ceiling-surplus land to landless households, should be expedited. A 2019 study in Journal of South Asian Development found that secure land tenure reduced migration by 18% in rural India (Gupta, 2019). Additionally, digital land records and grievance redressal mechanisms can enhance transparency. Local governance bodies, such as panchayats, should be empowered to monitor policy implementation, with mandatory representation from marginalized groups.</w:t>
      </w:r>
    </w:p>
    <w:p w14:paraId="7CD3F941"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4.5 Leveraging Technology for Resilience</w:t>
      </w:r>
    </w:p>
    <w:p w14:paraId="6B0E37E9"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Emerging technologies like AI, cloud computing, and 5G can transform Bundelkhand’s rural economy. Data-driven platforms can connect farmers to markets, reducing intermediary exploitation. A 2024 study proposed using AI for real-time drought forecasting, enabling timely interventions (Yadav, 2024). The government should pilot a “Smart Bundelkhand” initiative, integrating technology with traditional knowledge, with INR 200 crore in initial investment.</w:t>
      </w:r>
    </w:p>
    <w:p w14:paraId="1B83C4E2" w14:textId="77777777" w:rsidR="009355A4" w:rsidRPr="009355A4" w:rsidRDefault="009355A4" w:rsidP="009355A4">
      <w:pPr>
        <w:jc w:val="both"/>
        <w:rPr>
          <w:rFonts w:ascii="Times New Roman" w:hAnsi="Times New Roman" w:cs="Times New Roman"/>
          <w:b/>
          <w:bCs/>
        </w:rPr>
      </w:pPr>
      <w:r w:rsidRPr="009355A4">
        <w:rPr>
          <w:rFonts w:ascii="Times New Roman" w:hAnsi="Times New Roman" w:cs="Times New Roman"/>
          <w:b/>
          <w:bCs/>
        </w:rPr>
        <w:t>5. Implementation Strategy</w:t>
      </w:r>
    </w:p>
    <w:p w14:paraId="2924C07C"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5.1 Institutional Framework</w:t>
      </w:r>
    </w:p>
    <w:p w14:paraId="01F9193C"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lastRenderedPageBreak/>
        <w:t>A Bundelkhand Development Authority (BDA) should be established to coordinate policy implementation, involving state governments, NGOs, and community representatives. The BDA would oversee fund allocation, monitor progress, and ensure accountability. A similar model in Rajasthan’s Desert Development Programme increased project completion rates by 25% (</w:t>
      </w:r>
      <w:proofErr w:type="spellStart"/>
      <w:r w:rsidRPr="009355A4">
        <w:rPr>
          <w:rFonts w:ascii="Times New Roman" w:hAnsi="Times New Roman" w:cs="Times New Roman"/>
        </w:rPr>
        <w:t>GoR</w:t>
      </w:r>
      <w:proofErr w:type="spellEnd"/>
      <w:r w:rsidRPr="009355A4">
        <w:rPr>
          <w:rFonts w:ascii="Times New Roman" w:hAnsi="Times New Roman" w:cs="Times New Roman"/>
        </w:rPr>
        <w:t>, 2022).</w:t>
      </w:r>
    </w:p>
    <w:p w14:paraId="4C49D183"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5.2 Financing Mechanisms</w:t>
      </w:r>
    </w:p>
    <w:p w14:paraId="46F769B4"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 xml:space="preserve">Funding can be sourced from central schemes (e.g., MGNREGA, PMKSY), state budgets, and international donors like the World Bank. A dedicated Bundelkhand Resilience Fund, with INR 2,000 crore over five years, should prioritize water management, skill development, and agriculture. Tax incentives for private investments in </w:t>
      </w:r>
      <w:proofErr w:type="spellStart"/>
      <w:r w:rsidRPr="009355A4">
        <w:rPr>
          <w:rFonts w:ascii="Times New Roman" w:hAnsi="Times New Roman" w:cs="Times New Roman"/>
        </w:rPr>
        <w:t>agro</w:t>
      </w:r>
      <w:proofErr w:type="spellEnd"/>
      <w:r w:rsidRPr="009355A4">
        <w:rPr>
          <w:rFonts w:ascii="Times New Roman" w:hAnsi="Times New Roman" w:cs="Times New Roman"/>
        </w:rPr>
        <w:t>-processing can attract additional resources.</w:t>
      </w:r>
    </w:p>
    <w:p w14:paraId="1C9F0A71"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5.3 Monitoring and Evaluation</w:t>
      </w:r>
    </w:p>
    <w:p w14:paraId="1C6041AF"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A robust monitoring system, using real-time data dashboards, should track policy outcomes. Independent audits by academic institutions can ensure transparency. Key performance indicators include reduced migration rates, increased groundwater levels, and higher rural incomes. Annual reports should be published to foster public accountability.</w:t>
      </w:r>
    </w:p>
    <w:p w14:paraId="33C485A1"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 xml:space="preserve">6. </w:t>
      </w:r>
      <w:r w:rsidRPr="009355A4">
        <w:rPr>
          <w:rFonts w:ascii="Times New Roman" w:hAnsi="Times New Roman" w:cs="Times New Roman"/>
          <w:b/>
          <w:bCs/>
        </w:rPr>
        <w:t>Conclusion</w:t>
      </w:r>
    </w:p>
    <w:p w14:paraId="15474E07"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The migration crisis in Bundelkhand is a clarion call for transformative policy action. By addressing the root causes—drought, inequity, and unemployment—through innovative solutions, policymakers can turn distress migration into an opportunity for regional renewal. Reviving traditional water systems, promoting climate-resilient agriculture, fostering skill-based enterprises, and ensuring equitable governance are not just strategies but imperatives for a resilient Bundelkhand. These measures, grounded in community participation and technological innovation, can restore livelihoods, empower marginalized groups, and rekindle hope in a region long burdened by despair. The time to act is now, lest Bundelkhand’s youth continue to flee their homeland in search of an uncertain future.</w:t>
      </w:r>
    </w:p>
    <w:p w14:paraId="6B892288" w14:textId="77777777" w:rsidR="009355A4" w:rsidRPr="009355A4" w:rsidRDefault="009355A4" w:rsidP="009355A4">
      <w:pPr>
        <w:jc w:val="both"/>
        <w:rPr>
          <w:rFonts w:ascii="Times New Roman" w:hAnsi="Times New Roman" w:cs="Times New Roman"/>
          <w:b/>
          <w:bCs/>
        </w:rPr>
      </w:pPr>
      <w:r w:rsidRPr="009355A4">
        <w:rPr>
          <w:rFonts w:ascii="Times New Roman" w:hAnsi="Times New Roman" w:cs="Times New Roman"/>
          <w:b/>
          <w:bCs/>
        </w:rPr>
        <w:t>References</w:t>
      </w:r>
    </w:p>
    <w:p w14:paraId="06FE99E5" w14:textId="77777777" w:rsidR="009355A4" w:rsidRPr="009355A4" w:rsidRDefault="009355A4" w:rsidP="009355A4">
      <w:pPr>
        <w:pStyle w:val="ListParagraph"/>
        <w:numPr>
          <w:ilvl w:val="0"/>
          <w:numId w:val="1"/>
        </w:numPr>
        <w:jc w:val="both"/>
        <w:rPr>
          <w:rFonts w:ascii="Times New Roman" w:hAnsi="Times New Roman" w:cs="Times New Roman"/>
        </w:rPr>
      </w:pPr>
      <w:r w:rsidRPr="009355A4">
        <w:rPr>
          <w:rFonts w:ascii="Times New Roman" w:hAnsi="Times New Roman" w:cs="Times New Roman"/>
        </w:rPr>
        <w:t>Chavan, S. B., et al. (2016). Trees for life: Creating sustainable livelihood in Bundelkhand region of Central India. Current Science, 111(6), 994–1002.</w:t>
      </w:r>
    </w:p>
    <w:p w14:paraId="70629B9D" w14:textId="77777777" w:rsidR="009355A4" w:rsidRPr="009355A4" w:rsidRDefault="009355A4" w:rsidP="009355A4">
      <w:pPr>
        <w:pStyle w:val="ListParagraph"/>
        <w:numPr>
          <w:ilvl w:val="0"/>
          <w:numId w:val="1"/>
        </w:numPr>
        <w:jc w:val="both"/>
        <w:rPr>
          <w:rFonts w:ascii="Times New Roman" w:hAnsi="Times New Roman" w:cs="Times New Roman"/>
        </w:rPr>
      </w:pPr>
      <w:proofErr w:type="spellStart"/>
      <w:r w:rsidRPr="009355A4">
        <w:rPr>
          <w:rFonts w:ascii="Times New Roman" w:hAnsi="Times New Roman" w:cs="Times New Roman"/>
        </w:rPr>
        <w:t>GoR</w:t>
      </w:r>
      <w:proofErr w:type="spellEnd"/>
      <w:r w:rsidRPr="009355A4">
        <w:rPr>
          <w:rFonts w:ascii="Times New Roman" w:hAnsi="Times New Roman" w:cs="Times New Roman"/>
        </w:rPr>
        <w:t>. (2022). Desert Development Programme: Annual Report 2021–22. Government of Rajasthan.</w:t>
      </w:r>
    </w:p>
    <w:p w14:paraId="11F8C36F" w14:textId="77777777" w:rsidR="009355A4" w:rsidRPr="009355A4" w:rsidRDefault="009355A4" w:rsidP="009355A4">
      <w:pPr>
        <w:pStyle w:val="ListParagraph"/>
        <w:numPr>
          <w:ilvl w:val="0"/>
          <w:numId w:val="1"/>
        </w:numPr>
        <w:jc w:val="both"/>
        <w:rPr>
          <w:rFonts w:ascii="Times New Roman" w:hAnsi="Times New Roman" w:cs="Times New Roman"/>
        </w:rPr>
      </w:pPr>
      <w:r w:rsidRPr="009355A4">
        <w:rPr>
          <w:rFonts w:ascii="Times New Roman" w:hAnsi="Times New Roman" w:cs="Times New Roman"/>
        </w:rPr>
        <w:t>Gupta, A. K., et al. (2014). Bundelkhand Drought: Retrospective Analysis and Way Ahead. National Institute of Disaster Management, New Delhi.</w:t>
      </w:r>
    </w:p>
    <w:p w14:paraId="0F6E344C" w14:textId="77777777" w:rsidR="009355A4" w:rsidRPr="009355A4" w:rsidRDefault="009355A4" w:rsidP="009355A4">
      <w:pPr>
        <w:pStyle w:val="ListParagraph"/>
        <w:numPr>
          <w:ilvl w:val="0"/>
          <w:numId w:val="1"/>
        </w:numPr>
        <w:jc w:val="both"/>
        <w:rPr>
          <w:rFonts w:ascii="Times New Roman" w:hAnsi="Times New Roman" w:cs="Times New Roman"/>
        </w:rPr>
      </w:pPr>
      <w:r w:rsidRPr="009355A4">
        <w:rPr>
          <w:rFonts w:ascii="Times New Roman" w:hAnsi="Times New Roman" w:cs="Times New Roman"/>
        </w:rPr>
        <w:t>Gupta, S. (2019). From demanding to delivering development. Journal of South Asian Development, 9(2), 121–145.</w:t>
      </w:r>
    </w:p>
    <w:p w14:paraId="11D8F937" w14:textId="77777777" w:rsidR="009355A4" w:rsidRPr="009355A4" w:rsidRDefault="009355A4" w:rsidP="009355A4">
      <w:pPr>
        <w:pStyle w:val="ListParagraph"/>
        <w:numPr>
          <w:ilvl w:val="0"/>
          <w:numId w:val="1"/>
        </w:numPr>
        <w:jc w:val="both"/>
        <w:rPr>
          <w:rFonts w:ascii="Times New Roman" w:hAnsi="Times New Roman" w:cs="Times New Roman"/>
        </w:rPr>
      </w:pPr>
      <w:r w:rsidRPr="009355A4">
        <w:rPr>
          <w:rFonts w:ascii="Times New Roman" w:hAnsi="Times New Roman" w:cs="Times New Roman"/>
        </w:rPr>
        <w:t>ICAR. (2023). Annual Report 2022–23. Indian Council of Agricultural Research, New Delhi.</w:t>
      </w:r>
    </w:p>
    <w:p w14:paraId="4BDD6FE6" w14:textId="77777777" w:rsidR="009355A4" w:rsidRPr="009355A4" w:rsidRDefault="009355A4" w:rsidP="009355A4">
      <w:pPr>
        <w:pStyle w:val="ListParagraph"/>
        <w:numPr>
          <w:ilvl w:val="0"/>
          <w:numId w:val="1"/>
        </w:numPr>
        <w:jc w:val="both"/>
        <w:rPr>
          <w:rFonts w:ascii="Times New Roman" w:hAnsi="Times New Roman" w:cs="Times New Roman"/>
        </w:rPr>
      </w:pPr>
      <w:r w:rsidRPr="009355A4">
        <w:rPr>
          <w:rFonts w:ascii="Times New Roman" w:hAnsi="Times New Roman" w:cs="Times New Roman"/>
        </w:rPr>
        <w:t>ILO. (2020). Migrant Workers and the COVID-19 Pandemic. International Labour Organization, Geneva.</w:t>
      </w:r>
    </w:p>
    <w:p w14:paraId="091A97E2" w14:textId="77777777" w:rsidR="009355A4" w:rsidRPr="009355A4" w:rsidRDefault="009355A4" w:rsidP="009355A4">
      <w:pPr>
        <w:pStyle w:val="ListParagraph"/>
        <w:numPr>
          <w:ilvl w:val="0"/>
          <w:numId w:val="1"/>
        </w:numPr>
        <w:jc w:val="both"/>
        <w:rPr>
          <w:rFonts w:ascii="Times New Roman" w:hAnsi="Times New Roman" w:cs="Times New Roman"/>
        </w:rPr>
      </w:pPr>
      <w:r w:rsidRPr="009355A4">
        <w:rPr>
          <w:rFonts w:ascii="Times New Roman" w:hAnsi="Times New Roman" w:cs="Times New Roman"/>
        </w:rPr>
        <w:lastRenderedPageBreak/>
        <w:t>Kumar, S., et al. (2024). Assessing millet cultivation practices in Bundelkhand. Journal of Experimental Agriculture International, 46(3), 45–56.</w:t>
      </w:r>
    </w:p>
    <w:p w14:paraId="5C417DF6" w14:textId="77777777" w:rsidR="009355A4" w:rsidRPr="009355A4" w:rsidRDefault="009355A4" w:rsidP="009355A4">
      <w:pPr>
        <w:pStyle w:val="ListParagraph"/>
        <w:numPr>
          <w:ilvl w:val="0"/>
          <w:numId w:val="1"/>
        </w:numPr>
        <w:jc w:val="both"/>
        <w:rPr>
          <w:rFonts w:ascii="Times New Roman" w:hAnsi="Times New Roman" w:cs="Times New Roman"/>
        </w:rPr>
      </w:pPr>
      <w:r w:rsidRPr="009355A4">
        <w:rPr>
          <w:rFonts w:ascii="Times New Roman" w:hAnsi="Times New Roman" w:cs="Times New Roman"/>
        </w:rPr>
        <w:t>Mander, H., &amp; Sahgal, G. (2010). Internal Migration in India: Distress and Opportunities. Dan Church India.</w:t>
      </w:r>
    </w:p>
    <w:p w14:paraId="578A1D6F" w14:textId="77777777" w:rsidR="009355A4" w:rsidRPr="009355A4" w:rsidRDefault="009355A4" w:rsidP="009355A4">
      <w:pPr>
        <w:pStyle w:val="ListParagraph"/>
        <w:numPr>
          <w:ilvl w:val="0"/>
          <w:numId w:val="1"/>
        </w:numPr>
        <w:jc w:val="both"/>
        <w:rPr>
          <w:rFonts w:ascii="Times New Roman" w:hAnsi="Times New Roman" w:cs="Times New Roman"/>
        </w:rPr>
      </w:pPr>
      <w:r w:rsidRPr="009355A4">
        <w:rPr>
          <w:rFonts w:ascii="Times New Roman" w:hAnsi="Times New Roman" w:cs="Times New Roman"/>
        </w:rPr>
        <w:t>Mondal, B., et al. (2016). Institutional arrangements for watershed development in Bundelkhand. International Journal of Water Resources Development, 32(2), 219–231.</w:t>
      </w:r>
    </w:p>
    <w:p w14:paraId="689807B5" w14:textId="77777777" w:rsidR="009355A4" w:rsidRPr="009355A4" w:rsidRDefault="009355A4" w:rsidP="009355A4">
      <w:pPr>
        <w:pStyle w:val="ListParagraph"/>
        <w:numPr>
          <w:ilvl w:val="0"/>
          <w:numId w:val="1"/>
        </w:numPr>
        <w:jc w:val="both"/>
        <w:rPr>
          <w:rFonts w:ascii="Times New Roman" w:hAnsi="Times New Roman" w:cs="Times New Roman"/>
        </w:rPr>
      </w:pPr>
      <w:r w:rsidRPr="009355A4">
        <w:rPr>
          <w:rFonts w:ascii="Times New Roman" w:hAnsi="Times New Roman" w:cs="Times New Roman"/>
        </w:rPr>
        <w:t>MoRD. (2023). MGNREGA Annual Report 2022–23. Ministry of Rural Development, Government of India.</w:t>
      </w:r>
    </w:p>
    <w:p w14:paraId="2B6CA989" w14:textId="77777777" w:rsidR="009355A4" w:rsidRPr="009355A4" w:rsidRDefault="009355A4" w:rsidP="009355A4">
      <w:pPr>
        <w:pStyle w:val="ListParagraph"/>
        <w:numPr>
          <w:ilvl w:val="0"/>
          <w:numId w:val="1"/>
        </w:numPr>
        <w:jc w:val="both"/>
        <w:rPr>
          <w:rFonts w:ascii="Times New Roman" w:hAnsi="Times New Roman" w:cs="Times New Roman"/>
        </w:rPr>
      </w:pPr>
      <w:proofErr w:type="spellStart"/>
      <w:r w:rsidRPr="009355A4">
        <w:rPr>
          <w:rFonts w:ascii="Times New Roman" w:hAnsi="Times New Roman" w:cs="Times New Roman"/>
        </w:rPr>
        <w:t>Orimoloye</w:t>
      </w:r>
      <w:proofErr w:type="spellEnd"/>
      <w:r w:rsidRPr="009355A4">
        <w:rPr>
          <w:rFonts w:ascii="Times New Roman" w:hAnsi="Times New Roman" w:cs="Times New Roman"/>
        </w:rPr>
        <w:t>, I. R. (2022). Agricultural drought and its impacts: Decision-support for food security. Frontiers in Sustainable Food Systems.</w:t>
      </w:r>
    </w:p>
    <w:p w14:paraId="02B0AD23" w14:textId="77777777" w:rsidR="009355A4" w:rsidRPr="009355A4" w:rsidRDefault="009355A4" w:rsidP="009355A4">
      <w:pPr>
        <w:pStyle w:val="ListParagraph"/>
        <w:numPr>
          <w:ilvl w:val="0"/>
          <w:numId w:val="1"/>
        </w:numPr>
        <w:jc w:val="both"/>
        <w:rPr>
          <w:rFonts w:ascii="Times New Roman" w:hAnsi="Times New Roman" w:cs="Times New Roman"/>
        </w:rPr>
      </w:pPr>
      <w:proofErr w:type="spellStart"/>
      <w:r w:rsidRPr="009355A4">
        <w:rPr>
          <w:rFonts w:ascii="Times New Roman" w:hAnsi="Times New Roman" w:cs="Times New Roman"/>
        </w:rPr>
        <w:t>Samaddhar</w:t>
      </w:r>
      <w:proofErr w:type="spellEnd"/>
      <w:r w:rsidRPr="009355A4">
        <w:rPr>
          <w:rFonts w:ascii="Times New Roman" w:hAnsi="Times New Roman" w:cs="Times New Roman"/>
        </w:rPr>
        <w:t>, R. (2020). The Marginal Nation: Transborder Migration in South Asia. Sage Publications.</w:t>
      </w:r>
    </w:p>
    <w:p w14:paraId="4EEECC50" w14:textId="77777777" w:rsidR="009355A4" w:rsidRPr="009355A4" w:rsidRDefault="009355A4" w:rsidP="009355A4">
      <w:pPr>
        <w:pStyle w:val="ListParagraph"/>
        <w:numPr>
          <w:ilvl w:val="0"/>
          <w:numId w:val="1"/>
        </w:numPr>
        <w:jc w:val="both"/>
        <w:rPr>
          <w:rFonts w:ascii="Times New Roman" w:hAnsi="Times New Roman" w:cs="Times New Roman"/>
        </w:rPr>
      </w:pPr>
      <w:r w:rsidRPr="009355A4">
        <w:rPr>
          <w:rFonts w:ascii="Times New Roman" w:hAnsi="Times New Roman" w:cs="Times New Roman"/>
        </w:rPr>
        <w:t>Sharma, P. K. (2021). Rural development strategies in Bundelkhand. American Journal of Rural Development, 6(3), 104–108.</w:t>
      </w:r>
    </w:p>
    <w:p w14:paraId="3A210689" w14:textId="77777777" w:rsidR="009355A4" w:rsidRPr="009355A4" w:rsidRDefault="009355A4" w:rsidP="009355A4">
      <w:pPr>
        <w:pStyle w:val="ListParagraph"/>
        <w:numPr>
          <w:ilvl w:val="0"/>
          <w:numId w:val="1"/>
        </w:numPr>
        <w:jc w:val="both"/>
        <w:rPr>
          <w:rFonts w:ascii="Times New Roman" w:hAnsi="Times New Roman" w:cs="Times New Roman"/>
        </w:rPr>
      </w:pPr>
      <w:r w:rsidRPr="009355A4">
        <w:rPr>
          <w:rFonts w:ascii="Times New Roman" w:hAnsi="Times New Roman" w:cs="Times New Roman"/>
        </w:rPr>
        <w:t xml:space="preserve">Sharma, R., &amp; Bhaduri, A. (2024). Migration landscape of the Bundelkhand region. </w:t>
      </w:r>
      <w:proofErr w:type="spellStart"/>
      <w:r w:rsidRPr="009355A4">
        <w:rPr>
          <w:rFonts w:ascii="Times New Roman" w:hAnsi="Times New Roman" w:cs="Times New Roman"/>
        </w:rPr>
        <w:t>GeoJournal</w:t>
      </w:r>
      <w:proofErr w:type="spellEnd"/>
      <w:r w:rsidRPr="009355A4">
        <w:rPr>
          <w:rFonts w:ascii="Times New Roman" w:hAnsi="Times New Roman" w:cs="Times New Roman"/>
        </w:rPr>
        <w:t>, 89(2), 45–60.</w:t>
      </w:r>
    </w:p>
    <w:p w14:paraId="20048EB6" w14:textId="77777777" w:rsidR="009355A4" w:rsidRPr="009355A4" w:rsidRDefault="009355A4" w:rsidP="009355A4">
      <w:pPr>
        <w:pStyle w:val="ListParagraph"/>
        <w:numPr>
          <w:ilvl w:val="0"/>
          <w:numId w:val="1"/>
        </w:numPr>
        <w:jc w:val="both"/>
        <w:rPr>
          <w:rFonts w:ascii="Times New Roman" w:hAnsi="Times New Roman" w:cs="Times New Roman"/>
        </w:rPr>
      </w:pPr>
      <w:r w:rsidRPr="009355A4">
        <w:rPr>
          <w:rFonts w:ascii="Times New Roman" w:hAnsi="Times New Roman" w:cs="Times New Roman"/>
        </w:rPr>
        <w:t>Singh, A. (2018). Explaining the plight of Bundelkhand: Drought, suicide, and governance. Bundelkhand Research Portal.</w:t>
      </w:r>
    </w:p>
    <w:p w14:paraId="0B569159" w14:textId="3F421557" w:rsidR="006A2801" w:rsidRPr="00F92539" w:rsidRDefault="009355A4" w:rsidP="009355A4">
      <w:pPr>
        <w:pStyle w:val="ListParagraph"/>
        <w:numPr>
          <w:ilvl w:val="0"/>
          <w:numId w:val="1"/>
        </w:numPr>
        <w:jc w:val="both"/>
        <w:rPr>
          <w:rFonts w:ascii="Times New Roman" w:hAnsi="Times New Roman" w:cs="Times New Roman"/>
        </w:rPr>
      </w:pPr>
      <w:r w:rsidRPr="009355A4">
        <w:rPr>
          <w:rFonts w:ascii="Times New Roman" w:hAnsi="Times New Roman" w:cs="Times New Roman"/>
        </w:rPr>
        <w:t>Yadav, R. K. (2024). The climate refugees of Bundelkhand. In K. K. Sharma et al. (Eds.), Climate Change and Livelihoods. Springer.</w:t>
      </w:r>
    </w:p>
    <w:sectPr w:rsidR="006A2801" w:rsidRPr="00F9253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1FA9A" w14:textId="77777777" w:rsidR="00CD2D71" w:rsidRDefault="00CD2D71" w:rsidP="00B44564">
      <w:pPr>
        <w:spacing w:after="0" w:line="240" w:lineRule="auto"/>
      </w:pPr>
      <w:r>
        <w:separator/>
      </w:r>
    </w:p>
  </w:endnote>
  <w:endnote w:type="continuationSeparator" w:id="0">
    <w:p w14:paraId="1C15F755" w14:textId="77777777" w:rsidR="00CD2D71" w:rsidRDefault="00CD2D71" w:rsidP="00B44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1B051" w14:textId="77777777" w:rsidR="00502EE2" w:rsidRDefault="00502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87296" w14:textId="77777777" w:rsidR="00502EE2" w:rsidRDefault="00502E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9FAC3" w14:textId="77777777" w:rsidR="00502EE2" w:rsidRDefault="00502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A3A65" w14:textId="77777777" w:rsidR="00CD2D71" w:rsidRDefault="00CD2D71" w:rsidP="00B44564">
      <w:pPr>
        <w:spacing w:after="0" w:line="240" w:lineRule="auto"/>
      </w:pPr>
      <w:r>
        <w:separator/>
      </w:r>
    </w:p>
  </w:footnote>
  <w:footnote w:type="continuationSeparator" w:id="0">
    <w:p w14:paraId="0DA73439" w14:textId="77777777" w:rsidR="00CD2D71" w:rsidRDefault="00CD2D71" w:rsidP="00B44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C9A5" w14:textId="4355BB7C" w:rsidR="00502EE2" w:rsidRDefault="00502EE2">
    <w:pPr>
      <w:pStyle w:val="Header"/>
    </w:pPr>
    <w:r>
      <w:rPr>
        <w:noProof/>
      </w:rPr>
      <w:pict w14:anchorId="2E9FCB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497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7B28C" w14:textId="1B4898F6" w:rsidR="00502EE2" w:rsidRDefault="00502EE2">
    <w:pPr>
      <w:pStyle w:val="Header"/>
    </w:pPr>
    <w:r>
      <w:rPr>
        <w:noProof/>
      </w:rPr>
      <w:pict w14:anchorId="0E5CD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497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D67E4" w14:textId="58F0A41E" w:rsidR="00502EE2" w:rsidRDefault="00502EE2">
    <w:pPr>
      <w:pStyle w:val="Header"/>
    </w:pPr>
    <w:r>
      <w:rPr>
        <w:noProof/>
      </w:rPr>
      <w:pict w14:anchorId="05C105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497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232F5"/>
    <w:multiLevelType w:val="hybridMultilevel"/>
    <w:tmpl w:val="300805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56228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A4"/>
    <w:rsid w:val="000D79BB"/>
    <w:rsid w:val="0017751A"/>
    <w:rsid w:val="001F3B23"/>
    <w:rsid w:val="00502EE2"/>
    <w:rsid w:val="00533284"/>
    <w:rsid w:val="00640F52"/>
    <w:rsid w:val="006A2801"/>
    <w:rsid w:val="00767A2F"/>
    <w:rsid w:val="00791FBB"/>
    <w:rsid w:val="00854A06"/>
    <w:rsid w:val="009355A4"/>
    <w:rsid w:val="00990D03"/>
    <w:rsid w:val="00B44564"/>
    <w:rsid w:val="00CD2D71"/>
    <w:rsid w:val="00E55A6A"/>
    <w:rsid w:val="00EB5876"/>
    <w:rsid w:val="00EC0719"/>
    <w:rsid w:val="00F925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540C2"/>
  <w15:chartTrackingRefBased/>
  <w15:docId w15:val="{7062AE82-B345-4697-B348-F131345F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5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55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55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55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55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55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5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5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5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5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5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5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5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55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55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5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5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5A4"/>
    <w:rPr>
      <w:rFonts w:eastAsiaTheme="majorEastAsia" w:cstheme="majorBidi"/>
      <w:color w:val="272727" w:themeColor="text1" w:themeTint="D8"/>
    </w:rPr>
  </w:style>
  <w:style w:type="paragraph" w:styleId="Title">
    <w:name w:val="Title"/>
    <w:basedOn w:val="Normal"/>
    <w:next w:val="Normal"/>
    <w:link w:val="TitleChar"/>
    <w:uiPriority w:val="10"/>
    <w:qFormat/>
    <w:rsid w:val="009355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5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5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5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5A4"/>
    <w:pPr>
      <w:spacing w:before="160"/>
      <w:jc w:val="center"/>
    </w:pPr>
    <w:rPr>
      <w:i/>
      <w:iCs/>
      <w:color w:val="404040" w:themeColor="text1" w:themeTint="BF"/>
    </w:rPr>
  </w:style>
  <w:style w:type="character" w:customStyle="1" w:styleId="QuoteChar">
    <w:name w:val="Quote Char"/>
    <w:basedOn w:val="DefaultParagraphFont"/>
    <w:link w:val="Quote"/>
    <w:uiPriority w:val="29"/>
    <w:rsid w:val="009355A4"/>
    <w:rPr>
      <w:i/>
      <w:iCs/>
      <w:color w:val="404040" w:themeColor="text1" w:themeTint="BF"/>
    </w:rPr>
  </w:style>
  <w:style w:type="paragraph" w:styleId="ListParagraph">
    <w:name w:val="List Paragraph"/>
    <w:basedOn w:val="Normal"/>
    <w:uiPriority w:val="34"/>
    <w:qFormat/>
    <w:rsid w:val="009355A4"/>
    <w:pPr>
      <w:ind w:left="720"/>
      <w:contextualSpacing/>
    </w:pPr>
  </w:style>
  <w:style w:type="character" w:styleId="IntenseEmphasis">
    <w:name w:val="Intense Emphasis"/>
    <w:basedOn w:val="DefaultParagraphFont"/>
    <w:uiPriority w:val="21"/>
    <w:qFormat/>
    <w:rsid w:val="009355A4"/>
    <w:rPr>
      <w:i/>
      <w:iCs/>
      <w:color w:val="0F4761" w:themeColor="accent1" w:themeShade="BF"/>
    </w:rPr>
  </w:style>
  <w:style w:type="paragraph" w:styleId="IntenseQuote">
    <w:name w:val="Intense Quote"/>
    <w:basedOn w:val="Normal"/>
    <w:next w:val="Normal"/>
    <w:link w:val="IntenseQuoteChar"/>
    <w:uiPriority w:val="30"/>
    <w:qFormat/>
    <w:rsid w:val="009355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55A4"/>
    <w:rPr>
      <w:i/>
      <w:iCs/>
      <w:color w:val="0F4761" w:themeColor="accent1" w:themeShade="BF"/>
    </w:rPr>
  </w:style>
  <w:style w:type="character" w:styleId="IntenseReference">
    <w:name w:val="Intense Reference"/>
    <w:basedOn w:val="DefaultParagraphFont"/>
    <w:uiPriority w:val="32"/>
    <w:qFormat/>
    <w:rsid w:val="009355A4"/>
    <w:rPr>
      <w:b/>
      <w:bCs/>
      <w:smallCaps/>
      <w:color w:val="0F4761" w:themeColor="accent1" w:themeShade="BF"/>
      <w:spacing w:val="5"/>
    </w:rPr>
  </w:style>
  <w:style w:type="character" w:styleId="Hyperlink">
    <w:name w:val="Hyperlink"/>
    <w:basedOn w:val="DefaultParagraphFont"/>
    <w:uiPriority w:val="99"/>
    <w:unhideWhenUsed/>
    <w:rsid w:val="00B44564"/>
    <w:rPr>
      <w:color w:val="467886" w:themeColor="hyperlink"/>
      <w:u w:val="single"/>
    </w:rPr>
  </w:style>
  <w:style w:type="character" w:styleId="UnresolvedMention">
    <w:name w:val="Unresolved Mention"/>
    <w:basedOn w:val="DefaultParagraphFont"/>
    <w:uiPriority w:val="99"/>
    <w:semiHidden/>
    <w:unhideWhenUsed/>
    <w:rsid w:val="00B44564"/>
    <w:rPr>
      <w:color w:val="605E5C"/>
      <w:shd w:val="clear" w:color="auto" w:fill="E1DFDD"/>
    </w:rPr>
  </w:style>
  <w:style w:type="paragraph" w:styleId="Header">
    <w:name w:val="header"/>
    <w:basedOn w:val="Normal"/>
    <w:link w:val="HeaderChar"/>
    <w:uiPriority w:val="99"/>
    <w:unhideWhenUsed/>
    <w:rsid w:val="00B44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564"/>
  </w:style>
  <w:style w:type="paragraph" w:styleId="Footer">
    <w:name w:val="footer"/>
    <w:basedOn w:val="Normal"/>
    <w:link w:val="FooterChar"/>
    <w:uiPriority w:val="99"/>
    <w:unhideWhenUsed/>
    <w:rsid w:val="00B44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Kumar Ojha</dc:creator>
  <cp:keywords/>
  <dc:description/>
  <cp:lastModifiedBy>Editor-22</cp:lastModifiedBy>
  <cp:revision>10</cp:revision>
  <dcterms:created xsi:type="dcterms:W3CDTF">2025-06-18T20:14:00Z</dcterms:created>
  <dcterms:modified xsi:type="dcterms:W3CDTF">2025-06-24T07:55:00Z</dcterms:modified>
</cp:coreProperties>
</file>