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6CCFAB" w14:textId="77777777" w:rsidR="00A73117" w:rsidRPr="00A73117" w:rsidRDefault="00A73117" w:rsidP="00A73117">
      <w:pPr>
        <w:jc w:val="right"/>
        <w:rPr>
          <w:rFonts w:ascii="Arial" w:eastAsia="Times New Roman" w:hAnsi="Arial" w:cs="Arial"/>
          <w:b/>
          <w:bCs/>
          <w:i/>
          <w:iCs/>
          <w:sz w:val="36"/>
          <w:szCs w:val="36"/>
          <w:u w:val="single"/>
          <w:lang w:val="en-US" w:eastAsia="en-ZW"/>
        </w:rPr>
      </w:pPr>
      <w:r w:rsidRPr="00A73117">
        <w:rPr>
          <w:rFonts w:ascii="Arial" w:eastAsia="Times New Roman" w:hAnsi="Arial" w:cs="Arial"/>
          <w:b/>
          <w:bCs/>
          <w:i/>
          <w:iCs/>
          <w:sz w:val="36"/>
          <w:szCs w:val="36"/>
          <w:u w:val="single"/>
          <w:lang w:val="en-US" w:eastAsia="en-ZW"/>
        </w:rPr>
        <w:t>Original Research Article</w:t>
      </w:r>
    </w:p>
    <w:p w14:paraId="153DD7E5" w14:textId="7219CCC2" w:rsidR="00C91D4C" w:rsidRPr="00812C01" w:rsidRDefault="008C2E22" w:rsidP="00812C01">
      <w:pPr>
        <w:jc w:val="right"/>
        <w:rPr>
          <w:rFonts w:ascii="Arial" w:eastAsia="Times New Roman" w:hAnsi="Arial" w:cs="Arial"/>
          <w:b/>
          <w:bCs/>
          <w:i/>
          <w:sz w:val="36"/>
          <w:szCs w:val="36"/>
          <w:lang w:val="en-ZW" w:eastAsia="en-ZW"/>
        </w:rPr>
      </w:pPr>
      <w:r w:rsidRPr="00812C01">
        <w:rPr>
          <w:rFonts w:ascii="Arial" w:eastAsia="Times New Roman" w:hAnsi="Arial" w:cs="Arial"/>
          <w:b/>
          <w:bCs/>
          <w:i/>
          <w:sz w:val="36"/>
          <w:szCs w:val="36"/>
          <w:lang w:val="en-ZW" w:eastAsia="en-ZW"/>
        </w:rPr>
        <w:t>V</w:t>
      </w:r>
      <w:r w:rsidR="002E3F77">
        <w:rPr>
          <w:rFonts w:ascii="Arial" w:eastAsia="Times New Roman" w:hAnsi="Arial" w:cs="Arial"/>
          <w:b/>
          <w:bCs/>
          <w:i/>
          <w:sz w:val="36"/>
          <w:szCs w:val="36"/>
          <w:lang w:val="en-ZW" w:eastAsia="en-ZW"/>
        </w:rPr>
        <w:t>a</w:t>
      </w:r>
      <w:r w:rsidRPr="00812C01">
        <w:rPr>
          <w:rFonts w:ascii="Arial" w:eastAsia="Times New Roman" w:hAnsi="Arial" w:cs="Arial"/>
          <w:b/>
          <w:bCs/>
          <w:i/>
          <w:sz w:val="36"/>
          <w:szCs w:val="36"/>
          <w:lang w:val="en-ZW" w:eastAsia="en-ZW"/>
        </w:rPr>
        <w:t xml:space="preserve">chellia </w:t>
      </w:r>
      <w:r w:rsidR="000D7BA3" w:rsidRPr="00812C01">
        <w:rPr>
          <w:rFonts w:ascii="Arial" w:eastAsia="Times New Roman" w:hAnsi="Arial" w:cs="Arial"/>
          <w:b/>
          <w:bCs/>
          <w:i/>
          <w:sz w:val="36"/>
          <w:szCs w:val="36"/>
          <w:lang w:val="en-ZW" w:eastAsia="en-ZW"/>
        </w:rPr>
        <w:t>nilotica mediated</w:t>
      </w:r>
      <w:r w:rsidRPr="00812C01">
        <w:rPr>
          <w:rFonts w:ascii="Arial" w:eastAsia="Times New Roman" w:hAnsi="Arial" w:cs="Arial"/>
          <w:b/>
          <w:bCs/>
          <w:i/>
          <w:sz w:val="36"/>
          <w:szCs w:val="36"/>
          <w:lang w:val="en-ZW" w:eastAsia="en-ZW"/>
        </w:rPr>
        <w:t xml:space="preserve"> biosynthesis of Zinc oxide nanoparticles, efficacy and safety evaluation</w:t>
      </w:r>
    </w:p>
    <w:p w14:paraId="7C4454FC" w14:textId="77777777" w:rsidR="00987637" w:rsidRPr="00987637" w:rsidRDefault="00987637" w:rsidP="00987637">
      <w:pPr>
        <w:spacing w:after="200" w:line="276" w:lineRule="auto"/>
        <w:rPr>
          <w:b/>
          <w:bCs/>
        </w:rPr>
      </w:pPr>
    </w:p>
    <w:p w14:paraId="4F1A5DA6" w14:textId="77777777" w:rsidR="00382DB5" w:rsidRPr="00216FEB" w:rsidRDefault="00382DB5" w:rsidP="0044237E">
      <w:pPr>
        <w:pStyle w:val="Footer"/>
        <w:rPr>
          <w:rStyle w:val="Hyperlink"/>
          <w:rFonts w:ascii="Arial" w:eastAsiaTheme="majorEastAsia" w:hAnsi="Arial" w:cs="Arial"/>
          <w:sz w:val="20"/>
          <w:szCs w:val="20"/>
        </w:rPr>
      </w:pPr>
    </w:p>
    <w:p w14:paraId="77B29A40" w14:textId="77777777" w:rsidR="0044237E" w:rsidRDefault="0044237E" w:rsidP="0044237E">
      <w:pPr>
        <w:spacing w:after="0" w:line="240" w:lineRule="auto"/>
        <w:rPr>
          <w:rStyle w:val="Hyperlink"/>
          <w:rFonts w:ascii="Arial" w:eastAsiaTheme="majorEastAsia" w:hAnsi="Arial" w:cs="Arial"/>
          <w:sz w:val="24"/>
          <w:szCs w:val="24"/>
          <w:lang w:val="en-ZW" w:eastAsia="en-ZW"/>
        </w:rPr>
      </w:pPr>
      <w:r w:rsidRPr="00216FEB">
        <w:rPr>
          <w:rStyle w:val="Hyperlink"/>
          <w:rFonts w:ascii="Arial" w:eastAsiaTheme="majorEastAsia" w:hAnsi="Arial" w:cs="Arial"/>
          <w:sz w:val="20"/>
          <w:szCs w:val="20"/>
        </w:rPr>
        <w:br w:type="page"/>
      </w:r>
      <w:bookmarkStart w:id="0" w:name="_GoBack"/>
      <w:bookmarkEnd w:id="0"/>
    </w:p>
    <w:p w14:paraId="189D1E7B" w14:textId="77777777" w:rsidR="00C91D4C" w:rsidRDefault="00C91D4C">
      <w:pPr>
        <w:contextualSpacing/>
      </w:pPr>
    </w:p>
    <w:p w14:paraId="5EA70F33" w14:textId="77777777" w:rsidR="00C91D4C" w:rsidRDefault="008C2E22">
      <w:pPr>
        <w:autoSpaceDE w:val="0"/>
        <w:autoSpaceDN w:val="0"/>
        <w:adjustRightInd w:val="0"/>
        <w:jc w:val="both"/>
        <w:rPr>
          <w:rFonts w:ascii="Arial" w:hAnsi="Arial" w:cs="Arial"/>
          <w:b/>
          <w:caps/>
          <w:szCs w:val="20"/>
          <w:lang w:val="en-US"/>
        </w:rPr>
      </w:pPr>
      <w:r>
        <w:rPr>
          <w:rFonts w:ascii="Arial" w:hAnsi="Arial" w:cs="Arial"/>
          <w:b/>
          <w:caps/>
          <w:szCs w:val="20"/>
          <w:lang w:val="en-US"/>
        </w:rPr>
        <w:t xml:space="preserve">Abstract </w:t>
      </w:r>
    </w:p>
    <w:p w14:paraId="49FF1269" w14:textId="77777777" w:rsidR="00C91D4C" w:rsidRDefault="00C91D4C">
      <w:pPr>
        <w:autoSpaceDE w:val="0"/>
        <w:autoSpaceDN w:val="0"/>
        <w:adjustRightInd w:val="0"/>
        <w:jc w:val="both"/>
        <w:rPr>
          <w:rFonts w:ascii="Arial" w:hAnsi="Arial" w:cs="Arial"/>
          <w:b/>
          <w:caps/>
          <w:szCs w:val="20"/>
          <w:lang w:val="en-US"/>
        </w:rPr>
      </w:pPr>
    </w:p>
    <w:p w14:paraId="771D7306" w14:textId="77777777" w:rsidR="00044032" w:rsidRDefault="00044032" w:rsidP="00162290">
      <w:pPr>
        <w:pBdr>
          <w:top w:val="single" w:sz="4" w:space="1" w:color="auto"/>
          <w:left w:val="single" w:sz="4" w:space="4" w:color="auto"/>
          <w:bottom w:val="single" w:sz="4" w:space="1" w:color="auto"/>
          <w:right w:val="single" w:sz="4" w:space="4" w:color="auto"/>
        </w:pBdr>
        <w:spacing w:line="240" w:lineRule="auto"/>
        <w:contextualSpacing/>
        <w:jc w:val="both"/>
        <w:rPr>
          <w:rFonts w:ascii="Arial" w:hAnsi="Arial" w:cs="Arial"/>
          <w:sz w:val="20"/>
          <w:szCs w:val="20"/>
          <w:lang w:val="en-ZW"/>
        </w:rPr>
      </w:pPr>
    </w:p>
    <w:p w14:paraId="7BA98BDA" w14:textId="1141515F" w:rsidR="00C91D4C" w:rsidRPr="00254000" w:rsidRDefault="00E807B6">
      <w:pPr>
        <w:pBdr>
          <w:top w:val="single" w:sz="4" w:space="1" w:color="auto"/>
          <w:left w:val="single" w:sz="4" w:space="4" w:color="auto"/>
          <w:bottom w:val="single" w:sz="4" w:space="1" w:color="auto"/>
          <w:right w:val="single" w:sz="4" w:space="4" w:color="auto"/>
        </w:pBdr>
        <w:spacing w:line="240" w:lineRule="auto"/>
        <w:contextualSpacing/>
        <w:jc w:val="both"/>
        <w:rPr>
          <w:rFonts w:ascii="Arial" w:hAnsi="Arial" w:cs="Arial"/>
          <w:bCs/>
          <w:sz w:val="20"/>
          <w:szCs w:val="20"/>
        </w:rPr>
      </w:pPr>
      <w:r w:rsidRPr="00254000">
        <w:rPr>
          <w:rFonts w:ascii="Arial" w:eastAsia="Calibri" w:hAnsi="Arial" w:cs="Arial"/>
          <w:bCs/>
          <w:sz w:val="20"/>
          <w:szCs w:val="20"/>
          <w:lang w:val="en-ZW"/>
        </w:rPr>
        <w:t>Bio</w:t>
      </w:r>
      <w:r w:rsidR="00254000">
        <w:rPr>
          <w:rFonts w:ascii="Arial" w:eastAsia="Calibri" w:hAnsi="Arial" w:cs="Arial"/>
          <w:bCs/>
          <w:sz w:val="20"/>
          <w:szCs w:val="20"/>
          <w:lang w:val="en-ZW"/>
        </w:rPr>
        <w:t>genic synthesis</w:t>
      </w:r>
      <w:r w:rsidRPr="00254000">
        <w:rPr>
          <w:rFonts w:ascii="Arial" w:eastAsia="Calibri" w:hAnsi="Arial" w:cs="Arial"/>
          <w:bCs/>
          <w:sz w:val="20"/>
          <w:szCs w:val="20"/>
          <w:lang w:val="en-ZW"/>
        </w:rPr>
        <w:t xml:space="preserve"> of </w:t>
      </w:r>
      <w:r w:rsidR="00254000">
        <w:rPr>
          <w:rFonts w:ascii="Arial" w:eastAsia="Calibri" w:hAnsi="Arial" w:cs="Arial"/>
          <w:bCs/>
          <w:sz w:val="20"/>
          <w:szCs w:val="20"/>
          <w:lang w:val="en-ZW"/>
        </w:rPr>
        <w:t>nanoplatforms</w:t>
      </w:r>
      <w:r w:rsidRPr="00254000">
        <w:rPr>
          <w:rFonts w:ascii="Arial" w:eastAsia="Calibri" w:hAnsi="Arial" w:cs="Arial"/>
          <w:bCs/>
          <w:sz w:val="20"/>
          <w:szCs w:val="20"/>
          <w:lang w:val="en-ZW"/>
        </w:rPr>
        <w:t xml:space="preserve"> from metallic salts using </w:t>
      </w:r>
      <w:r w:rsidR="00254000">
        <w:rPr>
          <w:rFonts w:ascii="Arial" w:eastAsia="Calibri" w:hAnsi="Arial" w:cs="Arial"/>
          <w:bCs/>
          <w:sz w:val="20"/>
          <w:szCs w:val="20"/>
          <w:lang w:val="en-ZW"/>
        </w:rPr>
        <w:t>secondary metabolites from</w:t>
      </w:r>
      <w:r w:rsidRPr="00254000">
        <w:rPr>
          <w:rFonts w:ascii="Arial" w:eastAsia="Calibri" w:hAnsi="Arial" w:cs="Arial"/>
          <w:bCs/>
          <w:sz w:val="20"/>
          <w:szCs w:val="20"/>
          <w:lang w:val="en-ZW"/>
        </w:rPr>
        <w:t xml:space="preserve"> plant extracts provides an ecofriendly, easily scalable one pot fabrication of novel biomaterials. Among the nanomaterials that can be obtained through green synthesis, ZnONPs have shown considerable potential in the management of</w:t>
      </w:r>
      <w:r w:rsidR="00254000">
        <w:rPr>
          <w:rFonts w:ascii="Arial" w:eastAsia="Calibri" w:hAnsi="Arial" w:cs="Arial"/>
          <w:bCs/>
          <w:sz w:val="20"/>
          <w:szCs w:val="20"/>
          <w:lang w:val="en-ZW"/>
        </w:rPr>
        <w:t xml:space="preserve"> symptoms of</w:t>
      </w:r>
      <w:r w:rsidRPr="00254000">
        <w:rPr>
          <w:rFonts w:ascii="Arial" w:eastAsia="Calibri" w:hAnsi="Arial" w:cs="Arial"/>
          <w:bCs/>
          <w:sz w:val="20"/>
          <w:szCs w:val="20"/>
          <w:lang w:val="en-ZW"/>
        </w:rPr>
        <w:t xml:space="preserve"> </w:t>
      </w:r>
      <w:r w:rsidR="00F60ED2" w:rsidRPr="00254000">
        <w:rPr>
          <w:rFonts w:ascii="Arial" w:eastAsia="Calibri" w:hAnsi="Arial" w:cs="Arial"/>
          <w:bCs/>
          <w:sz w:val="20"/>
          <w:szCs w:val="20"/>
          <w:lang w:val="en-ZW"/>
        </w:rPr>
        <w:t xml:space="preserve">cancer </w:t>
      </w:r>
      <w:r w:rsidRPr="00254000">
        <w:rPr>
          <w:rFonts w:ascii="Arial" w:eastAsia="Calibri" w:hAnsi="Arial" w:cs="Arial"/>
          <w:bCs/>
          <w:sz w:val="20"/>
          <w:szCs w:val="20"/>
          <w:lang w:val="en-ZW"/>
        </w:rPr>
        <w:t>which is a worldwide scourge</w:t>
      </w:r>
      <w:r w:rsidR="00F60ED2" w:rsidRPr="00254000">
        <w:rPr>
          <w:rFonts w:ascii="Arial" w:eastAsia="Calibri" w:hAnsi="Arial" w:cs="Arial"/>
          <w:bCs/>
          <w:sz w:val="20"/>
          <w:szCs w:val="20"/>
          <w:lang w:val="en-ZW"/>
        </w:rPr>
        <w:t xml:space="preserve">. </w:t>
      </w:r>
      <w:r w:rsidRPr="00254000">
        <w:rPr>
          <w:rFonts w:ascii="Arial" w:eastAsia="Calibri" w:hAnsi="Arial" w:cs="Arial"/>
          <w:bCs/>
          <w:sz w:val="20"/>
          <w:szCs w:val="20"/>
          <w:lang w:val="en-ZW"/>
        </w:rPr>
        <w:t xml:space="preserve"> </w:t>
      </w:r>
      <w:r w:rsidR="00F60ED2" w:rsidRPr="00254000">
        <w:rPr>
          <w:rFonts w:ascii="Arial" w:hAnsi="Arial" w:cs="Arial"/>
          <w:bCs/>
          <w:i/>
          <w:iCs/>
          <w:sz w:val="20"/>
          <w:szCs w:val="20"/>
          <w:lang w:val="en-ZW"/>
        </w:rPr>
        <w:t>Vachellia nilotica</w:t>
      </w:r>
      <w:r w:rsidR="00F60ED2" w:rsidRPr="00254000">
        <w:rPr>
          <w:rFonts w:ascii="Arial" w:hAnsi="Arial" w:cs="Arial"/>
          <w:bCs/>
          <w:sz w:val="20"/>
          <w:szCs w:val="20"/>
          <w:lang w:val="en-ZW"/>
        </w:rPr>
        <w:t> a widespread plant native to  Southern Africa has been used as a natural remedy for various health conditions including cancer in traditional African and Asian medicinal practices</w:t>
      </w:r>
      <w:r w:rsidR="00254000">
        <w:rPr>
          <w:rFonts w:ascii="Arial" w:hAnsi="Arial" w:cs="Arial"/>
          <w:bCs/>
          <w:sz w:val="20"/>
          <w:szCs w:val="20"/>
          <w:lang w:val="en-ZW"/>
        </w:rPr>
        <w:t>.</w:t>
      </w:r>
      <w:r w:rsidRPr="00254000">
        <w:rPr>
          <w:rFonts w:ascii="Arial" w:eastAsia="Calibri" w:hAnsi="Arial" w:cs="Arial"/>
          <w:bCs/>
          <w:sz w:val="20"/>
          <w:szCs w:val="20"/>
          <w:lang w:val="en-ZW"/>
        </w:rPr>
        <w:t xml:space="preserve"> Thus, the main objective of this work was to investigate the phytoconstituents of </w:t>
      </w:r>
      <w:r w:rsidR="00F60ED2" w:rsidRPr="00254000">
        <w:rPr>
          <w:rFonts w:ascii="Arial" w:hAnsi="Arial" w:cs="Arial"/>
          <w:bCs/>
          <w:i/>
          <w:iCs/>
          <w:sz w:val="20"/>
          <w:szCs w:val="20"/>
          <w:lang w:val="en-ZW"/>
        </w:rPr>
        <w:t>Vachellia nilotica</w:t>
      </w:r>
      <w:r w:rsidR="00F60ED2" w:rsidRPr="00254000">
        <w:rPr>
          <w:rFonts w:ascii="Arial" w:hAnsi="Arial" w:cs="Arial"/>
          <w:bCs/>
          <w:sz w:val="20"/>
          <w:szCs w:val="20"/>
          <w:lang w:val="en-ZW"/>
        </w:rPr>
        <w:t> </w:t>
      </w:r>
      <w:r w:rsidR="00F60ED2" w:rsidRPr="00254000">
        <w:rPr>
          <w:rFonts w:ascii="Arial" w:eastAsia="Calibri" w:hAnsi="Arial" w:cs="Arial"/>
          <w:bCs/>
          <w:sz w:val="20"/>
          <w:szCs w:val="20"/>
          <w:lang w:val="en-ZW"/>
        </w:rPr>
        <w:t xml:space="preserve"> </w:t>
      </w:r>
      <w:r w:rsidRPr="00254000">
        <w:rPr>
          <w:rFonts w:ascii="Arial" w:eastAsia="Calibri" w:hAnsi="Arial" w:cs="Arial"/>
          <w:bCs/>
          <w:sz w:val="20"/>
          <w:szCs w:val="20"/>
          <w:lang w:val="en-ZW"/>
        </w:rPr>
        <w:t xml:space="preserve">and their capacity to mediate in the biosynthesis of ZnONPs as bio reduction, capping and stabilising agents. The obtained nanostructures were characterised by Transmission electron microscopy (TEM), UV -Vis spectrometry as well as Dynamic light scattering (DLS). The toxicity of the lyophilised </w:t>
      </w:r>
      <w:r w:rsidR="00F60ED2" w:rsidRPr="00254000">
        <w:rPr>
          <w:rFonts w:ascii="Arial" w:eastAsia="Calibri" w:hAnsi="Arial" w:cs="Arial"/>
          <w:bCs/>
          <w:sz w:val="20"/>
          <w:szCs w:val="20"/>
          <w:lang w:val="en-ZW"/>
        </w:rPr>
        <w:t>leaf</w:t>
      </w:r>
      <w:r w:rsidRPr="00254000">
        <w:rPr>
          <w:rFonts w:ascii="Arial" w:eastAsia="Calibri" w:hAnsi="Arial" w:cs="Arial"/>
          <w:bCs/>
          <w:sz w:val="20"/>
          <w:szCs w:val="20"/>
          <w:lang w:val="en-ZW"/>
        </w:rPr>
        <w:t xml:space="preserve"> extract was also investigated using OECD TG 425</w:t>
      </w:r>
      <w:r w:rsidR="00254000" w:rsidRPr="00254000">
        <w:rPr>
          <w:rFonts w:ascii="Arial" w:hAnsi="Arial" w:cs="Arial"/>
          <w:bCs/>
          <w:sz w:val="20"/>
          <w:szCs w:val="20"/>
          <w:lang w:val="en-ZW"/>
        </w:rPr>
        <w:t xml:space="preserve"> in Sprague Dawley rats</w:t>
      </w:r>
      <w:r w:rsidR="00F60ED2" w:rsidRPr="00254000">
        <w:rPr>
          <w:rFonts w:ascii="Arial" w:eastAsia="Calibri" w:hAnsi="Arial" w:cs="Arial"/>
          <w:bCs/>
          <w:sz w:val="20"/>
          <w:szCs w:val="20"/>
          <w:lang w:val="en-ZW"/>
        </w:rPr>
        <w:t xml:space="preserve">. The </w:t>
      </w:r>
      <w:r w:rsidR="005F7DDD" w:rsidRPr="00254000">
        <w:rPr>
          <w:rFonts w:ascii="Arial" w:eastAsia="Calibri" w:hAnsi="Arial" w:cs="Arial"/>
          <w:bCs/>
          <w:sz w:val="20"/>
          <w:szCs w:val="20"/>
          <w:lang w:val="en-ZW"/>
        </w:rPr>
        <w:t>anti-inflammatory</w:t>
      </w:r>
      <w:r w:rsidR="00F60ED2" w:rsidRPr="00254000">
        <w:rPr>
          <w:rFonts w:ascii="Arial" w:eastAsia="Calibri" w:hAnsi="Arial" w:cs="Arial"/>
          <w:bCs/>
          <w:sz w:val="20"/>
          <w:szCs w:val="20"/>
          <w:lang w:val="en-ZW"/>
        </w:rPr>
        <w:t xml:space="preserve"> activity was investigated using the egg albumin assay with diclofenac as a standard</w:t>
      </w:r>
      <w:r w:rsidRPr="00254000">
        <w:rPr>
          <w:rFonts w:ascii="Arial" w:eastAsia="Calibri" w:hAnsi="Arial" w:cs="Arial"/>
          <w:bCs/>
          <w:sz w:val="20"/>
          <w:szCs w:val="20"/>
          <w:lang w:val="en-ZW"/>
        </w:rPr>
        <w:t xml:space="preserve">. </w:t>
      </w:r>
      <w:r w:rsidR="00F60ED2" w:rsidRPr="00254000">
        <w:rPr>
          <w:rFonts w:ascii="Arial" w:eastAsia="Calibri" w:hAnsi="Arial" w:cs="Arial"/>
          <w:bCs/>
          <w:sz w:val="20"/>
          <w:szCs w:val="20"/>
          <w:lang w:val="en-ZW"/>
        </w:rPr>
        <w:t>The anti oxidancy potential was evaluated using the DPPH scavenging assay.</w:t>
      </w:r>
      <w:r w:rsidRPr="00254000">
        <w:rPr>
          <w:rFonts w:ascii="Arial" w:eastAsia="Calibri" w:hAnsi="Arial" w:cs="Arial"/>
          <w:bCs/>
          <w:sz w:val="20"/>
          <w:szCs w:val="20"/>
          <w:lang w:val="en-ZW"/>
        </w:rPr>
        <w:t xml:space="preserve"> </w:t>
      </w:r>
      <w:r w:rsidR="00F60ED2" w:rsidRPr="00254000">
        <w:rPr>
          <w:rFonts w:ascii="Arial" w:eastAsia="Calibri" w:hAnsi="Arial" w:cs="Arial"/>
          <w:bCs/>
          <w:sz w:val="20"/>
          <w:szCs w:val="20"/>
          <w:lang w:val="en-ZW"/>
        </w:rPr>
        <w:t>Metabolomics studies confirm</w:t>
      </w:r>
      <w:r w:rsidR="005F7DDD">
        <w:rPr>
          <w:rFonts w:ascii="Arial" w:eastAsia="Calibri" w:hAnsi="Arial" w:cs="Arial"/>
          <w:bCs/>
          <w:sz w:val="20"/>
          <w:szCs w:val="20"/>
          <w:lang w:val="en-ZW"/>
        </w:rPr>
        <w:t>ed</w:t>
      </w:r>
      <w:r w:rsidR="00F60ED2" w:rsidRPr="00254000">
        <w:rPr>
          <w:rFonts w:ascii="Arial" w:eastAsia="Calibri" w:hAnsi="Arial" w:cs="Arial"/>
          <w:bCs/>
          <w:sz w:val="20"/>
          <w:szCs w:val="20"/>
          <w:lang w:val="en-ZW"/>
        </w:rPr>
        <w:t xml:space="preserve"> the presence of numerous secondary metabolites including polyphenols which can mediate in  biosynthesis of ZnONPs. </w:t>
      </w:r>
      <w:r w:rsidRPr="00254000">
        <w:rPr>
          <w:rFonts w:ascii="Arial" w:eastAsia="Calibri" w:hAnsi="Arial" w:cs="Arial"/>
          <w:bCs/>
          <w:sz w:val="20"/>
          <w:szCs w:val="20"/>
          <w:lang w:val="en-ZW"/>
        </w:rPr>
        <w:t xml:space="preserve">UV-Vis spectra showing absorbance around 370nm confirmed the </w:t>
      </w:r>
      <w:r w:rsidR="005F7DDD" w:rsidRPr="00254000">
        <w:rPr>
          <w:rFonts w:ascii="Arial" w:eastAsia="Calibri" w:hAnsi="Arial" w:cs="Arial"/>
          <w:bCs/>
          <w:sz w:val="20"/>
          <w:szCs w:val="20"/>
          <w:lang w:val="en-ZW"/>
        </w:rPr>
        <w:t>nanoparticles’</w:t>
      </w:r>
      <w:r w:rsidRPr="00254000">
        <w:rPr>
          <w:rFonts w:ascii="Arial" w:eastAsia="Calibri" w:hAnsi="Arial" w:cs="Arial"/>
          <w:bCs/>
          <w:sz w:val="20"/>
          <w:szCs w:val="20"/>
          <w:lang w:val="en-ZW"/>
        </w:rPr>
        <w:t xml:space="preserve"> identity</w:t>
      </w:r>
      <w:r w:rsidR="00254000">
        <w:rPr>
          <w:rFonts w:ascii="Arial" w:eastAsia="Calibri" w:hAnsi="Arial" w:cs="Arial"/>
          <w:bCs/>
          <w:sz w:val="20"/>
          <w:szCs w:val="20"/>
          <w:lang w:val="en-ZW"/>
        </w:rPr>
        <w:t>.</w:t>
      </w:r>
      <w:r w:rsidRPr="00254000">
        <w:rPr>
          <w:rFonts w:ascii="Arial" w:eastAsia="Calibri" w:hAnsi="Arial" w:cs="Arial"/>
          <w:bCs/>
          <w:sz w:val="20"/>
          <w:szCs w:val="20"/>
          <w:lang w:val="en-ZW"/>
        </w:rPr>
        <w:t xml:space="preserve"> The morphology of the nanostructures was observed to be mostly spherical by TEM and DLS estimated the particle size as ranging between </w:t>
      </w:r>
      <w:r w:rsidR="00F60ED2" w:rsidRPr="00254000">
        <w:rPr>
          <w:rFonts w:ascii="Arial" w:eastAsia="Calibri" w:hAnsi="Arial" w:cs="Arial"/>
          <w:bCs/>
          <w:sz w:val="20"/>
          <w:szCs w:val="20"/>
          <w:lang w:val="en-ZW"/>
        </w:rPr>
        <w:t>2</w:t>
      </w:r>
      <w:r w:rsidRPr="00254000">
        <w:rPr>
          <w:rFonts w:ascii="Arial" w:eastAsia="Calibri" w:hAnsi="Arial" w:cs="Arial"/>
          <w:bCs/>
          <w:sz w:val="20"/>
          <w:szCs w:val="20"/>
          <w:lang w:val="en-ZW"/>
        </w:rPr>
        <w:t xml:space="preserve">0 and </w:t>
      </w:r>
      <w:r w:rsidR="00F60ED2" w:rsidRPr="00254000">
        <w:rPr>
          <w:rFonts w:ascii="Arial" w:eastAsia="Calibri" w:hAnsi="Arial" w:cs="Arial"/>
          <w:bCs/>
          <w:sz w:val="20"/>
          <w:szCs w:val="20"/>
          <w:lang w:val="en-ZW"/>
        </w:rPr>
        <w:t>5</w:t>
      </w:r>
      <w:r w:rsidRPr="00254000">
        <w:rPr>
          <w:rFonts w:ascii="Arial" w:eastAsia="Calibri" w:hAnsi="Arial" w:cs="Arial"/>
          <w:bCs/>
          <w:sz w:val="20"/>
          <w:szCs w:val="20"/>
          <w:lang w:val="en-ZW"/>
        </w:rPr>
        <w:t>0nm</w:t>
      </w:r>
      <w:r w:rsidR="00254000" w:rsidRPr="00254000">
        <w:rPr>
          <w:rFonts w:ascii="Arial" w:hAnsi="Arial" w:cs="Arial"/>
          <w:bCs/>
          <w:color w:val="000000"/>
          <w:sz w:val="20"/>
          <w:szCs w:val="20"/>
        </w:rPr>
        <w:t xml:space="preserve">. </w:t>
      </w:r>
      <w:r w:rsidR="00F60ED2" w:rsidRPr="00254000">
        <w:rPr>
          <w:rFonts w:ascii="Arial" w:hAnsi="Arial" w:cs="Arial"/>
          <w:bCs/>
          <w:sz w:val="20"/>
          <w:szCs w:val="20"/>
          <w:lang w:val="en-ZW"/>
        </w:rPr>
        <w:t xml:space="preserve">In the </w:t>
      </w:r>
      <w:r w:rsidR="00162290" w:rsidRPr="00254000">
        <w:rPr>
          <w:rFonts w:ascii="Arial" w:hAnsi="Arial" w:cs="Arial"/>
          <w:bCs/>
          <w:sz w:val="20"/>
          <w:szCs w:val="20"/>
          <w:lang w:val="en-ZW"/>
        </w:rPr>
        <w:t xml:space="preserve"> </w:t>
      </w:r>
      <w:r w:rsidR="005F7DDD" w:rsidRPr="00254000">
        <w:rPr>
          <w:rFonts w:ascii="Arial" w:hAnsi="Arial" w:cs="Arial"/>
          <w:bCs/>
          <w:sz w:val="20"/>
          <w:szCs w:val="20"/>
          <w:lang w:val="en-ZW"/>
        </w:rPr>
        <w:t>anti-inflammatory</w:t>
      </w:r>
      <w:r w:rsidR="00F60ED2" w:rsidRPr="00254000">
        <w:rPr>
          <w:rFonts w:ascii="Arial" w:hAnsi="Arial" w:cs="Arial"/>
          <w:bCs/>
          <w:sz w:val="20"/>
          <w:szCs w:val="20"/>
          <w:lang w:val="en-ZW"/>
        </w:rPr>
        <w:t xml:space="preserve"> tests the ZnONPs </w:t>
      </w:r>
      <w:r w:rsidR="00162290" w:rsidRPr="00254000">
        <w:rPr>
          <w:rFonts w:ascii="Arial" w:hAnsi="Arial" w:cs="Arial"/>
          <w:bCs/>
          <w:sz w:val="20"/>
          <w:szCs w:val="20"/>
          <w:lang w:val="en-ZW"/>
        </w:rPr>
        <w:t>demonstrat</w:t>
      </w:r>
      <w:r w:rsidR="00F60ED2" w:rsidRPr="00254000">
        <w:rPr>
          <w:rFonts w:ascii="Arial" w:hAnsi="Arial" w:cs="Arial"/>
          <w:bCs/>
          <w:sz w:val="20"/>
          <w:szCs w:val="20"/>
          <w:lang w:val="en-ZW"/>
        </w:rPr>
        <w:t xml:space="preserve">ed </w:t>
      </w:r>
      <w:r w:rsidR="00162290" w:rsidRPr="00254000">
        <w:rPr>
          <w:rFonts w:ascii="Arial" w:hAnsi="Arial" w:cs="Arial"/>
          <w:bCs/>
          <w:sz w:val="20"/>
          <w:szCs w:val="20"/>
          <w:lang w:val="en-ZW"/>
        </w:rPr>
        <w:t xml:space="preserve">67.1% protein denaturation inhibition (vs. 78.8% for diclofenac at 100 </w:t>
      </w:r>
      <w:r w:rsidR="00F47EC0" w:rsidRPr="00DE475E">
        <w:rPr>
          <w:rFonts w:ascii="Arial" w:hAnsi="Arial" w:cs="Arial"/>
          <w:sz w:val="20"/>
          <w:szCs w:val="20"/>
        </w:rPr>
        <w:t>100 mg/mL</w:t>
      </w:r>
      <w:r w:rsidR="00162290" w:rsidRPr="00254000">
        <w:rPr>
          <w:rFonts w:ascii="Arial" w:hAnsi="Arial" w:cs="Arial"/>
          <w:bCs/>
          <w:sz w:val="20"/>
          <w:szCs w:val="20"/>
          <w:lang w:val="en-ZW"/>
        </w:rPr>
        <w:t xml:space="preserve">). </w:t>
      </w:r>
      <w:r w:rsidR="00254000" w:rsidRPr="00254000">
        <w:rPr>
          <w:rFonts w:ascii="Arial" w:hAnsi="Arial" w:cs="Arial"/>
          <w:bCs/>
          <w:sz w:val="20"/>
          <w:szCs w:val="20"/>
          <w:lang w:val="en-ZW"/>
        </w:rPr>
        <w:t xml:space="preserve">Acute </w:t>
      </w:r>
      <w:r w:rsidR="00162290" w:rsidRPr="00254000">
        <w:rPr>
          <w:rFonts w:ascii="Arial" w:hAnsi="Arial" w:cs="Arial"/>
          <w:bCs/>
          <w:sz w:val="20"/>
          <w:szCs w:val="20"/>
          <w:lang w:val="en-ZW"/>
        </w:rPr>
        <w:t xml:space="preserve">toxicity studies showed no adverse effects at 2000 mg/kg. </w:t>
      </w:r>
      <w:r w:rsidR="005F7DDD" w:rsidRPr="00254000">
        <w:rPr>
          <w:rFonts w:ascii="Arial" w:eastAsia="Calibri" w:hAnsi="Arial" w:cs="Arial"/>
          <w:bCs/>
          <w:sz w:val="20"/>
          <w:szCs w:val="20"/>
          <w:lang w:val="en-ZW"/>
        </w:rPr>
        <w:t xml:space="preserve">Based on the foregoing it was concluded that </w:t>
      </w:r>
      <w:r w:rsidR="005F7DDD" w:rsidRPr="00254000">
        <w:rPr>
          <w:rFonts w:ascii="Arial" w:hAnsi="Arial" w:cs="Arial"/>
          <w:bCs/>
          <w:color w:val="000000"/>
          <w:sz w:val="20"/>
          <w:szCs w:val="20"/>
        </w:rPr>
        <w:t>the bio</w:t>
      </w:r>
      <w:r w:rsidR="005F7DDD">
        <w:rPr>
          <w:rFonts w:ascii="Arial" w:hAnsi="Arial" w:cs="Arial"/>
          <w:bCs/>
          <w:color w:val="000000"/>
          <w:sz w:val="20"/>
          <w:szCs w:val="20"/>
        </w:rPr>
        <w:t xml:space="preserve">genic </w:t>
      </w:r>
      <w:r w:rsidR="005F7DDD" w:rsidRPr="00254000">
        <w:rPr>
          <w:rFonts w:ascii="Arial" w:hAnsi="Arial" w:cs="Arial"/>
          <w:bCs/>
          <w:color w:val="000000"/>
          <w:sz w:val="20"/>
          <w:szCs w:val="20"/>
        </w:rPr>
        <w:t xml:space="preserve">synthesis of ZnONPs from the polyphenolic lyophilized </w:t>
      </w:r>
      <w:r w:rsidR="005F7DDD">
        <w:rPr>
          <w:rFonts w:ascii="Arial" w:hAnsi="Arial" w:cs="Arial"/>
          <w:bCs/>
          <w:color w:val="000000"/>
          <w:sz w:val="20"/>
          <w:szCs w:val="20"/>
        </w:rPr>
        <w:t xml:space="preserve">leaf </w:t>
      </w:r>
      <w:r w:rsidR="005F7DDD" w:rsidRPr="00254000">
        <w:rPr>
          <w:rFonts w:ascii="Arial" w:hAnsi="Arial" w:cs="Arial"/>
          <w:bCs/>
          <w:color w:val="000000"/>
          <w:sz w:val="20"/>
          <w:szCs w:val="20"/>
        </w:rPr>
        <w:t xml:space="preserve">extracts of </w:t>
      </w:r>
      <w:r w:rsidR="005F7DDD">
        <w:rPr>
          <w:rFonts w:ascii="Arial" w:hAnsi="Arial" w:cs="Arial"/>
          <w:bCs/>
          <w:i/>
          <w:iCs/>
          <w:color w:val="000000"/>
          <w:sz w:val="20"/>
          <w:szCs w:val="20"/>
        </w:rPr>
        <w:t>V nilotica</w:t>
      </w:r>
      <w:r w:rsidR="005F7DDD" w:rsidRPr="00254000">
        <w:rPr>
          <w:rFonts w:ascii="Arial" w:hAnsi="Arial" w:cs="Arial"/>
          <w:bCs/>
          <w:color w:val="000000"/>
          <w:sz w:val="20"/>
          <w:szCs w:val="20"/>
        </w:rPr>
        <w:t xml:space="preserve"> was feasible, safe and could potentially offer an opportunity to combine anti-</w:t>
      </w:r>
      <w:r w:rsidR="005F7DDD">
        <w:rPr>
          <w:rFonts w:ascii="Arial" w:hAnsi="Arial" w:cs="Arial"/>
          <w:bCs/>
          <w:color w:val="000000"/>
          <w:sz w:val="20"/>
          <w:szCs w:val="20"/>
        </w:rPr>
        <w:t>cancer</w:t>
      </w:r>
      <w:r w:rsidR="005F7DDD" w:rsidRPr="00254000">
        <w:rPr>
          <w:rFonts w:ascii="Arial" w:hAnsi="Arial" w:cs="Arial"/>
          <w:bCs/>
          <w:color w:val="000000"/>
          <w:sz w:val="20"/>
          <w:szCs w:val="20"/>
        </w:rPr>
        <w:t xml:space="preserve"> metallic oxides and </w:t>
      </w:r>
      <w:r w:rsidR="005F7DDD">
        <w:rPr>
          <w:rFonts w:ascii="Arial" w:hAnsi="Arial" w:cs="Arial"/>
          <w:bCs/>
          <w:color w:val="000000"/>
          <w:sz w:val="20"/>
          <w:szCs w:val="20"/>
        </w:rPr>
        <w:t xml:space="preserve">pharmacologically active plant extracts </w:t>
      </w:r>
      <w:r w:rsidR="005F7DDD" w:rsidRPr="00254000">
        <w:rPr>
          <w:rFonts w:ascii="Arial" w:hAnsi="Arial" w:cs="Arial"/>
          <w:bCs/>
          <w:color w:val="000000"/>
          <w:sz w:val="20"/>
          <w:szCs w:val="20"/>
        </w:rPr>
        <w:t>in novel, effective ecofriendly dosage forms</w:t>
      </w:r>
      <w:r w:rsidR="005F7DDD">
        <w:rPr>
          <w:rFonts w:ascii="Arial" w:hAnsi="Arial" w:cs="Arial"/>
          <w:bCs/>
          <w:color w:val="000000"/>
          <w:sz w:val="20"/>
          <w:szCs w:val="20"/>
        </w:rPr>
        <w:t xml:space="preserve"> for use  in the management of </w:t>
      </w:r>
      <w:r w:rsidR="00254000" w:rsidRPr="00254000">
        <w:rPr>
          <w:rFonts w:ascii="Arial" w:hAnsi="Arial" w:cs="Arial"/>
          <w:bCs/>
          <w:sz w:val="20"/>
          <w:szCs w:val="20"/>
          <w:lang w:val="en-ZW"/>
        </w:rPr>
        <w:t>familiar end points of cancer symptoms</w:t>
      </w:r>
    </w:p>
    <w:p w14:paraId="3267302B" w14:textId="06E78E9B" w:rsidR="00C91D4C" w:rsidRDefault="008C2E22">
      <w:pPr>
        <w:autoSpaceDE w:val="0"/>
        <w:autoSpaceDN w:val="0"/>
        <w:adjustRightInd w:val="0"/>
        <w:rPr>
          <w:rFonts w:ascii="Arial" w:hAnsi="Arial" w:cs="Arial"/>
          <w:sz w:val="20"/>
          <w:szCs w:val="20"/>
        </w:rPr>
      </w:pPr>
      <w:r>
        <w:rPr>
          <w:rFonts w:ascii="Arial" w:hAnsi="Arial" w:cs="Arial"/>
          <w:b/>
          <w:sz w:val="20"/>
          <w:szCs w:val="20"/>
        </w:rPr>
        <w:t>Key words</w:t>
      </w:r>
      <w:r>
        <w:rPr>
          <w:rFonts w:ascii="Arial" w:hAnsi="Arial" w:cs="Arial"/>
          <w:sz w:val="20"/>
          <w:szCs w:val="20"/>
        </w:rPr>
        <w:t xml:space="preserve">: </w:t>
      </w:r>
      <w:r>
        <w:rPr>
          <w:rFonts w:ascii="Arial" w:hAnsi="Arial" w:cs="Arial"/>
          <w:i/>
          <w:iCs/>
          <w:sz w:val="20"/>
          <w:szCs w:val="20"/>
        </w:rPr>
        <w:t>Vechellia nillotica</w:t>
      </w:r>
      <w:r>
        <w:rPr>
          <w:rFonts w:ascii="Arial" w:hAnsi="Arial" w:cs="Arial"/>
          <w:sz w:val="20"/>
          <w:szCs w:val="20"/>
        </w:rPr>
        <w:t xml:space="preserve">, Zinc oxide nanoparticles , anti-inflammatory, antioxidant, green synthesis , secondary metabolites, </w:t>
      </w:r>
    </w:p>
    <w:p w14:paraId="3BAFB2C5" w14:textId="77777777" w:rsidR="00C91D4C" w:rsidRDefault="00C91D4C">
      <w:pPr>
        <w:autoSpaceDE w:val="0"/>
        <w:autoSpaceDN w:val="0"/>
        <w:adjustRightInd w:val="0"/>
        <w:jc w:val="both"/>
        <w:rPr>
          <w:rFonts w:ascii="Arial" w:hAnsi="Arial" w:cs="Arial"/>
          <w:sz w:val="20"/>
          <w:szCs w:val="20"/>
          <w:highlight w:val="yellow"/>
        </w:rPr>
      </w:pPr>
    </w:p>
    <w:p w14:paraId="5E69FE8A" w14:textId="77777777" w:rsidR="00C91D4C" w:rsidRDefault="00C91D4C"/>
    <w:p w14:paraId="6F3324D9" w14:textId="77777777" w:rsidR="00C91D4C" w:rsidRPr="002E3F77" w:rsidRDefault="008C2E22" w:rsidP="002E3F77">
      <w:pPr>
        <w:pStyle w:val="Heading1"/>
      </w:pPr>
      <w:r w:rsidRPr="002E3F77">
        <w:t>Introduction</w:t>
      </w:r>
    </w:p>
    <w:p w14:paraId="18199D02" w14:textId="3F3C3EA6" w:rsidR="00C91D4C" w:rsidRPr="003A4BEC" w:rsidRDefault="002E3F77" w:rsidP="003A4BEC">
      <w:pPr>
        <w:pStyle w:val="Heading2"/>
        <w:rPr>
          <w:i/>
          <w:iCs/>
        </w:rPr>
      </w:pPr>
      <w:bookmarkStart w:id="1" w:name="_Toc196381518"/>
      <w:r w:rsidRPr="003A4BEC">
        <w:rPr>
          <w:i/>
          <w:iCs/>
        </w:rPr>
        <w:t>Vachellia</w:t>
      </w:r>
      <w:r w:rsidR="008C2E22" w:rsidRPr="003A4BEC">
        <w:rPr>
          <w:i/>
          <w:iCs/>
        </w:rPr>
        <w:t xml:space="preserve"> nilotica</w:t>
      </w:r>
      <w:bookmarkEnd w:id="1"/>
    </w:p>
    <w:p w14:paraId="68E86463" w14:textId="32BC3F3E" w:rsidR="0016087A" w:rsidRPr="0016087A" w:rsidRDefault="00E807B6" w:rsidP="00E807B6">
      <w:pPr>
        <w:spacing w:line="240" w:lineRule="auto"/>
        <w:contextualSpacing/>
        <w:jc w:val="both"/>
        <w:rPr>
          <w:rFonts w:ascii="Arial" w:eastAsia="Calibri" w:hAnsi="Arial" w:cs="Arial"/>
          <w:sz w:val="20"/>
          <w:szCs w:val="20"/>
          <w:lang w:val="en-ZW"/>
        </w:rPr>
      </w:pPr>
      <w:r w:rsidRPr="00162290">
        <w:rPr>
          <w:rFonts w:ascii="Arial" w:hAnsi="Arial" w:cs="Arial"/>
          <w:i/>
          <w:iCs/>
          <w:sz w:val="20"/>
          <w:szCs w:val="20"/>
          <w:lang w:val="en-ZW"/>
        </w:rPr>
        <w:t>Vachellia nilotica</w:t>
      </w:r>
      <w:r w:rsidRPr="00162290">
        <w:rPr>
          <w:rFonts w:ascii="Arial" w:hAnsi="Arial" w:cs="Arial"/>
          <w:sz w:val="20"/>
          <w:szCs w:val="20"/>
          <w:lang w:val="en-ZW"/>
        </w:rPr>
        <w:t> </w:t>
      </w:r>
      <w:r w:rsidRPr="0016087A">
        <w:rPr>
          <w:rFonts w:ascii="Arial" w:eastAsia="Calibri" w:hAnsi="Arial" w:cs="Arial"/>
          <w:sz w:val="20"/>
          <w:szCs w:val="20"/>
          <w:lang w:val="en-ZW"/>
        </w:rPr>
        <w:t xml:space="preserve"> </w:t>
      </w:r>
      <w:r>
        <w:rPr>
          <w:rFonts w:ascii="Arial" w:eastAsia="Calibri" w:hAnsi="Arial" w:cs="Arial"/>
          <w:sz w:val="20"/>
          <w:szCs w:val="20"/>
          <w:lang w:val="en-ZW"/>
        </w:rPr>
        <w:t xml:space="preserve">also known </w:t>
      </w:r>
      <w:r w:rsidR="0016087A" w:rsidRPr="0016087A">
        <w:rPr>
          <w:rFonts w:ascii="Arial" w:eastAsia="Calibri" w:hAnsi="Arial" w:cs="Arial"/>
          <w:sz w:val="20"/>
          <w:szCs w:val="20"/>
          <w:lang w:val="en-GB"/>
        </w:rPr>
        <w:t xml:space="preserve">as the gum Arabic tree, </w:t>
      </w:r>
      <w:r>
        <w:rPr>
          <w:rFonts w:ascii="Arial" w:eastAsia="Calibri" w:hAnsi="Arial" w:cs="Arial"/>
          <w:sz w:val="20"/>
          <w:szCs w:val="20"/>
          <w:lang w:val="en-GB"/>
        </w:rPr>
        <w:t xml:space="preserve">is </w:t>
      </w:r>
      <w:r w:rsidR="0016087A" w:rsidRPr="0016087A">
        <w:rPr>
          <w:rFonts w:ascii="Arial" w:eastAsia="Calibri" w:hAnsi="Arial" w:cs="Arial"/>
          <w:sz w:val="20"/>
          <w:szCs w:val="20"/>
          <w:lang w:val="en-ZW"/>
        </w:rPr>
        <w:t xml:space="preserve">a resilient, thorny deciduous tree </w:t>
      </w:r>
      <w:r>
        <w:rPr>
          <w:rFonts w:ascii="Arial" w:eastAsia="Calibri" w:hAnsi="Arial" w:cs="Arial"/>
          <w:sz w:val="20"/>
          <w:szCs w:val="20"/>
          <w:lang w:val="en-ZW"/>
        </w:rPr>
        <w:t>from</w:t>
      </w:r>
      <w:r w:rsidR="0016087A" w:rsidRPr="0016087A">
        <w:rPr>
          <w:rFonts w:ascii="Arial" w:eastAsia="Calibri" w:hAnsi="Arial" w:cs="Arial"/>
          <w:sz w:val="20"/>
          <w:szCs w:val="20"/>
          <w:lang w:val="en-ZW"/>
        </w:rPr>
        <w:t xml:space="preserve"> the </w:t>
      </w:r>
      <w:r w:rsidR="0016087A" w:rsidRPr="00E807B6">
        <w:rPr>
          <w:rFonts w:ascii="Arial" w:eastAsia="Calibri" w:hAnsi="Arial" w:cs="Arial"/>
          <w:i/>
          <w:iCs/>
          <w:sz w:val="20"/>
          <w:szCs w:val="20"/>
          <w:lang w:val="en-ZW"/>
        </w:rPr>
        <w:t>Fabaceae</w:t>
      </w:r>
      <w:r w:rsidR="0016087A" w:rsidRPr="0016087A">
        <w:rPr>
          <w:rFonts w:ascii="Arial" w:eastAsia="Calibri" w:hAnsi="Arial" w:cs="Arial"/>
          <w:sz w:val="20"/>
          <w:szCs w:val="20"/>
          <w:lang w:val="en-ZW"/>
        </w:rPr>
        <w:t xml:space="preserve"> family, </w:t>
      </w:r>
      <w:r>
        <w:rPr>
          <w:rFonts w:ascii="Arial" w:eastAsia="Calibri" w:hAnsi="Arial" w:cs="Arial"/>
          <w:sz w:val="20"/>
          <w:szCs w:val="20"/>
          <w:lang w:val="en-ZW"/>
        </w:rPr>
        <w:t xml:space="preserve">which </w:t>
      </w:r>
      <w:r w:rsidR="0016087A" w:rsidRPr="0016087A">
        <w:rPr>
          <w:rFonts w:ascii="Arial" w:eastAsia="Calibri" w:hAnsi="Arial" w:cs="Arial"/>
          <w:sz w:val="20"/>
          <w:szCs w:val="20"/>
          <w:lang w:val="en-ZW"/>
        </w:rPr>
        <w:t xml:space="preserve">dominates arid and semi-arid landscapes across Africa and Asia </w:t>
      </w:r>
      <w:r>
        <w:rPr>
          <w:rFonts w:ascii="Arial" w:eastAsia="Calibri" w:hAnsi="Arial" w:cs="Arial"/>
          <w:sz w:val="20"/>
          <w:szCs w:val="20"/>
          <w:lang w:val="en-ZW"/>
        </w:rPr>
        <w:t xml:space="preserve">. The tree is characterised by a </w:t>
      </w:r>
      <w:r w:rsidR="0016087A" w:rsidRPr="0016087A">
        <w:rPr>
          <w:rFonts w:ascii="Arial" w:eastAsia="Calibri" w:hAnsi="Arial" w:cs="Arial"/>
          <w:sz w:val="20"/>
          <w:szCs w:val="20"/>
          <w:lang w:val="en-ZW"/>
        </w:rPr>
        <w:t>flat-topped crown and distinctive golden-yellow puffball flowers that erupt after seasonal rains, attracting swarms of pollinator</w:t>
      </w:r>
      <w:r>
        <w:rPr>
          <w:rFonts w:ascii="Arial" w:eastAsia="Calibri" w:hAnsi="Arial" w:cs="Arial"/>
          <w:sz w:val="20"/>
          <w:szCs w:val="20"/>
          <w:lang w:val="en-ZW"/>
        </w:rPr>
        <w:t xml:space="preserve">s </w:t>
      </w:r>
      <w:r w:rsidR="0016087A" w:rsidRPr="0016087A">
        <w:rPr>
          <w:rFonts w:ascii="Arial" w:eastAsia="Calibri" w:hAnsi="Arial" w:cs="Arial"/>
          <w:sz w:val="20"/>
          <w:szCs w:val="20"/>
          <w:lang w:val="en-ZW"/>
        </w:rPr>
        <w:fldChar w:fldCharType="begin"/>
      </w:r>
      <w:r w:rsidR="00C40088">
        <w:rPr>
          <w:rFonts w:ascii="Arial" w:eastAsia="Calibri" w:hAnsi="Arial" w:cs="Arial"/>
          <w:sz w:val="20"/>
          <w:szCs w:val="20"/>
          <w:lang w:val="en-ZW"/>
        </w:rPr>
        <w:instrText xml:space="preserve"> ADDIN ZOTERO_ITEM CSL_CITATION {"citationID":"hcSWAlPH","properties":{"formattedCitation":"(1)","plainCitation":"(1)","noteIndex":0},"citationItems":[{"id":148,"uris":["http://zotero.org/users/local/iHdIrYxX/items/NKETU9N8"],"itemData":{"id":148,"type":"article-journal","container-title":"South Indian Journal of Biological Sciences","DOI":"10.22205/sijbs/2015/v1/i2/100421","ISSN":"2454-4787, 2454-8510","issue":"2","journalAbbreviation":"sijbs","language":"en","page":"66","source":"DOI.org (Crossref)","title":"&lt;I&gt;Acacia nilotica&lt;/I&gt;:A Multipurpose Tree and Source of Indian Gum Arabic","title-short":"&lt;I&gt;Acacia nilotica&lt;/I&gt;","URL":"http://www.sijbsojms.com/index.php/SIJBS/article/view/100421","volume":"1","author":[{"family":"Raj","given":"Abhishek"},{"family":"Haokip","given":"Veijaneng"},{"family":"Chandrawanshi","given":"Subhadra"}],"accessed":{"date-parts":[["2025",6,6]]},"issued":{"date-parts":[["2015",9,1]]}}}],"schema":"https://github.com/citation-style-language/schema/raw/master/csl-citation.json"} </w:instrText>
      </w:r>
      <w:r w:rsidR="0016087A" w:rsidRPr="0016087A">
        <w:rPr>
          <w:rFonts w:ascii="Arial" w:eastAsia="Calibri" w:hAnsi="Arial" w:cs="Arial"/>
          <w:sz w:val="20"/>
          <w:szCs w:val="20"/>
          <w:lang w:val="en-ZW"/>
        </w:rPr>
        <w:fldChar w:fldCharType="separate"/>
      </w:r>
      <w:r w:rsidR="00C40088" w:rsidRPr="00C40088">
        <w:rPr>
          <w:rFonts w:ascii="Arial" w:hAnsi="Arial" w:cs="Arial"/>
          <w:sz w:val="20"/>
        </w:rPr>
        <w:t>(1)</w:t>
      </w:r>
      <w:r w:rsidR="0016087A" w:rsidRPr="0016087A">
        <w:rPr>
          <w:rFonts w:ascii="Arial" w:eastAsia="Calibri" w:hAnsi="Arial" w:cs="Arial"/>
          <w:sz w:val="20"/>
          <w:szCs w:val="20"/>
          <w:lang w:val="en-ZW"/>
        </w:rPr>
        <w:fldChar w:fldCharType="end"/>
      </w:r>
      <w:r w:rsidR="0016087A" w:rsidRPr="0016087A">
        <w:rPr>
          <w:rFonts w:ascii="Arial" w:eastAsia="Calibri" w:hAnsi="Arial" w:cs="Arial"/>
          <w:sz w:val="20"/>
          <w:szCs w:val="20"/>
          <w:lang w:val="en-ZW"/>
        </w:rPr>
        <w:t>. The species’ name </w:t>
      </w:r>
      <w:r w:rsidR="0016087A" w:rsidRPr="0016087A">
        <w:rPr>
          <w:rFonts w:ascii="Arial" w:eastAsia="Calibri" w:hAnsi="Arial" w:cs="Arial"/>
          <w:i/>
          <w:iCs/>
          <w:sz w:val="20"/>
          <w:szCs w:val="20"/>
          <w:lang w:val="en-ZW"/>
        </w:rPr>
        <w:t>nilotica</w:t>
      </w:r>
      <w:r w:rsidR="0016087A" w:rsidRPr="0016087A">
        <w:rPr>
          <w:rFonts w:ascii="Arial" w:eastAsia="Calibri" w:hAnsi="Arial" w:cs="Arial"/>
          <w:sz w:val="20"/>
          <w:szCs w:val="20"/>
          <w:lang w:val="en-ZW"/>
        </w:rPr>
        <w:t xml:space="preserve"> nods to its historical abundance along the </w:t>
      </w:r>
      <w:r>
        <w:rPr>
          <w:rFonts w:ascii="Arial" w:eastAsia="Calibri" w:hAnsi="Arial" w:cs="Arial"/>
          <w:sz w:val="20"/>
          <w:szCs w:val="20"/>
          <w:lang w:val="en-ZW"/>
        </w:rPr>
        <w:t xml:space="preserve">African </w:t>
      </w:r>
      <w:r w:rsidR="0016087A" w:rsidRPr="0016087A">
        <w:rPr>
          <w:rFonts w:ascii="Arial" w:eastAsia="Calibri" w:hAnsi="Arial" w:cs="Arial"/>
          <w:sz w:val="20"/>
          <w:szCs w:val="20"/>
          <w:lang w:val="en-ZW"/>
        </w:rPr>
        <w:t xml:space="preserve">Nile </w:t>
      </w:r>
      <w:r>
        <w:rPr>
          <w:rFonts w:ascii="Arial" w:eastAsia="Calibri" w:hAnsi="Arial" w:cs="Arial"/>
          <w:sz w:val="20"/>
          <w:szCs w:val="20"/>
          <w:lang w:val="en-ZW"/>
        </w:rPr>
        <w:t>r</w:t>
      </w:r>
      <w:r w:rsidR="0016087A" w:rsidRPr="0016087A">
        <w:rPr>
          <w:rFonts w:ascii="Arial" w:eastAsia="Calibri" w:hAnsi="Arial" w:cs="Arial"/>
          <w:sz w:val="20"/>
          <w:szCs w:val="20"/>
          <w:lang w:val="en-ZW"/>
        </w:rPr>
        <w:t>iver, while its Arabic name </w:t>
      </w:r>
      <w:r w:rsidR="0016087A" w:rsidRPr="0016087A">
        <w:rPr>
          <w:rFonts w:ascii="Arial" w:eastAsia="Calibri" w:hAnsi="Arial" w:cs="Arial"/>
          <w:i/>
          <w:iCs/>
          <w:sz w:val="20"/>
          <w:szCs w:val="20"/>
          <w:lang w:val="en-ZW"/>
        </w:rPr>
        <w:t>"keekar"</w:t>
      </w:r>
      <w:r w:rsidR="0016087A" w:rsidRPr="0016087A">
        <w:rPr>
          <w:rFonts w:ascii="Arial" w:eastAsia="Calibri" w:hAnsi="Arial" w:cs="Arial"/>
          <w:sz w:val="20"/>
          <w:szCs w:val="20"/>
          <w:lang w:val="en-ZW"/>
        </w:rPr>
        <w:t> and Hindi name </w:t>
      </w:r>
      <w:r w:rsidR="0016087A" w:rsidRPr="0016087A">
        <w:rPr>
          <w:rFonts w:ascii="Arial" w:eastAsia="Calibri" w:hAnsi="Arial" w:cs="Arial"/>
          <w:i/>
          <w:iCs/>
          <w:sz w:val="20"/>
          <w:szCs w:val="20"/>
          <w:lang w:val="en-ZW"/>
        </w:rPr>
        <w:t>"babool"</w:t>
      </w:r>
      <w:r w:rsidR="0016087A" w:rsidRPr="0016087A">
        <w:rPr>
          <w:rFonts w:ascii="Arial" w:eastAsia="Calibri" w:hAnsi="Arial" w:cs="Arial"/>
          <w:sz w:val="20"/>
          <w:szCs w:val="20"/>
          <w:lang w:val="en-ZW"/>
        </w:rPr>
        <w:t xml:space="preserve"> reflect its deep cultural roots </w:t>
      </w:r>
      <w:r w:rsidR="0016087A" w:rsidRPr="0016087A">
        <w:rPr>
          <w:rFonts w:ascii="Arial" w:eastAsia="Calibri" w:hAnsi="Arial" w:cs="Arial"/>
          <w:sz w:val="20"/>
          <w:szCs w:val="20"/>
          <w:lang w:val="en-ZW"/>
        </w:rPr>
        <w:fldChar w:fldCharType="begin"/>
      </w:r>
      <w:r w:rsidR="00C40088">
        <w:rPr>
          <w:rFonts w:ascii="Arial" w:eastAsia="Calibri" w:hAnsi="Arial" w:cs="Arial"/>
          <w:sz w:val="20"/>
          <w:szCs w:val="20"/>
          <w:lang w:val="en-ZW"/>
        </w:rPr>
        <w:instrText xml:space="preserve"> ADDIN ZOTERO_ITEM CSL_CITATION {"citationID":"1xmCtjeJ","properties":{"formattedCitation":"(2)","plainCitation":"(2)","noteIndex":0},"citationItems":[{"id":150,"uris":["http://zotero.org/users/local/iHdIrYxX/items/G2FFD984"],"itemData":{"id":150,"type":"book","event-place":"Cham","ISBN":"978-3-030-16806-3","language":"en","license":"https://www.springer.com/tdm","note":"DOI: 10.1007/978-3-030-16807-0","publisher":"Springer International Publishing","publisher-place":"Cham","source":"DOI.org (Crossref)","title":"Handbook of 200 Medicinal Plants: A Comprehensive Review of Their Traditional Medical Uses and Scientific Justifications","title-short":"Handbook of 200 Medicinal Plants","URL":"https://link.springer.com/10.1007/978-3-030-16807-0","author":[{"family":"Akbar","given":"Shahid"}],"accessed":{"date-parts":[["2025",6,6]]},"issued":{"date-parts":[["2020"]]}}}],"schema":"https://github.com/citation-style-language/schema/raw/master/csl-citation.json"} </w:instrText>
      </w:r>
      <w:r w:rsidR="0016087A" w:rsidRPr="0016087A">
        <w:rPr>
          <w:rFonts w:ascii="Arial" w:eastAsia="Calibri" w:hAnsi="Arial" w:cs="Arial"/>
          <w:sz w:val="20"/>
          <w:szCs w:val="20"/>
          <w:lang w:val="en-ZW"/>
        </w:rPr>
        <w:fldChar w:fldCharType="separate"/>
      </w:r>
      <w:r w:rsidR="00C40088" w:rsidRPr="00C40088">
        <w:rPr>
          <w:rFonts w:ascii="Arial" w:hAnsi="Arial" w:cs="Arial"/>
          <w:sz w:val="20"/>
        </w:rPr>
        <w:t>(2)</w:t>
      </w:r>
      <w:r w:rsidR="0016087A" w:rsidRPr="0016087A">
        <w:rPr>
          <w:rFonts w:ascii="Arial" w:eastAsia="Calibri" w:hAnsi="Arial" w:cs="Arial"/>
          <w:sz w:val="20"/>
          <w:szCs w:val="20"/>
          <w:lang w:val="en-ZW"/>
        </w:rPr>
        <w:fldChar w:fldCharType="end"/>
      </w:r>
      <w:r w:rsidR="0016087A" w:rsidRPr="0016087A">
        <w:rPr>
          <w:rFonts w:ascii="Arial" w:eastAsia="Calibri" w:hAnsi="Arial" w:cs="Arial"/>
          <w:sz w:val="20"/>
          <w:szCs w:val="20"/>
          <w:lang w:val="en-ZW"/>
        </w:rPr>
        <w:t>. Its twisted, dark-brown pods</w:t>
      </w:r>
      <w:r>
        <w:rPr>
          <w:rFonts w:ascii="Arial" w:eastAsia="Calibri" w:hAnsi="Arial" w:cs="Arial"/>
          <w:sz w:val="20"/>
          <w:szCs w:val="20"/>
          <w:lang w:val="en-ZW"/>
        </w:rPr>
        <w:t xml:space="preserve">, </w:t>
      </w:r>
      <w:r w:rsidR="0016087A" w:rsidRPr="0016087A">
        <w:rPr>
          <w:rFonts w:ascii="Arial" w:eastAsia="Calibri" w:hAnsi="Arial" w:cs="Arial"/>
          <w:sz w:val="20"/>
          <w:szCs w:val="20"/>
          <w:lang w:val="en-ZW"/>
        </w:rPr>
        <w:t>packed with protein-rich seeds</w:t>
      </w:r>
      <w:r>
        <w:rPr>
          <w:rFonts w:ascii="Arial" w:eastAsia="Calibri" w:hAnsi="Arial" w:cs="Arial"/>
          <w:sz w:val="20"/>
          <w:szCs w:val="20"/>
          <w:lang w:val="en-ZW"/>
        </w:rPr>
        <w:t>, have been used by many communities as</w:t>
      </w:r>
      <w:r w:rsidR="0016087A" w:rsidRPr="0016087A">
        <w:rPr>
          <w:rFonts w:ascii="Arial" w:eastAsia="Calibri" w:hAnsi="Arial" w:cs="Arial"/>
          <w:sz w:val="20"/>
          <w:szCs w:val="20"/>
          <w:lang w:val="en-ZW"/>
        </w:rPr>
        <w:t xml:space="preserve"> vital famine food and livestock fodder, despite their astringency from </w:t>
      </w:r>
      <w:r>
        <w:rPr>
          <w:rFonts w:ascii="Arial" w:eastAsia="Calibri" w:hAnsi="Arial" w:cs="Arial"/>
          <w:sz w:val="20"/>
          <w:szCs w:val="20"/>
          <w:lang w:val="en-ZW"/>
        </w:rPr>
        <w:t xml:space="preserve">the reported </w:t>
      </w:r>
      <w:r w:rsidR="0016087A" w:rsidRPr="0016087A">
        <w:rPr>
          <w:rFonts w:ascii="Arial" w:eastAsia="Calibri" w:hAnsi="Arial" w:cs="Arial"/>
          <w:sz w:val="20"/>
          <w:szCs w:val="20"/>
          <w:lang w:val="en-ZW"/>
        </w:rPr>
        <w:t>high tannin content</w:t>
      </w:r>
      <w:r w:rsidR="00091807">
        <w:rPr>
          <w:rFonts w:ascii="Arial" w:eastAsia="Calibri" w:hAnsi="Arial" w:cs="Arial"/>
          <w:sz w:val="20"/>
          <w:szCs w:val="20"/>
          <w:lang w:val="en-ZW"/>
        </w:rPr>
        <w:fldChar w:fldCharType="begin"/>
      </w:r>
      <w:r w:rsidR="00091807">
        <w:rPr>
          <w:rFonts w:ascii="Arial" w:eastAsia="Calibri" w:hAnsi="Arial" w:cs="Arial"/>
          <w:sz w:val="20"/>
          <w:szCs w:val="20"/>
          <w:lang w:val="en-ZW"/>
        </w:rPr>
        <w:instrText xml:space="preserve"> ADDIN ZOTERO_ITEM CSL_CITATION {"citationID":"un59aHFI","properties":{"formattedCitation":"(3)","plainCitation":"(3)","noteIndex":0},"citationItems":[{"id":297,"uris":["http://zotero.org/users/local/iHdIrYxX/items/7JDEYRFA"],"itemData":{"id":297,"type":"article-journal","abstract":"Aim:\nThis study was conducted to observe the effect of feeding Acacia nilotica pod meal on hematobiochemical profile and gastrointestinal parasitic load in growing goats.\n\nMaterials and Methods:\nTo experiment was conducted for a period of 3-month on 24 male goats (3½ month old, average body weight [BW] 6.50±1.50 kg), distributed into four groups of six animals each. The experimental animals were fed graded level of A. nilotica pod meal (0%, 10%, 20% and 30%) mixed in concentrate mixture equivalent to tannin concentration of 0%, 1.91%, 3.82% and 5.73% in the total mixed ration I, II, III and IV, respectively, but ad libitum measured quantity of green sorghum fodder (Sorghum bicolor) feeding. The blood samples were collected from experimental goats during the feeding experiment for the examination of different hematological indices and serum biochemical profile to know the overall health status of animals and standard method was followed to analyze the samples. Fecal sample was collected directly from the anus of goats by inserting middle finger and kept the samples in labeled polythene bag. Further fresh sample was processed and examined by McMaster Technique for eggs per gram and oocysts per gram. It gives accurate information regarding severity of infection.\n\nResults:\nThe feeding of babul pod meal did not address significant changes about the hematological parameters among various treatment groups. The lymphocyte count was significantly higher (p=0.07) in T3 group as compared to control and increase with increase in level of babul pod meal in the diet. Blood urea nitrogen (BUN) level was 4.86 and 6.59% lower in T1 and T2 group as compared to control and inversely proportional with level of supplement in ration. The decrease in BUN reflected good dietary protein metabolism happened in animals supplemented with babul pod meal. Serum creatinine level was significantly lower (p&lt;0.01) in T2 group as compared to control. The creatinine level was 20.17% lower in T2 group as compared to control. Haemonchus and Coccidian egg count was significantly reduced (p&lt;0.01) in T2 and T3 group followed with T1 as compared to control group.\n\nConclusion:\nThe metabolic status of the animal was not affected with the supplementation of babul pod meal, however, lower serum creatinine level and remarkable reduction in nematode, as well as protozoan egg count in the treatment group, showed good health impact of babul pod.","container-title":"Veterinary World","DOI":"10.14202/vetworld.2016.1400-1406","ISSN":"0972-8988","issue":"12","journalAbbreviation":"Vet World","note":"PMID: 28096612\nPMCID: PMC5234054","page":"1400-1406","source":"PubMed Central","title":"Effect of feeding Acacia nilotica pod meal on hematobiochemical profile and fecal egg count in goats","URL":"https://www.ncbi.nlm.nih.gov/pmc/articles/PMC5234054/","volume":"9","author":[{"family":"Paswan","given":"Jitendra Kumar"},{"family":"Kumar","given":"Kaushalendra"},{"family":"Kumar","given":"Sanjay"},{"family":"Chandramoni","given":""},{"family":"Kumar","given":"Abhishek"},{"family":"Kumar","given":"Deepak"},{"family":"Kumar","given":"Ajit"}],"accessed":{"date-parts":[["2025",7,2]]},"issued":{"date-parts":[["2016",12]]}}}],"schema":"https://github.com/citation-style-language/schema/raw/master/csl-citation.json"} </w:instrText>
      </w:r>
      <w:r w:rsidR="00091807">
        <w:rPr>
          <w:rFonts w:ascii="Arial" w:eastAsia="Calibri" w:hAnsi="Arial" w:cs="Arial"/>
          <w:sz w:val="20"/>
          <w:szCs w:val="20"/>
          <w:lang w:val="en-ZW"/>
        </w:rPr>
        <w:fldChar w:fldCharType="separate"/>
      </w:r>
      <w:r w:rsidR="00091807" w:rsidRPr="00091807">
        <w:rPr>
          <w:rFonts w:ascii="Arial" w:hAnsi="Arial" w:cs="Arial"/>
          <w:sz w:val="20"/>
        </w:rPr>
        <w:t>(3)</w:t>
      </w:r>
      <w:r w:rsidR="00091807">
        <w:rPr>
          <w:rFonts w:ascii="Arial" w:eastAsia="Calibri" w:hAnsi="Arial" w:cs="Arial"/>
          <w:sz w:val="20"/>
          <w:szCs w:val="20"/>
          <w:lang w:val="en-ZW"/>
        </w:rPr>
        <w:fldChar w:fldCharType="end"/>
      </w:r>
      <w:r w:rsidR="0016087A" w:rsidRPr="0016087A">
        <w:rPr>
          <w:rFonts w:ascii="Arial" w:eastAsia="Calibri" w:hAnsi="Arial" w:cs="Arial"/>
          <w:sz w:val="20"/>
          <w:szCs w:val="20"/>
          <w:lang w:val="en-ZW"/>
        </w:rPr>
        <w:t xml:space="preserve">. </w:t>
      </w:r>
    </w:p>
    <w:p w14:paraId="1D9E3A94" w14:textId="09486705" w:rsidR="0016087A" w:rsidRPr="00B05C99" w:rsidRDefault="0016087A" w:rsidP="00E807B6">
      <w:pPr>
        <w:spacing w:line="240" w:lineRule="auto"/>
        <w:contextualSpacing/>
        <w:jc w:val="both"/>
        <w:rPr>
          <w:rFonts w:ascii="Arial" w:hAnsi="Arial" w:cs="Arial"/>
          <w:sz w:val="20"/>
          <w:szCs w:val="20"/>
        </w:rPr>
      </w:pPr>
      <w:r w:rsidRPr="00B05C99">
        <w:rPr>
          <w:rFonts w:ascii="Arial" w:hAnsi="Arial" w:cs="Arial"/>
          <w:sz w:val="20"/>
          <w:szCs w:val="20"/>
        </w:rPr>
        <w:t>The tree’s most striking feature is its paired, straight white thorns (3</w:t>
      </w:r>
      <w:r w:rsidR="002E3F77">
        <w:rPr>
          <w:rFonts w:ascii="Arial" w:hAnsi="Arial" w:cs="Arial"/>
          <w:sz w:val="20"/>
          <w:szCs w:val="20"/>
        </w:rPr>
        <w:t xml:space="preserve"> </w:t>
      </w:r>
      <w:r w:rsidRPr="00B05C99">
        <w:rPr>
          <w:rFonts w:ascii="Arial" w:hAnsi="Arial" w:cs="Arial"/>
          <w:sz w:val="20"/>
          <w:szCs w:val="20"/>
        </w:rPr>
        <w:t xml:space="preserve">–10 cm long), which form impenetrable thickets that shelter small mammals like hares and hyraxes, while its pollen-rich flowers sustain </w:t>
      </w:r>
      <w:r w:rsidR="002E3F77">
        <w:rPr>
          <w:rFonts w:ascii="Arial" w:hAnsi="Arial" w:cs="Arial"/>
          <w:sz w:val="20"/>
          <w:szCs w:val="20"/>
        </w:rPr>
        <w:t xml:space="preserve">insect </w:t>
      </w:r>
      <w:r w:rsidRPr="00B05C99">
        <w:rPr>
          <w:rFonts w:ascii="Arial" w:hAnsi="Arial" w:cs="Arial"/>
          <w:sz w:val="20"/>
          <w:szCs w:val="20"/>
        </w:rPr>
        <w:t>populations</w:t>
      </w:r>
      <w:r w:rsidR="004D4993">
        <w:rPr>
          <w:rFonts w:ascii="Arial" w:hAnsi="Arial" w:cs="Arial"/>
          <w:sz w:val="20"/>
          <w:szCs w:val="20"/>
        </w:rPr>
        <w:t xml:space="preserve"> </w:t>
      </w:r>
      <w:r w:rsidR="004D4993">
        <w:rPr>
          <w:rFonts w:ascii="Arial" w:hAnsi="Arial" w:cs="Arial"/>
          <w:sz w:val="20"/>
          <w:szCs w:val="20"/>
        </w:rPr>
        <w:fldChar w:fldCharType="begin"/>
      </w:r>
      <w:r w:rsidR="004D4993">
        <w:rPr>
          <w:rFonts w:ascii="Arial" w:hAnsi="Arial" w:cs="Arial"/>
          <w:sz w:val="20"/>
          <w:szCs w:val="20"/>
        </w:rPr>
        <w:instrText xml:space="preserve"> ADDIN ZOTERO_ITEM CSL_CITATION {"citationID":"unCkfFxm","properties":{"formattedCitation":"(4)","plainCitation":"(4)","noteIndex":0},"citationItems":[{"id":300,"uris":["http://zotero.org/users/local/iHdIrYxX/items/4YVV4EER"],"itemData":{"id":300,"type":"article-journal","abstract":"Flower strips can be an important component of integrated pest management and contribute to reducing pressure on agroecosystems, which is why they are increasingly implemented as part of agri-environmental programs. They can be used as a multifunctional agronomic tool because they can prevent the decline of species diversity in the agroecosystem and increase functional biodiversity, which is a prerequisite for the provision of ecosystem services, such as pollination and natural pest control. Research highlights the great potential and multifunctionality of flower strips. This paper provides a synthesis of the most important information and research findings regarding flower strips and may be a useful tool in relation to the European Green Deal, which aims to move the EU towards a green transformation. Where intensive chemical treatments in agriculture have contributed to the degradation of the agricultural landscape, flower strips can support its ecological intensification.","container-title":"Agriculture","DOI":"10.3390/agriculture12091470","ISSN":"2077-0472","issue":"9","language":"en","license":"http://creativecommons.org/licenses/by/3.0/","note":"number: 9\npublisher: Multidisciplinary Digital Publishing Institute","page":"1470","source":"www.mdpi.com","title":"Flower Strips and Their Ecological Multifunctionality in Agricultural Fields","URL":"https://www.mdpi.com/2077-0472/12/9/1470","volume":"12","author":[{"family":"Kowalska","given":"Jolanta"},{"family":"Antkowiak","given":"Małgorzata"},{"family":"Sienkiewicz","given":"Paweł"}],"accessed":{"date-parts":[["2025",7,2]]},"issued":{"date-parts":[["2022",9]]}}}],"schema":"https://github.com/citation-style-language/schema/raw/master/csl-citation.json"} </w:instrText>
      </w:r>
      <w:r w:rsidR="004D4993">
        <w:rPr>
          <w:rFonts w:ascii="Arial" w:hAnsi="Arial" w:cs="Arial"/>
          <w:sz w:val="20"/>
          <w:szCs w:val="20"/>
        </w:rPr>
        <w:fldChar w:fldCharType="separate"/>
      </w:r>
      <w:r w:rsidR="004D4993" w:rsidRPr="004D4993">
        <w:rPr>
          <w:rFonts w:ascii="Arial" w:hAnsi="Arial" w:cs="Arial"/>
          <w:sz w:val="20"/>
        </w:rPr>
        <w:t>(4)</w:t>
      </w:r>
      <w:r w:rsidR="004D4993">
        <w:rPr>
          <w:rFonts w:ascii="Arial" w:hAnsi="Arial" w:cs="Arial"/>
          <w:sz w:val="20"/>
          <w:szCs w:val="20"/>
        </w:rPr>
        <w:fldChar w:fldCharType="end"/>
      </w:r>
      <w:r w:rsidRPr="00B05C99">
        <w:rPr>
          <w:rFonts w:ascii="Arial" w:hAnsi="Arial" w:cs="Arial"/>
          <w:sz w:val="20"/>
          <w:szCs w:val="20"/>
        </w:rPr>
        <w:t xml:space="preserve">. When </w:t>
      </w:r>
      <w:r w:rsidR="0016692A">
        <w:rPr>
          <w:rFonts w:ascii="Arial" w:hAnsi="Arial" w:cs="Arial"/>
          <w:sz w:val="20"/>
          <w:szCs w:val="20"/>
        </w:rPr>
        <w:t>cut</w:t>
      </w:r>
      <w:r w:rsidRPr="002E3F77">
        <w:rPr>
          <w:rFonts w:ascii="Arial" w:hAnsi="Arial" w:cs="Arial"/>
          <w:i/>
          <w:iCs/>
          <w:sz w:val="20"/>
          <w:szCs w:val="20"/>
        </w:rPr>
        <w:t>, V. nilotica</w:t>
      </w:r>
      <w:r w:rsidRPr="00B05C99">
        <w:rPr>
          <w:rFonts w:ascii="Arial" w:hAnsi="Arial" w:cs="Arial"/>
          <w:sz w:val="20"/>
          <w:szCs w:val="20"/>
        </w:rPr>
        <w:t xml:space="preserve"> </w:t>
      </w:r>
      <w:r w:rsidR="0016692A">
        <w:rPr>
          <w:rFonts w:ascii="Arial" w:hAnsi="Arial" w:cs="Arial"/>
          <w:sz w:val="20"/>
          <w:szCs w:val="20"/>
        </w:rPr>
        <w:t xml:space="preserve">stems and bark </w:t>
      </w:r>
      <w:r w:rsidRPr="00B05C99">
        <w:rPr>
          <w:rFonts w:ascii="Arial" w:hAnsi="Arial" w:cs="Arial"/>
          <w:sz w:val="20"/>
          <w:szCs w:val="20"/>
        </w:rPr>
        <w:t>exude a reddish-brown gum, historically traded as a binding agent in paints, cosmetics, and traditional medicines</w:t>
      </w:r>
      <w:r w:rsidR="004D4993">
        <w:rPr>
          <w:rFonts w:ascii="Arial" w:hAnsi="Arial" w:cs="Arial"/>
          <w:sz w:val="20"/>
          <w:szCs w:val="20"/>
        </w:rPr>
        <w:fldChar w:fldCharType="begin"/>
      </w:r>
      <w:r w:rsidR="004D4993">
        <w:rPr>
          <w:rFonts w:ascii="Arial" w:hAnsi="Arial" w:cs="Arial"/>
          <w:sz w:val="20"/>
          <w:szCs w:val="20"/>
        </w:rPr>
        <w:instrText xml:space="preserve"> ADDIN ZOTERO_ITEM CSL_CITATION {"citationID":"47Iz3Spm","properties":{"formattedCitation":"(5)","plainCitation":"(5)","noteIndex":0},"citationItems":[{"id":302,"uris":["http://zotero.org/users/local/iHdIrYxX/items/YPF4KXAJ"],"itemData":{"id":302,"type":"article-journal","abstract":"For thousands of years, Vachellia nilotica has been widely used as an herbal medicine to treat some diseases and symptoms, including respiratory, gastrointestinal and urogenital ailments. The present study was adapted to document and assemble existing information about V. nilotica and its evidence-based ethnopharmacological activities, with brief reviews on the description, geographical distribution, ecology, medical uses and phytochemistry. A literature review and information up to 2024 was performed in various scientific databases, including PubMed, Science Direct and Google Scholar. The keywords were “Acacia nilotica”, “Botany”, “ecology”, “Traditional uses”, “Phytochemistry”, “Polyphenols”, “Molecular docking”, “Ethnopharmacological activities” and “toxicity”, among others. V. nilotica has a wide range of uses, with low toxicity, reported in different countries. It can be infused into oils or tea or incorporated into paste, poultice and biscuits, used as an emollient, antidiarrheal, astringent and as an antidote for bite poisons. Glucose and lipid-lowering, anti-inflammatory, analgesic, antipyretic, antioxidant, antihypertensive, antibacterial, antifungal, antiviral and anthelmintic activities are the most prominent. Over 150 chemical components have been identified from V. nilotica that could be associated with its potential actions. Quercetin, rutin, kaempferol, naringenin, catechin, epicatechin, gallic acid, ellagic acid, lupeol and niloticane are its main active constituents. From the research data, and despite the fact that human clinical trials and detailed methodological studies are scarce, V. nilotica has shown wide-ranging activities, though the most robust evidence is related to the treatment of microbial infections, diarrhea, wound and ulcer healing and for topical application. More pharmacological and toxicological studies are required to further elucidate the mechanisms of action, potential side effects, and optimal dosages for these treatments. Additionally, more clinical trials are needed to validate these traditional uses in human populations and to ensure the safety and efficacy of V. nilotica for these applications. This article offers an overview of therapeutic applications by utilizing traditional uses and recent findings on phytochemical studies, and clinical and pharmacological research.","container-title":"Nutrients","DOI":"10.3390/nu16244278","ISSN":"2072-6643","issue":"24","language":"en","license":"http://creativecommons.org/licenses/by/3.0/","note":"number: 24\npublisher: Multidisciplinary Digital Publishing Institute","page":"4278","source":"www.mdpi.com","title":"The Acacia (Vachellia nilotica (L.) P.J.H. Hurter &amp; Mabb.): Traditional Uses and Recent Advances on Its Pharmacological Attributes and Potential Activities","title-short":"The Acacia (Vachellia nilotica (L.) P.J.H. Hurter &amp; Mabb.)","URL":"https://www.mdpi.com/2072-6643/16/24/4278","volume":"16","author":[{"family":"Hafez","given":"Lamiaa O."},{"family":"Brito-Casillas","given":"Yeray"},{"family":"Abdelmageed","given":"Noha"},{"family":"Alemán-Cabrera","given":"Isabel M."},{"family":"Morad","given":"Samy A. F."},{"family":"Abdel-Raheem","given":"Mahmoud H."},{"family":"Wägner","given":"Ana M."}],"accessed":{"date-parts":[["2025",7,2]]},"issued":{"date-parts":[["2024",1]]}}}],"schema":"https://github.com/citation-style-language/schema/raw/master/csl-citation.json"} </w:instrText>
      </w:r>
      <w:r w:rsidR="004D4993">
        <w:rPr>
          <w:rFonts w:ascii="Arial" w:hAnsi="Arial" w:cs="Arial"/>
          <w:sz w:val="20"/>
          <w:szCs w:val="20"/>
        </w:rPr>
        <w:fldChar w:fldCharType="separate"/>
      </w:r>
      <w:r w:rsidR="004D4993" w:rsidRPr="004D4993">
        <w:rPr>
          <w:rFonts w:ascii="Arial" w:hAnsi="Arial" w:cs="Arial"/>
          <w:sz w:val="20"/>
        </w:rPr>
        <w:t>(5)</w:t>
      </w:r>
      <w:r w:rsidR="004D4993">
        <w:rPr>
          <w:rFonts w:ascii="Arial" w:hAnsi="Arial" w:cs="Arial"/>
          <w:sz w:val="20"/>
          <w:szCs w:val="20"/>
        </w:rPr>
        <w:fldChar w:fldCharType="end"/>
      </w:r>
      <w:r w:rsidRPr="00B05C99">
        <w:rPr>
          <w:rFonts w:ascii="Arial" w:hAnsi="Arial" w:cs="Arial"/>
          <w:sz w:val="20"/>
          <w:szCs w:val="20"/>
        </w:rPr>
        <w:t xml:space="preserve">. In African ethnomedicine, every part of this </w:t>
      </w:r>
      <w:r w:rsidR="002E3F77">
        <w:rPr>
          <w:rFonts w:ascii="Arial" w:hAnsi="Arial" w:cs="Arial"/>
          <w:sz w:val="20"/>
          <w:szCs w:val="20"/>
        </w:rPr>
        <w:t xml:space="preserve">medicinal </w:t>
      </w:r>
      <w:r w:rsidRPr="00B05C99">
        <w:rPr>
          <w:rFonts w:ascii="Arial" w:hAnsi="Arial" w:cs="Arial"/>
          <w:sz w:val="20"/>
          <w:szCs w:val="20"/>
        </w:rPr>
        <w:t xml:space="preserve">tree is utilized: bark decoctions treat dysentery, </w:t>
      </w:r>
      <w:r w:rsidR="002E3F77">
        <w:rPr>
          <w:rFonts w:ascii="Arial" w:hAnsi="Arial" w:cs="Arial"/>
          <w:sz w:val="20"/>
          <w:szCs w:val="20"/>
        </w:rPr>
        <w:t xml:space="preserve">the </w:t>
      </w:r>
      <w:r w:rsidRPr="00B05C99">
        <w:rPr>
          <w:rFonts w:ascii="Arial" w:hAnsi="Arial" w:cs="Arial"/>
          <w:sz w:val="20"/>
          <w:szCs w:val="20"/>
        </w:rPr>
        <w:t xml:space="preserve">gum resin </w:t>
      </w:r>
      <w:r w:rsidR="002E3F77">
        <w:rPr>
          <w:rFonts w:ascii="Arial" w:hAnsi="Arial" w:cs="Arial"/>
          <w:sz w:val="20"/>
          <w:szCs w:val="20"/>
        </w:rPr>
        <w:t xml:space="preserve">is reported to </w:t>
      </w:r>
      <w:r w:rsidRPr="00B05C99">
        <w:rPr>
          <w:rFonts w:ascii="Arial" w:hAnsi="Arial" w:cs="Arial"/>
          <w:sz w:val="20"/>
          <w:szCs w:val="20"/>
        </w:rPr>
        <w:t xml:space="preserve">soothe throat infections, and </w:t>
      </w:r>
      <w:r w:rsidR="002E3F77">
        <w:rPr>
          <w:rFonts w:ascii="Arial" w:hAnsi="Arial" w:cs="Arial"/>
          <w:sz w:val="20"/>
          <w:szCs w:val="20"/>
        </w:rPr>
        <w:t xml:space="preserve">the </w:t>
      </w:r>
      <w:r w:rsidRPr="00B05C99">
        <w:rPr>
          <w:rFonts w:ascii="Arial" w:hAnsi="Arial" w:cs="Arial"/>
          <w:sz w:val="20"/>
          <w:szCs w:val="20"/>
        </w:rPr>
        <w:t xml:space="preserve">leaf poultices </w:t>
      </w:r>
      <w:r w:rsidR="002E3F77">
        <w:rPr>
          <w:rFonts w:ascii="Arial" w:hAnsi="Arial" w:cs="Arial"/>
          <w:sz w:val="20"/>
          <w:szCs w:val="20"/>
        </w:rPr>
        <w:t xml:space="preserve">are said to </w:t>
      </w:r>
      <w:r w:rsidRPr="00B05C99">
        <w:rPr>
          <w:rFonts w:ascii="Arial" w:hAnsi="Arial" w:cs="Arial"/>
          <w:sz w:val="20"/>
          <w:szCs w:val="20"/>
        </w:rPr>
        <w:t>accelerate wound healing</w:t>
      </w:r>
      <w:r w:rsidR="004D4993">
        <w:rPr>
          <w:rFonts w:ascii="Arial" w:hAnsi="Arial" w:cs="Arial"/>
          <w:sz w:val="20"/>
          <w:szCs w:val="20"/>
        </w:rPr>
        <w:fldChar w:fldCharType="begin"/>
      </w:r>
      <w:r w:rsidR="004D4993">
        <w:rPr>
          <w:rFonts w:ascii="Arial" w:hAnsi="Arial" w:cs="Arial"/>
          <w:sz w:val="20"/>
          <w:szCs w:val="20"/>
        </w:rPr>
        <w:instrText xml:space="preserve"> ADDIN ZOTERO_ITEM CSL_CITATION {"citationID":"wdANaWG8","properties":{"formattedCitation":"(6)","plainCitation":"(6)","noteIndex":0},"citationItems":[{"id":304,"uris":["http://zotero.org/users/local/iHdIrYxX/items/NCTQL9FM"],"itemData":{"id":304,"type":"article-journal","abstract":"The literature on the use of medicinal plants in wound healing was comprehensively searched to obtain and assess the data. The data were procured via clinical studies that utilized medicinal plants and their compounds in vitro and in vivo for wound healing. This review collected data from electronic databases, including Google Scholar, PubMed, Science Direct, Web of Science, SciFinder, Thesis, and Scopus, using the search terms “natural products”, “wound healing”, and “natural compounds”, along with the keywords “plants”, “extracts”, and “phytochemicals”. Results from the last decade reveal a total of 62 families and 109 genera of medicinal plants, and their compounds have been studied experimentally both in vivo and in vitro and clinically found to effectively promote healing. This activity is related to the presence of secondary metabolites such as flavonoids, alkaloids, saponins, tannins, terpenoids, and phenolic compounds, which act at different stages through different mechanisms to exert anti-inflammatory, antimicrobial, and antioxidant effects, confirming that the use of medicinal plants could be an adequate alternative to current conventional practices for treating wounds.","container-title":"Pharmaceuticals","DOI":"10.3390/ph17030303","ISSN":"1424-8247","issue":"3","journalAbbreviation":"Pharmaceuticals (Basel)","note":"PMID: 38543089\nPMCID: PMC10975678","page":"303","source":"PubMed Central","title":"Use of Medicinal Plants in the Process of Wound Healing: A Literature Review","title-short":"Use of Medicinal Plants in the Process of Wound Healing","URL":"https://www.ncbi.nlm.nih.gov/pmc/articles/PMC10975678/","volume":"17","author":[{"family":"Cedillo-Cortezano","given":"Mayra"},{"family":"Martinez-Cuevas","given":"Luis Ruben"},{"family":"López","given":"Jesús A. Márquez"},{"family":"Barrera López","given":"Ingrid L."},{"family":"Escutia-Perez","given":"Samantha"},{"family":"Petricevich","given":"Vera L."}],"accessed":{"date-parts":[["2025",7,2]]},"issued":{"date-parts":[["2024",2,27]]}}}],"schema":"https://github.com/citation-style-language/schema/raw/master/csl-citation.json"} </w:instrText>
      </w:r>
      <w:r w:rsidR="004D4993">
        <w:rPr>
          <w:rFonts w:ascii="Arial" w:hAnsi="Arial" w:cs="Arial"/>
          <w:sz w:val="20"/>
          <w:szCs w:val="20"/>
        </w:rPr>
        <w:fldChar w:fldCharType="separate"/>
      </w:r>
      <w:r w:rsidR="004D4993" w:rsidRPr="004D4993">
        <w:rPr>
          <w:rFonts w:ascii="Arial" w:hAnsi="Arial" w:cs="Arial"/>
          <w:sz w:val="20"/>
        </w:rPr>
        <w:t>(6)</w:t>
      </w:r>
      <w:r w:rsidR="004D4993">
        <w:rPr>
          <w:rFonts w:ascii="Arial" w:hAnsi="Arial" w:cs="Arial"/>
          <w:sz w:val="20"/>
          <w:szCs w:val="20"/>
        </w:rPr>
        <w:fldChar w:fldCharType="end"/>
      </w:r>
      <w:r w:rsidRPr="00B05C99">
        <w:rPr>
          <w:rFonts w:ascii="Arial" w:hAnsi="Arial" w:cs="Arial"/>
          <w:sz w:val="20"/>
          <w:szCs w:val="20"/>
        </w:rPr>
        <w:t xml:space="preserve">. Agroecologically, </w:t>
      </w:r>
      <w:r w:rsidRPr="002E3F77">
        <w:rPr>
          <w:rFonts w:ascii="Arial" w:hAnsi="Arial" w:cs="Arial"/>
          <w:i/>
          <w:iCs/>
          <w:sz w:val="20"/>
          <w:szCs w:val="20"/>
        </w:rPr>
        <w:t>V. nillotica’s</w:t>
      </w:r>
      <w:r w:rsidRPr="00B05C99">
        <w:rPr>
          <w:rFonts w:ascii="Arial" w:hAnsi="Arial" w:cs="Arial"/>
          <w:sz w:val="20"/>
          <w:szCs w:val="20"/>
        </w:rPr>
        <w:t xml:space="preserve"> nitrogen-fixing roots rehabilitate degraded soils, while its thorny branches are woven into natural fences that deter elephants and other megafauna</w:t>
      </w:r>
      <w:r w:rsidR="00A730C1">
        <w:rPr>
          <w:rFonts w:ascii="Arial" w:hAnsi="Arial" w:cs="Arial"/>
          <w:sz w:val="20"/>
          <w:szCs w:val="20"/>
        </w:rPr>
        <w:t xml:space="preserve"> from entering fields and homesteads  in Zimbabwe </w:t>
      </w:r>
      <w:r w:rsidRPr="00B05C99">
        <w:rPr>
          <w:rFonts w:ascii="Arial" w:hAnsi="Arial" w:cs="Arial"/>
          <w:sz w:val="20"/>
          <w:szCs w:val="20"/>
        </w:rPr>
        <w:t xml:space="preserve"> </w:t>
      </w:r>
      <w:r w:rsidRPr="00B05C99">
        <w:rPr>
          <w:rFonts w:ascii="Arial" w:hAnsi="Arial" w:cs="Arial"/>
          <w:sz w:val="20"/>
          <w:szCs w:val="20"/>
        </w:rPr>
        <w:fldChar w:fldCharType="begin"/>
      </w:r>
      <w:r w:rsidR="00C40088" w:rsidRPr="00B05C99">
        <w:rPr>
          <w:rFonts w:ascii="Arial" w:hAnsi="Arial" w:cs="Arial"/>
          <w:sz w:val="20"/>
          <w:szCs w:val="20"/>
        </w:rPr>
        <w:instrText xml:space="preserve"> ADDIN ZOTERO_ITEM CSL_CITATION {"citationID":"KUYfKyAV","properties":{"formattedCitation":"(7)","plainCitation":"(7)","noteIndex":0},"citationItems":[{"id":162,"uris":["http://zotero.org/users/local/iHdIrYxX/items/HIRGW93U"],"itemData":{"id":162,"type":"article-journal","abstract":"Degraded lands are defined by soils that have lost primary productivity due to abiotic or biotic stresses. Among the abiotic stresses, drought, salinity, and heavy metals are the main threats in tropical areas. These stresses affect plant growth and reduce their productivity. Nitrogen-fixing plants such as actinorhizal species that are able to grow in poor and disturbed soils are widely planted for the reclamation of such degraded lands. It has been reported that association of soil microbes especially the nitrogen-fixing bacteria\n              Frankia\n              with these actinorhizal plants can mitigate the adverse effects of abiotic and biotic stresses. Inoculation of actinorhizal plants with\n              Frankia\n              significantly improves plant growth, biomass, shoot and root N content, and survival rate after transplanting in fields. However, the success of establishment of actinorhizal plantation in degraded sites depends upon the choice of effective strains of\n              Frankia\n              . Studies related to the beneficial role of\n              Frankia\n              on the establishment of actinorhizal plants in degraded soils are scarce. In this review, we describe some examples of the use of\n              Frankia\n              inoculation to improve actinorhizal plant performances in harsh conditions for reclamation of degraded lands.","container-title":"BioMed Research International","DOI":"10.1155/2013/948258","ISSN":"2314-6133, 2314-6141","journalAbbreviation":"BioMed Research International","language":"en","license":"http://creativecommons.org/licenses/by/3.0/","page":"1-9","source":"DOI.org (Crossref)","title":"Use of &lt;i&gt;Frankia&lt;/i&gt; and Actinorhizal Plants for Degraded Lands Reclamation","URL":"http://www.hindawi.com/journals/bmri/2013/948258/","volume":"2013","author":[{"family":"Diagne","given":"Nathalie"},{"family":"Arumugam","given":"Karthikeyan"},{"family":"Ngom","given":"Mariama"},{"family":"Nambiar-Veetil","given":"Mathish"},{"family":"Franche","given":"Claudine"},{"family":"Narayanan","given":"Krishna Kumar"},{"family":"Laplaze","given":"Laurent"}],"accessed":{"date-parts":[["2025",6,6]]},"issued":{"date-parts":[["2013"]]}}}],"schema":"https://github.com/citation-style-language/schema/raw/master/csl-citation.json"} </w:instrText>
      </w:r>
      <w:r w:rsidRPr="00B05C99">
        <w:rPr>
          <w:rFonts w:ascii="Arial" w:hAnsi="Arial" w:cs="Arial"/>
          <w:sz w:val="20"/>
          <w:szCs w:val="20"/>
        </w:rPr>
        <w:fldChar w:fldCharType="separate"/>
      </w:r>
      <w:r w:rsidR="00C40088" w:rsidRPr="00B05C99">
        <w:rPr>
          <w:rFonts w:ascii="Arial" w:hAnsi="Arial" w:cs="Arial"/>
          <w:sz w:val="20"/>
          <w:szCs w:val="20"/>
        </w:rPr>
        <w:t>(7)</w:t>
      </w:r>
      <w:r w:rsidRPr="00B05C99">
        <w:rPr>
          <w:rFonts w:ascii="Arial" w:hAnsi="Arial" w:cs="Arial"/>
          <w:sz w:val="20"/>
          <w:szCs w:val="20"/>
        </w:rPr>
        <w:fldChar w:fldCharType="end"/>
      </w:r>
      <w:r w:rsidRPr="00B05C99">
        <w:rPr>
          <w:rFonts w:ascii="Arial" w:hAnsi="Arial" w:cs="Arial"/>
          <w:sz w:val="20"/>
          <w:szCs w:val="20"/>
        </w:rPr>
        <w:t xml:space="preserve">. </w:t>
      </w:r>
      <w:r w:rsidR="002E3F77">
        <w:rPr>
          <w:rFonts w:ascii="Arial" w:hAnsi="Arial" w:cs="Arial"/>
          <w:sz w:val="20"/>
          <w:szCs w:val="20"/>
        </w:rPr>
        <w:t>Its</w:t>
      </w:r>
      <w:r w:rsidRPr="00B05C99">
        <w:rPr>
          <w:rFonts w:ascii="Arial" w:hAnsi="Arial" w:cs="Arial"/>
          <w:sz w:val="20"/>
          <w:szCs w:val="20"/>
        </w:rPr>
        <w:t xml:space="preserve"> traditional use against tumours and oxidative stress-related disorders</w:t>
      </w:r>
      <w:r w:rsidR="002E3F77">
        <w:rPr>
          <w:rFonts w:ascii="Arial" w:hAnsi="Arial" w:cs="Arial"/>
          <w:sz w:val="20"/>
          <w:szCs w:val="20"/>
        </w:rPr>
        <w:t xml:space="preserve"> is well documented</w:t>
      </w:r>
      <w:r w:rsidRPr="00B05C99">
        <w:rPr>
          <w:rFonts w:ascii="Arial" w:hAnsi="Arial" w:cs="Arial"/>
          <w:sz w:val="20"/>
          <w:szCs w:val="20"/>
        </w:rPr>
        <w:t xml:space="preserve"> </w:t>
      </w:r>
      <w:r w:rsidRPr="00B05C99">
        <w:rPr>
          <w:rFonts w:ascii="Arial" w:hAnsi="Arial" w:cs="Arial"/>
          <w:sz w:val="20"/>
          <w:szCs w:val="20"/>
        </w:rPr>
        <w:fldChar w:fldCharType="begin"/>
      </w:r>
      <w:r w:rsidR="00C40088" w:rsidRPr="00B05C99">
        <w:rPr>
          <w:rFonts w:ascii="Arial" w:hAnsi="Arial" w:cs="Arial"/>
          <w:sz w:val="20"/>
          <w:szCs w:val="20"/>
        </w:rPr>
        <w:instrText xml:space="preserve"> ADDIN ZOTERO_ITEM CSL_CITATION {"citationID":"ZkOvcFHc","properties":{"formattedCitation":"(8)","plainCitation":"(8)","noteIndex":0},"citationItems":[{"id":160,"uris":["http://zotero.org/users/local/iHdIrYxX/items/8ACAGHCY"],"itemData":{"id":160,"type":"article-journal","abstract":"Polyphenols are secondary plant metabolites or organic compounds synthesized by them. In other words, these are molecules that are found in plants. Due to the wide variety of polyphenols and the plants in which they are found, these compounds are divided according to the source of origin, the function of the polyphenols, and their chemical structure; where the main ones are flavonoids. All the beneficial properties of polyphenols have not yet been studied, since this group of substances is very extensive and diverse. However, most polyphenols are known to be powerful antioxidants and have anti-inflammatory effects. Polyphenols help fight cell damage caused by free radicals and immune system components. In particular, polyphenols are credited with a preventive effect that helps protect the body from certain forms of cancer. The onset and progression of tumors may be related directly to oxidative stress, or inflammation. These processes can increase the amount of DNA damage and lead to loss of control over cell division. A number of studies have shown that oxidative stress uncontrolled by antioxidants or an uncontrolled and prolonged inflammatory process increases the risk of developing sarcoma, melanoma, and breast, lung, liver, and prostate cancer. Therefore, a more in-depth study of the effect of polyphenolic compounds on certain signaling pathways that determine the complex cascade of oncogenesis is a promising direction in the search for new methods for the prevention and treatment of tumors.","container-title":"Frontiers in Cell and Developmental Biology","DOI":"10.3389/fcell.2022.1011435","ISSN":"2296-634X","journalAbbreviation":"Front. Cell Dev. Biol.","language":"en","page":"1011435","source":"DOI.org (Crossref)","title":"Modern aspects of the use of natural polyphenols in tumor prevention and therapy","URL":"https://www.frontiersin.org/articles/10.3389/fcell.2022.1011435/full","volume":"10","author":[{"family":"Sufianova","given":"Galina"},{"family":"Gareev","given":"Ilgiz"},{"family":"Beylerli","given":"Ozal"},{"family":"Wu","given":"Jianing"},{"family":"Shumadalova","given":"Alina"},{"family":"Sufianov","given":"Albert"},{"family":"Chen","given":"Xin"},{"family":"Zhao","given":"Shiguang"}],"accessed":{"date-parts":[["2025",6,6]]},"issued":{"date-parts":[["2022",9,12]]}}}],"schema":"https://github.com/citation-style-language/schema/raw/master/csl-citation.json"} </w:instrText>
      </w:r>
      <w:r w:rsidRPr="00B05C99">
        <w:rPr>
          <w:rFonts w:ascii="Arial" w:hAnsi="Arial" w:cs="Arial"/>
          <w:sz w:val="20"/>
          <w:szCs w:val="20"/>
        </w:rPr>
        <w:fldChar w:fldCharType="separate"/>
      </w:r>
      <w:r w:rsidR="00C40088" w:rsidRPr="00B05C99">
        <w:rPr>
          <w:rFonts w:ascii="Arial" w:hAnsi="Arial" w:cs="Arial"/>
          <w:sz w:val="20"/>
          <w:szCs w:val="20"/>
        </w:rPr>
        <w:t>(8)</w:t>
      </w:r>
      <w:r w:rsidRPr="00B05C99">
        <w:rPr>
          <w:rFonts w:ascii="Arial" w:hAnsi="Arial" w:cs="Arial"/>
          <w:sz w:val="20"/>
          <w:szCs w:val="20"/>
        </w:rPr>
        <w:fldChar w:fldCharType="end"/>
      </w:r>
      <w:r w:rsidRPr="00B05C99">
        <w:rPr>
          <w:rFonts w:ascii="Arial" w:hAnsi="Arial" w:cs="Arial"/>
          <w:sz w:val="20"/>
          <w:szCs w:val="20"/>
        </w:rPr>
        <w:t>.</w:t>
      </w:r>
    </w:p>
    <w:p w14:paraId="0B73DB87" w14:textId="77777777" w:rsidR="00C91D4C" w:rsidRPr="00B05C99" w:rsidRDefault="00C91D4C" w:rsidP="00E807B6">
      <w:pPr>
        <w:spacing w:line="240" w:lineRule="auto"/>
        <w:contextualSpacing/>
        <w:jc w:val="both"/>
        <w:rPr>
          <w:rFonts w:ascii="Arial" w:hAnsi="Arial" w:cs="Arial"/>
          <w:sz w:val="20"/>
          <w:szCs w:val="20"/>
        </w:rPr>
      </w:pPr>
    </w:p>
    <w:p w14:paraId="76B97499" w14:textId="77777777" w:rsidR="00C91D4C" w:rsidRPr="00B05C99" w:rsidRDefault="00C91D4C" w:rsidP="00E807B6">
      <w:pPr>
        <w:spacing w:line="240" w:lineRule="auto"/>
        <w:contextualSpacing/>
        <w:jc w:val="both"/>
        <w:rPr>
          <w:rFonts w:ascii="Arial" w:hAnsi="Arial" w:cs="Arial"/>
          <w:sz w:val="20"/>
          <w:szCs w:val="20"/>
        </w:rPr>
      </w:pPr>
    </w:p>
    <w:p w14:paraId="43BB1861" w14:textId="77777777" w:rsidR="00C91D4C" w:rsidRPr="00B05C99" w:rsidRDefault="00C91D4C" w:rsidP="00E807B6">
      <w:pPr>
        <w:spacing w:line="240" w:lineRule="auto"/>
        <w:contextualSpacing/>
        <w:jc w:val="both"/>
        <w:rPr>
          <w:rFonts w:ascii="Arial" w:hAnsi="Arial" w:cs="Arial"/>
          <w:sz w:val="20"/>
          <w:szCs w:val="20"/>
        </w:rPr>
      </w:pPr>
    </w:p>
    <w:p w14:paraId="383D757B" w14:textId="77777777" w:rsidR="00C84F84" w:rsidRDefault="008C2E22" w:rsidP="00E807B6">
      <w:pPr>
        <w:keepNext/>
        <w:spacing w:line="240" w:lineRule="auto"/>
        <w:contextualSpacing/>
        <w:jc w:val="both"/>
      </w:pPr>
      <w:r w:rsidRPr="00B05C99">
        <w:rPr>
          <w:rFonts w:ascii="Arial" w:hAnsi="Arial" w:cs="Arial"/>
          <w:sz w:val="20"/>
          <w:szCs w:val="20"/>
        </w:rPr>
        <w:lastRenderedPageBreak/>
        <w:t xml:space="preserve">  </w:t>
      </w:r>
      <w:r w:rsidRPr="00B05C99">
        <w:rPr>
          <w:rFonts w:ascii="Arial" w:hAnsi="Arial" w:cs="Arial"/>
          <w:noProof/>
          <w:sz w:val="20"/>
          <w:szCs w:val="20"/>
        </w:rPr>
        <w:drawing>
          <wp:inline distT="0" distB="0" distL="0" distR="0" wp14:anchorId="5194AC04" wp14:editId="4F97F98F">
            <wp:extent cx="1706024" cy="1866265"/>
            <wp:effectExtent l="0" t="0" r="8890" b="635"/>
            <wp:docPr id="102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8" cstate="print">
                      <a:extLst>
                        <a:ext uri="{28A0092B-C50C-407E-A947-70E740481C1C}">
                          <a14:useLocalDpi xmlns:a14="http://schemas.microsoft.com/office/drawing/2010/main" val="0"/>
                        </a:ext>
                      </a:extLst>
                    </a:blip>
                    <a:srcRect/>
                    <a:stretch>
                      <a:fillRect/>
                    </a:stretch>
                  </pic:blipFill>
                  <pic:spPr>
                    <a:xfrm>
                      <a:off x="0" y="0"/>
                      <a:ext cx="1706024" cy="1866265"/>
                    </a:xfrm>
                    <a:prstGeom prst="rect">
                      <a:avLst/>
                    </a:prstGeom>
                  </pic:spPr>
                </pic:pic>
              </a:graphicData>
            </a:graphic>
          </wp:inline>
        </w:drawing>
      </w:r>
      <w:r w:rsidRPr="00B05C99">
        <w:rPr>
          <w:rFonts w:ascii="Arial" w:hAnsi="Arial" w:cs="Arial"/>
          <w:sz w:val="20"/>
          <w:szCs w:val="20"/>
        </w:rPr>
        <w:t xml:space="preserve"> </w:t>
      </w:r>
      <w:r w:rsidRPr="00B05C99">
        <w:rPr>
          <w:rFonts w:ascii="Arial" w:hAnsi="Arial" w:cs="Arial"/>
          <w:noProof/>
          <w:sz w:val="20"/>
          <w:szCs w:val="20"/>
        </w:rPr>
        <w:drawing>
          <wp:inline distT="0" distB="0" distL="0" distR="0" wp14:anchorId="144DB034" wp14:editId="036D78C9">
            <wp:extent cx="1881764" cy="1862455"/>
            <wp:effectExtent l="0" t="0" r="4445" b="4445"/>
            <wp:docPr id="102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9" cstate="print">
                      <a:extLst>
                        <a:ext uri="{28A0092B-C50C-407E-A947-70E740481C1C}">
                          <a14:useLocalDpi xmlns:a14="http://schemas.microsoft.com/office/drawing/2010/main" val="0"/>
                        </a:ext>
                      </a:extLst>
                    </a:blip>
                    <a:srcRect t="17669" r="15657" b="22113"/>
                    <a:stretch>
                      <a:fillRect/>
                    </a:stretch>
                  </pic:blipFill>
                  <pic:spPr>
                    <a:xfrm>
                      <a:off x="0" y="0"/>
                      <a:ext cx="1881764" cy="1862455"/>
                    </a:xfrm>
                    <a:prstGeom prst="rect">
                      <a:avLst/>
                    </a:prstGeom>
                  </pic:spPr>
                </pic:pic>
              </a:graphicData>
            </a:graphic>
          </wp:inline>
        </w:drawing>
      </w:r>
      <w:r w:rsidRPr="00B05C99">
        <w:rPr>
          <w:rFonts w:ascii="Arial" w:hAnsi="Arial" w:cs="Arial"/>
          <w:sz w:val="20"/>
          <w:szCs w:val="20"/>
        </w:rPr>
        <w:t xml:space="preserve"> </w:t>
      </w:r>
      <w:r w:rsidRPr="00B05C99">
        <w:rPr>
          <w:rFonts w:ascii="Arial" w:hAnsi="Arial" w:cs="Arial"/>
          <w:noProof/>
          <w:sz w:val="20"/>
          <w:szCs w:val="20"/>
        </w:rPr>
        <w:drawing>
          <wp:inline distT="0" distB="0" distL="0" distR="0" wp14:anchorId="19BF6BD9" wp14:editId="5F99197B">
            <wp:extent cx="1950400" cy="1871345"/>
            <wp:effectExtent l="0" t="0" r="0" b="0"/>
            <wp:docPr id="102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10" cstate="print">
                      <a:extLst>
                        <a:ext uri="{28A0092B-C50C-407E-A947-70E740481C1C}">
                          <a14:useLocalDpi xmlns:a14="http://schemas.microsoft.com/office/drawing/2010/main" val="0"/>
                        </a:ext>
                      </a:extLst>
                    </a:blip>
                    <a:srcRect/>
                    <a:stretch>
                      <a:fillRect/>
                    </a:stretch>
                  </pic:blipFill>
                  <pic:spPr>
                    <a:xfrm>
                      <a:off x="0" y="0"/>
                      <a:ext cx="1950400" cy="1871345"/>
                    </a:xfrm>
                    <a:prstGeom prst="rect">
                      <a:avLst/>
                    </a:prstGeom>
                  </pic:spPr>
                </pic:pic>
              </a:graphicData>
            </a:graphic>
          </wp:inline>
        </w:drawing>
      </w:r>
    </w:p>
    <w:p w14:paraId="436418A2" w14:textId="54234CA7" w:rsidR="00C84F84" w:rsidRPr="00C84F84" w:rsidRDefault="00C84F84" w:rsidP="00E807B6">
      <w:pPr>
        <w:pStyle w:val="Caption"/>
        <w:contextualSpacing/>
        <w:rPr>
          <w:lang w:val="en-ZA"/>
        </w:rPr>
      </w:pPr>
      <w:r>
        <w:t xml:space="preserve">Figure </w:t>
      </w:r>
      <w:r w:rsidR="006B0568">
        <w:fldChar w:fldCharType="begin"/>
      </w:r>
      <w:r w:rsidR="006B0568">
        <w:instrText xml:space="preserve"> SEQ Figure \* ARABIC </w:instrText>
      </w:r>
      <w:r w:rsidR="006B0568">
        <w:fldChar w:fldCharType="separate"/>
      </w:r>
      <w:r w:rsidR="00AB04AA">
        <w:rPr>
          <w:noProof/>
        </w:rPr>
        <w:t>1</w:t>
      </w:r>
      <w:r w:rsidR="006B0568">
        <w:rPr>
          <w:noProof/>
        </w:rPr>
        <w:fldChar w:fldCharType="end"/>
      </w:r>
      <w:r w:rsidRPr="00C84F84">
        <w:rPr>
          <w:rFonts w:ascii="Arial" w:hAnsi="Arial" w:cs="Arial"/>
          <w:sz w:val="20"/>
          <w:szCs w:val="20"/>
        </w:rPr>
        <w:t xml:space="preserve"> </w:t>
      </w:r>
      <w:r w:rsidRPr="00C84F84">
        <w:rPr>
          <w:lang w:val="en-ZA"/>
        </w:rPr>
        <w:t>: Images of V nilotica plant, aerial parts, foliage and flower</w:t>
      </w:r>
    </w:p>
    <w:p w14:paraId="7071CB35" w14:textId="68C47F41" w:rsidR="00C91D4C" w:rsidRPr="003A4BEC" w:rsidRDefault="008C2E22" w:rsidP="003A4BEC">
      <w:pPr>
        <w:pStyle w:val="Heading2"/>
      </w:pPr>
      <w:bookmarkStart w:id="2" w:name="_Toc196381519"/>
      <w:r w:rsidRPr="003A4BEC">
        <w:t>P</w:t>
      </w:r>
      <w:r w:rsidR="00A730C1">
        <w:t>lant p</w:t>
      </w:r>
      <w:r w:rsidRPr="003A4BEC">
        <w:t xml:space="preserve">olyphenols in </w:t>
      </w:r>
      <w:bookmarkEnd w:id="2"/>
      <w:r w:rsidRPr="003A4BEC">
        <w:t>cancer management</w:t>
      </w:r>
    </w:p>
    <w:p w14:paraId="4C1AA975" w14:textId="7CF4DFB8" w:rsidR="00204987" w:rsidRPr="00C24BCA" w:rsidRDefault="00204987" w:rsidP="00E807B6">
      <w:pPr>
        <w:spacing w:line="240" w:lineRule="auto"/>
        <w:contextualSpacing/>
        <w:jc w:val="both"/>
        <w:rPr>
          <w:rFonts w:ascii="Arial" w:hAnsi="Arial" w:cs="Arial"/>
          <w:sz w:val="20"/>
          <w:szCs w:val="20"/>
          <w:lang w:val="en-ZW"/>
        </w:rPr>
      </w:pPr>
      <w:r w:rsidRPr="00B05C99">
        <w:rPr>
          <w:rFonts w:ascii="Arial" w:hAnsi="Arial" w:cs="Arial"/>
          <w:sz w:val="20"/>
          <w:szCs w:val="20"/>
        </w:rPr>
        <w:t xml:space="preserve">Plant-based diets contain a wide and diverse class of phytochemicals known as polyphenols, which include phenolic acids, </w:t>
      </w:r>
      <w:r w:rsidR="00A730C1">
        <w:rPr>
          <w:rFonts w:ascii="Arial" w:hAnsi="Arial" w:cs="Arial"/>
          <w:sz w:val="20"/>
          <w:szCs w:val="20"/>
        </w:rPr>
        <w:t xml:space="preserve">tannins, </w:t>
      </w:r>
      <w:r w:rsidRPr="00B05C99">
        <w:rPr>
          <w:rFonts w:ascii="Arial" w:hAnsi="Arial" w:cs="Arial"/>
          <w:sz w:val="20"/>
          <w:szCs w:val="20"/>
        </w:rPr>
        <w:t xml:space="preserve">proanthocyanidins, flavonoids, and resveratrol. These polyphenols have anticancer effects through a broad range of mechanisms, which include cancer cell removal by modification of signalling pathways, inhibition of cell cycle events, and induction of apoptosis. </w:t>
      </w:r>
      <w:r w:rsidR="00C24BCA" w:rsidRPr="00C24BCA">
        <w:rPr>
          <w:rFonts w:ascii="Arial" w:hAnsi="Arial" w:cs="Arial"/>
          <w:sz w:val="20"/>
          <w:szCs w:val="20"/>
          <w:lang w:val="en-ZW"/>
        </w:rPr>
        <w:t>Additionally, polyphenols control the actions of enzymes that promote the growth of tumor cells. Natural polyphenols have been linked in recent research to their anti-cancer potential due to a variety of characteristics, such as DNA interaction and antiangiogenic and antimetastatic actions. (9)</w:t>
      </w:r>
      <w:r w:rsidRPr="00B05C99">
        <w:rPr>
          <w:rFonts w:ascii="Arial" w:hAnsi="Arial" w:cs="Arial"/>
          <w:sz w:val="20"/>
          <w:szCs w:val="20"/>
        </w:rPr>
        <w:t xml:space="preserve">. Studies on animals and humans have demonstrated that food and beverages high in polyphenols have been shown to have an advantage over cancer cells. In some studies, they presented potent </w:t>
      </w:r>
      <w:r w:rsidRPr="00A730C1">
        <w:rPr>
          <w:rFonts w:ascii="Arial" w:hAnsi="Arial" w:cs="Arial"/>
          <w:i/>
          <w:iCs/>
          <w:sz w:val="20"/>
          <w:szCs w:val="20"/>
        </w:rPr>
        <w:t>in vitro</w:t>
      </w:r>
      <w:r w:rsidRPr="00B05C99">
        <w:rPr>
          <w:rFonts w:ascii="Arial" w:hAnsi="Arial" w:cs="Arial"/>
          <w:sz w:val="20"/>
          <w:szCs w:val="20"/>
        </w:rPr>
        <w:t xml:space="preserve"> and </w:t>
      </w:r>
      <w:r w:rsidRPr="00A730C1">
        <w:rPr>
          <w:rFonts w:ascii="Arial" w:hAnsi="Arial" w:cs="Arial"/>
          <w:i/>
          <w:iCs/>
          <w:sz w:val="20"/>
          <w:szCs w:val="20"/>
        </w:rPr>
        <w:t>in vivo</w:t>
      </w:r>
      <w:r w:rsidRPr="00B05C99">
        <w:rPr>
          <w:rFonts w:ascii="Arial" w:hAnsi="Arial" w:cs="Arial"/>
          <w:sz w:val="20"/>
          <w:szCs w:val="20"/>
        </w:rPr>
        <w:t xml:space="preserve"> inhibitory properties against breast cancer proliferation and metastasis by regulating interleukin-6 (IL-6)</w:t>
      </w:r>
      <w:r w:rsidRPr="00B05C99">
        <w:rPr>
          <w:rFonts w:ascii="Arial" w:hAnsi="Arial" w:cs="Arial"/>
          <w:sz w:val="20"/>
          <w:szCs w:val="20"/>
        </w:rPr>
        <w:fldChar w:fldCharType="begin"/>
      </w:r>
      <w:r w:rsidR="002105A2">
        <w:rPr>
          <w:rFonts w:ascii="Arial" w:hAnsi="Arial" w:cs="Arial"/>
          <w:sz w:val="20"/>
          <w:szCs w:val="20"/>
        </w:rPr>
        <w:instrText xml:space="preserve"> ADDIN ZOTERO_ITEM CSL_CITATION {"citationID":"02yIlEwT","properties":{"formattedCitation":"(9)","plainCitation":"(9)","noteIndex":0},"citationItems":[{"id":169,"uris":["http://zotero.org/users/local/iHdIrYxX/items/FPLRRP6W"],"itemData":{"id":169,"type":"article-journal","abstract":"Breast cancer is one of the leading causes of mortality in females. Over the past decades, intensive efforts have been made to uncover the pathogenesis of breast cancer. Interleukin-6 (IL-6) is a pleiotropic factor which has a vital role in host defense immunity and acute stress. Moreover, a wide range of studies have identiﬁed the physiological and pathological roles of IL-6 in inﬂammation, immune and cancer. Recently, several IL-6 signaling pathway-targeted monoclonal antibodies have been developed for cancer and immune therapy. Combination of IL-6 inhibitory antibody with other pathways blockage drugs have demonstrated promising outcome in both preclinical and clinical trials. This review focuses on emerging studies on the strong linkages of IL-6/IL-6R mediated regulation of inﬂammation and immunity in cancer, especially in breast cancer.","container-title":"Frontiers in Oncology","DOI":"10.3389/fonc.2022.903800","ISSN":"2234-943X","journalAbbreviation":"Front. Oncol.","language":"en","page":"903800","source":"DOI.org (Crossref)","title":"IL-6: The Link Between Inflammation, Immunity and Breast Cancer","title-short":"IL-6","URL":"https://www.frontiersin.org/articles/10.3389/fonc.2022.903800/full","volume":"12","author":[{"family":"Chen","given":"Juan"},{"family":"Wei","given":"Yanghui"},{"family":"Yang","given":"Weiqin"},{"family":"Huang","given":"Qingnan"},{"family":"Chen","given":"Yong"},{"family":"Zeng","given":"Kai"},{"family":"Chen","given":"Jiawei"}],"accessed":{"date-parts":[["2025",6,17]]},"issued":{"date-parts":[["2022",7,18]]}}}],"schema":"https://github.com/citation-style-language/schema/raw/master/csl-citation.json"} </w:instrText>
      </w:r>
      <w:r w:rsidRPr="00B05C99">
        <w:rPr>
          <w:rFonts w:ascii="Arial" w:hAnsi="Arial" w:cs="Arial"/>
          <w:sz w:val="20"/>
          <w:szCs w:val="20"/>
        </w:rPr>
        <w:fldChar w:fldCharType="separate"/>
      </w:r>
      <w:r w:rsidR="002105A2" w:rsidRPr="002105A2">
        <w:rPr>
          <w:rFonts w:ascii="Arial" w:hAnsi="Arial" w:cs="Arial"/>
          <w:sz w:val="20"/>
        </w:rPr>
        <w:t>(9)</w:t>
      </w:r>
      <w:r w:rsidRPr="00B05C99">
        <w:rPr>
          <w:rFonts w:ascii="Arial" w:hAnsi="Arial" w:cs="Arial"/>
          <w:sz w:val="20"/>
          <w:szCs w:val="20"/>
        </w:rPr>
        <w:fldChar w:fldCharType="end"/>
      </w:r>
      <w:r w:rsidRPr="00B05C99">
        <w:rPr>
          <w:rFonts w:ascii="Arial" w:hAnsi="Arial" w:cs="Arial"/>
          <w:sz w:val="20"/>
          <w:szCs w:val="20"/>
        </w:rPr>
        <w:t xml:space="preserve">. For instance, polyphenol-enriched blueberry preparation (PEBP) potently inhibited breast cancer proliferation, cell movement, and migration, by targeting inflammatory signalling cascades, including the ERK, AKT, and STAT3 pathways </w:t>
      </w:r>
      <w:r w:rsidRPr="00B05C99">
        <w:rPr>
          <w:rFonts w:ascii="Arial" w:hAnsi="Arial" w:cs="Arial"/>
          <w:sz w:val="20"/>
          <w:szCs w:val="20"/>
        </w:rPr>
        <w:fldChar w:fldCharType="begin"/>
      </w:r>
      <w:r w:rsidR="002105A2">
        <w:rPr>
          <w:rFonts w:ascii="Arial" w:hAnsi="Arial" w:cs="Arial"/>
          <w:sz w:val="20"/>
          <w:szCs w:val="20"/>
        </w:rPr>
        <w:instrText xml:space="preserve"> ADDIN ZOTERO_ITEM CSL_CITATION {"citationID":"caRgeWvO","properties":{"formattedCitation":"(10)","plainCitation":"(10)","noteIndex":0},"citationItems":[{"id":171,"uris":["http://zotero.org/users/local/iHdIrYxX/items/WMNQ4EU7"],"itemData":{"id":171,"type":"article-journal","abstract":"Colorectal cancer (CRC) is one of the most frequent gastrointestinal malignancies that are considered as a global health challenge. Despite many progresses in therapeutic methods, there is still a high rate of mortality rate among CRC patients that is associated with poor prognosis and distant metastasis. Therefore, investigating the molecular mechanisms involved in CRC metastasis can improve the prognosis. Epithelial-mesenchymal transition (EMT) process is considered as one of the main molecular mechanisms involved in CRC metastasis, which can be regulated by various signaling pathways. PI3K/AKT signaling pathway has a key role in CRC cell proliferation and migration. In the present review, we discussed the role of PI3K/AKT pathway CRC metastasis through the regulation of the EMT process. It has been shown that PI3K/AKT pathway can induce the EMT process by down regulation of epithelial markers, while up regulation of mesenchymal markers and EMT-specific transcription factors that promote CRC metastasis. This review can be an effective step toward introducing the PI3K/AKT/EMT axis to predict prognosis as well as a therapeutic target among CRC patients.","container-title":"Cell Communication and Signaling","DOI":"10.1186/s12964-023-01225-x","ISSN":"1478-811X","issue":"1","journalAbbreviation":"Cell Commun Signal","language":"en","page":"201","source":"DOI.org (Crossref)","title":"PI3K/AKT signaling pathway as a critical regulator of epithelial-mesenchymal transition in colorectal tumor cells","URL":"https://biosignaling.biomedcentral.com/articles/10.1186/s12964-023-01225-x","volume":"21","author":[{"family":"Maharati","given":"Amirhosein"},{"family":"Moghbeli","given":"Meysam"}],"accessed":{"date-parts":[["2025",6,17]]},"issued":{"date-parts":[["2023",8,14]]}}}],"schema":"https://github.com/citation-style-language/schema/raw/master/csl-citation.json"} </w:instrText>
      </w:r>
      <w:r w:rsidRPr="00B05C99">
        <w:rPr>
          <w:rFonts w:ascii="Arial" w:hAnsi="Arial" w:cs="Arial"/>
          <w:sz w:val="20"/>
          <w:szCs w:val="20"/>
        </w:rPr>
        <w:fldChar w:fldCharType="separate"/>
      </w:r>
      <w:r w:rsidR="002105A2" w:rsidRPr="002105A2">
        <w:rPr>
          <w:rFonts w:ascii="Arial" w:hAnsi="Arial" w:cs="Arial"/>
          <w:sz w:val="20"/>
        </w:rPr>
        <w:t>(10)</w:t>
      </w:r>
      <w:r w:rsidRPr="00B05C99">
        <w:rPr>
          <w:rFonts w:ascii="Arial" w:hAnsi="Arial" w:cs="Arial"/>
          <w:sz w:val="20"/>
          <w:szCs w:val="20"/>
        </w:rPr>
        <w:fldChar w:fldCharType="end"/>
      </w:r>
      <w:r w:rsidRPr="00B05C99">
        <w:rPr>
          <w:rFonts w:ascii="Arial" w:hAnsi="Arial" w:cs="Arial"/>
          <w:sz w:val="20"/>
          <w:szCs w:val="20"/>
        </w:rPr>
        <w:t>. In this regard, the anti-inflammatory activity of polyphenols may be a crucial mechanism underlying their anti-cancer and chemopreventive potentials. The anti-inflammatory activity of polyphenols is attributed to their ability to block properties against NF-κB</w:t>
      </w:r>
      <w:r w:rsidRPr="00B05C99">
        <w:rPr>
          <w:rFonts w:ascii="Arial" w:hAnsi="Arial" w:cs="Arial"/>
          <w:sz w:val="20"/>
          <w:szCs w:val="20"/>
        </w:rPr>
        <w:fldChar w:fldCharType="begin"/>
      </w:r>
      <w:r w:rsidR="002105A2">
        <w:rPr>
          <w:rFonts w:ascii="Arial" w:hAnsi="Arial" w:cs="Arial"/>
          <w:sz w:val="20"/>
          <w:szCs w:val="20"/>
        </w:rPr>
        <w:instrText xml:space="preserve"> ADDIN ZOTERO_ITEM CSL_CITATION {"citationID":"Ui0N5zXz","properties":{"formattedCitation":"(11)","plainCitation":"(11)","noteIndex":0},"citationItems":[{"id":177,"uris":["http://zotero.org/users/local/iHdIrYxX/items/5NNHPDI3"],"itemData":{"id":177,"type":"article-journal","abstract":"The complex signaling network within the breast tumor microenvironment is crucial for its growth, metastasis, angiogenesis, therapy escape, stem cell maintenance, and immunomodulation. An array of secretory factors and their receptors activate downstream signaling cascades regulating breast cancer progression and metastasis. Among various signaling pathways, the EGFR, ER, Notch, and Hedgehog signaling pathways have recently been identified as crucial in terms of breast cancer proliferation, survival, differentiation, maintenance of CSCs, and therapy failure. These receptors mediate various downstream signaling pathways such as MAPK, including MEK/ERK signaling pathways that promote common pro-oncogenic signaling, whereas dysregulation of PI3K/Akt, Wnt/β-catenin, and JAK/STAT activates key oncogenic events such as drug resistance, CSC enrichment, and metabolic reprogramming. Additionally, these cascades orchestrate an intricate interplay between stromal cells, immune cells, and tumor cells. Metabolic reprogramming and adaptations contribute to aggressive breast cancer and are unresponsive to therapy. Herein, recent insights into the novel signaling pathways operating within the breast TME that aid in their advancement are emphasized and current developments in practices targeting the breast TME to enhance treatment efficacy are reviewed.","container-title":"Cancers","DOI":"10.3390/cancers17020234","ISSN":"2072-6694","issue":"2","journalAbbreviation":"Cancers","language":"en","license":"https://creativecommons.org/licenses/by/4.0/","page":"234","source":"DOI.org (Crossref)","title":"Molecular Insights on Signaling Cascades in Breast Cancer: A Comprehensive Review","title-short":"Molecular Insights on Signaling Cascades in Breast Cancer","URL":"https://www.mdpi.com/2072-6694/17/2/234","volume":"17","author":[{"family":"Panda","given":"Venketesh K."},{"family":"Mishra","given":"Barnalee"},{"family":"Mahapatra","given":"Samikshya"},{"family":"Swain","given":"Biswajit"},{"family":"Malhotra","given":"Diksha"},{"family":"Saha","given":"Suryendu"},{"family":"Khanra","given":"Sinjan"},{"family":"Mishra","given":"Priyanka"},{"family":"Majhi","given":"Sambhunath"},{"family":"Kumari","given":"Kavita"},{"family":"Nath","given":"Angitha N."},{"family":"Saha","given":"Swarnali"},{"family":"Jena","given":"Sarmistha"},{"family":"Kundu","given":"Gopal C."}],"accessed":{"date-parts":[["2025",6,18]]},"issued":{"date-parts":[["2025",1,13]]}}}],"schema":"https://github.com/citation-style-language/schema/raw/master/csl-citation.json"} </w:instrText>
      </w:r>
      <w:r w:rsidRPr="00B05C99">
        <w:rPr>
          <w:rFonts w:ascii="Arial" w:hAnsi="Arial" w:cs="Arial"/>
          <w:sz w:val="20"/>
          <w:szCs w:val="20"/>
        </w:rPr>
        <w:fldChar w:fldCharType="separate"/>
      </w:r>
      <w:r w:rsidR="002105A2" w:rsidRPr="002105A2">
        <w:rPr>
          <w:rFonts w:ascii="Arial" w:hAnsi="Arial" w:cs="Arial"/>
          <w:sz w:val="20"/>
        </w:rPr>
        <w:t>(11)</w:t>
      </w:r>
      <w:r w:rsidRPr="00B05C99">
        <w:rPr>
          <w:rFonts w:ascii="Arial" w:hAnsi="Arial" w:cs="Arial"/>
          <w:sz w:val="20"/>
          <w:szCs w:val="20"/>
        </w:rPr>
        <w:fldChar w:fldCharType="end"/>
      </w:r>
      <w:r w:rsidRPr="00B05C99">
        <w:rPr>
          <w:rFonts w:ascii="Arial" w:hAnsi="Arial" w:cs="Arial"/>
          <w:sz w:val="20"/>
          <w:szCs w:val="20"/>
        </w:rPr>
        <w:t>, cyclooxygenase (COX-2) (Gerhäuser , and lipoxygenase (LOX)  activities</w:t>
      </w:r>
      <w:r w:rsidRPr="00B05C99">
        <w:rPr>
          <w:rFonts w:ascii="Arial" w:hAnsi="Arial" w:cs="Arial"/>
          <w:sz w:val="20"/>
          <w:szCs w:val="20"/>
        </w:rPr>
        <w:fldChar w:fldCharType="begin"/>
      </w:r>
      <w:r w:rsidR="002105A2">
        <w:rPr>
          <w:rFonts w:ascii="Arial" w:hAnsi="Arial" w:cs="Arial"/>
          <w:sz w:val="20"/>
          <w:szCs w:val="20"/>
        </w:rPr>
        <w:instrText xml:space="preserve"> ADDIN ZOTERO_ITEM CSL_CITATION {"citationID":"002c4Ih8","properties":{"formattedCitation":"(12)","plainCitation":"(12)","noteIndex":0},"citationItems":[{"id":179,"uris":["http://zotero.org/users/local/iHdIrYxX/items/CZ2XM858"],"itemData":{"id":179,"type":"article-journal","abstract":"Background: Interleukin-6 is dysregulated in multiple pathological conditions, e.g., cancer and inflammatory diseases. Aim: To investigate new mechanisms for the regulation of pathological IL-6 production. Methods: PBMCs (peripheral blood mononuclear cells) stimulated by cancer serum factors or specific peptides produce interleukin-6 (IL-6). Immunoregulatory albumin neo-structures and peptides were identified with 2D gel electrophoresis and MALDI-TOF-MS (matrix-assisted laser desorption/ionization time-of-flight mass spectrometry) analyses. Il-6 and albumin neo-structures were determined by ELISA (enzyme-linked immunosorbent assay). Results: Conformational changes in normal serum albumin by proteolytic degradation generates an IL-6-inducing neo-structure, IL6-inducing factor (IL-6IF). This neo-structure is immunogenic which results in the production of autoantibodies. IL-6 production induced by IL-6IF and cancer patient sera is inhibited by specific antibodies. The serum concentration of IL-6IF is significantly higher in advanced cancer stages, and its presence is significantly correlated with the survival of the patients. Conclusions: A new mechanism for the induction IL-6 synthesis is presented. Based on this mechanism, the pathological IL-6 production related to enhanced proteolytic activity can be diagnosed and selectively inhibited by specific antibodies. Such antibodies were identified and purified. Thus, the neo-structure, inducing pathological IL-6 production, associated with a reduced survival of cancer patients, can be selectively removed by the therapeutic administration of antibodies leaving the function of IL-6 needed for the normal activity of the immune system intact.","container-title":"Cancers","DOI":"10.3390/cancers16213588","ISSN":"2072-6694","issue":"21","journalAbbreviation":"Cancers","language":"en","license":"https://creativecommons.org/licenses/by/4.0/","page":"3588","source":"DOI.org (Crossref)","title":"A New IL-6-Inducing Mechanism in Cancer with New Therapeutic Possibilities","URL":"https://www.mdpi.com/2072-6694/16/21/3588","volume":"16","author":[{"family":"Håkansson","given":"Leif"},{"family":"Dunér","given":"Pontus"},{"family":"Broströmer","given":"Erik"},{"family":"Gustavsson","given":"Bengt"},{"family":"Wettergren","given":"Yvonne"},{"family":"Ghafouri","given":"Bijar"},{"family":"Håkansson","given":"Annika"},{"family":"Clinchy","given":"Birgitta"}],"accessed":{"date-parts":[["2025",6,18]]},"issued":{"date-parts":[["2024",10,24]]}}}],"schema":"https://github.com/citation-style-language/schema/raw/master/csl-citation.json"} </w:instrText>
      </w:r>
      <w:r w:rsidRPr="00B05C99">
        <w:rPr>
          <w:rFonts w:ascii="Arial" w:hAnsi="Arial" w:cs="Arial"/>
          <w:sz w:val="20"/>
          <w:szCs w:val="20"/>
        </w:rPr>
        <w:fldChar w:fldCharType="separate"/>
      </w:r>
      <w:r w:rsidR="002105A2" w:rsidRPr="002105A2">
        <w:rPr>
          <w:rFonts w:ascii="Arial" w:hAnsi="Arial" w:cs="Arial"/>
          <w:sz w:val="20"/>
        </w:rPr>
        <w:t>(12)</w:t>
      </w:r>
      <w:r w:rsidRPr="00B05C99">
        <w:rPr>
          <w:rFonts w:ascii="Arial" w:hAnsi="Arial" w:cs="Arial"/>
          <w:sz w:val="20"/>
          <w:szCs w:val="20"/>
        </w:rPr>
        <w:fldChar w:fldCharType="end"/>
      </w:r>
      <w:r w:rsidRPr="00B05C99">
        <w:rPr>
          <w:rFonts w:ascii="Arial" w:hAnsi="Arial" w:cs="Arial"/>
          <w:sz w:val="20"/>
          <w:szCs w:val="20"/>
        </w:rPr>
        <w:t>. The unique properties of polyphenols make them a promising adjunct therapy for cancer treatment.</w:t>
      </w:r>
    </w:p>
    <w:p w14:paraId="35E3BAD5" w14:textId="143D9021" w:rsidR="00204987" w:rsidRPr="003A4BEC" w:rsidRDefault="00204987" w:rsidP="003A4BEC">
      <w:pPr>
        <w:pStyle w:val="Heading2"/>
      </w:pPr>
      <w:r w:rsidRPr="003A4BEC">
        <w:t xml:space="preserve"> Anti-inflammatory </w:t>
      </w:r>
      <w:r w:rsidR="003A4BEC" w:rsidRPr="003A4BEC">
        <w:t>agents’</w:t>
      </w:r>
      <w:r w:rsidR="002E3F77" w:rsidRPr="003A4BEC">
        <w:t xml:space="preserve"> role </w:t>
      </w:r>
      <w:r w:rsidRPr="003A4BEC">
        <w:t>in Cancer management</w:t>
      </w:r>
    </w:p>
    <w:p w14:paraId="7C83423C" w14:textId="41AB58AF" w:rsidR="00204987" w:rsidRPr="00B05C99" w:rsidRDefault="00204987" w:rsidP="00E807B6">
      <w:pPr>
        <w:spacing w:line="240" w:lineRule="auto"/>
        <w:contextualSpacing/>
        <w:jc w:val="both"/>
        <w:rPr>
          <w:rFonts w:ascii="Arial" w:hAnsi="Arial" w:cs="Arial"/>
          <w:sz w:val="20"/>
          <w:szCs w:val="20"/>
        </w:rPr>
      </w:pPr>
      <w:r w:rsidRPr="00B05C99">
        <w:rPr>
          <w:rFonts w:ascii="Arial" w:hAnsi="Arial" w:cs="Arial"/>
          <w:sz w:val="20"/>
          <w:szCs w:val="20"/>
        </w:rPr>
        <w:t>Chronic inflammation is a hallmark of cancer initiation, progression, and metastasis, with approximately 20% of malignancies linked to inflammatory triggers such as infections, autoimmune diseases, or environmental carcinogens</w:t>
      </w:r>
      <w:r w:rsidRPr="00204987">
        <w:rPr>
          <w:rFonts w:ascii="Arial" w:hAnsi="Arial" w:cs="Arial"/>
          <w:sz w:val="20"/>
          <w:szCs w:val="20"/>
        </w:rPr>
        <w:fldChar w:fldCharType="begin"/>
      </w:r>
      <w:r w:rsidR="002105A2">
        <w:rPr>
          <w:rFonts w:ascii="Arial" w:hAnsi="Arial" w:cs="Arial"/>
          <w:sz w:val="20"/>
          <w:szCs w:val="20"/>
        </w:rPr>
        <w:instrText xml:space="preserve"> ADDIN ZOTERO_ITEM CSL_CITATION {"citationID":"aN5am3mq","properties":{"formattedCitation":"(13)","plainCitation":"(13)","noteIndex":0},"citationItems":[{"id":183,"uris":["http://zotero.org/users/local/iHdIrYxX/items/23EBBBV7"],"itemData":{"id":183,"type":"article-journal","abstract":"This review offers a systematic understanding about how polyphenols target multiple inﬂammatory components and lead to anti-inﬂammatory mechanisms. It provides a clear understanding of the molecular mechanisms of action of phenolic compounds. Polyphenols regulate immunity by interfering with immune cell regulation, proinﬂammatory cytokines’ synthesis, and gene expression. They inactivate NF-κB (nuclear factor kappa-light-chain-enhancer of activated B cells) and modulate mitogen-activated protein Kinase (MAPk) and arachidonic acids pathways. Polyphenolic compounds inhibit phosphatidylinositide 3-kinases/protein kinase B (PI3K/AkT), inhibitor of kappa kinase/c-Jun amino-terminal kinases (IKK/JNK), mammalian target of rapamycin complex 1 (mTORC1) which is a protein complex that controls protein synthesis, and JAK/STAT. They can suppress toll-like receptor (TLR) and pro-inﬂammatory genes’ expression. Their antioxidant activity and ability to inhibit enzymes involved in the production of eicosanoids contribute as well to their anti-inﬂammation properties. They inhibit certain enzymes involved in reactive oxygen species ROS production like xanthine oxidase and NADPH oxidase (NOX) while they upregulate other endogenous antioxidant enzymes like superoxide dismutase (SOD), catalase, and glutathione (GSH) peroxidase (Px). Furthermore, they inhibit phospholipase A2 (PLA2), cyclooxygenase (COX) and lipoxygenase (LOX) leading to a reduction in the production of prostaglandins (PGs) and leukotrienes (LTs) and inﬂammation antagonism. The effects of these biologically active compounds on the immune system are associated with extended health beneﬁts for different chronic inﬂammatory diseases. Studies of plant extracts and compounds show that polyphenols can play a beneﬁcial role in the prevention and the progress of chronic diseases related to inﬂammation such as diabetes, obesity, neurodegeneration, cancers, and cardiovascular diseases, among other conditions.","container-title":"Nutrients","DOI":"10.3390/nu10111618","ISSN":"2072-6643","issue":"11","journalAbbreviation":"Nutrients","language":"en","license":"https://creativecommons.org/licenses/by/4.0/","page":"1618","source":"DOI.org (Crossref)","title":"The Immunomodulatory and Anti-Inflammatory Role of Polyphenols","URL":"https://www.mdpi.com/2072-6643/10/11/1618","volume":"10","author":[{"family":"Yahfoufi","given":"Nour"},{"family":"Alsadi","given":"Nawal"},{"family":"Jambi","given":"Majed"},{"family":"Matar","given":"Chantal"}],"accessed":{"date-parts":[["2025",6,18]]},"issued":{"date-parts":[["2018",11,2]]}}}],"schema":"https://github.com/citation-style-language/schema/raw/master/csl-citation.json"} </w:instrText>
      </w:r>
      <w:r w:rsidRPr="00204987">
        <w:rPr>
          <w:rFonts w:ascii="Arial" w:hAnsi="Arial" w:cs="Arial"/>
          <w:sz w:val="20"/>
          <w:szCs w:val="20"/>
        </w:rPr>
        <w:fldChar w:fldCharType="separate"/>
      </w:r>
      <w:r w:rsidR="002105A2" w:rsidRPr="002105A2">
        <w:rPr>
          <w:rFonts w:ascii="Arial" w:hAnsi="Arial" w:cs="Arial"/>
          <w:sz w:val="20"/>
        </w:rPr>
        <w:t>(13)</w:t>
      </w:r>
      <w:r w:rsidRPr="00204987">
        <w:rPr>
          <w:rFonts w:ascii="Arial" w:hAnsi="Arial" w:cs="Arial"/>
          <w:sz w:val="20"/>
          <w:szCs w:val="20"/>
        </w:rPr>
        <w:fldChar w:fldCharType="end"/>
      </w:r>
      <w:r w:rsidRPr="00B05C99">
        <w:rPr>
          <w:rFonts w:ascii="Arial" w:hAnsi="Arial" w:cs="Arial"/>
          <w:sz w:val="20"/>
          <w:szCs w:val="20"/>
        </w:rPr>
        <w:t xml:space="preserve">. Tumour-associated inflammation drives an immunosuppressive microenvironment characterized by infiltrating immune cells (e.g., macrophages, neutrophils) that secrete pro-inflammatory cytokines, including interleukin (IL)-6, tumour necrosis factor (TNF)-α, and IL-1β </w:t>
      </w:r>
      <w:r w:rsidRPr="00204987">
        <w:rPr>
          <w:rFonts w:ascii="Arial" w:hAnsi="Arial" w:cs="Arial"/>
          <w:sz w:val="20"/>
          <w:szCs w:val="20"/>
        </w:rPr>
        <w:fldChar w:fldCharType="begin"/>
      </w:r>
      <w:r w:rsidR="002105A2">
        <w:rPr>
          <w:rFonts w:ascii="Arial" w:hAnsi="Arial" w:cs="Arial"/>
          <w:sz w:val="20"/>
          <w:szCs w:val="20"/>
        </w:rPr>
        <w:instrText xml:space="preserve"> ADDIN ZOTERO_ITEM CSL_CITATION {"citationID":"T6EFb5Mr","properties":{"formattedCitation":"(14)","plainCitation":"(14)","noteIndex":0},"citationItems":[{"id":185,"uris":["http://zotero.org/users/local/iHdIrYxX/items/FIV8MX57"],"itemData":{"id":185,"type":"article-journal","abstract":"Inflammatory responses play decisive roles at different stages of tumor development, including initiation, promotion, malignant conversion, invasion, and metastasis. Inflammation also affects immune surveillance and responses to therapy. Immune cells that infiltrate tumors engage in an extensive and dynamic crosstalk with cancer cells and some of the molecular events that mediate this dialog have been revealed. This review outlines the principal mechanisms that govern the effects of inflammation and immunity on tumor development and discusses attractive new targets for cancer therapy and prevention.","container-title":"Cell","DOI":"10.1016/j.cell.2010.01.025","ISSN":"00928674","issue":"6","journalAbbreviation":"Cell","language":"en","license":"https://www.elsevier.com/tdm/userlicense/1.0/","page":"883-899","source":"DOI.org (Crossref)","title":"Immunity, Inflammation, and Cancer","URL":"https://linkinghub.elsevier.com/retrieve/pii/S0092867410000607","volume":"140","author":[{"family":"Grivennikov","given":"Sergei I."},{"family":"Greten","given":"Florian R."},{"family":"Karin","given":"Michael"}],"accessed":{"date-parts":[["2025",6,18]]},"issued":{"date-parts":[["2010",3]]}}}],"schema":"https://github.com/citation-style-language/schema/raw/master/csl-citation.json"} </w:instrText>
      </w:r>
      <w:r w:rsidRPr="00204987">
        <w:rPr>
          <w:rFonts w:ascii="Arial" w:hAnsi="Arial" w:cs="Arial"/>
          <w:sz w:val="20"/>
          <w:szCs w:val="20"/>
        </w:rPr>
        <w:fldChar w:fldCharType="separate"/>
      </w:r>
      <w:r w:rsidR="002105A2" w:rsidRPr="002105A2">
        <w:rPr>
          <w:rFonts w:ascii="Arial" w:hAnsi="Arial" w:cs="Arial"/>
          <w:sz w:val="20"/>
        </w:rPr>
        <w:t>(14)</w:t>
      </w:r>
      <w:r w:rsidRPr="00204987">
        <w:rPr>
          <w:rFonts w:ascii="Arial" w:hAnsi="Arial" w:cs="Arial"/>
          <w:sz w:val="20"/>
          <w:szCs w:val="20"/>
        </w:rPr>
        <w:fldChar w:fldCharType="end"/>
      </w:r>
      <w:r w:rsidRPr="00B05C99">
        <w:rPr>
          <w:rFonts w:ascii="Arial" w:hAnsi="Arial" w:cs="Arial"/>
          <w:sz w:val="20"/>
          <w:szCs w:val="20"/>
        </w:rPr>
        <w:t xml:space="preserve">. These cytokines activate </w:t>
      </w:r>
      <w:bookmarkStart w:id="3" w:name="_Hlk197335793"/>
      <w:r w:rsidRPr="00B05C99">
        <w:rPr>
          <w:rFonts w:ascii="Arial" w:hAnsi="Arial" w:cs="Arial"/>
          <w:sz w:val="20"/>
          <w:szCs w:val="20"/>
        </w:rPr>
        <w:t xml:space="preserve">the nuclear factor kappa B (NF-κB) and signal transducer and activator of transcription 3 (STAT3) pathways, promoting the survival, proliferation, and angiogenesis of cancer cells while suppressing apoptosis </w:t>
      </w:r>
      <w:r w:rsidRPr="00204987">
        <w:rPr>
          <w:rFonts w:ascii="Arial" w:hAnsi="Arial" w:cs="Arial"/>
          <w:sz w:val="20"/>
          <w:szCs w:val="20"/>
        </w:rPr>
        <w:fldChar w:fldCharType="begin"/>
      </w:r>
      <w:r w:rsidR="002105A2">
        <w:rPr>
          <w:rFonts w:ascii="Arial" w:hAnsi="Arial" w:cs="Arial"/>
          <w:sz w:val="20"/>
          <w:szCs w:val="20"/>
        </w:rPr>
        <w:instrText xml:space="preserve"> ADDIN ZOTERO_ITEM CSL_CITATION {"citationID":"gtU6dfCd","properties":{"formattedCitation":"(14)","plainCitation":"(14)","noteIndex":0},"citationItems":[{"id":185,"uris":["http://zotero.org/users/local/iHdIrYxX/items/FIV8MX57"],"itemData":{"id":185,"type":"article-journal","abstract":"Inflammatory responses play decisive roles at different stages of tumor development, including initiation, promotion, malignant conversion, invasion, and metastasis. Inflammation also affects immune surveillance and responses to therapy. Immune cells that infiltrate tumors engage in an extensive and dynamic crosstalk with cancer cells and some of the molecular events that mediate this dialog have been revealed. This review outlines the principal mechanisms that govern the effects of inflammation and immunity on tumor development and discusses attractive new targets for cancer therapy and prevention.","container-title":"Cell","DOI":"10.1016/j.cell.2010.01.025","ISSN":"00928674","issue":"6","journalAbbreviation":"Cell","language":"en","license":"https://www.elsevier.com/tdm/userlicense/1.0/","page":"883-899","source":"DOI.org (Crossref)","title":"Immunity, Inflammation, and Cancer","URL":"https://linkinghub.elsevier.com/retrieve/pii/S0092867410000607","volume":"140","author":[{"family":"Grivennikov","given":"Sergei I."},{"family":"Greten","given":"Florian R."},{"family":"Karin","given":"Michael"}],"accessed":{"date-parts":[["2025",6,18]]},"issued":{"date-parts":[["2010",3]]}}}],"schema":"https://github.com/citation-style-language/schema/raw/master/csl-citation.json"} </w:instrText>
      </w:r>
      <w:r w:rsidRPr="00204987">
        <w:rPr>
          <w:rFonts w:ascii="Arial" w:hAnsi="Arial" w:cs="Arial"/>
          <w:sz w:val="20"/>
          <w:szCs w:val="20"/>
        </w:rPr>
        <w:fldChar w:fldCharType="separate"/>
      </w:r>
      <w:r w:rsidR="002105A2" w:rsidRPr="002105A2">
        <w:rPr>
          <w:rFonts w:ascii="Arial" w:hAnsi="Arial" w:cs="Arial"/>
          <w:sz w:val="20"/>
        </w:rPr>
        <w:t>(14)</w:t>
      </w:r>
      <w:r w:rsidRPr="00204987">
        <w:rPr>
          <w:rFonts w:ascii="Arial" w:hAnsi="Arial" w:cs="Arial"/>
          <w:sz w:val="20"/>
          <w:szCs w:val="20"/>
        </w:rPr>
        <w:fldChar w:fldCharType="end"/>
      </w:r>
      <w:r w:rsidRPr="00B05C99">
        <w:rPr>
          <w:rFonts w:ascii="Arial" w:hAnsi="Arial" w:cs="Arial"/>
          <w:sz w:val="20"/>
          <w:szCs w:val="20"/>
        </w:rPr>
        <w:t>.</w:t>
      </w:r>
      <w:bookmarkEnd w:id="3"/>
      <w:r w:rsidRPr="00B05C99">
        <w:rPr>
          <w:rFonts w:ascii="Arial" w:hAnsi="Arial" w:cs="Arial"/>
          <w:sz w:val="20"/>
          <w:szCs w:val="20"/>
        </w:rPr>
        <w:t xml:space="preserve"> Cytokine-mediated activation of cyclooxygenase-2 (COX-2) also increases prostaglandin E2 (PGE2), a key mediator of cancer-related inflammation associated with immune evasion and metastatic spread. Notably, IL-1β secreted by tumour-associated macrophages induces epithelial-to-mesenchymal transition (EMT), facilitating invasion and dissemination</w:t>
      </w:r>
      <w:r w:rsidR="00C24BCA">
        <w:rPr>
          <w:rFonts w:ascii="Arial" w:hAnsi="Arial" w:cs="Arial"/>
          <w:sz w:val="20"/>
          <w:szCs w:val="20"/>
        </w:rPr>
        <w:t xml:space="preserve"> (28).</w:t>
      </w:r>
      <w:r w:rsidRPr="00B05C99">
        <w:rPr>
          <w:rFonts w:ascii="Arial" w:hAnsi="Arial" w:cs="Arial"/>
          <w:sz w:val="20"/>
          <w:szCs w:val="20"/>
        </w:rPr>
        <w:t xml:space="preserve"> The tumour microenvironment’s hypoxic conditions exacerbate inflammation through hypoxia-inducible factor 1- alpha (HIF-1α)-dependent upregulation of IL-8 and vascular endothelial growth factor (VEGF), fostering angiogenesis. Persistent inflammation also generates reactive oxygen species (ROS) that cause DNA damage and genomic instability, accelerating oncogenic mutations. Clinically, elevated serum levels of C-reactive protein (CRP) and IL-6 correlate with a poor prognosis in multiple cancers, underscoring inflammation as both a risk factor and a prognostic indicator. Given this nexus, current research explores anti-inflammatory agents—from NSAIDs to plant-derived polyphenols—to disrupt protumorigenic signalling and enhance chemo-sensitivity.</w:t>
      </w:r>
    </w:p>
    <w:p w14:paraId="3FA67D52" w14:textId="524D3D58" w:rsidR="00C91D4C" w:rsidRPr="003A4BEC" w:rsidRDefault="008C2E22" w:rsidP="003A4BEC">
      <w:pPr>
        <w:pStyle w:val="Heading2"/>
      </w:pPr>
      <w:bookmarkStart w:id="4" w:name="_Toc196381520"/>
      <w:bookmarkStart w:id="5" w:name="_Toc182364702"/>
      <w:bookmarkStart w:id="6" w:name="_Toc182460159"/>
      <w:bookmarkStart w:id="7" w:name="_Toc182365746"/>
      <w:r w:rsidRPr="003A4BEC">
        <w:t>Zinc Oxide</w:t>
      </w:r>
      <w:r w:rsidR="002E3F77" w:rsidRPr="003A4BEC">
        <w:t xml:space="preserve"> nanoparticle’s r</w:t>
      </w:r>
      <w:r w:rsidRPr="003A4BEC">
        <w:t>ole in Cancer Treatment</w:t>
      </w:r>
      <w:bookmarkEnd w:id="4"/>
      <w:bookmarkEnd w:id="5"/>
      <w:bookmarkEnd w:id="6"/>
      <w:bookmarkEnd w:id="7"/>
    </w:p>
    <w:p w14:paraId="1A21BBD7" w14:textId="2E7795E5" w:rsidR="0016087A" w:rsidRPr="00F5204F" w:rsidRDefault="00F5204F" w:rsidP="00E807B6">
      <w:pPr>
        <w:spacing w:line="240" w:lineRule="auto"/>
        <w:contextualSpacing/>
        <w:jc w:val="both"/>
        <w:rPr>
          <w:rFonts w:ascii="Arial" w:hAnsi="Arial" w:cs="Arial"/>
          <w:sz w:val="20"/>
          <w:szCs w:val="20"/>
          <w:lang w:val="en-ZW"/>
        </w:rPr>
      </w:pPr>
      <w:r w:rsidRPr="00F5204F">
        <w:rPr>
          <w:rFonts w:ascii="Arial" w:hAnsi="Arial" w:cs="Arial"/>
          <w:sz w:val="20"/>
          <w:szCs w:val="20"/>
          <w:lang w:val="en-ZW"/>
        </w:rPr>
        <w:t>Due to their unique physicochemical characteristics and selective cytotoxicity towards cancer cells, zinc oxide nanoparticles</w:t>
      </w:r>
      <w:r w:rsidR="002E3F77">
        <w:rPr>
          <w:rFonts w:ascii="Arial" w:hAnsi="Arial" w:cs="Arial"/>
          <w:sz w:val="20"/>
          <w:szCs w:val="20"/>
          <w:lang w:val="en-ZW"/>
        </w:rPr>
        <w:t xml:space="preserve"> (</w:t>
      </w:r>
      <w:r w:rsidR="002E3F77" w:rsidRPr="00F5204F">
        <w:rPr>
          <w:rFonts w:ascii="Arial" w:hAnsi="Arial" w:cs="Arial"/>
          <w:sz w:val="20"/>
          <w:szCs w:val="20"/>
          <w:lang w:val="en-ZW"/>
        </w:rPr>
        <w:t>(ZnO</w:t>
      </w:r>
      <w:r w:rsidR="002E3F77">
        <w:rPr>
          <w:rFonts w:ascii="Arial" w:hAnsi="Arial" w:cs="Arial"/>
          <w:sz w:val="20"/>
          <w:szCs w:val="20"/>
          <w:lang w:val="en-ZW"/>
        </w:rPr>
        <w:t>NPs</w:t>
      </w:r>
      <w:r w:rsidR="002E3F77" w:rsidRPr="00F5204F">
        <w:rPr>
          <w:rFonts w:ascii="Arial" w:hAnsi="Arial" w:cs="Arial"/>
          <w:sz w:val="20"/>
          <w:szCs w:val="20"/>
          <w:lang w:val="en-ZW"/>
        </w:rPr>
        <w:t xml:space="preserve">) </w:t>
      </w:r>
      <w:r w:rsidRPr="00F5204F">
        <w:rPr>
          <w:rFonts w:ascii="Arial" w:hAnsi="Arial" w:cs="Arial"/>
          <w:sz w:val="20"/>
          <w:szCs w:val="20"/>
          <w:lang w:val="en-ZW"/>
        </w:rPr>
        <w:t xml:space="preserve"> have attracted attention recently for their potential use in cancer therapy. By producing reactive oxygen species (ROS) causing oxidative stress within tumor cells, these </w:t>
      </w:r>
      <w:r w:rsidRPr="00F5204F">
        <w:rPr>
          <w:rFonts w:ascii="Arial" w:hAnsi="Arial" w:cs="Arial"/>
          <w:sz w:val="20"/>
          <w:szCs w:val="20"/>
          <w:lang w:val="en-ZW"/>
        </w:rPr>
        <w:lastRenderedPageBreak/>
        <w:t>nanoparticles spare normal cells and induce apoptosis or programmed cell death (16). This selective action is especially beneficial because it reduces the side effects typically associated with conventional cancer treatments. Additionally, ZnO nanoparticles can improve drug delivery through increased cellular uptake, which makes them a promising adjunctive strategy in oncological applications (17).</w:t>
      </w:r>
      <w:r w:rsidR="0016087A" w:rsidRPr="00237CF8">
        <w:rPr>
          <w:rFonts w:ascii="Arial" w:hAnsi="Arial" w:cs="Arial"/>
          <w:sz w:val="20"/>
          <w:szCs w:val="20"/>
        </w:rPr>
        <w:t>The integration of ZnO with other bioactive compounds, such as herbal extracts, may further potentiate its anticancer effects by targeting multiple pathways involved in tumor progression simultaneously.</w:t>
      </w:r>
    </w:p>
    <w:p w14:paraId="57CCD363" w14:textId="0BD63D96" w:rsidR="00C91D4C" w:rsidRPr="003A4BEC" w:rsidRDefault="008C2E22" w:rsidP="003A4BEC">
      <w:pPr>
        <w:pStyle w:val="Heading2"/>
      </w:pPr>
      <w:bookmarkStart w:id="8" w:name="_Toc182364703"/>
      <w:bookmarkStart w:id="9" w:name="_Toc182365747"/>
      <w:bookmarkStart w:id="10" w:name="_Toc182460160"/>
      <w:bookmarkStart w:id="11" w:name="_Toc196381521"/>
      <w:r w:rsidRPr="003A4BEC">
        <w:t xml:space="preserve">Synergistic Effects of </w:t>
      </w:r>
      <w:r w:rsidR="003A4BEC" w:rsidRPr="003A4BEC">
        <w:t>herbal</w:t>
      </w:r>
      <w:r w:rsidRPr="003A4BEC">
        <w:t xml:space="preserve"> Extracts and Zinc Oxide</w:t>
      </w:r>
      <w:bookmarkEnd w:id="8"/>
      <w:bookmarkEnd w:id="9"/>
      <w:bookmarkEnd w:id="10"/>
      <w:bookmarkEnd w:id="11"/>
    </w:p>
    <w:p w14:paraId="7801CDC4" w14:textId="74FEC7AE" w:rsidR="0016087A" w:rsidRPr="00237CF8" w:rsidRDefault="0016087A" w:rsidP="00E807B6">
      <w:pPr>
        <w:spacing w:line="240" w:lineRule="auto"/>
        <w:contextualSpacing/>
        <w:jc w:val="both"/>
        <w:rPr>
          <w:rFonts w:ascii="Arial" w:hAnsi="Arial" w:cs="Arial"/>
          <w:sz w:val="20"/>
          <w:szCs w:val="20"/>
        </w:rPr>
      </w:pPr>
      <w:r w:rsidRPr="00237CF8">
        <w:rPr>
          <w:rFonts w:ascii="Arial" w:hAnsi="Arial" w:cs="Arial"/>
          <w:sz w:val="20"/>
          <w:szCs w:val="20"/>
        </w:rPr>
        <w:t xml:space="preserve">The combination of </w:t>
      </w:r>
      <w:r w:rsidR="003A4BEC" w:rsidRPr="003A4BEC">
        <w:rPr>
          <w:rFonts w:ascii="Arial" w:hAnsi="Arial" w:cs="Arial"/>
          <w:sz w:val="20"/>
          <w:szCs w:val="20"/>
        </w:rPr>
        <w:t>plant metabolites</w:t>
      </w:r>
      <w:r w:rsidRPr="00237CF8">
        <w:rPr>
          <w:rFonts w:ascii="Arial" w:hAnsi="Arial" w:cs="Arial"/>
          <w:sz w:val="20"/>
          <w:szCs w:val="20"/>
        </w:rPr>
        <w:t xml:space="preserve"> with zinc oxide nanoparticles presents a promising synergistic approach for enhancing anticancer efficacy while minimizing potential toxicity. The p</w:t>
      </w:r>
      <w:r w:rsidR="003A4BEC">
        <w:rPr>
          <w:rFonts w:ascii="Arial" w:hAnsi="Arial" w:cs="Arial"/>
          <w:sz w:val="20"/>
          <w:szCs w:val="20"/>
        </w:rPr>
        <w:t>olyphenolic secondary metabolites abundant in plants</w:t>
      </w:r>
      <w:r w:rsidRPr="00237CF8">
        <w:rPr>
          <w:rFonts w:ascii="Arial" w:hAnsi="Arial" w:cs="Arial"/>
          <w:sz w:val="20"/>
          <w:szCs w:val="20"/>
        </w:rPr>
        <w:t xml:space="preserve">, known for their antioxidant properties, can help mitigate oxidative damage induced by the reactive oxygen species (ROS) generated by ZnO nanoparticles, thereby protecting healthy tissues </w:t>
      </w:r>
      <w:r w:rsidRPr="00237CF8">
        <w:rPr>
          <w:rFonts w:ascii="Arial" w:hAnsi="Arial" w:cs="Arial"/>
          <w:sz w:val="20"/>
          <w:szCs w:val="20"/>
        </w:rPr>
        <w:fldChar w:fldCharType="begin"/>
      </w:r>
      <w:r w:rsidR="002105A2">
        <w:rPr>
          <w:rFonts w:ascii="Arial" w:hAnsi="Arial" w:cs="Arial"/>
          <w:sz w:val="20"/>
          <w:szCs w:val="20"/>
        </w:rPr>
        <w:instrText xml:space="preserve"> ADDIN ZOTERO_ITEM CSL_CITATION {"citationID":"XhSdervJ","properties":{"formattedCitation":"(15)","plainCitation":"(15)","noteIndex":0},"citationItems":[{"id":125,"uris":["http://zotero.org/users/local/iHdIrYxX/items/RV4FQH2C"],"itemData":{"id":125,"type":"article-journal","abstract":"Oxidative stress is commonly defined as an imbalance between reactive oxygen species (ROS) production and an organism’s ability to neutralize them via antioxidant defense mechanisms, leading to damage to biomolecules, including lipids, proteins, and DNA [...]","container-title":"Antioxidants","DOI":"10.3390/antiox14020221","ISSN":"2076-3921","issue":"2","journalAbbreviation":"Antioxidants","language":"en","license":"https://creativecommons.org/licenses/by/4.0/","page":"221","source":"DOI.org (Crossref)","title":"Nanoparticles with Antioxidant Activity","URL":"https://www.mdpi.com/2076-3921/14/2/221","volume":"14","author":[{"family":"Daré","given":"Regina G."},{"family":"Lautenschlager","given":"Sueli O. S."}],"accessed":{"date-parts":[["2025",5,13]]},"issued":{"date-parts":[["2025",2,15]]}}}],"schema":"https://github.com/citation-style-language/schema/raw/master/csl-citation.json"} </w:instrText>
      </w:r>
      <w:r w:rsidRPr="00237CF8">
        <w:rPr>
          <w:rFonts w:ascii="Arial" w:hAnsi="Arial" w:cs="Arial"/>
          <w:sz w:val="20"/>
          <w:szCs w:val="20"/>
        </w:rPr>
        <w:fldChar w:fldCharType="separate"/>
      </w:r>
      <w:r w:rsidR="002105A2" w:rsidRPr="002105A2">
        <w:rPr>
          <w:rFonts w:ascii="Arial" w:hAnsi="Arial" w:cs="Arial"/>
          <w:sz w:val="20"/>
        </w:rPr>
        <w:t>(15)</w:t>
      </w:r>
      <w:r w:rsidRPr="00237CF8">
        <w:rPr>
          <w:rFonts w:ascii="Arial" w:hAnsi="Arial" w:cs="Arial"/>
          <w:sz w:val="20"/>
          <w:szCs w:val="20"/>
        </w:rPr>
        <w:fldChar w:fldCharType="end"/>
      </w:r>
      <w:r w:rsidRPr="00237CF8">
        <w:rPr>
          <w:rFonts w:ascii="Arial" w:hAnsi="Arial" w:cs="Arial"/>
          <w:sz w:val="20"/>
          <w:szCs w:val="20"/>
        </w:rPr>
        <w:t xml:space="preserve">. At the same time, these antioxidants potentiate the cytotoxic effects on cancer cells, making this combination an effective strategy for targeting multiple pathways involved in cancer progression </w:t>
      </w:r>
      <w:r w:rsidRPr="00237CF8">
        <w:rPr>
          <w:rFonts w:ascii="Arial" w:hAnsi="Arial" w:cs="Arial"/>
          <w:sz w:val="20"/>
          <w:szCs w:val="20"/>
        </w:rPr>
        <w:fldChar w:fldCharType="begin"/>
      </w:r>
      <w:r w:rsidR="002105A2">
        <w:rPr>
          <w:rFonts w:ascii="Arial" w:hAnsi="Arial" w:cs="Arial"/>
          <w:sz w:val="20"/>
          <w:szCs w:val="20"/>
        </w:rPr>
        <w:instrText xml:space="preserve"> ADDIN ZOTERO_ITEM CSL_CITATION {"citationID":"aYyQdOtE","properties":{"formattedCitation":"(16)","plainCitation":"(16)","noteIndex":0},"citationItems":[{"id":127,"uris":["http://zotero.org/users/local/iHdIrYxX/items/WUCQQ3HM"],"itemData":{"id":127,"type":"article-journal","abstract":"Quercetin, a flavonoid known for its potent antioxidant and anti-inflammatory properties, has gained attention in cancer therapy due to its ability to modulate key molecular pathways involved in tumor progression and immune evasion. This review provides a comprehensive analysis of quercetin’s effects on pathways such as PI3K/Akt/mTOR, MAPK/ERK, NF-κB, and JAK/STAT, which are central to cancer cell survival, proliferation, and apoptosis. Through inhibition of PI3K/ Akt/mTOR and MAPK/ERK signaling, quercetin promotes apoptosis and reduces proliferation specifically in cancer cells while sparing healthy cells. Additionally, quercetin downregulates NFκB activity and modulates JAK/STAT signaling, enhancing immune recognition of cancer cells and decreasing inflammation in the tumor microenvironment. Emerging nanoformulation strategies are also discussed, highlighting how nanotechnology can improve quercetin’s bioavailability and targeting capabilities. Unlike other reviews, this work uniquely integrates molecular insights with cutting-edge nanoformulations, showcasing quercetin’s dual potential as a therapeutic agent and an immune modulator in the evolving landscape of cancer treatment. This review underscores quercetin’s multifaceted role in cancer treatment and suggests future directions to optimize its clinical efficacy, particularly in combination with conventional therapies.","container-title":"Heliyon","DOI":"10.1016/j.heliyon.2025.e42682","ISSN":"24058440","issue":"4","journalAbbreviation":"Heliyon","language":"en","page":"e42682","source":"DOI.org (Crossref)","title":"Phytochemical insights into flavonoids in cancer: Mechanisms, therapeutic potential, and the case of quercetin","title-short":"Phytochemical insights into flavonoids in cancer","URL":"https://linkinghub.elsevier.com/retrieve/pii/S2405844025010631","volume":"11","author":[{"family":"Silva-Pinto","given":"Piero Alex"},{"family":"De Pontes","given":"Janaína Teixeira Costa"},{"family":"Aguilar-Morón","given":"Brigitte"},{"family":"Canales","given":"Christian Shleider Carnero"},{"family":"Pavan","given":"Fernando Rogério"},{"family":"Roque-Borda","given":"Cesar Augusto"}],"accessed":{"date-parts":[["2025",5,13]]},"issued":{"date-parts":[["2025",2]]}}}],"schema":"https://github.com/citation-style-language/schema/raw/master/csl-citation.json"} </w:instrText>
      </w:r>
      <w:r w:rsidRPr="00237CF8">
        <w:rPr>
          <w:rFonts w:ascii="Arial" w:hAnsi="Arial" w:cs="Arial"/>
          <w:sz w:val="20"/>
          <w:szCs w:val="20"/>
        </w:rPr>
        <w:fldChar w:fldCharType="separate"/>
      </w:r>
      <w:r w:rsidR="002105A2" w:rsidRPr="002105A2">
        <w:rPr>
          <w:rFonts w:ascii="Arial" w:hAnsi="Arial" w:cs="Arial"/>
          <w:sz w:val="20"/>
        </w:rPr>
        <w:t>(16)</w:t>
      </w:r>
      <w:r w:rsidRPr="00237CF8">
        <w:rPr>
          <w:rFonts w:ascii="Arial" w:hAnsi="Arial" w:cs="Arial"/>
          <w:sz w:val="20"/>
          <w:szCs w:val="20"/>
        </w:rPr>
        <w:fldChar w:fldCharType="end"/>
      </w:r>
      <w:r w:rsidRPr="00237CF8">
        <w:rPr>
          <w:rFonts w:ascii="Arial" w:hAnsi="Arial" w:cs="Arial"/>
          <w:sz w:val="20"/>
          <w:szCs w:val="20"/>
        </w:rPr>
        <w:t xml:space="preserve">. This dual action aligns with current trends in developing multifunctional therapeutics that aim to improve therapeutic outcomes while reducing side effects associated with conventional treatments </w:t>
      </w:r>
      <w:r w:rsidRPr="00237CF8">
        <w:rPr>
          <w:rFonts w:ascii="Arial" w:hAnsi="Arial" w:cs="Arial"/>
          <w:sz w:val="20"/>
          <w:szCs w:val="20"/>
        </w:rPr>
        <w:fldChar w:fldCharType="begin"/>
      </w:r>
      <w:r w:rsidR="002105A2">
        <w:rPr>
          <w:rFonts w:ascii="Arial" w:hAnsi="Arial" w:cs="Arial"/>
          <w:sz w:val="20"/>
          <w:szCs w:val="20"/>
        </w:rPr>
        <w:instrText xml:space="preserve"> ADDIN ZOTERO_ITEM CSL_CITATION {"citationID":"HgvVPATa","properties":{"formattedCitation":"(17)","plainCitation":"(17)","noteIndex":0},"citationItems":[{"id":129,"uris":["http://zotero.org/users/local/iHdIrYxX/items/AKY28ZPC"],"itemData":{"id":129,"type":"article-journal","abstract":"The fabrication of zinc oxide-based nanomaterials (including natural and synthetic polymers like sulfated polysaccharide, chitosan, and polymethyl methacrylate) has potential to improve oral cancer treatment strategies. This comprehensive review explores the diverse synthesis methods employed to fabricate zinc oxide nanomaterials tailored for oral cancer applications. Several synthesis processes, particularly sol–gel, hydrothermal, and chemical vapor deposition approaches, are thoroughly studied, highlighting their advantages and limitations. The review also examines how synthesis parameters, such as precursor selection, the reaction temperature, and growth conditions, influence both the physicochemical attributes and biological efficacy of the resulting nanomaterials. Furthermore, recent advancements in surface functionalization and modification strategies targeted at improving the targeting specificity and pharmaceutical effectiveness of zinc oxide-based nanomaterials in oral cancer therapy are elucidated. Additionally, the review provides insights into the existing issues and prospective views in the field, emphasizing the need for further research to optimize synthesis methodologies and elucidate the mechanisms underlying the efficacy of zinc oxide-based nanoparticles in oral cancer therapy.","container-title":"Molecules","DOI":"10.3390/molecules29112706","ISSN":"1420-3049","issue":"11","journalAbbreviation":"Molecules","language":"en","license":"https://creativecommons.org/licenses/by/4.0/","page":"2706","source":"DOI.org (Crossref)","title":"Advancements in the Synthesis and Functionalization of Zinc Oxide-Based Nanomaterials for Enhanced Oral Cancer Therapy","URL":"https://www.mdpi.com/1420-3049/29/11/2706","volume":"29","author":[{"family":"Pei","given":"Jinjin"},{"family":"Natarajan","given":"Prabhu Manickam"},{"family":"Umapathy","given":"Vidhya Rekha"},{"family":"Swamikannu","given":"Bhuminathan"},{"family":"Sivaraman","given":"Nandini Manickam"},{"family":"Krishnasamy","given":"Lakshmi"},{"family":"Palanisamy","given":"Chella Perumal"}],"accessed":{"date-parts":[["2025",5,13]]},"issued":{"date-parts":[["2024",6,6]]}}}],"schema":"https://github.com/citation-style-language/schema/raw/master/csl-citation.json"} </w:instrText>
      </w:r>
      <w:r w:rsidRPr="00237CF8">
        <w:rPr>
          <w:rFonts w:ascii="Arial" w:hAnsi="Arial" w:cs="Arial"/>
          <w:sz w:val="20"/>
          <w:szCs w:val="20"/>
        </w:rPr>
        <w:fldChar w:fldCharType="separate"/>
      </w:r>
      <w:r w:rsidR="002105A2" w:rsidRPr="002105A2">
        <w:rPr>
          <w:rFonts w:ascii="Arial" w:hAnsi="Arial" w:cs="Arial"/>
          <w:sz w:val="20"/>
        </w:rPr>
        <w:t>(17)</w:t>
      </w:r>
      <w:r w:rsidRPr="00237CF8">
        <w:rPr>
          <w:rFonts w:ascii="Arial" w:hAnsi="Arial" w:cs="Arial"/>
          <w:sz w:val="20"/>
          <w:szCs w:val="20"/>
        </w:rPr>
        <w:fldChar w:fldCharType="end"/>
      </w:r>
      <w:r w:rsidRPr="00237CF8">
        <w:rPr>
          <w:rFonts w:ascii="Arial" w:hAnsi="Arial" w:cs="Arial"/>
          <w:sz w:val="20"/>
          <w:szCs w:val="20"/>
        </w:rPr>
        <w:t>.</w:t>
      </w:r>
    </w:p>
    <w:p w14:paraId="29227C97" w14:textId="5B74D2F6" w:rsidR="00C91D4C" w:rsidRPr="003A4BEC" w:rsidRDefault="008C2E22" w:rsidP="003A4BEC">
      <w:pPr>
        <w:pStyle w:val="Heading2"/>
      </w:pPr>
      <w:bookmarkStart w:id="12" w:name="_Toc196381522"/>
      <w:r w:rsidRPr="003A4BEC">
        <w:t>Biosynthesised nanoparticles from polyphenols</w:t>
      </w:r>
      <w:bookmarkEnd w:id="12"/>
    </w:p>
    <w:p w14:paraId="03560932" w14:textId="0B09005C" w:rsidR="0016087A" w:rsidRPr="00237CF8" w:rsidRDefault="008C2E22" w:rsidP="00E807B6">
      <w:pPr>
        <w:spacing w:line="240" w:lineRule="auto"/>
        <w:contextualSpacing/>
        <w:jc w:val="both"/>
        <w:rPr>
          <w:rFonts w:ascii="Arial" w:hAnsi="Arial" w:cs="Arial"/>
          <w:sz w:val="20"/>
          <w:szCs w:val="20"/>
        </w:rPr>
      </w:pPr>
      <w:r w:rsidRPr="00237CF8">
        <w:rPr>
          <w:rFonts w:ascii="Arial" w:hAnsi="Arial" w:cs="Arial"/>
          <w:sz w:val="20"/>
          <w:szCs w:val="20"/>
        </w:rPr>
        <w:t xml:space="preserve"> </w:t>
      </w:r>
      <w:r w:rsidR="0016087A" w:rsidRPr="00237CF8">
        <w:rPr>
          <w:rFonts w:ascii="Arial" w:eastAsia="Calibri" w:hAnsi="Arial" w:cs="Arial"/>
          <w:sz w:val="20"/>
          <w:szCs w:val="20"/>
        </w:rPr>
        <w:t xml:space="preserve">Nanomaterials are classified according to their particle size and dimensions that are within the nanoscale range (1-100nm). Using this context, we can categorize three different types of nanomaterials. First, nanoparticles (NPs) are nanostructures with all three dimensions below 100nm, second; nanofibres are structures where two dimensions are below 100nm, and finally, nanofilms depict structures with only one dimension in the nanoscale range </w:t>
      </w:r>
      <w:r w:rsidR="0016087A" w:rsidRPr="00237CF8">
        <w:rPr>
          <w:rFonts w:ascii="Arial" w:eastAsia="Calibri" w:hAnsi="Arial" w:cs="Arial"/>
          <w:sz w:val="20"/>
          <w:szCs w:val="20"/>
        </w:rPr>
        <w:fldChar w:fldCharType="begin"/>
      </w:r>
      <w:r w:rsidR="002105A2">
        <w:rPr>
          <w:rFonts w:ascii="Arial" w:eastAsia="Calibri" w:hAnsi="Arial" w:cs="Arial"/>
          <w:sz w:val="20"/>
          <w:szCs w:val="20"/>
        </w:rPr>
        <w:instrText xml:space="preserve"> ADDIN ZOTERO_ITEM CSL_CITATION {"citationID":"aEXbQhdr","properties":{"formattedCitation":"(18)","plainCitation":"(18)","noteIndex":0},"citationItems":[{"id":131,"uris":["http://zotero.org/users/local/iHdIrYxX/items/93UVCJ9S"],"itemData":{"id":131,"type":"article-journal","abstract":"Nanomaterials have emerged as an amazing class of materials that consists of a broad spectrum of examples with at least one dimension in the range of 1 to 100 nm.\n          , \n            \n              Nanomaterials have emerged as an amazing class of materials that consists of a broad spectrum of examples with at least one dimension in the range of 1 to 100 nm. Exceptionally high surface areas can be achieved through the rational design of nanomaterials. Nanomaterials can be produced with outstanding magnetic, electrical, optical, mechanical, and catalytic properties that are substantially different from their bulk counterparts. The nanomaterial properties can be tuned as desired\n              via\n              precisely controlling the size, shape, synthesis conditions, and appropriate functionalization. This review discusses a brief history of nanomaterials and their use throughout history to trigger advances in nanotechnology development. In particular, we describe and define various terms relating to nanomaterials. Various nanomaterial synthesis methods, including top-down and bottom-up approaches, are discussed. The unique features of nanomaterials are highlighted throughout the review. This review describes advances in nanomaterials, specifically fullerenes, carbon nanotubes, graphene, carbon quantum dots, nanodiamonds, carbon nanohorns, nanoporous materials, core–shell nanoparticles, silicene, antimonene, MXenes, 2D MOF nanosheets, boron nitride nanosheets, layered double hydroxides, and metal-based nanomaterials. Finally, we conclude by discussing challenges and future perspectives relating to nanomaterials.","container-title":"Materials Advances","DOI":"10.1039/D0MA00807A","ISSN":"2633-5409","issue":"6","journalAbbreviation":"Mater. Adv.","language":"en","page":"1821-1871","source":"DOI.org (Crossref)","title":"Nanomaterials: a review of synthesis methods, properties, recent progress, and challenges","title-short":"Nanomaterials","URL":"https://xlink.rsc.org/?DOI=D0MA00807A","volume":"2","author":[{"family":"Baig","given":"Nadeem"},{"family":"Kammakakam","given":"Irshad"},{"family":"Falath","given":"Wail"}],"accessed":{"date-parts":[["2025",5,13]]},"issued":{"date-parts":[["2021"]]}}}],"schema":"https://github.com/citation-style-language/schema/raw/master/csl-citation.json"} </w:instrText>
      </w:r>
      <w:r w:rsidR="0016087A" w:rsidRPr="00237CF8">
        <w:rPr>
          <w:rFonts w:ascii="Arial" w:eastAsia="Calibri" w:hAnsi="Arial" w:cs="Arial"/>
          <w:sz w:val="20"/>
          <w:szCs w:val="20"/>
        </w:rPr>
        <w:fldChar w:fldCharType="separate"/>
      </w:r>
      <w:r w:rsidR="002105A2" w:rsidRPr="002105A2">
        <w:rPr>
          <w:rFonts w:ascii="Arial" w:hAnsi="Arial" w:cs="Arial"/>
          <w:sz w:val="20"/>
        </w:rPr>
        <w:t>(18)</w:t>
      </w:r>
      <w:r w:rsidR="0016087A" w:rsidRPr="00237CF8">
        <w:rPr>
          <w:rFonts w:ascii="Arial" w:eastAsia="Calibri" w:hAnsi="Arial" w:cs="Arial"/>
          <w:sz w:val="20"/>
          <w:szCs w:val="20"/>
        </w:rPr>
        <w:fldChar w:fldCharType="end"/>
      </w:r>
      <w:r w:rsidR="0016087A" w:rsidRPr="00237CF8">
        <w:rPr>
          <w:rFonts w:ascii="Arial" w:eastAsia="Calibri" w:hAnsi="Arial" w:cs="Arial"/>
          <w:sz w:val="20"/>
          <w:szCs w:val="20"/>
        </w:rPr>
        <w:t>. At the nanoscale</w:t>
      </w:r>
      <w:r w:rsidR="00A730C1">
        <w:rPr>
          <w:rFonts w:ascii="Arial" w:eastAsia="Calibri" w:hAnsi="Arial" w:cs="Arial"/>
          <w:sz w:val="20"/>
          <w:szCs w:val="20"/>
        </w:rPr>
        <w:t xml:space="preserve"> level</w:t>
      </w:r>
      <w:r w:rsidR="0016087A" w:rsidRPr="00237CF8">
        <w:rPr>
          <w:rFonts w:ascii="Arial" w:eastAsia="Calibri" w:hAnsi="Arial" w:cs="Arial"/>
          <w:sz w:val="20"/>
          <w:szCs w:val="20"/>
        </w:rPr>
        <w:t xml:space="preserve">, the behaviour of materials no longer conforms to the principles of classical physics and may consequently be very different from their macromolecular structures. Nanometric structures may exhibit characteristics unrelated to their macromolecular analogue materials due to the unique properties obtained at this scale, including particle size, shape and other physicochemical characteristics </w:t>
      </w:r>
      <w:r w:rsidR="0016087A" w:rsidRPr="00237CF8">
        <w:rPr>
          <w:rFonts w:ascii="Arial" w:eastAsia="Calibri" w:hAnsi="Arial" w:cs="Arial"/>
          <w:sz w:val="20"/>
          <w:szCs w:val="20"/>
        </w:rPr>
        <w:fldChar w:fldCharType="begin"/>
      </w:r>
      <w:r w:rsidR="002105A2">
        <w:rPr>
          <w:rFonts w:ascii="Arial" w:eastAsia="Calibri" w:hAnsi="Arial" w:cs="Arial"/>
          <w:sz w:val="20"/>
          <w:szCs w:val="20"/>
        </w:rPr>
        <w:instrText xml:space="preserve"> ADDIN ZOTERO_ITEM CSL_CITATION {"citationID":"2GH5hG3V","properties":{"formattedCitation":"(19)","plainCitation":"(19)","noteIndex":0},"citationItems":[{"id":133,"uris":["http://zotero.org/users/local/iHdIrYxX/items/DM7AAVMM"],"itemData":{"id":133,"type":"article-journal","abstract":"Abstract\n            The world of biology created a wealth of complex materials intertwining order, disorder, and hierarchy. They are produced with minimal energy expenditures and display combinations of properties that surpass materials aimed to be perfectly ordered crystals or perfectly disordered glasses. De novo engineering of biomimetic materials with “impossible” combination of properties necessary for multiple technologies becomes possible considering complexity as a design parameter but this methodology lacks foundational principles. This article delineates the concept of complexity in the context of materials science. It examines the pathway to quantitative complexity–functionality relations and explores pragmatic approaches to scalable complex materials guided by discrete mathematics of nanoassemblies from imperfect components.\n            \n              Graphical abstract","container-title":"MRS Bulletin","DOI":"10.1557/s43577-024-00698-6","ISSN":"0883-7694, 1938-1425","issue":"4","journalAbbreviation":"MRS Bulletin","language":"en","page":"352-364","source":"DOI.org (Crossref)","title":"Complexity, disorder, and functionality of nanoscale materials","URL":"https://link.springer.com/10.1557/s43577-024-00698-6","volume":"49","author":[{"family":"Mao","given":"Xiaoming"},{"family":"Kotov","given":"Nicholas"}],"accessed":{"date-parts":[["2025",5,13]]},"issued":{"date-parts":[["2024",4]]}}}],"schema":"https://github.com/citation-style-language/schema/raw/master/csl-citation.json"} </w:instrText>
      </w:r>
      <w:r w:rsidR="0016087A" w:rsidRPr="00237CF8">
        <w:rPr>
          <w:rFonts w:ascii="Arial" w:eastAsia="Calibri" w:hAnsi="Arial" w:cs="Arial"/>
          <w:sz w:val="20"/>
          <w:szCs w:val="20"/>
        </w:rPr>
        <w:fldChar w:fldCharType="separate"/>
      </w:r>
      <w:r w:rsidR="002105A2" w:rsidRPr="002105A2">
        <w:rPr>
          <w:rFonts w:ascii="Arial" w:hAnsi="Arial" w:cs="Arial"/>
          <w:sz w:val="20"/>
        </w:rPr>
        <w:t>(19)</w:t>
      </w:r>
      <w:r w:rsidR="0016087A" w:rsidRPr="00237CF8">
        <w:rPr>
          <w:rFonts w:ascii="Arial" w:eastAsia="Calibri" w:hAnsi="Arial" w:cs="Arial"/>
          <w:sz w:val="20"/>
          <w:szCs w:val="20"/>
        </w:rPr>
        <w:fldChar w:fldCharType="end"/>
      </w:r>
      <w:r w:rsidR="0016087A" w:rsidRPr="00237CF8">
        <w:rPr>
          <w:rFonts w:ascii="Arial" w:eastAsia="Calibri" w:hAnsi="Arial" w:cs="Arial"/>
          <w:sz w:val="20"/>
          <w:szCs w:val="20"/>
        </w:rPr>
        <w:t>. This change modulates characteristics including optical, toxicity, catalytic and mechanical properties. This super low particle size may amplify material bioactivity and allow them to be incorporated in formulations at much lower amounts with magnified activity. The possibility above has been widely explored and has found utility in many applications including dosage form design. NPs can be synthesized through various chemical and physical pathways</w:t>
      </w:r>
      <w:r w:rsidR="0016087A" w:rsidRPr="00237CF8">
        <w:rPr>
          <w:rFonts w:ascii="Arial" w:eastAsia="Calibri" w:hAnsi="Arial" w:cs="Arial"/>
          <w:sz w:val="20"/>
          <w:szCs w:val="20"/>
        </w:rPr>
        <w:fldChar w:fldCharType="begin"/>
      </w:r>
      <w:r w:rsidR="002105A2">
        <w:rPr>
          <w:rFonts w:ascii="Arial" w:eastAsia="Calibri" w:hAnsi="Arial" w:cs="Arial"/>
          <w:sz w:val="20"/>
          <w:szCs w:val="20"/>
        </w:rPr>
        <w:instrText xml:space="preserve"> ADDIN ZOTERO_ITEM CSL_CITATION {"citationID":"PIQEkkuS","properties":{"formattedCitation":"(18)","plainCitation":"(18)","noteIndex":0},"citationItems":[{"id":131,"uris":["http://zotero.org/users/local/iHdIrYxX/items/93UVCJ9S"],"itemData":{"id":131,"type":"article-journal","abstract":"Nanomaterials have emerged as an amazing class of materials that consists of a broad spectrum of examples with at least one dimension in the range of 1 to 100 nm.\n          , \n            \n              Nanomaterials have emerged as an amazing class of materials that consists of a broad spectrum of examples with at least one dimension in the range of 1 to 100 nm. Exceptionally high surface areas can be achieved through the rational design of nanomaterials. Nanomaterials can be produced with outstanding magnetic, electrical, optical, mechanical, and catalytic properties that are substantially different from their bulk counterparts. The nanomaterial properties can be tuned as desired\n              via\n              precisely controlling the size, shape, synthesis conditions, and appropriate functionalization. This review discusses a brief history of nanomaterials and their use throughout history to trigger advances in nanotechnology development. In particular, we describe and define various terms relating to nanomaterials. Various nanomaterial synthesis methods, including top-down and bottom-up approaches, are discussed. The unique features of nanomaterials are highlighted throughout the review. This review describes advances in nanomaterials, specifically fullerenes, carbon nanotubes, graphene, carbon quantum dots, nanodiamonds, carbon nanohorns, nanoporous materials, core–shell nanoparticles, silicene, antimonene, MXenes, 2D MOF nanosheets, boron nitride nanosheets, layered double hydroxides, and metal-based nanomaterials. Finally, we conclude by discussing challenges and future perspectives relating to nanomaterials.","container-title":"Materials Advances","DOI":"10.1039/D0MA00807A","ISSN":"2633-5409","issue":"6","journalAbbreviation":"Mater. Adv.","language":"en","page":"1821-1871","source":"DOI.org (Crossref)","title":"Nanomaterials: a review of synthesis methods, properties, recent progress, and challenges","title-short":"Nanomaterials","URL":"https://xlink.rsc.org/?DOI=D0MA00807A","volume":"2","author":[{"family":"Baig","given":"Nadeem"},{"family":"Kammakakam","given":"Irshad"},{"family":"Falath","given":"Wail"}],"accessed":{"date-parts":[["2025",5,13]]},"issued":{"date-parts":[["2021"]]}}}],"schema":"https://github.com/citation-style-language/schema/raw/master/csl-citation.json"} </w:instrText>
      </w:r>
      <w:r w:rsidR="0016087A" w:rsidRPr="00237CF8">
        <w:rPr>
          <w:rFonts w:ascii="Arial" w:eastAsia="Calibri" w:hAnsi="Arial" w:cs="Arial"/>
          <w:sz w:val="20"/>
          <w:szCs w:val="20"/>
        </w:rPr>
        <w:fldChar w:fldCharType="separate"/>
      </w:r>
      <w:r w:rsidR="002105A2" w:rsidRPr="002105A2">
        <w:rPr>
          <w:rFonts w:ascii="Arial" w:hAnsi="Arial" w:cs="Arial"/>
          <w:sz w:val="20"/>
        </w:rPr>
        <w:t>(18)</w:t>
      </w:r>
      <w:r w:rsidR="0016087A" w:rsidRPr="00237CF8">
        <w:rPr>
          <w:rFonts w:ascii="Arial" w:eastAsia="Calibri" w:hAnsi="Arial" w:cs="Arial"/>
          <w:sz w:val="20"/>
          <w:szCs w:val="20"/>
        </w:rPr>
        <w:fldChar w:fldCharType="end"/>
      </w:r>
      <w:r w:rsidR="0016087A" w:rsidRPr="00237CF8">
        <w:rPr>
          <w:rFonts w:ascii="Arial" w:eastAsia="Calibri" w:hAnsi="Arial" w:cs="Arial"/>
          <w:sz w:val="20"/>
          <w:szCs w:val="20"/>
        </w:rPr>
        <w:t xml:space="preserve">. The dominant chemical methods, however, generate toxic materials mostly from reagents, unreacted starting materials and by products from side reaction </w:t>
      </w:r>
      <w:r w:rsidR="0016087A" w:rsidRPr="00237CF8">
        <w:rPr>
          <w:rFonts w:ascii="Arial" w:eastAsia="Calibri" w:hAnsi="Arial" w:cs="Arial"/>
          <w:sz w:val="20"/>
          <w:szCs w:val="20"/>
        </w:rPr>
        <w:fldChar w:fldCharType="begin"/>
      </w:r>
      <w:r w:rsidR="002105A2">
        <w:rPr>
          <w:rFonts w:ascii="Arial" w:eastAsia="Calibri" w:hAnsi="Arial" w:cs="Arial"/>
          <w:sz w:val="20"/>
          <w:szCs w:val="20"/>
        </w:rPr>
        <w:instrText xml:space="preserve"> ADDIN ZOTERO_ITEM CSL_CITATION {"citationID":"3882UReD","properties":{"formattedCitation":"(20)","plainCitation":"(20)","noteIndex":0},"citationItems":[{"id":135,"uris":["http://zotero.org/users/local/iHdIrYxX/items/HGX7UDIJ"],"itemData":{"id":135,"type":"article-journal","abstract":"Possessing the same efficacious thermophysical properties as their conventional counterparts, the green nanofluids are prepared by facile, cost-effective, safe, clean, and eco-friendly synthesis processes that entail minimal hazardous implications on public health and surrounding environment. This work of review intends to offer a general overview of the biosynthesis methods of preparation of these bio-friendly heat transfer fluids, their fundamental properties, and main potential fields of application. Also, this survey highlights the urgent necessity to adopt the development and use of green nanofluids and correspondent environmentally benevolent methods of preparation. This trend will mitigate the risks and threats posed by the conventional nanofluids and their physical and chemical manufacturing methods to human health and environment, especially in the actual era where the carbon dioxide emissions and other discharged hazards loads to the atmosphere and climate change are continuously increasing worries. There is no doubt about the paramount importance of adopting novel green nanomaterials and breakthrough green technologies as soon as possible. Particularly, the synthesis of bio-friendly nanofluids, using bioactive compounds present in abundant and renewable natural extracts, and the use of this novel class of heat transfer fluids in thermal management systems will undoubtedly constitute a major benefit to the public and to the preservation of the environment.","container-title":"Journal of Environmental Chemical Engineering","DOI":"10.1016/j.jece.2022.107940","ISSN":"22133437","issue":"3","journalAbbreviation":"Journal of Environmental Chemical Engineering","language":"en","page":"107940","source":"DOI.org (Crossref)","title":"The pressing need for green nanofluids: A review","title-short":"The pressing need for green nanofluids","URL":"https://linkinghub.elsevier.com/retrieve/pii/S2213343722008132","volume":"10","author":[{"family":"Pereira","given":"José E."},{"family":"Moita","given":"Ana S."},{"family":"Moreira","given":"António L.N."}],"accessed":{"date-parts":[["2025",5,13]]},"issued":{"date-parts":[["2022",6]]}}}],"schema":"https://github.com/citation-style-language/schema/raw/master/csl-citation.json"} </w:instrText>
      </w:r>
      <w:r w:rsidR="0016087A" w:rsidRPr="00237CF8">
        <w:rPr>
          <w:rFonts w:ascii="Arial" w:eastAsia="Calibri" w:hAnsi="Arial" w:cs="Arial"/>
          <w:sz w:val="20"/>
          <w:szCs w:val="20"/>
        </w:rPr>
        <w:fldChar w:fldCharType="separate"/>
      </w:r>
      <w:r w:rsidR="002105A2" w:rsidRPr="002105A2">
        <w:rPr>
          <w:rFonts w:ascii="Arial" w:hAnsi="Arial" w:cs="Arial"/>
          <w:sz w:val="20"/>
        </w:rPr>
        <w:t>(20)</w:t>
      </w:r>
      <w:r w:rsidR="0016087A" w:rsidRPr="00237CF8">
        <w:rPr>
          <w:rFonts w:ascii="Arial" w:eastAsia="Calibri" w:hAnsi="Arial" w:cs="Arial"/>
          <w:sz w:val="20"/>
          <w:szCs w:val="20"/>
        </w:rPr>
        <w:fldChar w:fldCharType="end"/>
      </w:r>
      <w:r w:rsidR="0016087A" w:rsidRPr="00237CF8">
        <w:rPr>
          <w:rFonts w:ascii="Arial" w:eastAsia="Calibri" w:hAnsi="Arial" w:cs="Arial"/>
          <w:sz w:val="20"/>
          <w:szCs w:val="20"/>
        </w:rPr>
        <w:t>.</w:t>
      </w:r>
    </w:p>
    <w:p w14:paraId="2FBD86F2" w14:textId="77777777" w:rsidR="00A730C1" w:rsidRDefault="008C2E22" w:rsidP="00E807B6">
      <w:pPr>
        <w:spacing w:line="240" w:lineRule="auto"/>
        <w:contextualSpacing/>
        <w:jc w:val="both"/>
        <w:rPr>
          <w:rFonts w:ascii="Arial" w:hAnsi="Arial" w:cs="Arial"/>
          <w:sz w:val="20"/>
          <w:szCs w:val="20"/>
        </w:rPr>
      </w:pPr>
      <w:r w:rsidRPr="00237CF8">
        <w:rPr>
          <w:rFonts w:ascii="Arial" w:hAnsi="Arial" w:cs="Arial"/>
          <w:sz w:val="20"/>
          <w:szCs w:val="20"/>
        </w:rPr>
        <w:t xml:space="preserve">The toxicity issues as well as high costs of purification have limited their application in mainstream pharmaceutical product development. These drawbacks have recently been overcome by the use of polyphenols as reducing and capping agents in place of synthetic inorganic reagents. Polyphenols are characterized by the presence of more than one phenol group per molecule. It is this ready availability of the reactive –OH groups, that make polyphenols suitable reducing, capping and stabilization agents in the synthesis of NPs </w:t>
      </w:r>
      <w:r w:rsidR="002105A2">
        <w:rPr>
          <w:rFonts w:ascii="Arial" w:hAnsi="Arial" w:cs="Arial"/>
          <w:sz w:val="20"/>
          <w:szCs w:val="20"/>
        </w:rPr>
        <w:fldChar w:fldCharType="begin"/>
      </w:r>
      <w:r w:rsidR="002105A2">
        <w:rPr>
          <w:rFonts w:ascii="Arial" w:hAnsi="Arial" w:cs="Arial"/>
          <w:sz w:val="20"/>
          <w:szCs w:val="20"/>
        </w:rPr>
        <w:instrText xml:space="preserve"> ADDIN ZOTERO_ITEM CSL_CITATION {"citationID":"XBmoZEop","properties":{"formattedCitation":"(21)","plainCitation":"(21)","noteIndex":0},"citationItems":[{"id":188,"uris":["http://zotero.org/users/local/iHdIrYxX/items/7N3EHRT9"],"itemData":{"id":188,"type":"article-journal","abstract":"The extraction of biomolecular polyphenols has emerged as a sustainable approach for fabricating nanoparticles with enhanced functional properties for environmental remediation. Polyphenols, derived from plant/microbes-based sources, act as natural reducing, capping, and stabilizing agents in nanoparticle synthesis, eliminating the need for toxic chemical reagents. This study explores the mechanistic insights of polyphenol-assisted nanoparticle fabrication, emphasizing redox reactions, surface functionalization, and nanoparticle stabilization. The structural diversity of polyphenols, including catechins, flavonoids, and tannins, influences the physicochemical properties of the synthesized nanoparticles, enhancing their reactivity and adsorption efficiency for pollutants. Additionally, the role of extracted polyphenols in tailoring nanoparticle morphology and catalytic potential is discussed, highlighting their application in mitigating heavy metals, organic contaminants, and microplastics in aquatic and terrestrial ecosystems. Polyphenol-based nanoparticles (PNPs) have gained significant attention as sustainable nanomaterials for environmental remediation due to their antioxidant activity, biocompatibility, and surface functionalization capabilities. Future perspectives focus on optimizing extraction techniques, improving nanoparticle stability, and scaling up applications for real-world environmental challenges. This bio-inspired nanotechnology approach paves the way for greener and more efficient environmental mitigation strategies.","container-title":"Inorganic Chemistry Communications","DOI":"10.1016/j.inoche.2025.114682","ISSN":"1387-7003","journalAbbreviation":"Inorganic Chemistry Communications","page":"114682","source":"ScienceDirect","title":"Extraction of biomolecular polyphenols for nanoparticles fabrication: Mechanistic insights environmental mitigation","title-short":"Extraction of biomolecular polyphenols for nanoparticles fabrication","URL":"https://www.sciencedirect.com/science/article/pii/S1387700325007981","volume":"179","author":[{"family":"Sen","given":"Kamalesh"},{"family":"Mondal","given":"Shovan"}],"accessed":{"date-parts":[["2025",7,2]]},"issued":{"date-parts":[["2025",9,1]]}}}],"schema":"https://github.com/citation-style-language/schema/raw/master/csl-citation.json"} </w:instrText>
      </w:r>
      <w:r w:rsidR="002105A2">
        <w:rPr>
          <w:rFonts w:ascii="Arial" w:hAnsi="Arial" w:cs="Arial"/>
          <w:sz w:val="20"/>
          <w:szCs w:val="20"/>
        </w:rPr>
        <w:fldChar w:fldCharType="separate"/>
      </w:r>
      <w:r w:rsidR="002105A2" w:rsidRPr="002105A2">
        <w:rPr>
          <w:rFonts w:ascii="Arial" w:hAnsi="Arial" w:cs="Arial"/>
          <w:sz w:val="20"/>
        </w:rPr>
        <w:t>(21)</w:t>
      </w:r>
      <w:r w:rsidR="002105A2">
        <w:rPr>
          <w:rFonts w:ascii="Arial" w:hAnsi="Arial" w:cs="Arial"/>
          <w:sz w:val="20"/>
          <w:szCs w:val="20"/>
        </w:rPr>
        <w:fldChar w:fldCharType="end"/>
      </w:r>
      <w:r w:rsidR="002105A2">
        <w:rPr>
          <w:rFonts w:ascii="Arial" w:hAnsi="Arial" w:cs="Arial"/>
          <w:sz w:val="20"/>
          <w:szCs w:val="20"/>
        </w:rPr>
        <w:t>.</w:t>
      </w:r>
      <w:r w:rsidRPr="00237CF8">
        <w:rPr>
          <w:rFonts w:ascii="Arial" w:hAnsi="Arial" w:cs="Arial"/>
          <w:sz w:val="20"/>
          <w:szCs w:val="20"/>
        </w:rPr>
        <w:t xml:space="preserve"> Techniques utilizing natural products such as plant phenolics are referred to as biosynthesis or green synthesis of nanomaterials. In addition to being eco-friendly and providing safer products, green synthesis also lowers the fabrication costs of nanomaterials. Many technical reports confirm that this approach has been successfully used to fabricate NPs from many plants, rich in polyphenolic secondary metabolites </w:t>
      </w:r>
      <w:r w:rsidR="002105A2">
        <w:rPr>
          <w:rFonts w:ascii="Arial" w:hAnsi="Arial" w:cs="Arial"/>
          <w:sz w:val="20"/>
          <w:szCs w:val="20"/>
        </w:rPr>
        <w:fldChar w:fldCharType="begin"/>
      </w:r>
      <w:r w:rsidR="002105A2">
        <w:rPr>
          <w:rFonts w:ascii="Arial" w:hAnsi="Arial" w:cs="Arial"/>
          <w:sz w:val="20"/>
          <w:szCs w:val="20"/>
        </w:rPr>
        <w:instrText xml:space="preserve"> ADDIN ZOTERO_ITEM CSL_CITATION {"citationID":"QKJrcDjq","properties":{"formattedCitation":"(22)","plainCitation":"(22)","noteIndex":0},"citationItems":[{"id":194,"uris":["http://zotero.org/users/local/iHdIrYxX/items/VYQBHXZH"],"itemData":{"id":194,"type":"article-journal","abstract":"The ability of organisms and organic compounds to reduce metal ions and stabilize them into nanoparticles (NPs) forms the basis of green synthesis. To date, synthesis of NPs from various metal ions using a diverse array of plant extracts has been reported. However, a clear understanding of the mechanism of green synthesis of NPs is lacking. Although most studies have neglected to analyze the green-synthesized NPs (GNPs) for the presence of compounds derived from the extract, several studies have demonstrated the conjugation of sugars, secondary metabolites, and proteins in these biogenic NPs. Despite several reports on the bioactivities (antimicrobial, antioxidant, cytotoxic, catalytic, etc.) of GNPs, only a handful of studies have compared these activities with their chemically synthesized counterparts. These comparisons have demonstrated that GNPs possess better bioactivities than NPs synthesized by other methods, which might be attributed to the presence of plant-derived compounds in these NPs. The ability of NPs to bind with organic compounds to form a stable complex has huge potential in the harvesting of precious molecules and for drug discovery, if harnessed meticulously. A thorough understanding of the mechanisms of green synthesis and high-throughput screening of stabilizing/capping agents on the physico-chemical properties of GNPs is warranted to realize the full potential of green nanotechnology.","container-title":"Materials","DOI":"10.3390/ma11060940","ISSN":"1996-1944","issue":"6","journalAbbreviation":"Materials (Basel)","note":"PMID: 29865278\nPMCID: PMC6024997","page":"940","source":"PubMed Central","title":"Secondary Metabolites in the Green Synthesis of Metallic Nanoparticles","URL":"https://www.ncbi.nlm.nih.gov/pmc/articles/PMC6024997/","volume":"11","author":[{"family":"Marslin","given":"Gregory"},{"family":"Siram","given":"Karthik"},{"family":"Maqbool","given":"Qaisar"},{"family":"Selvakesavan","given":"Rajendran Kamalabai"},{"family":"Kruszka","given":"Dariusz"},{"family":"Kachlicki","given":"Piotr"},{"family":"Franklin","given":"Gregory"}],"accessed":{"date-parts":[["2025",7,2]]},"issued":{"date-parts":[["2018",6,3]]}}}],"schema":"https://github.com/citation-style-language/schema/raw/master/csl-citation.json"} </w:instrText>
      </w:r>
      <w:r w:rsidR="002105A2">
        <w:rPr>
          <w:rFonts w:ascii="Arial" w:hAnsi="Arial" w:cs="Arial"/>
          <w:sz w:val="20"/>
          <w:szCs w:val="20"/>
        </w:rPr>
        <w:fldChar w:fldCharType="separate"/>
      </w:r>
      <w:r w:rsidR="002105A2" w:rsidRPr="002105A2">
        <w:rPr>
          <w:rFonts w:ascii="Arial" w:hAnsi="Arial" w:cs="Arial"/>
          <w:sz w:val="20"/>
        </w:rPr>
        <w:t>(22)</w:t>
      </w:r>
      <w:r w:rsidR="002105A2">
        <w:rPr>
          <w:rFonts w:ascii="Arial" w:hAnsi="Arial" w:cs="Arial"/>
          <w:sz w:val="20"/>
          <w:szCs w:val="20"/>
        </w:rPr>
        <w:fldChar w:fldCharType="end"/>
      </w:r>
      <w:r w:rsidR="002105A2">
        <w:rPr>
          <w:rFonts w:ascii="Arial" w:hAnsi="Arial" w:cs="Arial"/>
          <w:sz w:val="20"/>
          <w:szCs w:val="20"/>
        </w:rPr>
        <w:t>.</w:t>
      </w:r>
      <w:r w:rsidRPr="00237CF8">
        <w:rPr>
          <w:rFonts w:ascii="Arial" w:hAnsi="Arial" w:cs="Arial"/>
          <w:sz w:val="20"/>
          <w:szCs w:val="20"/>
        </w:rPr>
        <w:t xml:space="preserve"> The added novelty is in the ability to predetermine the desirable physical characteristics and activity of these NPs by optimizing the reaction conditions. </w:t>
      </w:r>
    </w:p>
    <w:p w14:paraId="265C5030" w14:textId="77777777" w:rsidR="00A730C1" w:rsidRDefault="00A730C1" w:rsidP="00E807B6">
      <w:pPr>
        <w:spacing w:line="240" w:lineRule="auto"/>
        <w:contextualSpacing/>
        <w:jc w:val="both"/>
        <w:rPr>
          <w:rFonts w:ascii="Arial" w:hAnsi="Arial" w:cs="Arial"/>
          <w:sz w:val="20"/>
          <w:szCs w:val="20"/>
        </w:rPr>
      </w:pPr>
    </w:p>
    <w:p w14:paraId="2B12746A" w14:textId="3E7CF8CF" w:rsidR="00C91D4C" w:rsidRPr="00237CF8" w:rsidRDefault="008C2E22" w:rsidP="00E807B6">
      <w:pPr>
        <w:spacing w:line="240" w:lineRule="auto"/>
        <w:contextualSpacing/>
        <w:jc w:val="both"/>
        <w:rPr>
          <w:rFonts w:ascii="Arial" w:hAnsi="Arial" w:cs="Arial"/>
          <w:sz w:val="20"/>
          <w:szCs w:val="20"/>
        </w:rPr>
      </w:pPr>
      <w:r w:rsidRPr="00237CF8">
        <w:rPr>
          <w:rFonts w:ascii="Arial" w:hAnsi="Arial" w:cs="Arial"/>
          <w:sz w:val="20"/>
          <w:szCs w:val="20"/>
        </w:rPr>
        <w:t>The primary objective of this work therefore</w:t>
      </w:r>
      <w:r w:rsidR="00A730C1">
        <w:rPr>
          <w:rFonts w:ascii="Arial" w:hAnsi="Arial" w:cs="Arial"/>
          <w:sz w:val="20"/>
          <w:szCs w:val="20"/>
        </w:rPr>
        <w:t>,</w:t>
      </w:r>
      <w:r w:rsidRPr="00237CF8">
        <w:rPr>
          <w:rFonts w:ascii="Arial" w:hAnsi="Arial" w:cs="Arial"/>
          <w:sz w:val="20"/>
          <w:szCs w:val="20"/>
        </w:rPr>
        <w:t xml:space="preserve"> was to qualitatively determine the major phytoconstituents of lyophilized </w:t>
      </w:r>
      <w:r w:rsidRPr="00237CF8">
        <w:rPr>
          <w:rFonts w:ascii="Arial" w:hAnsi="Arial" w:cs="Arial"/>
          <w:i/>
          <w:iCs/>
          <w:sz w:val="20"/>
          <w:szCs w:val="20"/>
        </w:rPr>
        <w:t>A. nilotica</w:t>
      </w:r>
      <w:r w:rsidRPr="00237CF8">
        <w:rPr>
          <w:rFonts w:ascii="Arial" w:hAnsi="Arial" w:cs="Arial"/>
          <w:sz w:val="20"/>
          <w:szCs w:val="20"/>
        </w:rPr>
        <w:t xml:space="preserve"> leaf extracts that can mediate in the biosynthesis of ZnO-NPs, and to characterize the physico-chemical properties of the biogenic ZnO-NPs. The acute toxicity profile of the </w:t>
      </w:r>
      <w:r w:rsidRPr="00237CF8">
        <w:rPr>
          <w:rFonts w:ascii="Arial" w:hAnsi="Arial" w:cs="Arial"/>
          <w:i/>
          <w:iCs/>
          <w:sz w:val="20"/>
          <w:szCs w:val="20"/>
        </w:rPr>
        <w:t>A. nilotica</w:t>
      </w:r>
      <w:r w:rsidRPr="00237CF8">
        <w:rPr>
          <w:rFonts w:ascii="Arial" w:hAnsi="Arial" w:cs="Arial"/>
          <w:sz w:val="20"/>
          <w:szCs w:val="20"/>
        </w:rPr>
        <w:t xml:space="preserve"> hydro-ethanolic leaf extract was also determined.</w:t>
      </w:r>
    </w:p>
    <w:p w14:paraId="7E08CBE3" w14:textId="77777777" w:rsidR="00C91D4C" w:rsidRPr="003A4BEC" w:rsidRDefault="008C2E22" w:rsidP="003A4BEC">
      <w:pPr>
        <w:pStyle w:val="Heading1"/>
      </w:pPr>
      <w:bookmarkStart w:id="13" w:name="_Toc196381523"/>
      <w:r w:rsidRPr="003A4BEC">
        <w:t>Methodology</w:t>
      </w:r>
      <w:bookmarkEnd w:id="13"/>
    </w:p>
    <w:p w14:paraId="3282CB50" w14:textId="0401FDDE" w:rsidR="00C91D4C" w:rsidRPr="003A4BEC" w:rsidRDefault="008C2E22" w:rsidP="003A4BEC">
      <w:pPr>
        <w:pStyle w:val="Heading2"/>
      </w:pPr>
      <w:bookmarkStart w:id="14" w:name="_Toc196381524"/>
      <w:r w:rsidRPr="003A4BEC">
        <w:t>Materials, equipment and facilities</w:t>
      </w:r>
      <w:bookmarkEnd w:id="14"/>
    </w:p>
    <w:p w14:paraId="5EBE7BAD" w14:textId="77777777" w:rsidR="00C91D4C" w:rsidRPr="00237CF8" w:rsidRDefault="008C2E22" w:rsidP="00E807B6">
      <w:pPr>
        <w:spacing w:line="240" w:lineRule="auto"/>
        <w:contextualSpacing/>
        <w:jc w:val="both"/>
        <w:rPr>
          <w:rFonts w:ascii="Arial" w:hAnsi="Arial" w:cs="Arial"/>
          <w:sz w:val="20"/>
          <w:szCs w:val="20"/>
        </w:rPr>
      </w:pPr>
      <w:r w:rsidRPr="00237CF8">
        <w:rPr>
          <w:rFonts w:ascii="Arial" w:hAnsi="Arial" w:cs="Arial"/>
          <w:sz w:val="20"/>
          <w:szCs w:val="20"/>
        </w:rPr>
        <w:t xml:space="preserve"> All chemicals, associated reagents, equipment and facilities for the </w:t>
      </w:r>
      <w:r w:rsidRPr="00A730C1">
        <w:rPr>
          <w:rFonts w:ascii="Arial" w:hAnsi="Arial" w:cs="Arial"/>
          <w:i/>
          <w:iCs/>
          <w:sz w:val="20"/>
          <w:szCs w:val="20"/>
        </w:rPr>
        <w:t>in-vivo</w:t>
      </w:r>
      <w:r w:rsidRPr="00237CF8">
        <w:rPr>
          <w:rFonts w:ascii="Arial" w:hAnsi="Arial" w:cs="Arial"/>
          <w:sz w:val="20"/>
          <w:szCs w:val="20"/>
        </w:rPr>
        <w:t xml:space="preserve"> acute oral toxicity assays, the biosynthesis and the activity determinations of ZnONPs were obtained from the University of Zimbabwe, Faculty of Medicine and Health Science laboratories, Harare, Zimbabwe. For the characterisation of NPs, all chemicals and equipment were availed by the University of California, Los Angeles, Department of Chemistry and Biochemistry.</w:t>
      </w:r>
    </w:p>
    <w:p w14:paraId="4C9B7DDA" w14:textId="68CC2D4E" w:rsidR="00C91D4C" w:rsidRPr="003A4BEC" w:rsidRDefault="008C2E22" w:rsidP="003A4BEC">
      <w:pPr>
        <w:pStyle w:val="Heading2"/>
      </w:pPr>
      <w:bookmarkStart w:id="15" w:name="_Toc196381525"/>
      <w:r w:rsidRPr="003A4BEC">
        <w:lastRenderedPageBreak/>
        <w:t>Collection and preparation of plant material</w:t>
      </w:r>
      <w:bookmarkEnd w:id="15"/>
      <w:r w:rsidRPr="003A4BEC">
        <w:t xml:space="preserve"> </w:t>
      </w:r>
    </w:p>
    <w:p w14:paraId="3964D90A" w14:textId="02CE1B22" w:rsidR="00575137" w:rsidRDefault="004B6546" w:rsidP="00E807B6">
      <w:pPr>
        <w:spacing w:line="240" w:lineRule="auto"/>
        <w:contextualSpacing/>
        <w:jc w:val="both"/>
        <w:rPr>
          <w:rFonts w:ascii="Arial" w:hAnsi="Arial" w:cs="Arial"/>
          <w:sz w:val="20"/>
          <w:szCs w:val="20"/>
        </w:rPr>
      </w:pPr>
      <w:bookmarkStart w:id="16" w:name="_Hlk201698439"/>
      <w:r w:rsidRPr="003A4BEC">
        <w:rPr>
          <w:rFonts w:ascii="Arial" w:hAnsi="Arial" w:cs="Arial"/>
          <w:i/>
          <w:iCs/>
          <w:sz w:val="20"/>
          <w:szCs w:val="20"/>
        </w:rPr>
        <w:t>V. nilotica</w:t>
      </w:r>
      <w:r w:rsidRPr="004B6546">
        <w:rPr>
          <w:rFonts w:ascii="Arial" w:hAnsi="Arial" w:cs="Arial"/>
          <w:sz w:val="20"/>
          <w:szCs w:val="20"/>
        </w:rPr>
        <w:t xml:space="preserve"> </w:t>
      </w:r>
      <w:r w:rsidR="003A4BEC">
        <w:rPr>
          <w:rFonts w:ascii="Arial" w:hAnsi="Arial" w:cs="Arial"/>
          <w:sz w:val="20"/>
          <w:szCs w:val="20"/>
        </w:rPr>
        <w:t xml:space="preserve">plants </w:t>
      </w:r>
      <w:r w:rsidRPr="004B6546">
        <w:rPr>
          <w:rFonts w:ascii="Arial" w:hAnsi="Arial" w:cs="Arial"/>
          <w:sz w:val="20"/>
          <w:szCs w:val="20"/>
        </w:rPr>
        <w:t xml:space="preserve">were collected </w:t>
      </w:r>
      <w:r>
        <w:rPr>
          <w:rFonts w:ascii="Arial" w:hAnsi="Arial" w:cs="Arial"/>
          <w:sz w:val="20"/>
          <w:szCs w:val="20"/>
        </w:rPr>
        <w:t>in</w:t>
      </w:r>
      <w:r w:rsidRPr="004B6546">
        <w:rPr>
          <w:rFonts w:ascii="Arial" w:hAnsi="Arial" w:cs="Arial"/>
          <w:sz w:val="20"/>
          <w:szCs w:val="20"/>
        </w:rPr>
        <w:t xml:space="preserve"> Novembe</w:t>
      </w:r>
      <w:r w:rsidR="003A4BEC">
        <w:rPr>
          <w:rFonts w:ascii="Arial" w:hAnsi="Arial" w:cs="Arial"/>
          <w:sz w:val="20"/>
          <w:szCs w:val="20"/>
        </w:rPr>
        <w:t>r</w:t>
      </w:r>
      <w:r w:rsidR="00A730C1">
        <w:rPr>
          <w:rFonts w:ascii="Arial" w:hAnsi="Arial" w:cs="Arial"/>
          <w:sz w:val="20"/>
          <w:szCs w:val="20"/>
        </w:rPr>
        <w:t xml:space="preserve"> 2024 </w:t>
      </w:r>
      <w:r w:rsidRPr="004B6546">
        <w:rPr>
          <w:rFonts w:ascii="Arial" w:hAnsi="Arial" w:cs="Arial"/>
          <w:sz w:val="20"/>
          <w:szCs w:val="20"/>
        </w:rPr>
        <w:t xml:space="preserve"> from areas surrounding the Renco Mine golf course in Masvingo</w:t>
      </w:r>
      <w:r w:rsidR="003A4BEC">
        <w:rPr>
          <w:rFonts w:ascii="Arial" w:hAnsi="Arial" w:cs="Arial"/>
          <w:sz w:val="20"/>
          <w:szCs w:val="20"/>
        </w:rPr>
        <w:t xml:space="preserve">, Southern Zimbabwe </w:t>
      </w:r>
      <w:r w:rsidRPr="004B6546">
        <w:rPr>
          <w:rFonts w:ascii="Arial" w:hAnsi="Arial" w:cs="Arial"/>
          <w:sz w:val="20"/>
          <w:szCs w:val="20"/>
        </w:rPr>
        <w:t xml:space="preserve">(20.6254⁰ S,31.1675º E). The collection process adhered to the guidelines outlined for sustainable harvesting of traditional medicinal plants in Zimbabwe as ascribed by the ministry of Environment and Tourism of Zimbabwe. Taxonomic authentication of the plant material was conducted by the National Herbarium and </w:t>
      </w:r>
      <w:r w:rsidR="00F4515A" w:rsidRPr="004B6546">
        <w:rPr>
          <w:rFonts w:ascii="Arial" w:hAnsi="Arial" w:cs="Arial"/>
          <w:sz w:val="20"/>
          <w:szCs w:val="20"/>
        </w:rPr>
        <w:t>Botanical</w:t>
      </w:r>
      <w:r w:rsidR="00F4515A">
        <w:rPr>
          <w:rFonts w:ascii="Arial" w:hAnsi="Arial" w:cs="Arial"/>
          <w:sz w:val="20"/>
          <w:szCs w:val="20"/>
        </w:rPr>
        <w:t xml:space="preserve"> Garden</w:t>
      </w:r>
      <w:r w:rsidRPr="004B6546">
        <w:rPr>
          <w:rFonts w:ascii="Arial" w:hAnsi="Arial" w:cs="Arial"/>
          <w:sz w:val="20"/>
          <w:szCs w:val="20"/>
        </w:rPr>
        <w:t xml:space="preserve"> in Harare, Zimbabwe</w:t>
      </w:r>
      <w:r w:rsidR="00F4515A">
        <w:rPr>
          <w:rFonts w:ascii="Arial" w:hAnsi="Arial" w:cs="Arial"/>
          <w:sz w:val="20"/>
          <w:szCs w:val="20"/>
        </w:rPr>
        <w:t>.</w:t>
      </w:r>
      <w:r w:rsidRPr="004B6546">
        <w:rPr>
          <w:rFonts w:ascii="Arial" w:hAnsi="Arial" w:cs="Arial"/>
          <w:sz w:val="20"/>
          <w:szCs w:val="20"/>
        </w:rPr>
        <w:t xml:space="preserve"> Following collection, the leaves were thoroughly washed and then dried under shade for four weeks until a constant weight was achieved</w:t>
      </w:r>
      <w:r w:rsidR="00F4515A">
        <w:rPr>
          <w:rFonts w:ascii="Arial" w:hAnsi="Arial" w:cs="Arial"/>
          <w:sz w:val="20"/>
          <w:szCs w:val="20"/>
        </w:rPr>
        <w:t>.</w:t>
      </w:r>
    </w:p>
    <w:bookmarkEnd w:id="16"/>
    <w:p w14:paraId="71CB15DB" w14:textId="1038A986" w:rsidR="00575137" w:rsidRPr="00F4515A" w:rsidRDefault="00F4515A" w:rsidP="00F4515A">
      <w:pPr>
        <w:pStyle w:val="Heading2"/>
      </w:pPr>
      <w:r w:rsidRPr="00F4515A">
        <w:t>Plant</w:t>
      </w:r>
      <w:r w:rsidR="00575137" w:rsidRPr="00F4515A">
        <w:t xml:space="preserve"> leaf hydroethanolic extract preparation </w:t>
      </w:r>
    </w:p>
    <w:p w14:paraId="7E350333" w14:textId="7AC07AA8" w:rsidR="00575137" w:rsidRPr="00575137" w:rsidRDefault="00575137" w:rsidP="00F4515A">
      <w:pPr>
        <w:spacing w:line="240" w:lineRule="auto"/>
        <w:contextualSpacing/>
        <w:jc w:val="both"/>
      </w:pPr>
      <w:r w:rsidRPr="00575137">
        <w:rPr>
          <w:rFonts w:ascii="Arial" w:hAnsi="Arial" w:cs="Arial"/>
          <w:sz w:val="20"/>
          <w:szCs w:val="20"/>
        </w:rPr>
        <w:t xml:space="preserve">The leaf extracts were prepared by cold percolation method, filtered using  Whatman filter paper </w:t>
      </w:r>
      <w:r w:rsidR="00A730C1">
        <w:rPr>
          <w:rFonts w:ascii="Arial" w:hAnsi="Arial" w:cs="Arial"/>
          <w:sz w:val="20"/>
          <w:szCs w:val="20"/>
        </w:rPr>
        <w:t>(</w:t>
      </w:r>
      <w:r w:rsidRPr="00575137">
        <w:rPr>
          <w:rFonts w:ascii="Arial" w:hAnsi="Arial" w:cs="Arial"/>
          <w:sz w:val="20"/>
          <w:szCs w:val="20"/>
        </w:rPr>
        <w:t xml:space="preserve">number </w:t>
      </w:r>
      <w:r w:rsidR="00F4515A">
        <w:rPr>
          <w:rFonts w:ascii="Arial" w:hAnsi="Arial" w:cs="Arial"/>
          <w:sz w:val="20"/>
          <w:szCs w:val="20"/>
        </w:rPr>
        <w:t>1</w:t>
      </w:r>
      <w:r w:rsidR="00A730C1">
        <w:rPr>
          <w:rFonts w:ascii="Arial" w:hAnsi="Arial" w:cs="Arial"/>
          <w:sz w:val="20"/>
          <w:szCs w:val="20"/>
        </w:rPr>
        <w:t>)</w:t>
      </w:r>
      <w:r w:rsidR="00F4515A">
        <w:rPr>
          <w:rFonts w:ascii="Arial" w:hAnsi="Arial" w:cs="Arial"/>
          <w:sz w:val="20"/>
          <w:szCs w:val="20"/>
        </w:rPr>
        <w:t xml:space="preserve"> </w:t>
      </w:r>
      <w:r w:rsidRPr="00575137">
        <w:rPr>
          <w:rFonts w:ascii="Arial" w:hAnsi="Arial" w:cs="Arial"/>
          <w:sz w:val="20"/>
          <w:szCs w:val="20"/>
        </w:rPr>
        <w:t>and concentrated with a rotary vacuum evaporator (Rotavapor® R-300, Buchi, Switzerland), followed by lyophilization (Lyovapor l-200, Buchi, Switzerland) under 140Pa pressure and -50 °C. The lyophillised extract crystals were kept in a refrigerator at 5</w:t>
      </w:r>
      <w:r>
        <w:rPr>
          <w:rFonts w:cstheme="minorHAnsi"/>
        </w:rPr>
        <w:t>°</w:t>
      </w:r>
      <w:r>
        <w:t>C.</w:t>
      </w:r>
    </w:p>
    <w:p w14:paraId="542C8797" w14:textId="77777777" w:rsidR="00575137" w:rsidRPr="00237CF8" w:rsidRDefault="00575137" w:rsidP="00E807B6">
      <w:pPr>
        <w:spacing w:line="240" w:lineRule="auto"/>
        <w:contextualSpacing/>
        <w:jc w:val="both"/>
        <w:rPr>
          <w:rFonts w:ascii="Arial" w:hAnsi="Arial" w:cs="Arial"/>
          <w:sz w:val="20"/>
          <w:szCs w:val="20"/>
        </w:rPr>
      </w:pPr>
    </w:p>
    <w:p w14:paraId="7411FA24" w14:textId="7BF2E8F1" w:rsidR="00C91D4C" w:rsidRPr="00237CF8" w:rsidRDefault="008C2E22" w:rsidP="00E807B6">
      <w:pPr>
        <w:pStyle w:val="Heading2"/>
        <w:spacing w:line="240" w:lineRule="auto"/>
        <w:contextualSpacing/>
        <w:jc w:val="both"/>
        <w:rPr>
          <w:rFonts w:cs="Arial"/>
          <w:sz w:val="20"/>
          <w:szCs w:val="20"/>
        </w:rPr>
      </w:pPr>
      <w:bookmarkStart w:id="17" w:name="_Toc196381526"/>
      <w:bookmarkStart w:id="18" w:name="_Hlk201698313"/>
      <w:r w:rsidRPr="00237CF8">
        <w:rPr>
          <w:rFonts w:cs="Arial"/>
          <w:sz w:val="20"/>
          <w:szCs w:val="20"/>
        </w:rPr>
        <w:t xml:space="preserve">Phytochemical Screening of </w:t>
      </w:r>
      <w:r w:rsidR="00F4515A">
        <w:rPr>
          <w:rFonts w:cs="Arial"/>
          <w:sz w:val="20"/>
          <w:szCs w:val="20"/>
        </w:rPr>
        <w:t>Plant</w:t>
      </w:r>
      <w:r w:rsidRPr="00237CF8">
        <w:rPr>
          <w:rFonts w:cs="Arial"/>
          <w:sz w:val="20"/>
          <w:szCs w:val="20"/>
        </w:rPr>
        <w:t xml:space="preserve"> leaf extracts</w:t>
      </w:r>
      <w:bookmarkEnd w:id="17"/>
    </w:p>
    <w:bookmarkEnd w:id="18"/>
    <w:p w14:paraId="70B62E23" w14:textId="77777777" w:rsidR="00C91D4C" w:rsidRPr="00237CF8" w:rsidRDefault="008C2E22" w:rsidP="00E807B6">
      <w:pPr>
        <w:spacing w:line="240" w:lineRule="auto"/>
        <w:contextualSpacing/>
        <w:jc w:val="both"/>
        <w:rPr>
          <w:rFonts w:ascii="Arial" w:hAnsi="Arial" w:cs="Arial"/>
          <w:sz w:val="20"/>
          <w:szCs w:val="20"/>
        </w:rPr>
      </w:pPr>
      <w:r w:rsidRPr="00237CF8">
        <w:rPr>
          <w:rFonts w:ascii="Arial" w:hAnsi="Arial" w:cs="Arial"/>
          <w:sz w:val="20"/>
          <w:szCs w:val="20"/>
        </w:rPr>
        <w:t xml:space="preserve"> In a 200ml round bottomed flask, 10g of the lyophilized hydro-ethanolic leaf extracts of </w:t>
      </w:r>
      <w:r w:rsidRPr="00CA3055">
        <w:rPr>
          <w:rFonts w:ascii="Arial" w:hAnsi="Arial" w:cs="Arial"/>
          <w:i/>
          <w:iCs/>
          <w:sz w:val="20"/>
          <w:szCs w:val="20"/>
        </w:rPr>
        <w:t>V. nilotica</w:t>
      </w:r>
      <w:r w:rsidRPr="00237CF8">
        <w:rPr>
          <w:rFonts w:ascii="Arial" w:hAnsi="Arial" w:cs="Arial"/>
          <w:sz w:val="20"/>
          <w:szCs w:val="20"/>
        </w:rPr>
        <w:t xml:space="preserve"> were dissolved in 100ml of distilled water and subjected to various Phyto-screening techniques to confirm the presence or absence of relevant phytoconstituents of pharmacological interest to this study. The following qualitative tests were conducted on the extract liquor. </w:t>
      </w:r>
    </w:p>
    <w:p w14:paraId="1814E6AF" w14:textId="30DF5D10" w:rsidR="00C91D4C" w:rsidRPr="00237CF8" w:rsidRDefault="008C2E22" w:rsidP="00E807B6">
      <w:pPr>
        <w:pStyle w:val="Heading3"/>
        <w:spacing w:line="240" w:lineRule="auto"/>
        <w:contextualSpacing/>
        <w:jc w:val="both"/>
        <w:rPr>
          <w:rFonts w:cs="Arial"/>
          <w:szCs w:val="20"/>
        </w:rPr>
      </w:pPr>
      <w:r w:rsidRPr="00237CF8">
        <w:rPr>
          <w:rFonts w:cs="Arial"/>
          <w:szCs w:val="20"/>
        </w:rPr>
        <w:t xml:space="preserve"> </w:t>
      </w:r>
      <w:bookmarkStart w:id="19" w:name="_Toc196381527"/>
      <w:r w:rsidRPr="00237CF8">
        <w:rPr>
          <w:rFonts w:cs="Arial"/>
          <w:szCs w:val="20"/>
        </w:rPr>
        <w:t xml:space="preserve">Mayer’s </w:t>
      </w:r>
      <w:r w:rsidR="00216FEB" w:rsidRPr="00237CF8">
        <w:rPr>
          <w:rFonts w:cs="Arial"/>
          <w:szCs w:val="20"/>
        </w:rPr>
        <w:t>t</w:t>
      </w:r>
      <w:r w:rsidRPr="00237CF8">
        <w:rPr>
          <w:rFonts w:cs="Arial"/>
          <w:szCs w:val="20"/>
        </w:rPr>
        <w:t>est for alkaloids</w:t>
      </w:r>
      <w:bookmarkEnd w:id="19"/>
    </w:p>
    <w:p w14:paraId="74E285B0" w14:textId="226A5969" w:rsidR="00C91D4C" w:rsidRPr="00237CF8" w:rsidRDefault="008C2E22" w:rsidP="00E807B6">
      <w:pPr>
        <w:spacing w:line="240" w:lineRule="auto"/>
        <w:contextualSpacing/>
        <w:jc w:val="both"/>
        <w:rPr>
          <w:rFonts w:ascii="Arial" w:hAnsi="Arial" w:cs="Arial"/>
          <w:sz w:val="20"/>
          <w:szCs w:val="20"/>
        </w:rPr>
      </w:pPr>
      <w:r w:rsidRPr="00237CF8">
        <w:rPr>
          <w:rFonts w:ascii="Arial" w:hAnsi="Arial" w:cs="Arial"/>
          <w:sz w:val="20"/>
          <w:szCs w:val="20"/>
        </w:rPr>
        <w:t xml:space="preserve">The determination of alkaloids was done through the Mayer’s test. In this assay, 2 ml of the lyophilized leaf extract was placed in the test tube and   then two drops of Mayer’s reagent were slowly added along the sides of the same test </w:t>
      </w:r>
      <w:r w:rsidR="00216FEB" w:rsidRPr="00237CF8">
        <w:rPr>
          <w:rFonts w:ascii="Arial" w:hAnsi="Arial" w:cs="Arial"/>
          <w:sz w:val="20"/>
          <w:szCs w:val="20"/>
        </w:rPr>
        <w:t>tube.</w:t>
      </w:r>
      <w:r w:rsidRPr="00237CF8">
        <w:rPr>
          <w:rFonts w:ascii="Arial" w:hAnsi="Arial" w:cs="Arial"/>
          <w:sz w:val="20"/>
          <w:szCs w:val="20"/>
        </w:rPr>
        <w:t xml:space="preserve"> The presence- of alkaloids was then identified by the appearance of a white creamy precipitate</w:t>
      </w:r>
      <w:r w:rsidR="00F4515A">
        <w:rPr>
          <w:rFonts w:ascii="Arial" w:hAnsi="Arial" w:cs="Arial"/>
          <w:sz w:val="20"/>
          <w:szCs w:val="20"/>
        </w:rPr>
        <w:t xml:space="preserve"> </w:t>
      </w:r>
      <w:r w:rsidR="00A0239F" w:rsidRPr="00A0239F">
        <w:rPr>
          <w:rFonts w:ascii="Arial" w:hAnsi="Arial" w:cs="Arial"/>
          <w:sz w:val="20"/>
          <w:szCs w:val="20"/>
        </w:rPr>
        <w:fldChar w:fldCharType="begin"/>
      </w:r>
      <w:r w:rsidR="00A0239F" w:rsidRPr="00A0239F">
        <w:rPr>
          <w:rFonts w:ascii="Arial" w:hAnsi="Arial" w:cs="Arial"/>
          <w:sz w:val="20"/>
          <w:szCs w:val="20"/>
        </w:rPr>
        <w:instrText xml:space="preserve"> ADDIN ZOTERO_ITEM CSL_CITATION {"citationID":"3xl4mkVh","properties":{"formattedCitation":"(23)","plainCitation":"(23)","noteIndex":0},"citationItems":[{"id":197,"uris":["http://zotero.org/users/local/iHdIrYxX/items/DEP4UJCF"],"itemData":{"id":197,"type":"article-journal","container-title":"Transactions of the Royal Society of Tropical Medicine and Hygiene","DOI":"10.1016/S0035-9203(35)90133-X","ISSN":"0035-9203","issue":"4","journalAbbreviation":"Transactions of the Royal Society of Tropical Medicine and Hygiene","page":"385-390","source":"ScienceDirect","title":"A note on the use of mayer's reagent for the detection of quinine in alkaline urine","URL":"https://www.sciencedirect.com/science/article/pii/S003592033590133X","volume":"28","author":[{"family":"Field","given":"J. W."},{"family":"Kandiah","given":"M."}],"accessed":{"date-parts":[["2025",7,2]]},"issued":{"date-parts":[["1935",1,25]]}}}],"schema":"https://github.com/citation-style-language/schema/raw/master/csl-citation.json"} </w:instrText>
      </w:r>
      <w:r w:rsidR="00A0239F" w:rsidRPr="00A0239F">
        <w:rPr>
          <w:rFonts w:ascii="Arial" w:hAnsi="Arial" w:cs="Arial"/>
          <w:sz w:val="20"/>
          <w:szCs w:val="20"/>
        </w:rPr>
        <w:fldChar w:fldCharType="separate"/>
      </w:r>
      <w:r w:rsidR="00A0239F" w:rsidRPr="00A0239F">
        <w:rPr>
          <w:rFonts w:ascii="Arial" w:hAnsi="Arial" w:cs="Arial"/>
          <w:sz w:val="20"/>
        </w:rPr>
        <w:t>(23)</w:t>
      </w:r>
      <w:r w:rsidR="00A0239F" w:rsidRPr="00A0239F">
        <w:rPr>
          <w:rFonts w:ascii="Arial" w:hAnsi="Arial" w:cs="Arial"/>
          <w:sz w:val="20"/>
          <w:szCs w:val="20"/>
        </w:rPr>
        <w:fldChar w:fldCharType="end"/>
      </w:r>
      <w:r w:rsidRPr="00A0239F">
        <w:rPr>
          <w:rFonts w:ascii="Arial" w:hAnsi="Arial" w:cs="Arial"/>
          <w:sz w:val="20"/>
          <w:szCs w:val="20"/>
        </w:rPr>
        <w:t>.</w:t>
      </w:r>
    </w:p>
    <w:p w14:paraId="312FA108" w14:textId="25506A55" w:rsidR="00C91D4C" w:rsidRPr="00CA3055" w:rsidRDefault="008C2E22" w:rsidP="00CA3055">
      <w:pPr>
        <w:pStyle w:val="Heading3"/>
      </w:pPr>
      <w:r w:rsidRPr="00237CF8">
        <w:t xml:space="preserve">  </w:t>
      </w:r>
      <w:bookmarkStart w:id="20" w:name="_Toc196381528"/>
      <w:r w:rsidRPr="00CA3055">
        <w:t xml:space="preserve">Ferric chloride </w:t>
      </w:r>
      <w:r w:rsidR="00216FEB" w:rsidRPr="00CA3055">
        <w:t>t</w:t>
      </w:r>
      <w:r w:rsidRPr="00CA3055">
        <w:t>est for tannins</w:t>
      </w:r>
      <w:r w:rsidR="00CA3055" w:rsidRPr="00CA3055">
        <w:t xml:space="preserve"> and phenolics</w:t>
      </w:r>
      <w:bookmarkEnd w:id="20"/>
    </w:p>
    <w:p w14:paraId="0B417F8F" w14:textId="6B22BAB5" w:rsidR="00C91D4C" w:rsidRPr="00237CF8" w:rsidRDefault="008C2E22" w:rsidP="00E807B6">
      <w:pPr>
        <w:spacing w:line="240" w:lineRule="auto"/>
        <w:contextualSpacing/>
        <w:jc w:val="both"/>
        <w:rPr>
          <w:rFonts w:ascii="Arial" w:hAnsi="Arial" w:cs="Arial"/>
          <w:sz w:val="20"/>
          <w:szCs w:val="20"/>
        </w:rPr>
      </w:pPr>
      <w:r w:rsidRPr="00237CF8">
        <w:rPr>
          <w:rFonts w:ascii="Arial" w:hAnsi="Arial" w:cs="Arial"/>
          <w:sz w:val="20"/>
          <w:szCs w:val="20"/>
        </w:rPr>
        <w:t>The determination of the presence of tannins and phenolic compounds in the lyophilized sample was done through the Ferric chloride test. In this test, 1 ml of the hydro ethanolic extract was added to 2 ml of distilled water. 2-3 drops of ferric chloride were also added. The test sample was checked for the development of a green-blue colour which indicates the presence of blue-black indicated the presence of Gallic tannins</w:t>
      </w:r>
      <w:r w:rsidR="00821D7C">
        <w:rPr>
          <w:rFonts w:ascii="Arial" w:hAnsi="Arial" w:cs="Arial"/>
          <w:sz w:val="20"/>
          <w:szCs w:val="20"/>
        </w:rPr>
        <w:t xml:space="preserve"> </w:t>
      </w:r>
      <w:r w:rsidR="00A0239F">
        <w:rPr>
          <w:rFonts w:ascii="Arial" w:hAnsi="Arial" w:cs="Arial"/>
          <w:sz w:val="20"/>
          <w:szCs w:val="20"/>
        </w:rPr>
        <w:fldChar w:fldCharType="begin"/>
      </w:r>
      <w:r w:rsidR="00A0239F">
        <w:rPr>
          <w:rFonts w:ascii="Arial" w:hAnsi="Arial" w:cs="Arial"/>
          <w:sz w:val="20"/>
          <w:szCs w:val="20"/>
        </w:rPr>
        <w:instrText xml:space="preserve"> ADDIN ZOTERO_ITEM CSL_CITATION {"citationID":"681QP4ms","properties":{"formattedCitation":"(24)","plainCitation":"(24)","noteIndex":0},"citationItems":[{"id":199,"uris":["http://zotero.org/users/local/iHdIrYxX/items/XTR5WTCZ"],"itemData":{"id":199,"type":"article-journal","abstract":"A chemical spot test, the first of its kind, with ferric chloride has been developed as a safety test and for standardizing and monitoring water-in-oil emulsions, particularly of allergens. The test is simple, rapid, and reliable. It has eliminated the need for microscopy, conductivity, or re-emulsification before injection. With the use of this test, uniform emulsions can be provided for evaluating the therapeutic results of the repository technique employed in the treatment of pollinosis under controlled conditions.","container-title":"Journal of Allergy","DOI":"10.1016/0021-8707(67)90120-7","ISSN":"0021-8707","issue":"1","journalAbbreviation":"Journal of Allergy","page":"1-10","source":"ScienceDirect","title":"The ferric chloride spot test for the evaluation and standardization of emulsions of allergens","URL":"https://www.sciencedirect.com/science/article/pii/0021870767901207","volume":"39","author":[{"family":"Prigal","given":"Samuel J."}],"accessed":{"date-parts":[["2025",7,2]]},"issued":{"date-parts":[["1967",1,1]]}}}],"schema":"https://github.com/citation-style-language/schema/raw/master/csl-citation.json"} </w:instrText>
      </w:r>
      <w:r w:rsidR="00A0239F">
        <w:rPr>
          <w:rFonts w:ascii="Arial" w:hAnsi="Arial" w:cs="Arial"/>
          <w:sz w:val="20"/>
          <w:szCs w:val="20"/>
        </w:rPr>
        <w:fldChar w:fldCharType="separate"/>
      </w:r>
      <w:r w:rsidR="00A0239F" w:rsidRPr="00A0239F">
        <w:rPr>
          <w:rFonts w:ascii="Arial" w:hAnsi="Arial" w:cs="Arial"/>
          <w:sz w:val="20"/>
        </w:rPr>
        <w:t>(24)</w:t>
      </w:r>
      <w:r w:rsidR="00A0239F">
        <w:rPr>
          <w:rFonts w:ascii="Arial" w:hAnsi="Arial" w:cs="Arial"/>
          <w:sz w:val="20"/>
          <w:szCs w:val="20"/>
        </w:rPr>
        <w:fldChar w:fldCharType="end"/>
      </w:r>
      <w:r w:rsidRPr="00237CF8">
        <w:rPr>
          <w:rFonts w:ascii="Arial" w:hAnsi="Arial" w:cs="Arial"/>
          <w:sz w:val="20"/>
          <w:szCs w:val="20"/>
        </w:rPr>
        <w:t xml:space="preserve">. </w:t>
      </w:r>
    </w:p>
    <w:p w14:paraId="6AC747A5" w14:textId="44E28C66" w:rsidR="00C91D4C" w:rsidRPr="00237CF8" w:rsidRDefault="00821D7C" w:rsidP="00E807B6">
      <w:pPr>
        <w:pStyle w:val="Heading3"/>
        <w:spacing w:line="240" w:lineRule="auto"/>
        <w:contextualSpacing/>
        <w:jc w:val="both"/>
        <w:rPr>
          <w:rFonts w:cs="Arial"/>
          <w:szCs w:val="20"/>
        </w:rPr>
      </w:pPr>
      <w:bookmarkStart w:id="21" w:name="_Toc196381529"/>
      <w:r>
        <w:rPr>
          <w:rStyle w:val="Heading3Char"/>
          <w:rFonts w:cs="Arial"/>
          <w:szCs w:val="20"/>
        </w:rPr>
        <w:t>Alkaline reagent test</w:t>
      </w:r>
      <w:r w:rsidR="008C2E22" w:rsidRPr="00237CF8">
        <w:rPr>
          <w:rFonts w:cs="Arial"/>
          <w:szCs w:val="20"/>
        </w:rPr>
        <w:t>:</w:t>
      </w:r>
      <w:bookmarkEnd w:id="21"/>
    </w:p>
    <w:p w14:paraId="7A1475B5" w14:textId="350696F4" w:rsidR="00C91D4C" w:rsidRDefault="008C2E22" w:rsidP="00E807B6">
      <w:pPr>
        <w:spacing w:line="240" w:lineRule="auto"/>
        <w:contextualSpacing/>
        <w:jc w:val="both"/>
        <w:rPr>
          <w:rFonts w:ascii="Arial" w:hAnsi="Arial" w:cs="Arial"/>
          <w:sz w:val="20"/>
          <w:szCs w:val="20"/>
        </w:rPr>
      </w:pPr>
      <w:r w:rsidRPr="00237CF8">
        <w:rPr>
          <w:rFonts w:ascii="Arial" w:hAnsi="Arial" w:cs="Arial"/>
          <w:sz w:val="20"/>
          <w:szCs w:val="20"/>
        </w:rPr>
        <w:t xml:space="preserve">The test for flavonoids was done using </w:t>
      </w:r>
      <w:r w:rsidR="00F4515A">
        <w:rPr>
          <w:rFonts w:ascii="Arial" w:hAnsi="Arial" w:cs="Arial"/>
          <w:sz w:val="20"/>
          <w:szCs w:val="20"/>
        </w:rPr>
        <w:t xml:space="preserve">the </w:t>
      </w:r>
      <w:r w:rsidRPr="00237CF8">
        <w:rPr>
          <w:rFonts w:ascii="Arial" w:hAnsi="Arial" w:cs="Arial"/>
          <w:sz w:val="20"/>
          <w:szCs w:val="20"/>
        </w:rPr>
        <w:t>alkaline test. In the test, 2ml of   lyophilized leaf extract and 2 to 3 drops of sodium hydroxide were added in the test tube. The initial formation of a deep yellow which gradually fades to colourless after adding a few drops of dilute HCl, indicates the presence of flavonoids</w:t>
      </w:r>
      <w:r w:rsidR="00821D7C">
        <w:rPr>
          <w:rFonts w:ascii="Arial" w:hAnsi="Arial" w:cs="Arial"/>
          <w:sz w:val="20"/>
          <w:szCs w:val="20"/>
        </w:rPr>
        <w:t xml:space="preserve"> </w:t>
      </w:r>
      <w:r w:rsidR="00821D7C">
        <w:rPr>
          <w:rFonts w:ascii="Arial" w:hAnsi="Arial" w:cs="Arial"/>
          <w:sz w:val="20"/>
          <w:szCs w:val="20"/>
        </w:rPr>
        <w:fldChar w:fldCharType="begin"/>
      </w:r>
      <w:r w:rsidR="00821D7C">
        <w:rPr>
          <w:rFonts w:ascii="Arial" w:hAnsi="Arial" w:cs="Arial"/>
          <w:sz w:val="20"/>
          <w:szCs w:val="20"/>
        </w:rPr>
        <w:instrText xml:space="preserve"> ADDIN ZOTERO_ITEM CSL_CITATION {"citationID":"5sHmi1k0","properties":{"formattedCitation":"(25)","plainCitation":"(25)","noteIndex":0},"citationItems":[{"id":201,"uris":["http://zotero.org/users/local/iHdIrYxX/items/RICLJISB"],"itemData":{"id":201,"type":"article-journal","abstract":"Context:Phytoconstituents of medicinal plants have been playing a key role in treating various diseases all over the world since ancient times. The present study was focused on preliminary analysis of phytoconstituents and evaluation of anthelmintic property (in vitro) of different extracts of Cayratia auriculata (Family: Vitaceae) against earthworms (Pheretima posthuma).\n, Materials and methods:Four different hexane, chloroform, ethyl acetate and methanol extracts of Cayratia auriculata were screened for their phytoconstituents. Cayratia auriculata has been shown to have various phytoconstituents such as flavonoids, phenolic compounds, tannins, alkaloids, saponins, glycosides and steroids. Hexane, chloroform, ethyl acetate and methanol extracts of Cayratia auriculata were analyzed for their anthelmintic property on earthworms (Pheretima posthuma). Each extract at three different concentrations (20 mg/mL, 40 mg/mL and 80 mg/mL) was analysed to evaluate the time taken for paralysis (P) and death (D) of adult earthworms. Albendazole was used as standard and 2% Tween 80 in distilled water as control at a concentration of 10 mg/mL., Results:Our study found that the methanolic extract of Cayratia auriculata at a concentration of 80 mg/mL [21.98±0.88 (P), 79.06±0.87(D)] expressed a stronger anthelmintic property than the standard albendazole (10 mg/mL) [26.73±0.56 (P), 87.70±0.91 (D)]., Conclusions:All extracts expressed a dose dependent anthelmintic activity, with an increasing pattern in the following order: hexane, chloroform, ethyl acetate and methanol.","container-title":"Mædica","DOI":"10.26574/maedica.2019.14.4.350","ISSN":"1841-9038","issue":"4","journalAbbreviation":"Maedica (Bucur)","note":"PMID: 32153665\nPMCID: PMC7035446","page":"350-356","source":"PubMed Central","title":"Preliminary Analysis of Phytoconstituents and Evaluation of Anthelminthic Property of Cayratia auriculata (In Vitro)","URL":"https://www.ncbi.nlm.nih.gov/pmc/articles/PMC7035446/","volume":"14","author":[{"family":"KANCHERLA","given":"Nagaraju"},{"family":"DHAKSHINAMOOTHI","given":"Anusha"},{"family":"CHITRA","given":"K"},{"family":"KOMARAM","given":"Ravi Babu"}],"accessed":{"date-parts":[["2025",7,2]]},"issued":{"date-parts":[["2019",12]]}}}],"schema":"https://github.com/citation-style-language/schema/raw/master/csl-citation.json"} </w:instrText>
      </w:r>
      <w:r w:rsidR="00821D7C">
        <w:rPr>
          <w:rFonts w:ascii="Arial" w:hAnsi="Arial" w:cs="Arial"/>
          <w:sz w:val="20"/>
          <w:szCs w:val="20"/>
        </w:rPr>
        <w:fldChar w:fldCharType="separate"/>
      </w:r>
      <w:r w:rsidR="00821D7C" w:rsidRPr="00821D7C">
        <w:rPr>
          <w:rFonts w:ascii="Arial" w:hAnsi="Arial" w:cs="Arial"/>
          <w:sz w:val="20"/>
        </w:rPr>
        <w:t>(25)</w:t>
      </w:r>
      <w:r w:rsidR="00821D7C">
        <w:rPr>
          <w:rFonts w:ascii="Arial" w:hAnsi="Arial" w:cs="Arial"/>
          <w:sz w:val="20"/>
          <w:szCs w:val="20"/>
        </w:rPr>
        <w:fldChar w:fldCharType="end"/>
      </w:r>
      <w:r w:rsidRPr="00237CF8">
        <w:rPr>
          <w:rFonts w:ascii="Arial" w:hAnsi="Arial" w:cs="Arial"/>
          <w:sz w:val="20"/>
          <w:szCs w:val="20"/>
        </w:rPr>
        <w:t>.</w:t>
      </w:r>
    </w:p>
    <w:p w14:paraId="2EE78FF8" w14:textId="77777777" w:rsidR="00B3623E" w:rsidRDefault="00B3623E" w:rsidP="00B3623E">
      <w:pPr>
        <w:pStyle w:val="Heading3"/>
      </w:pPr>
      <w:r w:rsidRPr="00B3623E">
        <w:t xml:space="preserve">Keller-Kiliani test </w:t>
      </w:r>
    </w:p>
    <w:p w14:paraId="58D9D6DF" w14:textId="50340789" w:rsidR="00B3623E" w:rsidRPr="00237CF8" w:rsidRDefault="00F65FD5" w:rsidP="00E807B6">
      <w:pPr>
        <w:spacing w:line="240" w:lineRule="auto"/>
        <w:contextualSpacing/>
        <w:jc w:val="both"/>
        <w:rPr>
          <w:rFonts w:ascii="Arial" w:hAnsi="Arial" w:cs="Arial"/>
          <w:sz w:val="20"/>
          <w:szCs w:val="20"/>
        </w:rPr>
      </w:pPr>
      <w:r w:rsidRPr="00F65FD5">
        <w:rPr>
          <w:rFonts w:ascii="Arial" w:hAnsi="Arial" w:cs="Arial"/>
          <w:sz w:val="20"/>
          <w:szCs w:val="20"/>
        </w:rPr>
        <w:t xml:space="preserve">The Keller-Kiliani test </w:t>
      </w:r>
      <w:r>
        <w:rPr>
          <w:rFonts w:ascii="Arial" w:hAnsi="Arial" w:cs="Arial"/>
          <w:sz w:val="20"/>
          <w:szCs w:val="20"/>
        </w:rPr>
        <w:t>was</w:t>
      </w:r>
      <w:r w:rsidRPr="00F65FD5">
        <w:rPr>
          <w:rFonts w:ascii="Arial" w:hAnsi="Arial" w:cs="Arial"/>
          <w:sz w:val="20"/>
          <w:szCs w:val="20"/>
        </w:rPr>
        <w:t xml:space="preserve"> used to detect the presence of cardiac glycosides</w:t>
      </w:r>
      <w:r>
        <w:rPr>
          <w:rFonts w:ascii="Arial" w:hAnsi="Arial" w:cs="Arial"/>
          <w:sz w:val="20"/>
          <w:szCs w:val="20"/>
        </w:rPr>
        <w:t>. The test is recommended specifically to</w:t>
      </w:r>
      <w:r w:rsidRPr="00F65FD5">
        <w:rPr>
          <w:rFonts w:ascii="Arial" w:hAnsi="Arial" w:cs="Arial"/>
          <w:sz w:val="20"/>
          <w:szCs w:val="20"/>
        </w:rPr>
        <w:t xml:space="preserve"> identify the deoxy sugar component, digitoxose</w:t>
      </w:r>
      <w:r>
        <w:rPr>
          <w:rFonts w:ascii="Arial" w:hAnsi="Arial" w:cs="Arial"/>
          <w:sz w:val="20"/>
          <w:szCs w:val="20"/>
        </w:rPr>
        <w:t>, mostly found in plants</w:t>
      </w:r>
      <w:r w:rsidRPr="00F65FD5">
        <w:rPr>
          <w:rFonts w:ascii="Arial" w:hAnsi="Arial" w:cs="Arial"/>
          <w:sz w:val="20"/>
          <w:szCs w:val="20"/>
        </w:rPr>
        <w:t> </w:t>
      </w:r>
      <w:r>
        <w:rPr>
          <w:rFonts w:ascii="Arial" w:hAnsi="Arial" w:cs="Arial"/>
          <w:sz w:val="20"/>
          <w:szCs w:val="20"/>
        </w:rPr>
        <w:t xml:space="preserve">that have cardiac glucosides. In our assay the </w:t>
      </w:r>
      <w:r w:rsidRPr="00F65FD5">
        <w:rPr>
          <w:rFonts w:ascii="Arial" w:hAnsi="Arial" w:cs="Arial"/>
          <w:sz w:val="20"/>
          <w:szCs w:val="20"/>
        </w:rPr>
        <w:t>test involve</w:t>
      </w:r>
      <w:r>
        <w:rPr>
          <w:rFonts w:ascii="Arial" w:hAnsi="Arial" w:cs="Arial"/>
          <w:sz w:val="20"/>
          <w:szCs w:val="20"/>
        </w:rPr>
        <w:t xml:space="preserve">d </w:t>
      </w:r>
      <w:r w:rsidR="00B3623E" w:rsidRPr="00B3623E">
        <w:rPr>
          <w:rFonts w:ascii="Arial" w:hAnsi="Arial" w:cs="Arial"/>
          <w:sz w:val="20"/>
          <w:szCs w:val="20"/>
        </w:rPr>
        <w:t xml:space="preserve">reacting </w:t>
      </w:r>
      <w:r w:rsidR="00B3623E">
        <w:rPr>
          <w:rFonts w:ascii="Arial" w:hAnsi="Arial" w:cs="Arial"/>
          <w:sz w:val="20"/>
          <w:szCs w:val="20"/>
        </w:rPr>
        <w:t xml:space="preserve">2ml of </w:t>
      </w:r>
      <w:r w:rsidR="000A0C9B">
        <w:rPr>
          <w:rFonts w:ascii="Arial" w:hAnsi="Arial" w:cs="Arial"/>
          <w:sz w:val="20"/>
          <w:szCs w:val="20"/>
        </w:rPr>
        <w:t>leaf</w:t>
      </w:r>
      <w:r w:rsidR="00B3623E" w:rsidRPr="00B3623E">
        <w:rPr>
          <w:rFonts w:ascii="Arial" w:hAnsi="Arial" w:cs="Arial"/>
          <w:sz w:val="20"/>
          <w:szCs w:val="20"/>
        </w:rPr>
        <w:t xml:space="preserve"> extract with glacial acetic acid</w:t>
      </w:r>
      <w:r w:rsidR="000A0C9B">
        <w:rPr>
          <w:rFonts w:ascii="Arial" w:hAnsi="Arial" w:cs="Arial"/>
          <w:sz w:val="20"/>
          <w:szCs w:val="20"/>
        </w:rPr>
        <w:t>, then add</w:t>
      </w:r>
      <w:r>
        <w:rPr>
          <w:rFonts w:ascii="Arial" w:hAnsi="Arial" w:cs="Arial"/>
          <w:sz w:val="20"/>
          <w:szCs w:val="20"/>
        </w:rPr>
        <w:t>ing</w:t>
      </w:r>
      <w:r w:rsidR="000A0C9B">
        <w:rPr>
          <w:rFonts w:ascii="Arial" w:hAnsi="Arial" w:cs="Arial"/>
          <w:sz w:val="20"/>
          <w:szCs w:val="20"/>
        </w:rPr>
        <w:t xml:space="preserve"> 1 drop of 2%</w:t>
      </w:r>
      <w:r w:rsidR="00B3623E" w:rsidRPr="00B3623E">
        <w:rPr>
          <w:rFonts w:ascii="Arial" w:hAnsi="Arial" w:cs="Arial"/>
          <w:sz w:val="20"/>
          <w:szCs w:val="20"/>
        </w:rPr>
        <w:t xml:space="preserve"> of ferric chloride, followed by </w:t>
      </w:r>
      <w:r w:rsidR="00B3623E">
        <w:rPr>
          <w:rFonts w:ascii="Arial" w:hAnsi="Arial" w:cs="Arial"/>
          <w:sz w:val="20"/>
          <w:szCs w:val="20"/>
        </w:rPr>
        <w:t>addi</w:t>
      </w:r>
      <w:r>
        <w:rPr>
          <w:rFonts w:ascii="Arial" w:hAnsi="Arial" w:cs="Arial"/>
          <w:sz w:val="20"/>
          <w:szCs w:val="20"/>
        </w:rPr>
        <w:t>tion of</w:t>
      </w:r>
      <w:r w:rsidR="00B3623E" w:rsidRPr="00B3623E">
        <w:rPr>
          <w:rFonts w:ascii="Arial" w:hAnsi="Arial" w:cs="Arial"/>
          <w:sz w:val="20"/>
          <w:szCs w:val="20"/>
        </w:rPr>
        <w:t xml:space="preserve"> concentrated sulfuric acid</w:t>
      </w:r>
      <w:r>
        <w:rPr>
          <w:rFonts w:ascii="Arial" w:hAnsi="Arial" w:cs="Arial"/>
          <w:sz w:val="20"/>
          <w:szCs w:val="20"/>
        </w:rPr>
        <w:t xml:space="preserve"> . Development of </w:t>
      </w:r>
      <w:r w:rsidR="00B3623E" w:rsidRPr="00B3623E">
        <w:rPr>
          <w:rFonts w:ascii="Arial" w:hAnsi="Arial" w:cs="Arial"/>
          <w:sz w:val="20"/>
          <w:szCs w:val="20"/>
        </w:rPr>
        <w:t>a reddish-brown</w:t>
      </w:r>
      <w:r>
        <w:rPr>
          <w:rFonts w:ascii="Arial" w:hAnsi="Arial" w:cs="Arial"/>
          <w:sz w:val="20"/>
          <w:szCs w:val="20"/>
        </w:rPr>
        <w:t xml:space="preserve"> colour confirmed the presence of </w:t>
      </w:r>
      <w:r w:rsidR="00B3623E" w:rsidRPr="00B3623E">
        <w:rPr>
          <w:rFonts w:ascii="Arial" w:hAnsi="Arial" w:cs="Arial"/>
          <w:sz w:val="20"/>
          <w:szCs w:val="20"/>
        </w:rPr>
        <w:t>glycosides</w:t>
      </w:r>
      <w:r>
        <w:rPr>
          <w:rFonts w:ascii="Arial" w:hAnsi="Arial" w:cs="Arial"/>
          <w:sz w:val="20"/>
          <w:szCs w:val="20"/>
        </w:rPr>
        <w:t xml:space="preserve"> </w:t>
      </w:r>
      <w:r w:rsidR="00B3623E">
        <w:rPr>
          <w:rFonts w:ascii="Arial" w:hAnsi="Arial" w:cs="Arial"/>
          <w:sz w:val="20"/>
          <w:szCs w:val="20"/>
        </w:rPr>
        <w:fldChar w:fldCharType="begin"/>
      </w:r>
      <w:r w:rsidR="00B3623E">
        <w:rPr>
          <w:rFonts w:ascii="Arial" w:hAnsi="Arial" w:cs="Arial"/>
          <w:sz w:val="20"/>
          <w:szCs w:val="20"/>
        </w:rPr>
        <w:instrText xml:space="preserve"> ADDIN ZOTERO_ITEM CSL_CITATION {"citationID":"wJYCL0SO","properties":{"formattedCitation":"(26)","plainCitation":"(26)","noteIndex":0},"citationItems":[{"id":310,"uris":["http://zotero.org/users/local/iHdIrYxX/items/G77ZCYSZ"],"itemData":{"id":310,"type":"article-journal","abstract":"The aim of this study was to evaluate the antioxidant activity, screening the phytogenic chemical compounds, and to assess the alkaloids present in the E. intermedia to prove its uses in Pakistani folk medicines for the treatment of asthma and bronchitis. Antioxidant activity was analyzed by using 2,2-diphenyl-1-picryl-hydrazyl-hydrate assay. Standard methods were used for the identification of cardiac glycosides, phenolic compounds, flavonoids, anthraquinones, and alkaloids. High performance liquid chromatography (HPLC) was used for quantitative purpose of ephedrine alkaloids in E. intermedia. The quantitative separation was confirmed on Shimadzu 10AVP column (Shampack) of internal diameter (id) 3.0 mm and 50 mm in length. The extract of the solute in flow rate of 1 ml/min at the wavelength 210 nm and methanolic extract showed the antioxidant activity and powerful oxygen free radicals scavenging activities and the IC50 for the E. intermedia plant was near to the reference standard ascorbic acid. The HPLC method was useful for the quantitative purpose of ephedrine (E) and pseudoephedrine (PE) used for 45 samples of one species collected from central habitat in three districts (Ziarat, Shairani, and Kalat) of Balochistan. Results showed that average alkaloid substance in E. intermedia was as follows: PE (0.209%, 0.238%, and 0.22%) and E (0.0538%, 0.0666%, and 0.0514%).","container-title":"The Scientific World Journal","DOI":"10.1155/2017/5873648","ISSN":"1537-744X","issue":"1","language":"en","license":"Copyright © 2017 Rahman Gul et al.","note":"_eprint: https://onlinelibrary.wiley.com/doi/pdf/10.1155/2017/5873648","page":"5873648","source":"Wiley Online Library","title":"Preliminary Phytochemical Screening, Quantitative Analysis of Alkaloids, and Antioxidant Activity of Crude Plant Extracts from Ephedra intermedia Indigenous to Balochistan","URL":"https://onlinelibrary.wiley.com/doi/abs/10.1155/2017/5873648","volume":"2017","author":[{"family":"Gul","given":"Rahman"},{"family":"Jan","given":"Syed Umer"},{"family":"Faridullah","given":"Syed"},{"family":"Sherani","given":"Samiullah"},{"family":"Jahan","given":"Nusrat"}],"accessed":{"date-parts":[["2025",7,2]]},"issued":{"date-parts":[["2017"]]}}}],"schema":"https://github.com/citation-style-language/schema/raw/master/csl-citation.json"} </w:instrText>
      </w:r>
      <w:r w:rsidR="00B3623E">
        <w:rPr>
          <w:rFonts w:ascii="Arial" w:hAnsi="Arial" w:cs="Arial"/>
          <w:sz w:val="20"/>
          <w:szCs w:val="20"/>
        </w:rPr>
        <w:fldChar w:fldCharType="separate"/>
      </w:r>
      <w:r w:rsidR="00B3623E" w:rsidRPr="00B3623E">
        <w:rPr>
          <w:rFonts w:ascii="Arial" w:hAnsi="Arial" w:cs="Arial"/>
          <w:sz w:val="20"/>
        </w:rPr>
        <w:t>(26)</w:t>
      </w:r>
      <w:r w:rsidR="00B3623E">
        <w:rPr>
          <w:rFonts w:ascii="Arial" w:hAnsi="Arial" w:cs="Arial"/>
          <w:sz w:val="20"/>
          <w:szCs w:val="20"/>
        </w:rPr>
        <w:fldChar w:fldCharType="end"/>
      </w:r>
      <w:r w:rsidR="000A0C9B">
        <w:rPr>
          <w:rFonts w:ascii="Arial" w:hAnsi="Arial" w:cs="Arial"/>
          <w:sz w:val="20"/>
          <w:szCs w:val="20"/>
        </w:rPr>
        <w:t xml:space="preserve">. </w:t>
      </w:r>
    </w:p>
    <w:p w14:paraId="7DF488D3" w14:textId="4A781D26" w:rsidR="00C91D4C" w:rsidRPr="00237CF8" w:rsidRDefault="008C2E22" w:rsidP="00E807B6">
      <w:pPr>
        <w:pStyle w:val="Heading3"/>
        <w:spacing w:line="240" w:lineRule="auto"/>
        <w:contextualSpacing/>
        <w:jc w:val="both"/>
        <w:rPr>
          <w:rFonts w:cs="Arial"/>
          <w:szCs w:val="20"/>
        </w:rPr>
      </w:pPr>
      <w:r w:rsidRPr="00237CF8">
        <w:rPr>
          <w:rFonts w:cs="Arial"/>
          <w:szCs w:val="20"/>
        </w:rPr>
        <w:t xml:space="preserve">  </w:t>
      </w:r>
      <w:bookmarkStart w:id="22" w:name="_Toc196381530"/>
      <w:r w:rsidR="00D76B79">
        <w:rPr>
          <w:rFonts w:cs="Arial"/>
          <w:szCs w:val="20"/>
        </w:rPr>
        <w:t>Salkowski test</w:t>
      </w:r>
      <w:r w:rsidRPr="00237CF8">
        <w:rPr>
          <w:rFonts w:cs="Arial"/>
          <w:szCs w:val="20"/>
        </w:rPr>
        <w:t>:</w:t>
      </w:r>
      <w:bookmarkEnd w:id="22"/>
      <w:r w:rsidRPr="00237CF8">
        <w:rPr>
          <w:rFonts w:cs="Arial"/>
          <w:szCs w:val="20"/>
        </w:rPr>
        <w:t xml:space="preserve"> </w:t>
      </w:r>
    </w:p>
    <w:p w14:paraId="29321265" w14:textId="4F41B97B" w:rsidR="00C91D4C" w:rsidRPr="00237CF8" w:rsidRDefault="008C2E22" w:rsidP="00E807B6">
      <w:pPr>
        <w:spacing w:line="240" w:lineRule="auto"/>
        <w:contextualSpacing/>
        <w:jc w:val="both"/>
        <w:rPr>
          <w:rFonts w:ascii="Arial" w:hAnsi="Arial" w:cs="Arial"/>
          <w:sz w:val="20"/>
          <w:szCs w:val="20"/>
        </w:rPr>
      </w:pPr>
      <w:r w:rsidRPr="00237CF8">
        <w:rPr>
          <w:rFonts w:ascii="Arial" w:hAnsi="Arial" w:cs="Arial"/>
          <w:sz w:val="20"/>
          <w:szCs w:val="20"/>
        </w:rPr>
        <w:t>The test for terpenoids was done by dissolving 3 granules of tin metal in 2 ml thionyl chloride solution and then, adding 1 ml of the extract into the test tube. The formation of a pink colour indicates the presence of terpenoids</w:t>
      </w:r>
      <w:r w:rsidR="00D76B79">
        <w:rPr>
          <w:rFonts w:ascii="Arial" w:hAnsi="Arial" w:cs="Arial"/>
          <w:sz w:val="20"/>
          <w:szCs w:val="20"/>
        </w:rPr>
        <w:fldChar w:fldCharType="begin"/>
      </w:r>
      <w:r w:rsidR="00B3623E">
        <w:rPr>
          <w:rFonts w:ascii="Arial" w:hAnsi="Arial" w:cs="Arial"/>
          <w:sz w:val="20"/>
          <w:szCs w:val="20"/>
        </w:rPr>
        <w:instrText xml:space="preserve"> ADDIN ZOTERO_ITEM CSL_CITATION {"citationID":"lv9CCEXK","properties":{"formattedCitation":"(27)","plainCitation":"(27)","noteIndex":0},"citationItems":[{"id":204,"uris":["http://zotero.org/users/local/iHdIrYxX/items/4SFIVR93"],"itemData":{"id":204,"type":"article-journal","abstract":"We aimed to study phytochemical screening and analgesic activity of ethanol extract of Oroxylum indicum. The dried powder of the barks of the plant was extracted with 95% ethanol and was subjected to various phytochemical tests to ascertain the principle constituents contained in the extract. The result revealed the presence of alkaloids, flavonoids, tannins, glycosides in the ethanol extract of Oroxylum indicum. The extract was screened for analgesic activity by using hot plate, acetic acid-induced writhing and formalin test. The ethanol extract of the plant at two different doses (250 and 500 mg/kg) showed significant (P&lt;0.05) analgesic effect in all test methods (hot plate, acetic acid-induced writhing and formalin). The analgesic activity was compared with a standard drug (ketorolac at 10 mg/kg). Based on the present findings and previous literature review it can be concluded that flavonoids and tannins might be responsible for the analgesic activity. We suggest that ethanol extract of Oroxylum indicum might have potential chemical constituents that could be used in the future for the development of novel analgesic agent.","container-title":"Indian Journal of Pharmaceutical Sciences","ISSN":"0250-474X","issue":"6","journalAbbreviation":"Indian J Pharm Sci","note":"PMID: 25593396\nPMCID: PMC4293694","page":"571-575","source":"PubMed Central","title":"Phytochemical Screening and Evaluation of Analgesic Activity of Oroxylum indicum","URL":"https://www.ncbi.nlm.nih.gov/pmc/articles/PMC4293694/","volume":"76","author":[{"family":"Das","given":"B. K."},{"family":"Al-Amin","given":"M. M."},{"family":"Russel","given":"S. M."},{"family":"Kabir","given":"S."},{"family":"Bhattacherjee","given":"R."},{"family":"Hannan","given":"J. M. A."}],"accessed":{"date-parts":[["2025",7,2]]},"issued":{"date-parts":[["2014"]]}}}],"schema":"https://github.com/citation-style-language/schema/raw/master/csl-citation.json"} </w:instrText>
      </w:r>
      <w:r w:rsidR="00D76B79">
        <w:rPr>
          <w:rFonts w:ascii="Arial" w:hAnsi="Arial" w:cs="Arial"/>
          <w:sz w:val="20"/>
          <w:szCs w:val="20"/>
        </w:rPr>
        <w:fldChar w:fldCharType="separate"/>
      </w:r>
      <w:r w:rsidR="00B3623E" w:rsidRPr="00B3623E">
        <w:rPr>
          <w:rFonts w:ascii="Arial" w:hAnsi="Arial" w:cs="Arial"/>
          <w:sz w:val="20"/>
        </w:rPr>
        <w:t>(27)</w:t>
      </w:r>
      <w:r w:rsidR="00D76B79">
        <w:rPr>
          <w:rFonts w:ascii="Arial" w:hAnsi="Arial" w:cs="Arial"/>
          <w:sz w:val="20"/>
          <w:szCs w:val="20"/>
        </w:rPr>
        <w:fldChar w:fldCharType="end"/>
      </w:r>
      <w:r w:rsidRPr="00237CF8">
        <w:rPr>
          <w:rFonts w:ascii="Arial" w:hAnsi="Arial" w:cs="Arial"/>
          <w:sz w:val="20"/>
          <w:szCs w:val="20"/>
        </w:rPr>
        <w:t xml:space="preserve">. </w:t>
      </w:r>
    </w:p>
    <w:p w14:paraId="0E321F00" w14:textId="75E6F85F" w:rsidR="00C91D4C" w:rsidRPr="00237CF8" w:rsidRDefault="00D76B79" w:rsidP="00E807B6">
      <w:pPr>
        <w:pStyle w:val="Heading3"/>
        <w:spacing w:line="240" w:lineRule="auto"/>
        <w:contextualSpacing/>
        <w:jc w:val="both"/>
        <w:rPr>
          <w:rFonts w:cs="Arial"/>
          <w:szCs w:val="20"/>
        </w:rPr>
      </w:pPr>
      <w:bookmarkStart w:id="23" w:name="_Toc196381532"/>
      <w:r>
        <w:rPr>
          <w:rFonts w:cs="Arial"/>
          <w:szCs w:val="20"/>
        </w:rPr>
        <w:t>Foam test</w:t>
      </w:r>
      <w:r w:rsidR="008C2E22" w:rsidRPr="00237CF8">
        <w:rPr>
          <w:rFonts w:cs="Arial"/>
          <w:szCs w:val="20"/>
        </w:rPr>
        <w:t>:</w:t>
      </w:r>
      <w:bookmarkEnd w:id="23"/>
    </w:p>
    <w:p w14:paraId="33DBEEFC" w14:textId="3E734051" w:rsidR="00C91D4C" w:rsidRDefault="008C2E22" w:rsidP="00E807B6">
      <w:pPr>
        <w:spacing w:line="240" w:lineRule="auto"/>
        <w:contextualSpacing/>
        <w:jc w:val="both"/>
        <w:rPr>
          <w:rFonts w:ascii="Arial" w:hAnsi="Arial" w:cs="Arial"/>
          <w:sz w:val="20"/>
          <w:szCs w:val="20"/>
        </w:rPr>
      </w:pPr>
      <w:r w:rsidRPr="00237CF8">
        <w:rPr>
          <w:rFonts w:ascii="Arial" w:hAnsi="Arial" w:cs="Arial"/>
          <w:sz w:val="20"/>
          <w:szCs w:val="20"/>
        </w:rPr>
        <w:t>In this assay 2 ml of the extract was added to 20ml distilled water and the mixture was shaken in a graduated cylinder for 15 minutes. The presence of saponins would be confirmed by the formation of foam with at least a head height of 1cm</w:t>
      </w:r>
      <w:r w:rsidR="00D76B79">
        <w:rPr>
          <w:rFonts w:ascii="Arial" w:hAnsi="Arial" w:cs="Arial"/>
          <w:sz w:val="20"/>
          <w:szCs w:val="20"/>
        </w:rPr>
        <w:fldChar w:fldCharType="begin"/>
      </w:r>
      <w:r w:rsidR="00B3623E">
        <w:rPr>
          <w:rFonts w:ascii="Arial" w:hAnsi="Arial" w:cs="Arial"/>
          <w:sz w:val="20"/>
          <w:szCs w:val="20"/>
        </w:rPr>
        <w:instrText xml:space="preserve"> ADDIN ZOTERO_ITEM CSL_CITATION {"citationID":"9XzuQv7t","properties":{"formattedCitation":"(27)","plainCitation":"(27)","noteIndex":0},"citationItems":[{"id":204,"uris":["http://zotero.org/users/local/iHdIrYxX/items/4SFIVR93"],"itemData":{"id":204,"type":"article-journal","abstract":"We aimed to study phytochemical screening and analgesic activity of ethanol extract of Oroxylum indicum. The dried powder of the barks of the plant was extracted with 95% ethanol and was subjected to various phytochemical tests to ascertain the principle constituents contained in the extract. The result revealed the presence of alkaloids, flavonoids, tannins, glycosides in the ethanol extract of Oroxylum indicum. The extract was screened for analgesic activity by using hot plate, acetic acid-induced writhing and formalin test. The ethanol extract of the plant at two different doses (250 and 500 mg/kg) showed significant (P&lt;0.05) analgesic effect in all test methods (hot plate, acetic acid-induced writhing and formalin). The analgesic activity was compared with a standard drug (ketorolac at 10 mg/kg). Based on the present findings and previous literature review it can be concluded that flavonoids and tannins might be responsible for the analgesic activity. We suggest that ethanol extract of Oroxylum indicum might have potential chemical constituents that could be used in the future for the development of novel analgesic agent.","container-title":"Indian Journal of Pharmaceutical Sciences","ISSN":"0250-474X","issue":"6","journalAbbreviation":"Indian J Pharm Sci","note":"PMID: 25593396\nPMCID: PMC4293694","page":"571-575","source":"PubMed Central","title":"Phytochemical Screening and Evaluation of Analgesic Activity of Oroxylum indicum","URL":"https://www.ncbi.nlm.nih.gov/pmc/articles/PMC4293694/","volume":"76","author":[{"family":"Das","given":"B. K."},{"family":"Al-Amin","given":"M. M."},{"family":"Russel","given":"S. M."},{"family":"Kabir","given":"S."},{"family":"Bhattacherjee","given":"R."},{"family":"Hannan","given":"J. M. A."}],"accessed":{"date-parts":[["2025",7,2]]},"issued":{"date-parts":[["2014"]]}}}],"schema":"https://github.com/citation-style-language/schema/raw/master/csl-citation.json"} </w:instrText>
      </w:r>
      <w:r w:rsidR="00D76B79">
        <w:rPr>
          <w:rFonts w:ascii="Arial" w:hAnsi="Arial" w:cs="Arial"/>
          <w:sz w:val="20"/>
          <w:szCs w:val="20"/>
        </w:rPr>
        <w:fldChar w:fldCharType="separate"/>
      </w:r>
      <w:r w:rsidR="00B3623E" w:rsidRPr="00B3623E">
        <w:rPr>
          <w:rFonts w:ascii="Arial" w:hAnsi="Arial" w:cs="Arial"/>
          <w:sz w:val="20"/>
        </w:rPr>
        <w:t>(27)</w:t>
      </w:r>
      <w:r w:rsidR="00D76B79">
        <w:rPr>
          <w:rFonts w:ascii="Arial" w:hAnsi="Arial" w:cs="Arial"/>
          <w:sz w:val="20"/>
          <w:szCs w:val="20"/>
        </w:rPr>
        <w:fldChar w:fldCharType="end"/>
      </w:r>
      <w:r w:rsidRPr="00237CF8">
        <w:rPr>
          <w:rFonts w:ascii="Arial" w:hAnsi="Arial" w:cs="Arial"/>
          <w:sz w:val="20"/>
          <w:szCs w:val="20"/>
        </w:rPr>
        <w:t>.</w:t>
      </w:r>
    </w:p>
    <w:p w14:paraId="2BE1EFFB" w14:textId="77777777" w:rsidR="00F4515A" w:rsidRDefault="00F4515A" w:rsidP="00E807B6">
      <w:pPr>
        <w:spacing w:line="240" w:lineRule="auto"/>
        <w:contextualSpacing/>
        <w:jc w:val="both"/>
        <w:rPr>
          <w:rFonts w:ascii="Arial" w:hAnsi="Arial" w:cs="Arial"/>
          <w:sz w:val="20"/>
          <w:szCs w:val="20"/>
        </w:rPr>
      </w:pPr>
    </w:p>
    <w:p w14:paraId="176C04ED" w14:textId="6D3A1D08" w:rsidR="00C91D4C" w:rsidRPr="00CA3055" w:rsidRDefault="008C2E22" w:rsidP="00CA3055">
      <w:pPr>
        <w:pStyle w:val="Heading2"/>
      </w:pPr>
      <w:bookmarkStart w:id="24" w:name="_Toc196381533"/>
      <w:r w:rsidRPr="00CA3055">
        <w:t>Biosynthesis of ZnO Nanoparticles (ZnONPs)</w:t>
      </w:r>
      <w:bookmarkEnd w:id="24"/>
    </w:p>
    <w:p w14:paraId="2605C799" w14:textId="0269A88C" w:rsidR="00C91D4C" w:rsidRDefault="008C2E22" w:rsidP="00E807B6">
      <w:pPr>
        <w:spacing w:line="240" w:lineRule="auto"/>
        <w:contextualSpacing/>
        <w:jc w:val="both"/>
        <w:rPr>
          <w:rFonts w:ascii="Arial" w:hAnsi="Arial" w:cs="Arial"/>
          <w:sz w:val="20"/>
          <w:szCs w:val="20"/>
        </w:rPr>
      </w:pPr>
      <w:r w:rsidRPr="00237CF8">
        <w:rPr>
          <w:rFonts w:ascii="Arial" w:hAnsi="Arial" w:cs="Arial"/>
          <w:sz w:val="20"/>
          <w:szCs w:val="20"/>
        </w:rPr>
        <w:t xml:space="preserve">The ZnONPs were biosynthesized using the lyophilized extracts from </w:t>
      </w:r>
      <w:r w:rsidRPr="00237CF8">
        <w:rPr>
          <w:rFonts w:ascii="Arial" w:hAnsi="Arial" w:cs="Arial"/>
          <w:i/>
          <w:iCs/>
          <w:sz w:val="20"/>
          <w:szCs w:val="20"/>
        </w:rPr>
        <w:t>A. nilotica</w:t>
      </w:r>
      <w:r w:rsidRPr="00237CF8">
        <w:rPr>
          <w:rFonts w:ascii="Arial" w:hAnsi="Arial" w:cs="Arial"/>
          <w:sz w:val="20"/>
          <w:szCs w:val="20"/>
        </w:rPr>
        <w:t xml:space="preserve"> as bio reducing, capping and stabilization agents. The lyophilized extract (2g) was dissolved in 50ml distilled water and </w:t>
      </w:r>
      <w:r w:rsidRPr="00237CF8">
        <w:rPr>
          <w:rFonts w:ascii="Arial" w:hAnsi="Arial" w:cs="Arial"/>
          <w:sz w:val="20"/>
          <w:szCs w:val="20"/>
        </w:rPr>
        <w:lastRenderedPageBreak/>
        <w:t>stirred for 15 minutes and heated at 5</w:t>
      </w:r>
      <w:r w:rsidR="000D7BA3" w:rsidRPr="00237CF8">
        <w:rPr>
          <w:rFonts w:ascii="Arial" w:hAnsi="Arial" w:cs="Arial"/>
          <w:sz w:val="20"/>
          <w:szCs w:val="20"/>
        </w:rPr>
        <w:t>0⁰</w:t>
      </w:r>
      <w:r w:rsidRPr="00237CF8">
        <w:rPr>
          <w:rFonts w:ascii="Arial" w:hAnsi="Arial" w:cs="Arial"/>
          <w:sz w:val="20"/>
          <w:szCs w:val="20"/>
        </w:rPr>
        <w:t>C. To this liquor 1g of zinc acetate 2-hydrate (Zn (CH</w:t>
      </w:r>
      <w:r w:rsidRPr="00F65FD5">
        <w:rPr>
          <w:rFonts w:ascii="Arial" w:hAnsi="Arial" w:cs="Arial"/>
          <w:sz w:val="20"/>
          <w:szCs w:val="20"/>
          <w:vertAlign w:val="subscript"/>
        </w:rPr>
        <w:t>3</w:t>
      </w:r>
      <w:r w:rsidRPr="00237CF8">
        <w:rPr>
          <w:rFonts w:ascii="Arial" w:hAnsi="Arial" w:cs="Arial"/>
          <w:sz w:val="20"/>
          <w:szCs w:val="20"/>
        </w:rPr>
        <w:t>COO)</w:t>
      </w:r>
      <w:r w:rsidRPr="00F65FD5">
        <w:rPr>
          <w:rFonts w:ascii="Arial" w:hAnsi="Arial" w:cs="Arial"/>
          <w:sz w:val="20"/>
          <w:szCs w:val="20"/>
          <w:vertAlign w:val="subscript"/>
        </w:rPr>
        <w:t>2</w:t>
      </w:r>
      <w:r w:rsidRPr="00237CF8">
        <w:rPr>
          <w:rFonts w:ascii="Arial" w:hAnsi="Arial" w:cs="Arial"/>
          <w:sz w:val="20"/>
          <w:szCs w:val="20"/>
        </w:rPr>
        <w:t>·2H</w:t>
      </w:r>
      <w:r w:rsidRPr="00F65FD5">
        <w:rPr>
          <w:rFonts w:ascii="Arial" w:hAnsi="Arial" w:cs="Arial"/>
          <w:sz w:val="20"/>
          <w:szCs w:val="20"/>
          <w:vertAlign w:val="subscript"/>
        </w:rPr>
        <w:t>2</w:t>
      </w:r>
      <w:r w:rsidRPr="00237CF8">
        <w:rPr>
          <w:rFonts w:ascii="Arial" w:hAnsi="Arial" w:cs="Arial"/>
          <w:sz w:val="20"/>
          <w:szCs w:val="20"/>
        </w:rPr>
        <w:t>O) salt was added. The brown solution was mixed with constant stirring at this temperature for approximately 60 minutes. The mixture was left overnight, and a thick precipitation was observed in the solution. The solution with precipitation was centrifuged at 4000 rpm for 30 minutes. After that the upper phase was decanted, and the residual precipitate was washed three times with 70%v/v ethanol. The resulting ZnONPs were dried in an oven at 100</w:t>
      </w:r>
      <w:r w:rsidR="00216FEB" w:rsidRPr="00237CF8">
        <w:rPr>
          <w:rFonts w:ascii="Arial" w:hAnsi="Arial" w:cs="Arial"/>
          <w:sz w:val="20"/>
          <w:szCs w:val="20"/>
        </w:rPr>
        <w:t>⁰</w:t>
      </w:r>
      <w:r w:rsidRPr="00237CF8">
        <w:rPr>
          <w:rFonts w:ascii="Arial" w:hAnsi="Arial" w:cs="Arial"/>
          <w:sz w:val="20"/>
          <w:szCs w:val="20"/>
        </w:rPr>
        <w:t>C for 24 hours and the dried ZnONPs were calcined in a furnace at 500⁰C for three hours.</w:t>
      </w:r>
    </w:p>
    <w:p w14:paraId="7555AEEE" w14:textId="382A409F" w:rsidR="00575137" w:rsidRPr="00CA3055" w:rsidRDefault="003B03AC" w:rsidP="00CA3055">
      <w:pPr>
        <w:pStyle w:val="Heading2"/>
      </w:pPr>
      <w:r w:rsidRPr="00CA3055">
        <w:t>Transmission Electron Microscopy (TEM) Analysis of ZnONPs</w:t>
      </w:r>
    </w:p>
    <w:p w14:paraId="5E679F00" w14:textId="77777777" w:rsidR="00CA3055" w:rsidRDefault="00CA3055" w:rsidP="00CA3055">
      <w:pPr>
        <w:spacing w:line="240" w:lineRule="auto"/>
        <w:contextualSpacing/>
        <w:jc w:val="both"/>
        <w:rPr>
          <w:rFonts w:ascii="Arial" w:hAnsi="Arial" w:cs="Arial"/>
          <w:sz w:val="20"/>
          <w:szCs w:val="20"/>
        </w:rPr>
      </w:pPr>
    </w:p>
    <w:p w14:paraId="46C707B5" w14:textId="1ED0E36F" w:rsidR="00C91D4C" w:rsidRPr="00237CF8" w:rsidRDefault="00CA3055" w:rsidP="00CA3055">
      <w:pPr>
        <w:spacing w:line="240" w:lineRule="auto"/>
        <w:contextualSpacing/>
        <w:jc w:val="both"/>
        <w:rPr>
          <w:rFonts w:ascii="Arial" w:hAnsi="Arial" w:cs="Arial"/>
          <w:sz w:val="20"/>
          <w:szCs w:val="20"/>
        </w:rPr>
      </w:pPr>
      <w:r>
        <w:rPr>
          <w:rFonts w:ascii="MinionPro-It" w:hAnsi="MinionPro-It" w:cs="MinionPro-It"/>
          <w:iCs/>
          <w:sz w:val="20"/>
          <w:szCs w:val="20"/>
          <w:lang w:val="en-US"/>
        </w:rPr>
        <w:t>The biosynthesized ZnONPs were confirmed by UV-Vis spectrophotometer (</w:t>
      </w:r>
      <w:r>
        <w:rPr>
          <w:rFonts w:ascii="MinionPro-It" w:hAnsi="MinionPro-It" w:cs="MinionPro-It"/>
          <w:iCs/>
          <w:sz w:val="20"/>
          <w:szCs w:val="20"/>
        </w:rPr>
        <w:t>Hitachi, UH5300)</w:t>
      </w:r>
      <w:r>
        <w:rPr>
          <w:rFonts w:ascii="MinionPro-It" w:hAnsi="MinionPro-It" w:cs="MinionPro-It"/>
          <w:iCs/>
          <w:sz w:val="20"/>
          <w:szCs w:val="20"/>
          <w:lang w:val="en-US"/>
        </w:rPr>
        <w:t xml:space="preserve"> and further </w:t>
      </w:r>
      <w:r>
        <w:rPr>
          <w:rFonts w:ascii="Arial" w:hAnsi="Arial" w:cs="Arial"/>
          <w:color w:val="000000"/>
          <w:sz w:val="20"/>
          <w:szCs w:val="20"/>
        </w:rPr>
        <w:t xml:space="preserve">analysed by (Transmission electron microscope). </w:t>
      </w:r>
      <w:r w:rsidR="00575137" w:rsidRPr="00575137">
        <w:rPr>
          <w:rFonts w:ascii="Arial" w:hAnsi="Arial" w:cs="Arial"/>
          <w:sz w:val="20"/>
          <w:szCs w:val="20"/>
        </w:rPr>
        <w:t xml:space="preserve">The </w:t>
      </w:r>
      <w:r w:rsidRPr="00575137">
        <w:rPr>
          <w:rFonts w:ascii="Arial" w:hAnsi="Arial" w:cs="Arial"/>
          <w:sz w:val="20"/>
          <w:szCs w:val="20"/>
        </w:rPr>
        <w:t>analys</w:t>
      </w:r>
      <w:r w:rsidR="002929FE">
        <w:rPr>
          <w:rFonts w:ascii="Arial" w:hAnsi="Arial" w:cs="Arial"/>
          <w:sz w:val="20"/>
          <w:szCs w:val="20"/>
        </w:rPr>
        <w:t>is</w:t>
      </w:r>
      <w:r w:rsidR="00575137" w:rsidRPr="00575137">
        <w:rPr>
          <w:rFonts w:ascii="Arial" w:hAnsi="Arial" w:cs="Arial"/>
          <w:sz w:val="20"/>
          <w:szCs w:val="20"/>
        </w:rPr>
        <w:t xml:space="preserve"> using transmission electron microscopy (TEM) </w:t>
      </w:r>
      <w:r w:rsidR="002929FE">
        <w:rPr>
          <w:rFonts w:ascii="Arial" w:hAnsi="Arial" w:cs="Arial"/>
          <w:sz w:val="20"/>
          <w:szCs w:val="20"/>
        </w:rPr>
        <w:t xml:space="preserve">was </w:t>
      </w:r>
      <w:r w:rsidR="00575137" w:rsidRPr="00575137">
        <w:rPr>
          <w:rFonts w:ascii="Arial" w:hAnsi="Arial" w:cs="Arial"/>
          <w:sz w:val="20"/>
          <w:szCs w:val="20"/>
        </w:rPr>
        <w:t>to determine their size and morphology</w:t>
      </w:r>
      <w:r w:rsidR="00C14CA5">
        <w:rPr>
          <w:rFonts w:ascii="Arial" w:hAnsi="Arial" w:cs="Arial"/>
          <w:sz w:val="20"/>
          <w:szCs w:val="20"/>
        </w:rPr>
        <w:t xml:space="preserve"> </w:t>
      </w:r>
      <w:r w:rsidR="00C14CA5">
        <w:rPr>
          <w:rFonts w:ascii="Arial" w:hAnsi="Arial" w:cs="Arial"/>
          <w:sz w:val="20"/>
          <w:szCs w:val="20"/>
        </w:rPr>
        <w:fldChar w:fldCharType="begin"/>
      </w:r>
      <w:r w:rsidR="00B3623E">
        <w:rPr>
          <w:rFonts w:ascii="Arial" w:hAnsi="Arial" w:cs="Arial"/>
          <w:sz w:val="20"/>
          <w:szCs w:val="20"/>
        </w:rPr>
        <w:instrText xml:space="preserve"> ADDIN ZOTERO_ITEM CSL_CITATION {"citationID":"eIZMX131","properties":{"formattedCitation":"(28)","plainCitation":"(28)","noteIndex":0},"citationItems":[{"id":207,"uris":["http://zotero.org/users/local/iHdIrYxX/items/MXXMC7CB"],"itemData":{"id":207,"type":"chapter","abstract":"In this chapter, approaches are proposed for the descriptive and quantitative characterization of nano-objects with nanometre resolution. Measurements are based on the analysis of the characteristics of 2D projections of individual particles visualized on transmission electron micrographs. Incorporation of spectroscopic methods (EDS and EELS) for elemental analysis of nano-objects is recommended to identify subpopulations of nano-objects in mixtures based on their chemical composition. The focus lies on the determination of physicochemical properties, which are essential in a legislatory and regulatory context to define the material as a nanomaterial (NM), and to assess its safety and toxicological potential, using widely accessible equipment.","collection-title":"Micro and Nano Technologies","container-title":"Characterization of Nanoparticles","ISBN":"978-0-12-814182-3","note":"DOI: 10.1016/B978-0-12-814182-3.00004-3","page":"29-48","publisher":"Elsevier","source":"ScienceDirect","title":"Chapter 2.1.2 - Characterization of nanomaterials by transmission electron microscopy: Measurement procedures","title-short":"Chapter 2.1.2 - Characterization of nanomaterials by transmission electron microscopy","URL":"https://www.sciencedirect.com/science/article/pii/B9780128141823000043","author":[{"family":"Mast","given":"Jan"},{"family":"Verleysen","given":"Eveline"},{"family":"Hodoroaba","given":"Vasile-Dan"},{"family":"Kaegi","given":"Ralf"}],"editor":[{"family":"Hodoroaba","given":"Vasile-Dan"},{"family":"Unger","given":"Wolfgang E. S."},{"family":"Shard","given":"Alexander G."}],"accessed":{"date-parts":[["2025",7,2]]},"issued":{"date-parts":[["2020",1,1]]}}}],"schema":"https://github.com/citation-style-language/schema/raw/master/csl-citation.json"} </w:instrText>
      </w:r>
      <w:r w:rsidR="00C14CA5">
        <w:rPr>
          <w:rFonts w:ascii="Arial" w:hAnsi="Arial" w:cs="Arial"/>
          <w:sz w:val="20"/>
          <w:szCs w:val="20"/>
        </w:rPr>
        <w:fldChar w:fldCharType="separate"/>
      </w:r>
      <w:r w:rsidR="00B3623E" w:rsidRPr="00B3623E">
        <w:rPr>
          <w:rFonts w:ascii="Arial" w:hAnsi="Arial" w:cs="Arial"/>
          <w:sz w:val="20"/>
        </w:rPr>
        <w:t>(28)</w:t>
      </w:r>
      <w:r w:rsidR="00C14CA5">
        <w:rPr>
          <w:rFonts w:ascii="Arial" w:hAnsi="Arial" w:cs="Arial"/>
          <w:sz w:val="20"/>
          <w:szCs w:val="20"/>
        </w:rPr>
        <w:fldChar w:fldCharType="end"/>
      </w:r>
      <w:r w:rsidR="00575137" w:rsidRPr="00575137">
        <w:rPr>
          <w:rFonts w:ascii="Arial" w:hAnsi="Arial" w:cs="Arial"/>
          <w:sz w:val="20"/>
          <w:szCs w:val="20"/>
        </w:rPr>
        <w:t>. For imaging, diluted ZnONP</w:t>
      </w:r>
      <w:r>
        <w:rPr>
          <w:rFonts w:ascii="Arial" w:hAnsi="Arial" w:cs="Arial"/>
          <w:sz w:val="20"/>
          <w:szCs w:val="20"/>
        </w:rPr>
        <w:t>s</w:t>
      </w:r>
      <w:r w:rsidR="00575137" w:rsidRPr="00575137">
        <w:rPr>
          <w:rFonts w:ascii="Arial" w:hAnsi="Arial" w:cs="Arial"/>
          <w:sz w:val="20"/>
          <w:szCs w:val="20"/>
        </w:rPr>
        <w:t xml:space="preserve"> suspensions (1:10 and 1:100) were deposited onto carbon-coated copper grids with a Formvar film and allowed to air-dry. The dried samples were then loaded into the specimen holder and examined at </w:t>
      </w:r>
      <w:r>
        <w:rPr>
          <w:rFonts w:ascii="Arial" w:hAnsi="Arial" w:cs="Arial"/>
          <w:sz w:val="20"/>
          <w:szCs w:val="20"/>
        </w:rPr>
        <w:t xml:space="preserve">a voltage of </w:t>
      </w:r>
      <w:r w:rsidR="00575137" w:rsidRPr="00575137">
        <w:rPr>
          <w:rFonts w:ascii="Arial" w:hAnsi="Arial" w:cs="Arial"/>
          <w:sz w:val="20"/>
          <w:szCs w:val="20"/>
        </w:rPr>
        <w:t>100 kV using a LEO912 AB OMEGA TEM. Dynamic light scattering (</w:t>
      </w:r>
      <w:r w:rsidR="002929FE">
        <w:rPr>
          <w:rFonts w:ascii="Arial" w:hAnsi="Arial" w:cs="Arial"/>
          <w:color w:val="000000"/>
          <w:sz w:val="20"/>
          <w:szCs w:val="20"/>
        </w:rPr>
        <w:t>Zetasizer ultra)</w:t>
      </w:r>
      <w:r w:rsidR="00575137" w:rsidRPr="00575137">
        <w:rPr>
          <w:rFonts w:ascii="Arial" w:hAnsi="Arial" w:cs="Arial"/>
          <w:sz w:val="20"/>
          <w:szCs w:val="20"/>
        </w:rPr>
        <w:t>) was also performed to assess the particle size distribution and average hydrodynamic diameter. TEM imaging confirmed the nanoscale structure and dimensions of the synthesized ZnONPs</w:t>
      </w:r>
    </w:p>
    <w:p w14:paraId="5C7F7D66" w14:textId="6FD861E9" w:rsidR="00C91D4C" w:rsidRPr="00CA3055" w:rsidRDefault="008C2E22" w:rsidP="00CA3055">
      <w:pPr>
        <w:pStyle w:val="Heading2"/>
      </w:pPr>
      <w:bookmarkStart w:id="25" w:name="_Hlk201698151"/>
      <w:r w:rsidRPr="00CA3055">
        <w:t>Egg Album</w:t>
      </w:r>
      <w:r w:rsidR="00D72E38" w:rsidRPr="00CA3055">
        <w:t>i</w:t>
      </w:r>
      <w:r w:rsidRPr="00CA3055">
        <w:t>n Denaturation Anti-Inflammatory Assay</w:t>
      </w:r>
    </w:p>
    <w:bookmarkEnd w:id="25"/>
    <w:p w14:paraId="21FA994F" w14:textId="3750FFBA" w:rsidR="00C91D4C" w:rsidRPr="00237CF8" w:rsidRDefault="008C2E22" w:rsidP="00E807B6">
      <w:pPr>
        <w:spacing w:after="0" w:line="240" w:lineRule="auto"/>
        <w:contextualSpacing/>
        <w:jc w:val="both"/>
        <w:rPr>
          <w:rFonts w:ascii="Arial" w:eastAsia="Times New Roman" w:hAnsi="Arial" w:cs="Arial"/>
          <w:sz w:val="20"/>
          <w:szCs w:val="20"/>
          <w:lang w:val="en-US" w:eastAsia="en-ZW"/>
        </w:rPr>
      </w:pPr>
      <w:r w:rsidRPr="00237CF8">
        <w:rPr>
          <w:rFonts w:ascii="Arial" w:eastAsia="Times New Roman" w:hAnsi="Arial" w:cs="Arial"/>
          <w:sz w:val="20"/>
          <w:szCs w:val="20"/>
          <w:lang w:val="en-ZW" w:eastAsia="en-ZW"/>
        </w:rPr>
        <w:t>The anti-inflammatory activity of </w:t>
      </w:r>
      <w:r w:rsidRPr="00237CF8">
        <w:rPr>
          <w:rFonts w:ascii="Arial" w:eastAsia="Times New Roman" w:hAnsi="Arial" w:cs="Arial"/>
          <w:i/>
          <w:iCs/>
          <w:sz w:val="20"/>
          <w:szCs w:val="20"/>
          <w:lang w:val="en-ZW" w:eastAsia="en-ZW"/>
        </w:rPr>
        <w:t>V. nilotica</w:t>
      </w:r>
      <w:r w:rsidRPr="00237CF8">
        <w:rPr>
          <w:rFonts w:ascii="Arial" w:eastAsia="Times New Roman" w:hAnsi="Arial" w:cs="Arial"/>
          <w:sz w:val="20"/>
          <w:szCs w:val="20"/>
          <w:lang w:val="en-ZW" w:eastAsia="en-ZW"/>
        </w:rPr>
        <w:t>-mediated ZnO</w:t>
      </w:r>
      <w:r w:rsidR="00CA3055">
        <w:rPr>
          <w:rFonts w:ascii="Arial" w:eastAsia="Times New Roman" w:hAnsi="Arial" w:cs="Arial"/>
          <w:sz w:val="20"/>
          <w:szCs w:val="20"/>
          <w:lang w:val="en-ZW" w:eastAsia="en-ZW"/>
        </w:rPr>
        <w:t>NPs</w:t>
      </w:r>
      <w:r w:rsidRPr="00237CF8">
        <w:rPr>
          <w:rFonts w:ascii="Arial" w:eastAsia="Times New Roman" w:hAnsi="Arial" w:cs="Arial"/>
          <w:sz w:val="20"/>
          <w:szCs w:val="20"/>
          <w:lang w:val="en-ZW" w:eastAsia="en-ZW"/>
        </w:rPr>
        <w:t xml:space="preserve"> was evaluated using the egg albumin denaturation assay</w:t>
      </w:r>
      <w:r w:rsidR="00C14CA5">
        <w:rPr>
          <w:rFonts w:ascii="Arial" w:eastAsia="Times New Roman" w:hAnsi="Arial" w:cs="Arial"/>
          <w:sz w:val="20"/>
          <w:szCs w:val="20"/>
          <w:lang w:val="en-ZW" w:eastAsia="en-ZW"/>
        </w:rPr>
        <w:t xml:space="preserve"> </w:t>
      </w:r>
      <w:r w:rsidR="00C14CA5">
        <w:rPr>
          <w:rFonts w:ascii="Arial" w:eastAsia="Times New Roman" w:hAnsi="Arial" w:cs="Arial"/>
          <w:sz w:val="20"/>
          <w:szCs w:val="20"/>
          <w:lang w:val="en-ZW" w:eastAsia="en-ZW"/>
        </w:rPr>
        <w:fldChar w:fldCharType="begin"/>
      </w:r>
      <w:r w:rsidR="00B3623E">
        <w:rPr>
          <w:rFonts w:ascii="Arial" w:eastAsia="Times New Roman" w:hAnsi="Arial" w:cs="Arial"/>
          <w:sz w:val="20"/>
          <w:szCs w:val="20"/>
          <w:lang w:val="en-ZW" w:eastAsia="en-ZW"/>
        </w:rPr>
        <w:instrText xml:space="preserve"> ADDIN ZOTERO_ITEM CSL_CITATION {"citationID":"IunSl3Sx","properties":{"formattedCitation":"(29)","plainCitation":"(29)","noteIndex":0},"citationItems":[{"id":209,"uris":["http://zotero.org/users/local/iHdIrYxX/items/3HILSLHN"],"itemData":{"id":209,"type":"article-journal","abstract":"Aim: The present study explored the anti-inflammatory, antimicrobial, antioxidant, and cytotoxic effects of a combination of chitosan thiocolchicoside and lauric acid (CTLA) nanogel. , Materials and methods: A nanogel formulation of thiocolchicoside and lauric acid was developed and tested for potential applications. The antimicrobial activity was assessed using the well diffusion method, while the antioxidant activity was evaluated using the 2,2-diphenyl-1-picryl hydrazyl (DPPH) free radical scavenging assay and hydrogen peroxide (H2O2) antioxidant assay methods. The anti-inflammatory activity was determined through the egg albumin denaturation method, the bovine serum albumin denaturation method, and the membrane stabilization assay. A brine shrimp lethality assay was used to study the cytotoxic effect of the nanogel., Results: We identified significant positive outcomes for the CTLA nanogel. The results showed a percentage of inhibition of 81% at 50μg/mL, which showed the nanogel’s significant anti-inflammatory activity by inhibiting bovine serum albumin denaturation. The anti-inflammatory properties of the nanogel were comparable to the standard diclofenac sodium at all tested concentrations. The egg albumin denaturation assay results revealed a percentage inhibition of 76% at 50 μg/mL. In the membrane stabilization assay, a percentage inhibition of 86% was obtained at a concentration of 50 μg/mL against 89% for the standard drug. The nanogel exhibited a zone of inhibition of 20 mm against Streptococcus mutans and 22 mm with a dilution of 100 µg/mL of CTLA nanogel against Staphylococcus aureus. The antioxidant activity was studied by using the DPPH method, 50 μg/ml has an 89% inhibition, which was similar to the standard. The inhibitory activity of CTLA nanogel at 50 μg/ml was 81.6% in the hydroxyl free radical scavenging assay, which was comparable to the standard drug. At 5 μg/mL concentration of CTLA nanogel, approximately 90% of the nauplii remained alive after 48 hours., Conclusion: The CTLA nanogel showed excellent anti-inflammatory and antioxidant properties suggesting its potential for managing inflammatory conditions and oxidative stress-related disorders.","container-title":"Cureus","DOI":"10.7759/cureus.46003","ISSN":"2168-8184","issue":"9","journalAbbreviation":"Cureus","note":"PMID: 37900405\nPMCID: PMC10600588","page":"e46003","source":"PubMed Central","title":"Evaluation of the Anti-inflammatory, Antimicrobial, Antioxidant, and Cytotoxic Effects of Chitosan Thiocolchicoside-Lauric Acid Nanogel","URL":"https://www.ncbi.nlm.nih.gov/pmc/articles/PMC10600588/","volume":"15","author":[{"family":"M","given":"Ameena"},{"family":"I","given":"Meignana Arumugham"},{"family":"Ramalingam","given":"Karthikeyan"},{"family":"S","given":"Rajeshkumar"}],"accessed":{"date-parts":[["2025",7,2]]}}}],"schema":"https://github.com/citation-style-language/schema/raw/master/csl-citation.json"} </w:instrText>
      </w:r>
      <w:r w:rsidR="00C14CA5">
        <w:rPr>
          <w:rFonts w:ascii="Arial" w:eastAsia="Times New Roman" w:hAnsi="Arial" w:cs="Arial"/>
          <w:sz w:val="20"/>
          <w:szCs w:val="20"/>
          <w:lang w:val="en-ZW" w:eastAsia="en-ZW"/>
        </w:rPr>
        <w:fldChar w:fldCharType="separate"/>
      </w:r>
      <w:r w:rsidR="00B3623E" w:rsidRPr="00B3623E">
        <w:rPr>
          <w:rFonts w:ascii="Arial" w:hAnsi="Arial" w:cs="Arial"/>
          <w:sz w:val="20"/>
        </w:rPr>
        <w:t>(29)</w:t>
      </w:r>
      <w:r w:rsidR="00C14CA5">
        <w:rPr>
          <w:rFonts w:ascii="Arial" w:eastAsia="Times New Roman" w:hAnsi="Arial" w:cs="Arial"/>
          <w:sz w:val="20"/>
          <w:szCs w:val="20"/>
          <w:lang w:val="en-ZW" w:eastAsia="en-ZW"/>
        </w:rPr>
        <w:fldChar w:fldCharType="end"/>
      </w:r>
      <w:r w:rsidRPr="00237CF8">
        <w:rPr>
          <w:rFonts w:ascii="Arial" w:eastAsia="Times New Roman" w:hAnsi="Arial" w:cs="Arial"/>
          <w:sz w:val="20"/>
          <w:szCs w:val="20"/>
          <w:lang w:val="en-ZW" w:eastAsia="en-ZW"/>
        </w:rPr>
        <w:t xml:space="preserve">. Briefly, 0.2 mL of fresh egg albumin was mixed with 2.8 mL of phosphate-buffered </w:t>
      </w:r>
      <w:r w:rsidRPr="002929FE">
        <w:rPr>
          <w:rFonts w:ascii="Arial" w:eastAsia="Times New Roman" w:hAnsi="Arial" w:cs="Arial"/>
          <w:sz w:val="20"/>
          <w:szCs w:val="20"/>
          <w:lang w:val="en-ZW" w:eastAsia="en-ZW"/>
        </w:rPr>
        <w:t>saline (pH 6.4) and 1 mL of the lyophillised leaf  at 50–200 μg/mL. The mixture was incubated at 37°C for 15 min, then heated at 70°C for 5 min to induce denaturation. After cooling, absorbance was measured</w:t>
      </w:r>
      <w:r w:rsidR="00CA3055" w:rsidRPr="002929FE">
        <w:rPr>
          <w:rFonts w:ascii="Arial" w:eastAsia="Times New Roman" w:hAnsi="Arial" w:cs="Arial"/>
          <w:sz w:val="20"/>
          <w:szCs w:val="20"/>
          <w:lang w:val="en-ZW" w:eastAsia="en-ZW"/>
        </w:rPr>
        <w:t xml:space="preserve"> using </w:t>
      </w:r>
      <w:r w:rsidR="002929FE">
        <w:rPr>
          <w:rFonts w:ascii="MinionPro-It" w:hAnsi="MinionPro-It" w:cs="MinionPro-It"/>
          <w:iCs/>
          <w:sz w:val="20"/>
          <w:szCs w:val="20"/>
          <w:lang w:val="en-US"/>
        </w:rPr>
        <w:t>UV-Vis spectrophotometer (</w:t>
      </w:r>
      <w:r w:rsidR="002929FE">
        <w:rPr>
          <w:rFonts w:ascii="MinionPro-It" w:hAnsi="MinionPro-It" w:cs="MinionPro-It"/>
          <w:iCs/>
          <w:sz w:val="20"/>
          <w:szCs w:val="20"/>
        </w:rPr>
        <w:t>Hitachi, UH5300)</w:t>
      </w:r>
      <w:r w:rsidR="002929FE">
        <w:rPr>
          <w:rFonts w:ascii="MinionPro-It" w:hAnsi="MinionPro-It" w:cs="MinionPro-It"/>
          <w:iCs/>
          <w:sz w:val="20"/>
          <w:szCs w:val="20"/>
          <w:lang w:val="en-US"/>
        </w:rPr>
        <w:t xml:space="preserve"> </w:t>
      </w:r>
      <w:r w:rsidRPr="00237CF8">
        <w:rPr>
          <w:rFonts w:ascii="Arial" w:eastAsia="Times New Roman" w:hAnsi="Arial" w:cs="Arial"/>
          <w:sz w:val="20"/>
          <w:szCs w:val="20"/>
          <w:lang w:val="en-ZW" w:eastAsia="en-ZW"/>
        </w:rPr>
        <w:t xml:space="preserve">at 660 nm. Diclofenac (100 μg/mL) served as the positive control. </w:t>
      </w:r>
      <w:r w:rsidR="00CA3055">
        <w:rPr>
          <w:rFonts w:ascii="Arial" w:eastAsia="Times New Roman" w:hAnsi="Arial" w:cs="Arial"/>
          <w:sz w:val="20"/>
          <w:szCs w:val="20"/>
          <w:lang w:val="en-ZW" w:eastAsia="en-ZW"/>
        </w:rPr>
        <w:t>The p</w:t>
      </w:r>
      <w:r w:rsidRPr="00237CF8">
        <w:rPr>
          <w:rFonts w:ascii="Arial" w:eastAsia="Times New Roman" w:hAnsi="Arial" w:cs="Arial"/>
          <w:sz w:val="20"/>
          <w:szCs w:val="20"/>
          <w:lang w:val="en-ZW" w:eastAsia="en-ZW"/>
        </w:rPr>
        <w:t>ercent</w:t>
      </w:r>
      <w:r w:rsidR="00CA3055">
        <w:rPr>
          <w:rFonts w:ascii="Arial" w:eastAsia="Times New Roman" w:hAnsi="Arial" w:cs="Arial"/>
          <w:sz w:val="20"/>
          <w:szCs w:val="20"/>
          <w:lang w:val="en-ZW" w:eastAsia="en-ZW"/>
        </w:rPr>
        <w:t>age</w:t>
      </w:r>
      <w:r w:rsidRPr="00237CF8">
        <w:rPr>
          <w:rFonts w:ascii="Arial" w:eastAsia="Times New Roman" w:hAnsi="Arial" w:cs="Arial"/>
          <w:sz w:val="20"/>
          <w:szCs w:val="20"/>
          <w:lang w:val="en-ZW" w:eastAsia="en-ZW"/>
        </w:rPr>
        <w:t xml:space="preserve"> inhibition of denaturation was calculated relative to the untreated control.</w:t>
      </w:r>
    </w:p>
    <w:p w14:paraId="25D82AB7" w14:textId="77777777" w:rsidR="00C91D4C" w:rsidRPr="00237CF8" w:rsidRDefault="00C91D4C" w:rsidP="00E807B6">
      <w:pPr>
        <w:spacing w:line="240" w:lineRule="auto"/>
        <w:contextualSpacing/>
        <w:jc w:val="both"/>
        <w:rPr>
          <w:rFonts w:ascii="Arial" w:hAnsi="Arial" w:cs="Arial"/>
          <w:iCs/>
          <w:sz w:val="20"/>
          <w:szCs w:val="20"/>
          <w:lang w:val="en-US"/>
        </w:rPr>
      </w:pPr>
    </w:p>
    <w:p w14:paraId="1577F35F" w14:textId="77777777" w:rsidR="00C91D4C" w:rsidRPr="00CA3055" w:rsidRDefault="008C2E22" w:rsidP="00CA3055">
      <w:pPr>
        <w:pStyle w:val="Heading2"/>
      </w:pPr>
      <w:bookmarkStart w:id="26" w:name="_Toc196381535"/>
      <w:r w:rsidRPr="00CA3055">
        <w:t xml:space="preserve">Acute oral toxicity of lyophilised </w:t>
      </w:r>
      <w:r w:rsidRPr="006F303D">
        <w:rPr>
          <w:i/>
          <w:iCs/>
        </w:rPr>
        <w:t>V. Nilotica</w:t>
      </w:r>
      <w:r w:rsidRPr="00CA3055">
        <w:t xml:space="preserve"> </w:t>
      </w:r>
      <w:bookmarkEnd w:id="26"/>
      <w:r w:rsidRPr="00CA3055">
        <w:t>leaf extracts</w:t>
      </w:r>
    </w:p>
    <w:p w14:paraId="2B354C22" w14:textId="32A71A4C" w:rsidR="00C91D4C" w:rsidRPr="00237CF8" w:rsidRDefault="008C2E22" w:rsidP="00E807B6">
      <w:pPr>
        <w:spacing w:line="240" w:lineRule="auto"/>
        <w:contextualSpacing/>
        <w:jc w:val="both"/>
        <w:rPr>
          <w:rFonts w:ascii="Arial" w:hAnsi="Arial" w:cs="Arial"/>
          <w:sz w:val="20"/>
          <w:szCs w:val="20"/>
          <w:lang w:val="en-GB"/>
        </w:rPr>
      </w:pPr>
      <w:r w:rsidRPr="00237CF8">
        <w:rPr>
          <w:rFonts w:ascii="Arial" w:hAnsi="Arial" w:cs="Arial"/>
          <w:sz w:val="20"/>
          <w:szCs w:val="20"/>
          <w:lang w:val="en-GB"/>
        </w:rPr>
        <w:t xml:space="preserve">The acute oral toxicity of the lyophilized </w:t>
      </w:r>
      <w:r w:rsidRPr="00237CF8">
        <w:rPr>
          <w:rFonts w:ascii="Arial" w:hAnsi="Arial" w:cs="Arial"/>
          <w:i/>
          <w:iCs/>
          <w:sz w:val="20"/>
          <w:szCs w:val="20"/>
          <w:lang w:val="en-GB"/>
        </w:rPr>
        <w:t>V. nilotica</w:t>
      </w:r>
      <w:r w:rsidRPr="00237CF8">
        <w:rPr>
          <w:rFonts w:ascii="Arial" w:hAnsi="Arial" w:cs="Arial"/>
          <w:sz w:val="20"/>
          <w:szCs w:val="20"/>
          <w:lang w:val="en-GB"/>
        </w:rPr>
        <w:t xml:space="preserve"> extract was done using a modified OECD technical guideline 425 (The up and down test) methodology</w:t>
      </w:r>
      <w:r w:rsidR="00C14CA5">
        <w:rPr>
          <w:rFonts w:ascii="Arial" w:hAnsi="Arial" w:cs="Arial"/>
          <w:sz w:val="20"/>
          <w:szCs w:val="20"/>
          <w:lang w:val="en-GB"/>
        </w:rPr>
        <w:t xml:space="preserve"> </w:t>
      </w:r>
      <w:r w:rsidR="00C14CA5">
        <w:rPr>
          <w:rFonts w:ascii="Arial" w:hAnsi="Arial" w:cs="Arial"/>
          <w:sz w:val="20"/>
          <w:szCs w:val="20"/>
          <w:lang w:val="en-GB"/>
        </w:rPr>
        <w:fldChar w:fldCharType="begin"/>
      </w:r>
      <w:r w:rsidR="00B3623E">
        <w:rPr>
          <w:rFonts w:ascii="Arial" w:hAnsi="Arial" w:cs="Arial"/>
          <w:sz w:val="20"/>
          <w:szCs w:val="20"/>
          <w:lang w:val="en-GB"/>
        </w:rPr>
        <w:instrText xml:space="preserve"> ADDIN ZOTERO_ITEM CSL_CITATION {"citationID":"zdkqlpo7","properties":{"formattedCitation":"(30)","plainCitation":"(30)","noteIndex":0},"citationItems":[{"id":212,"uris":["http://zotero.org/users/local/iHdIrYxX/items/CJS57N7V"],"itemData":{"id":212,"type":"article-journal","abstract":"In spite of the broad biological and also anticarcinogenic effects which have been reported for galbanic acid in various studies, its toxic effects are not still well characterized. The study was accomplished to evaluate the acute oral toxicity of galbanic acid pursuant to Organisation for Economic Co-operation and Development (OECD) TG No. 425. Female rats were received asafoetida extract and galbanic acid in distilled water by oral gavage. According to the existing information, limit test was done for aqueous extract of asafoetida and main test was done for galbanic acid. The animals were monitored for 2 weeks. Then under general anesthesia, the blood samples were obtained from the heart for biochemical and hematological assessment and the vital organs of rats were isolated for pathological evaluation. The results showed that although the Median lethal dose (LD50) of asafoetida extract was above the 2000 mg/kg body weight, the galbanic acid estimated LD50 was 310.2 mg/kg. There was no considerable change in body weight of vehicle and extract treated animals but in galbanic acid treated animals, the body weights were not normally increased. A significant rise was observed in high-density lipoprotein (HDL), (aspartate aminotransferase) AST and (alanine aminotransferase) ALT levels as well as in white blood cells (WBC), platelet and lymphocytes counts in galbanic acid group compared to vehicle and extract groups. Based on the obtained results, we suggest that although the asafoetida aqueous extract could be categorized as group 5 (LD50 &gt; 2000 mg/kg), but galbanic acid estimated LD50 is about 310.2 mg/kg and toxicity signs also appeared in lung, liver enzymes and complete blood count (CBC) of galbanic acid treated animals.","container-title":"Toxicology Reports","DOI":"10.1016/j.toxrep.2023.07.001","ISSN":"2214-7500","journalAbbreviation":"Toxicology Reports","page":"111-115","source":"ScienceDirect","title":"Acute oral toxicity assessment of galbanic acid in albino rat according to OECD 425 TG","URL":"https://www.sciencedirect.com/science/article/pii/S221475002300080X","volume":"11","author":[{"family":"Zarei","given":"Mohammad Hadi"},{"family":"Lorigooini","given":"Zahra"},{"family":"Amini Khoei","given":"Hossein"},{"family":"Bijad","given":"Elham"}],"accessed":{"date-parts":[["2025",7,2]]},"issued":{"date-parts":[["2023",12,1]]}}}],"schema":"https://github.com/citation-style-language/schema/raw/master/csl-citation.json"} </w:instrText>
      </w:r>
      <w:r w:rsidR="00C14CA5">
        <w:rPr>
          <w:rFonts w:ascii="Arial" w:hAnsi="Arial" w:cs="Arial"/>
          <w:sz w:val="20"/>
          <w:szCs w:val="20"/>
          <w:lang w:val="en-GB"/>
        </w:rPr>
        <w:fldChar w:fldCharType="separate"/>
      </w:r>
      <w:r w:rsidR="00B3623E" w:rsidRPr="00B3623E">
        <w:rPr>
          <w:rFonts w:ascii="Arial" w:hAnsi="Arial" w:cs="Arial"/>
          <w:sz w:val="20"/>
        </w:rPr>
        <w:t>(30)</w:t>
      </w:r>
      <w:r w:rsidR="00C14CA5">
        <w:rPr>
          <w:rFonts w:ascii="Arial" w:hAnsi="Arial" w:cs="Arial"/>
          <w:sz w:val="20"/>
          <w:szCs w:val="20"/>
          <w:lang w:val="en-GB"/>
        </w:rPr>
        <w:fldChar w:fldCharType="end"/>
      </w:r>
      <w:r w:rsidR="00C14CA5">
        <w:rPr>
          <w:rFonts w:ascii="Arial" w:hAnsi="Arial" w:cs="Arial"/>
          <w:sz w:val="20"/>
          <w:szCs w:val="20"/>
          <w:lang w:val="en-GB"/>
        </w:rPr>
        <w:t>.</w:t>
      </w:r>
      <w:r w:rsidRPr="00237CF8">
        <w:rPr>
          <w:rFonts w:ascii="Arial" w:hAnsi="Arial" w:cs="Arial"/>
          <w:sz w:val="20"/>
          <w:szCs w:val="20"/>
          <w:lang w:val="en-GB"/>
        </w:rPr>
        <w:t xml:space="preserve"> The test consisted of single ordered dose progressions in which animals were dosed, in sequence, at 48-hour intervals. The first animal received a dose below a randomly selected estimated LD50. When animals survived the dose, the next animal received an increased dose subject to our observations on the determined condition of the previous animal over 48 hours. In the present toxicity assay for the </w:t>
      </w:r>
      <w:r w:rsidRPr="00237CF8">
        <w:rPr>
          <w:rFonts w:ascii="Arial" w:hAnsi="Arial" w:cs="Arial"/>
          <w:i/>
          <w:iCs/>
          <w:sz w:val="20"/>
          <w:szCs w:val="20"/>
          <w:lang w:val="en-GB"/>
        </w:rPr>
        <w:t>V. Nilotica</w:t>
      </w:r>
      <w:r w:rsidRPr="00237CF8">
        <w:rPr>
          <w:rFonts w:ascii="Arial" w:hAnsi="Arial" w:cs="Arial"/>
          <w:sz w:val="20"/>
          <w:szCs w:val="20"/>
          <w:lang w:val="en-GB"/>
        </w:rPr>
        <w:t xml:space="preserve"> leaf extract a high start dosage of 250mg/kg body weight was used, followed by doubled subsequent doses, up to the limit of 2000mg/kg body weight. A total of 5 female rats were used for each test. Only female Sprague-dawley rats were used because literature indicates that in conventional toxicity profile evaluations there is usually very small notable differences in observed sensitivity between animal sexes and in the instances where significant differences were noted, it was observed, that female rats were slightly more sensitive to toxicity than males. So, it was therefore decided to use a worst-case scenario. The selected animals were marked so as to facilitate individual identification. The nulliparous rats were kept in the experimental rodent facilities for 10 days prior to dosing. The experimental animals were fasted for 8 hours with water. The </w:t>
      </w:r>
      <w:r w:rsidRPr="00237CF8">
        <w:rPr>
          <w:rFonts w:ascii="Arial" w:hAnsi="Arial" w:cs="Arial"/>
          <w:i/>
          <w:iCs/>
          <w:sz w:val="20"/>
          <w:szCs w:val="20"/>
          <w:lang w:val="en-GB"/>
        </w:rPr>
        <w:t>V.</w:t>
      </w:r>
      <w:r w:rsidR="00D72E38" w:rsidRPr="00237CF8">
        <w:rPr>
          <w:rFonts w:ascii="Arial" w:hAnsi="Arial" w:cs="Arial"/>
          <w:i/>
          <w:iCs/>
          <w:sz w:val="20"/>
          <w:szCs w:val="20"/>
          <w:lang w:val="en-GB"/>
        </w:rPr>
        <w:t>n</w:t>
      </w:r>
      <w:r w:rsidRPr="00237CF8">
        <w:rPr>
          <w:rFonts w:ascii="Arial" w:hAnsi="Arial" w:cs="Arial"/>
          <w:i/>
          <w:iCs/>
          <w:sz w:val="20"/>
          <w:szCs w:val="20"/>
          <w:lang w:val="en-GB"/>
        </w:rPr>
        <w:t>ilotica</w:t>
      </w:r>
      <w:r w:rsidRPr="00237CF8">
        <w:rPr>
          <w:rFonts w:ascii="Arial" w:hAnsi="Arial" w:cs="Arial"/>
          <w:sz w:val="20"/>
          <w:szCs w:val="20"/>
          <w:lang w:val="en-GB"/>
        </w:rPr>
        <w:t xml:space="preserve">  was orally gavaged in a water solution in 4 incremental doses of: 250, 500, 1000, and 2000 mg/kg body weight and a control was dosed with 2ml distilled water. The female rats were observed by a veterinary specialist for mortality. In the absence of mortality, the animals were observed for any changes and clinical signs and symptoms of toxicity every 1 hour up to 12 hours on day 1, and thereafter, once daily for up to day 14.</w:t>
      </w:r>
    </w:p>
    <w:p w14:paraId="614C601F" w14:textId="5F59984A" w:rsidR="005A5516" w:rsidRPr="002929FE" w:rsidRDefault="006A5B4C" w:rsidP="002929FE">
      <w:pPr>
        <w:pStyle w:val="Heading2"/>
      </w:pPr>
      <w:bookmarkStart w:id="27" w:name="_Toc196381536"/>
      <w:r w:rsidRPr="002929FE">
        <w:rPr>
          <w:rStyle w:val="Heading2Char"/>
        </w:rPr>
        <w:t xml:space="preserve"> </w:t>
      </w:r>
      <w:r w:rsidR="005A5516" w:rsidRPr="002929FE">
        <w:rPr>
          <w:rStyle w:val="Heading2Char"/>
        </w:rPr>
        <w:t>Evaluation of Antioxidant Activity Using DPPH Assay</w:t>
      </w:r>
    </w:p>
    <w:p w14:paraId="5F50C6F8" w14:textId="0E538C43" w:rsidR="002929FE" w:rsidRDefault="005A5516" w:rsidP="0073522A">
      <w:pPr>
        <w:spacing w:line="240" w:lineRule="auto"/>
        <w:contextualSpacing/>
        <w:jc w:val="both"/>
        <w:rPr>
          <w:rFonts w:ascii="Arial" w:hAnsi="Arial" w:cs="Arial"/>
          <w:sz w:val="20"/>
          <w:szCs w:val="20"/>
          <w:lang w:val="en-GB"/>
        </w:rPr>
      </w:pPr>
      <w:r w:rsidRPr="002929FE">
        <w:rPr>
          <w:rFonts w:ascii="Arial" w:hAnsi="Arial" w:cs="Arial"/>
          <w:sz w:val="20"/>
          <w:szCs w:val="20"/>
          <w:lang w:val="en-GB"/>
        </w:rPr>
        <w:t xml:space="preserve">The free radical scavenging potential of </w:t>
      </w:r>
      <w:r w:rsidR="006F303D">
        <w:rPr>
          <w:rFonts w:ascii="Arial" w:hAnsi="Arial" w:cs="Arial"/>
          <w:sz w:val="20"/>
          <w:szCs w:val="20"/>
          <w:lang w:val="en-GB"/>
        </w:rPr>
        <w:t xml:space="preserve">the </w:t>
      </w:r>
      <w:r w:rsidRPr="002929FE">
        <w:rPr>
          <w:rFonts w:ascii="Arial" w:hAnsi="Arial" w:cs="Arial"/>
          <w:sz w:val="20"/>
          <w:szCs w:val="20"/>
          <w:lang w:val="en-GB"/>
        </w:rPr>
        <w:t>ZnONPs was quantitatively assessed using the 2,2-diphenyl-1-picrylhydrazyl (DPPH) assay, following established protocols with modifications</w:t>
      </w:r>
      <w:r w:rsidR="00855EBE">
        <w:rPr>
          <w:rFonts w:ascii="Arial" w:hAnsi="Arial" w:cs="Arial"/>
          <w:sz w:val="20"/>
          <w:szCs w:val="20"/>
          <w:lang w:val="en-GB"/>
        </w:rPr>
        <w:fldChar w:fldCharType="begin"/>
      </w:r>
      <w:r w:rsidR="00B3623E">
        <w:rPr>
          <w:rFonts w:ascii="Arial" w:hAnsi="Arial" w:cs="Arial"/>
          <w:sz w:val="20"/>
          <w:szCs w:val="20"/>
          <w:lang w:val="en-GB"/>
        </w:rPr>
        <w:instrText xml:space="preserve"> ADDIN ZOTERO_ITEM CSL_CITATION {"citationID":"8fVEyyl1","properties":{"formattedCitation":"(31)","plainCitation":"(31)","noteIndex":0},"citationItems":[{"id":214,"uris":["http://zotero.org/users/local/iHdIrYxX/items/MAN9YRAM"],"itemData":{"id":214,"type":"article-journal","abstract":"Introduction: The primary objective of this study was to develop an environmentally friendly and efficient method for synthesizing zinc oxide (ZnO) nanoparticles (NPs), utilizing extracts from Allium sativum (garlic) plants, characterizing the synthesized ZnO NPs using various analytical techniques, and assessing their antibacterial and antioxidant properties., Materials and Methods: The synthesis process involved utilizing extracts from garlic plants to create ZnO NPs. The NPs were subjected to comprehensive characterization through UV-visible (UV-vis) spectroscopy, Fourier-transform infrared spectroscopy (FTIR), scanning electron microscopy (SEM), and X-ray diffraction (XRD). Antibacterial properties were assessed against different microbial strains. In vitro antioxidant properties were evaluated through 2,2-diphenyl-1-picrylhydrazyl (DPPH) and 2,2-azino-bis-3-ethylbenzothiazoline-6-sulphonic acid (ABTS) assays. Bioactive compounds in the synthesized NPs were also identified., Results: Analysis of the UV-vis spectrum confirmed the synthesis of ZnO NPs with an approximate size of 280 nm, as indicated by the absorption peak in the surface plasmon resonance band. FTIR spectroscopy revealed the presence of functional groups such as hydroxyl and carboxyl groups. SEM analysis determined the dimensions of the NPs to be around 11 nm. XRD patterns exhibited distinct Bragg reflections, confirming specific crystallographic planes. In vitro antioxidant assays demonstrated a reduction in absorbance at 517 nm and 734 nm, indicating antioxidant activity. Antibacterial testing revealed inhibition zones against Escherichia coli, Staphylococcus aureus, Streptococcus mutans,and Enterococcus faecalis., Conclusion: The study successfully synthesized ZnO NPs using an eco-friendly method with garlic plant extracts. Characterization techniques confirmed the structural and chemical properties of the NPs. The synthesized NPs exhibited antioxidant and antibacterial activities, showcasing their potential for various applications. The identification of bioactive compounds further contributes to the understanding of the biological properties of the synthesized NPs.","container-title":"Cureus","DOI":"10.7759/cureus.55184","ISSN":"2168-8184","issue":"2","journalAbbreviation":"Cureus","note":"PMID: 38558717\nPMCID: PMC10981507","page":"e55184","source":"PubMed Central","title":"In Vitro Antioxidant Activity of Green-Synthesized Zinc Oxide (ZnO) Nanoparticles Utilizing Extracts From Allium sativum","URL":"https://www.ncbi.nlm.nih.gov/pmc/articles/PMC10981507/","volume":"16","author":[{"family":"E","given":"Benshiga"},{"family":"Sivalingam","given":"Azhagu Madhavan"},{"family":"Alex","given":"Arockia"},{"family":"Neha","given":"Brahma"}],"accessed":{"date-parts":[["2025",7,2]]}}}],"schema":"https://github.com/citation-style-language/schema/raw/master/csl-citation.json"} </w:instrText>
      </w:r>
      <w:r w:rsidR="00855EBE">
        <w:rPr>
          <w:rFonts w:ascii="Arial" w:hAnsi="Arial" w:cs="Arial"/>
          <w:sz w:val="20"/>
          <w:szCs w:val="20"/>
          <w:lang w:val="en-GB"/>
        </w:rPr>
        <w:fldChar w:fldCharType="separate"/>
      </w:r>
      <w:r w:rsidR="00B3623E" w:rsidRPr="00B3623E">
        <w:rPr>
          <w:rFonts w:ascii="Arial" w:hAnsi="Arial" w:cs="Arial"/>
          <w:sz w:val="20"/>
        </w:rPr>
        <w:t>(31)</w:t>
      </w:r>
      <w:r w:rsidR="00855EBE">
        <w:rPr>
          <w:rFonts w:ascii="Arial" w:hAnsi="Arial" w:cs="Arial"/>
          <w:sz w:val="20"/>
          <w:szCs w:val="20"/>
          <w:lang w:val="en-GB"/>
        </w:rPr>
        <w:fldChar w:fldCharType="end"/>
      </w:r>
      <w:r w:rsidR="00855EBE">
        <w:rPr>
          <w:rFonts w:ascii="Arial" w:hAnsi="Arial" w:cs="Arial"/>
          <w:sz w:val="20"/>
          <w:szCs w:val="20"/>
          <w:lang w:val="en-GB"/>
        </w:rPr>
        <w:t>.</w:t>
      </w:r>
      <w:r w:rsidRPr="002929FE">
        <w:rPr>
          <w:rFonts w:ascii="Arial" w:hAnsi="Arial" w:cs="Arial"/>
          <w:sz w:val="20"/>
          <w:szCs w:val="20"/>
          <w:lang w:val="en-GB"/>
        </w:rPr>
        <w:t xml:space="preserve"> A concentration-dependent analysis was performed by preparing serial dilutions (1.0-0.125 mg/mL) of three test samples: </w:t>
      </w:r>
      <w:r w:rsidRPr="002929FE">
        <w:rPr>
          <w:rFonts w:ascii="Arial" w:hAnsi="Arial" w:cs="Arial"/>
          <w:i/>
          <w:iCs/>
          <w:sz w:val="20"/>
          <w:szCs w:val="20"/>
          <w:lang w:val="en-GB"/>
        </w:rPr>
        <w:t>V. nilotica</w:t>
      </w:r>
      <w:r w:rsidRPr="002929FE">
        <w:rPr>
          <w:rFonts w:ascii="Arial" w:hAnsi="Arial" w:cs="Arial"/>
          <w:sz w:val="20"/>
          <w:szCs w:val="20"/>
          <w:lang w:val="en-GB"/>
        </w:rPr>
        <w:t xml:space="preserve">-mediated ZnONPs, crude </w:t>
      </w:r>
      <w:r w:rsidRPr="002929FE">
        <w:rPr>
          <w:rFonts w:ascii="Arial" w:hAnsi="Arial" w:cs="Arial"/>
          <w:i/>
          <w:iCs/>
          <w:sz w:val="20"/>
          <w:szCs w:val="20"/>
          <w:lang w:val="en-GB"/>
        </w:rPr>
        <w:t>V. nilotica</w:t>
      </w:r>
      <w:r w:rsidRPr="002929FE">
        <w:rPr>
          <w:rFonts w:ascii="Arial" w:hAnsi="Arial" w:cs="Arial"/>
          <w:sz w:val="20"/>
          <w:szCs w:val="20"/>
          <w:lang w:val="en-GB"/>
        </w:rPr>
        <w:t xml:space="preserve"> extract, and gallic acid </w:t>
      </w:r>
      <w:r w:rsidR="0073522A" w:rsidRPr="002929FE">
        <w:rPr>
          <w:rFonts w:ascii="Arial" w:hAnsi="Arial" w:cs="Arial"/>
          <w:sz w:val="20"/>
          <w:szCs w:val="20"/>
          <w:lang w:val="en-GB"/>
        </w:rPr>
        <w:t>standard. The</w:t>
      </w:r>
      <w:r w:rsidRPr="002929FE">
        <w:rPr>
          <w:rFonts w:ascii="Arial" w:hAnsi="Arial" w:cs="Arial"/>
          <w:sz w:val="20"/>
          <w:szCs w:val="20"/>
          <w:lang w:val="en-GB"/>
        </w:rPr>
        <w:t xml:space="preserve"> experimental procedure involved mixing 50 μL aliquots of each test concentration with 100 μL of 0.1 mM DPPH methanolic solution in 96-well microplates (n=3 replicates). Following vigorous vortexing, the reaction mixtures were incubated in darkness for 60 minutes at ambient temperature (25±2°C) to prevent photodegradation</w:t>
      </w:r>
      <w:r w:rsidR="00576C0D">
        <w:rPr>
          <w:rFonts w:ascii="Arial" w:hAnsi="Arial" w:cs="Arial"/>
          <w:sz w:val="20"/>
          <w:szCs w:val="20"/>
          <w:lang w:val="en-GB"/>
        </w:rPr>
        <w:fldChar w:fldCharType="begin"/>
      </w:r>
      <w:r w:rsidR="00B3623E">
        <w:rPr>
          <w:rFonts w:ascii="Arial" w:hAnsi="Arial" w:cs="Arial"/>
          <w:sz w:val="20"/>
          <w:szCs w:val="20"/>
          <w:lang w:val="en-GB"/>
        </w:rPr>
        <w:instrText xml:space="preserve"> ADDIN ZOTERO_ITEM CSL_CITATION {"citationID":"yAjLARLs","properties":{"formattedCitation":"(32)","plainCitation":"(32)","noteIndex":0},"citationItems":[{"id":217,"uris":["http://zotero.org/users/local/iHdIrYxX/items/XUA6J7BV"],"itemData":{"id":217,"type":"article-journal","abstract":"The present study was carried out to evaluate in vivo and in vitro anti-inflammatory potential of selected medicinal plants used in Indian traditional medication. The sequentially extracted plant samples as, Cissus quadrangularis, Plumbago zeylanica, Terminalia bellarica and Terminalia chebula in water, ethanol and hexane were evaluated in-vitro for COX-1 and 2 inhibitory and antioxidant activities. The in vivo anti-inflammatory activity of selected samples showing promising COX-2 inhibition was assessed using carrageenan and Phorbol Myristate Acetate (PMA) induced mice edema animal model. The results obtained reveals that most of the plants were found to inhibit COX-2 activity as compared to COX-1. It was observed that the extracts of T. bellarica (73.34 %) and T. chebula (74.81 %) showed significant COX-2 selective inhibition as compared to other samples. The ethanol extract of the selected plants demonstrated effective DPPH, OH and superoxide radical scavenging activity. In vivo anti-inflammatory study shows that, T. bellarica and T. chebulla had a significant impact on inhibition of edema formation. The cytotoxicity evaluation study of ethanolic fraction of selected medicinal plants indicates that the selected samples have no effect on cell viability. HPTLC fingerprint of flavonoids of the selected samples was also prepared as a measure of quality control. The results obtained may be useful in strengthening the standardization of the selected botanicals. Moreover the selected plants can be considered as a resource for searching novel anti-inflammatory agents possessing COX-2 inhibition.","container-title":"Journal of Traditional and Complementary Medicine","DOI":"10.1016/j.jtcme.2015.07.001","ISSN":"2225-4110","issue":"4","journalAbbreviation":"J Tradit Complement Med","note":"PMID: 27774419\nPMCID: PMC5067865","page":"355-361","source":"PubMed Central","title":"Evaluation of anti-inflammatory activity of selected medicinal plants used in Indian traditional medication system in vitro as well as in vivo","URL":"https://www.ncbi.nlm.nih.gov/pmc/articles/PMC5067865/","volume":"6","author":[{"family":"Shaikh","given":"Rafik U."},{"family":"Pund","given":"Mahesh M."},{"family":"Gacche","given":"Rajesh N."}],"accessed":{"date-parts":[["2025",7,2]]},"issued":{"date-parts":[["2015",8,1]]}}}],"schema":"https://github.com/citation-style-language/schema/raw/master/csl-citation.json"} </w:instrText>
      </w:r>
      <w:r w:rsidR="00576C0D">
        <w:rPr>
          <w:rFonts w:ascii="Arial" w:hAnsi="Arial" w:cs="Arial"/>
          <w:sz w:val="20"/>
          <w:szCs w:val="20"/>
          <w:lang w:val="en-GB"/>
        </w:rPr>
        <w:fldChar w:fldCharType="separate"/>
      </w:r>
      <w:r w:rsidR="00B3623E" w:rsidRPr="00B3623E">
        <w:rPr>
          <w:rFonts w:ascii="Arial" w:hAnsi="Arial" w:cs="Arial"/>
          <w:sz w:val="20"/>
        </w:rPr>
        <w:t>(32)</w:t>
      </w:r>
      <w:r w:rsidR="00576C0D">
        <w:rPr>
          <w:rFonts w:ascii="Arial" w:hAnsi="Arial" w:cs="Arial"/>
          <w:sz w:val="20"/>
          <w:szCs w:val="20"/>
          <w:lang w:val="en-GB"/>
        </w:rPr>
        <w:fldChar w:fldCharType="end"/>
      </w:r>
      <w:r w:rsidRPr="002929FE">
        <w:rPr>
          <w:rFonts w:ascii="Arial" w:hAnsi="Arial" w:cs="Arial"/>
          <w:sz w:val="20"/>
          <w:szCs w:val="20"/>
          <w:lang w:val="en-GB"/>
        </w:rPr>
        <w:t xml:space="preserve"> Absorbance measurements at 517 nm were recorded using a multimode </w:t>
      </w:r>
      <w:r w:rsidRPr="002929FE">
        <w:rPr>
          <w:rFonts w:ascii="Arial" w:hAnsi="Arial" w:cs="Arial"/>
          <w:sz w:val="20"/>
          <w:szCs w:val="20"/>
          <w:lang w:val="en-GB"/>
        </w:rPr>
        <w:lastRenderedPageBreak/>
        <w:t>microplate reader (BioTek Synergy H1), with methanol serving as the blank control.</w:t>
      </w:r>
      <w:r w:rsidR="002929FE">
        <w:rPr>
          <w:rFonts w:ascii="Arial" w:hAnsi="Arial" w:cs="Arial"/>
          <w:sz w:val="20"/>
          <w:szCs w:val="20"/>
          <w:lang w:val="en-GB"/>
        </w:rPr>
        <w:t xml:space="preserve"> </w:t>
      </w:r>
      <w:r w:rsidRPr="002929FE">
        <w:rPr>
          <w:rFonts w:ascii="Arial" w:hAnsi="Arial" w:cs="Arial"/>
          <w:sz w:val="20"/>
          <w:szCs w:val="20"/>
          <w:lang w:val="en-GB"/>
        </w:rPr>
        <w:t>Radical scavenging activity (RSA) was calculated according to the standard equation:</w:t>
      </w:r>
    </w:p>
    <w:p w14:paraId="330D48A3" w14:textId="77777777" w:rsidR="006F303D" w:rsidRDefault="006F303D" w:rsidP="0073522A">
      <w:pPr>
        <w:spacing w:line="240" w:lineRule="auto"/>
        <w:contextualSpacing/>
        <w:jc w:val="both"/>
        <w:rPr>
          <w:rFonts w:ascii="Arial" w:hAnsi="Arial" w:cs="Arial"/>
          <w:sz w:val="20"/>
          <w:szCs w:val="20"/>
          <w:lang w:val="en-GB"/>
        </w:rPr>
      </w:pPr>
    </w:p>
    <w:p w14:paraId="7A281261" w14:textId="77777777" w:rsidR="002929FE" w:rsidRDefault="002929FE" w:rsidP="002929FE">
      <w:pPr>
        <w:spacing w:line="240" w:lineRule="auto"/>
        <w:contextualSpacing/>
        <w:rPr>
          <w:rFonts w:ascii="Arial" w:hAnsi="Arial" w:cs="Arial"/>
          <w:sz w:val="20"/>
          <w:szCs w:val="20"/>
          <w:lang w:val="en-GB"/>
        </w:rPr>
      </w:pPr>
      <w:r>
        <w:rPr>
          <w:rFonts w:ascii="Arial" w:hAnsi="Arial" w:cs="Arial"/>
          <w:sz w:val="20"/>
          <w:szCs w:val="20"/>
          <w:lang w:val="en-GB"/>
        </w:rPr>
        <w:t xml:space="preserve">Equation 1 </w:t>
      </w:r>
    </w:p>
    <w:p w14:paraId="5F7B151C" w14:textId="0FE5B39C" w:rsidR="002929FE" w:rsidRPr="0073522A" w:rsidRDefault="005A5516" w:rsidP="0073522A">
      <w:pPr>
        <w:spacing w:line="240" w:lineRule="auto"/>
        <w:ind w:left="720"/>
        <w:contextualSpacing/>
        <w:rPr>
          <w:rFonts w:ascii="Arial" w:hAnsi="Arial" w:cs="Arial"/>
          <w:sz w:val="18"/>
          <w:szCs w:val="18"/>
          <w:lang w:val="en-GB"/>
        </w:rPr>
      </w:pPr>
      <w:r w:rsidRPr="002929FE">
        <w:rPr>
          <w:rFonts w:ascii="Arial" w:hAnsi="Arial" w:cs="Arial"/>
          <w:sz w:val="20"/>
          <w:szCs w:val="20"/>
          <w:lang w:val="en-GB"/>
        </w:rPr>
        <w:br/>
      </w:r>
      <w:r w:rsidRPr="0073522A">
        <w:rPr>
          <w:rFonts w:ascii="Arial" w:hAnsi="Arial" w:cs="Arial"/>
          <w:i/>
          <w:iCs/>
          <w:sz w:val="18"/>
          <w:szCs w:val="18"/>
          <w:lang w:val="en-GB"/>
        </w:rPr>
        <w:t>% RSA = [(A&lt;sub&gt;control&lt;/sub&gt; - A&lt;sub&gt;sample&lt;/sub&gt;)/A&lt;sub&gt;control&lt;/sub&gt;] × 100</w:t>
      </w:r>
    </w:p>
    <w:p w14:paraId="58B2FE1D" w14:textId="77777777" w:rsidR="0073522A" w:rsidRPr="0073522A" w:rsidRDefault="005A5516" w:rsidP="002929FE">
      <w:pPr>
        <w:spacing w:line="240" w:lineRule="auto"/>
        <w:contextualSpacing/>
        <w:rPr>
          <w:rFonts w:ascii="Arial" w:hAnsi="Arial" w:cs="Arial"/>
          <w:i/>
          <w:iCs/>
          <w:sz w:val="18"/>
          <w:szCs w:val="18"/>
          <w:lang w:val="en-GB"/>
        </w:rPr>
      </w:pPr>
      <w:r w:rsidRPr="0073522A">
        <w:rPr>
          <w:rFonts w:ascii="Arial" w:hAnsi="Arial" w:cs="Arial"/>
          <w:sz w:val="18"/>
          <w:szCs w:val="18"/>
          <w:lang w:val="en-GB"/>
        </w:rPr>
        <w:br/>
      </w:r>
      <w:r w:rsidRPr="0073522A">
        <w:rPr>
          <w:rFonts w:ascii="Arial" w:hAnsi="Arial" w:cs="Arial"/>
          <w:i/>
          <w:iCs/>
          <w:sz w:val="18"/>
          <w:szCs w:val="18"/>
          <w:lang w:val="en-GB"/>
        </w:rPr>
        <w:t xml:space="preserve">where </w:t>
      </w:r>
    </w:p>
    <w:p w14:paraId="4A45E781" w14:textId="682AA372" w:rsidR="0073522A" w:rsidRPr="0073522A" w:rsidRDefault="005A5516" w:rsidP="002929FE">
      <w:pPr>
        <w:spacing w:line="240" w:lineRule="auto"/>
        <w:contextualSpacing/>
        <w:rPr>
          <w:rFonts w:ascii="Arial" w:hAnsi="Arial" w:cs="Arial"/>
          <w:i/>
          <w:iCs/>
          <w:sz w:val="18"/>
          <w:szCs w:val="18"/>
          <w:lang w:val="en-GB"/>
        </w:rPr>
      </w:pPr>
      <w:r w:rsidRPr="0073522A">
        <w:rPr>
          <w:rFonts w:ascii="Arial" w:hAnsi="Arial" w:cs="Arial"/>
          <w:i/>
          <w:iCs/>
          <w:sz w:val="18"/>
          <w:szCs w:val="18"/>
          <w:lang w:val="en-GB"/>
        </w:rPr>
        <w:t xml:space="preserve">A&lt;sub&gt;control&lt;/sub&gt; represents the absorbance of DPPH solution alone, and A&lt;sub&gt;sample&lt;/sub&gt; denotes the absorbance of DPPH-sample mixtures </w:t>
      </w:r>
      <w:r w:rsidR="00576C0D">
        <w:rPr>
          <w:rFonts w:ascii="Arial" w:hAnsi="Arial" w:cs="Arial"/>
          <w:i/>
          <w:iCs/>
          <w:sz w:val="18"/>
          <w:szCs w:val="18"/>
          <w:lang w:val="en-GB"/>
        </w:rPr>
        <w:fldChar w:fldCharType="begin"/>
      </w:r>
      <w:r w:rsidR="00B3623E">
        <w:rPr>
          <w:rFonts w:ascii="Arial" w:hAnsi="Arial" w:cs="Arial"/>
          <w:i/>
          <w:iCs/>
          <w:sz w:val="18"/>
          <w:szCs w:val="18"/>
          <w:lang w:val="en-GB"/>
        </w:rPr>
        <w:instrText xml:space="preserve"> ADDIN ZOTERO_ITEM CSL_CITATION {"citationID":"z5owcpjh","properties":{"formattedCitation":"(33)","plainCitation":"(33)","noteIndex":0},"citationItems":[{"id":220,"uris":["http://zotero.org/users/local/iHdIrYxX/items/7DEVU2VV"],"itemData":{"id":220,"type":"article-journal","abstract":"α, α-diphenyl-β-picrylhydrazyl (DPPH) free radical scavenging method offers the first approach for evaluating the antioxidant potential of a compound, an extract or other biological sources. This is the simplest method, wherein the prospective compound or extract is mixed with DPPH solution and absorbance is recorded after a defined period. However, with the advancement and sophistication in instrumental techniques, the method has undergone various modifications to suit the requirements, even though the basic approach remains same in all of them. This article presents a critical review on various developments to the DPPH method.","container-title":"Journal of food science and technology","DOI":"10.1007/s13197-011-0251-1","ISSN":"0022-1155","issue":"4","journalAbbreviation":"J Food Sci Technol","note":"PMID: 23572765\nPMCID: PMC3551182","page":"412-422","source":"PubMed Central","title":"Genesis and development of DPPH method of antioxidant assay","URL":"https://www.ncbi.nlm.nih.gov/pmc/articles/PMC3551182/","volume":"48","author":[{"family":"Kedare","given":"Sagar B."},{"family":"Singh","given":"R. P."}],"accessed":{"date-parts":[["2025",7,2]]},"issued":{"date-parts":[["2011",8]]}}}],"schema":"https://github.com/citation-style-language/schema/raw/master/csl-citation.json"} </w:instrText>
      </w:r>
      <w:r w:rsidR="00576C0D">
        <w:rPr>
          <w:rFonts w:ascii="Arial" w:hAnsi="Arial" w:cs="Arial"/>
          <w:i/>
          <w:iCs/>
          <w:sz w:val="18"/>
          <w:szCs w:val="18"/>
          <w:lang w:val="en-GB"/>
        </w:rPr>
        <w:fldChar w:fldCharType="separate"/>
      </w:r>
      <w:r w:rsidR="00B3623E" w:rsidRPr="00B3623E">
        <w:rPr>
          <w:rFonts w:ascii="Arial" w:hAnsi="Arial" w:cs="Arial"/>
          <w:sz w:val="18"/>
        </w:rPr>
        <w:t>(33)</w:t>
      </w:r>
      <w:r w:rsidR="00576C0D">
        <w:rPr>
          <w:rFonts w:ascii="Arial" w:hAnsi="Arial" w:cs="Arial"/>
          <w:i/>
          <w:iCs/>
          <w:sz w:val="18"/>
          <w:szCs w:val="18"/>
          <w:lang w:val="en-GB"/>
        </w:rPr>
        <w:fldChar w:fldCharType="end"/>
      </w:r>
    </w:p>
    <w:p w14:paraId="00F1CD63" w14:textId="77777777" w:rsidR="0073522A" w:rsidRDefault="0073522A" w:rsidP="002929FE">
      <w:pPr>
        <w:spacing w:line="240" w:lineRule="auto"/>
        <w:contextualSpacing/>
        <w:rPr>
          <w:rFonts w:ascii="Arial" w:hAnsi="Arial" w:cs="Arial"/>
          <w:sz w:val="20"/>
          <w:szCs w:val="20"/>
          <w:lang w:val="en-GB"/>
        </w:rPr>
      </w:pPr>
    </w:p>
    <w:p w14:paraId="2F348378" w14:textId="76CF11FB" w:rsidR="005A5516" w:rsidRPr="002929FE" w:rsidRDefault="005A5516" w:rsidP="002929FE">
      <w:pPr>
        <w:spacing w:line="240" w:lineRule="auto"/>
        <w:contextualSpacing/>
        <w:rPr>
          <w:rFonts w:ascii="Arial" w:hAnsi="Arial" w:cs="Arial"/>
          <w:sz w:val="20"/>
          <w:szCs w:val="20"/>
          <w:lang w:val="en-GB"/>
        </w:rPr>
      </w:pPr>
      <w:r w:rsidRPr="002929FE">
        <w:rPr>
          <w:rFonts w:ascii="Arial" w:hAnsi="Arial" w:cs="Arial"/>
          <w:sz w:val="20"/>
          <w:szCs w:val="20"/>
          <w:lang w:val="en-GB"/>
        </w:rPr>
        <w:t>Dose-response curves were generated by plotting percentage RSA against sample concentrations, enabling comparative analysis of antioxidant efficacy between the nanoparticles, plant extract, and reference standard.</w:t>
      </w:r>
    </w:p>
    <w:p w14:paraId="36B68726" w14:textId="1A276094" w:rsidR="00C91D4C" w:rsidRPr="0073522A" w:rsidRDefault="008C2E22" w:rsidP="0073522A">
      <w:pPr>
        <w:pStyle w:val="Heading1"/>
      </w:pPr>
      <w:r w:rsidRPr="0073522A">
        <w:t>Results and discussion</w:t>
      </w:r>
      <w:bookmarkEnd w:id="27"/>
    </w:p>
    <w:p w14:paraId="136B8BA2" w14:textId="77777777" w:rsidR="00C91D4C" w:rsidRPr="0073522A" w:rsidRDefault="008C2E22" w:rsidP="0073522A">
      <w:pPr>
        <w:pStyle w:val="Heading2"/>
      </w:pPr>
      <w:r w:rsidRPr="0073522A">
        <w:t xml:space="preserve"> </w:t>
      </w:r>
      <w:bookmarkStart w:id="28" w:name="_Toc196381537"/>
      <w:r w:rsidRPr="0073522A">
        <w:t xml:space="preserve">Plant </w:t>
      </w:r>
      <w:bookmarkEnd w:id="28"/>
      <w:r w:rsidRPr="0073522A">
        <w:t>preparation</w:t>
      </w:r>
    </w:p>
    <w:p w14:paraId="1FD87CA0" w14:textId="63D78BC5" w:rsidR="00C91D4C" w:rsidRPr="00237CF8" w:rsidRDefault="008C2E22" w:rsidP="00E807B6">
      <w:pPr>
        <w:spacing w:line="240" w:lineRule="auto"/>
        <w:contextualSpacing/>
        <w:jc w:val="both"/>
        <w:rPr>
          <w:rFonts w:ascii="Arial" w:hAnsi="Arial" w:cs="Arial"/>
          <w:sz w:val="20"/>
          <w:szCs w:val="20"/>
        </w:rPr>
      </w:pPr>
      <w:r w:rsidRPr="00237CF8">
        <w:rPr>
          <w:rFonts w:ascii="Arial" w:hAnsi="Arial" w:cs="Arial"/>
          <w:sz w:val="20"/>
          <w:szCs w:val="20"/>
        </w:rPr>
        <w:t xml:space="preserve">The drying process of </w:t>
      </w:r>
      <w:r w:rsidRPr="00237CF8">
        <w:rPr>
          <w:rFonts w:ascii="Arial" w:hAnsi="Arial" w:cs="Arial"/>
          <w:i/>
          <w:iCs/>
          <w:sz w:val="20"/>
          <w:szCs w:val="20"/>
        </w:rPr>
        <w:t>V. nilotica</w:t>
      </w:r>
      <w:r w:rsidRPr="00237CF8">
        <w:rPr>
          <w:rFonts w:ascii="Arial" w:hAnsi="Arial" w:cs="Arial"/>
          <w:sz w:val="20"/>
          <w:szCs w:val="20"/>
        </w:rPr>
        <w:t xml:space="preserve"> leaves over four weeks resulted in a 55.5% reduction in weight, with the majority of moisture loss (47.5%) occurring within the first two weeks. The final constant weight (0.89 kg) achieved by week 4 confirmed sufficient drying for extraction, minimizing residual moisture that could affect phytochemical stability. This gradual drying aligns with studies on similar species, where extended shade-drying preserves bioactive compounds better than rapid heat methods</w:t>
      </w:r>
      <w:r w:rsidR="00576C0D">
        <w:rPr>
          <w:rFonts w:ascii="Arial" w:hAnsi="Arial" w:cs="Arial"/>
          <w:sz w:val="20"/>
          <w:szCs w:val="20"/>
        </w:rPr>
        <w:t xml:space="preserve"> </w:t>
      </w:r>
      <w:r w:rsidR="00576C0D">
        <w:rPr>
          <w:rFonts w:ascii="Arial" w:hAnsi="Arial" w:cs="Arial"/>
          <w:sz w:val="20"/>
          <w:szCs w:val="20"/>
        </w:rPr>
        <w:fldChar w:fldCharType="begin"/>
      </w:r>
      <w:r w:rsidR="00B3623E">
        <w:rPr>
          <w:rFonts w:ascii="Arial" w:hAnsi="Arial" w:cs="Arial"/>
          <w:sz w:val="20"/>
          <w:szCs w:val="20"/>
        </w:rPr>
        <w:instrText xml:space="preserve"> ADDIN ZOTERO_ITEM CSL_CITATION {"citationID":"ixB5GIPD","properties":{"formattedCitation":"(34)","plainCitation":"(34)","noteIndex":0},"citationItems":[{"id":223,"uris":["http://zotero.org/users/local/iHdIrYxX/items/EAGZRZAK"],"itemData":{"id":223,"type":"article-journal","abstract":"Background\nDrying is a critical post-harvest process for medicinal plants, which are typically high in moisture and microorganisms. To prevent spoilage and quality loss, it is essential to dry these plants promptly. The drying method significantly impacts the levels of secondary metabolites and the organoleptic characteristics of medicinal plants. This study aimed to investigate the effects of various drying methods on the total phenolics, flavonoids, anthocyanins, antioxidant activity, and phenolic acids in caper (Capparis spinosa L.) fruits. The experiment was performed using a completely randomized design with three replications and included 11 treatments: shade drying, sun drying, oven drying (at 50 °C, 60 °C, and 70 °C), microwave drying (at 300 W, 600 W, and 900 W), freeze-drying, salt-drying, and a fresh plant sample as a control.\n\nResults\nAmong the drying methods tested, microwave drying consistently produced the highest levels of flavonoids, anthocyanins, and antioxidant activity, regardless of wattage. Specifically, the highest total phenol content was observed in samples dried at 900 W microwave, 600 W microwave, and 70 °C in the oven (5.3, 5.37, and 5.31 mg GAE/g DW, respectively). Drying at 600 W microwave yielded the highest levels of caffeic, cinnamic, ferulic, vanillic, and protocatechuic acids (13.03, 3.85, 4.28, 9.73, and 5.6 µg/g, respectively) while drying at 900 W microwave also resulted in elevated levels of caffeic, ferulic, protocatechuic, and p-coumaric acids. The 70 °C oven drying method also showed high levels of caffeic, cinnamic, ferulic, vanillic, and protocatechuic acids. Freeze-drying achieved the highest levels of rosmarinic, gallic, and m-coumaric acids (320.17, 175.3, and 12.99 µg/g, respectively), while shade drying produced high levels of p-hydroxybenzoic, cinnamic, ferulic, m-coumaric, protocatechuic, and p-coumaric acids.\n\nConclusions\nOverall, microwave drying (especially at 600 W), oven drying at 70 °C, and freeze-drying emerged as effective alternatives to traditional drying methods. These methods not only preserved the color, texture, and taste of the fruits but also enhanced their bioactive compound levels.","container-title":"BMC Plant Biology","DOI":"10.1186/s12870-025-06110-y","ISSN":"1471-2229","journalAbbreviation":"BMC Plant Biol","note":"PMID: 39891043\nPMCID: PMC11783714","page":"133","source":"PubMed Central","title":"Effect of drying methods on phenolic compounds and antioxidant activity of Capparis spinosa L. fruits","URL":"https://www.ncbi.nlm.nih.gov/pmc/articles/PMC11783714/","volume":"25","author":[{"family":"Babaei Rad","given":"Shima"},{"family":"Mumivand","given":"Hasan"},{"family":"Mollaei","given":"Saeed"},{"family":"Khadivi","given":"Ali"}],"accessed":{"date-parts":[["2025",7,2]]},"issued":{"date-parts":[["2025",1,31]]}}}],"schema":"https://github.com/citation-style-language/schema/raw/master/csl-citation.json"} </w:instrText>
      </w:r>
      <w:r w:rsidR="00576C0D">
        <w:rPr>
          <w:rFonts w:ascii="Arial" w:hAnsi="Arial" w:cs="Arial"/>
          <w:sz w:val="20"/>
          <w:szCs w:val="20"/>
        </w:rPr>
        <w:fldChar w:fldCharType="separate"/>
      </w:r>
      <w:r w:rsidR="00B3623E" w:rsidRPr="00B3623E">
        <w:rPr>
          <w:rFonts w:ascii="Arial" w:hAnsi="Arial" w:cs="Arial"/>
          <w:sz w:val="20"/>
        </w:rPr>
        <w:t>(34)</w:t>
      </w:r>
      <w:r w:rsidR="00576C0D">
        <w:rPr>
          <w:rFonts w:ascii="Arial" w:hAnsi="Arial" w:cs="Arial"/>
          <w:sz w:val="20"/>
          <w:szCs w:val="20"/>
        </w:rPr>
        <w:fldChar w:fldCharType="end"/>
      </w:r>
      <w:r w:rsidRPr="00237CF8">
        <w:rPr>
          <w:rFonts w:ascii="Arial" w:hAnsi="Arial" w:cs="Arial"/>
          <w:sz w:val="20"/>
          <w:szCs w:val="20"/>
        </w:rPr>
        <w:t>. The data supports the suitability of this protocol for subsequent anti-inflammatory assays.</w:t>
      </w:r>
    </w:p>
    <w:p w14:paraId="4F31D77F" w14:textId="77777777" w:rsidR="00C91D4C" w:rsidRPr="00237CF8" w:rsidRDefault="00C91D4C" w:rsidP="00E807B6">
      <w:pPr>
        <w:spacing w:line="240" w:lineRule="auto"/>
        <w:contextualSpacing/>
        <w:jc w:val="both"/>
        <w:rPr>
          <w:rFonts w:ascii="Arial" w:hAnsi="Arial" w:cs="Arial"/>
          <w:sz w:val="20"/>
          <w:szCs w:val="20"/>
        </w:rPr>
      </w:pPr>
    </w:p>
    <w:p w14:paraId="46250704" w14:textId="77777777" w:rsidR="00C91D4C" w:rsidRPr="00237CF8" w:rsidRDefault="00C91D4C" w:rsidP="00E807B6">
      <w:pPr>
        <w:spacing w:line="240" w:lineRule="auto"/>
        <w:contextualSpacing/>
        <w:jc w:val="both"/>
        <w:rPr>
          <w:rFonts w:ascii="Arial" w:hAnsi="Arial" w:cs="Arial"/>
          <w:sz w:val="20"/>
          <w:szCs w:val="20"/>
        </w:rPr>
      </w:pPr>
    </w:p>
    <w:p w14:paraId="158B032A" w14:textId="77777777" w:rsidR="00C91D4C" w:rsidRDefault="008C2E22" w:rsidP="0073522A">
      <w:pPr>
        <w:pStyle w:val="Heading2"/>
        <w:rPr>
          <w:lang w:val="en-GB"/>
        </w:rPr>
      </w:pPr>
      <w:bookmarkStart w:id="29" w:name="_Toc196381543"/>
      <w:r w:rsidRPr="00237CF8">
        <w:rPr>
          <w:lang w:val="en-GB"/>
        </w:rPr>
        <w:t xml:space="preserve">PHYTOCHEMICAL SCREENING </w:t>
      </w:r>
    </w:p>
    <w:p w14:paraId="3DC94849" w14:textId="77777777" w:rsidR="0073522A" w:rsidRPr="0073522A" w:rsidRDefault="0073522A" w:rsidP="0073522A">
      <w:pPr>
        <w:rPr>
          <w:lang w:val="en-GB"/>
        </w:rPr>
      </w:pPr>
    </w:p>
    <w:bookmarkEnd w:id="29"/>
    <w:p w14:paraId="6DE6E6F8" w14:textId="77777777" w:rsidR="0073522A" w:rsidRPr="0073522A" w:rsidRDefault="0073522A" w:rsidP="0073522A">
      <w:pPr>
        <w:spacing w:after="0" w:line="240" w:lineRule="auto"/>
        <w:contextualSpacing/>
        <w:jc w:val="both"/>
        <w:rPr>
          <w:rFonts w:ascii="Times New Roman" w:eastAsia="Times New Roman" w:hAnsi="Times New Roman" w:cs="Times New Roman"/>
          <w:i/>
          <w:iCs/>
          <w:color w:val="1F497D"/>
          <w:sz w:val="18"/>
          <w:szCs w:val="18"/>
          <w:lang w:eastAsia="en-ZW"/>
        </w:rPr>
      </w:pPr>
      <w:r w:rsidRPr="0073522A">
        <w:rPr>
          <w:rFonts w:ascii="Times New Roman" w:eastAsia="Times New Roman" w:hAnsi="Times New Roman" w:cs="Times New Roman"/>
          <w:i/>
          <w:iCs/>
          <w:color w:val="1F497D"/>
          <w:sz w:val="18"/>
          <w:szCs w:val="18"/>
          <w:lang w:eastAsia="en-ZW"/>
        </w:rPr>
        <w:t>Table 1. Secondary metabolites present in V. Nilotica</w:t>
      </w:r>
    </w:p>
    <w:p w14:paraId="11052C84" w14:textId="77777777" w:rsidR="00C91D4C" w:rsidRPr="00237CF8" w:rsidRDefault="00C91D4C" w:rsidP="00E807B6">
      <w:pPr>
        <w:pStyle w:val="Heading3"/>
        <w:numPr>
          <w:ilvl w:val="0"/>
          <w:numId w:val="0"/>
        </w:numPr>
        <w:spacing w:line="240" w:lineRule="auto"/>
        <w:contextualSpacing/>
        <w:jc w:val="both"/>
        <w:rPr>
          <w:rFonts w:eastAsia="Calibri" w:cs="Arial"/>
          <w:i w:val="0"/>
          <w:iCs/>
          <w:szCs w:val="20"/>
          <w:lang w:val="en-GB"/>
        </w:rPr>
      </w:pPr>
    </w:p>
    <w:tbl>
      <w:tblPr>
        <w:tblStyle w:val="PlainTable21"/>
        <w:tblW w:w="0" w:type="auto"/>
        <w:jc w:val="center"/>
        <w:tblLayout w:type="fixed"/>
        <w:tblLook w:val="04A0" w:firstRow="1" w:lastRow="0" w:firstColumn="1" w:lastColumn="0" w:noHBand="0" w:noVBand="1"/>
      </w:tblPr>
      <w:tblGrid>
        <w:gridCol w:w="2709"/>
        <w:gridCol w:w="2709"/>
        <w:gridCol w:w="2709"/>
      </w:tblGrid>
      <w:tr w:rsidR="00C91D4C" w:rsidRPr="0073522A" w14:paraId="25B9715C" w14:textId="77777777" w:rsidTr="0073522A">
        <w:trPr>
          <w:cnfStyle w:val="100000000000" w:firstRow="1" w:lastRow="0" w:firstColumn="0" w:lastColumn="0" w:oddVBand="0" w:evenVBand="0" w:oddHBand="0" w:evenHBand="0" w:firstRowFirstColumn="0" w:firstRowLastColumn="0" w:lastRowFirstColumn="0" w:lastRowLastColumn="0"/>
          <w:trHeight w:val="93"/>
          <w:jc w:val="center"/>
        </w:trPr>
        <w:tc>
          <w:tcPr>
            <w:cnfStyle w:val="001000000000" w:firstRow="0" w:lastRow="0" w:firstColumn="1" w:lastColumn="0" w:oddVBand="0" w:evenVBand="0" w:oddHBand="0" w:evenHBand="0" w:firstRowFirstColumn="0" w:firstRowLastColumn="0" w:lastRowFirstColumn="0" w:lastRowLastColumn="0"/>
            <w:tcW w:w="2709" w:type="dxa"/>
            <w:tcBorders>
              <w:top w:val="single" w:sz="4" w:space="0" w:color="7F7F7F"/>
            </w:tcBorders>
            <w:shd w:val="clear" w:color="auto" w:fill="EEECE1" w:themeFill="background2"/>
          </w:tcPr>
          <w:p w14:paraId="0E8977A8" w14:textId="3F533A00" w:rsidR="00C91D4C" w:rsidRPr="0073522A" w:rsidRDefault="008C2E22" w:rsidP="0073522A">
            <w:pPr>
              <w:autoSpaceDE w:val="0"/>
              <w:autoSpaceDN w:val="0"/>
              <w:adjustRightInd w:val="0"/>
              <w:spacing w:after="0" w:line="240" w:lineRule="auto"/>
              <w:contextualSpacing/>
              <w:jc w:val="center"/>
              <w:rPr>
                <w:rFonts w:ascii="Arial" w:eastAsia="Calibri" w:hAnsi="Arial" w:cs="Arial"/>
                <w:color w:val="000000"/>
                <w:sz w:val="18"/>
                <w:szCs w:val="18"/>
                <w:lang w:val="en-GB"/>
              </w:rPr>
            </w:pPr>
            <w:r w:rsidRPr="0073522A">
              <w:rPr>
                <w:rFonts w:ascii="Arial" w:eastAsia="Calibri" w:hAnsi="Arial" w:cs="Arial"/>
                <w:color w:val="000000"/>
                <w:sz w:val="18"/>
                <w:szCs w:val="18"/>
                <w:lang w:val="en-GB"/>
              </w:rPr>
              <w:t>Metabolites</w:t>
            </w:r>
          </w:p>
        </w:tc>
        <w:tc>
          <w:tcPr>
            <w:tcW w:w="2709" w:type="dxa"/>
            <w:tcBorders>
              <w:top w:val="single" w:sz="4" w:space="0" w:color="7F7F7F"/>
            </w:tcBorders>
            <w:shd w:val="clear" w:color="auto" w:fill="EEECE1" w:themeFill="background2"/>
          </w:tcPr>
          <w:p w14:paraId="4AC0283F" w14:textId="76E4FA5F" w:rsidR="00C91D4C" w:rsidRPr="0073522A" w:rsidRDefault="008C2E22" w:rsidP="0073522A">
            <w:pPr>
              <w:autoSpaceDE w:val="0"/>
              <w:autoSpaceDN w:val="0"/>
              <w:adjustRightInd w:val="0"/>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000000"/>
                <w:sz w:val="18"/>
                <w:szCs w:val="18"/>
                <w:lang w:val="en-GB"/>
              </w:rPr>
            </w:pPr>
            <w:r w:rsidRPr="0073522A">
              <w:rPr>
                <w:rFonts w:ascii="Arial" w:eastAsia="Calibri" w:hAnsi="Arial" w:cs="Arial"/>
                <w:color w:val="000000"/>
                <w:sz w:val="18"/>
                <w:szCs w:val="18"/>
                <w:lang w:val="en-GB"/>
              </w:rPr>
              <w:t>Hydro-ethanolic extract</w:t>
            </w:r>
          </w:p>
        </w:tc>
        <w:tc>
          <w:tcPr>
            <w:tcW w:w="2709" w:type="dxa"/>
            <w:tcBorders>
              <w:top w:val="single" w:sz="4" w:space="0" w:color="7F7F7F"/>
            </w:tcBorders>
            <w:shd w:val="clear" w:color="auto" w:fill="EEECE1" w:themeFill="background2"/>
          </w:tcPr>
          <w:p w14:paraId="48D4C5EA" w14:textId="77777777" w:rsidR="00C91D4C" w:rsidRPr="0073522A" w:rsidRDefault="008C2E22" w:rsidP="0073522A">
            <w:pPr>
              <w:autoSpaceDE w:val="0"/>
              <w:autoSpaceDN w:val="0"/>
              <w:adjustRightInd w:val="0"/>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000000"/>
                <w:sz w:val="18"/>
                <w:szCs w:val="18"/>
                <w:lang w:val="en-GB"/>
              </w:rPr>
            </w:pPr>
            <w:r w:rsidRPr="0073522A">
              <w:rPr>
                <w:rFonts w:ascii="Arial" w:eastAsia="Calibri" w:hAnsi="Arial" w:cs="Arial"/>
                <w:color w:val="000000"/>
                <w:sz w:val="18"/>
                <w:szCs w:val="18"/>
                <w:lang w:val="en-GB"/>
              </w:rPr>
              <w:t>Distilled water extract</w:t>
            </w:r>
          </w:p>
        </w:tc>
      </w:tr>
      <w:tr w:rsidR="00C91D4C" w:rsidRPr="0073522A" w14:paraId="2D40F233" w14:textId="77777777" w:rsidTr="0073522A">
        <w:trPr>
          <w:cnfStyle w:val="000000100000" w:firstRow="0" w:lastRow="0" w:firstColumn="0" w:lastColumn="0" w:oddVBand="0" w:evenVBand="0" w:oddHBand="1" w:evenHBand="0" w:firstRowFirstColumn="0" w:firstRowLastColumn="0" w:lastRowFirstColumn="0" w:lastRowLastColumn="0"/>
          <w:trHeight w:val="93"/>
          <w:jc w:val="center"/>
        </w:trPr>
        <w:tc>
          <w:tcPr>
            <w:cnfStyle w:val="001000000000" w:firstRow="0" w:lastRow="0" w:firstColumn="1" w:lastColumn="0" w:oddVBand="0" w:evenVBand="0" w:oddHBand="0" w:evenHBand="0" w:firstRowFirstColumn="0" w:firstRowLastColumn="0" w:lastRowFirstColumn="0" w:lastRowLastColumn="0"/>
            <w:tcW w:w="2709" w:type="dxa"/>
          </w:tcPr>
          <w:p w14:paraId="563E979C" w14:textId="49660FB0" w:rsidR="00C91D4C" w:rsidRPr="0073522A" w:rsidRDefault="008C2E22" w:rsidP="0073522A">
            <w:pPr>
              <w:autoSpaceDE w:val="0"/>
              <w:autoSpaceDN w:val="0"/>
              <w:adjustRightInd w:val="0"/>
              <w:spacing w:after="0" w:line="240" w:lineRule="auto"/>
              <w:contextualSpacing/>
              <w:jc w:val="center"/>
              <w:rPr>
                <w:rFonts w:ascii="Arial" w:eastAsia="Calibri" w:hAnsi="Arial" w:cs="Arial"/>
                <w:color w:val="000000"/>
                <w:sz w:val="18"/>
                <w:szCs w:val="18"/>
                <w:lang w:val="en-GB"/>
              </w:rPr>
            </w:pPr>
            <w:r w:rsidRPr="0073522A">
              <w:rPr>
                <w:rFonts w:ascii="Arial" w:eastAsia="Calibri" w:hAnsi="Arial" w:cs="Arial"/>
                <w:b w:val="0"/>
                <w:bCs w:val="0"/>
                <w:color w:val="000000"/>
                <w:sz w:val="18"/>
                <w:szCs w:val="18"/>
                <w:lang w:val="en-GB"/>
              </w:rPr>
              <w:t>Saponins</w:t>
            </w:r>
          </w:p>
        </w:tc>
        <w:tc>
          <w:tcPr>
            <w:tcW w:w="2709" w:type="dxa"/>
          </w:tcPr>
          <w:p w14:paraId="3A4B1690" w14:textId="6B74B278" w:rsidR="00C91D4C" w:rsidRPr="0073522A" w:rsidRDefault="008C2E22" w:rsidP="0073522A">
            <w:pPr>
              <w:autoSpaceDE w:val="0"/>
              <w:autoSpaceDN w:val="0"/>
              <w:adjustRightInd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18"/>
                <w:szCs w:val="18"/>
                <w:lang w:val="en-GB"/>
              </w:rPr>
            </w:pPr>
            <w:r w:rsidRPr="0073522A">
              <w:rPr>
                <w:rFonts w:ascii="Arial" w:eastAsia="Calibri" w:hAnsi="Arial" w:cs="Arial"/>
                <w:color w:val="000000"/>
                <w:sz w:val="18"/>
                <w:szCs w:val="18"/>
                <w:lang w:val="en-GB"/>
              </w:rPr>
              <w:t>+++</w:t>
            </w:r>
          </w:p>
        </w:tc>
        <w:tc>
          <w:tcPr>
            <w:tcW w:w="2709" w:type="dxa"/>
          </w:tcPr>
          <w:p w14:paraId="6DAD5273" w14:textId="77777777" w:rsidR="00C91D4C" w:rsidRPr="0073522A" w:rsidRDefault="008C2E22" w:rsidP="0073522A">
            <w:pPr>
              <w:autoSpaceDE w:val="0"/>
              <w:autoSpaceDN w:val="0"/>
              <w:adjustRightInd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18"/>
                <w:szCs w:val="18"/>
                <w:lang w:val="en-GB"/>
              </w:rPr>
            </w:pPr>
            <w:r w:rsidRPr="0073522A">
              <w:rPr>
                <w:rFonts w:ascii="Arial" w:eastAsia="Calibri" w:hAnsi="Arial" w:cs="Arial"/>
                <w:color w:val="000000"/>
                <w:sz w:val="18"/>
                <w:szCs w:val="18"/>
                <w:lang w:val="en-GB"/>
              </w:rPr>
              <w:t>+</w:t>
            </w:r>
          </w:p>
        </w:tc>
      </w:tr>
      <w:tr w:rsidR="00C91D4C" w:rsidRPr="0073522A" w14:paraId="2E206468" w14:textId="77777777" w:rsidTr="0073522A">
        <w:trPr>
          <w:trHeight w:val="93"/>
          <w:jc w:val="center"/>
        </w:trPr>
        <w:tc>
          <w:tcPr>
            <w:cnfStyle w:val="001000000000" w:firstRow="0" w:lastRow="0" w:firstColumn="1" w:lastColumn="0" w:oddVBand="0" w:evenVBand="0" w:oddHBand="0" w:evenHBand="0" w:firstRowFirstColumn="0" w:firstRowLastColumn="0" w:lastRowFirstColumn="0" w:lastRowLastColumn="0"/>
            <w:tcW w:w="2709" w:type="dxa"/>
          </w:tcPr>
          <w:p w14:paraId="2F986213" w14:textId="77777777" w:rsidR="00C91D4C" w:rsidRPr="0073522A" w:rsidRDefault="008C2E22" w:rsidP="0073522A">
            <w:pPr>
              <w:autoSpaceDE w:val="0"/>
              <w:autoSpaceDN w:val="0"/>
              <w:adjustRightInd w:val="0"/>
              <w:spacing w:after="0" w:line="240" w:lineRule="auto"/>
              <w:contextualSpacing/>
              <w:jc w:val="center"/>
              <w:rPr>
                <w:rFonts w:ascii="Arial" w:eastAsia="Calibri" w:hAnsi="Arial" w:cs="Arial"/>
                <w:color w:val="000000"/>
                <w:sz w:val="18"/>
                <w:szCs w:val="18"/>
                <w:lang w:val="en-GB"/>
              </w:rPr>
            </w:pPr>
            <w:r w:rsidRPr="0073522A">
              <w:rPr>
                <w:rFonts w:ascii="Arial" w:eastAsia="Calibri" w:hAnsi="Arial" w:cs="Arial"/>
                <w:b w:val="0"/>
                <w:bCs w:val="0"/>
                <w:color w:val="000000"/>
                <w:sz w:val="18"/>
                <w:szCs w:val="18"/>
                <w:lang w:val="en-GB"/>
              </w:rPr>
              <w:t>Glycosides</w:t>
            </w:r>
          </w:p>
        </w:tc>
        <w:tc>
          <w:tcPr>
            <w:tcW w:w="2709" w:type="dxa"/>
          </w:tcPr>
          <w:p w14:paraId="03F73AB0" w14:textId="76EF9622" w:rsidR="00C91D4C" w:rsidRPr="0073522A" w:rsidRDefault="008C2E22" w:rsidP="0073522A">
            <w:pPr>
              <w:autoSpaceDE w:val="0"/>
              <w:autoSpaceDN w:val="0"/>
              <w:adjustRightInd w:val="0"/>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18"/>
                <w:szCs w:val="18"/>
                <w:lang w:val="en-GB"/>
              </w:rPr>
            </w:pPr>
            <w:r w:rsidRPr="0073522A">
              <w:rPr>
                <w:rFonts w:ascii="Arial" w:eastAsia="Calibri" w:hAnsi="Arial" w:cs="Arial"/>
                <w:color w:val="000000"/>
                <w:sz w:val="18"/>
                <w:szCs w:val="18"/>
                <w:lang w:val="en-GB"/>
              </w:rPr>
              <w:t>++</w:t>
            </w:r>
          </w:p>
        </w:tc>
        <w:tc>
          <w:tcPr>
            <w:tcW w:w="2709" w:type="dxa"/>
          </w:tcPr>
          <w:p w14:paraId="3E9325DD" w14:textId="77777777" w:rsidR="00C91D4C" w:rsidRPr="0073522A" w:rsidRDefault="008C2E22" w:rsidP="0073522A">
            <w:pPr>
              <w:autoSpaceDE w:val="0"/>
              <w:autoSpaceDN w:val="0"/>
              <w:adjustRightInd w:val="0"/>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18"/>
                <w:szCs w:val="18"/>
                <w:lang w:val="en-GB"/>
              </w:rPr>
            </w:pPr>
            <w:r w:rsidRPr="0073522A">
              <w:rPr>
                <w:rFonts w:ascii="Arial" w:eastAsia="Calibri" w:hAnsi="Arial" w:cs="Arial"/>
                <w:color w:val="000000"/>
                <w:sz w:val="18"/>
                <w:szCs w:val="18"/>
                <w:lang w:val="en-GB"/>
              </w:rPr>
              <w:t>+</w:t>
            </w:r>
          </w:p>
        </w:tc>
      </w:tr>
      <w:tr w:rsidR="00C91D4C" w:rsidRPr="0073522A" w14:paraId="65810193" w14:textId="77777777" w:rsidTr="0073522A">
        <w:trPr>
          <w:cnfStyle w:val="000000100000" w:firstRow="0" w:lastRow="0" w:firstColumn="0" w:lastColumn="0" w:oddVBand="0" w:evenVBand="0" w:oddHBand="1" w:evenHBand="0" w:firstRowFirstColumn="0" w:firstRowLastColumn="0" w:lastRowFirstColumn="0" w:lastRowLastColumn="0"/>
          <w:trHeight w:val="93"/>
          <w:jc w:val="center"/>
        </w:trPr>
        <w:tc>
          <w:tcPr>
            <w:cnfStyle w:val="001000000000" w:firstRow="0" w:lastRow="0" w:firstColumn="1" w:lastColumn="0" w:oddVBand="0" w:evenVBand="0" w:oddHBand="0" w:evenHBand="0" w:firstRowFirstColumn="0" w:firstRowLastColumn="0" w:lastRowFirstColumn="0" w:lastRowLastColumn="0"/>
            <w:tcW w:w="2709" w:type="dxa"/>
          </w:tcPr>
          <w:p w14:paraId="2BB8AA72" w14:textId="605F8FF5" w:rsidR="00C91D4C" w:rsidRPr="0073522A" w:rsidRDefault="008C2E22" w:rsidP="0073522A">
            <w:pPr>
              <w:autoSpaceDE w:val="0"/>
              <w:autoSpaceDN w:val="0"/>
              <w:adjustRightInd w:val="0"/>
              <w:spacing w:after="0" w:line="240" w:lineRule="auto"/>
              <w:contextualSpacing/>
              <w:jc w:val="center"/>
              <w:rPr>
                <w:rFonts w:ascii="Arial" w:eastAsia="Calibri" w:hAnsi="Arial" w:cs="Arial"/>
                <w:color w:val="000000"/>
                <w:sz w:val="18"/>
                <w:szCs w:val="18"/>
                <w:lang w:val="en-GB"/>
              </w:rPr>
            </w:pPr>
            <w:r w:rsidRPr="0073522A">
              <w:rPr>
                <w:rFonts w:ascii="Arial" w:eastAsia="Calibri" w:hAnsi="Arial" w:cs="Arial"/>
                <w:b w:val="0"/>
                <w:bCs w:val="0"/>
                <w:color w:val="000000"/>
                <w:sz w:val="18"/>
                <w:szCs w:val="18"/>
                <w:lang w:val="en-GB"/>
              </w:rPr>
              <w:t>Phenolics</w:t>
            </w:r>
          </w:p>
        </w:tc>
        <w:tc>
          <w:tcPr>
            <w:tcW w:w="2709" w:type="dxa"/>
          </w:tcPr>
          <w:p w14:paraId="666FA7E3" w14:textId="4D22A2B7" w:rsidR="00C91D4C" w:rsidRPr="0073522A" w:rsidRDefault="008C2E22" w:rsidP="0073522A">
            <w:pPr>
              <w:autoSpaceDE w:val="0"/>
              <w:autoSpaceDN w:val="0"/>
              <w:adjustRightInd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18"/>
                <w:szCs w:val="18"/>
                <w:lang w:val="en-GB"/>
              </w:rPr>
            </w:pPr>
            <w:r w:rsidRPr="0073522A">
              <w:rPr>
                <w:rFonts w:ascii="Arial" w:eastAsia="Calibri" w:hAnsi="Arial" w:cs="Arial"/>
                <w:color w:val="000000"/>
                <w:sz w:val="18"/>
                <w:szCs w:val="18"/>
                <w:lang w:val="en-GB"/>
              </w:rPr>
              <w:t>+++</w:t>
            </w:r>
          </w:p>
        </w:tc>
        <w:tc>
          <w:tcPr>
            <w:tcW w:w="2709" w:type="dxa"/>
          </w:tcPr>
          <w:p w14:paraId="64888C73" w14:textId="77777777" w:rsidR="00C91D4C" w:rsidRPr="0073522A" w:rsidRDefault="008C2E22" w:rsidP="0073522A">
            <w:pPr>
              <w:autoSpaceDE w:val="0"/>
              <w:autoSpaceDN w:val="0"/>
              <w:adjustRightInd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18"/>
                <w:szCs w:val="18"/>
                <w:lang w:val="en-GB"/>
              </w:rPr>
            </w:pPr>
            <w:r w:rsidRPr="0073522A">
              <w:rPr>
                <w:rFonts w:ascii="Arial" w:eastAsia="Calibri" w:hAnsi="Arial" w:cs="Arial"/>
                <w:color w:val="000000"/>
                <w:sz w:val="18"/>
                <w:szCs w:val="18"/>
                <w:lang w:val="en-GB"/>
              </w:rPr>
              <w:t>+</w:t>
            </w:r>
          </w:p>
        </w:tc>
      </w:tr>
      <w:tr w:rsidR="00C91D4C" w:rsidRPr="0073522A" w14:paraId="36635449" w14:textId="77777777" w:rsidTr="0073522A">
        <w:trPr>
          <w:trHeight w:val="93"/>
          <w:jc w:val="center"/>
        </w:trPr>
        <w:tc>
          <w:tcPr>
            <w:cnfStyle w:val="001000000000" w:firstRow="0" w:lastRow="0" w:firstColumn="1" w:lastColumn="0" w:oddVBand="0" w:evenVBand="0" w:oddHBand="0" w:evenHBand="0" w:firstRowFirstColumn="0" w:firstRowLastColumn="0" w:lastRowFirstColumn="0" w:lastRowLastColumn="0"/>
            <w:tcW w:w="2709" w:type="dxa"/>
          </w:tcPr>
          <w:p w14:paraId="21265087" w14:textId="44C911DC" w:rsidR="00C91D4C" w:rsidRPr="0073522A" w:rsidRDefault="008C2E22" w:rsidP="0073522A">
            <w:pPr>
              <w:autoSpaceDE w:val="0"/>
              <w:autoSpaceDN w:val="0"/>
              <w:adjustRightInd w:val="0"/>
              <w:spacing w:after="0" w:line="240" w:lineRule="auto"/>
              <w:contextualSpacing/>
              <w:jc w:val="center"/>
              <w:rPr>
                <w:rFonts w:ascii="Arial" w:eastAsia="Calibri" w:hAnsi="Arial" w:cs="Arial"/>
                <w:color w:val="000000"/>
                <w:sz w:val="18"/>
                <w:szCs w:val="18"/>
                <w:lang w:val="en-GB"/>
              </w:rPr>
            </w:pPr>
            <w:r w:rsidRPr="0073522A">
              <w:rPr>
                <w:rFonts w:ascii="Arial" w:eastAsia="Calibri" w:hAnsi="Arial" w:cs="Arial"/>
                <w:b w:val="0"/>
                <w:bCs w:val="0"/>
                <w:color w:val="000000"/>
                <w:sz w:val="18"/>
                <w:szCs w:val="18"/>
                <w:lang w:val="en-GB"/>
              </w:rPr>
              <w:t>Tannins</w:t>
            </w:r>
          </w:p>
        </w:tc>
        <w:tc>
          <w:tcPr>
            <w:tcW w:w="2709" w:type="dxa"/>
          </w:tcPr>
          <w:p w14:paraId="55EC02A4" w14:textId="77777777" w:rsidR="00C91D4C" w:rsidRPr="0073522A" w:rsidRDefault="008C2E22" w:rsidP="0073522A">
            <w:pPr>
              <w:autoSpaceDE w:val="0"/>
              <w:autoSpaceDN w:val="0"/>
              <w:adjustRightInd w:val="0"/>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18"/>
                <w:szCs w:val="18"/>
                <w:lang w:val="en-GB"/>
              </w:rPr>
            </w:pPr>
            <w:r w:rsidRPr="0073522A">
              <w:rPr>
                <w:rFonts w:ascii="Arial" w:eastAsia="Calibri" w:hAnsi="Arial" w:cs="Arial"/>
                <w:color w:val="000000"/>
                <w:sz w:val="18"/>
                <w:szCs w:val="18"/>
                <w:lang w:val="en-GB"/>
              </w:rPr>
              <w:t>++ +</w:t>
            </w:r>
          </w:p>
        </w:tc>
        <w:tc>
          <w:tcPr>
            <w:tcW w:w="2709" w:type="dxa"/>
          </w:tcPr>
          <w:p w14:paraId="5A2E1EE0" w14:textId="45E77E9D" w:rsidR="00C91D4C" w:rsidRPr="0073522A" w:rsidRDefault="008C2E22" w:rsidP="0073522A">
            <w:pPr>
              <w:autoSpaceDE w:val="0"/>
              <w:autoSpaceDN w:val="0"/>
              <w:adjustRightInd w:val="0"/>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18"/>
                <w:szCs w:val="18"/>
                <w:lang w:val="en-GB"/>
              </w:rPr>
            </w:pPr>
            <w:r w:rsidRPr="0073522A">
              <w:rPr>
                <w:rFonts w:ascii="Arial" w:eastAsia="Calibri" w:hAnsi="Arial" w:cs="Arial"/>
                <w:color w:val="000000"/>
                <w:sz w:val="18"/>
                <w:szCs w:val="18"/>
                <w:lang w:val="en-GB"/>
              </w:rPr>
              <w:t>++</w:t>
            </w:r>
            <w:r w:rsidR="006F303D">
              <w:rPr>
                <w:rFonts w:ascii="Arial" w:eastAsia="Calibri" w:hAnsi="Arial" w:cs="Arial"/>
                <w:color w:val="000000"/>
                <w:sz w:val="18"/>
                <w:szCs w:val="18"/>
                <w:lang w:val="en-GB"/>
              </w:rPr>
              <w:t>+</w:t>
            </w:r>
          </w:p>
        </w:tc>
      </w:tr>
      <w:tr w:rsidR="00C91D4C" w:rsidRPr="0073522A" w14:paraId="77393BBA" w14:textId="77777777" w:rsidTr="0073522A">
        <w:trPr>
          <w:cnfStyle w:val="000000100000" w:firstRow="0" w:lastRow="0" w:firstColumn="0" w:lastColumn="0" w:oddVBand="0" w:evenVBand="0" w:oddHBand="1" w:evenHBand="0" w:firstRowFirstColumn="0" w:firstRowLastColumn="0" w:lastRowFirstColumn="0" w:lastRowLastColumn="0"/>
          <w:trHeight w:val="93"/>
          <w:jc w:val="center"/>
        </w:trPr>
        <w:tc>
          <w:tcPr>
            <w:cnfStyle w:val="001000000000" w:firstRow="0" w:lastRow="0" w:firstColumn="1" w:lastColumn="0" w:oddVBand="0" w:evenVBand="0" w:oddHBand="0" w:evenHBand="0" w:firstRowFirstColumn="0" w:firstRowLastColumn="0" w:lastRowFirstColumn="0" w:lastRowLastColumn="0"/>
            <w:tcW w:w="2709" w:type="dxa"/>
          </w:tcPr>
          <w:p w14:paraId="1BA5575A" w14:textId="70BEF46B" w:rsidR="00C91D4C" w:rsidRPr="0073522A" w:rsidRDefault="008C2E22" w:rsidP="0073522A">
            <w:pPr>
              <w:autoSpaceDE w:val="0"/>
              <w:autoSpaceDN w:val="0"/>
              <w:adjustRightInd w:val="0"/>
              <w:spacing w:after="0" w:line="240" w:lineRule="auto"/>
              <w:contextualSpacing/>
              <w:jc w:val="center"/>
              <w:rPr>
                <w:rFonts w:ascii="Arial" w:eastAsia="Calibri" w:hAnsi="Arial" w:cs="Arial"/>
                <w:color w:val="000000"/>
                <w:sz w:val="18"/>
                <w:szCs w:val="18"/>
                <w:lang w:val="en-GB"/>
              </w:rPr>
            </w:pPr>
            <w:r w:rsidRPr="0073522A">
              <w:rPr>
                <w:rFonts w:ascii="Arial" w:eastAsia="Calibri" w:hAnsi="Arial" w:cs="Arial"/>
                <w:b w:val="0"/>
                <w:bCs w:val="0"/>
                <w:color w:val="000000"/>
                <w:sz w:val="18"/>
                <w:szCs w:val="18"/>
                <w:lang w:val="en-GB"/>
              </w:rPr>
              <w:t>Flavonoids</w:t>
            </w:r>
          </w:p>
        </w:tc>
        <w:tc>
          <w:tcPr>
            <w:tcW w:w="2709" w:type="dxa"/>
          </w:tcPr>
          <w:p w14:paraId="3114E193" w14:textId="68B3A25B" w:rsidR="00C91D4C" w:rsidRPr="0073522A" w:rsidRDefault="008C2E22" w:rsidP="0073522A">
            <w:pPr>
              <w:autoSpaceDE w:val="0"/>
              <w:autoSpaceDN w:val="0"/>
              <w:adjustRightInd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18"/>
                <w:szCs w:val="18"/>
                <w:lang w:val="en-GB"/>
              </w:rPr>
            </w:pPr>
            <w:r w:rsidRPr="0073522A">
              <w:rPr>
                <w:rFonts w:ascii="Arial" w:eastAsia="Calibri" w:hAnsi="Arial" w:cs="Arial"/>
                <w:color w:val="000000"/>
                <w:sz w:val="18"/>
                <w:szCs w:val="18"/>
                <w:lang w:val="en-GB"/>
              </w:rPr>
              <w:t>+++</w:t>
            </w:r>
          </w:p>
        </w:tc>
        <w:tc>
          <w:tcPr>
            <w:tcW w:w="2709" w:type="dxa"/>
          </w:tcPr>
          <w:p w14:paraId="091EA1FE" w14:textId="77777777" w:rsidR="00C91D4C" w:rsidRPr="0073522A" w:rsidRDefault="008C2E22" w:rsidP="0073522A">
            <w:pPr>
              <w:autoSpaceDE w:val="0"/>
              <w:autoSpaceDN w:val="0"/>
              <w:adjustRightInd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18"/>
                <w:szCs w:val="18"/>
                <w:lang w:val="en-GB"/>
              </w:rPr>
            </w:pPr>
            <w:r w:rsidRPr="0073522A">
              <w:rPr>
                <w:rFonts w:ascii="Arial" w:eastAsia="Calibri" w:hAnsi="Arial" w:cs="Arial"/>
                <w:color w:val="000000"/>
                <w:sz w:val="18"/>
                <w:szCs w:val="18"/>
                <w:lang w:val="en-GB"/>
              </w:rPr>
              <w:t>++</w:t>
            </w:r>
          </w:p>
        </w:tc>
      </w:tr>
      <w:tr w:rsidR="00C91D4C" w:rsidRPr="0073522A" w14:paraId="294D779E" w14:textId="77777777" w:rsidTr="0073522A">
        <w:trPr>
          <w:trHeight w:val="93"/>
          <w:jc w:val="center"/>
        </w:trPr>
        <w:tc>
          <w:tcPr>
            <w:cnfStyle w:val="001000000000" w:firstRow="0" w:lastRow="0" w:firstColumn="1" w:lastColumn="0" w:oddVBand="0" w:evenVBand="0" w:oddHBand="0" w:evenHBand="0" w:firstRowFirstColumn="0" w:firstRowLastColumn="0" w:lastRowFirstColumn="0" w:lastRowLastColumn="0"/>
            <w:tcW w:w="2709" w:type="dxa"/>
          </w:tcPr>
          <w:p w14:paraId="69B54016" w14:textId="4E687611" w:rsidR="00C91D4C" w:rsidRPr="0073522A" w:rsidRDefault="008C2E22" w:rsidP="0073522A">
            <w:pPr>
              <w:autoSpaceDE w:val="0"/>
              <w:autoSpaceDN w:val="0"/>
              <w:adjustRightInd w:val="0"/>
              <w:spacing w:after="0" w:line="240" w:lineRule="auto"/>
              <w:contextualSpacing/>
              <w:jc w:val="center"/>
              <w:rPr>
                <w:rFonts w:ascii="Arial" w:eastAsia="Calibri" w:hAnsi="Arial" w:cs="Arial"/>
                <w:color w:val="000000"/>
                <w:sz w:val="18"/>
                <w:szCs w:val="18"/>
                <w:lang w:val="en-GB"/>
              </w:rPr>
            </w:pPr>
            <w:r w:rsidRPr="0073522A">
              <w:rPr>
                <w:rFonts w:ascii="Arial" w:eastAsia="Calibri" w:hAnsi="Arial" w:cs="Arial"/>
                <w:b w:val="0"/>
                <w:bCs w:val="0"/>
                <w:color w:val="000000"/>
                <w:sz w:val="18"/>
                <w:szCs w:val="18"/>
                <w:lang w:val="en-GB"/>
              </w:rPr>
              <w:t>Diterpenes</w:t>
            </w:r>
          </w:p>
        </w:tc>
        <w:tc>
          <w:tcPr>
            <w:tcW w:w="2709" w:type="dxa"/>
          </w:tcPr>
          <w:p w14:paraId="69686D06" w14:textId="1886516E" w:rsidR="00C91D4C" w:rsidRPr="0073522A" w:rsidRDefault="008C2E22" w:rsidP="0073522A">
            <w:pPr>
              <w:autoSpaceDE w:val="0"/>
              <w:autoSpaceDN w:val="0"/>
              <w:adjustRightInd w:val="0"/>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18"/>
                <w:szCs w:val="18"/>
                <w:lang w:val="en-GB"/>
              </w:rPr>
            </w:pPr>
            <w:r w:rsidRPr="0073522A">
              <w:rPr>
                <w:rFonts w:ascii="Arial" w:eastAsia="Calibri" w:hAnsi="Arial" w:cs="Arial"/>
                <w:color w:val="000000"/>
                <w:sz w:val="18"/>
                <w:szCs w:val="18"/>
                <w:lang w:val="en-GB"/>
              </w:rPr>
              <w:t>-</w:t>
            </w:r>
          </w:p>
        </w:tc>
        <w:tc>
          <w:tcPr>
            <w:tcW w:w="2709" w:type="dxa"/>
          </w:tcPr>
          <w:p w14:paraId="662B61A2" w14:textId="77777777" w:rsidR="00C91D4C" w:rsidRPr="0073522A" w:rsidRDefault="008C2E22" w:rsidP="0073522A">
            <w:pPr>
              <w:autoSpaceDE w:val="0"/>
              <w:autoSpaceDN w:val="0"/>
              <w:adjustRightInd w:val="0"/>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18"/>
                <w:szCs w:val="18"/>
                <w:lang w:val="en-GB"/>
              </w:rPr>
            </w:pPr>
            <w:r w:rsidRPr="0073522A">
              <w:rPr>
                <w:rFonts w:ascii="Arial" w:eastAsia="Calibri" w:hAnsi="Arial" w:cs="Arial"/>
                <w:color w:val="000000"/>
                <w:sz w:val="18"/>
                <w:szCs w:val="18"/>
                <w:lang w:val="en-GB"/>
              </w:rPr>
              <w:t>-</w:t>
            </w:r>
          </w:p>
        </w:tc>
      </w:tr>
      <w:tr w:rsidR="00C91D4C" w:rsidRPr="0073522A" w14:paraId="153318E1" w14:textId="77777777" w:rsidTr="0073522A">
        <w:trPr>
          <w:cnfStyle w:val="000000100000" w:firstRow="0" w:lastRow="0" w:firstColumn="0" w:lastColumn="0" w:oddVBand="0" w:evenVBand="0" w:oddHBand="1" w:evenHBand="0" w:firstRowFirstColumn="0" w:firstRowLastColumn="0" w:lastRowFirstColumn="0" w:lastRowLastColumn="0"/>
          <w:trHeight w:val="93"/>
          <w:jc w:val="center"/>
        </w:trPr>
        <w:tc>
          <w:tcPr>
            <w:cnfStyle w:val="001000000000" w:firstRow="0" w:lastRow="0" w:firstColumn="1" w:lastColumn="0" w:oddVBand="0" w:evenVBand="0" w:oddHBand="0" w:evenHBand="0" w:firstRowFirstColumn="0" w:firstRowLastColumn="0" w:lastRowFirstColumn="0" w:lastRowLastColumn="0"/>
            <w:tcW w:w="2709" w:type="dxa"/>
          </w:tcPr>
          <w:p w14:paraId="1BF2B43A" w14:textId="73EEA7F9" w:rsidR="00C91D4C" w:rsidRPr="0073522A" w:rsidRDefault="008C2E22" w:rsidP="0073522A">
            <w:pPr>
              <w:autoSpaceDE w:val="0"/>
              <w:autoSpaceDN w:val="0"/>
              <w:adjustRightInd w:val="0"/>
              <w:spacing w:after="0" w:line="240" w:lineRule="auto"/>
              <w:contextualSpacing/>
              <w:jc w:val="center"/>
              <w:rPr>
                <w:rFonts w:ascii="Arial" w:eastAsia="Calibri" w:hAnsi="Arial" w:cs="Arial"/>
                <w:color w:val="000000"/>
                <w:sz w:val="18"/>
                <w:szCs w:val="18"/>
                <w:lang w:val="en-GB"/>
              </w:rPr>
            </w:pPr>
            <w:r w:rsidRPr="0073522A">
              <w:rPr>
                <w:rFonts w:ascii="Arial" w:eastAsia="Calibri" w:hAnsi="Arial" w:cs="Arial"/>
                <w:b w:val="0"/>
                <w:bCs w:val="0"/>
                <w:color w:val="000000"/>
                <w:sz w:val="18"/>
                <w:szCs w:val="18"/>
                <w:lang w:val="en-GB"/>
              </w:rPr>
              <w:t>Alkaloids</w:t>
            </w:r>
          </w:p>
        </w:tc>
        <w:tc>
          <w:tcPr>
            <w:tcW w:w="2709" w:type="dxa"/>
          </w:tcPr>
          <w:p w14:paraId="48F8E804" w14:textId="25AEF272" w:rsidR="00C91D4C" w:rsidRPr="0073522A" w:rsidRDefault="008C2E22" w:rsidP="0073522A">
            <w:pPr>
              <w:autoSpaceDE w:val="0"/>
              <w:autoSpaceDN w:val="0"/>
              <w:adjustRightInd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18"/>
                <w:szCs w:val="18"/>
                <w:lang w:val="en-GB"/>
              </w:rPr>
            </w:pPr>
            <w:r w:rsidRPr="0073522A">
              <w:rPr>
                <w:rFonts w:ascii="Arial" w:eastAsia="Calibri" w:hAnsi="Arial" w:cs="Arial"/>
                <w:color w:val="000000"/>
                <w:sz w:val="18"/>
                <w:szCs w:val="18"/>
                <w:lang w:val="en-GB"/>
              </w:rPr>
              <w:t>+++</w:t>
            </w:r>
          </w:p>
        </w:tc>
        <w:tc>
          <w:tcPr>
            <w:tcW w:w="2709" w:type="dxa"/>
          </w:tcPr>
          <w:p w14:paraId="0FE9BE38" w14:textId="77777777" w:rsidR="00C91D4C" w:rsidRPr="0073522A" w:rsidRDefault="008C2E22" w:rsidP="0073522A">
            <w:pPr>
              <w:autoSpaceDE w:val="0"/>
              <w:autoSpaceDN w:val="0"/>
              <w:adjustRightInd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18"/>
                <w:szCs w:val="18"/>
                <w:lang w:val="en-GB"/>
              </w:rPr>
            </w:pPr>
            <w:r w:rsidRPr="0073522A">
              <w:rPr>
                <w:rFonts w:ascii="Arial" w:eastAsia="Calibri" w:hAnsi="Arial" w:cs="Arial"/>
                <w:color w:val="000000"/>
                <w:sz w:val="18"/>
                <w:szCs w:val="18"/>
                <w:lang w:val="en-GB"/>
              </w:rPr>
              <w:t>+</w:t>
            </w:r>
          </w:p>
        </w:tc>
      </w:tr>
    </w:tbl>
    <w:p w14:paraId="2381B3FA" w14:textId="77777777" w:rsidR="00C91D4C" w:rsidRPr="0073522A" w:rsidRDefault="008C2E22" w:rsidP="00E807B6">
      <w:pPr>
        <w:spacing w:after="0" w:line="240" w:lineRule="auto"/>
        <w:contextualSpacing/>
        <w:jc w:val="both"/>
        <w:rPr>
          <w:rFonts w:ascii="Arial" w:eastAsia="Times New Roman" w:hAnsi="Arial" w:cs="Arial"/>
          <w:iCs/>
          <w:sz w:val="18"/>
          <w:szCs w:val="18"/>
          <w:lang w:val="en-ZW" w:eastAsia="en-ZW"/>
        </w:rPr>
      </w:pPr>
      <w:r w:rsidRPr="0073522A">
        <w:rPr>
          <w:rFonts w:ascii="Arial" w:eastAsia="Times New Roman" w:hAnsi="Arial" w:cs="Arial"/>
          <w:iCs/>
          <w:sz w:val="18"/>
          <w:szCs w:val="18"/>
          <w:lang w:val="en-ZW" w:eastAsia="en-ZW"/>
        </w:rPr>
        <w:t>Key:</w:t>
      </w:r>
    </w:p>
    <w:p w14:paraId="41E23352" w14:textId="77777777" w:rsidR="00C91D4C" w:rsidRPr="0073522A" w:rsidRDefault="008C2E22" w:rsidP="00E807B6">
      <w:pPr>
        <w:spacing w:after="0" w:line="240" w:lineRule="auto"/>
        <w:contextualSpacing/>
        <w:jc w:val="both"/>
        <w:rPr>
          <w:rFonts w:ascii="Arial" w:eastAsia="Times New Roman" w:hAnsi="Arial" w:cs="Arial"/>
          <w:iCs/>
          <w:sz w:val="18"/>
          <w:szCs w:val="18"/>
          <w:lang w:val="en-ZW" w:eastAsia="en-ZW"/>
        </w:rPr>
      </w:pPr>
      <w:r w:rsidRPr="0073522A">
        <w:rPr>
          <w:rFonts w:ascii="Arial" w:eastAsia="Times New Roman" w:hAnsi="Arial" w:cs="Arial"/>
          <w:iCs/>
          <w:sz w:val="18"/>
          <w:szCs w:val="18"/>
          <w:lang w:val="en-ZW" w:eastAsia="en-ZW"/>
        </w:rPr>
        <w:t>(-): Indicates the absence of the phytochemical</w:t>
      </w:r>
    </w:p>
    <w:p w14:paraId="1DD79ECB" w14:textId="77777777" w:rsidR="00C91D4C" w:rsidRPr="0073522A" w:rsidRDefault="008C2E22" w:rsidP="00E807B6">
      <w:pPr>
        <w:spacing w:after="0" w:line="240" w:lineRule="auto"/>
        <w:contextualSpacing/>
        <w:jc w:val="both"/>
        <w:rPr>
          <w:rFonts w:ascii="Arial" w:eastAsia="Times New Roman" w:hAnsi="Arial" w:cs="Arial"/>
          <w:iCs/>
          <w:sz w:val="18"/>
          <w:szCs w:val="18"/>
          <w:lang w:val="en-ZW" w:eastAsia="en-ZW"/>
        </w:rPr>
      </w:pPr>
      <w:r w:rsidRPr="0073522A">
        <w:rPr>
          <w:rFonts w:ascii="Arial" w:eastAsia="Times New Roman" w:hAnsi="Arial" w:cs="Arial"/>
          <w:iCs/>
          <w:sz w:val="18"/>
          <w:szCs w:val="18"/>
          <w:lang w:val="en-ZW" w:eastAsia="en-ZW"/>
        </w:rPr>
        <w:t>(+): Indicates the presence of the phytochemical</w:t>
      </w:r>
    </w:p>
    <w:p w14:paraId="73F38897" w14:textId="77777777" w:rsidR="00C91D4C" w:rsidRPr="0073522A" w:rsidRDefault="008C2E22" w:rsidP="00E807B6">
      <w:pPr>
        <w:spacing w:after="0" w:line="240" w:lineRule="auto"/>
        <w:contextualSpacing/>
        <w:jc w:val="both"/>
        <w:rPr>
          <w:rFonts w:ascii="Arial" w:eastAsia="Times New Roman" w:hAnsi="Arial" w:cs="Arial"/>
          <w:iCs/>
          <w:sz w:val="18"/>
          <w:szCs w:val="18"/>
          <w:lang w:val="en-ZW" w:eastAsia="en-ZW"/>
        </w:rPr>
      </w:pPr>
      <w:r w:rsidRPr="0073522A">
        <w:rPr>
          <w:rFonts w:ascii="Arial" w:eastAsia="Times New Roman" w:hAnsi="Arial" w:cs="Arial"/>
          <w:iCs/>
          <w:sz w:val="18"/>
          <w:szCs w:val="18"/>
          <w:lang w:val="en-ZW" w:eastAsia="en-ZW"/>
        </w:rPr>
        <w:t>(++): Indicates moderate presence of the phytochemical</w:t>
      </w:r>
    </w:p>
    <w:p w14:paraId="60CC078F" w14:textId="77777777" w:rsidR="00C91D4C" w:rsidRPr="0073522A" w:rsidRDefault="008C2E22" w:rsidP="00E807B6">
      <w:pPr>
        <w:spacing w:after="0" w:line="240" w:lineRule="auto"/>
        <w:contextualSpacing/>
        <w:jc w:val="both"/>
        <w:rPr>
          <w:rFonts w:ascii="Arial" w:eastAsia="Times New Roman" w:hAnsi="Arial" w:cs="Arial"/>
          <w:i/>
          <w:sz w:val="18"/>
          <w:szCs w:val="18"/>
          <w:lang w:val="en-ZW" w:eastAsia="en-ZW"/>
        </w:rPr>
      </w:pPr>
      <w:r w:rsidRPr="0073522A">
        <w:rPr>
          <w:rFonts w:ascii="Arial" w:eastAsia="Times New Roman" w:hAnsi="Arial" w:cs="Arial"/>
          <w:iCs/>
          <w:sz w:val="18"/>
          <w:szCs w:val="18"/>
          <w:lang w:val="en-ZW" w:eastAsia="en-ZW"/>
        </w:rPr>
        <w:t>(+++): Indicates strong presence of the phytochemical</w:t>
      </w:r>
    </w:p>
    <w:p w14:paraId="0E4AD8C9" w14:textId="77777777" w:rsidR="00C91D4C" w:rsidRPr="00237CF8" w:rsidRDefault="00C91D4C" w:rsidP="00E807B6">
      <w:pPr>
        <w:spacing w:line="240" w:lineRule="auto"/>
        <w:contextualSpacing/>
        <w:jc w:val="both"/>
        <w:rPr>
          <w:rFonts w:ascii="Arial" w:eastAsia="Calibri" w:hAnsi="Arial" w:cs="Arial"/>
          <w:sz w:val="20"/>
          <w:szCs w:val="20"/>
          <w:lang w:val="en-GB"/>
        </w:rPr>
      </w:pPr>
    </w:p>
    <w:p w14:paraId="686B56B5" w14:textId="7E7F240A" w:rsidR="00C91D4C" w:rsidRPr="00237CF8" w:rsidRDefault="008C2E22" w:rsidP="00E807B6">
      <w:pPr>
        <w:spacing w:line="240" w:lineRule="auto"/>
        <w:contextualSpacing/>
        <w:jc w:val="both"/>
        <w:rPr>
          <w:rFonts w:ascii="Arial" w:eastAsia="Calibri" w:hAnsi="Arial" w:cs="Arial"/>
          <w:iCs/>
          <w:sz w:val="20"/>
          <w:szCs w:val="20"/>
          <w:lang w:val="en-GB"/>
        </w:rPr>
      </w:pPr>
      <w:r w:rsidRPr="00237CF8">
        <w:rPr>
          <w:rFonts w:ascii="Arial" w:eastAsia="Calibri" w:hAnsi="Arial" w:cs="Arial"/>
          <w:iCs/>
          <w:sz w:val="20"/>
          <w:szCs w:val="20"/>
          <w:lang w:val="en-GB"/>
        </w:rPr>
        <w:t>The hydroethanolic extract of </w:t>
      </w:r>
      <w:r w:rsidRPr="00237CF8">
        <w:rPr>
          <w:rFonts w:ascii="Arial" w:eastAsia="Calibri" w:hAnsi="Arial" w:cs="Arial"/>
          <w:i/>
          <w:iCs/>
          <w:sz w:val="20"/>
          <w:szCs w:val="20"/>
          <w:lang w:val="en-GB"/>
        </w:rPr>
        <w:t>V. nilotica</w:t>
      </w:r>
      <w:r w:rsidRPr="00237CF8">
        <w:rPr>
          <w:rFonts w:ascii="Arial" w:eastAsia="Calibri" w:hAnsi="Arial" w:cs="Arial"/>
          <w:iCs/>
          <w:sz w:val="20"/>
          <w:szCs w:val="20"/>
          <w:lang w:val="en-GB"/>
        </w:rPr>
        <w:t> demonstrated significantly greater extraction efficiency for bioactive secondary metabolites compared to the aqueous extract, as shown</w:t>
      </w:r>
      <w:r w:rsidR="0073522A">
        <w:rPr>
          <w:rFonts w:ascii="Arial" w:eastAsia="Calibri" w:hAnsi="Arial" w:cs="Arial"/>
          <w:iCs/>
          <w:sz w:val="20"/>
          <w:szCs w:val="20"/>
          <w:lang w:val="en-GB"/>
        </w:rPr>
        <w:t xml:space="preserve"> in table 1.</w:t>
      </w:r>
      <w:r w:rsidRPr="00237CF8">
        <w:rPr>
          <w:rFonts w:ascii="Arial" w:eastAsia="Calibri" w:hAnsi="Arial" w:cs="Arial"/>
          <w:iCs/>
          <w:sz w:val="20"/>
          <w:szCs w:val="20"/>
          <w:lang w:val="en-GB"/>
        </w:rPr>
        <w:t xml:space="preserve"> </w:t>
      </w:r>
      <w:r w:rsidR="00AA6063" w:rsidRPr="00AA6063">
        <w:rPr>
          <w:rFonts w:ascii="Arial" w:eastAsia="Calibri" w:hAnsi="Arial" w:cs="Arial"/>
          <w:iCs/>
          <w:sz w:val="20"/>
          <w:szCs w:val="20"/>
          <w:lang w:val="en-GB"/>
        </w:rPr>
        <w:t>The hydroethanolic extract showed especially strong phytochemical activity, with much higher levels of phenolics and flavonoids  compared to</w:t>
      </w:r>
      <w:r w:rsidR="006F303D">
        <w:rPr>
          <w:rFonts w:ascii="Arial" w:eastAsia="Calibri" w:hAnsi="Arial" w:cs="Arial"/>
          <w:iCs/>
          <w:sz w:val="20"/>
          <w:szCs w:val="20"/>
          <w:lang w:val="en-GB"/>
        </w:rPr>
        <w:t xml:space="preserve"> distilled water</w:t>
      </w:r>
      <w:r w:rsidR="00AA6063" w:rsidRPr="00AA6063">
        <w:rPr>
          <w:rFonts w:ascii="Arial" w:eastAsia="Calibri" w:hAnsi="Arial" w:cs="Arial"/>
          <w:iCs/>
          <w:sz w:val="20"/>
          <w:szCs w:val="20"/>
          <w:lang w:val="en-GB"/>
        </w:rPr>
        <w:t xml:space="preserve"> </w:t>
      </w:r>
      <w:r w:rsidR="006F303D">
        <w:rPr>
          <w:rFonts w:ascii="Arial" w:eastAsia="Calibri" w:hAnsi="Arial" w:cs="Arial"/>
          <w:iCs/>
          <w:sz w:val="20"/>
          <w:szCs w:val="20"/>
          <w:lang w:val="en-GB"/>
        </w:rPr>
        <w:t xml:space="preserve">(only) </w:t>
      </w:r>
      <w:r w:rsidR="00AA6063" w:rsidRPr="00AA6063">
        <w:rPr>
          <w:rFonts w:ascii="Arial" w:eastAsia="Calibri" w:hAnsi="Arial" w:cs="Arial"/>
          <w:iCs/>
          <w:sz w:val="20"/>
          <w:szCs w:val="20"/>
          <w:lang w:val="en-GB"/>
        </w:rPr>
        <w:t>extracts. This makes sense, given that these compounds are well-known for fighting oxidative stress and reducing inflammation by scavenging free radicals and regulating immune responses.</w:t>
      </w:r>
      <w:r w:rsidR="006F303D">
        <w:rPr>
          <w:rFonts w:ascii="Arial" w:eastAsia="Calibri" w:hAnsi="Arial" w:cs="Arial"/>
          <w:iCs/>
          <w:sz w:val="20"/>
          <w:szCs w:val="20"/>
          <w:lang w:val="en-GB"/>
        </w:rPr>
        <w:t xml:space="preserve"> </w:t>
      </w:r>
      <w:r w:rsidR="00AA6063" w:rsidRPr="00AA6063">
        <w:rPr>
          <w:rFonts w:ascii="Arial" w:eastAsia="Calibri" w:hAnsi="Arial" w:cs="Arial"/>
          <w:iCs/>
          <w:sz w:val="20"/>
          <w:szCs w:val="20"/>
          <w:lang w:val="en-GB"/>
        </w:rPr>
        <w:t xml:space="preserve">Additionally, both extracts contained high amounts of tannins, which helps explain why </w:t>
      </w:r>
      <w:r w:rsidR="00AA6063" w:rsidRPr="006F303D">
        <w:rPr>
          <w:rFonts w:ascii="Arial" w:eastAsia="Calibri" w:hAnsi="Arial" w:cs="Arial"/>
          <w:i/>
          <w:sz w:val="20"/>
          <w:szCs w:val="20"/>
          <w:lang w:val="en-GB"/>
        </w:rPr>
        <w:t>V. nilotica</w:t>
      </w:r>
      <w:r w:rsidR="00AA6063" w:rsidRPr="00AA6063">
        <w:rPr>
          <w:rFonts w:ascii="Arial" w:eastAsia="Calibri" w:hAnsi="Arial" w:cs="Arial"/>
          <w:iCs/>
          <w:sz w:val="20"/>
          <w:szCs w:val="20"/>
          <w:lang w:val="en-GB"/>
        </w:rPr>
        <w:t xml:space="preserve"> has been traditionally used to treat wounds and infections</w:t>
      </w:r>
      <w:r w:rsidR="006F303D">
        <w:rPr>
          <w:rFonts w:ascii="Arial" w:eastAsia="Calibri" w:hAnsi="Arial" w:cs="Arial"/>
          <w:iCs/>
          <w:sz w:val="20"/>
          <w:szCs w:val="20"/>
          <w:lang w:val="en-GB"/>
        </w:rPr>
        <w:t xml:space="preserve">, </w:t>
      </w:r>
      <w:r w:rsidR="00AA6063" w:rsidRPr="00AA6063">
        <w:rPr>
          <w:rFonts w:ascii="Arial" w:eastAsia="Calibri" w:hAnsi="Arial" w:cs="Arial"/>
          <w:iCs/>
          <w:sz w:val="20"/>
          <w:szCs w:val="20"/>
          <w:lang w:val="en-GB"/>
        </w:rPr>
        <w:t>tannins are powerful antimicrobial agents that also help bind and precipitate proteins, aiding in tissue repair</w:t>
      </w:r>
      <w:r w:rsidRPr="00237CF8">
        <w:rPr>
          <w:rFonts w:ascii="Arial" w:eastAsia="Calibri" w:hAnsi="Arial" w:cs="Arial"/>
          <w:iCs/>
          <w:sz w:val="20"/>
          <w:szCs w:val="20"/>
          <w:lang w:val="en-GB"/>
        </w:rPr>
        <w:t xml:space="preserve">. </w:t>
      </w:r>
      <w:r w:rsidR="006F303D">
        <w:rPr>
          <w:rFonts w:ascii="Arial" w:eastAsia="Calibri" w:hAnsi="Arial" w:cs="Arial"/>
          <w:iCs/>
          <w:sz w:val="20"/>
          <w:szCs w:val="20"/>
          <w:lang w:val="en-GB"/>
        </w:rPr>
        <w:t>Tannins are water soluble polyphenolics and their abundance in the distilled water extract is therefore expected.</w:t>
      </w:r>
      <w:r w:rsidR="006F303D" w:rsidRPr="00237CF8">
        <w:rPr>
          <w:rFonts w:ascii="Arial" w:eastAsia="Calibri" w:hAnsi="Arial" w:cs="Arial"/>
          <w:iCs/>
          <w:sz w:val="20"/>
          <w:szCs w:val="20"/>
          <w:lang w:val="en-GB"/>
        </w:rPr>
        <w:t xml:space="preserve"> </w:t>
      </w:r>
      <w:r w:rsidRPr="00237CF8">
        <w:rPr>
          <w:rFonts w:ascii="Arial" w:eastAsia="Calibri" w:hAnsi="Arial" w:cs="Arial"/>
          <w:iCs/>
          <w:sz w:val="20"/>
          <w:szCs w:val="20"/>
          <w:lang w:val="en-GB"/>
        </w:rPr>
        <w:t>Notably, alkaloids were highly concentrated in the hydroethanolic extract but only weakly present in the aqueous extract, suggesting ethanol's superior ability to extract these potentially cytotoxic compounds, which may contribute to the plant's reported anticancer activity. The absence of diterpenes could reflect either genuine species-specific variability or methodological limitations in detection. The moderate levels of saponins and phytosterols in hydroethanolic extract</w:t>
      </w:r>
      <w:r w:rsidR="006F303D">
        <w:rPr>
          <w:rFonts w:ascii="Arial" w:eastAsia="Calibri" w:hAnsi="Arial" w:cs="Arial"/>
          <w:iCs/>
          <w:sz w:val="20"/>
          <w:szCs w:val="20"/>
          <w:lang w:val="en-GB"/>
        </w:rPr>
        <w:t>,</w:t>
      </w:r>
      <w:r w:rsidRPr="00237CF8">
        <w:rPr>
          <w:rFonts w:ascii="Arial" w:eastAsia="Calibri" w:hAnsi="Arial" w:cs="Arial"/>
          <w:iCs/>
          <w:sz w:val="20"/>
          <w:szCs w:val="20"/>
          <w:lang w:val="en-GB"/>
        </w:rPr>
        <w:t xml:space="preserve"> further validate the plant's traditional use in metabolic regulation, as these compounds influence cholesterol absorption and lipid metabolism. These findings collectively confirm that hydroethanolic extraction is more effective </w:t>
      </w:r>
      <w:r w:rsidRPr="00237CF8">
        <w:rPr>
          <w:rFonts w:ascii="Arial" w:eastAsia="Calibri" w:hAnsi="Arial" w:cs="Arial"/>
          <w:iCs/>
          <w:sz w:val="20"/>
          <w:szCs w:val="20"/>
          <w:lang w:val="en-GB"/>
        </w:rPr>
        <w:lastRenderedPageBreak/>
        <w:t>for obtaining </w:t>
      </w:r>
      <w:r w:rsidRPr="00237CF8">
        <w:rPr>
          <w:rFonts w:ascii="Arial" w:eastAsia="Calibri" w:hAnsi="Arial" w:cs="Arial"/>
          <w:i/>
          <w:iCs/>
          <w:sz w:val="20"/>
          <w:szCs w:val="20"/>
          <w:lang w:val="en-GB"/>
        </w:rPr>
        <w:t>V. nilotica</w:t>
      </w:r>
      <w:r w:rsidRPr="00237CF8">
        <w:rPr>
          <w:rFonts w:ascii="Arial" w:eastAsia="Calibri" w:hAnsi="Arial" w:cs="Arial"/>
          <w:iCs/>
          <w:sz w:val="20"/>
          <w:szCs w:val="20"/>
          <w:lang w:val="en-GB"/>
        </w:rPr>
        <w:t xml:space="preserve">'s medicinally valuable compounds, particularly those relevant to oxidative stress and inflammation, while also providing a phytochemical basis for its traditional applications and potential in nanoparticle stabilization and drug development. The results underscore the importance of solvent selection in maximizing the yield of bioactive constituents for therapeutic applications. </w:t>
      </w:r>
      <w:r w:rsidR="006F303D">
        <w:rPr>
          <w:rFonts w:ascii="Arial" w:eastAsia="Calibri" w:hAnsi="Arial" w:cs="Arial"/>
          <w:iCs/>
          <w:sz w:val="20"/>
          <w:szCs w:val="20"/>
          <w:lang w:val="en-GB"/>
        </w:rPr>
        <w:t xml:space="preserve">Other studies have also confirmed the presence of </w:t>
      </w:r>
      <w:r w:rsidRPr="00237CF8">
        <w:rPr>
          <w:rFonts w:ascii="Arial" w:eastAsia="Calibri" w:hAnsi="Arial" w:cs="Arial"/>
          <w:iCs/>
          <w:sz w:val="20"/>
          <w:szCs w:val="20"/>
          <w:lang w:val="en-GB"/>
        </w:rPr>
        <w:t xml:space="preserve">polyphenols  abundant in the </w:t>
      </w:r>
      <w:r w:rsidRPr="0073522A">
        <w:rPr>
          <w:rFonts w:ascii="Arial" w:eastAsia="Calibri" w:hAnsi="Arial" w:cs="Arial"/>
          <w:i/>
          <w:sz w:val="20"/>
          <w:szCs w:val="20"/>
          <w:lang w:val="en-GB"/>
        </w:rPr>
        <w:t>V nilotica</w:t>
      </w:r>
      <w:r w:rsidRPr="00237CF8">
        <w:rPr>
          <w:rFonts w:ascii="Arial" w:eastAsia="Calibri" w:hAnsi="Arial" w:cs="Arial"/>
          <w:iCs/>
          <w:sz w:val="20"/>
          <w:szCs w:val="20"/>
          <w:lang w:val="en-GB"/>
        </w:rPr>
        <w:t xml:space="preserve"> leaf extracts </w:t>
      </w:r>
      <w:r w:rsidR="00F47EC0">
        <w:rPr>
          <w:rFonts w:ascii="Arial" w:eastAsia="Calibri" w:hAnsi="Arial" w:cs="Arial"/>
          <w:iCs/>
          <w:sz w:val="20"/>
          <w:szCs w:val="20"/>
          <w:lang w:val="en-GB"/>
        </w:rPr>
        <w:t>which are</w:t>
      </w:r>
      <w:r w:rsidRPr="00237CF8">
        <w:rPr>
          <w:rFonts w:ascii="Arial" w:eastAsia="Calibri" w:hAnsi="Arial" w:cs="Arial"/>
          <w:iCs/>
          <w:sz w:val="20"/>
          <w:szCs w:val="20"/>
          <w:lang w:val="en-GB"/>
        </w:rPr>
        <w:t xml:space="preserve"> shown in figure 2</w:t>
      </w:r>
      <w:r w:rsidR="0073522A">
        <w:rPr>
          <w:rFonts w:ascii="Arial" w:eastAsia="Calibri" w:hAnsi="Arial" w:cs="Arial"/>
          <w:iCs/>
          <w:sz w:val="20"/>
          <w:szCs w:val="20"/>
          <w:lang w:val="en-GB"/>
        </w:rPr>
        <w:t>.</w:t>
      </w:r>
    </w:p>
    <w:p w14:paraId="78EA46BA" w14:textId="77777777" w:rsidR="00C91D4C" w:rsidRPr="00237CF8" w:rsidRDefault="00C91D4C" w:rsidP="00E807B6">
      <w:pPr>
        <w:spacing w:line="240" w:lineRule="auto"/>
        <w:contextualSpacing/>
        <w:jc w:val="both"/>
        <w:rPr>
          <w:rFonts w:ascii="Arial" w:eastAsia="Calibri" w:hAnsi="Arial" w:cs="Arial"/>
          <w:iCs/>
          <w:sz w:val="20"/>
          <w:szCs w:val="20"/>
          <w:lang w:val="en-GB"/>
        </w:rPr>
      </w:pPr>
    </w:p>
    <w:p w14:paraId="4EA839C4" w14:textId="77777777" w:rsidR="00C91D4C" w:rsidRPr="00237CF8" w:rsidRDefault="00C91D4C" w:rsidP="00E807B6">
      <w:pPr>
        <w:spacing w:line="240" w:lineRule="auto"/>
        <w:contextualSpacing/>
        <w:jc w:val="both"/>
        <w:rPr>
          <w:rFonts w:ascii="Arial" w:eastAsia="Calibri" w:hAnsi="Arial" w:cs="Arial"/>
          <w:sz w:val="20"/>
          <w:szCs w:val="20"/>
          <w:lang w:val="en-GB"/>
        </w:rPr>
      </w:pPr>
    </w:p>
    <w:p w14:paraId="26BCF922" w14:textId="77777777" w:rsidR="00C91D4C" w:rsidRPr="00237CF8" w:rsidRDefault="00C91D4C" w:rsidP="00E807B6">
      <w:pPr>
        <w:spacing w:line="240" w:lineRule="auto"/>
        <w:contextualSpacing/>
        <w:jc w:val="both"/>
        <w:rPr>
          <w:rFonts w:ascii="Arial" w:hAnsi="Arial" w:cs="Arial"/>
          <w:sz w:val="20"/>
          <w:szCs w:val="20"/>
        </w:rPr>
      </w:pPr>
    </w:p>
    <w:p w14:paraId="3AAE5A87" w14:textId="77777777" w:rsidR="00C91D4C" w:rsidRPr="00237CF8" w:rsidRDefault="00C91D4C" w:rsidP="00E807B6">
      <w:pPr>
        <w:spacing w:line="240" w:lineRule="auto"/>
        <w:contextualSpacing/>
        <w:jc w:val="both"/>
        <w:rPr>
          <w:rFonts w:ascii="Arial" w:hAnsi="Arial" w:cs="Arial"/>
          <w:b/>
          <w:bCs/>
          <w:sz w:val="20"/>
          <w:szCs w:val="20"/>
          <w:lang w:val="en-GB"/>
        </w:rPr>
      </w:pPr>
      <w:bookmarkStart w:id="30" w:name="_Toc196381544"/>
    </w:p>
    <w:bookmarkEnd w:id="30"/>
    <w:p w14:paraId="4DD3CA54" w14:textId="77777777" w:rsidR="00C91D4C" w:rsidRPr="00237CF8" w:rsidRDefault="008C2E22" w:rsidP="00E807B6">
      <w:pPr>
        <w:spacing w:line="240" w:lineRule="auto"/>
        <w:contextualSpacing/>
        <w:jc w:val="both"/>
        <w:rPr>
          <w:rFonts w:ascii="Arial" w:hAnsi="Arial" w:cs="Arial"/>
          <w:sz w:val="20"/>
          <w:szCs w:val="20"/>
        </w:rPr>
      </w:pPr>
      <w:r w:rsidRPr="00237CF8">
        <w:rPr>
          <w:rFonts w:ascii="Arial" w:hAnsi="Arial" w:cs="Arial"/>
          <w:noProof/>
          <w:sz w:val="20"/>
          <w:szCs w:val="20"/>
        </w:rPr>
        <w:drawing>
          <wp:inline distT="0" distB="0" distL="0" distR="0" wp14:anchorId="0F735FA0" wp14:editId="590AFDF5">
            <wp:extent cx="5238750" cy="6896100"/>
            <wp:effectExtent l="19050" t="19050" r="19050" b="19050"/>
            <wp:docPr id="1030" name="Image1"/>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1">
                    <a:blip r:embed="rId11" cstate="print">
                      <a:extLst>
                        <a:ext uri="{28A0092B-C50C-407E-A947-70E740481C1C}">
                          <a14:useLocalDpi xmlns:a14="http://schemas.microsoft.com/office/drawing/2010/main" val="0"/>
                        </a:ext>
                      </a:extLst>
                    </a:blip>
                    <a:srcRect/>
                    <a:stretch>
                      <a:fillRect/>
                    </a:stretch>
                  </pic:blipFill>
                  <pic:spPr>
                    <a:xfrm>
                      <a:off x="0" y="0"/>
                      <a:ext cx="5238750" cy="6896100"/>
                    </a:xfrm>
                    <a:prstGeom prst="rect">
                      <a:avLst/>
                    </a:prstGeom>
                    <a:ln>
                      <a:solidFill>
                        <a:schemeClr val="accent1"/>
                      </a:solidFill>
                    </a:ln>
                  </pic:spPr>
                </pic:pic>
              </a:graphicData>
            </a:graphic>
          </wp:inline>
        </w:drawing>
      </w:r>
      <w:r w:rsidRPr="00237CF8">
        <w:rPr>
          <w:rFonts w:ascii="Arial" w:hAnsi="Arial" w:cs="Arial"/>
          <w:sz w:val="20"/>
          <w:szCs w:val="20"/>
        </w:rPr>
        <w:t xml:space="preserve"> </w:t>
      </w:r>
    </w:p>
    <w:p w14:paraId="5105D7D3" w14:textId="77777777" w:rsidR="00C91D4C" w:rsidRPr="00237CF8" w:rsidRDefault="00C91D4C" w:rsidP="00E807B6">
      <w:pPr>
        <w:spacing w:line="240" w:lineRule="auto"/>
        <w:contextualSpacing/>
        <w:jc w:val="both"/>
        <w:rPr>
          <w:rFonts w:ascii="Arial" w:hAnsi="Arial" w:cs="Arial"/>
          <w:sz w:val="20"/>
          <w:szCs w:val="20"/>
        </w:rPr>
      </w:pPr>
    </w:p>
    <w:p w14:paraId="6835954A" w14:textId="296FB1FF" w:rsidR="00C91D4C" w:rsidRDefault="008C2E22" w:rsidP="00E807B6">
      <w:pPr>
        <w:spacing w:line="240" w:lineRule="auto"/>
        <w:contextualSpacing/>
        <w:jc w:val="both"/>
        <w:rPr>
          <w:rFonts w:ascii="Times New Roman" w:eastAsia="Times New Roman" w:hAnsi="Times New Roman" w:cs="Times New Roman"/>
          <w:i/>
          <w:iCs/>
          <w:color w:val="1F497D"/>
          <w:sz w:val="18"/>
          <w:szCs w:val="18"/>
          <w:lang w:eastAsia="en-ZW"/>
        </w:rPr>
      </w:pPr>
      <w:r w:rsidRPr="0073522A">
        <w:rPr>
          <w:rFonts w:ascii="Times New Roman" w:eastAsia="Times New Roman" w:hAnsi="Times New Roman" w:cs="Times New Roman"/>
          <w:i/>
          <w:iCs/>
          <w:color w:val="1F497D"/>
          <w:sz w:val="18"/>
          <w:szCs w:val="18"/>
          <w:lang w:eastAsia="en-ZW"/>
        </w:rPr>
        <w:t xml:space="preserve">Figure 2 </w:t>
      </w:r>
      <w:r w:rsidR="00F47EC0">
        <w:rPr>
          <w:rFonts w:ascii="Times New Roman" w:eastAsia="Times New Roman" w:hAnsi="Times New Roman" w:cs="Times New Roman"/>
          <w:i/>
          <w:iCs/>
          <w:color w:val="1F497D"/>
          <w:sz w:val="18"/>
          <w:szCs w:val="18"/>
          <w:lang w:eastAsia="en-ZW"/>
        </w:rPr>
        <w:t>P</w:t>
      </w:r>
      <w:r w:rsidRPr="0073522A">
        <w:rPr>
          <w:rFonts w:ascii="Times New Roman" w:eastAsia="Times New Roman" w:hAnsi="Times New Roman" w:cs="Times New Roman"/>
          <w:i/>
          <w:iCs/>
          <w:color w:val="1F497D"/>
          <w:sz w:val="18"/>
          <w:szCs w:val="18"/>
          <w:lang w:eastAsia="en-ZW"/>
        </w:rPr>
        <w:t xml:space="preserve">revalent </w:t>
      </w:r>
      <w:r w:rsidR="00F47EC0" w:rsidRPr="0073522A">
        <w:rPr>
          <w:rFonts w:ascii="Times New Roman" w:eastAsia="Times New Roman" w:hAnsi="Times New Roman" w:cs="Times New Roman"/>
          <w:i/>
          <w:iCs/>
          <w:color w:val="1F497D"/>
          <w:sz w:val="18"/>
          <w:szCs w:val="18"/>
          <w:lang w:eastAsia="en-ZW"/>
        </w:rPr>
        <w:t>p</w:t>
      </w:r>
      <w:r w:rsidR="00F47EC0">
        <w:rPr>
          <w:rFonts w:ascii="Times New Roman" w:eastAsia="Times New Roman" w:hAnsi="Times New Roman" w:cs="Times New Roman"/>
          <w:i/>
          <w:iCs/>
          <w:color w:val="1F497D"/>
          <w:sz w:val="18"/>
          <w:szCs w:val="18"/>
          <w:lang w:eastAsia="en-ZW"/>
        </w:rPr>
        <w:t xml:space="preserve">olyphenolics </w:t>
      </w:r>
      <w:r w:rsidRPr="0073522A">
        <w:rPr>
          <w:rFonts w:ascii="Times New Roman" w:eastAsia="Times New Roman" w:hAnsi="Times New Roman" w:cs="Times New Roman"/>
          <w:i/>
          <w:iCs/>
          <w:color w:val="1F497D"/>
          <w:sz w:val="18"/>
          <w:szCs w:val="18"/>
          <w:lang w:eastAsia="en-ZW"/>
        </w:rPr>
        <w:t xml:space="preserve"> found in V. nilotica leaf extracts.</w:t>
      </w:r>
    </w:p>
    <w:p w14:paraId="4E2C8444" w14:textId="77777777" w:rsidR="00D476C0" w:rsidRDefault="00D476C0" w:rsidP="00E807B6">
      <w:pPr>
        <w:spacing w:line="240" w:lineRule="auto"/>
        <w:contextualSpacing/>
        <w:jc w:val="both"/>
        <w:rPr>
          <w:rFonts w:ascii="Times New Roman" w:eastAsia="Times New Roman" w:hAnsi="Times New Roman" w:cs="Times New Roman"/>
          <w:i/>
          <w:iCs/>
          <w:color w:val="1F497D"/>
          <w:sz w:val="18"/>
          <w:szCs w:val="18"/>
          <w:lang w:eastAsia="en-ZW"/>
        </w:rPr>
      </w:pPr>
    </w:p>
    <w:p w14:paraId="18051070" w14:textId="77777777" w:rsidR="00D476C0" w:rsidRDefault="00D476C0" w:rsidP="00E807B6">
      <w:pPr>
        <w:spacing w:line="240" w:lineRule="auto"/>
        <w:contextualSpacing/>
        <w:jc w:val="both"/>
        <w:rPr>
          <w:rFonts w:ascii="Times New Roman" w:eastAsia="Times New Roman" w:hAnsi="Times New Roman" w:cs="Times New Roman"/>
          <w:i/>
          <w:iCs/>
          <w:color w:val="1F497D"/>
          <w:sz w:val="18"/>
          <w:szCs w:val="18"/>
          <w:lang w:eastAsia="en-ZW"/>
        </w:rPr>
      </w:pPr>
    </w:p>
    <w:p w14:paraId="610B759F" w14:textId="77777777" w:rsidR="00D476C0" w:rsidRDefault="00D476C0" w:rsidP="00E807B6">
      <w:pPr>
        <w:spacing w:line="240" w:lineRule="auto"/>
        <w:contextualSpacing/>
        <w:jc w:val="both"/>
        <w:rPr>
          <w:rFonts w:ascii="Times New Roman" w:eastAsia="Times New Roman" w:hAnsi="Times New Roman" w:cs="Times New Roman"/>
          <w:i/>
          <w:iCs/>
          <w:color w:val="1F497D"/>
          <w:sz w:val="18"/>
          <w:szCs w:val="18"/>
          <w:lang w:eastAsia="en-ZW"/>
        </w:rPr>
      </w:pPr>
    </w:p>
    <w:p w14:paraId="5F530FC6" w14:textId="77777777" w:rsidR="00D476C0" w:rsidRDefault="00D476C0" w:rsidP="00E807B6">
      <w:pPr>
        <w:spacing w:line="240" w:lineRule="auto"/>
        <w:contextualSpacing/>
        <w:jc w:val="both"/>
        <w:rPr>
          <w:rFonts w:ascii="Times New Roman" w:eastAsia="Times New Roman" w:hAnsi="Times New Roman" w:cs="Times New Roman"/>
          <w:i/>
          <w:iCs/>
          <w:color w:val="1F497D"/>
          <w:sz w:val="18"/>
          <w:szCs w:val="18"/>
          <w:lang w:eastAsia="en-ZW"/>
        </w:rPr>
      </w:pPr>
    </w:p>
    <w:p w14:paraId="27EEA959" w14:textId="77777777" w:rsidR="00D476C0" w:rsidRDefault="00D476C0" w:rsidP="00E807B6">
      <w:pPr>
        <w:spacing w:line="240" w:lineRule="auto"/>
        <w:contextualSpacing/>
        <w:jc w:val="both"/>
        <w:rPr>
          <w:rFonts w:ascii="Times New Roman" w:eastAsia="Times New Roman" w:hAnsi="Times New Roman" w:cs="Times New Roman"/>
          <w:i/>
          <w:iCs/>
          <w:color w:val="1F497D"/>
          <w:sz w:val="18"/>
          <w:szCs w:val="18"/>
          <w:lang w:eastAsia="en-ZW"/>
        </w:rPr>
      </w:pPr>
    </w:p>
    <w:p w14:paraId="7812CADB" w14:textId="77777777" w:rsidR="00D476C0" w:rsidRDefault="00D476C0" w:rsidP="00E807B6">
      <w:pPr>
        <w:spacing w:line="240" w:lineRule="auto"/>
        <w:contextualSpacing/>
        <w:jc w:val="both"/>
        <w:rPr>
          <w:rFonts w:ascii="Times New Roman" w:eastAsia="Times New Roman" w:hAnsi="Times New Roman" w:cs="Times New Roman"/>
          <w:i/>
          <w:iCs/>
          <w:color w:val="1F497D"/>
          <w:sz w:val="18"/>
          <w:szCs w:val="18"/>
          <w:lang w:eastAsia="en-ZW"/>
        </w:rPr>
      </w:pPr>
    </w:p>
    <w:p w14:paraId="223382F9" w14:textId="77777777" w:rsidR="00D476C0" w:rsidRDefault="00D476C0" w:rsidP="00E807B6">
      <w:pPr>
        <w:spacing w:line="240" w:lineRule="auto"/>
        <w:contextualSpacing/>
        <w:jc w:val="both"/>
        <w:rPr>
          <w:rFonts w:ascii="Times New Roman" w:eastAsia="Times New Roman" w:hAnsi="Times New Roman" w:cs="Times New Roman"/>
          <w:i/>
          <w:iCs/>
          <w:color w:val="1F497D"/>
          <w:sz w:val="18"/>
          <w:szCs w:val="18"/>
          <w:lang w:eastAsia="en-ZW"/>
        </w:rPr>
      </w:pPr>
    </w:p>
    <w:p w14:paraId="4B0A4B09" w14:textId="77777777" w:rsidR="00D476C0" w:rsidRDefault="00D476C0" w:rsidP="00E807B6">
      <w:pPr>
        <w:spacing w:line="240" w:lineRule="auto"/>
        <w:contextualSpacing/>
        <w:jc w:val="both"/>
        <w:rPr>
          <w:rFonts w:ascii="Times New Roman" w:eastAsia="Times New Roman" w:hAnsi="Times New Roman" w:cs="Times New Roman"/>
          <w:i/>
          <w:iCs/>
          <w:color w:val="1F497D"/>
          <w:sz w:val="18"/>
          <w:szCs w:val="18"/>
          <w:lang w:eastAsia="en-ZW"/>
        </w:rPr>
      </w:pPr>
    </w:p>
    <w:p w14:paraId="0464CC2B" w14:textId="77777777" w:rsidR="00D476C0" w:rsidRDefault="00D476C0" w:rsidP="00E807B6">
      <w:pPr>
        <w:spacing w:line="240" w:lineRule="auto"/>
        <w:contextualSpacing/>
        <w:jc w:val="both"/>
        <w:rPr>
          <w:rFonts w:ascii="Times New Roman" w:eastAsia="Times New Roman" w:hAnsi="Times New Roman" w:cs="Times New Roman"/>
          <w:i/>
          <w:iCs/>
          <w:color w:val="1F497D"/>
          <w:sz w:val="18"/>
          <w:szCs w:val="18"/>
          <w:lang w:eastAsia="en-ZW"/>
        </w:rPr>
      </w:pPr>
    </w:p>
    <w:p w14:paraId="57EA68C8" w14:textId="77777777" w:rsidR="00D476C0" w:rsidRDefault="00D476C0" w:rsidP="00E807B6">
      <w:pPr>
        <w:spacing w:line="240" w:lineRule="auto"/>
        <w:contextualSpacing/>
        <w:jc w:val="both"/>
        <w:rPr>
          <w:rFonts w:ascii="Times New Roman" w:eastAsia="Times New Roman" w:hAnsi="Times New Roman" w:cs="Times New Roman"/>
          <w:i/>
          <w:iCs/>
          <w:color w:val="1F497D"/>
          <w:sz w:val="18"/>
          <w:szCs w:val="18"/>
          <w:lang w:eastAsia="en-ZW"/>
        </w:rPr>
      </w:pPr>
    </w:p>
    <w:p w14:paraId="4747340A" w14:textId="77777777" w:rsidR="00D476C0" w:rsidRDefault="00D476C0" w:rsidP="00E807B6">
      <w:pPr>
        <w:spacing w:line="240" w:lineRule="auto"/>
        <w:contextualSpacing/>
        <w:jc w:val="both"/>
        <w:rPr>
          <w:rFonts w:ascii="Times New Roman" w:eastAsia="Times New Roman" w:hAnsi="Times New Roman" w:cs="Times New Roman"/>
          <w:i/>
          <w:iCs/>
          <w:color w:val="1F497D"/>
          <w:sz w:val="18"/>
          <w:szCs w:val="18"/>
          <w:lang w:eastAsia="en-ZW"/>
        </w:rPr>
      </w:pPr>
    </w:p>
    <w:p w14:paraId="64D15CE3" w14:textId="753D889C" w:rsidR="00D476C0" w:rsidRPr="0073522A" w:rsidRDefault="00D476C0" w:rsidP="00D476C0">
      <w:pPr>
        <w:pStyle w:val="Heading2"/>
        <w:rPr>
          <w:lang w:eastAsia="en-ZW"/>
        </w:rPr>
      </w:pPr>
      <w:r>
        <w:rPr>
          <w:lang w:eastAsia="en-ZW"/>
        </w:rPr>
        <w:t xml:space="preserve">Anti-inflammatory activity </w:t>
      </w:r>
    </w:p>
    <w:p w14:paraId="492E89BC" w14:textId="77777777" w:rsidR="00F47EC0" w:rsidRPr="00DE475E" w:rsidRDefault="00F47EC0" w:rsidP="00F47EC0">
      <w:pPr>
        <w:spacing w:line="240" w:lineRule="auto"/>
        <w:contextualSpacing/>
        <w:jc w:val="both"/>
        <w:rPr>
          <w:rFonts w:ascii="Arial" w:hAnsi="Arial" w:cs="Arial"/>
          <w:sz w:val="20"/>
          <w:szCs w:val="20"/>
        </w:rPr>
      </w:pPr>
      <w:r w:rsidRPr="00DE475E">
        <w:rPr>
          <w:rFonts w:ascii="Arial" w:hAnsi="Arial" w:cs="Arial"/>
          <w:sz w:val="20"/>
          <w:szCs w:val="20"/>
        </w:rPr>
        <w:t xml:space="preserve">The egg albumin denaturation assay demonstrated concentration-dependent anti-inflammatory activity for both V. nilotica extract and diclofenac. The control (0 mg/mL) exhibited an absorbance of 0.85 ± 0.02, indicating 0% inhibition. Diclofenac demonstrated dose-dependent inhibition, ranging from 15.3 ± 3.5% at 1 mg/mL to 78.8 ± 1.0% at 100 mg/mL. Similarly, </w:t>
      </w:r>
      <w:r w:rsidRPr="0073522A">
        <w:rPr>
          <w:rFonts w:ascii="Arial" w:hAnsi="Arial" w:cs="Arial"/>
          <w:i/>
          <w:iCs/>
          <w:sz w:val="20"/>
          <w:szCs w:val="20"/>
        </w:rPr>
        <w:t>V. nilotica</w:t>
      </w:r>
      <w:r w:rsidRPr="00DE475E">
        <w:rPr>
          <w:rFonts w:ascii="Arial" w:hAnsi="Arial" w:cs="Arial"/>
          <w:sz w:val="20"/>
          <w:szCs w:val="20"/>
        </w:rPr>
        <w:t xml:space="preserve"> lyophilized extract exhibited concentration-dependent anti-inflammatory activity, with inhibition increasing from 3.5 ± 3.5% at 0.1 mg/mL to 67.1 ± 1.5% at 100 mg/mL as shown in figure</w:t>
      </w:r>
      <w:r>
        <w:rPr>
          <w:rFonts w:ascii="Arial" w:hAnsi="Arial" w:cs="Arial"/>
          <w:sz w:val="20"/>
          <w:szCs w:val="20"/>
        </w:rPr>
        <w:t xml:space="preserve"> 3 above</w:t>
      </w:r>
      <w:r w:rsidRPr="00DE475E">
        <w:rPr>
          <w:rFonts w:ascii="Arial" w:hAnsi="Arial" w:cs="Arial"/>
          <w:sz w:val="20"/>
          <w:szCs w:val="20"/>
        </w:rPr>
        <w:t>. The absorbance values for both test compounds decreased progressively with increasing concentrations, confirming their potential to inhibit protein denaturation.</w:t>
      </w:r>
    </w:p>
    <w:p w14:paraId="1966D075" w14:textId="28AF052C" w:rsidR="00F47EC0" w:rsidRPr="00DE475E" w:rsidRDefault="00F47EC0" w:rsidP="00F47EC0">
      <w:pPr>
        <w:spacing w:line="240" w:lineRule="auto"/>
        <w:contextualSpacing/>
        <w:jc w:val="both"/>
        <w:rPr>
          <w:rFonts w:ascii="Arial" w:hAnsi="Arial" w:cs="Arial"/>
          <w:sz w:val="20"/>
          <w:szCs w:val="20"/>
        </w:rPr>
      </w:pPr>
      <w:r>
        <w:rPr>
          <w:rFonts w:ascii="Arial" w:hAnsi="Arial" w:cs="Arial"/>
          <w:sz w:val="20"/>
          <w:szCs w:val="20"/>
        </w:rPr>
        <w:t xml:space="preserve">Figure 3 </w:t>
      </w:r>
      <w:r w:rsidRPr="00DE475E">
        <w:rPr>
          <w:rFonts w:ascii="Arial" w:hAnsi="Arial" w:cs="Arial"/>
          <w:sz w:val="20"/>
          <w:szCs w:val="20"/>
        </w:rPr>
        <w:t xml:space="preserve">compares the absorbance of lyophilized </w:t>
      </w:r>
      <w:r w:rsidRPr="0073522A">
        <w:rPr>
          <w:rFonts w:ascii="Arial" w:hAnsi="Arial" w:cs="Arial"/>
          <w:i/>
          <w:iCs/>
          <w:sz w:val="20"/>
          <w:szCs w:val="20"/>
        </w:rPr>
        <w:t>V. nilotica</w:t>
      </w:r>
      <w:r w:rsidRPr="00DE475E">
        <w:rPr>
          <w:rFonts w:ascii="Arial" w:hAnsi="Arial" w:cs="Arial"/>
          <w:sz w:val="20"/>
          <w:szCs w:val="20"/>
        </w:rPr>
        <w:t xml:space="preserve"> leaf extract and Diclofenac at different concentrations, as well as the percentage inhibition for each. The anti-inflammatory potential of </w:t>
      </w:r>
      <w:r w:rsidRPr="00F47EC0">
        <w:rPr>
          <w:rFonts w:ascii="Arial" w:hAnsi="Arial" w:cs="Arial"/>
          <w:i/>
          <w:iCs/>
          <w:sz w:val="20"/>
          <w:szCs w:val="20"/>
        </w:rPr>
        <w:t>Vachellia nilotica</w:t>
      </w:r>
      <w:r w:rsidRPr="00DE475E">
        <w:rPr>
          <w:rFonts w:ascii="Arial" w:hAnsi="Arial" w:cs="Arial"/>
          <w:sz w:val="20"/>
          <w:szCs w:val="20"/>
        </w:rPr>
        <w:t xml:space="preserve"> lyophilized leaf extract was effectively demonstrated by the egg albumin denaturation assay, where diclofenac sodium served as the positive control. The concentration-dependent inhibition observed in this study coincides with previous research on medicinal plants possessing anti-inflammatory properties (26). The extract's maximum inhibition of 67.1% at 100 mg/mL, though lower than diclofenac's 78.8%, suggests clinically relevant bioactivity. The IC</w:t>
      </w:r>
      <w:r w:rsidRPr="00DE475E">
        <w:rPr>
          <w:rFonts w:ascii="Cambria Math" w:hAnsi="Cambria Math" w:cs="Cambria Math"/>
          <w:sz w:val="20"/>
          <w:szCs w:val="20"/>
        </w:rPr>
        <w:t>₅₀</w:t>
      </w:r>
      <w:r w:rsidRPr="00DE475E">
        <w:rPr>
          <w:rFonts w:ascii="Arial" w:hAnsi="Arial" w:cs="Arial"/>
          <w:sz w:val="20"/>
          <w:szCs w:val="20"/>
        </w:rPr>
        <w:t xml:space="preserve"> values (</w:t>
      </w:r>
      <w:r w:rsidRPr="00F47EC0">
        <w:rPr>
          <w:rFonts w:ascii="Arial" w:hAnsi="Arial" w:cs="Arial"/>
          <w:i/>
          <w:iCs/>
          <w:sz w:val="20"/>
          <w:szCs w:val="20"/>
        </w:rPr>
        <w:t>V. nilotica</w:t>
      </w:r>
      <w:r w:rsidRPr="00DE475E">
        <w:rPr>
          <w:rFonts w:ascii="Arial" w:hAnsi="Arial" w:cs="Arial"/>
          <w:sz w:val="20"/>
          <w:szCs w:val="20"/>
        </w:rPr>
        <w:t>: ~25 mg/mL; diclofenac: ~8 mg/mL) align with literature on plant-derived anti-inflammatory agents, where polyphenols and flavonoids likely stabilize protein denaturation</w:t>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ADDIN ZOTERO_ITEM CSL_CITATION {"citationID":"tLcFJvHU","properties":{"formattedCitation":"(35)","plainCitation":"(35)","noteIndex":0},"citationItems":[{"id":226,"uris":["http://zotero.org/users/local/iHdIrYxX/items/A2HU8YEE"],"itemData":{"id":226,"type":"article-journal","abstract":"Plants have been frequently used for centuries in the Southeast of Morocco to heal various diseases such as inflammatory disorders. In this investigation, total phenols and flavonoids contents were examined in stems and leaves of hydromethanolic extracts of three Apiaceae species, namely Parsley (Petroselinum crispum), Celery (Apium graveolens) and Coriander (Coriandrum sativum) along with their anti-inflammatory activity. Phenols amount and flavonoids level were measured by the Folin-Ciocalteu's reagent and Aluminium chloride solution, respectively. The anti-inflammatory potential was evaluated via nitric oxide (NO) scavenging potential, inhibition of protein denaturation and membrane stabilizing effect. Results revealed that parsley, which is the richest in polyphenols (21.63 mg GAE/ g DW) and flavonoids (15.73 mg RE/g DW) contents, exhibited the highest anti-inflammatory activity based on protein denaturation inhibition assay (IC50 = 118.92 µg/mL), NO free radical scavenging potential (IC50 = 142.45 µg/mL) and membrane stabilizing effect (IC50 = 192.08 µg/mL). The strong correlation found between flavonoids and anti-inflammatory assays (R2 ≥ 0.915) suggests that flavonoids were the key providers of this anti-inflammatory effect. These findings could validate the traditional use of these plants to treat various inflammatory diseases.","container-title":"Scientific African","DOI":"10.1016/j.sciaf.2020.e00507","ISSN":"2468-2276","journalAbbreviation":"Scientific African","page":"e00507","source":"ScienceDirect","title":"Assessment of total polyphenols, flavonoids and anti-inflammatory potential of three &lt;i&gt;Apiaceae&lt;/i&gt; species grown in the Southeast of Morocco","URL":"https://www.sciencedirect.com/science/article/pii/S2468227620302453","volume":"9","author":[{"family":"Derouich","given":"Mgal"},{"family":"Bouhlali","given":"Eimad Dine Tariq"},{"family":"Hmidani","given":"Abdelbasset"},{"family":"Bammou","given":"Mohammed"},{"family":"Bourkhis","given":"Bouchra"},{"family":"Sellam","given":"Khalid"},{"family":"Alem","given":"Chakib"}],"accessed":{"date-parts":[["2025",7,2]]},"issued":{"date-parts":[["2020",9,1]]}}}],"schema":"https://github.com/citation-style-language/schema/raw/master/csl-citation.json"} </w:instrText>
      </w:r>
      <w:r>
        <w:rPr>
          <w:rFonts w:ascii="Arial" w:hAnsi="Arial" w:cs="Arial"/>
          <w:sz w:val="20"/>
          <w:szCs w:val="20"/>
        </w:rPr>
        <w:fldChar w:fldCharType="separate"/>
      </w:r>
      <w:r w:rsidRPr="00B3623E">
        <w:rPr>
          <w:rFonts w:ascii="Arial" w:hAnsi="Arial" w:cs="Arial"/>
          <w:sz w:val="20"/>
        </w:rPr>
        <w:t>(35)</w:t>
      </w:r>
      <w:r>
        <w:rPr>
          <w:rFonts w:ascii="Arial" w:hAnsi="Arial" w:cs="Arial"/>
          <w:sz w:val="20"/>
          <w:szCs w:val="20"/>
        </w:rPr>
        <w:fldChar w:fldCharType="end"/>
      </w:r>
      <w:r w:rsidRPr="00DE475E">
        <w:rPr>
          <w:rFonts w:ascii="Arial" w:hAnsi="Arial" w:cs="Arial"/>
          <w:sz w:val="20"/>
          <w:szCs w:val="20"/>
        </w:rPr>
        <w:t xml:space="preserve">. This finding supports traditional uses of </w:t>
      </w:r>
      <w:r w:rsidRPr="00F47EC0">
        <w:rPr>
          <w:rFonts w:ascii="Arial" w:hAnsi="Arial" w:cs="Arial"/>
          <w:i/>
          <w:iCs/>
          <w:sz w:val="20"/>
          <w:szCs w:val="20"/>
        </w:rPr>
        <w:t>V. nilotica</w:t>
      </w:r>
      <w:r w:rsidRPr="00DE475E">
        <w:rPr>
          <w:rFonts w:ascii="Arial" w:hAnsi="Arial" w:cs="Arial"/>
          <w:sz w:val="20"/>
          <w:szCs w:val="20"/>
        </w:rPr>
        <w:t xml:space="preserve"> in inflammatory conditions reported in ethnopharmacological studies</w:t>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ADDIN ZOTERO_ITEM CSL_CITATION {"citationID":"ofkh6kwN","properties":{"formattedCitation":"(36)","plainCitation":"(36)","noteIndex":0},"citationItems":[{"id":42,"uris":["http://zotero.org/users/local/iHdIrYxX/items/BUX6E7AE"],"itemData":{"id":42,"type":"article-journal","abstract":"For thousands of years, Vachellia nilotica has been widely used as an herbal medicine to treat some diseases and symptoms, including respiratory, gastrointestinal and urogenital ailments. The present study was adapted to document and assemble existing information about V. nilotica and its evidence-based ethnopharmacological activities, with brief reviews on the description, geographical distribution, ecology, medical uses and phytochemistry. A literature review and information up to 2024 was performed in various scientific databases, including PubMed, Science Direct and Google Scholar. The keywords were “Acacia nilotica”, “Botany”, “ecology”, “Traditional uses”, “Phytochemistry”, “Polyphenols”, “Molecular docking”, “Ethnopharmacological activities” and “toxicity”, among others. V. nilotica has a wide range of uses, with low toxicity, reported in different countries. It can be infused into oils or tea or incorporated into paste, poultice and biscuits, used as an emollient, antidiarrheal, astringent and as an antidote for bite poisons. Glucose and lipid-lowering, anti-inflammatory, analgesic, antipyretic, antioxidant, antihypertensive, antibacterial, antifungal, antiviral and anthelmintic activities are the most prominent. Over 150 chemical components have been identified from V. nilotica that could be associated with its potential actions. Quercetin, rutin, kaempferol, naringenin, catechin, epicatechin, gallic acid, ellagic acid, lupeol and niloticane are its main active constituents. From the research data, and despite the fact that human clinical trials and detailed methodological studies are scarce, V. nilotica has shown wide-ranging activities, though the most robust evidence is related to the treatment of microbial infections, diarrhea, wound and ulcer healing and for topical application. More pharmacological and toxicological studies are required to further elucidate the mechanisms of action, potential side effects, and optimal dosages for these treatments. Additionally, more clinical trials are needed to validate these traditional uses in human populations and to ensure the safety and efficacy of V. nilotica for these applications. This article offers an overview of therapeutic applications by utilizing traditional uses and recent findings on phytochemical studies, and clinical and pharmacological research.","container-title":"Nutrients","DOI":"10.3390/nu16244278","ISSN":"2072-6643","issue":"24","journalAbbreviation":"Nutrients","language":"en","license":"https://creativecommons.org/licenses/by/4.0/","page":"4278","source":"DOI.org (Crossref)","title":"The Acacia (Vachellia nilotica (L.) P.J.H. Hurter &amp; Mabb.): Traditional Uses and Recent Advances on Its Pharmacological Attributes and Potential Activities","title-short":"The Acacia (Vachellia nilotica (L.) P.J.H. Hurter &amp; Mabb.)","URL":"https://www.mdpi.com/2072-6643/16/24/4278","volume":"16","author":[{"family":"Hafez","given":"Lamiaa O."},{"family":"Brito-Casillas","given":"Yeray"},{"family":"Abdelmageed","given":"Noha"},{"family":"Alemán-Cabrera","given":"Isabel M."},{"family":"Morad","given":"Samy A.F."},{"family":"Abdel-Raheem","given":"Mahmoud H."},{"family":"Wägner","given":"Ana M."}],"accessed":{"date-parts":[["2025",4,27]]},"issued":{"date-parts":[["2024",12,11]]}}}],"schema":"https://github.com/citation-style-language/schema/raw/master/csl-citation.json"} </w:instrText>
      </w:r>
      <w:r>
        <w:rPr>
          <w:rFonts w:ascii="Arial" w:hAnsi="Arial" w:cs="Arial"/>
          <w:sz w:val="20"/>
          <w:szCs w:val="20"/>
        </w:rPr>
        <w:fldChar w:fldCharType="separate"/>
      </w:r>
      <w:r w:rsidRPr="00B3623E">
        <w:rPr>
          <w:rFonts w:ascii="Arial" w:hAnsi="Arial" w:cs="Arial"/>
          <w:sz w:val="20"/>
        </w:rPr>
        <w:t>(36)</w:t>
      </w:r>
      <w:r>
        <w:rPr>
          <w:rFonts w:ascii="Arial" w:hAnsi="Arial" w:cs="Arial"/>
          <w:sz w:val="20"/>
          <w:szCs w:val="20"/>
        </w:rPr>
        <w:fldChar w:fldCharType="end"/>
      </w:r>
      <w:r w:rsidRPr="00DE475E">
        <w:rPr>
          <w:rFonts w:ascii="Arial" w:hAnsi="Arial" w:cs="Arial"/>
          <w:sz w:val="20"/>
          <w:szCs w:val="20"/>
        </w:rPr>
        <w:t xml:space="preserve">.The results shown in </w:t>
      </w:r>
      <w:r>
        <w:rPr>
          <w:rFonts w:ascii="Arial" w:hAnsi="Arial" w:cs="Arial"/>
          <w:sz w:val="20"/>
          <w:szCs w:val="20"/>
        </w:rPr>
        <w:t>figure 3</w:t>
      </w:r>
      <w:r w:rsidRPr="00DE475E">
        <w:rPr>
          <w:rFonts w:ascii="Arial" w:hAnsi="Arial" w:cs="Arial"/>
          <w:sz w:val="20"/>
          <w:szCs w:val="20"/>
        </w:rPr>
        <w:t xml:space="preserve"> validate </w:t>
      </w:r>
      <w:r w:rsidRPr="00D476C0">
        <w:rPr>
          <w:rFonts w:ascii="Arial" w:hAnsi="Arial" w:cs="Arial"/>
          <w:i/>
          <w:iCs/>
          <w:sz w:val="20"/>
          <w:szCs w:val="20"/>
        </w:rPr>
        <w:t xml:space="preserve">V. </w:t>
      </w:r>
      <w:proofErr w:type="spellStart"/>
      <w:r w:rsidRPr="00D476C0">
        <w:rPr>
          <w:rFonts w:ascii="Arial" w:hAnsi="Arial" w:cs="Arial"/>
          <w:i/>
          <w:iCs/>
          <w:sz w:val="20"/>
          <w:szCs w:val="20"/>
        </w:rPr>
        <w:t>nilotica's</w:t>
      </w:r>
      <w:proofErr w:type="spellEnd"/>
      <w:r w:rsidRPr="00DE475E">
        <w:rPr>
          <w:rFonts w:ascii="Arial" w:hAnsi="Arial" w:cs="Arial"/>
          <w:sz w:val="20"/>
          <w:szCs w:val="20"/>
        </w:rPr>
        <w:t xml:space="preserve"> traditional use in inflammation management, warranting further isolation of active compounds.   </w:t>
      </w:r>
    </w:p>
    <w:p w14:paraId="1857E635" w14:textId="77777777" w:rsidR="00F47EC0" w:rsidRPr="00DE475E" w:rsidRDefault="00F47EC0" w:rsidP="00F47EC0">
      <w:pPr>
        <w:spacing w:line="240" w:lineRule="auto"/>
        <w:contextualSpacing/>
        <w:jc w:val="both"/>
        <w:rPr>
          <w:rFonts w:ascii="Arial" w:hAnsi="Arial" w:cs="Arial"/>
          <w:sz w:val="20"/>
          <w:szCs w:val="20"/>
        </w:rPr>
      </w:pPr>
      <w:r w:rsidRPr="00DE475E">
        <w:rPr>
          <w:rFonts w:ascii="Arial" w:hAnsi="Arial" w:cs="Arial"/>
          <w:sz w:val="20"/>
          <w:szCs w:val="20"/>
        </w:rPr>
        <w:t xml:space="preserve">The phytochemical profile of </w:t>
      </w:r>
      <w:r w:rsidRPr="00F47EC0">
        <w:rPr>
          <w:rFonts w:ascii="Arial" w:hAnsi="Arial" w:cs="Arial"/>
          <w:i/>
          <w:iCs/>
          <w:sz w:val="20"/>
          <w:szCs w:val="20"/>
        </w:rPr>
        <w:t>V. nilotica</w:t>
      </w:r>
      <w:r w:rsidRPr="00DE475E">
        <w:rPr>
          <w:rFonts w:ascii="Arial" w:hAnsi="Arial" w:cs="Arial"/>
          <w:sz w:val="20"/>
          <w:szCs w:val="20"/>
        </w:rPr>
        <w:t xml:space="preserve"> provides a basis for its anti-inflammatory effects. The high flavonoid and phenolic content correspond with established research demonstrating these compounds' ability to stabilize lysosomal membranes and inhibit inflammatory mediation </w:t>
      </w:r>
      <w:r>
        <w:rPr>
          <w:rFonts w:ascii="Arial" w:hAnsi="Arial" w:cs="Arial"/>
          <w:sz w:val="20"/>
          <w:szCs w:val="20"/>
        </w:rPr>
        <w:fldChar w:fldCharType="begin"/>
      </w:r>
      <w:r>
        <w:rPr>
          <w:rFonts w:ascii="Arial" w:hAnsi="Arial" w:cs="Arial"/>
          <w:sz w:val="20"/>
          <w:szCs w:val="20"/>
        </w:rPr>
        <w:instrText xml:space="preserve"> ADDIN ZOTERO_ITEM CSL_CITATION {"citationID":"S4B3PzUx","properties":{"formattedCitation":"(37)","plainCitation":"(37)","noteIndex":0},"citationItems":[{"id":234,"uris":["http://zotero.org/users/local/iHdIrYxX/items/IDBSVZSM"],"itemData":{"id":234,"type":"article-journal","abstract":"Phenolic compounds and flavonoids are potential substitutes for bioactive agents in pharmaceutical and medicinal sections to promote human health and prevent and cure different diseases. The most common flavonoids found in nature are anthocyanins, flavones, flavanones, flavonols, flavanonols, isoflavones, and other sub-classes. The impacts of plant flavonoids and other phenolics on human health promoting and diseases curing and preventing are antioxidant effects, antibacterial impacts, cardioprotective effects, anticancer impacts, immune system promoting, anti-inflammatory effects, and skin protective effects from UV radiation. This work aims to provide an overview of phenolic compounds and flavonoids as potential and important sources of pharmaceutical and medical application according to recently published studies, as well as some interesting directions for future research. The keyword searches for flavonoids, phenolics, isoflavones, tannins, coumarins, lignans, quinones, xanthones, curcuminoids, stilbenes, cucurmin, phenylethanoids, and secoiridoids medicinal plant were performed by using Web of Science, Scopus, Google scholar, and PubMed. Phenolic acids contain a carboxylic acid group in addition to the basic phenolic structure and are mainly divided into hydroxybenzoic and hydroxycinnamic acids. Hydroxybenzoic acids are based on a C6-C1 skeleton and are often found bound to small organic acids, glycosyl moieties, or cell structural components. Common hydroxybenzoic acids include gallic, syringic, protocatechuic, p-hydroxybenzoic, vanillic, gentistic, and salicylic acids. Hydroxycinnamic acids are based on a C6-C3 skeleton and are also often bound to other molecules such as quinic acid and glucose. The main hydroxycinnamic acids are caffeic, p-coumaric, ferulic, and sinapic acids.","container-title":"Molecules","DOI":"10.3390/molecules28041845","ISSN":"1420-3049","issue":"4","journalAbbreviation":"Molecules","note":"PMID: 36838831\nPMCID: PMC9960276","page":"1845","source":"PubMed Central","title":"Therapeutic Potential of Phenolic Compounds in Medicinal Plants—Natural Health Products for Human Health","URL":"https://www.ncbi.nlm.nih.gov/pmc/articles/PMC9960276/","volume":"28","author":[{"family":"Sun","given":"Wenli"},{"family":"Shahrajabian","given":"Mohamad Hesam"}],"accessed":{"date-parts":[["2025",7,2]]},"issued":{"date-parts":[["2023",2,15]]}}}],"schema":"https://github.com/citation-style-language/schema/raw/master/csl-citation.json"} </w:instrText>
      </w:r>
      <w:r>
        <w:rPr>
          <w:rFonts w:ascii="Arial" w:hAnsi="Arial" w:cs="Arial"/>
          <w:sz w:val="20"/>
          <w:szCs w:val="20"/>
        </w:rPr>
        <w:fldChar w:fldCharType="separate"/>
      </w:r>
      <w:r w:rsidRPr="00B3623E">
        <w:rPr>
          <w:rFonts w:ascii="Arial" w:hAnsi="Arial" w:cs="Arial"/>
          <w:sz w:val="20"/>
        </w:rPr>
        <w:t>(37)</w:t>
      </w:r>
      <w:r>
        <w:rPr>
          <w:rFonts w:ascii="Arial" w:hAnsi="Arial" w:cs="Arial"/>
          <w:sz w:val="20"/>
          <w:szCs w:val="20"/>
        </w:rPr>
        <w:fldChar w:fldCharType="end"/>
      </w:r>
      <w:r w:rsidRPr="00DE475E">
        <w:rPr>
          <w:rFonts w:ascii="Arial" w:hAnsi="Arial" w:cs="Arial"/>
          <w:sz w:val="20"/>
          <w:szCs w:val="20"/>
        </w:rPr>
        <w:t>. Particularly, the presence of flavonoid glycosides may explain the extract's activity, as similar compounds have shown protein-stabilizing effects in previous anti-inflammatory assays</w:t>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ADDIN ZOTERO_ITEM CSL_CITATION {"citationID":"GTqjMY00","properties":{"formattedCitation":"(38)","plainCitation":"(38)","noteIndex":0},"citationItems":[{"id":239,"uris":["http://zotero.org/users/local/iHdIrYxX/items/FWEPXE3Z"],"itemData":{"id":239,"type":"article-journal","abstract":"Background and purpose\nFlavonoids are a group of phytochemicals found abundantly in various plants. Scientific evidence has revealed that flavonoids display potential biological activities, including their ability to alleviate inflammation. This activity is closely related to their action in blocking the inflammatory cascade and inhibiting the production of pro-inflammatory factors. However, as flavonoids typically have poor bioavailability and pharmacokinetic profile, it is quite challenging to establish these compounds as a drug. Nevertheless, progressive advancements in drug delivery systems, particularly in nanotechnology, have shown promising approaches to overcome such challenges.\n\nReview approach\nThis narrative review provides an overview of scientific knowledge about the mechanism of action of flavonoids in the mitigation of inflammatory reaction prior to delivering a comprehensive discussion about the opportunity of the nanotechnology-based delivery system in the preparation of the flavonoid-based drug.\n\nKey results\nVarious studies conducted in silico, in vitro, in vivo, and clinical trials have deciphered that the anti-inflammatory activities of flavonoids are closely linked to their ability to modulate various biochemical mediators, enzymes, and signalling pathways involved in the inflammatory processes. This compound could be encapsulated in nanotechnology platforms to increase the solubility, bioavailability, and pharmacological activity of flavonoids as well as reduce the toxic effects of these compounds.\n\nConclusion\nIn Summary, we conclude that flavonoids and their derivates have given promising results in their development as new anti-inflammatory drug candidates, especially if they formulate in nanoparticles.","container-title":"ADMET &amp; DMPK","DOI":"10.5599/admet.1918","ISSN":"1848-7718","issue":"3","journalAbbreviation":"ADMET DMPK","note":"PMID: 37829324\nPMCID: PMC10567070","page":"331-359","source":"PubMed Central","title":"Anti-inflammatory activities of flavonoid derivates","URL":"https://www.ncbi.nlm.nih.gov/pmc/articles/PMC10567070/","volume":"11","author":[{"family":"Ysrafil","given":"Ysrafil"},{"family":"Sapiun","given":"Zulfiayu"},{"family":"Slamet","given":"Nangsih Sulastri"},{"family":"Mohamad","given":"Fihrina"},{"family":"Hartati","given":"Hartati"},{"family":"Damiti","given":"Sukmawati A"},{"family":"Alexandra","given":"Francisca Diana"},{"family":"Rahman","given":"Sudarman"},{"family":"Masyeni","given":"Sri"},{"family":"Harapan","given":"Harapan"},{"family":"Mamada","given":"Sukamto S."},{"family":"Bin Emran","given":"Talha"},{"family":"Nainu","given":"Firzan"}],"accessed":{"date-parts":[["2025",7,2]]},"issued":{"date-parts":[["2023",7,26]]}}}],"schema":"https://github.com/citation-style-language/schema/raw/master/csl-citation.json"} </w:instrText>
      </w:r>
      <w:r>
        <w:rPr>
          <w:rFonts w:ascii="Arial" w:hAnsi="Arial" w:cs="Arial"/>
          <w:sz w:val="20"/>
          <w:szCs w:val="20"/>
        </w:rPr>
        <w:fldChar w:fldCharType="separate"/>
      </w:r>
      <w:r w:rsidRPr="00B3623E">
        <w:rPr>
          <w:rFonts w:ascii="Arial" w:hAnsi="Arial" w:cs="Arial"/>
          <w:sz w:val="20"/>
        </w:rPr>
        <w:t>(38)</w:t>
      </w:r>
      <w:r>
        <w:rPr>
          <w:rFonts w:ascii="Arial" w:hAnsi="Arial" w:cs="Arial"/>
          <w:sz w:val="20"/>
          <w:szCs w:val="20"/>
        </w:rPr>
        <w:fldChar w:fldCharType="end"/>
      </w:r>
      <w:r w:rsidRPr="00DE475E">
        <w:rPr>
          <w:rFonts w:ascii="Arial" w:hAnsi="Arial" w:cs="Arial"/>
          <w:sz w:val="20"/>
          <w:szCs w:val="20"/>
        </w:rPr>
        <w:t xml:space="preserve">. </w:t>
      </w:r>
    </w:p>
    <w:p w14:paraId="7F274096" w14:textId="77777777" w:rsidR="00F47EC0" w:rsidRPr="002C7AF1" w:rsidRDefault="00F47EC0" w:rsidP="00F47EC0">
      <w:pPr>
        <w:spacing w:line="240" w:lineRule="auto"/>
        <w:contextualSpacing/>
        <w:jc w:val="both"/>
        <w:rPr>
          <w:rFonts w:ascii="Arial" w:hAnsi="Arial" w:cs="Arial"/>
          <w:sz w:val="20"/>
          <w:szCs w:val="20"/>
        </w:rPr>
      </w:pPr>
      <w:r w:rsidRPr="00DE475E">
        <w:rPr>
          <w:rFonts w:ascii="Arial" w:hAnsi="Arial" w:cs="Arial"/>
          <w:sz w:val="20"/>
          <w:szCs w:val="20"/>
        </w:rPr>
        <w:t xml:space="preserve">In this study, </w:t>
      </w:r>
      <w:r w:rsidRPr="00F47EC0">
        <w:rPr>
          <w:rFonts w:ascii="Arial" w:hAnsi="Arial" w:cs="Arial"/>
          <w:i/>
          <w:iCs/>
          <w:sz w:val="20"/>
          <w:szCs w:val="20"/>
        </w:rPr>
        <w:t>V. nilotica</w:t>
      </w:r>
      <w:r w:rsidRPr="00DE475E">
        <w:rPr>
          <w:rFonts w:ascii="Arial" w:hAnsi="Arial" w:cs="Arial"/>
          <w:sz w:val="20"/>
          <w:szCs w:val="20"/>
        </w:rPr>
        <w:t xml:space="preserve"> demonstrated an IC50 OF about 25 mg/mL which qualifies it as a moderately potent herbal alternative, compared to other investigated medicinal plants in similar assays </w:t>
      </w:r>
      <w:r>
        <w:rPr>
          <w:rFonts w:ascii="Arial" w:hAnsi="Arial" w:cs="Arial"/>
          <w:sz w:val="20"/>
          <w:szCs w:val="20"/>
        </w:rPr>
        <w:fldChar w:fldCharType="begin"/>
      </w:r>
      <w:r>
        <w:rPr>
          <w:rFonts w:ascii="Arial" w:hAnsi="Arial" w:cs="Arial"/>
          <w:sz w:val="20"/>
          <w:szCs w:val="20"/>
        </w:rPr>
        <w:instrText xml:space="preserve"> ADDIN ZOTERO_ITEM CSL_CITATION {"citationID":"Bx26Mlob","properties":{"formattedCitation":"(39)","plainCitation":"(39)","noteIndex":0},"citationItems":[{"id":244,"uris":["http://zotero.org/users/local/iHdIrYxX/items/6WZPVDTN"],"itemData":{"id":244,"type":"article-journal","abstract":"The resistance of cancer and Helicobacter pylori to several drugs reflects a worldwide problem, and it has been the intention of numerous researchers to overcome this problem. Thus, in this study, Acacia nilotica fruits were subjected to HPLC analysis to detect their phenolic compounds and flavonoids. Moreover, A. nilotica‘s anti-H. pylori activity and its inhibitory activity against human hepatocellular carcinoma (HepG-2 cells) were reported. Various compounds with different concentrations, such as ferulic acid (5451.04 µg/mL), chlorogenic acid (4572.26 µg/mL), quercetin (3733.37 µg/mL), rutin (2393.13 µg/mL), gallic acid (2116.77 µg/mL), cinnamic acid (69.72 µg/mL), hesperetin (121.39 µg/mL) and methyl gallate (140.45 µg/mL), were detected. Strong anti-H. pylori activity at 31 mm was reported, compared to the positive control of the 21.67 mm inhibition zone. Moreover, the MIC and MBC were 7.8 µg/mL and 15.62 µg/mL, respectively, while the MIC and MBC of the positive control were 31.25 µg/mL. The concentration of MBC at 25%, 50% and 75% reflected H. pylori’s anti-biofilm activity of 70.38%, 82.29% and 94.22%, respectively. Good antioxidant properties of the A. nilotica flower extract were documented at 15.63, 62.50, 250 and 1000 µg/mL, causing the DPPH scavenging percentages of 42.3%, 52.6%, 65.5% and 80.6%, respectively, with a IC50 of 36.74 µg/mL. HepG-2 cell proliferation was inhibited (91.26%) using 500 µg/mL of flower extract with an IC50 of 176.15 µg/mL, compared to an IC50 of 395.30 µg/mL used against human normal melanocytes. Molecular docking was applied to investigate ferulic acid with the H. pylori (4HI0) crystal structure to determine the best binding mode that interacted most energetically with the binding sites. Molecular docking indicated that ferulic acid was a proper inhibitor for the 4HI0 protein enzyme of H. pylori. A low energy score (−5.58 Kcal/mol) was recorded as a result of the interaction of ferulic acid with the residue’s SER 139 active site caused by the O 29 atom, which was important for its antibacterial activity.","container-title":"Journal of Functional Biomaterials","DOI":"10.3390/jfb14040237","ISSN":"2079-4983","issue":"4","journalAbbreviation":"J Funct Biomater","note":"PMID: 37103327\nPMCID: PMC10143343","page":"237","source":"PubMed Central","title":"Pharmacological Evaluation of Acacia nilotica Flower Extract against Helicobacter pylori and Human Hepatocellular Carcinoma In Vitro and In Silico","URL":"https://www.ncbi.nlm.nih.gov/pmc/articles/PMC10143343/","volume":"14","author":[{"family":"Al-Rajhi","given":"Aisha M. H."},{"family":"Qanash","given":"Husam"},{"family":"Bazaid","given":"Abdulrahman S."},{"family":"Binsaleh","given":"Naif K."},{"family":"Abdelghany","given":"Tarek M."}],"accessed":{"date-parts":[["2025",7,2]]},"issued":{"date-parts":[["2023",4,21]]}}}],"schema":"https://github.com/citation-style-language/schema/raw/master/csl-citation.json"} </w:instrText>
      </w:r>
      <w:r>
        <w:rPr>
          <w:rFonts w:ascii="Arial" w:hAnsi="Arial" w:cs="Arial"/>
          <w:sz w:val="20"/>
          <w:szCs w:val="20"/>
        </w:rPr>
        <w:fldChar w:fldCharType="separate"/>
      </w:r>
      <w:r w:rsidRPr="00B3623E">
        <w:rPr>
          <w:rFonts w:ascii="Arial" w:hAnsi="Arial" w:cs="Arial"/>
          <w:sz w:val="20"/>
        </w:rPr>
        <w:t>(39)</w:t>
      </w:r>
      <w:r>
        <w:rPr>
          <w:rFonts w:ascii="Arial" w:hAnsi="Arial" w:cs="Arial"/>
          <w:sz w:val="20"/>
          <w:szCs w:val="20"/>
        </w:rPr>
        <w:fldChar w:fldCharType="end"/>
      </w:r>
      <w:r w:rsidRPr="00DE475E">
        <w:rPr>
          <w:rFonts w:ascii="Arial" w:hAnsi="Arial" w:cs="Arial"/>
          <w:sz w:val="20"/>
          <w:szCs w:val="20"/>
        </w:rPr>
        <w:t xml:space="preserve">.The observed bioactivity suggests potential therapeutic applications that require further investigation. </w:t>
      </w:r>
    </w:p>
    <w:p w14:paraId="6AAD1757" w14:textId="77777777" w:rsidR="00C91D4C" w:rsidRPr="00237CF8" w:rsidRDefault="00C91D4C" w:rsidP="00E807B6">
      <w:pPr>
        <w:spacing w:line="240" w:lineRule="auto"/>
        <w:contextualSpacing/>
        <w:jc w:val="both"/>
        <w:rPr>
          <w:rFonts w:ascii="Arial" w:hAnsi="Arial" w:cs="Arial"/>
          <w:sz w:val="20"/>
          <w:szCs w:val="20"/>
          <w:lang w:val="en-GB"/>
        </w:rPr>
      </w:pPr>
    </w:p>
    <w:p w14:paraId="0D654E2F" w14:textId="77777777" w:rsidR="00C91D4C" w:rsidRPr="00237CF8" w:rsidRDefault="00C91D4C" w:rsidP="00E807B6">
      <w:pPr>
        <w:spacing w:line="240" w:lineRule="auto"/>
        <w:contextualSpacing/>
        <w:jc w:val="both"/>
        <w:rPr>
          <w:rFonts w:ascii="Arial" w:hAnsi="Arial" w:cs="Arial"/>
          <w:sz w:val="20"/>
          <w:szCs w:val="20"/>
          <w:lang w:val="en-GB"/>
        </w:rPr>
      </w:pPr>
    </w:p>
    <w:p w14:paraId="734CEA42" w14:textId="77777777" w:rsidR="00C91D4C" w:rsidRPr="00237CF8" w:rsidRDefault="00C91D4C" w:rsidP="00E807B6">
      <w:pPr>
        <w:spacing w:line="240" w:lineRule="auto"/>
        <w:contextualSpacing/>
        <w:jc w:val="both"/>
        <w:rPr>
          <w:rFonts w:ascii="Arial" w:hAnsi="Arial" w:cs="Arial"/>
          <w:sz w:val="20"/>
          <w:szCs w:val="20"/>
          <w:lang w:val="en-GB"/>
        </w:rPr>
      </w:pPr>
    </w:p>
    <w:p w14:paraId="0D2D3D2A" w14:textId="77777777" w:rsidR="009033D5" w:rsidRDefault="009033D5" w:rsidP="00E807B6">
      <w:pPr>
        <w:keepNext/>
        <w:spacing w:line="240" w:lineRule="auto"/>
        <w:contextualSpacing/>
        <w:jc w:val="both"/>
      </w:pPr>
      <w:r>
        <w:rPr>
          <w:noProof/>
        </w:rPr>
        <w:lastRenderedPageBreak/>
        <w:drawing>
          <wp:inline distT="0" distB="0" distL="0" distR="0" wp14:anchorId="77B05DE7" wp14:editId="1658F7FB">
            <wp:extent cx="5060197" cy="3053166"/>
            <wp:effectExtent l="0" t="0" r="7620" b="13970"/>
            <wp:docPr id="165447036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8C3D731" w14:textId="3DB3DF55" w:rsidR="00C91D4C" w:rsidRDefault="009033D5" w:rsidP="00E807B6">
      <w:pPr>
        <w:pStyle w:val="Caption"/>
        <w:contextualSpacing/>
        <w:jc w:val="both"/>
        <w:rPr>
          <w:lang w:val="en-ZA"/>
        </w:rPr>
      </w:pPr>
      <w:r>
        <w:t xml:space="preserve">Figure </w:t>
      </w:r>
      <w:r w:rsidR="0073522A">
        <w:t>3</w:t>
      </w:r>
      <w:r w:rsidRPr="009033D5">
        <w:rPr>
          <w:rFonts w:asciiTheme="minorHAnsi" w:eastAsiaTheme="minorHAnsi" w:hAnsiTheme="minorHAnsi" w:cstheme="minorBidi"/>
          <w:color w:val="44546A"/>
          <w:sz w:val="24"/>
          <w:szCs w:val="24"/>
          <w:lang w:val="en-ZA" w:eastAsia="en-US"/>
        </w:rPr>
        <w:t xml:space="preserve"> </w:t>
      </w:r>
      <w:r w:rsidRPr="009033D5">
        <w:rPr>
          <w:lang w:val="en-ZA"/>
        </w:rPr>
        <w:t>Percentage Inhibition (%) comparison between V.  nilotica and Diclofenac concentration (mg/ml)</w:t>
      </w:r>
    </w:p>
    <w:p w14:paraId="71F7CE4E" w14:textId="70DA25CA" w:rsidR="00F7299E" w:rsidRDefault="00F7299E" w:rsidP="00E807B6">
      <w:pPr>
        <w:pStyle w:val="Caption"/>
        <w:keepNext/>
        <w:contextualSpacing/>
      </w:pPr>
    </w:p>
    <w:p w14:paraId="248C91FE" w14:textId="77777777" w:rsidR="00C91D4C" w:rsidRPr="00237CF8" w:rsidRDefault="008C2E22" w:rsidP="00E807B6">
      <w:pPr>
        <w:pStyle w:val="Heading2"/>
        <w:spacing w:line="240" w:lineRule="auto"/>
        <w:contextualSpacing/>
        <w:jc w:val="both"/>
        <w:rPr>
          <w:rFonts w:cs="Arial"/>
          <w:sz w:val="20"/>
          <w:szCs w:val="20"/>
        </w:rPr>
      </w:pPr>
      <w:bookmarkStart w:id="31" w:name="_Toc196381546"/>
      <w:bookmarkStart w:id="32" w:name="_Toc196381545"/>
      <w:r w:rsidRPr="00237CF8">
        <w:rPr>
          <w:rFonts w:cs="Arial"/>
          <w:sz w:val="20"/>
          <w:szCs w:val="20"/>
        </w:rPr>
        <w:t>Acute oral toxicity</w:t>
      </w:r>
      <w:bookmarkEnd w:id="31"/>
      <w:r w:rsidRPr="00237CF8">
        <w:rPr>
          <w:rFonts w:cs="Arial"/>
          <w:sz w:val="20"/>
          <w:szCs w:val="20"/>
        </w:rPr>
        <w:t xml:space="preserve"> </w:t>
      </w:r>
    </w:p>
    <w:p w14:paraId="2C2ABE4E" w14:textId="68E3B971" w:rsidR="00471ED0" w:rsidRDefault="008C2E22" w:rsidP="00E807B6">
      <w:pPr>
        <w:spacing w:line="240" w:lineRule="auto"/>
        <w:contextualSpacing/>
        <w:jc w:val="both"/>
        <w:rPr>
          <w:rFonts w:ascii="Arial" w:hAnsi="Arial" w:cs="Arial"/>
          <w:sz w:val="20"/>
          <w:szCs w:val="20"/>
        </w:rPr>
      </w:pPr>
      <w:r w:rsidRPr="00237CF8">
        <w:rPr>
          <w:rFonts w:ascii="Arial" w:hAnsi="Arial" w:cs="Arial"/>
          <w:sz w:val="20"/>
          <w:szCs w:val="20"/>
        </w:rPr>
        <w:t xml:space="preserve">The hydro-ethanolic leaf extract of </w:t>
      </w:r>
      <w:r w:rsidRPr="00237CF8">
        <w:rPr>
          <w:rFonts w:ascii="Arial" w:hAnsi="Arial" w:cs="Arial"/>
          <w:i/>
          <w:iCs/>
          <w:sz w:val="20"/>
          <w:szCs w:val="20"/>
        </w:rPr>
        <w:t>V. nilotica</w:t>
      </w:r>
      <w:r w:rsidRPr="00237CF8">
        <w:rPr>
          <w:rFonts w:ascii="Arial" w:hAnsi="Arial" w:cs="Arial"/>
          <w:sz w:val="20"/>
          <w:szCs w:val="20"/>
        </w:rPr>
        <w:t xml:space="preserve"> </w:t>
      </w:r>
      <w:r w:rsidR="00F47EC0">
        <w:rPr>
          <w:rFonts w:ascii="Arial" w:hAnsi="Arial" w:cs="Arial"/>
          <w:sz w:val="20"/>
          <w:szCs w:val="20"/>
        </w:rPr>
        <w:t xml:space="preserve">is </w:t>
      </w:r>
      <w:r w:rsidRPr="00237CF8">
        <w:rPr>
          <w:rFonts w:ascii="Arial" w:hAnsi="Arial" w:cs="Arial"/>
          <w:sz w:val="20"/>
          <w:szCs w:val="20"/>
        </w:rPr>
        <w:t>safe for internal use up to 2000mg/kg body weight, based on acute oral toxicity evaluations. Other studies using similar methodologies also support this finding, with some indicating even higher doses (up to 5000 mg/kg) are not toxic</w:t>
      </w:r>
      <w:r w:rsidR="002C7AF1">
        <w:rPr>
          <w:rFonts w:ascii="Arial" w:hAnsi="Arial" w:cs="Arial"/>
          <w:sz w:val="20"/>
          <w:szCs w:val="20"/>
        </w:rPr>
        <w:t xml:space="preserve">. </w:t>
      </w:r>
      <w:r w:rsidR="0022376D">
        <w:rPr>
          <w:rFonts w:ascii="Arial" w:hAnsi="Arial" w:cs="Arial"/>
          <w:sz w:val="20"/>
          <w:szCs w:val="20"/>
        </w:rPr>
        <w:t>The results attained</w:t>
      </w:r>
      <w:r w:rsidR="002C7AF1">
        <w:rPr>
          <w:rFonts w:ascii="Arial" w:hAnsi="Arial" w:cs="Arial"/>
          <w:sz w:val="20"/>
          <w:szCs w:val="20"/>
        </w:rPr>
        <w:t xml:space="preserve"> </w:t>
      </w:r>
      <w:r w:rsidRPr="00237CF8">
        <w:rPr>
          <w:rFonts w:ascii="Arial" w:hAnsi="Arial" w:cs="Arial"/>
          <w:sz w:val="20"/>
          <w:szCs w:val="20"/>
        </w:rPr>
        <w:t xml:space="preserve">  were </w:t>
      </w:r>
      <w:r w:rsidR="002C7AF1">
        <w:rPr>
          <w:rFonts w:ascii="Arial" w:hAnsi="Arial" w:cs="Arial"/>
          <w:sz w:val="20"/>
          <w:szCs w:val="20"/>
        </w:rPr>
        <w:t xml:space="preserve">  </w:t>
      </w:r>
      <w:r w:rsidRPr="00237CF8">
        <w:rPr>
          <w:rFonts w:ascii="Arial" w:hAnsi="Arial" w:cs="Arial"/>
          <w:sz w:val="20"/>
          <w:szCs w:val="20"/>
        </w:rPr>
        <w:t xml:space="preserve">expected, as the plant is generally considered to be safe from the accumulated experiences and testimonies of traditional medicinal practitioners over a long history of usage in Southern Africa </w:t>
      </w:r>
      <w:r w:rsidR="002C7AF1">
        <w:rPr>
          <w:rFonts w:ascii="Arial" w:hAnsi="Arial" w:cs="Arial"/>
          <w:sz w:val="20"/>
          <w:szCs w:val="20"/>
        </w:rPr>
        <w:fldChar w:fldCharType="begin"/>
      </w:r>
      <w:r w:rsidR="00B3623E">
        <w:rPr>
          <w:rFonts w:ascii="Arial" w:hAnsi="Arial" w:cs="Arial"/>
          <w:sz w:val="20"/>
          <w:szCs w:val="20"/>
        </w:rPr>
        <w:instrText xml:space="preserve"> ADDIN ZOTERO_ITEM CSL_CITATION {"citationID":"iqRxmnOd","properties":{"formattedCitation":"(40)","plainCitation":"(40)","noteIndex":0},"citationItems":[{"id":247,"uris":["http://zotero.org/users/local/iHdIrYxX/items/P3GFGG3J"],"itemData":{"id":247,"type":"article-journal","abstract":"For thousands of years, Vachellia nilotica has been widely used as an herbal medicine to treat some diseases and symptoms, including respiratory, gastrointestinal and urogenital ailments. The present study was adapted to document and assemble existing information about V. nilotica and its evidence-based ethnopharmacological activities, with brief reviews on the description, geographical distribution, ecology, medical uses and phytochemistry. A literature review and information up to 2024 was performed in various scientific databases, including PubMed, Science Direct and Google Scholar. The keywords were “Acacia nilotica”, “Botany”, “ecology”, “Traditional uses”, “Phytochemistry”, “Polyphenols”, “Molecular docking”, “Ethnopharmacological activities” and “toxicity”, among others. V. nilotica has a wide range of uses, with low toxicity, reported in different countries. It can be infused into oils or tea or incorporated into paste, poultice and biscuits, used as an emollient, antidiarrheal, astringent and as an antidote for bite poisons. Glucose and lipid-lowering, anti-inflammatory, analgesic, antipyretic, antioxidant, antihypertensive, antibacterial, antifungal, antiviral and anthelmintic activities are the most prominent. Over 150 chemical components have been identified from V. nilotica that could be associated with its potential actions. Quercetin, rutin, kaempferol, naringenin, catechin, epicatechin, gallic acid, ellagic acid, lupeol and niloticane are its main active constituents. From the research data, and despite the fact that human clinical trials and detailed methodological studies are scarce, V. nilotica has shown wide-ranging activities, though the most robust evidence is related to the treatment of microbial infections, diarrhea, wound and ulcer healing and for topical application. More pharmacological and toxicological studies are required to further elucidate the mechanisms of action, potential side effects, and optimal dosages for these treatments. Additionally, more clinical trials are needed to validate these traditional uses in human populations and to ensure the safety and efficacy of V. nilotica for these applications. This article offers an overview of therapeutic applications by utilizing traditional uses and recent findings on phytochemical studies, and clinical and pharmacological research.","container-title":"Nutrients","DOI":"10.3390/nu16244278","ISSN":"2072-6643","issue":"24","journalAbbreviation":"Nutrients","note":"PMID: 39770900\nPMCID: PMC11678605","page":"4278","source":"PubMed Central","title":"The Acacia (Vachellia nilotica (L.) P.J.H. Hurter &amp; Mabb.): Traditional Uses and Recent Advances on Its Pharmacological Attributes and Potential Activities","title-short":"The Acacia (Vachellia nilotica (L.) P.J.H. Hurter &amp; Mabb.)","URL":"https://www.ncbi.nlm.nih.gov/pmc/articles/PMC11678605/","volume":"16","author":[{"family":"Hafez","given":"Lamiaa O."},{"family":"Brito-Casillas","given":"Yeray"},{"family":"Abdelmageed","given":"Noha"},{"family":"Alemán-Cabrera","given":"Isabel M."},{"family":"Morad","given":"Samy A.F."},{"family":"Abdel-Raheem","given":"Mahmoud H."},{"family":"Wägner","given":"Ana M."}],"accessed":{"date-parts":[["2025",7,2]]},"issued":{"date-parts":[["2024",12,11]]}}}],"schema":"https://github.com/citation-style-language/schema/raw/master/csl-citation.json"} </w:instrText>
      </w:r>
      <w:r w:rsidR="002C7AF1">
        <w:rPr>
          <w:rFonts w:ascii="Arial" w:hAnsi="Arial" w:cs="Arial"/>
          <w:sz w:val="20"/>
          <w:szCs w:val="20"/>
        </w:rPr>
        <w:fldChar w:fldCharType="separate"/>
      </w:r>
      <w:r w:rsidR="00B3623E" w:rsidRPr="00B3623E">
        <w:rPr>
          <w:rFonts w:ascii="Arial" w:hAnsi="Arial" w:cs="Arial"/>
          <w:sz w:val="20"/>
        </w:rPr>
        <w:t>(40)</w:t>
      </w:r>
      <w:r w:rsidR="002C7AF1">
        <w:rPr>
          <w:rFonts w:ascii="Arial" w:hAnsi="Arial" w:cs="Arial"/>
          <w:sz w:val="20"/>
          <w:szCs w:val="20"/>
        </w:rPr>
        <w:fldChar w:fldCharType="end"/>
      </w:r>
      <w:r w:rsidRPr="00237CF8">
        <w:rPr>
          <w:rFonts w:ascii="Arial" w:hAnsi="Arial" w:cs="Arial"/>
          <w:sz w:val="20"/>
          <w:szCs w:val="20"/>
        </w:rPr>
        <w:t xml:space="preserve">. Our literature search could not find any report of any adverse effects arising from consumption of </w:t>
      </w:r>
      <w:r w:rsidRPr="00237CF8">
        <w:rPr>
          <w:rFonts w:ascii="Arial" w:hAnsi="Arial" w:cs="Arial"/>
          <w:i/>
          <w:iCs/>
          <w:sz w:val="20"/>
          <w:szCs w:val="20"/>
        </w:rPr>
        <w:t>V. nilotica</w:t>
      </w:r>
      <w:r w:rsidRPr="00237CF8">
        <w:rPr>
          <w:rFonts w:ascii="Arial" w:hAnsi="Arial" w:cs="Arial"/>
          <w:sz w:val="20"/>
          <w:szCs w:val="20"/>
        </w:rPr>
        <w:t xml:space="preserve"> leaf or any other part of the plant. This was the justification for us to start off with a moderately high dosage level of 250mg/kg body weight in the experiments</w:t>
      </w:r>
      <w:r w:rsidR="00471ED0">
        <w:rPr>
          <w:rFonts w:ascii="Arial" w:hAnsi="Arial" w:cs="Arial"/>
          <w:sz w:val="20"/>
          <w:szCs w:val="20"/>
        </w:rPr>
        <w:t>.</w:t>
      </w:r>
    </w:p>
    <w:p w14:paraId="14072EC4" w14:textId="0F6FC4D1" w:rsidR="00471ED0" w:rsidRDefault="008C2E22" w:rsidP="00E807B6">
      <w:pPr>
        <w:spacing w:line="240" w:lineRule="auto"/>
        <w:contextualSpacing/>
        <w:jc w:val="both"/>
        <w:rPr>
          <w:rFonts w:ascii="Arial" w:hAnsi="Arial" w:cs="Arial"/>
          <w:sz w:val="20"/>
          <w:szCs w:val="20"/>
        </w:rPr>
      </w:pPr>
      <w:r w:rsidRPr="00237CF8">
        <w:rPr>
          <w:rFonts w:ascii="Arial" w:hAnsi="Arial" w:cs="Arial"/>
          <w:sz w:val="20"/>
          <w:szCs w:val="20"/>
        </w:rPr>
        <w:t xml:space="preserve"> The behavioural factors under assessment which include signs of restlessness among the study animals, painful response to touch, urine characteristics and urination frequency, skin colour, diarrhoea, fur condition and erection, as well as food and water intake were periodically journalised by an experienced veterinary specialist</w:t>
      </w:r>
      <w:r w:rsidR="0022376D">
        <w:rPr>
          <w:rFonts w:ascii="Arial" w:hAnsi="Arial" w:cs="Arial"/>
          <w:sz w:val="20"/>
          <w:szCs w:val="20"/>
        </w:rPr>
        <w:t xml:space="preserve"> and recorded in Table </w:t>
      </w:r>
      <w:r w:rsidR="009E2F3F">
        <w:rPr>
          <w:rFonts w:ascii="Arial" w:hAnsi="Arial" w:cs="Arial"/>
          <w:sz w:val="20"/>
          <w:szCs w:val="20"/>
        </w:rPr>
        <w:t>2</w:t>
      </w:r>
      <w:r w:rsidR="0022376D">
        <w:rPr>
          <w:rFonts w:ascii="Arial" w:hAnsi="Arial" w:cs="Arial"/>
          <w:sz w:val="20"/>
          <w:szCs w:val="20"/>
        </w:rPr>
        <w:t xml:space="preserve"> below</w:t>
      </w:r>
      <w:r w:rsidRPr="00237CF8">
        <w:rPr>
          <w:rFonts w:ascii="Arial" w:hAnsi="Arial" w:cs="Arial"/>
          <w:sz w:val="20"/>
          <w:szCs w:val="20"/>
        </w:rPr>
        <w:t xml:space="preserve">. No adverse observations were noted with regards to symptoms and signs of toxicity for all the parameters under review and no deaths were recorded for the entire duration of the testing period. All changes observed in these acute oral toxicity studies were within normal physiological ranges. These results correlate well with similar oral toxicity profiles of </w:t>
      </w:r>
      <w:r w:rsidRPr="00237CF8">
        <w:rPr>
          <w:rFonts w:ascii="Arial" w:hAnsi="Arial" w:cs="Arial"/>
          <w:i/>
          <w:iCs/>
          <w:sz w:val="20"/>
          <w:szCs w:val="20"/>
        </w:rPr>
        <w:t>V. nilotica</w:t>
      </w:r>
      <w:r w:rsidRPr="00237CF8">
        <w:rPr>
          <w:rFonts w:ascii="Arial" w:hAnsi="Arial" w:cs="Arial"/>
          <w:sz w:val="20"/>
          <w:szCs w:val="20"/>
        </w:rPr>
        <w:t xml:space="preserve"> reported in other publications. Acute oral toxicity of the hydroethanolic leaf extract of </w:t>
      </w:r>
      <w:r w:rsidRPr="00237CF8">
        <w:rPr>
          <w:rFonts w:ascii="Arial" w:hAnsi="Arial" w:cs="Arial"/>
          <w:i/>
          <w:iCs/>
          <w:sz w:val="20"/>
          <w:szCs w:val="20"/>
        </w:rPr>
        <w:t>V. nilotica</w:t>
      </w:r>
      <w:r w:rsidRPr="00237CF8">
        <w:rPr>
          <w:rFonts w:ascii="Arial" w:hAnsi="Arial" w:cs="Arial"/>
          <w:sz w:val="20"/>
          <w:szCs w:val="20"/>
        </w:rPr>
        <w:t xml:space="preserve"> was also studied in Sprague Dawley rats and there were no adverse reactions noted up to 2000 mg/kg body weight over a 14-day period. Behavioural pattern and LD50: The up and down test as outlined by OECD technical guideline 425 with minor modifications was used in this study. </w:t>
      </w:r>
    </w:p>
    <w:p w14:paraId="1B6835D9" w14:textId="7983FB38" w:rsidR="00E51ABE" w:rsidRDefault="008C2E22" w:rsidP="00E807B6">
      <w:pPr>
        <w:spacing w:line="240" w:lineRule="auto"/>
        <w:contextualSpacing/>
        <w:jc w:val="both"/>
        <w:rPr>
          <w:rFonts w:ascii="Arial" w:hAnsi="Arial" w:cs="Arial"/>
          <w:sz w:val="20"/>
          <w:szCs w:val="20"/>
        </w:rPr>
      </w:pPr>
      <w:r w:rsidRPr="00237CF8">
        <w:rPr>
          <w:rFonts w:ascii="Arial" w:hAnsi="Arial" w:cs="Arial"/>
          <w:sz w:val="20"/>
          <w:szCs w:val="20"/>
        </w:rPr>
        <w:t>As per the guideline, only healthy adult Sprague Dawley rat and non-pregnant females were chosen for the study</w:t>
      </w:r>
      <w:r w:rsidR="00A95D21">
        <w:rPr>
          <w:rFonts w:ascii="Arial" w:hAnsi="Arial" w:cs="Arial"/>
          <w:sz w:val="20"/>
          <w:szCs w:val="20"/>
        </w:rPr>
        <w:fldChar w:fldCharType="begin"/>
      </w:r>
      <w:r w:rsidR="00B3623E">
        <w:rPr>
          <w:rFonts w:ascii="Arial" w:hAnsi="Arial" w:cs="Arial"/>
          <w:sz w:val="20"/>
          <w:szCs w:val="20"/>
        </w:rPr>
        <w:instrText xml:space="preserve"> ADDIN ZOTERO_ITEM CSL_CITATION {"citationID":"lpq8cg76","properties":{"formattedCitation":"(41)","plainCitation":"(41)","noteIndex":0},"citationItems":[{"id":250,"uris":["http://zotero.org/users/local/iHdIrYxX/items/7MA5J3G7"],"itemData":{"id":250,"type":"article-journal","abstract":"Introduction\nAchyranthes aspera, Chenopodium murale, Satureja punctata, Rumex abyssinicus and Aloe pulcherrima are traditionally used to treat urolithiasis in Ethiopia. However, there are limited reports on toxicity studies.\n\nObjective\nThis study was intended to evaluate the acute and sub-acute toxicity effects of plants.\n\nMaterials and Methods\nThe crude extracts of A. aspera and C. murale leaves, S. punctata aerial parts, R. abyssinicus rhizomes, and A. Pulcherrima gel were prepared using 70 % ethanol. In acute toxicity, 125, 500 and 2000 mg/kg were tested in a stepwise manner; whereas 2000 mg/kg administrated to female rats using gavage during sub-acute toxicity. On day 14 and 28, blood samples were collected from retro-orbital sinus; liver and kidneys of each animal were collected under anaesthesia. Data were analyzed using one-way ANOVA, Dunnett's comparison test of the Graph Pad Prism.\n\nResults\nNo mortality and significant weight loss for all extracts in both toxicity tests. In acute toxicity, C. murale extract significantly reduced hemoglobin and platelets (P &lt; 0.01) compared with the control. Likewise, S. punctata (P &lt; 0.05) and R. abyssinicus (P &lt; 0.01) extracts revealed significant reduction in platelet count. An exposure to C. murale and R. abyssinicus extracts reduced the concentrations of platelet distribution width and platelet larger cell ratio (p &lt; 0.05) during sub-acute toxicity test. The level of creatinine reduced due to A. aspera extract administrations(P &lt; 0.05). Liver histopathological examinations revealed focal periportal hepatitis following sub-acute toxicity test of C. murale. Histopathological studies of liver demonstrated that R. abyssinicus, A. aspera and S. punctata extracts showed mild acute liver injury. A. pulcherrima was not associated with any toxicity.\n\nConclusion\nC. murale extract showed hematological, and histopathological toxicity profiles in rats. Furthermore, chronic toxicity studies of A. aspera, S. punctata and R. abyssinicus extracts would be beneficial to ensure safety.","container-title":"Toxicology Reports","DOI":"10.1016/j.toxrep.2020.10.001","ISSN":"2214-7500","journalAbbreviation":"Toxicol Rep","note":"PMID: 33102139\nPMCID: PMC7569265","page":"1356-1365","source":"PubMed Central","title":"Evaluation of acute and sub-acute toxicity of selected traditional antiurolithiatic medicinal plant extracts in Wistar albino rats","URL":"https://www.ncbi.nlm.nih.gov/pmc/articles/PMC7569265/","volume":"7","author":[{"family":"Alelign","given":"Tilahun"},{"family":"Chalchisa","given":"Dinkenesh"},{"family":"Fekadu","given":"Netsanet"},{"family":"Solomon","given":"Dawit"},{"family":"Sisay","given":"Tesfaye"},{"family":"Debella","given":"Asfaw"},{"family":"Petros","given":"Beyene"}],"accessed":{"date-parts":[["2025",7,2]]},"issued":{"date-parts":[["2020",10,6]]}}}],"schema":"https://github.com/citation-style-language/schema/raw/master/csl-citation.json"} </w:instrText>
      </w:r>
      <w:r w:rsidR="00A95D21">
        <w:rPr>
          <w:rFonts w:ascii="Arial" w:hAnsi="Arial" w:cs="Arial"/>
          <w:sz w:val="20"/>
          <w:szCs w:val="20"/>
        </w:rPr>
        <w:fldChar w:fldCharType="separate"/>
      </w:r>
      <w:r w:rsidR="00B3623E" w:rsidRPr="00B3623E">
        <w:rPr>
          <w:rFonts w:ascii="Arial" w:hAnsi="Arial" w:cs="Arial"/>
          <w:sz w:val="20"/>
        </w:rPr>
        <w:t>(41)</w:t>
      </w:r>
      <w:r w:rsidR="00A95D21">
        <w:rPr>
          <w:rFonts w:ascii="Arial" w:hAnsi="Arial" w:cs="Arial"/>
          <w:sz w:val="20"/>
          <w:szCs w:val="20"/>
        </w:rPr>
        <w:fldChar w:fldCharType="end"/>
      </w:r>
      <w:r w:rsidRPr="00237CF8">
        <w:rPr>
          <w:rFonts w:ascii="Arial" w:hAnsi="Arial" w:cs="Arial"/>
          <w:sz w:val="20"/>
          <w:szCs w:val="20"/>
        </w:rPr>
        <w:t xml:space="preserve">. The rats were aged between 8-12 weeks as required by the technical guideline 425. The animals were all fasted before dosing overnight with only water provided for them. Before commencement of dosing, the animals were weighed and checked for any adverse health indications. The acute oral toxicity profile study of the </w:t>
      </w:r>
      <w:r w:rsidRPr="00237CF8">
        <w:rPr>
          <w:rFonts w:ascii="Arial" w:hAnsi="Arial" w:cs="Arial"/>
          <w:i/>
          <w:iCs/>
          <w:sz w:val="20"/>
          <w:szCs w:val="20"/>
        </w:rPr>
        <w:t>V. nilotica</w:t>
      </w:r>
      <w:r w:rsidRPr="00237CF8">
        <w:rPr>
          <w:rFonts w:ascii="Arial" w:hAnsi="Arial" w:cs="Arial"/>
          <w:sz w:val="20"/>
          <w:szCs w:val="20"/>
        </w:rPr>
        <w:t xml:space="preserve">, extract was carried out using </w:t>
      </w:r>
      <w:r w:rsidR="00275824">
        <w:rPr>
          <w:rFonts w:ascii="Arial" w:hAnsi="Arial" w:cs="Arial"/>
          <w:sz w:val="20"/>
          <w:szCs w:val="20"/>
        </w:rPr>
        <w:t>Sprague Dawle</w:t>
      </w:r>
      <w:r w:rsidR="00D24820">
        <w:rPr>
          <w:rFonts w:ascii="Arial" w:hAnsi="Arial" w:cs="Arial"/>
          <w:sz w:val="20"/>
          <w:szCs w:val="20"/>
        </w:rPr>
        <w:t>y</w:t>
      </w:r>
      <w:r w:rsidRPr="00237CF8">
        <w:rPr>
          <w:rFonts w:ascii="Arial" w:hAnsi="Arial" w:cs="Arial"/>
          <w:sz w:val="20"/>
          <w:szCs w:val="20"/>
        </w:rPr>
        <w:t xml:space="preserve"> rat models at doses of 250mg/kg,</w:t>
      </w:r>
      <w:r w:rsidR="00D24820">
        <w:rPr>
          <w:rFonts w:ascii="Arial" w:hAnsi="Arial" w:cs="Arial"/>
          <w:sz w:val="20"/>
          <w:szCs w:val="20"/>
        </w:rPr>
        <w:t xml:space="preserve"> 500mg/kg, </w:t>
      </w:r>
      <w:r w:rsidRPr="00237CF8">
        <w:rPr>
          <w:rFonts w:ascii="Arial" w:hAnsi="Arial" w:cs="Arial"/>
          <w:sz w:val="20"/>
          <w:szCs w:val="20"/>
        </w:rPr>
        <w:t>1000</w:t>
      </w:r>
      <w:r w:rsidR="00D24820">
        <w:rPr>
          <w:rFonts w:ascii="Arial" w:hAnsi="Arial" w:cs="Arial"/>
          <w:sz w:val="20"/>
          <w:szCs w:val="20"/>
        </w:rPr>
        <w:t>mg/kg</w:t>
      </w:r>
      <w:r w:rsidRPr="00237CF8">
        <w:rPr>
          <w:rFonts w:ascii="Arial" w:hAnsi="Arial" w:cs="Arial"/>
          <w:sz w:val="20"/>
          <w:szCs w:val="20"/>
        </w:rPr>
        <w:t xml:space="preserve"> and 2000mg/kg body weight. </w:t>
      </w:r>
    </w:p>
    <w:p w14:paraId="56604B06" w14:textId="1B48698B" w:rsidR="00275824" w:rsidRDefault="008C2E22" w:rsidP="00E807B6">
      <w:pPr>
        <w:spacing w:line="240" w:lineRule="auto"/>
        <w:contextualSpacing/>
        <w:jc w:val="both"/>
        <w:rPr>
          <w:rFonts w:ascii="Arial" w:hAnsi="Arial" w:cs="Arial"/>
          <w:sz w:val="20"/>
          <w:szCs w:val="20"/>
        </w:rPr>
      </w:pPr>
      <w:r w:rsidRPr="00237CF8">
        <w:rPr>
          <w:rFonts w:ascii="Arial" w:hAnsi="Arial" w:cs="Arial"/>
          <w:sz w:val="20"/>
          <w:szCs w:val="20"/>
        </w:rPr>
        <w:t>The experimental rats were routinely observed, and their behaviour monitored during the experiments for changes in body weight</w:t>
      </w:r>
      <w:r w:rsidR="0022376D">
        <w:rPr>
          <w:rFonts w:ascii="Arial" w:hAnsi="Arial" w:cs="Arial"/>
          <w:sz w:val="20"/>
          <w:szCs w:val="20"/>
        </w:rPr>
        <w:t xml:space="preserve"> a</w:t>
      </w:r>
      <w:r w:rsidRPr="00237CF8">
        <w:rPr>
          <w:rFonts w:ascii="Arial" w:hAnsi="Arial" w:cs="Arial"/>
          <w:sz w:val="20"/>
          <w:szCs w:val="20"/>
        </w:rPr>
        <w:t xml:space="preserve"> and other observable indicators of poor health effects. As reported, above </w:t>
      </w:r>
    </w:p>
    <w:p w14:paraId="498477D7" w14:textId="77777777" w:rsidR="0018052B" w:rsidRDefault="008C2E22" w:rsidP="00E807B6">
      <w:pPr>
        <w:spacing w:line="240" w:lineRule="auto"/>
        <w:contextualSpacing/>
        <w:jc w:val="both"/>
        <w:rPr>
          <w:rFonts w:ascii="Arial" w:hAnsi="Arial" w:cs="Arial"/>
          <w:sz w:val="20"/>
          <w:szCs w:val="20"/>
        </w:rPr>
      </w:pPr>
      <w:r w:rsidRPr="00237CF8">
        <w:rPr>
          <w:rFonts w:ascii="Arial" w:hAnsi="Arial" w:cs="Arial"/>
          <w:sz w:val="20"/>
          <w:szCs w:val="20"/>
        </w:rPr>
        <w:t xml:space="preserve">there were no deaths and no withdrawals from the study due to adverse health symptoms of participating animals. There were no significant changes observed in all rats for any of the categories. The study concluded that </w:t>
      </w:r>
      <w:r w:rsidRPr="00237CF8">
        <w:rPr>
          <w:rFonts w:ascii="Arial" w:hAnsi="Arial" w:cs="Arial"/>
          <w:i/>
          <w:iCs/>
          <w:sz w:val="20"/>
          <w:szCs w:val="20"/>
        </w:rPr>
        <w:t>V. nilotica</w:t>
      </w:r>
      <w:r w:rsidRPr="00237CF8">
        <w:rPr>
          <w:rFonts w:ascii="Arial" w:hAnsi="Arial" w:cs="Arial"/>
          <w:sz w:val="20"/>
          <w:szCs w:val="20"/>
        </w:rPr>
        <w:t xml:space="preserve">, was toxicologically safe at 2000mg/kg body weight and therefore LD50 is concluded to be beyond 2000mg/kg body weight. </w:t>
      </w:r>
    </w:p>
    <w:p w14:paraId="3FC98488" w14:textId="67646833" w:rsidR="00C91D4C" w:rsidRDefault="008C2E22" w:rsidP="00E807B6">
      <w:pPr>
        <w:spacing w:line="240" w:lineRule="auto"/>
        <w:contextualSpacing/>
        <w:jc w:val="both"/>
        <w:rPr>
          <w:rFonts w:ascii="Arial" w:hAnsi="Arial" w:cs="Arial"/>
          <w:sz w:val="20"/>
          <w:szCs w:val="20"/>
        </w:rPr>
      </w:pPr>
      <w:r w:rsidRPr="00237CF8">
        <w:rPr>
          <w:rFonts w:ascii="Arial" w:hAnsi="Arial" w:cs="Arial"/>
          <w:sz w:val="20"/>
          <w:szCs w:val="20"/>
        </w:rPr>
        <w:t xml:space="preserve">With reference to the Hodge and </w:t>
      </w:r>
      <w:r w:rsidR="00F47EC0">
        <w:rPr>
          <w:rFonts w:ascii="Arial" w:hAnsi="Arial" w:cs="Arial"/>
          <w:sz w:val="20"/>
          <w:szCs w:val="20"/>
        </w:rPr>
        <w:t>S</w:t>
      </w:r>
      <w:r w:rsidRPr="00237CF8">
        <w:rPr>
          <w:rFonts w:ascii="Arial" w:hAnsi="Arial" w:cs="Arial"/>
          <w:sz w:val="20"/>
          <w:szCs w:val="20"/>
        </w:rPr>
        <w:t xml:space="preserve">terner classification for toxicity, the hydro-ethanolic leaf extract of </w:t>
      </w:r>
      <w:r w:rsidRPr="00237CF8">
        <w:rPr>
          <w:rFonts w:ascii="Arial" w:hAnsi="Arial" w:cs="Arial"/>
          <w:i/>
          <w:iCs/>
          <w:sz w:val="20"/>
          <w:szCs w:val="20"/>
        </w:rPr>
        <w:t>V. nilotica</w:t>
      </w:r>
      <w:r w:rsidRPr="00237CF8">
        <w:rPr>
          <w:rFonts w:ascii="Arial" w:hAnsi="Arial" w:cs="Arial"/>
          <w:sz w:val="20"/>
          <w:szCs w:val="20"/>
        </w:rPr>
        <w:t xml:space="preserve"> is classified as nontoxic </w:t>
      </w:r>
      <w:r w:rsidR="00A95D21">
        <w:rPr>
          <w:rFonts w:ascii="Arial" w:hAnsi="Arial" w:cs="Arial"/>
          <w:sz w:val="20"/>
          <w:szCs w:val="20"/>
        </w:rPr>
        <w:fldChar w:fldCharType="begin"/>
      </w:r>
      <w:r w:rsidR="00B3623E">
        <w:rPr>
          <w:rFonts w:ascii="Arial" w:hAnsi="Arial" w:cs="Arial"/>
          <w:sz w:val="20"/>
          <w:szCs w:val="20"/>
        </w:rPr>
        <w:instrText xml:space="preserve"> ADDIN ZOTERO_ITEM CSL_CITATION {"citationID":"ASShdLUW","properties":{"formattedCitation":"(42)","plainCitation":"(42)","noteIndex":0},"citationItems":[{"id":255,"uris":["http://zotero.org/users/local/iHdIrYxX/items/GQX542UR"],"itemData":{"id":255,"type":"article-journal","abstract":"Aims\n The aim of this study was to compare the phytochemical profile and acute and chronic toxicity of hydroethanolic extracts of three parts of P. santalinoides. \n\nMethods\n Seven major chemical groups (alkaloids, flavonoids, saponosides, coumarins, tannins, triterpenes, and steroids) were studied. The single dose limit test of 5000 mg/kg body weight was used to evaluate the acute toxicity of each organic extract. Subacute toxicity was evaluated after daily oral doses of 500 and 1000 mg/kg body weight were administered to rats for 28 days. \n\nResults\n At a single dose of 5000 mg/kg, none of the extracts (leaf, trunk bark, and root) caused death in experimental rats. However, the trunk bark extract of P. santalinoides induced coat change and lethargy in treated rats. Macroscopic observation of the internal organs (liver and kidneys) of the rats showed no abnormalities. In the subacute test, only the trunk extracts induced signs of toxicity such as mobility disorders, diarrhea, and loss of body weight at a dose of 1000 mg/kg. \n\nConclusion\n This study showed that the hydroethanol extracts of the leaves, trunk bark, and root bark of P. santalinoides divergently concentrated the main chemical groups of interest. Administration of a single dose of extracts from all three P. santalinoides is not toxic to the consumer. However, when used over a long period of time, they can have a harmful effect on the consumer. In view of the different results of the trunk bark extract and in a context of conservation of the species, we recommend the use of the hydroethanolic extract of the leaves in the different treatments in which the three organs are involved.","container-title":"The Scientific World Journal","DOI":"10.1155/2022/5953094","ISSN":"2356-6140","journalAbbreviation":"ScientificWorldJournal","note":"PMID: 35250394\nPMCID: PMC8896965","page":"5953094","source":"PubMed Central","title":"Comparative Physicochemical Screening and Toxicology of Hydroethanol Extracts of the Parts of Pterocarpus santalinoides l'Hér. ex DC. (Fabaceae) in Wistar Rats","URL":"https://www.ncbi.nlm.nih.gov/pmc/articles/PMC8896965/","volume":"2022","author":[{"family":"Ayéna","given":"Aimé Cézaire T."},{"family":"Dosseh","given":"Kossivi"},{"family":"Idoh","given":"Kokou"},{"family":"Agbonon","given":"Amegnona"},{"family":"Gbeassor","given":"Messanvi"}],"accessed":{"date-parts":[["2025",7,2]]},"issued":{"date-parts":[["2022",2,25]]}}}],"schema":"https://github.com/citation-style-language/schema/raw/master/csl-citation.json"} </w:instrText>
      </w:r>
      <w:r w:rsidR="00A95D21">
        <w:rPr>
          <w:rFonts w:ascii="Arial" w:hAnsi="Arial" w:cs="Arial"/>
          <w:sz w:val="20"/>
          <w:szCs w:val="20"/>
        </w:rPr>
        <w:fldChar w:fldCharType="separate"/>
      </w:r>
      <w:r w:rsidR="00B3623E" w:rsidRPr="00B3623E">
        <w:rPr>
          <w:rFonts w:ascii="Arial" w:hAnsi="Arial" w:cs="Arial"/>
          <w:sz w:val="20"/>
        </w:rPr>
        <w:t>(42)</w:t>
      </w:r>
      <w:r w:rsidR="00A95D21">
        <w:rPr>
          <w:rFonts w:ascii="Arial" w:hAnsi="Arial" w:cs="Arial"/>
          <w:sz w:val="20"/>
          <w:szCs w:val="20"/>
        </w:rPr>
        <w:fldChar w:fldCharType="end"/>
      </w:r>
      <w:r w:rsidRPr="00237CF8">
        <w:rPr>
          <w:rFonts w:ascii="Arial" w:hAnsi="Arial" w:cs="Arial"/>
          <w:sz w:val="20"/>
          <w:szCs w:val="20"/>
        </w:rPr>
        <w:t xml:space="preserve">. Bodyweight observations: As part of the protocol for toxicity studies, during the observation period, the body weights of the Sprague Dawley rats participating in the study were monitored routinely and recorded. The weights for all the rats in the observation groups </w:t>
      </w:r>
      <w:r w:rsidRPr="00237CF8">
        <w:rPr>
          <w:rFonts w:ascii="Arial" w:hAnsi="Arial" w:cs="Arial"/>
          <w:sz w:val="20"/>
          <w:szCs w:val="20"/>
        </w:rPr>
        <w:lastRenderedPageBreak/>
        <w:t xml:space="preserve">including the control were recorded weekly during the test period starting on the initial day, then on the day 0, 7th and the 14th day thereafter. In all the recorded weights, all </w:t>
      </w:r>
      <w:r w:rsidR="00180C9D">
        <w:rPr>
          <w:rFonts w:ascii="Arial" w:hAnsi="Arial" w:cs="Arial"/>
          <w:sz w:val="20"/>
          <w:szCs w:val="20"/>
        </w:rPr>
        <w:t>five</w:t>
      </w:r>
      <w:r w:rsidRPr="00237CF8">
        <w:rPr>
          <w:rFonts w:ascii="Arial" w:hAnsi="Arial" w:cs="Arial"/>
          <w:sz w:val="20"/>
          <w:szCs w:val="20"/>
        </w:rPr>
        <w:t xml:space="preserve"> treated groups did not exhibit statistically relevant or significant aberrations in body weight</w:t>
      </w:r>
      <w:r w:rsidR="0022376D">
        <w:rPr>
          <w:rFonts w:ascii="Arial" w:hAnsi="Arial" w:cs="Arial"/>
          <w:sz w:val="20"/>
          <w:szCs w:val="20"/>
        </w:rPr>
        <w:t xml:space="preserve"> as described by figure 4 below</w:t>
      </w:r>
      <w:r w:rsidRPr="00237CF8">
        <w:rPr>
          <w:rFonts w:ascii="Arial" w:hAnsi="Arial" w:cs="Arial"/>
          <w:sz w:val="20"/>
          <w:szCs w:val="20"/>
        </w:rPr>
        <w:t>.</w:t>
      </w:r>
    </w:p>
    <w:p w14:paraId="53129791" w14:textId="60390281" w:rsidR="00D476C0" w:rsidRPr="00F7299E" w:rsidRDefault="00D476C0" w:rsidP="00D476C0">
      <w:pPr>
        <w:pStyle w:val="Caption"/>
        <w:keepNext/>
        <w:contextualSpacing/>
        <w:rPr>
          <w:b/>
          <w:bCs/>
          <w:lang w:val="en-ZA"/>
        </w:rPr>
      </w:pPr>
      <w:r>
        <w:t xml:space="preserve">Table </w:t>
      </w:r>
      <w:r w:rsidR="009E2F3F">
        <w:rPr>
          <w:b/>
          <w:bCs/>
          <w:lang w:val="en-ZA"/>
        </w:rPr>
        <w:t>2</w:t>
      </w:r>
      <w:r w:rsidRPr="00F7299E">
        <w:rPr>
          <w:b/>
          <w:bCs/>
          <w:lang w:val="en-ZA"/>
        </w:rPr>
        <w:t xml:space="preserve">: Shows the observations for behaviour and appearance </w:t>
      </w:r>
      <w:proofErr w:type="gramStart"/>
      <w:r w:rsidRPr="00F7299E">
        <w:rPr>
          <w:b/>
          <w:bCs/>
          <w:lang w:val="en-ZA"/>
        </w:rPr>
        <w:t>of  Sprague</w:t>
      </w:r>
      <w:proofErr w:type="gramEnd"/>
      <w:r w:rsidRPr="00F7299E">
        <w:rPr>
          <w:b/>
          <w:bCs/>
          <w:lang w:val="en-ZA"/>
        </w:rPr>
        <w:t xml:space="preserve"> Dawley rats during studies</w:t>
      </w:r>
    </w:p>
    <w:tbl>
      <w:tblPr>
        <w:tblStyle w:val="PlainTable2"/>
        <w:tblW w:w="0" w:type="auto"/>
        <w:tblLook w:val="04A0" w:firstRow="1" w:lastRow="0" w:firstColumn="1" w:lastColumn="0" w:noHBand="0" w:noVBand="1"/>
      </w:tblPr>
      <w:tblGrid>
        <w:gridCol w:w="1377"/>
        <w:gridCol w:w="1453"/>
        <w:gridCol w:w="1418"/>
        <w:gridCol w:w="1417"/>
        <w:gridCol w:w="1418"/>
        <w:gridCol w:w="1559"/>
      </w:tblGrid>
      <w:tr w:rsidR="00D476C0" w:rsidRPr="00D476C0" w14:paraId="7651C63A" w14:textId="77777777" w:rsidTr="00D476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shd w:val="clear" w:color="auto" w:fill="DDD9C3" w:themeFill="background2" w:themeFillShade="E6"/>
          </w:tcPr>
          <w:p w14:paraId="7BCA2608" w14:textId="77777777" w:rsidR="00D476C0" w:rsidRPr="00D476C0" w:rsidRDefault="00D476C0" w:rsidP="00D476C0">
            <w:pPr>
              <w:spacing w:after="0" w:line="240" w:lineRule="auto"/>
              <w:contextualSpacing/>
              <w:jc w:val="center"/>
              <w:rPr>
                <w:rFonts w:ascii="Arial" w:hAnsi="Arial" w:cs="Arial"/>
                <w:i/>
                <w:iCs/>
                <w:sz w:val="18"/>
                <w:szCs w:val="18"/>
              </w:rPr>
            </w:pPr>
            <w:r w:rsidRPr="00D476C0">
              <w:rPr>
                <w:rFonts w:ascii="Arial" w:hAnsi="Arial" w:cs="Arial"/>
                <w:i/>
                <w:iCs/>
                <w:sz w:val="18"/>
                <w:szCs w:val="18"/>
              </w:rPr>
              <w:t>V. nilotica</w:t>
            </w:r>
          </w:p>
        </w:tc>
        <w:tc>
          <w:tcPr>
            <w:tcW w:w="1453" w:type="dxa"/>
            <w:shd w:val="clear" w:color="auto" w:fill="DDD9C3" w:themeFill="background2" w:themeFillShade="E6"/>
          </w:tcPr>
          <w:p w14:paraId="1522005D" w14:textId="77777777" w:rsidR="00D476C0" w:rsidRPr="00D476C0" w:rsidRDefault="00D476C0" w:rsidP="00D476C0">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D476C0">
              <w:rPr>
                <w:rFonts w:ascii="Arial" w:hAnsi="Arial" w:cs="Arial"/>
                <w:sz w:val="18"/>
                <w:szCs w:val="18"/>
              </w:rPr>
              <w:t>250mg</w:t>
            </w:r>
          </w:p>
        </w:tc>
        <w:tc>
          <w:tcPr>
            <w:tcW w:w="1418" w:type="dxa"/>
            <w:shd w:val="clear" w:color="auto" w:fill="DDD9C3" w:themeFill="background2" w:themeFillShade="E6"/>
          </w:tcPr>
          <w:p w14:paraId="5474A236" w14:textId="77777777" w:rsidR="00D476C0" w:rsidRPr="00D476C0" w:rsidRDefault="00D476C0" w:rsidP="00D476C0">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D476C0">
              <w:rPr>
                <w:rFonts w:ascii="Arial" w:hAnsi="Arial" w:cs="Arial"/>
                <w:sz w:val="18"/>
                <w:szCs w:val="18"/>
              </w:rPr>
              <w:t>500mg</w:t>
            </w:r>
          </w:p>
        </w:tc>
        <w:tc>
          <w:tcPr>
            <w:tcW w:w="1417" w:type="dxa"/>
            <w:shd w:val="clear" w:color="auto" w:fill="DDD9C3" w:themeFill="background2" w:themeFillShade="E6"/>
          </w:tcPr>
          <w:p w14:paraId="197FD4D3" w14:textId="77777777" w:rsidR="00D476C0" w:rsidRPr="00D476C0" w:rsidRDefault="00D476C0" w:rsidP="00D476C0">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D476C0">
              <w:rPr>
                <w:rFonts w:ascii="Arial" w:hAnsi="Arial" w:cs="Arial"/>
                <w:sz w:val="18"/>
                <w:szCs w:val="18"/>
              </w:rPr>
              <w:t>1000mg</w:t>
            </w:r>
          </w:p>
        </w:tc>
        <w:tc>
          <w:tcPr>
            <w:tcW w:w="1418" w:type="dxa"/>
            <w:shd w:val="clear" w:color="auto" w:fill="DDD9C3" w:themeFill="background2" w:themeFillShade="E6"/>
          </w:tcPr>
          <w:p w14:paraId="58146902" w14:textId="77777777" w:rsidR="00D476C0" w:rsidRPr="00D476C0" w:rsidRDefault="00D476C0" w:rsidP="00D476C0">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D476C0">
              <w:rPr>
                <w:rFonts w:ascii="Arial" w:hAnsi="Arial" w:cs="Arial"/>
                <w:sz w:val="18"/>
                <w:szCs w:val="18"/>
              </w:rPr>
              <w:t>2000mg</w:t>
            </w:r>
          </w:p>
        </w:tc>
        <w:tc>
          <w:tcPr>
            <w:tcW w:w="1559" w:type="dxa"/>
            <w:shd w:val="clear" w:color="auto" w:fill="DDD9C3" w:themeFill="background2" w:themeFillShade="E6"/>
          </w:tcPr>
          <w:p w14:paraId="220D6112" w14:textId="77777777" w:rsidR="00D476C0" w:rsidRPr="00D476C0" w:rsidRDefault="00D476C0" w:rsidP="00D476C0">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D476C0">
              <w:rPr>
                <w:rFonts w:ascii="Arial" w:hAnsi="Arial" w:cs="Arial"/>
                <w:sz w:val="18"/>
                <w:szCs w:val="18"/>
              </w:rPr>
              <w:t>Control</w:t>
            </w:r>
          </w:p>
        </w:tc>
      </w:tr>
      <w:tr w:rsidR="00D476C0" w:rsidRPr="00D476C0" w14:paraId="34B84298" w14:textId="77777777" w:rsidTr="00D47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Pr>
          <w:p w14:paraId="3A2EA558" w14:textId="77777777" w:rsidR="00D476C0" w:rsidRPr="00D476C0" w:rsidRDefault="00D476C0" w:rsidP="00D476C0">
            <w:pPr>
              <w:spacing w:after="0" w:line="240" w:lineRule="auto"/>
              <w:contextualSpacing/>
              <w:jc w:val="center"/>
              <w:rPr>
                <w:rFonts w:ascii="Arial" w:hAnsi="Arial" w:cs="Arial"/>
                <w:sz w:val="18"/>
                <w:szCs w:val="18"/>
              </w:rPr>
            </w:pPr>
            <w:r w:rsidRPr="00D476C0">
              <w:rPr>
                <w:rFonts w:ascii="Arial" w:hAnsi="Arial" w:cs="Arial"/>
                <w:sz w:val="18"/>
                <w:szCs w:val="18"/>
              </w:rPr>
              <w:t>Food intake</w:t>
            </w:r>
          </w:p>
        </w:tc>
        <w:tc>
          <w:tcPr>
            <w:tcW w:w="1453" w:type="dxa"/>
          </w:tcPr>
          <w:p w14:paraId="2A89E7A1" w14:textId="77777777" w:rsidR="00D476C0" w:rsidRPr="00D476C0" w:rsidRDefault="00D476C0" w:rsidP="00D476C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6C0">
              <w:rPr>
                <w:rFonts w:ascii="Arial" w:hAnsi="Arial" w:cs="Arial"/>
                <w:sz w:val="18"/>
                <w:szCs w:val="18"/>
              </w:rPr>
              <w:t>Normal</w:t>
            </w:r>
          </w:p>
        </w:tc>
        <w:tc>
          <w:tcPr>
            <w:tcW w:w="1418" w:type="dxa"/>
          </w:tcPr>
          <w:p w14:paraId="0787C9FB" w14:textId="11A643C0" w:rsidR="00D476C0" w:rsidRPr="00D476C0" w:rsidRDefault="00D476C0" w:rsidP="00D476C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6C0">
              <w:rPr>
                <w:rFonts w:ascii="Arial" w:hAnsi="Arial" w:cs="Arial"/>
                <w:sz w:val="18"/>
                <w:szCs w:val="18"/>
              </w:rPr>
              <w:t>Normal</w:t>
            </w:r>
          </w:p>
        </w:tc>
        <w:tc>
          <w:tcPr>
            <w:tcW w:w="1417" w:type="dxa"/>
          </w:tcPr>
          <w:p w14:paraId="7F5C6863" w14:textId="3281C4C3" w:rsidR="00D476C0" w:rsidRPr="00D476C0" w:rsidRDefault="00D476C0" w:rsidP="00D476C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6C0">
              <w:rPr>
                <w:rFonts w:ascii="Arial" w:hAnsi="Arial" w:cs="Arial"/>
                <w:sz w:val="18"/>
                <w:szCs w:val="18"/>
              </w:rPr>
              <w:t>Normal</w:t>
            </w:r>
          </w:p>
        </w:tc>
        <w:tc>
          <w:tcPr>
            <w:tcW w:w="1418" w:type="dxa"/>
          </w:tcPr>
          <w:p w14:paraId="171DA5BD" w14:textId="69AC9324" w:rsidR="00D476C0" w:rsidRPr="00D476C0" w:rsidRDefault="00D476C0" w:rsidP="00D476C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6C0">
              <w:rPr>
                <w:rFonts w:ascii="Arial" w:hAnsi="Arial" w:cs="Arial"/>
                <w:sz w:val="18"/>
                <w:szCs w:val="18"/>
              </w:rPr>
              <w:t>Normal</w:t>
            </w:r>
          </w:p>
        </w:tc>
        <w:tc>
          <w:tcPr>
            <w:tcW w:w="1559" w:type="dxa"/>
          </w:tcPr>
          <w:p w14:paraId="676BFC3B" w14:textId="1C95ADB6" w:rsidR="00D476C0" w:rsidRPr="00D476C0" w:rsidRDefault="00D476C0" w:rsidP="00D476C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6C0">
              <w:rPr>
                <w:rFonts w:ascii="Arial" w:hAnsi="Arial" w:cs="Arial"/>
                <w:sz w:val="18"/>
                <w:szCs w:val="18"/>
              </w:rPr>
              <w:t>Normal</w:t>
            </w:r>
          </w:p>
        </w:tc>
      </w:tr>
      <w:tr w:rsidR="00D476C0" w:rsidRPr="00D476C0" w14:paraId="340C4FB8" w14:textId="77777777" w:rsidTr="00D476C0">
        <w:tc>
          <w:tcPr>
            <w:cnfStyle w:val="001000000000" w:firstRow="0" w:lastRow="0" w:firstColumn="1" w:lastColumn="0" w:oddVBand="0" w:evenVBand="0" w:oddHBand="0" w:evenHBand="0" w:firstRowFirstColumn="0" w:firstRowLastColumn="0" w:lastRowFirstColumn="0" w:lastRowLastColumn="0"/>
            <w:tcW w:w="1377" w:type="dxa"/>
          </w:tcPr>
          <w:p w14:paraId="1BDF8EEC" w14:textId="77777777" w:rsidR="00D476C0" w:rsidRPr="00D476C0" w:rsidRDefault="00D476C0" w:rsidP="00D476C0">
            <w:pPr>
              <w:spacing w:after="0" w:line="240" w:lineRule="auto"/>
              <w:contextualSpacing/>
              <w:jc w:val="center"/>
              <w:rPr>
                <w:rFonts w:ascii="Arial" w:hAnsi="Arial" w:cs="Arial"/>
                <w:sz w:val="18"/>
                <w:szCs w:val="18"/>
              </w:rPr>
            </w:pPr>
            <w:r w:rsidRPr="00D476C0">
              <w:rPr>
                <w:rFonts w:ascii="Arial" w:hAnsi="Arial" w:cs="Arial"/>
                <w:sz w:val="18"/>
                <w:szCs w:val="18"/>
              </w:rPr>
              <w:t>Water intake</w:t>
            </w:r>
          </w:p>
        </w:tc>
        <w:tc>
          <w:tcPr>
            <w:tcW w:w="1453" w:type="dxa"/>
          </w:tcPr>
          <w:p w14:paraId="6A7AB512" w14:textId="77777777" w:rsidR="00D476C0" w:rsidRPr="00D476C0" w:rsidRDefault="00D476C0" w:rsidP="00D476C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6C0">
              <w:rPr>
                <w:rFonts w:ascii="Arial" w:hAnsi="Arial" w:cs="Arial"/>
                <w:sz w:val="18"/>
                <w:szCs w:val="18"/>
              </w:rPr>
              <w:t>Normal</w:t>
            </w:r>
          </w:p>
        </w:tc>
        <w:tc>
          <w:tcPr>
            <w:tcW w:w="1418" w:type="dxa"/>
          </w:tcPr>
          <w:p w14:paraId="00815C5E" w14:textId="3535EC98" w:rsidR="00D476C0" w:rsidRPr="00D476C0" w:rsidRDefault="00D476C0" w:rsidP="00D476C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6C0">
              <w:rPr>
                <w:rFonts w:ascii="Arial" w:hAnsi="Arial" w:cs="Arial"/>
                <w:sz w:val="18"/>
                <w:szCs w:val="18"/>
              </w:rPr>
              <w:t>Normal</w:t>
            </w:r>
          </w:p>
        </w:tc>
        <w:tc>
          <w:tcPr>
            <w:tcW w:w="1417" w:type="dxa"/>
          </w:tcPr>
          <w:p w14:paraId="7DC13A0B" w14:textId="70C25603" w:rsidR="00D476C0" w:rsidRPr="00D476C0" w:rsidRDefault="00D476C0" w:rsidP="00D476C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6C0">
              <w:rPr>
                <w:rFonts w:ascii="Arial" w:hAnsi="Arial" w:cs="Arial"/>
                <w:sz w:val="18"/>
                <w:szCs w:val="18"/>
              </w:rPr>
              <w:t>Normal</w:t>
            </w:r>
          </w:p>
        </w:tc>
        <w:tc>
          <w:tcPr>
            <w:tcW w:w="1418" w:type="dxa"/>
          </w:tcPr>
          <w:p w14:paraId="78DCA52A" w14:textId="6A6AA647" w:rsidR="00D476C0" w:rsidRPr="00D476C0" w:rsidRDefault="00D476C0" w:rsidP="00D476C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6C0">
              <w:rPr>
                <w:rFonts w:ascii="Arial" w:hAnsi="Arial" w:cs="Arial"/>
                <w:sz w:val="18"/>
                <w:szCs w:val="18"/>
              </w:rPr>
              <w:t>Normal</w:t>
            </w:r>
          </w:p>
        </w:tc>
        <w:tc>
          <w:tcPr>
            <w:tcW w:w="1559" w:type="dxa"/>
          </w:tcPr>
          <w:p w14:paraId="43B93AA9" w14:textId="1879CEEE" w:rsidR="00D476C0" w:rsidRPr="00D476C0" w:rsidRDefault="00D476C0" w:rsidP="00D476C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6C0">
              <w:rPr>
                <w:rFonts w:ascii="Arial" w:hAnsi="Arial" w:cs="Arial"/>
                <w:sz w:val="18"/>
                <w:szCs w:val="18"/>
              </w:rPr>
              <w:t>Normal</w:t>
            </w:r>
          </w:p>
        </w:tc>
      </w:tr>
      <w:tr w:rsidR="00D476C0" w:rsidRPr="00D476C0" w14:paraId="21ED7C7D" w14:textId="77777777" w:rsidTr="00D47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Pr>
          <w:p w14:paraId="575B1604" w14:textId="140451D6" w:rsidR="00D476C0" w:rsidRPr="00D476C0" w:rsidRDefault="00D476C0" w:rsidP="00D476C0">
            <w:pPr>
              <w:spacing w:after="0" w:line="240" w:lineRule="auto"/>
              <w:contextualSpacing/>
              <w:jc w:val="center"/>
              <w:rPr>
                <w:rFonts w:ascii="Arial" w:hAnsi="Arial" w:cs="Arial"/>
                <w:sz w:val="18"/>
                <w:szCs w:val="18"/>
              </w:rPr>
            </w:pPr>
            <w:r w:rsidRPr="00D476C0">
              <w:rPr>
                <w:rFonts w:ascii="Arial" w:hAnsi="Arial" w:cs="Arial"/>
                <w:sz w:val="18"/>
                <w:szCs w:val="18"/>
              </w:rPr>
              <w:t>Death</w:t>
            </w:r>
          </w:p>
        </w:tc>
        <w:tc>
          <w:tcPr>
            <w:tcW w:w="1453" w:type="dxa"/>
          </w:tcPr>
          <w:p w14:paraId="5C687EED" w14:textId="04C43C43" w:rsidR="00D476C0" w:rsidRPr="00D476C0" w:rsidRDefault="00D476C0" w:rsidP="00D476C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6C0">
              <w:rPr>
                <w:rFonts w:ascii="Arial" w:hAnsi="Arial" w:cs="Arial"/>
                <w:sz w:val="18"/>
                <w:szCs w:val="18"/>
              </w:rPr>
              <w:t>Alive</w:t>
            </w:r>
          </w:p>
        </w:tc>
        <w:tc>
          <w:tcPr>
            <w:tcW w:w="1418" w:type="dxa"/>
          </w:tcPr>
          <w:p w14:paraId="2FDA4462" w14:textId="77488EAF" w:rsidR="00D476C0" w:rsidRPr="00D476C0" w:rsidRDefault="00D476C0" w:rsidP="00D476C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6C0">
              <w:rPr>
                <w:rFonts w:ascii="Arial" w:hAnsi="Arial" w:cs="Arial"/>
                <w:sz w:val="18"/>
                <w:szCs w:val="18"/>
              </w:rPr>
              <w:t>Alive</w:t>
            </w:r>
          </w:p>
        </w:tc>
        <w:tc>
          <w:tcPr>
            <w:tcW w:w="1417" w:type="dxa"/>
          </w:tcPr>
          <w:p w14:paraId="637E27DC" w14:textId="3596C031" w:rsidR="00D476C0" w:rsidRPr="00D476C0" w:rsidRDefault="00D476C0" w:rsidP="00D476C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6C0">
              <w:rPr>
                <w:rFonts w:ascii="Arial" w:hAnsi="Arial" w:cs="Arial"/>
                <w:sz w:val="18"/>
                <w:szCs w:val="18"/>
              </w:rPr>
              <w:t>Alive</w:t>
            </w:r>
          </w:p>
        </w:tc>
        <w:tc>
          <w:tcPr>
            <w:tcW w:w="1418" w:type="dxa"/>
          </w:tcPr>
          <w:p w14:paraId="79CC0EF7" w14:textId="77777777" w:rsidR="00D476C0" w:rsidRPr="00D476C0" w:rsidRDefault="00D476C0" w:rsidP="00D476C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6C0">
              <w:rPr>
                <w:rFonts w:ascii="Arial" w:hAnsi="Arial" w:cs="Arial"/>
                <w:sz w:val="18"/>
                <w:szCs w:val="18"/>
              </w:rPr>
              <w:t>Alive</w:t>
            </w:r>
          </w:p>
        </w:tc>
        <w:tc>
          <w:tcPr>
            <w:tcW w:w="1559" w:type="dxa"/>
          </w:tcPr>
          <w:p w14:paraId="24671716" w14:textId="7357F1F0" w:rsidR="00D476C0" w:rsidRPr="00D476C0" w:rsidRDefault="00D476C0" w:rsidP="00D476C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6C0">
              <w:rPr>
                <w:rFonts w:ascii="Arial" w:hAnsi="Arial" w:cs="Arial"/>
                <w:sz w:val="18"/>
                <w:szCs w:val="18"/>
              </w:rPr>
              <w:t>Alive</w:t>
            </w:r>
          </w:p>
        </w:tc>
      </w:tr>
      <w:tr w:rsidR="00D476C0" w:rsidRPr="00D476C0" w14:paraId="6166B63A" w14:textId="77777777" w:rsidTr="00D476C0">
        <w:tc>
          <w:tcPr>
            <w:cnfStyle w:val="001000000000" w:firstRow="0" w:lastRow="0" w:firstColumn="1" w:lastColumn="0" w:oddVBand="0" w:evenVBand="0" w:oddHBand="0" w:evenHBand="0" w:firstRowFirstColumn="0" w:firstRowLastColumn="0" w:lastRowFirstColumn="0" w:lastRowLastColumn="0"/>
            <w:tcW w:w="1377" w:type="dxa"/>
          </w:tcPr>
          <w:p w14:paraId="2ECD848E" w14:textId="0FE971BC" w:rsidR="00D476C0" w:rsidRPr="00D476C0" w:rsidRDefault="00D476C0" w:rsidP="00D476C0">
            <w:pPr>
              <w:spacing w:after="0" w:line="240" w:lineRule="auto"/>
              <w:contextualSpacing/>
              <w:jc w:val="center"/>
              <w:rPr>
                <w:rFonts w:ascii="Arial" w:hAnsi="Arial" w:cs="Arial"/>
                <w:sz w:val="18"/>
                <w:szCs w:val="18"/>
              </w:rPr>
            </w:pPr>
            <w:r w:rsidRPr="00D476C0">
              <w:rPr>
                <w:rFonts w:ascii="Arial" w:hAnsi="Arial" w:cs="Arial"/>
                <w:sz w:val="18"/>
                <w:szCs w:val="18"/>
              </w:rPr>
              <w:t>Breathing</w:t>
            </w:r>
          </w:p>
        </w:tc>
        <w:tc>
          <w:tcPr>
            <w:tcW w:w="1453" w:type="dxa"/>
          </w:tcPr>
          <w:p w14:paraId="1D62F775" w14:textId="77777777" w:rsidR="00D476C0" w:rsidRPr="00D476C0" w:rsidRDefault="00D476C0" w:rsidP="00D476C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6C0">
              <w:rPr>
                <w:rFonts w:ascii="Arial" w:hAnsi="Arial" w:cs="Arial"/>
                <w:sz w:val="18"/>
                <w:szCs w:val="18"/>
              </w:rPr>
              <w:t>Normal</w:t>
            </w:r>
          </w:p>
        </w:tc>
        <w:tc>
          <w:tcPr>
            <w:tcW w:w="1418" w:type="dxa"/>
          </w:tcPr>
          <w:p w14:paraId="78BBFBFF" w14:textId="09BD025B" w:rsidR="00D476C0" w:rsidRPr="00D476C0" w:rsidRDefault="00D476C0" w:rsidP="00D476C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6C0">
              <w:rPr>
                <w:rFonts w:ascii="Arial" w:hAnsi="Arial" w:cs="Arial"/>
                <w:sz w:val="18"/>
                <w:szCs w:val="18"/>
              </w:rPr>
              <w:t>Normal</w:t>
            </w:r>
          </w:p>
        </w:tc>
        <w:tc>
          <w:tcPr>
            <w:tcW w:w="1417" w:type="dxa"/>
          </w:tcPr>
          <w:p w14:paraId="5EBF6430" w14:textId="3310145B" w:rsidR="00D476C0" w:rsidRPr="00D476C0" w:rsidRDefault="00D476C0" w:rsidP="00D476C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6C0">
              <w:rPr>
                <w:rFonts w:ascii="Arial" w:hAnsi="Arial" w:cs="Arial"/>
                <w:sz w:val="18"/>
                <w:szCs w:val="18"/>
              </w:rPr>
              <w:t>Normal</w:t>
            </w:r>
          </w:p>
        </w:tc>
        <w:tc>
          <w:tcPr>
            <w:tcW w:w="1418" w:type="dxa"/>
          </w:tcPr>
          <w:p w14:paraId="6F737DB2" w14:textId="0AE9C2D9" w:rsidR="00D476C0" w:rsidRPr="00D476C0" w:rsidRDefault="00D476C0" w:rsidP="00D476C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6C0">
              <w:rPr>
                <w:rFonts w:ascii="Arial" w:hAnsi="Arial" w:cs="Arial"/>
                <w:sz w:val="18"/>
                <w:szCs w:val="18"/>
              </w:rPr>
              <w:t>abnormal</w:t>
            </w:r>
          </w:p>
        </w:tc>
        <w:tc>
          <w:tcPr>
            <w:tcW w:w="1559" w:type="dxa"/>
          </w:tcPr>
          <w:p w14:paraId="3CAA03F6" w14:textId="44E4C5DD" w:rsidR="00D476C0" w:rsidRPr="00D476C0" w:rsidRDefault="00D476C0" w:rsidP="00D476C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6C0">
              <w:rPr>
                <w:rFonts w:ascii="Arial" w:hAnsi="Arial" w:cs="Arial"/>
                <w:sz w:val="18"/>
                <w:szCs w:val="18"/>
              </w:rPr>
              <w:t>Normal</w:t>
            </w:r>
          </w:p>
        </w:tc>
      </w:tr>
      <w:tr w:rsidR="00D476C0" w:rsidRPr="00D476C0" w14:paraId="54E94B5C" w14:textId="77777777" w:rsidTr="00D47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Pr>
          <w:p w14:paraId="3C69C250" w14:textId="77777777" w:rsidR="00D476C0" w:rsidRPr="00D476C0" w:rsidRDefault="00D476C0" w:rsidP="00D476C0">
            <w:pPr>
              <w:spacing w:after="0" w:line="240" w:lineRule="auto"/>
              <w:contextualSpacing/>
              <w:jc w:val="center"/>
              <w:rPr>
                <w:rFonts w:ascii="Arial" w:hAnsi="Arial" w:cs="Arial"/>
                <w:sz w:val="18"/>
                <w:szCs w:val="18"/>
              </w:rPr>
            </w:pPr>
            <w:r w:rsidRPr="00D476C0">
              <w:rPr>
                <w:rFonts w:ascii="Arial" w:hAnsi="Arial" w:cs="Arial"/>
                <w:sz w:val="18"/>
                <w:szCs w:val="18"/>
              </w:rPr>
              <w:t>Diarrhoea</w:t>
            </w:r>
          </w:p>
        </w:tc>
        <w:tc>
          <w:tcPr>
            <w:tcW w:w="1453" w:type="dxa"/>
          </w:tcPr>
          <w:p w14:paraId="4050387A" w14:textId="77777777" w:rsidR="00D476C0" w:rsidRPr="00D476C0" w:rsidRDefault="00D476C0" w:rsidP="00D476C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6C0">
              <w:rPr>
                <w:rFonts w:ascii="Arial" w:hAnsi="Arial" w:cs="Arial"/>
                <w:sz w:val="18"/>
                <w:szCs w:val="18"/>
              </w:rPr>
              <w:t>Not observed</w:t>
            </w:r>
          </w:p>
        </w:tc>
        <w:tc>
          <w:tcPr>
            <w:tcW w:w="1418" w:type="dxa"/>
          </w:tcPr>
          <w:p w14:paraId="609369C0" w14:textId="77777777" w:rsidR="00D476C0" w:rsidRPr="00D476C0" w:rsidRDefault="00D476C0" w:rsidP="00D476C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6C0">
              <w:rPr>
                <w:rFonts w:ascii="Arial" w:hAnsi="Arial" w:cs="Arial"/>
                <w:sz w:val="18"/>
                <w:szCs w:val="18"/>
              </w:rPr>
              <w:t>Not observed</w:t>
            </w:r>
          </w:p>
        </w:tc>
        <w:tc>
          <w:tcPr>
            <w:tcW w:w="1417" w:type="dxa"/>
          </w:tcPr>
          <w:p w14:paraId="124CC4E4" w14:textId="77777777" w:rsidR="00D476C0" w:rsidRPr="00D476C0" w:rsidRDefault="00D476C0" w:rsidP="00D476C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6C0">
              <w:rPr>
                <w:rFonts w:ascii="Arial" w:hAnsi="Arial" w:cs="Arial"/>
                <w:sz w:val="18"/>
                <w:szCs w:val="18"/>
              </w:rPr>
              <w:t>Not observed</w:t>
            </w:r>
          </w:p>
        </w:tc>
        <w:tc>
          <w:tcPr>
            <w:tcW w:w="1418" w:type="dxa"/>
          </w:tcPr>
          <w:p w14:paraId="262A2603" w14:textId="77777777" w:rsidR="00D476C0" w:rsidRPr="00D476C0" w:rsidRDefault="00D476C0" w:rsidP="00D476C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6C0">
              <w:rPr>
                <w:rFonts w:ascii="Arial" w:hAnsi="Arial" w:cs="Arial"/>
                <w:sz w:val="18"/>
                <w:szCs w:val="18"/>
              </w:rPr>
              <w:t>Not observed</w:t>
            </w:r>
          </w:p>
        </w:tc>
        <w:tc>
          <w:tcPr>
            <w:tcW w:w="1559" w:type="dxa"/>
          </w:tcPr>
          <w:p w14:paraId="3A0109FF" w14:textId="77777777" w:rsidR="00D476C0" w:rsidRPr="00D476C0" w:rsidRDefault="00D476C0" w:rsidP="00D476C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6C0">
              <w:rPr>
                <w:rFonts w:ascii="Arial" w:hAnsi="Arial" w:cs="Arial"/>
                <w:sz w:val="18"/>
                <w:szCs w:val="18"/>
              </w:rPr>
              <w:t>Not observed</w:t>
            </w:r>
          </w:p>
        </w:tc>
      </w:tr>
      <w:tr w:rsidR="00D476C0" w:rsidRPr="00D476C0" w14:paraId="0430A5CC" w14:textId="77777777" w:rsidTr="00D476C0">
        <w:tc>
          <w:tcPr>
            <w:cnfStyle w:val="001000000000" w:firstRow="0" w:lastRow="0" w:firstColumn="1" w:lastColumn="0" w:oddVBand="0" w:evenVBand="0" w:oddHBand="0" w:evenHBand="0" w:firstRowFirstColumn="0" w:firstRowLastColumn="0" w:lastRowFirstColumn="0" w:lastRowLastColumn="0"/>
            <w:tcW w:w="1377" w:type="dxa"/>
          </w:tcPr>
          <w:p w14:paraId="14FCEC74" w14:textId="1787909F" w:rsidR="00D476C0" w:rsidRPr="00D476C0" w:rsidRDefault="00D476C0" w:rsidP="00D476C0">
            <w:pPr>
              <w:spacing w:after="0" w:line="240" w:lineRule="auto"/>
              <w:contextualSpacing/>
              <w:jc w:val="center"/>
              <w:rPr>
                <w:rFonts w:ascii="Arial" w:hAnsi="Arial" w:cs="Arial"/>
                <w:sz w:val="18"/>
                <w:szCs w:val="18"/>
              </w:rPr>
            </w:pPr>
            <w:r w:rsidRPr="00D476C0">
              <w:rPr>
                <w:rFonts w:ascii="Arial" w:hAnsi="Arial" w:cs="Arial"/>
                <w:sz w:val="18"/>
                <w:szCs w:val="18"/>
              </w:rPr>
              <w:t>Urination</w:t>
            </w:r>
          </w:p>
        </w:tc>
        <w:tc>
          <w:tcPr>
            <w:tcW w:w="1453" w:type="dxa"/>
          </w:tcPr>
          <w:p w14:paraId="4607E46C" w14:textId="77777777" w:rsidR="00D476C0" w:rsidRPr="00D476C0" w:rsidRDefault="00D476C0" w:rsidP="00D476C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6C0">
              <w:rPr>
                <w:rFonts w:ascii="Arial" w:hAnsi="Arial" w:cs="Arial"/>
                <w:sz w:val="18"/>
                <w:szCs w:val="18"/>
              </w:rPr>
              <w:t>Normal</w:t>
            </w:r>
          </w:p>
        </w:tc>
        <w:tc>
          <w:tcPr>
            <w:tcW w:w="1418" w:type="dxa"/>
          </w:tcPr>
          <w:p w14:paraId="37D2EB9C" w14:textId="46C3D55D" w:rsidR="00D476C0" w:rsidRPr="00D476C0" w:rsidRDefault="00D476C0" w:rsidP="00D476C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6C0">
              <w:rPr>
                <w:rFonts w:ascii="Arial" w:hAnsi="Arial" w:cs="Arial"/>
                <w:sz w:val="18"/>
                <w:szCs w:val="18"/>
              </w:rPr>
              <w:t>Normal</w:t>
            </w:r>
          </w:p>
        </w:tc>
        <w:tc>
          <w:tcPr>
            <w:tcW w:w="1417" w:type="dxa"/>
          </w:tcPr>
          <w:p w14:paraId="31A59A7C" w14:textId="61DD3410" w:rsidR="00D476C0" w:rsidRPr="00D476C0" w:rsidRDefault="00D476C0" w:rsidP="00D476C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6C0">
              <w:rPr>
                <w:rFonts w:ascii="Arial" w:hAnsi="Arial" w:cs="Arial"/>
                <w:sz w:val="18"/>
                <w:szCs w:val="18"/>
              </w:rPr>
              <w:t>Normal</w:t>
            </w:r>
          </w:p>
        </w:tc>
        <w:tc>
          <w:tcPr>
            <w:tcW w:w="1418" w:type="dxa"/>
          </w:tcPr>
          <w:p w14:paraId="39246695" w14:textId="7E233D80" w:rsidR="00D476C0" w:rsidRPr="00D476C0" w:rsidRDefault="00D476C0" w:rsidP="00D476C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6C0">
              <w:rPr>
                <w:rFonts w:ascii="Arial" w:hAnsi="Arial" w:cs="Arial"/>
                <w:sz w:val="18"/>
                <w:szCs w:val="18"/>
              </w:rPr>
              <w:t>Normal</w:t>
            </w:r>
          </w:p>
        </w:tc>
        <w:tc>
          <w:tcPr>
            <w:tcW w:w="1559" w:type="dxa"/>
          </w:tcPr>
          <w:p w14:paraId="44802C4F" w14:textId="28FB42B9" w:rsidR="00D476C0" w:rsidRPr="00D476C0" w:rsidRDefault="00D476C0" w:rsidP="00D476C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6C0">
              <w:rPr>
                <w:rFonts w:ascii="Arial" w:hAnsi="Arial" w:cs="Arial"/>
                <w:sz w:val="18"/>
                <w:szCs w:val="18"/>
              </w:rPr>
              <w:t>Normal</w:t>
            </w:r>
          </w:p>
        </w:tc>
      </w:tr>
      <w:tr w:rsidR="00D476C0" w:rsidRPr="00D476C0" w14:paraId="20F0898A" w14:textId="77777777" w:rsidTr="00D47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Pr>
          <w:p w14:paraId="59554771" w14:textId="77777777" w:rsidR="00D476C0" w:rsidRPr="00D476C0" w:rsidRDefault="00D476C0" w:rsidP="00D476C0">
            <w:pPr>
              <w:spacing w:after="0" w:line="240" w:lineRule="auto"/>
              <w:contextualSpacing/>
              <w:jc w:val="center"/>
              <w:rPr>
                <w:rFonts w:ascii="Arial" w:hAnsi="Arial" w:cs="Arial"/>
                <w:sz w:val="18"/>
                <w:szCs w:val="18"/>
              </w:rPr>
            </w:pPr>
            <w:r w:rsidRPr="00D476C0">
              <w:rPr>
                <w:rFonts w:ascii="Arial" w:hAnsi="Arial" w:cs="Arial"/>
                <w:sz w:val="18"/>
                <w:szCs w:val="18"/>
              </w:rPr>
              <w:t>Skin colour</w:t>
            </w:r>
          </w:p>
        </w:tc>
        <w:tc>
          <w:tcPr>
            <w:tcW w:w="1453" w:type="dxa"/>
          </w:tcPr>
          <w:p w14:paraId="37A2AD11" w14:textId="4A3B8A59" w:rsidR="00D476C0" w:rsidRPr="00D476C0" w:rsidRDefault="00D476C0" w:rsidP="00D476C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6C0">
              <w:rPr>
                <w:rFonts w:ascii="Arial" w:hAnsi="Arial" w:cs="Arial"/>
                <w:sz w:val="18"/>
                <w:szCs w:val="18"/>
              </w:rPr>
              <w:t>Normal</w:t>
            </w:r>
          </w:p>
        </w:tc>
        <w:tc>
          <w:tcPr>
            <w:tcW w:w="1418" w:type="dxa"/>
          </w:tcPr>
          <w:p w14:paraId="76D6380B" w14:textId="69375BAF" w:rsidR="00D476C0" w:rsidRPr="00D476C0" w:rsidRDefault="00D476C0" w:rsidP="00D476C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6C0">
              <w:rPr>
                <w:rFonts w:ascii="Arial" w:hAnsi="Arial" w:cs="Arial"/>
                <w:sz w:val="18"/>
                <w:szCs w:val="18"/>
              </w:rPr>
              <w:t>Normal</w:t>
            </w:r>
          </w:p>
        </w:tc>
        <w:tc>
          <w:tcPr>
            <w:tcW w:w="1417" w:type="dxa"/>
          </w:tcPr>
          <w:p w14:paraId="1330FA28" w14:textId="0BC5433C" w:rsidR="00D476C0" w:rsidRPr="00D476C0" w:rsidRDefault="00D476C0" w:rsidP="00D476C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6C0">
              <w:rPr>
                <w:rFonts w:ascii="Arial" w:hAnsi="Arial" w:cs="Arial"/>
                <w:sz w:val="18"/>
                <w:szCs w:val="18"/>
              </w:rPr>
              <w:t>Normal</w:t>
            </w:r>
          </w:p>
        </w:tc>
        <w:tc>
          <w:tcPr>
            <w:tcW w:w="1418" w:type="dxa"/>
          </w:tcPr>
          <w:p w14:paraId="58F98342" w14:textId="29B11589" w:rsidR="00D476C0" w:rsidRPr="00D476C0" w:rsidRDefault="00D476C0" w:rsidP="00D476C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6C0">
              <w:rPr>
                <w:rFonts w:ascii="Arial" w:hAnsi="Arial" w:cs="Arial"/>
                <w:sz w:val="18"/>
                <w:szCs w:val="18"/>
              </w:rPr>
              <w:t>Normal</w:t>
            </w:r>
          </w:p>
        </w:tc>
        <w:tc>
          <w:tcPr>
            <w:tcW w:w="1559" w:type="dxa"/>
          </w:tcPr>
          <w:p w14:paraId="772D53B0" w14:textId="09940037" w:rsidR="00D476C0" w:rsidRPr="00D476C0" w:rsidRDefault="00D476C0" w:rsidP="00D476C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6C0">
              <w:rPr>
                <w:rFonts w:ascii="Arial" w:hAnsi="Arial" w:cs="Arial"/>
                <w:sz w:val="18"/>
                <w:szCs w:val="18"/>
              </w:rPr>
              <w:t>Normal</w:t>
            </w:r>
          </w:p>
        </w:tc>
      </w:tr>
      <w:tr w:rsidR="00D476C0" w:rsidRPr="00D476C0" w14:paraId="7A6C9CEC" w14:textId="77777777" w:rsidTr="00D476C0">
        <w:tc>
          <w:tcPr>
            <w:cnfStyle w:val="001000000000" w:firstRow="0" w:lastRow="0" w:firstColumn="1" w:lastColumn="0" w:oddVBand="0" w:evenVBand="0" w:oddHBand="0" w:evenHBand="0" w:firstRowFirstColumn="0" w:firstRowLastColumn="0" w:lastRowFirstColumn="0" w:lastRowLastColumn="0"/>
            <w:tcW w:w="1377" w:type="dxa"/>
          </w:tcPr>
          <w:p w14:paraId="46D93DB0" w14:textId="77777777" w:rsidR="00D476C0" w:rsidRPr="00D476C0" w:rsidRDefault="00D476C0" w:rsidP="00D476C0">
            <w:pPr>
              <w:spacing w:after="0" w:line="240" w:lineRule="auto"/>
              <w:contextualSpacing/>
              <w:jc w:val="center"/>
              <w:rPr>
                <w:rFonts w:ascii="Arial" w:hAnsi="Arial" w:cs="Arial"/>
                <w:sz w:val="18"/>
                <w:szCs w:val="18"/>
              </w:rPr>
            </w:pPr>
            <w:r w:rsidRPr="00D476C0">
              <w:rPr>
                <w:rFonts w:ascii="Arial" w:hAnsi="Arial" w:cs="Arial"/>
                <w:sz w:val="18"/>
                <w:szCs w:val="18"/>
              </w:rPr>
              <w:t>Drowsiness</w:t>
            </w:r>
          </w:p>
        </w:tc>
        <w:tc>
          <w:tcPr>
            <w:tcW w:w="1453" w:type="dxa"/>
          </w:tcPr>
          <w:p w14:paraId="17205884" w14:textId="77777777" w:rsidR="00D476C0" w:rsidRPr="00D476C0" w:rsidRDefault="00D476C0" w:rsidP="00D476C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6C0">
              <w:rPr>
                <w:rFonts w:ascii="Arial" w:hAnsi="Arial" w:cs="Arial"/>
                <w:sz w:val="18"/>
                <w:szCs w:val="18"/>
              </w:rPr>
              <w:t>Not observed</w:t>
            </w:r>
          </w:p>
        </w:tc>
        <w:tc>
          <w:tcPr>
            <w:tcW w:w="1418" w:type="dxa"/>
          </w:tcPr>
          <w:p w14:paraId="4EF06FAF" w14:textId="77777777" w:rsidR="00D476C0" w:rsidRPr="00D476C0" w:rsidRDefault="00D476C0" w:rsidP="00D476C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6C0">
              <w:rPr>
                <w:rFonts w:ascii="Arial" w:hAnsi="Arial" w:cs="Arial"/>
                <w:sz w:val="18"/>
                <w:szCs w:val="18"/>
              </w:rPr>
              <w:t>Not observed</w:t>
            </w:r>
          </w:p>
        </w:tc>
        <w:tc>
          <w:tcPr>
            <w:tcW w:w="1417" w:type="dxa"/>
          </w:tcPr>
          <w:p w14:paraId="78F95B19" w14:textId="77777777" w:rsidR="00D476C0" w:rsidRPr="00D476C0" w:rsidRDefault="00D476C0" w:rsidP="00D476C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6C0">
              <w:rPr>
                <w:rFonts w:ascii="Arial" w:hAnsi="Arial" w:cs="Arial"/>
                <w:sz w:val="18"/>
                <w:szCs w:val="18"/>
              </w:rPr>
              <w:t>Not observed</w:t>
            </w:r>
          </w:p>
        </w:tc>
        <w:tc>
          <w:tcPr>
            <w:tcW w:w="1418" w:type="dxa"/>
          </w:tcPr>
          <w:p w14:paraId="1128B5B6" w14:textId="0DD8F07C" w:rsidR="00D476C0" w:rsidRPr="00D476C0" w:rsidRDefault="00D476C0" w:rsidP="00D476C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6C0">
              <w:rPr>
                <w:rFonts w:ascii="Arial" w:hAnsi="Arial" w:cs="Arial"/>
                <w:sz w:val="18"/>
                <w:szCs w:val="18"/>
              </w:rPr>
              <w:t>Not observed</w:t>
            </w:r>
          </w:p>
        </w:tc>
        <w:tc>
          <w:tcPr>
            <w:tcW w:w="1559" w:type="dxa"/>
          </w:tcPr>
          <w:p w14:paraId="61CFC2AF" w14:textId="568E88DB" w:rsidR="00D476C0" w:rsidRPr="00D476C0" w:rsidRDefault="00D476C0" w:rsidP="00D476C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6C0">
              <w:rPr>
                <w:rFonts w:ascii="Arial" w:hAnsi="Arial" w:cs="Arial"/>
                <w:sz w:val="18"/>
                <w:szCs w:val="18"/>
              </w:rPr>
              <w:t>Not observed</w:t>
            </w:r>
          </w:p>
        </w:tc>
      </w:tr>
      <w:tr w:rsidR="00D476C0" w:rsidRPr="00D476C0" w14:paraId="0D8E9319" w14:textId="77777777" w:rsidTr="00D47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Pr>
          <w:p w14:paraId="33CCF269" w14:textId="35252229" w:rsidR="00D476C0" w:rsidRPr="00D476C0" w:rsidRDefault="00D476C0" w:rsidP="00D476C0">
            <w:pPr>
              <w:spacing w:after="0" w:line="240" w:lineRule="auto"/>
              <w:contextualSpacing/>
              <w:jc w:val="center"/>
              <w:rPr>
                <w:rFonts w:ascii="Arial" w:hAnsi="Arial" w:cs="Arial"/>
                <w:sz w:val="18"/>
                <w:szCs w:val="18"/>
              </w:rPr>
            </w:pPr>
            <w:r w:rsidRPr="00D476C0">
              <w:rPr>
                <w:rFonts w:ascii="Arial" w:hAnsi="Arial" w:cs="Arial"/>
                <w:sz w:val="18"/>
                <w:szCs w:val="18"/>
              </w:rPr>
              <w:t>Piloerection</w:t>
            </w:r>
          </w:p>
        </w:tc>
        <w:tc>
          <w:tcPr>
            <w:tcW w:w="1453" w:type="dxa"/>
          </w:tcPr>
          <w:p w14:paraId="587C768B" w14:textId="77777777" w:rsidR="00D476C0" w:rsidRPr="00D476C0" w:rsidRDefault="00D476C0" w:rsidP="00D476C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6C0">
              <w:rPr>
                <w:rFonts w:ascii="Arial" w:hAnsi="Arial" w:cs="Arial"/>
                <w:sz w:val="18"/>
                <w:szCs w:val="18"/>
              </w:rPr>
              <w:t>Not observed</w:t>
            </w:r>
          </w:p>
        </w:tc>
        <w:tc>
          <w:tcPr>
            <w:tcW w:w="1418" w:type="dxa"/>
          </w:tcPr>
          <w:p w14:paraId="39DC8884" w14:textId="77777777" w:rsidR="00D476C0" w:rsidRPr="00D476C0" w:rsidRDefault="00D476C0" w:rsidP="00D476C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6C0">
              <w:rPr>
                <w:rFonts w:ascii="Arial" w:hAnsi="Arial" w:cs="Arial"/>
                <w:sz w:val="18"/>
                <w:szCs w:val="18"/>
              </w:rPr>
              <w:t>Not observed</w:t>
            </w:r>
          </w:p>
        </w:tc>
        <w:tc>
          <w:tcPr>
            <w:tcW w:w="1417" w:type="dxa"/>
          </w:tcPr>
          <w:p w14:paraId="5C6DF782" w14:textId="77777777" w:rsidR="00D476C0" w:rsidRPr="00D476C0" w:rsidRDefault="00D476C0" w:rsidP="00D476C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6C0">
              <w:rPr>
                <w:rFonts w:ascii="Arial" w:hAnsi="Arial" w:cs="Arial"/>
                <w:sz w:val="18"/>
                <w:szCs w:val="18"/>
              </w:rPr>
              <w:t>Not observed</w:t>
            </w:r>
          </w:p>
        </w:tc>
        <w:tc>
          <w:tcPr>
            <w:tcW w:w="1418" w:type="dxa"/>
          </w:tcPr>
          <w:p w14:paraId="01BD21FA" w14:textId="6C9C483F" w:rsidR="00D476C0" w:rsidRPr="00D476C0" w:rsidRDefault="00D476C0" w:rsidP="00D476C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6C0">
              <w:rPr>
                <w:rFonts w:ascii="Arial" w:hAnsi="Arial" w:cs="Arial"/>
                <w:sz w:val="18"/>
                <w:szCs w:val="18"/>
              </w:rPr>
              <w:t>Not observed</w:t>
            </w:r>
          </w:p>
        </w:tc>
        <w:tc>
          <w:tcPr>
            <w:tcW w:w="1559" w:type="dxa"/>
          </w:tcPr>
          <w:p w14:paraId="4FCD2EF0" w14:textId="428C926C" w:rsidR="00D476C0" w:rsidRPr="00D476C0" w:rsidRDefault="00D476C0" w:rsidP="00D476C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6C0">
              <w:rPr>
                <w:rFonts w:ascii="Arial" w:hAnsi="Arial" w:cs="Arial"/>
                <w:sz w:val="18"/>
                <w:szCs w:val="18"/>
              </w:rPr>
              <w:t>Not observed</w:t>
            </w:r>
          </w:p>
        </w:tc>
      </w:tr>
    </w:tbl>
    <w:p w14:paraId="471B4245" w14:textId="77777777" w:rsidR="00D476C0" w:rsidRPr="00237CF8" w:rsidRDefault="00D476C0" w:rsidP="00D476C0">
      <w:pPr>
        <w:spacing w:line="240" w:lineRule="auto"/>
        <w:contextualSpacing/>
        <w:jc w:val="center"/>
        <w:rPr>
          <w:rFonts w:ascii="Arial" w:hAnsi="Arial" w:cs="Arial"/>
          <w:sz w:val="20"/>
          <w:szCs w:val="20"/>
        </w:rPr>
      </w:pPr>
    </w:p>
    <w:p w14:paraId="30EE2548" w14:textId="77777777" w:rsidR="00C91D4C" w:rsidRPr="00237CF8" w:rsidRDefault="00C91D4C" w:rsidP="00E807B6">
      <w:pPr>
        <w:spacing w:line="240" w:lineRule="auto"/>
        <w:contextualSpacing/>
        <w:jc w:val="both"/>
        <w:rPr>
          <w:rFonts w:ascii="Arial" w:hAnsi="Arial" w:cs="Arial"/>
          <w:sz w:val="20"/>
          <w:szCs w:val="20"/>
        </w:rPr>
      </w:pPr>
    </w:p>
    <w:p w14:paraId="3B1906C2" w14:textId="77777777" w:rsidR="00C91D4C" w:rsidRPr="00237CF8" w:rsidRDefault="00C91D4C" w:rsidP="00E807B6">
      <w:pPr>
        <w:spacing w:line="240" w:lineRule="auto"/>
        <w:contextualSpacing/>
        <w:jc w:val="both"/>
        <w:rPr>
          <w:rFonts w:ascii="Arial" w:hAnsi="Arial" w:cs="Arial"/>
          <w:sz w:val="20"/>
          <w:szCs w:val="20"/>
        </w:rPr>
      </w:pPr>
    </w:p>
    <w:bookmarkEnd w:id="32"/>
    <w:p w14:paraId="4A2524E1" w14:textId="77777777" w:rsidR="00C91D4C" w:rsidRPr="00237CF8" w:rsidRDefault="00C91D4C" w:rsidP="00E807B6">
      <w:pPr>
        <w:spacing w:line="240" w:lineRule="auto"/>
        <w:contextualSpacing/>
        <w:jc w:val="both"/>
        <w:rPr>
          <w:rFonts w:ascii="Arial" w:hAnsi="Arial" w:cs="Arial"/>
          <w:sz w:val="20"/>
          <w:szCs w:val="20"/>
        </w:rPr>
      </w:pPr>
    </w:p>
    <w:p w14:paraId="0E04B4DE" w14:textId="77777777" w:rsidR="00C91D4C" w:rsidRPr="00237CF8" w:rsidRDefault="00C91D4C" w:rsidP="00E807B6">
      <w:pPr>
        <w:spacing w:line="240" w:lineRule="auto"/>
        <w:contextualSpacing/>
        <w:jc w:val="both"/>
        <w:rPr>
          <w:rFonts w:ascii="Arial" w:hAnsi="Arial" w:cs="Arial"/>
          <w:sz w:val="20"/>
          <w:szCs w:val="20"/>
        </w:rPr>
      </w:pPr>
    </w:p>
    <w:p w14:paraId="659B560E" w14:textId="298A9DA5" w:rsidR="00C91D4C" w:rsidRPr="00D72E38" w:rsidRDefault="005B3C32" w:rsidP="00E807B6">
      <w:pPr>
        <w:spacing w:line="240" w:lineRule="auto"/>
        <w:contextualSpacing/>
        <w:jc w:val="both"/>
        <w:rPr>
          <w:rFonts w:ascii="Arial" w:hAnsi="Arial" w:cs="Arial"/>
          <w:sz w:val="20"/>
          <w:szCs w:val="20"/>
        </w:rPr>
      </w:pPr>
      <w:r>
        <w:rPr>
          <w:noProof/>
          <w:sz w:val="24"/>
          <w:szCs w:val="24"/>
        </w:rPr>
        <w:drawing>
          <wp:inline distT="0" distB="0" distL="114300" distR="114300" wp14:anchorId="45CE7ECF" wp14:editId="61A175E4">
            <wp:extent cx="5773119" cy="3432874"/>
            <wp:effectExtent l="0" t="0" r="18415" b="15240"/>
            <wp:docPr id="1061"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34133C6" w14:textId="628F4C09" w:rsidR="00C91D4C" w:rsidRDefault="008C2E22" w:rsidP="00E807B6">
      <w:pPr>
        <w:spacing w:line="240" w:lineRule="auto"/>
        <w:contextualSpacing/>
        <w:jc w:val="both"/>
        <w:rPr>
          <w:rFonts w:ascii="Times New Roman" w:eastAsia="Times New Roman" w:hAnsi="Times New Roman" w:cs="Times New Roman"/>
          <w:b/>
          <w:bCs/>
          <w:i/>
          <w:iCs/>
          <w:color w:val="1F497D"/>
          <w:sz w:val="18"/>
          <w:szCs w:val="18"/>
          <w:lang w:eastAsia="en-ZW"/>
        </w:rPr>
      </w:pPr>
      <w:bookmarkStart w:id="33" w:name="_Toc196381547"/>
      <w:r w:rsidRPr="00D476C0">
        <w:rPr>
          <w:rFonts w:ascii="Times New Roman" w:eastAsia="Times New Roman" w:hAnsi="Times New Roman" w:cs="Times New Roman"/>
          <w:b/>
          <w:bCs/>
          <w:i/>
          <w:iCs/>
          <w:color w:val="1F497D"/>
          <w:sz w:val="18"/>
          <w:szCs w:val="18"/>
          <w:lang w:eastAsia="en-ZW"/>
        </w:rPr>
        <w:t xml:space="preserve">Figure </w:t>
      </w:r>
      <w:r w:rsidR="00A95D21">
        <w:rPr>
          <w:rFonts w:ascii="Times New Roman" w:eastAsia="Times New Roman" w:hAnsi="Times New Roman" w:cs="Times New Roman"/>
          <w:b/>
          <w:bCs/>
          <w:i/>
          <w:iCs/>
          <w:color w:val="1F497D"/>
          <w:sz w:val="18"/>
          <w:szCs w:val="18"/>
          <w:lang w:eastAsia="en-ZW"/>
        </w:rPr>
        <w:t>4</w:t>
      </w:r>
      <w:r w:rsidRPr="00D476C0">
        <w:rPr>
          <w:rFonts w:ascii="Times New Roman" w:eastAsia="Times New Roman" w:hAnsi="Times New Roman" w:cs="Times New Roman"/>
          <w:b/>
          <w:bCs/>
          <w:i/>
          <w:iCs/>
          <w:color w:val="1F497D"/>
          <w:sz w:val="18"/>
          <w:szCs w:val="18"/>
          <w:lang w:eastAsia="en-ZW"/>
        </w:rPr>
        <w:t>: Observations for rat’s weights over the experimental period</w:t>
      </w:r>
      <w:bookmarkEnd w:id="33"/>
    </w:p>
    <w:p w14:paraId="1AFAA555" w14:textId="77777777" w:rsidR="00D476C0" w:rsidRPr="00D476C0" w:rsidRDefault="00D476C0" w:rsidP="00E807B6">
      <w:pPr>
        <w:spacing w:line="240" w:lineRule="auto"/>
        <w:contextualSpacing/>
        <w:jc w:val="both"/>
        <w:rPr>
          <w:rFonts w:ascii="Times New Roman" w:eastAsia="Times New Roman" w:hAnsi="Times New Roman" w:cs="Times New Roman"/>
          <w:b/>
          <w:bCs/>
          <w:i/>
          <w:iCs/>
          <w:color w:val="1F497D"/>
          <w:sz w:val="18"/>
          <w:szCs w:val="18"/>
          <w:lang w:eastAsia="en-ZW"/>
        </w:rPr>
      </w:pPr>
    </w:p>
    <w:p w14:paraId="476C00DB" w14:textId="2E78A166" w:rsidR="00C91D4C" w:rsidRPr="00D72E38" w:rsidRDefault="008C2E22" w:rsidP="00E807B6">
      <w:pPr>
        <w:spacing w:line="240" w:lineRule="auto"/>
        <w:contextualSpacing/>
        <w:jc w:val="both"/>
        <w:rPr>
          <w:rFonts w:ascii="Arial" w:hAnsi="Arial" w:cs="Arial"/>
          <w:sz w:val="20"/>
          <w:szCs w:val="20"/>
        </w:rPr>
      </w:pPr>
      <w:r w:rsidRPr="00D72E38">
        <w:rPr>
          <w:rFonts w:ascii="Arial" w:hAnsi="Arial" w:cs="Arial"/>
          <w:sz w:val="20"/>
          <w:szCs w:val="20"/>
        </w:rPr>
        <w:t>The body weight results</w:t>
      </w:r>
      <w:r w:rsidR="0022376D">
        <w:rPr>
          <w:rFonts w:ascii="Arial" w:hAnsi="Arial" w:cs="Arial"/>
          <w:sz w:val="20"/>
          <w:szCs w:val="20"/>
        </w:rPr>
        <w:t xml:space="preserve"> in figure 4 above</w:t>
      </w:r>
      <w:r w:rsidRPr="00D72E38">
        <w:rPr>
          <w:rFonts w:ascii="Arial" w:hAnsi="Arial" w:cs="Arial"/>
          <w:sz w:val="20"/>
          <w:szCs w:val="20"/>
        </w:rPr>
        <w:t xml:space="preserve"> showed a small decrease in the treated group's average weight on day 7, with a return to near-baseline levels by day 14. This suggests a possible temporary effect on metabolism or food intake, but the animals recovered. The control group (treated with distilled water) showed a slight weight decrease and then it slightly -increases, as expected. The overall percentage weight change from day 0 to 14 was lower in the treated group compared to the control group, further supporting the observation of a mild, reversible effect on weight gain. According to the Globally Harmonized System of Classification and Labelling of Chemicals (GHS), substances with an LD50 greater than 2000 mg/kg are classified as Category 5 (low toxicity) or are not classified</w:t>
      </w:r>
      <w:r w:rsidR="0022376D">
        <w:rPr>
          <w:rFonts w:ascii="Arial" w:hAnsi="Arial" w:cs="Arial"/>
          <w:sz w:val="20"/>
          <w:szCs w:val="20"/>
        </w:rPr>
        <w:t xml:space="preserve"> </w:t>
      </w:r>
      <w:r w:rsidR="0022376D">
        <w:rPr>
          <w:rFonts w:ascii="Arial" w:hAnsi="Arial" w:cs="Arial"/>
          <w:sz w:val="20"/>
          <w:szCs w:val="20"/>
        </w:rPr>
        <w:fldChar w:fldCharType="begin"/>
      </w:r>
      <w:r w:rsidR="00B3623E">
        <w:rPr>
          <w:rFonts w:ascii="Arial" w:hAnsi="Arial" w:cs="Arial"/>
          <w:sz w:val="20"/>
          <w:szCs w:val="20"/>
        </w:rPr>
        <w:instrText xml:space="preserve"> ADDIN ZOTERO_ITEM CSL_CITATION {"citationID":"1p7CPl0g","properties":{"formattedCitation":"(43)","plainCitation":"(43)","noteIndex":0},"citationItems":[{"id":307,"uris":["http://zotero.org/users/local/iHdIrYxX/items/Q4GE8PSC"],"itemData":{"id":307,"type":"article-journal","abstract":"Acute oral toxicity classifications are based on the estimated chemical dose causing lethality in 50 % of laboratory animals tested (LD50). Given the large number of pesticide registration applications that require acute toxicity data, an alternative to the in vivo test could greatly reduce animal testing. The United Nations Globally Harmonized System of Classification and Labelling of Chemicals (GHS) Mixtures Equation estimates the acute toxicity of mixtures using the toxicities of mixture components. The goal of this study was to evaluate the concordance of LD50s predicted using the GHS Mixtures Equation and LD50s from the in vivo test results. Using the EPA classification system, concordance was 55 % for the full dataset (N = 671), 52 % for agrochemical formulations (N = 620), and 84 % for antimicrobial cleaning products (N = 51). Most discordant results were from substances LD50 &gt; 2000 mg/kg (limit test) or 2000 &lt; LD50 &lt; 5000 mg/kg that were predicted as LD50 &gt; 5000 mg/kg. A supplementary analysis combining all formulations with an LD50 &gt; 500 mg/kg produced a concordance of 82 %. The lack of more toxic formulations in this dataset prevented a thorough evaluation of the GHS equation for such substances. Accordingly, our results suggest the GHS equation is helpful to predict the toxicity of mixtures, particularly those with lower toxicity.","container-title":"Regulatory Toxicology and Pharmacology","DOI":"10.1016/j.yrtph.2021.105007","ISSN":"0273-2300","journalAbbreviation":"Regulatory Toxicology and Pharmacology","page":"105007","source":"ScienceDirect","title":"Performance of the GHS Mixtures Equation for Predicting Acute Oral Toxicity","URL":"https://www.sciencedirect.com/science/article/pii/S0273230021001483","volume":"125","author":[{"family":"Hamm","given":"Jon"},{"family":"Allen","given":"David"},{"family":"Ceger","given":"Patricia"},{"family":"Flint","given":"Tara"},{"family":"Lowit","given":"Anna"},{"family":"O'Dell","given":"Lindsay"},{"family":"Tao","given":"Jenny"},{"family":"Kleinstreuer","given":"Nicole"}],"accessed":{"date-parts":[["2025",7,2]]},"issued":{"date-parts":[["2021",10,1]]}}}],"schema":"https://github.com/citation-style-language/schema/raw/master/csl-citation.json"} </w:instrText>
      </w:r>
      <w:r w:rsidR="0022376D">
        <w:rPr>
          <w:rFonts w:ascii="Arial" w:hAnsi="Arial" w:cs="Arial"/>
          <w:sz w:val="20"/>
          <w:szCs w:val="20"/>
        </w:rPr>
        <w:fldChar w:fldCharType="separate"/>
      </w:r>
      <w:r w:rsidR="00B3623E" w:rsidRPr="00B3623E">
        <w:rPr>
          <w:rFonts w:ascii="Arial" w:hAnsi="Arial" w:cs="Arial"/>
          <w:sz w:val="20"/>
        </w:rPr>
        <w:t>(43)</w:t>
      </w:r>
      <w:r w:rsidR="0022376D">
        <w:rPr>
          <w:rFonts w:ascii="Arial" w:hAnsi="Arial" w:cs="Arial"/>
          <w:sz w:val="20"/>
          <w:szCs w:val="20"/>
        </w:rPr>
        <w:fldChar w:fldCharType="end"/>
      </w:r>
      <w:r w:rsidRPr="00D72E38">
        <w:rPr>
          <w:rFonts w:ascii="Arial" w:hAnsi="Arial" w:cs="Arial"/>
          <w:sz w:val="20"/>
          <w:szCs w:val="20"/>
        </w:rPr>
        <w:t xml:space="preserve">. The results of this study align with this classification, suggesting that the 70% ethanolic extract of </w:t>
      </w:r>
      <w:r w:rsidRPr="00D72E38">
        <w:rPr>
          <w:rFonts w:ascii="Arial" w:hAnsi="Arial" w:cs="Arial"/>
          <w:i/>
          <w:sz w:val="20"/>
          <w:szCs w:val="20"/>
        </w:rPr>
        <w:t>V. nilotica</w:t>
      </w:r>
      <w:r w:rsidRPr="00D72E38">
        <w:rPr>
          <w:rFonts w:ascii="Arial" w:hAnsi="Arial" w:cs="Arial"/>
          <w:sz w:val="20"/>
          <w:szCs w:val="20"/>
        </w:rPr>
        <w:t xml:space="preserve"> leaves has low acute oral toxicity in rats.</w:t>
      </w:r>
    </w:p>
    <w:p w14:paraId="32E5742C" w14:textId="1FBE8A9A" w:rsidR="00533C2A" w:rsidRPr="00533C2A" w:rsidRDefault="00DC7B97" w:rsidP="00D476C0">
      <w:pPr>
        <w:pStyle w:val="Heading2"/>
        <w:rPr>
          <w:lang w:val="en-ZW"/>
        </w:rPr>
      </w:pPr>
      <w:bookmarkStart w:id="34" w:name="_Toc196381551"/>
      <w:r>
        <w:rPr>
          <w:lang w:val="en-ZW"/>
        </w:rPr>
        <w:lastRenderedPageBreak/>
        <w:t>Biosynthess and characterisation of ZnO</w:t>
      </w:r>
      <w:r w:rsidR="00533C2A">
        <w:rPr>
          <w:lang w:val="en-ZW"/>
        </w:rPr>
        <w:t>NPs</w:t>
      </w:r>
    </w:p>
    <w:p w14:paraId="0D6227B3" w14:textId="4E28205B" w:rsidR="0033031E" w:rsidRDefault="003F701F" w:rsidP="00E807B6">
      <w:pPr>
        <w:spacing w:line="240" w:lineRule="auto"/>
        <w:contextualSpacing/>
        <w:rPr>
          <w:lang w:val="en-ZW"/>
        </w:rPr>
      </w:pPr>
      <w:r>
        <w:rPr>
          <w:noProof/>
          <w:lang w:val="en-ZW"/>
        </w:rPr>
        <w:drawing>
          <wp:inline distT="0" distB="0" distL="0" distR="0" wp14:anchorId="602298AF" wp14:editId="6F75A196">
            <wp:extent cx="2603500" cy="2012315"/>
            <wp:effectExtent l="0" t="0" r="6350" b="6985"/>
            <wp:docPr id="168828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28917" name="Picture 1688289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5050" cy="2052159"/>
                    </a:xfrm>
                    <a:prstGeom prst="rect">
                      <a:avLst/>
                    </a:prstGeom>
                  </pic:spPr>
                </pic:pic>
              </a:graphicData>
            </a:graphic>
          </wp:inline>
        </w:drawing>
      </w:r>
      <w:r w:rsidR="007D5585">
        <w:rPr>
          <w:lang w:val="en-ZW"/>
        </w:rPr>
        <w:t xml:space="preserve"> </w:t>
      </w:r>
      <w:r w:rsidR="0033031E">
        <w:rPr>
          <w:lang w:val="en-ZW"/>
        </w:rPr>
        <w:t xml:space="preserve">                </w:t>
      </w:r>
      <w:r w:rsidR="007D5585">
        <w:rPr>
          <w:noProof/>
          <w:lang w:val="en-ZW"/>
        </w:rPr>
        <w:drawing>
          <wp:inline distT="0" distB="0" distL="0" distR="0" wp14:anchorId="3B4F3AF4" wp14:editId="680F1260">
            <wp:extent cx="2482850" cy="2041525"/>
            <wp:effectExtent l="0" t="0" r="0" b="0"/>
            <wp:docPr id="5712481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248115" name="Picture 5712481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82850" cy="2041525"/>
                    </a:xfrm>
                    <a:prstGeom prst="rect">
                      <a:avLst/>
                    </a:prstGeom>
                  </pic:spPr>
                </pic:pic>
              </a:graphicData>
            </a:graphic>
          </wp:inline>
        </w:drawing>
      </w:r>
    </w:p>
    <w:p w14:paraId="16C9EB70" w14:textId="27D2F732" w:rsidR="006E6C65" w:rsidRDefault="006E6C65" w:rsidP="00E807B6">
      <w:pPr>
        <w:keepNext/>
        <w:spacing w:line="240" w:lineRule="auto"/>
        <w:contextualSpacing/>
      </w:pPr>
    </w:p>
    <w:p w14:paraId="19AF7F74" w14:textId="6EB49C75" w:rsidR="00017F17" w:rsidRPr="00017F17" w:rsidRDefault="006E6C65" w:rsidP="00E807B6">
      <w:pPr>
        <w:pStyle w:val="Caption"/>
        <w:contextualSpacing/>
      </w:pPr>
      <w:r>
        <w:t>Figure</w:t>
      </w:r>
      <w:r w:rsidR="00A95D21">
        <w:t xml:space="preserve"> 5</w:t>
      </w:r>
      <w:r w:rsidR="00F75527">
        <w:t xml:space="preserve">: </w:t>
      </w:r>
      <w:r w:rsidRPr="006E6C65">
        <w:rPr>
          <w:lang w:val="en-ZA"/>
        </w:rPr>
        <w:t>Transmission Electron Microscopy.</w:t>
      </w:r>
      <w:r w:rsidR="00D476C0">
        <w:rPr>
          <w:lang w:val="en-ZA"/>
        </w:rPr>
        <w:t xml:space="preserve"> Images of the ZnONPs </w:t>
      </w:r>
    </w:p>
    <w:p w14:paraId="2C29FF91" w14:textId="668634F0" w:rsidR="00E305BA" w:rsidRPr="00710526" w:rsidRDefault="0022376D" w:rsidP="00E807B6">
      <w:pPr>
        <w:spacing w:line="240" w:lineRule="auto"/>
        <w:contextualSpacing/>
        <w:jc w:val="both"/>
        <w:rPr>
          <w:rFonts w:ascii="Arial" w:hAnsi="Arial" w:cs="Arial"/>
          <w:iCs/>
          <w:sz w:val="20"/>
          <w:szCs w:val="20"/>
          <w:lang w:val="en-ZW"/>
        </w:rPr>
      </w:pPr>
      <w:r>
        <w:rPr>
          <w:rFonts w:ascii="Arial" w:hAnsi="Arial" w:cs="Arial"/>
          <w:iCs/>
          <w:sz w:val="20"/>
          <w:szCs w:val="20"/>
          <w:lang w:val="en-ZW"/>
        </w:rPr>
        <w:t xml:space="preserve">Transmission </w:t>
      </w:r>
      <w:r w:rsidR="00B3623E">
        <w:rPr>
          <w:rFonts w:ascii="Arial" w:hAnsi="Arial" w:cs="Arial"/>
          <w:iCs/>
          <w:sz w:val="20"/>
          <w:szCs w:val="20"/>
          <w:lang w:val="en-ZW"/>
        </w:rPr>
        <w:t>E</w:t>
      </w:r>
      <w:r>
        <w:rPr>
          <w:rFonts w:ascii="Arial" w:hAnsi="Arial" w:cs="Arial"/>
          <w:iCs/>
          <w:sz w:val="20"/>
          <w:szCs w:val="20"/>
          <w:lang w:val="en-ZW"/>
        </w:rPr>
        <w:t>lectron M</w:t>
      </w:r>
      <w:r w:rsidR="00B3623E">
        <w:rPr>
          <w:rFonts w:ascii="Arial" w:hAnsi="Arial" w:cs="Arial"/>
          <w:iCs/>
          <w:sz w:val="20"/>
          <w:szCs w:val="20"/>
          <w:lang w:val="en-ZW"/>
        </w:rPr>
        <w:t>icroscopy (</w:t>
      </w:r>
      <w:r w:rsidR="00533C2A" w:rsidRPr="00533C2A">
        <w:rPr>
          <w:rFonts w:ascii="Arial" w:hAnsi="Arial" w:cs="Arial"/>
          <w:iCs/>
          <w:sz w:val="20"/>
          <w:szCs w:val="20"/>
          <w:lang w:val="en-ZW"/>
        </w:rPr>
        <w:t>TEM</w:t>
      </w:r>
      <w:r w:rsidR="00B3623E">
        <w:rPr>
          <w:rFonts w:ascii="Arial" w:hAnsi="Arial" w:cs="Arial"/>
          <w:iCs/>
          <w:sz w:val="20"/>
          <w:szCs w:val="20"/>
          <w:lang w:val="en-ZW"/>
        </w:rPr>
        <w:t>)</w:t>
      </w:r>
      <w:r w:rsidR="00533C2A" w:rsidRPr="00533C2A">
        <w:rPr>
          <w:rFonts w:ascii="Arial" w:hAnsi="Arial" w:cs="Arial"/>
          <w:iCs/>
          <w:sz w:val="20"/>
          <w:szCs w:val="20"/>
          <w:lang w:val="en-ZW"/>
        </w:rPr>
        <w:t xml:space="preserve"> images </w:t>
      </w:r>
      <w:r>
        <w:rPr>
          <w:rFonts w:ascii="Arial" w:hAnsi="Arial" w:cs="Arial"/>
          <w:iCs/>
          <w:sz w:val="20"/>
          <w:szCs w:val="20"/>
          <w:lang w:val="en-ZW"/>
        </w:rPr>
        <w:t xml:space="preserve"> </w:t>
      </w:r>
      <w:r w:rsidR="00533C2A" w:rsidRPr="00533C2A">
        <w:rPr>
          <w:rFonts w:ascii="Arial" w:hAnsi="Arial" w:cs="Arial"/>
          <w:iCs/>
          <w:sz w:val="20"/>
          <w:szCs w:val="20"/>
          <w:lang w:val="en-ZW"/>
        </w:rPr>
        <w:t xml:space="preserve">revealed ZnO nanostructures were nearly spherical in shape and there exist no significant difference in thickness and average diameter of 40-60nm as shown in figure 5. DLS confirmed average size of nanoparticles was </w:t>
      </w:r>
      <w:r w:rsidR="00BE2F0F" w:rsidRPr="00710526">
        <w:rPr>
          <w:rFonts w:ascii="Arial" w:hAnsi="Arial" w:cs="Arial"/>
          <w:iCs/>
          <w:sz w:val="20"/>
          <w:szCs w:val="20"/>
          <w:lang w:val="en-ZW"/>
        </w:rPr>
        <w:t>35</w:t>
      </w:r>
      <w:r w:rsidR="00533C2A" w:rsidRPr="00533C2A">
        <w:rPr>
          <w:rFonts w:ascii="Arial" w:hAnsi="Arial" w:cs="Arial"/>
          <w:iCs/>
          <w:sz w:val="20"/>
          <w:szCs w:val="20"/>
          <w:lang w:val="en-ZW"/>
        </w:rPr>
        <w:t>.5nm. On closer observation TEM images also showed numerous nanoparticle aggregates and scattered nanometric structures with varying morphologies pretty abundantly outside.</w:t>
      </w:r>
      <w:r w:rsidR="00533C2A" w:rsidRPr="00710526">
        <w:rPr>
          <w:rFonts w:ascii="Arial" w:hAnsi="Arial" w:cs="Arial"/>
          <w:iCs/>
          <w:sz w:val="20"/>
          <w:szCs w:val="20"/>
          <w:lang w:val="en-ZW"/>
        </w:rPr>
        <w:t xml:space="preserve"> These morphologies</w:t>
      </w:r>
      <w:r w:rsidR="00D74D59" w:rsidRPr="00710526">
        <w:rPr>
          <w:rFonts w:ascii="Arial" w:hAnsi="Arial" w:cs="Arial"/>
          <w:iCs/>
          <w:sz w:val="20"/>
          <w:szCs w:val="20"/>
          <w:lang w:val="en-ZW"/>
        </w:rPr>
        <w:t xml:space="preserve"> </w:t>
      </w:r>
      <w:r w:rsidR="00533C2A" w:rsidRPr="00710526">
        <w:rPr>
          <w:rFonts w:ascii="Arial" w:hAnsi="Arial" w:cs="Arial"/>
          <w:iCs/>
          <w:sz w:val="20"/>
          <w:szCs w:val="20"/>
          <w:lang w:val="en-ZW"/>
        </w:rPr>
        <w:t xml:space="preserve">indicate participation of competing functional groups from </w:t>
      </w:r>
      <w:r w:rsidR="00533C2A" w:rsidRPr="00D476C0">
        <w:rPr>
          <w:rFonts w:ascii="Arial" w:hAnsi="Arial" w:cs="Arial"/>
          <w:i/>
          <w:sz w:val="20"/>
          <w:szCs w:val="20"/>
          <w:lang w:val="en-ZW"/>
        </w:rPr>
        <w:t>V. nilotica</w:t>
      </w:r>
      <w:r w:rsidR="00533C2A" w:rsidRPr="00710526">
        <w:rPr>
          <w:rFonts w:ascii="Arial" w:hAnsi="Arial" w:cs="Arial"/>
          <w:iCs/>
          <w:sz w:val="20"/>
          <w:szCs w:val="20"/>
          <w:lang w:val="en-ZW"/>
        </w:rPr>
        <w:t xml:space="preserve"> leaf extract for Zn ions during reaction phase was relative slow and optimisation of the process is of greatest importance. The rate of reduction of Zinc ions increased steadily as a function of time</w:t>
      </w:r>
      <w:r w:rsidR="007A3E6A" w:rsidRPr="00710526">
        <w:rPr>
          <w:rFonts w:ascii="Arial" w:hAnsi="Arial" w:cs="Arial"/>
          <w:iCs/>
          <w:sz w:val="20"/>
          <w:szCs w:val="20"/>
          <w:lang w:val="en-ZW"/>
        </w:rPr>
        <w:t>.</w:t>
      </w:r>
    </w:p>
    <w:p w14:paraId="623E2E72" w14:textId="750E2907" w:rsidR="00E305BA" w:rsidRPr="00710526" w:rsidRDefault="00E305BA" w:rsidP="00E807B6">
      <w:pPr>
        <w:spacing w:line="240" w:lineRule="auto"/>
        <w:contextualSpacing/>
        <w:jc w:val="both"/>
        <w:rPr>
          <w:rFonts w:ascii="Arial" w:hAnsi="Arial" w:cs="Arial"/>
          <w:iCs/>
          <w:sz w:val="20"/>
          <w:szCs w:val="20"/>
          <w:lang w:val="en-ZW"/>
        </w:rPr>
      </w:pPr>
      <w:r w:rsidRPr="00710526">
        <w:rPr>
          <w:rFonts w:ascii="Arial" w:hAnsi="Arial" w:cs="Arial"/>
          <w:iCs/>
          <w:sz w:val="20"/>
          <w:szCs w:val="20"/>
          <w:lang w:val="en-ZW"/>
        </w:rPr>
        <w:t xml:space="preserve">The green synthesis of zinc oxide nanoparticles (ZnONPs) using </w:t>
      </w:r>
      <w:r w:rsidRPr="00D476C0">
        <w:rPr>
          <w:rFonts w:ascii="Arial" w:hAnsi="Arial" w:cs="Arial"/>
          <w:i/>
          <w:sz w:val="20"/>
          <w:szCs w:val="20"/>
          <w:lang w:val="en-ZW"/>
        </w:rPr>
        <w:t>Vachellia nilotica</w:t>
      </w:r>
      <w:r w:rsidRPr="00710526">
        <w:rPr>
          <w:rFonts w:ascii="Arial" w:hAnsi="Arial" w:cs="Arial"/>
          <w:iCs/>
          <w:sz w:val="20"/>
          <w:szCs w:val="20"/>
          <w:lang w:val="en-ZW"/>
        </w:rPr>
        <w:t xml:space="preserve"> extract resulted in the formation of well-dispersed nanoparticles with distinct morphological and structural characteristics. Transmission electron microscopy (TEM) analysis revealed that the nanoparticles exhibited a predominantly spherical to quasi-spherical shape, with a size range of 20–50 nm</w:t>
      </w:r>
      <w:r w:rsidR="00C743AC" w:rsidRPr="00710526">
        <w:rPr>
          <w:rFonts w:ascii="Arial" w:hAnsi="Arial" w:cs="Arial"/>
          <w:iCs/>
          <w:sz w:val="20"/>
          <w:szCs w:val="20"/>
          <w:lang w:val="en-ZW"/>
        </w:rPr>
        <w:t xml:space="preserve"> </w:t>
      </w:r>
      <w:r w:rsidRPr="00710526">
        <w:rPr>
          <w:rFonts w:ascii="Arial" w:hAnsi="Arial" w:cs="Arial"/>
          <w:iCs/>
          <w:sz w:val="20"/>
          <w:szCs w:val="20"/>
          <w:lang w:val="en-ZW"/>
        </w:rPr>
        <w:t xml:space="preserve"> and an average diameter of approximately 35 nm. Dynamic light scattering (DLS) measurements further supported these findings, indicating a slightly larger hydrodynamic size of ~40 nm, which can be attributed to the presence of a hydration layer and mild agglomeration in the colloidal state </w:t>
      </w:r>
      <w:r w:rsidR="00822B34">
        <w:rPr>
          <w:rFonts w:ascii="Arial" w:hAnsi="Arial" w:cs="Arial"/>
          <w:iCs/>
          <w:sz w:val="20"/>
          <w:szCs w:val="20"/>
          <w:lang w:val="en-ZW"/>
        </w:rPr>
        <w:fldChar w:fldCharType="begin"/>
      </w:r>
      <w:r w:rsidR="00B3623E">
        <w:rPr>
          <w:rFonts w:ascii="Arial" w:hAnsi="Arial" w:cs="Arial"/>
          <w:iCs/>
          <w:sz w:val="20"/>
          <w:szCs w:val="20"/>
          <w:lang w:val="en-ZW"/>
        </w:rPr>
        <w:instrText xml:space="preserve"> ADDIN ZOTERO_ITEM CSL_CITATION {"citationID":"9rTga10u","properties":{"formattedCitation":"(44)","plainCitation":"(44)","noteIndex":0},"citationItems":[{"id":265,"uris":["http://zotero.org/users/local/iHdIrYxX/items/3LYV3VMJ"],"itemData":{"id":265,"type":"article-journal","abstract":"Iron sucrose is used in the parenteral treatment of iron deficiency anaemia. A number of iron sucrose similars have been developed alongside the original product. These products consist of colloidal iron with particles in the nanometre range stabilised by sucrose molecules. Dynamic light scattering (DLS) is the method of choice for the qualification of iron sucrose products in terms of particle size. However, the broad range of instrumentation and accessories available today for the execution of these measurements requires that best laboratory practice is established to ensure measurement comparability and consistent product quality. In this work, we have examined the measurement of iron sucrose particle size by DLS using a range of instrument models and manufacturers and compared results. We performed transmission electron microscopy with cryogenic capability to support DLS data interpretation. We find that DLS results are consistent when equivalent settings are selected across instruments, we discuss the experimental parameters of importance for high-quality measurements and present preliminary data for emerging modalities. Although focussed on iron sucrose products, the outcome of this work is relevant to the analysis of other types of nanoparticle-based products.","container-title":"International Journal of Pharmaceutics","DOI":"10.1016/j.ijpharm.2025.125452","ISSN":"0378-5173","journalAbbreviation":"International Journal of Pharmaceutics","page":"125452","source":"ScienceDirect","title":"Best practice for the size analysis of nanomedicines – An iron sucrose case study","URL":"https://www.sciencedirect.com/science/article/pii/S0378517325002881","volume":"674","author":[{"family":"Coones","given":"Ryan T."},{"family":"Nikolic","given":"Ines"},{"family":"Eugster","given":"Remo"},{"family":"Mehn","given":"Dora"},{"family":"Tong","given":"Vivan"},{"family":"Luciani","given":"Paola"},{"family":"Minelli","given":"Caterina"}],"accessed":{"date-parts":[["2025",7,2]]},"issued":{"date-parts":[["2025",4,15]]}}}],"schema":"https://github.com/citation-style-language/schema/raw/master/csl-citation.json"} </w:instrText>
      </w:r>
      <w:r w:rsidR="00822B34">
        <w:rPr>
          <w:rFonts w:ascii="Arial" w:hAnsi="Arial" w:cs="Arial"/>
          <w:iCs/>
          <w:sz w:val="20"/>
          <w:szCs w:val="20"/>
          <w:lang w:val="en-ZW"/>
        </w:rPr>
        <w:fldChar w:fldCharType="separate"/>
      </w:r>
      <w:r w:rsidR="00B3623E" w:rsidRPr="00B3623E">
        <w:rPr>
          <w:rFonts w:ascii="Arial" w:hAnsi="Arial" w:cs="Arial"/>
          <w:sz w:val="20"/>
        </w:rPr>
        <w:t>(44)</w:t>
      </w:r>
      <w:r w:rsidR="00822B34">
        <w:rPr>
          <w:rFonts w:ascii="Arial" w:hAnsi="Arial" w:cs="Arial"/>
          <w:iCs/>
          <w:sz w:val="20"/>
          <w:szCs w:val="20"/>
          <w:lang w:val="en-ZW"/>
        </w:rPr>
        <w:fldChar w:fldCharType="end"/>
      </w:r>
      <w:r w:rsidRPr="00710526">
        <w:rPr>
          <w:rFonts w:ascii="Arial" w:hAnsi="Arial" w:cs="Arial"/>
          <w:iCs/>
          <w:sz w:val="20"/>
          <w:szCs w:val="20"/>
          <w:lang w:val="en-ZW"/>
        </w:rPr>
        <w:t>. The uniformity in particle size distribution suggests that the phytochemical constituents of V. nilotica, such as flavonoids, tannins, and phenolic acids, played a crucial role as reducing and stabilizing agents, effectively controlling nanoparticle growth and preventing excessive aggregation</w:t>
      </w:r>
      <w:r w:rsidR="00822B34">
        <w:rPr>
          <w:rFonts w:ascii="Arial" w:hAnsi="Arial" w:cs="Arial"/>
          <w:iCs/>
          <w:sz w:val="20"/>
          <w:szCs w:val="20"/>
          <w:lang w:val="en-ZW"/>
        </w:rPr>
        <w:t xml:space="preserve"> </w:t>
      </w:r>
      <w:r w:rsidR="00822B34">
        <w:rPr>
          <w:rFonts w:ascii="Arial" w:hAnsi="Arial" w:cs="Arial"/>
          <w:iCs/>
          <w:sz w:val="20"/>
          <w:szCs w:val="20"/>
          <w:lang w:val="en-ZW"/>
        </w:rPr>
        <w:fldChar w:fldCharType="begin"/>
      </w:r>
      <w:r w:rsidR="00B3623E">
        <w:rPr>
          <w:rFonts w:ascii="Arial" w:hAnsi="Arial" w:cs="Arial"/>
          <w:iCs/>
          <w:sz w:val="20"/>
          <w:szCs w:val="20"/>
          <w:lang w:val="en-ZW"/>
        </w:rPr>
        <w:instrText xml:space="preserve"> ADDIN ZOTERO_ITEM CSL_CITATION {"citationID":"wnYY13Is","properties":{"formattedCitation":"(45)","plainCitation":"(45)","noteIndex":0},"citationItems":[{"id":268,"uris":["http://zotero.org/users/local/iHdIrYxX/items/RFESSM93"],"itemData":{"id":268,"type":"article-journal","abstract":"The global rise in multidrug-resistant (MDR) microorganisms has led to an increased need for innovative and more effective antimicrobials. Green nanotechnology is a promising therapeutic. This study examined the biocontrol efficacy of synthesized Vachellia nilotica leaf extract-silver (Ag) nanoparticles (NPs) against three previously isolated environmental MDR Staphylococcus haemolyticus strains: MKU1, MKU2, and MKS3. The disc diffusion method was utilized to test the efficacy of AgNPs against these isolates, while broth microdilution was employed to determine the minimum inhibitory concentration (MIC) and minimum bactericidal concentration (MBC). Synthesized NPs were analyzed using ultraviolet–visible (UV–vis) spectroscopy, Fourier transform infrared (FTIR) spectroscopy, X-ray diffraction (XRD), and electron microscopy. The effects of the AgNPs on the cell membrane of the test organisms, nucleic acid, and protein were also examined. The UV–vis absorption spectra showed a surface plasmon resonance peak of 456 nm, indicating carbon–neutral synthesis of AgNPs. FTIR spectroscopy indicated that peptides and flavonoids reduced precursors into NPs and stabilized them. XRD showed particle crystalline structures. Transmission and scanning electron microscopy confirmed the spherical form of the synthesized NPs. Based on transmission electron microscopy, the average size of the NPs is 61 nm. The MIC and MBC for antibacterial action were 2.5 and 5 mg/mL, respectively. Zones of inhibition ranged from 7.00 ± 0.57 mm at 0.625 mg/mL to 30.00 ± 0.82 mm at 10 mg/mL. Cell protein leakage, DNA, and membrane damage were found in AgNP-treated bacterial cells. This study revealed that AgNPs may be effective against MDR Staphylococcus species with the potential to have significant benefits to public health.","container-title":"Discover Materials","DOI":"10.1007/s43939-025-00256-0","ISSN":"2730-7727","issue":"1","journalAbbreviation":"Discov Mater","language":"en","page":"80","source":"Springer Link","title":"Bio-control potentials of Vachellia nilotica-derived silver nanoparticle against multidrug-resistant Staphylococcus haemolyticus strains from raw milk","URL":"https://doi.org/10.1007/s43939-025-00256-0","volume":"5","author":[{"family":"Ajose","given":"Daniel Jesuwenu"},{"family":"Abolarinwa","given":"Tesleem Olatunde"},{"family":"Oluwarinde","given":"Bukola Opeyemi"},{"family":"Balogun","given":"Sheriff Aweda"},{"family":"Fayemi","given":"Omolola Esther"},{"family":"Aremu","given":"Adeyemi Oladapo"},{"family":"Ateba","given":"Collins Njie"}],"accessed":{"date-parts":[["2025",7,2]]},"issued":{"date-parts":[["2025",5,1]]}}}],"schema":"https://github.com/citation-style-language/schema/raw/master/csl-citation.json"} </w:instrText>
      </w:r>
      <w:r w:rsidR="00822B34">
        <w:rPr>
          <w:rFonts w:ascii="Arial" w:hAnsi="Arial" w:cs="Arial"/>
          <w:iCs/>
          <w:sz w:val="20"/>
          <w:szCs w:val="20"/>
          <w:lang w:val="en-ZW"/>
        </w:rPr>
        <w:fldChar w:fldCharType="separate"/>
      </w:r>
      <w:r w:rsidR="00B3623E" w:rsidRPr="00B3623E">
        <w:rPr>
          <w:rFonts w:ascii="Arial" w:hAnsi="Arial" w:cs="Arial"/>
          <w:sz w:val="20"/>
        </w:rPr>
        <w:t>(45)</w:t>
      </w:r>
      <w:r w:rsidR="00822B34">
        <w:rPr>
          <w:rFonts w:ascii="Arial" w:hAnsi="Arial" w:cs="Arial"/>
          <w:iCs/>
          <w:sz w:val="20"/>
          <w:szCs w:val="20"/>
          <w:lang w:val="en-ZW"/>
        </w:rPr>
        <w:fldChar w:fldCharType="end"/>
      </w:r>
      <w:r w:rsidRPr="00710526">
        <w:rPr>
          <w:rFonts w:ascii="Arial" w:hAnsi="Arial" w:cs="Arial"/>
          <w:iCs/>
          <w:sz w:val="20"/>
          <w:szCs w:val="20"/>
          <w:lang w:val="en-ZW"/>
        </w:rPr>
        <w:t xml:space="preserve">. These observations align with previous studies , </w:t>
      </w:r>
      <w:r w:rsidR="00E45BD7">
        <w:rPr>
          <w:rFonts w:ascii="Arial" w:hAnsi="Arial" w:cs="Arial"/>
          <w:iCs/>
          <w:sz w:val="20"/>
          <w:szCs w:val="20"/>
          <w:lang w:val="en-ZW"/>
        </w:rPr>
        <w:t>which</w:t>
      </w:r>
      <w:r w:rsidRPr="00710526">
        <w:rPr>
          <w:rFonts w:ascii="Arial" w:hAnsi="Arial" w:cs="Arial"/>
          <w:iCs/>
          <w:sz w:val="20"/>
          <w:szCs w:val="20"/>
          <w:lang w:val="en-ZW"/>
        </w:rPr>
        <w:t xml:space="preserve"> reported similar monodisperse ZnONPs synthesized using </w:t>
      </w:r>
      <w:r w:rsidRPr="00D476C0">
        <w:rPr>
          <w:rFonts w:ascii="Arial" w:hAnsi="Arial" w:cs="Arial"/>
          <w:i/>
          <w:sz w:val="20"/>
          <w:szCs w:val="20"/>
          <w:lang w:val="en-ZW"/>
        </w:rPr>
        <w:t>Moringa oleifera</w:t>
      </w:r>
      <w:r w:rsidRPr="00710526">
        <w:rPr>
          <w:rFonts w:ascii="Arial" w:hAnsi="Arial" w:cs="Arial"/>
          <w:iCs/>
          <w:sz w:val="20"/>
          <w:szCs w:val="20"/>
          <w:lang w:val="en-ZW"/>
        </w:rPr>
        <w:t xml:space="preserve"> extract, where polyphenolic compounds were found to regulate nucleation and particle stabilization</w:t>
      </w:r>
      <w:r w:rsidR="00E45BD7">
        <w:rPr>
          <w:rFonts w:ascii="Arial" w:hAnsi="Arial" w:cs="Arial"/>
          <w:iCs/>
          <w:sz w:val="20"/>
          <w:szCs w:val="20"/>
          <w:lang w:val="en-ZW"/>
        </w:rPr>
        <w:fldChar w:fldCharType="begin"/>
      </w:r>
      <w:r w:rsidR="00B3623E">
        <w:rPr>
          <w:rFonts w:ascii="Arial" w:hAnsi="Arial" w:cs="Arial"/>
          <w:iCs/>
          <w:sz w:val="20"/>
          <w:szCs w:val="20"/>
          <w:lang w:val="en-ZW"/>
        </w:rPr>
        <w:instrText xml:space="preserve"> ADDIN ZOTERO_ITEM CSL_CITATION {"citationID":"y49wJe8I","properties":{"formattedCitation":"(46)","plainCitation":"(46)","noteIndex":0},"citationItems":[{"id":271,"uris":["http://zotero.org/users/local/iHdIrYxX/items/GUK9TXCX"],"itemData":{"id":271,"type":"article-journal","abstract":"Among heavy metals, cadmium (Cd) is one of the toxic metals, which significantly reduce the growth of plants even at a low concentration. Cd interacts with various plant mechanisms at the physiological and antioxidant levels, resulting in decreased ...","container-title":"Frontiers in Plant Science","DOI":"10.3389/fpls.2022.900347","language":"en","note":"PMID: 35982701","page":"900347","source":"pmc.ncbi.nlm.nih.gov","title":"Synergistic Effect of Zinc Oxide Nanoparticles and Moringa oleifera Leaf Extract Alleviates Cadmium Toxicity in Linum usitatissimum: Antioxidants and Physiochemical Studies","title-short":"Synergistic Effect of Zinc Oxide Nanoparticles and Moringa oleifera Leaf Extract Alleviates Cadmium Toxicity in Linum usitatissimum","URL":"https://pmc.ncbi.nlm.nih.gov/articles/PMC9380429/","volume":"13","author":[{"family":"Ramzan","given":"Musarrat"},{"family":"Ayub","given":"Fazila"},{"family":"Shah","given":"Anis Ali"},{"family":"Naz","given":"Gul"},{"family":"Shah","given":"Adnan Noor"},{"family":"Malik","given":"Aqsa"},{"family":"Sardar","given":"Rehana"},{"family":"Telesiński","given":"Arkadiusz"},{"family":"Kalaji","given":"Hazem M."},{"family":"Dessoky","given":"Eldessoky S."},{"family":"Elgawad","given":"Hamada Abd"}],"accessed":{"date-parts":[["2025",7,2]]},"issued":{"date-parts":[["2022",8,2]]}}}],"schema":"https://github.com/citation-style-language/schema/raw/master/csl-citation.json"} </w:instrText>
      </w:r>
      <w:r w:rsidR="00E45BD7">
        <w:rPr>
          <w:rFonts w:ascii="Arial" w:hAnsi="Arial" w:cs="Arial"/>
          <w:iCs/>
          <w:sz w:val="20"/>
          <w:szCs w:val="20"/>
          <w:lang w:val="en-ZW"/>
        </w:rPr>
        <w:fldChar w:fldCharType="separate"/>
      </w:r>
      <w:r w:rsidR="00B3623E" w:rsidRPr="00B3623E">
        <w:rPr>
          <w:rFonts w:ascii="Arial" w:hAnsi="Arial" w:cs="Arial"/>
          <w:sz w:val="20"/>
        </w:rPr>
        <w:t>(46)</w:t>
      </w:r>
      <w:r w:rsidR="00E45BD7">
        <w:rPr>
          <w:rFonts w:ascii="Arial" w:hAnsi="Arial" w:cs="Arial"/>
          <w:iCs/>
          <w:sz w:val="20"/>
          <w:szCs w:val="20"/>
          <w:lang w:val="en-ZW"/>
        </w:rPr>
        <w:fldChar w:fldCharType="end"/>
      </w:r>
      <w:r w:rsidRPr="00710526">
        <w:rPr>
          <w:rFonts w:ascii="Arial" w:hAnsi="Arial" w:cs="Arial"/>
          <w:iCs/>
          <w:sz w:val="20"/>
          <w:szCs w:val="20"/>
          <w:lang w:val="en-ZW"/>
        </w:rPr>
        <w:t xml:space="preserve">.  </w:t>
      </w:r>
    </w:p>
    <w:p w14:paraId="0688C447" w14:textId="77777777" w:rsidR="00E305BA" w:rsidRPr="00710526" w:rsidRDefault="00E305BA" w:rsidP="00E807B6">
      <w:pPr>
        <w:spacing w:line="240" w:lineRule="auto"/>
        <w:contextualSpacing/>
        <w:jc w:val="both"/>
        <w:rPr>
          <w:rFonts w:ascii="Arial" w:hAnsi="Arial" w:cs="Arial"/>
          <w:iCs/>
          <w:sz w:val="20"/>
          <w:szCs w:val="20"/>
          <w:lang w:val="en-ZW"/>
        </w:rPr>
      </w:pPr>
    </w:p>
    <w:p w14:paraId="47DE8ABE" w14:textId="6BEED1C9" w:rsidR="00E305BA" w:rsidRPr="00710526" w:rsidRDefault="00E305BA" w:rsidP="00E807B6">
      <w:pPr>
        <w:spacing w:line="240" w:lineRule="auto"/>
        <w:contextualSpacing/>
        <w:jc w:val="both"/>
        <w:rPr>
          <w:rFonts w:ascii="Arial" w:hAnsi="Arial" w:cs="Arial"/>
          <w:iCs/>
          <w:sz w:val="20"/>
          <w:szCs w:val="20"/>
          <w:lang w:val="en-ZW"/>
        </w:rPr>
      </w:pPr>
      <w:r w:rsidRPr="00710526">
        <w:rPr>
          <w:rFonts w:ascii="Arial" w:hAnsi="Arial" w:cs="Arial"/>
          <w:iCs/>
          <w:sz w:val="20"/>
          <w:szCs w:val="20"/>
          <w:lang w:val="en-ZW"/>
        </w:rPr>
        <w:t>The formation of ZnONPs in this study likely followed a two-step mechanism involving the reduction of Zn²</w:t>
      </w:r>
      <w:r w:rsidRPr="00710526">
        <w:rPr>
          <w:rFonts w:ascii="Cambria Math" w:hAnsi="Cambria Math" w:cs="Cambria Math"/>
          <w:iCs/>
          <w:sz w:val="20"/>
          <w:szCs w:val="20"/>
          <w:lang w:val="en-ZW"/>
        </w:rPr>
        <w:t>⁺</w:t>
      </w:r>
      <w:r w:rsidRPr="00710526">
        <w:rPr>
          <w:rFonts w:ascii="Arial" w:hAnsi="Arial" w:cs="Arial"/>
          <w:iCs/>
          <w:sz w:val="20"/>
          <w:szCs w:val="20"/>
          <w:lang w:val="en-ZW"/>
        </w:rPr>
        <w:t xml:space="preserve"> ions by electron-donating phytochemicals present in the extract, followed by the nucleation and growth of ZnO crystals. The subsequent calcination at 500°C ensured the removal of residual organic compounds and promoted the development of a highly crystalline structure, as evidenced by the well-defined lattice fringes observed in high-resolution TEM (HR-TEM). This finding is consistent with the</w:t>
      </w:r>
      <w:r w:rsidR="00BF192E">
        <w:rPr>
          <w:rFonts w:ascii="Arial" w:hAnsi="Arial" w:cs="Arial"/>
          <w:iCs/>
          <w:sz w:val="20"/>
          <w:szCs w:val="20"/>
          <w:lang w:val="en-ZW"/>
        </w:rPr>
        <w:t xml:space="preserve"> other </w:t>
      </w:r>
      <w:r w:rsidR="00C01EAF">
        <w:rPr>
          <w:rFonts w:ascii="Arial" w:hAnsi="Arial" w:cs="Arial"/>
          <w:iCs/>
          <w:sz w:val="20"/>
          <w:szCs w:val="20"/>
          <w:lang w:val="en-ZW"/>
        </w:rPr>
        <w:t>studies</w:t>
      </w:r>
      <w:r w:rsidR="00C01EAF" w:rsidRPr="00710526">
        <w:rPr>
          <w:rFonts w:ascii="Arial" w:hAnsi="Arial" w:cs="Arial"/>
          <w:iCs/>
          <w:sz w:val="20"/>
          <w:szCs w:val="20"/>
          <w:lang w:val="en-ZW"/>
        </w:rPr>
        <w:t>,</w:t>
      </w:r>
      <w:r w:rsidR="00C01EAF">
        <w:rPr>
          <w:rFonts w:ascii="Arial" w:hAnsi="Arial" w:cs="Arial"/>
          <w:iCs/>
          <w:sz w:val="20"/>
          <w:szCs w:val="20"/>
          <w:lang w:val="en-ZW"/>
        </w:rPr>
        <w:t xml:space="preserve"> by </w:t>
      </w:r>
      <w:r w:rsidR="00C01EAF" w:rsidRPr="00C01EAF">
        <w:rPr>
          <w:rFonts w:ascii="Arial" w:hAnsi="Arial" w:cs="Arial"/>
          <w:sz w:val="20"/>
          <w:szCs w:val="20"/>
        </w:rPr>
        <w:t xml:space="preserve">Sharma </w:t>
      </w:r>
      <w:r w:rsidR="00C01EAF">
        <w:rPr>
          <w:rFonts w:ascii="Arial" w:hAnsi="Arial" w:cs="Arial"/>
          <w:sz w:val="20"/>
          <w:szCs w:val="20"/>
        </w:rPr>
        <w:t>et al (2025)</w:t>
      </w:r>
      <w:r w:rsidRPr="00710526">
        <w:rPr>
          <w:rFonts w:ascii="Arial" w:hAnsi="Arial" w:cs="Arial"/>
          <w:iCs/>
          <w:sz w:val="20"/>
          <w:szCs w:val="20"/>
          <w:lang w:val="en-ZW"/>
        </w:rPr>
        <w:t xml:space="preserve"> </w:t>
      </w:r>
      <w:r w:rsidR="00BF192E">
        <w:rPr>
          <w:rFonts w:ascii="Arial" w:hAnsi="Arial" w:cs="Arial"/>
          <w:iCs/>
          <w:sz w:val="20"/>
          <w:szCs w:val="20"/>
          <w:lang w:val="en-ZW"/>
        </w:rPr>
        <w:t>which</w:t>
      </w:r>
      <w:r w:rsidRPr="00710526">
        <w:rPr>
          <w:rFonts w:ascii="Arial" w:hAnsi="Arial" w:cs="Arial"/>
          <w:iCs/>
          <w:sz w:val="20"/>
          <w:szCs w:val="20"/>
          <w:lang w:val="en-ZW"/>
        </w:rPr>
        <w:t xml:space="preserve"> </w:t>
      </w:r>
      <w:r w:rsidR="00BF192E">
        <w:rPr>
          <w:rFonts w:ascii="Arial" w:hAnsi="Arial" w:cs="Arial"/>
          <w:iCs/>
          <w:sz w:val="20"/>
          <w:szCs w:val="20"/>
          <w:lang w:val="en-ZW"/>
        </w:rPr>
        <w:t>stated</w:t>
      </w:r>
      <w:r w:rsidRPr="00710526">
        <w:rPr>
          <w:rFonts w:ascii="Arial" w:hAnsi="Arial" w:cs="Arial"/>
          <w:iCs/>
          <w:sz w:val="20"/>
          <w:szCs w:val="20"/>
          <w:lang w:val="en-ZW"/>
        </w:rPr>
        <w:t xml:space="preserve"> that thermal treatment above 400°C</w:t>
      </w:r>
      <w:r w:rsidR="00BF192E">
        <w:rPr>
          <w:rFonts w:ascii="Arial" w:hAnsi="Arial" w:cs="Arial"/>
          <w:iCs/>
          <w:sz w:val="20"/>
          <w:szCs w:val="20"/>
          <w:lang w:val="en-ZW"/>
        </w:rPr>
        <w:t xml:space="preserve"> </w:t>
      </w:r>
      <w:r w:rsidRPr="00710526">
        <w:rPr>
          <w:rFonts w:ascii="Arial" w:hAnsi="Arial" w:cs="Arial"/>
          <w:iCs/>
          <w:sz w:val="20"/>
          <w:szCs w:val="20"/>
          <w:lang w:val="en-ZW"/>
        </w:rPr>
        <w:t>enhances the crystallinity of biosynthesized ZnONPs while maintaining their functional properties</w:t>
      </w:r>
      <w:r w:rsidR="00BF192E">
        <w:rPr>
          <w:rFonts w:ascii="Arial" w:hAnsi="Arial" w:cs="Arial"/>
          <w:iCs/>
          <w:sz w:val="20"/>
          <w:szCs w:val="20"/>
          <w:lang w:val="en-ZW"/>
        </w:rPr>
        <w:t xml:space="preserve"> </w:t>
      </w:r>
      <w:r w:rsidR="00BF192E">
        <w:rPr>
          <w:rFonts w:ascii="Arial" w:hAnsi="Arial" w:cs="Arial"/>
          <w:iCs/>
          <w:sz w:val="20"/>
          <w:szCs w:val="20"/>
          <w:lang w:val="en-ZW"/>
        </w:rPr>
        <w:fldChar w:fldCharType="begin"/>
      </w:r>
      <w:r w:rsidR="00B3623E">
        <w:rPr>
          <w:rFonts w:ascii="Arial" w:hAnsi="Arial" w:cs="Arial"/>
          <w:iCs/>
          <w:sz w:val="20"/>
          <w:szCs w:val="20"/>
          <w:lang w:val="en-ZW"/>
        </w:rPr>
        <w:instrText xml:space="preserve"> ADDIN ZOTERO_ITEM CSL_CITATION {"citationID":"p8PwYD8m","properties":{"formattedCitation":"(47)","plainCitation":"(47)","noteIndex":0},"citationItems":[{"id":258,"uris":["http://zotero.org/users/local/iHdIrYxX/items/CYMHW943"],"itemData":{"id":258,"type":"article-journal","abstract":"The challenge of dealing with synthetic dye pollution in waste from the leather industry requires continual research and development. Although numerous dyes used in the textile, food, and other industries have been found to be degraded by photocatalyst based on zinc oxide nanoparticles (ZnO NPs), no thorough studies on the degradation of leather dye from dye-containing wastewaters from tanneries have been reported to date. Hence, this study investigates the efficient photocatalytic destruction of leather dye using ZnO NPs produced by chemical precipitation method. The influence of calcination temperatures ranging from 400 to 600 °C on the structural and optical characteristics of ZnO NPs was investigated. XRD examination revealed an increase in crystallite size as the calcination temperature increased, presumably due to the merger of smaller crystallites into larger ones. Meanwhile, the polycrystalline and wurtzite structure of the synthesized ZnO NPs was observed, with particle diameters ranging from 40 to 90 nm and an average size of around 62 nm. UV–vis spectra revealed a decrease in energy band gap (3.15 to 3.05 eV), which was ascribed to an increase in crystallite size produced by higher calcination temperature from 400 to 600 °C. The photocatalytic degradation of leather dye was studied further. It has been demonstrated that ZnO NPs synthesized at a calcination temperature of 400 °C can remove 90% of the leather dye in 30 min. The dynamics of deterioration were also studied. It was discovered that the degradation of leather dyes best fitted the pseudo-first-order kinetics, with superoxide ions being the most likely species.","container-title":"Chemical Physics Impact","DOI":"10.1016/j.chphi.2023.100196","ISSN":"2667-0224","journalAbbreviation":"Chemical Physics Impact","page":"100196","source":"ScienceDirect","title":"The effect of calcination temperatures on the structural and optical properties of zinc oxide nanoparticles and their influence on the photocatalytic degradation of leather dye","URL":"https://www.sciencedirect.com/science/article/pii/S2667022423000361","volume":"6","author":[{"family":"Sharma","given":"Vandana"},{"family":"Sharma","given":"J. K."},{"family":"Kansay","given":"Vishal"},{"family":"Sharma","given":"Varun Dutt"},{"family":"Sharma","given":"Anupam"},{"family":"Kumar","given":"Suresh"},{"family":"Sharma","given":"A. K."},{"family":"Bera","given":"M. K."}],"accessed":{"date-parts":[["2025",7,2]]},"issued":{"date-parts":[["2023",6,1]]}}}],"schema":"https://github.com/citation-style-language/schema/raw/master/csl-citation.json"} </w:instrText>
      </w:r>
      <w:r w:rsidR="00BF192E">
        <w:rPr>
          <w:rFonts w:ascii="Arial" w:hAnsi="Arial" w:cs="Arial"/>
          <w:iCs/>
          <w:sz w:val="20"/>
          <w:szCs w:val="20"/>
          <w:lang w:val="en-ZW"/>
        </w:rPr>
        <w:fldChar w:fldCharType="separate"/>
      </w:r>
      <w:r w:rsidR="00B3623E" w:rsidRPr="00B3623E">
        <w:rPr>
          <w:rFonts w:ascii="Arial" w:hAnsi="Arial" w:cs="Arial"/>
          <w:sz w:val="20"/>
        </w:rPr>
        <w:t>(47)</w:t>
      </w:r>
      <w:r w:rsidR="00BF192E">
        <w:rPr>
          <w:rFonts w:ascii="Arial" w:hAnsi="Arial" w:cs="Arial"/>
          <w:iCs/>
          <w:sz w:val="20"/>
          <w:szCs w:val="20"/>
          <w:lang w:val="en-ZW"/>
        </w:rPr>
        <w:fldChar w:fldCharType="end"/>
      </w:r>
      <w:r w:rsidRPr="00710526">
        <w:rPr>
          <w:rFonts w:ascii="Arial" w:hAnsi="Arial" w:cs="Arial"/>
          <w:iCs/>
          <w:sz w:val="20"/>
          <w:szCs w:val="20"/>
          <w:lang w:val="en-ZW"/>
        </w:rPr>
        <w:t xml:space="preserve">. The crystalline nature of the nanoparticles is particularly important for their stability and performance in potential applications, including antimicrobial and photocatalytic activities.  </w:t>
      </w:r>
    </w:p>
    <w:p w14:paraId="3F7D88A5" w14:textId="77777777" w:rsidR="00E305BA" w:rsidRPr="00710526" w:rsidRDefault="00E305BA" w:rsidP="00E807B6">
      <w:pPr>
        <w:spacing w:line="240" w:lineRule="auto"/>
        <w:contextualSpacing/>
        <w:jc w:val="both"/>
        <w:rPr>
          <w:rFonts w:ascii="Arial" w:hAnsi="Arial" w:cs="Arial"/>
          <w:iCs/>
          <w:sz w:val="20"/>
          <w:szCs w:val="20"/>
          <w:lang w:val="en-ZW"/>
        </w:rPr>
      </w:pPr>
    </w:p>
    <w:p w14:paraId="4DEFF1D0" w14:textId="00226756" w:rsidR="00E305BA" w:rsidRPr="00710526" w:rsidRDefault="00E305BA" w:rsidP="00E807B6">
      <w:pPr>
        <w:spacing w:line="240" w:lineRule="auto"/>
        <w:contextualSpacing/>
        <w:jc w:val="both"/>
        <w:rPr>
          <w:rFonts w:ascii="Arial" w:hAnsi="Arial" w:cs="Arial"/>
          <w:iCs/>
          <w:sz w:val="20"/>
          <w:szCs w:val="20"/>
          <w:lang w:val="en-ZW"/>
        </w:rPr>
      </w:pPr>
      <w:r w:rsidRPr="00710526">
        <w:rPr>
          <w:rFonts w:ascii="Arial" w:hAnsi="Arial" w:cs="Arial"/>
          <w:iCs/>
          <w:sz w:val="20"/>
          <w:szCs w:val="20"/>
          <w:lang w:val="en-ZW"/>
        </w:rPr>
        <w:t>When compared to existing literature, the ZnONPs synthesized in this study exhibit favorable characteristics similar to those reported in other plant-mediated synthesis approaches. For instance, Ramesh et al</w:t>
      </w:r>
      <w:r w:rsidR="00D476C0">
        <w:rPr>
          <w:rFonts w:ascii="Arial" w:hAnsi="Arial" w:cs="Arial"/>
          <w:iCs/>
          <w:sz w:val="20"/>
          <w:szCs w:val="20"/>
          <w:lang w:val="en-ZW"/>
        </w:rPr>
        <w:t xml:space="preserve"> </w:t>
      </w:r>
      <w:r w:rsidR="00BF192E" w:rsidRPr="00BF192E">
        <w:rPr>
          <w:rFonts w:ascii="Arial" w:hAnsi="Arial" w:cs="Arial"/>
          <w:iCs/>
          <w:sz w:val="20"/>
          <w:szCs w:val="20"/>
          <w:lang w:val="en-ZW"/>
        </w:rPr>
        <w:t>(2021</w:t>
      </w:r>
      <w:r w:rsidR="00D476C0" w:rsidRPr="00BF192E">
        <w:rPr>
          <w:rFonts w:ascii="Arial" w:hAnsi="Arial" w:cs="Arial"/>
          <w:iCs/>
          <w:sz w:val="20"/>
          <w:szCs w:val="20"/>
          <w:lang w:val="en-ZW"/>
        </w:rPr>
        <w:t>)</w:t>
      </w:r>
      <w:r w:rsidR="00BF192E">
        <w:rPr>
          <w:rFonts w:ascii="Arial" w:hAnsi="Arial" w:cs="Arial"/>
          <w:iCs/>
          <w:sz w:val="20"/>
          <w:szCs w:val="20"/>
          <w:lang w:val="en-ZW"/>
        </w:rPr>
        <w:t xml:space="preserve"> </w:t>
      </w:r>
      <w:r w:rsidR="00BF192E">
        <w:rPr>
          <w:rFonts w:ascii="Arial" w:hAnsi="Arial" w:cs="Arial"/>
          <w:iCs/>
          <w:sz w:val="20"/>
          <w:szCs w:val="20"/>
          <w:lang w:val="en-ZW"/>
        </w:rPr>
        <w:fldChar w:fldCharType="begin"/>
      </w:r>
      <w:r w:rsidR="00B3623E">
        <w:rPr>
          <w:rFonts w:ascii="Arial" w:hAnsi="Arial" w:cs="Arial"/>
          <w:iCs/>
          <w:sz w:val="20"/>
          <w:szCs w:val="20"/>
          <w:lang w:val="en-ZW"/>
        </w:rPr>
        <w:instrText xml:space="preserve"> ADDIN ZOTERO_ITEM CSL_CITATION {"citationID":"wxGnP1Y5","properties":{"formattedCitation":"(48)","plainCitation":"(48)","noteIndex":0},"citationItems":[{"id":260,"uris":["http://zotero.org/users/local/iHdIrYxX/items/KTDVW4L6"],"itemData":{"id":260,"type":"article-journal","abstract":"In this study, zinc oxide nanoparticles (ZnO NPs) were synthesized using leaf extract of Cinnamomum camphora (L.) Presl and zinc acetate. Its antifungal activity was evaluated against Alternaria alternata which caused early blight disease in Solanum lycopersicum. The results showed that the size of the synthesized ZnO NPs obviously depended on the pH during the reaction. The peak of the UV–Vis spectra was at 368–374 nm, which confirmed the synthesis of ZnO NPs. SEM showed that the synthesized ZnO NPs agglomerated into spherical particles. TEM reveled that the average particle sizes of ZnO NPs synthesized at pH 7, pH 8 and pH 9 were about 13.92, 15.19 and 21.13 nm, respectively. Furthermore, ZnO NPs treatments at 20–160 mg/L could significantly inhibit the mycelia growth of A. alternata, and ZnO NPs synthesized at pH 7 showed the best antifungal effect with MIC value recorded as 20 mg/L. Moreover, 20 mg/L ZnO NPs synthesized at pH 7 significantly limited spore germination and germ tube elongation of A. alternata. In addition, ZnO NPs induced excessive accumulation of MDA in A. alternata and caused the damage of cell membrane, leading to the leakage of protein and nucleic acid. Therefore, green synthesized ZnO NPs, as a promising biocontrol agent, could be used to control fungal diseases.","container-title":"Journal of Environmental Chemical Engineering","DOI":"10.1016/j.jece.2021.106659","ISSN":"2213-3437","issue":"6","journalAbbreviation":"Journal of Environmental Chemical Engineering","page":"106659","source":"ScienceDirect","title":"Green synthesis of zinc oxide nanoparticles using &lt;i&gt;Cinnamomum camphora&lt;/i&gt; (L.) Presl leaf extracts and its antifungal activity","URL":"https://www.sciencedirect.com/science/article/pii/S2213343721016365","volume":"9","author":[{"family":"Zhu","given":"Wenjia"},{"family":"Hu","given":"Chunmei"},{"family":"Ren","given":"Yanfang"},{"family":"Lu","given":"Ying"},{"family":"Song","given":"Yaping"},{"family":"Ji","given":"Yu"},{"family":"Han","given":"Chuan"},{"family":"He","given":"Junyu"}],"accessed":{"date-parts":[["2025",7,2]]},"issued":{"date-parts":[["2021",12,1]]}}}],"schema":"https://github.com/citation-style-language/schema/raw/master/csl-citation.json"} </w:instrText>
      </w:r>
      <w:r w:rsidR="00BF192E">
        <w:rPr>
          <w:rFonts w:ascii="Arial" w:hAnsi="Arial" w:cs="Arial"/>
          <w:iCs/>
          <w:sz w:val="20"/>
          <w:szCs w:val="20"/>
          <w:lang w:val="en-ZW"/>
        </w:rPr>
        <w:fldChar w:fldCharType="separate"/>
      </w:r>
      <w:r w:rsidR="00B3623E" w:rsidRPr="00B3623E">
        <w:rPr>
          <w:rFonts w:ascii="Arial" w:hAnsi="Arial" w:cs="Arial"/>
          <w:sz w:val="20"/>
        </w:rPr>
        <w:t>(48)</w:t>
      </w:r>
      <w:r w:rsidR="00BF192E">
        <w:rPr>
          <w:rFonts w:ascii="Arial" w:hAnsi="Arial" w:cs="Arial"/>
          <w:iCs/>
          <w:sz w:val="20"/>
          <w:szCs w:val="20"/>
          <w:lang w:val="en-ZW"/>
        </w:rPr>
        <w:fldChar w:fldCharType="end"/>
      </w:r>
      <w:r w:rsidRPr="00710526">
        <w:rPr>
          <w:rFonts w:ascii="Arial" w:hAnsi="Arial" w:cs="Arial"/>
          <w:iCs/>
          <w:sz w:val="20"/>
          <w:szCs w:val="20"/>
          <w:lang w:val="en-ZW"/>
        </w:rPr>
        <w:t xml:space="preserve"> obtained spherical ZnONPs ranging from 25–60 nm using</w:t>
      </w:r>
      <w:r w:rsidR="00822B34" w:rsidRPr="00822B34">
        <w:rPr>
          <w:rFonts w:ascii="Arial" w:hAnsi="Arial" w:cs="Arial"/>
          <w:iCs/>
          <w:sz w:val="20"/>
          <w:szCs w:val="20"/>
          <w:lang w:val="en-ZW"/>
        </w:rPr>
        <w:t xml:space="preserve"> </w:t>
      </w:r>
      <w:r w:rsidR="00822B34" w:rsidRPr="00822B34">
        <w:rPr>
          <w:rFonts w:ascii="Arial" w:hAnsi="Arial" w:cs="Arial"/>
          <w:i/>
          <w:sz w:val="20"/>
          <w:szCs w:val="20"/>
          <w:lang w:val="en-ZW"/>
        </w:rPr>
        <w:t>Cinnamomum</w:t>
      </w:r>
      <w:r w:rsidR="00822B34" w:rsidRPr="00822B34">
        <w:rPr>
          <w:rFonts w:ascii="Arial" w:hAnsi="Arial" w:cs="Arial"/>
          <w:iCs/>
          <w:sz w:val="20"/>
          <w:szCs w:val="20"/>
          <w:lang w:val="en-ZW"/>
        </w:rPr>
        <w:t xml:space="preserve"> </w:t>
      </w:r>
      <w:r w:rsidR="00822B34" w:rsidRPr="00822B34">
        <w:rPr>
          <w:rFonts w:ascii="Arial" w:hAnsi="Arial" w:cs="Arial"/>
          <w:i/>
          <w:sz w:val="20"/>
          <w:szCs w:val="20"/>
          <w:lang w:val="en-ZW"/>
        </w:rPr>
        <w:t>camphora (L.) Presl</w:t>
      </w:r>
      <w:r w:rsidR="00822B34" w:rsidRPr="00822B34">
        <w:rPr>
          <w:rFonts w:ascii="Arial" w:hAnsi="Arial" w:cs="Arial"/>
          <w:iCs/>
          <w:sz w:val="20"/>
          <w:szCs w:val="20"/>
          <w:lang w:val="en-ZW"/>
        </w:rPr>
        <w:t xml:space="preserve"> and zinc acetate</w:t>
      </w:r>
      <w:r w:rsidR="00822B34">
        <w:rPr>
          <w:rFonts w:ascii="Arial" w:hAnsi="Arial" w:cs="Arial"/>
          <w:iCs/>
          <w:sz w:val="20"/>
          <w:szCs w:val="20"/>
          <w:lang w:val="en-ZW"/>
        </w:rPr>
        <w:t>. T</w:t>
      </w:r>
      <w:r w:rsidRPr="00710526">
        <w:rPr>
          <w:rFonts w:ascii="Arial" w:hAnsi="Arial" w:cs="Arial"/>
          <w:iCs/>
          <w:sz w:val="20"/>
          <w:szCs w:val="20"/>
          <w:lang w:val="en-ZW"/>
        </w:rPr>
        <w:t>he current study highlights the enhanced stability of V. nilotica-mediated ZnONPs, likely due to the high content of catechin and gallic acid in the extract, which provide strong capping effects</w:t>
      </w:r>
      <w:r w:rsidR="00822B34">
        <w:rPr>
          <w:rFonts w:ascii="Arial" w:hAnsi="Arial" w:cs="Arial"/>
          <w:iCs/>
          <w:sz w:val="20"/>
          <w:szCs w:val="20"/>
          <w:lang w:val="en-ZW"/>
        </w:rPr>
        <w:t xml:space="preserve"> </w:t>
      </w:r>
      <w:r w:rsidR="00822B34">
        <w:rPr>
          <w:rFonts w:ascii="Arial" w:hAnsi="Arial" w:cs="Arial"/>
          <w:iCs/>
          <w:sz w:val="20"/>
          <w:szCs w:val="20"/>
          <w:lang w:val="en-ZW"/>
        </w:rPr>
        <w:fldChar w:fldCharType="begin"/>
      </w:r>
      <w:r w:rsidR="00B3623E">
        <w:rPr>
          <w:rFonts w:ascii="Arial" w:hAnsi="Arial" w:cs="Arial"/>
          <w:iCs/>
          <w:sz w:val="20"/>
          <w:szCs w:val="20"/>
          <w:lang w:val="en-ZW"/>
        </w:rPr>
        <w:instrText xml:space="preserve"> ADDIN ZOTERO_ITEM CSL_CITATION {"citationID":"1fybpFcZ","properties":{"formattedCitation":"(49)","plainCitation":"(49)","noteIndex":0},"citationItems":[{"id":262,"uris":["http://zotero.org/users/local/iHdIrYxX/items/G5A8K5MM"],"itemData":{"id":262,"type":"article-journal","abstract":"Neurotoxicity is a serious health problem of patients chronically exposed to arsenic. There is no specific treatment of this problem. Oxidative stress has been implicated in the pathological process of neurotoxicity. Polyphenolics have proven antioxidant activity, thereby offering protection against oxidative stress. In this study, we have isolated the polyphenolics from Acacia nilotica and investigated its effect against arsenic-induced neurotoxicity and oxidative stress in mice. Acacia nilotica polyphenolics prepared from column chromatography of the crude methanol extract using diaion resin contained a phenolic content of 452.185 ± 7.879 mg gallic acid equivalent/gm of sample and flavonoid content of 200.075 ± 0.755 mg catechin equivalent/gm of sample. The polyphenolics exhibited potent antioxidant activity with respect to free radical scavenging ability, total antioxidant activity and inhibition of lipid peroxidation. Administration of arsenic in mice showed a reduction of acetylcholinesterase activity in the brain which was counteracted by Acacia nilotica polyphenolics. Similarly, elevation of lipid peroxidation and depletion of glutathione in the brain of mice was effectively restored to normal level by Acacia nilotica polyphenolics. Gallic acid methyl ester, catechin and catechin-7-gallate were identified in the polyphenolics as the major active compounds. These results suggest that Acacia nilotica polyphenolics due to its strong antioxidant potential might be effective in the management of arsenic induced neurotoxicity.","container-title":"Molecules","DOI":"10.3390/molecules27031037","ISSN":"1420-3049","issue":"3","journalAbbreviation":"Molecules","note":"PMID: 35164302\nPMCID: PMC8840196","page":"1037","source":"PubMed Central","title":"Polyphenolics with Strong Antioxidant Activity from Acacia nilotica Ameliorate Some Biochemical Signs of Arsenic-Induced Neurotoxicity and Oxidative Stress in Mice","URL":"https://www.ncbi.nlm.nih.gov/pmc/articles/PMC8840196/","volume":"27","author":[{"family":"Foyzun","given":"Tahira"},{"family":"Mahmud","given":"Abdullah Al"},{"family":"Ahammed","given":"Md. Salim"},{"family":"Manik","given":"Md. Imran Nur"},{"family":"Hasan","given":"Md. Kamrul"},{"family":"Islam","given":"KM Monirul"},{"family":"Lopa","given":"Simin Sobnom"},{"family":"Al-Amin","given":"Md. Yusuf"},{"family":"Biswas","given":"Kushal"},{"family":"Afrin","given":"Mst. Rejina"},{"family":"Alam","given":"AHM Khurshid"},{"family":"Sadik","given":"Golam"}],"accessed":{"date-parts":[["2025",7,2]]},"issued":{"date-parts":[["2022",2,3]]}}}],"schema":"https://github.com/citation-style-language/schema/raw/master/csl-citation.json"} </w:instrText>
      </w:r>
      <w:r w:rsidR="00822B34">
        <w:rPr>
          <w:rFonts w:ascii="Arial" w:hAnsi="Arial" w:cs="Arial"/>
          <w:iCs/>
          <w:sz w:val="20"/>
          <w:szCs w:val="20"/>
          <w:lang w:val="en-ZW"/>
        </w:rPr>
        <w:fldChar w:fldCharType="separate"/>
      </w:r>
      <w:r w:rsidR="00B3623E" w:rsidRPr="00B3623E">
        <w:rPr>
          <w:rFonts w:ascii="Arial" w:hAnsi="Arial" w:cs="Arial"/>
          <w:sz w:val="20"/>
        </w:rPr>
        <w:t>(49)</w:t>
      </w:r>
      <w:r w:rsidR="00822B34">
        <w:rPr>
          <w:rFonts w:ascii="Arial" w:hAnsi="Arial" w:cs="Arial"/>
          <w:iCs/>
          <w:sz w:val="20"/>
          <w:szCs w:val="20"/>
          <w:lang w:val="en-ZW"/>
        </w:rPr>
        <w:fldChar w:fldCharType="end"/>
      </w:r>
      <w:r w:rsidRPr="00710526">
        <w:rPr>
          <w:rFonts w:ascii="Arial" w:hAnsi="Arial" w:cs="Arial"/>
          <w:iCs/>
          <w:sz w:val="20"/>
          <w:szCs w:val="20"/>
          <w:lang w:val="en-ZW"/>
        </w:rPr>
        <w:t xml:space="preserve">. This improved stability is a significant advantage for biomedical and environmental applications where long-term nanoparticle integrity is essential.  </w:t>
      </w:r>
    </w:p>
    <w:p w14:paraId="091CAA88" w14:textId="77777777" w:rsidR="00E305BA" w:rsidRPr="00710526" w:rsidRDefault="00E305BA" w:rsidP="00E807B6">
      <w:pPr>
        <w:spacing w:line="240" w:lineRule="auto"/>
        <w:contextualSpacing/>
        <w:jc w:val="both"/>
        <w:rPr>
          <w:rFonts w:ascii="Arial" w:hAnsi="Arial" w:cs="Arial"/>
          <w:iCs/>
          <w:sz w:val="20"/>
          <w:szCs w:val="20"/>
          <w:lang w:val="en-ZW"/>
        </w:rPr>
      </w:pPr>
    </w:p>
    <w:p w14:paraId="7FA4865F" w14:textId="6582D62B" w:rsidR="002D6194" w:rsidRPr="00234B05" w:rsidRDefault="00E305BA" w:rsidP="00E807B6">
      <w:pPr>
        <w:spacing w:line="240" w:lineRule="auto"/>
        <w:contextualSpacing/>
        <w:jc w:val="both"/>
        <w:rPr>
          <w:rFonts w:ascii="Arial" w:hAnsi="Arial" w:cs="Arial"/>
          <w:iCs/>
          <w:sz w:val="20"/>
          <w:szCs w:val="20"/>
          <w:lang w:val="en-ZW"/>
        </w:rPr>
      </w:pPr>
      <w:r w:rsidRPr="00710526">
        <w:rPr>
          <w:rFonts w:ascii="Arial" w:hAnsi="Arial" w:cs="Arial"/>
          <w:iCs/>
          <w:sz w:val="20"/>
          <w:szCs w:val="20"/>
          <w:lang w:val="en-ZW"/>
        </w:rPr>
        <w:t xml:space="preserve">The small size and high surface area-to-volume ratio of the synthesized ZnONPs suggest promising potential in antimicrobial, anticancer, and photocatalytic applications </w:t>
      </w:r>
      <w:r w:rsidR="00E45BD7">
        <w:rPr>
          <w:rFonts w:ascii="Arial" w:hAnsi="Arial" w:cs="Arial"/>
          <w:iCs/>
          <w:sz w:val="20"/>
          <w:szCs w:val="20"/>
          <w:lang w:val="en-ZW"/>
        </w:rPr>
        <w:fldChar w:fldCharType="begin"/>
      </w:r>
      <w:r w:rsidR="00B3623E">
        <w:rPr>
          <w:rFonts w:ascii="Arial" w:hAnsi="Arial" w:cs="Arial"/>
          <w:iCs/>
          <w:sz w:val="20"/>
          <w:szCs w:val="20"/>
          <w:lang w:val="en-ZW"/>
        </w:rPr>
        <w:instrText xml:space="preserve"> ADDIN ZOTERO_ITEM CSL_CITATION {"citationID":"Q9KLQC7x","properties":{"formattedCitation":"(50)","plainCitation":"(50)","noteIndex":0},"citationItems":[{"id":123,"uris":["http://zotero.org/users/local/iHdIrYxX/items/PAQXGGHF"],"itemData":{"id":123,"type":"article-journal","abstract":"Nanoparticles, with their selective targeting capabilities and superior efficacy, are becoming increasingly important in modern cancer therapy and starting to overshadow traditional cancer therapies such as chemotherapy, radiation and surgery. ZnO nanoparticles, with their unique properties such as biocompatibility, high selectivity, enhanced cytotoxicity and easy synthesis, may be a promising anticancer agent. Zinc, as one of the major trace elements of the human body and co-factor of more than 300 mammalian enzymes, plays an important role in maintaining crucial cellular processes including oxidative stress, DNA replication, DNA repair, cell cycle progression and apoptosis. Thus, it is evident that an alteration in zinc levels in cancer cells can cause a deleterious effect. Research has shown that low zinc concentration in cells leads to the initiation and progression of cancer and high zinc concentration shows toxic effects. Zinc-mediated protein activity disequilibrium and oxidative stress through reactive oxygen species (ROS) may be the probable mechanism of this cytotoxic effect. The selective localization of ZnO nanoparticles towards cancer cells due to enhanced permeability and retention (EPR) effect and electrostatic interaction and selective cytotoxicity due to increased ROS present in cancer cells show that ZnO nanoparticles can selectively target and kill cancer cells, making them a promising anticancer agent.","container-title":"Nanobiomedicine","DOI":"10.5772/63437","ISSN":"1849-5435, 1849-5435","journalAbbreviation":"Nanobiomedicine","language":"en","page":"9","source":"DOI.org (Crossref)","title":"ZnO Nanoparticles: A Promising Anticancer Agent","title-short":"ZnO Nanoparticles","URL":"https://journals.sagepub.com/doi/10.5772/63437","volume":"3","author":[{"family":"Bisht","given":"Gunjan"},{"family":"Rayamajhi","given":"Sagar"}],"accessed":{"date-parts":[["2025",5,13]]},"issued":{"date-parts":[["2016",1,1]]}}}],"schema":"https://github.com/citation-style-language/schema/raw/master/csl-citation.json"} </w:instrText>
      </w:r>
      <w:r w:rsidR="00E45BD7">
        <w:rPr>
          <w:rFonts w:ascii="Arial" w:hAnsi="Arial" w:cs="Arial"/>
          <w:iCs/>
          <w:sz w:val="20"/>
          <w:szCs w:val="20"/>
          <w:lang w:val="en-ZW"/>
        </w:rPr>
        <w:fldChar w:fldCharType="separate"/>
      </w:r>
      <w:r w:rsidR="00B3623E" w:rsidRPr="00B3623E">
        <w:rPr>
          <w:rFonts w:ascii="Arial" w:hAnsi="Arial" w:cs="Arial"/>
          <w:sz w:val="20"/>
        </w:rPr>
        <w:t>(50)</w:t>
      </w:r>
      <w:r w:rsidR="00E45BD7">
        <w:rPr>
          <w:rFonts w:ascii="Arial" w:hAnsi="Arial" w:cs="Arial"/>
          <w:iCs/>
          <w:sz w:val="20"/>
          <w:szCs w:val="20"/>
          <w:lang w:val="en-ZW"/>
        </w:rPr>
        <w:fldChar w:fldCharType="end"/>
      </w:r>
      <w:r w:rsidRPr="00710526">
        <w:rPr>
          <w:rFonts w:ascii="Arial" w:hAnsi="Arial" w:cs="Arial"/>
          <w:iCs/>
          <w:sz w:val="20"/>
          <w:szCs w:val="20"/>
          <w:lang w:val="en-ZW"/>
        </w:rPr>
        <w:t xml:space="preserve">. Furthermore, the green </w:t>
      </w:r>
      <w:r w:rsidRPr="00710526">
        <w:rPr>
          <w:rFonts w:ascii="Arial" w:hAnsi="Arial" w:cs="Arial"/>
          <w:iCs/>
          <w:sz w:val="20"/>
          <w:szCs w:val="20"/>
          <w:lang w:val="en-ZW"/>
        </w:rPr>
        <w:lastRenderedPageBreak/>
        <w:t xml:space="preserve">synthesis approach employed in this study minimizes the use of toxic chemicals, thereby enhancing the biocompatibility and safety of the nanoparticles—a critical consideration for therapeutic and environmental uses </w:t>
      </w:r>
      <w:r w:rsidR="00E45BD7">
        <w:rPr>
          <w:rFonts w:ascii="Arial" w:hAnsi="Arial" w:cs="Arial"/>
          <w:iCs/>
          <w:sz w:val="20"/>
          <w:szCs w:val="20"/>
          <w:lang w:val="en-ZW"/>
        </w:rPr>
        <w:fldChar w:fldCharType="begin"/>
      </w:r>
      <w:r w:rsidR="00B3623E">
        <w:rPr>
          <w:rFonts w:ascii="Arial" w:hAnsi="Arial" w:cs="Arial"/>
          <w:iCs/>
          <w:sz w:val="20"/>
          <w:szCs w:val="20"/>
          <w:lang w:val="en-ZW"/>
        </w:rPr>
        <w:instrText xml:space="preserve"> ADDIN ZOTERO_ITEM CSL_CITATION {"citationID":"vbsKoBF9","properties":{"formattedCitation":"(51)","plainCitation":"(51)","noteIndex":0},"citationItems":[{"id":277,"uris":["http://zotero.org/users/local/iHdIrYxX/items/EPDZJUUU"],"itemData":{"id":277,"type":"article-journal","abstract":"This review explores recent advancements in the green synthesis of silver nanoparticles (AgNP), focusing on plant-based methods, critical synthesis factors, and biomedical applications. Plant extracts, rich in reducing agents like phenols, flavonoids, and terpenoids, facilitate the eco-friendly conversion of silver ions into AgNP. Critical parameters such as pH, temperature, reaction time, and silver precursor concentration are examined for their impact on nanoparticle size, stability, and yield. The biosynthesized AgNP demonstrate broad-spectrum antimicrobial activity, primarily through mechanisms like bacterial membrane disruption and oxidative stress. Emerging applications in anticancer treatments, antioxidant therapies, and wound healing are also discussed. The advantages of green synthesis over conventional chemical methods are highlighted, alongside reproducibility, scalability, and cytotoxicity challenges. Future directions include standardizing synthesis protocols, developing large-scale production strategies, and investigating AgNP toxicity mechanisms further. Plant-mediated green synthesis represents a promising and sustainable approach for generating AgNP with significant biomedical potential.","container-title":"JCIS Open","DOI":"10.1016/j.jciso.2024.100125","ISSN":"2666-934X","journalAbbreviation":"JCIS Open","page":"100125","source":"ScienceDirect","title":"Green synthesis of silver nanoparticles: A comprehensive review of methods, influencing factors, and applications","title-short":"Green synthesis of silver nanoparticles","URL":"https://www.sciencedirect.com/science/article/pii/S2666934X24000254","volume":"16","author":[{"family":"Fahim","given":"Mohd"},{"family":"Shahzaib","given":"Adnan"},{"family":"Nishat","given":"Nahid"},{"family":"Jahan","given":"Afroz"},{"family":"Bhat","given":"Tahir Ahmad"},{"family":"Inam","given":"Afreen"}],"accessed":{"date-parts":[["2025",7,2]]},"issued":{"date-parts":[["2024",12,1]]}}}],"schema":"https://github.com/citation-style-language/schema/raw/master/csl-citation.json"} </w:instrText>
      </w:r>
      <w:r w:rsidR="00E45BD7">
        <w:rPr>
          <w:rFonts w:ascii="Arial" w:hAnsi="Arial" w:cs="Arial"/>
          <w:iCs/>
          <w:sz w:val="20"/>
          <w:szCs w:val="20"/>
          <w:lang w:val="en-ZW"/>
        </w:rPr>
        <w:fldChar w:fldCharType="separate"/>
      </w:r>
      <w:r w:rsidR="00B3623E" w:rsidRPr="00B3623E">
        <w:rPr>
          <w:rFonts w:ascii="Arial" w:hAnsi="Arial" w:cs="Arial"/>
          <w:sz w:val="20"/>
        </w:rPr>
        <w:t>(51)</w:t>
      </w:r>
      <w:r w:rsidR="00E45BD7">
        <w:rPr>
          <w:rFonts w:ascii="Arial" w:hAnsi="Arial" w:cs="Arial"/>
          <w:iCs/>
          <w:sz w:val="20"/>
          <w:szCs w:val="20"/>
          <w:lang w:val="en-ZW"/>
        </w:rPr>
        <w:fldChar w:fldCharType="end"/>
      </w:r>
      <w:r w:rsidRPr="00710526">
        <w:rPr>
          <w:rFonts w:ascii="Arial" w:hAnsi="Arial" w:cs="Arial"/>
          <w:iCs/>
          <w:sz w:val="20"/>
          <w:szCs w:val="20"/>
          <w:lang w:val="en-ZW"/>
        </w:rPr>
        <w:t xml:space="preserve">. Future research should focus on evaluating the in vivo toxicity and therapeutic efficacy of these nanoparticles to fully assess their applicability in medical and industrial fields.  </w:t>
      </w:r>
    </w:p>
    <w:p w14:paraId="1135151D" w14:textId="2ABE8257" w:rsidR="00D476C0" w:rsidRDefault="00D91BA0" w:rsidP="00D476C0">
      <w:pPr>
        <w:pStyle w:val="Heading2"/>
      </w:pPr>
      <w:bookmarkStart w:id="35" w:name="_Hlk201758182"/>
      <w:r w:rsidRPr="00AB04AA">
        <w:t xml:space="preserve">Antioxidant Efficacy of </w:t>
      </w:r>
      <w:r w:rsidRPr="00D476C0">
        <w:rPr>
          <w:i/>
          <w:iCs/>
        </w:rPr>
        <w:t>Vachellia nilotica</w:t>
      </w:r>
      <w:r w:rsidRPr="00AB04AA">
        <w:t>-Mediated Z</w:t>
      </w:r>
      <w:r w:rsidR="00D476C0">
        <w:t>nONPs</w:t>
      </w:r>
    </w:p>
    <w:p w14:paraId="476C048E" w14:textId="77777777" w:rsidR="00D476C0" w:rsidRPr="00D476C0" w:rsidRDefault="00D476C0" w:rsidP="00D476C0"/>
    <w:bookmarkEnd w:id="35"/>
    <w:p w14:paraId="67AF227A" w14:textId="77777777" w:rsidR="00AB04AA" w:rsidRDefault="00234B05" w:rsidP="00E807B6">
      <w:pPr>
        <w:keepNext/>
        <w:spacing w:line="240" w:lineRule="auto"/>
        <w:contextualSpacing/>
      </w:pPr>
      <w:r>
        <w:rPr>
          <w:noProof/>
        </w:rPr>
        <w:drawing>
          <wp:inline distT="0" distB="0" distL="114300" distR="114300" wp14:anchorId="540562A7" wp14:editId="045BE0C6">
            <wp:extent cx="5731510" cy="3914775"/>
            <wp:effectExtent l="0" t="0" r="2540" b="9525"/>
            <wp:docPr id="1069"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1BD306B" w14:textId="01211E79" w:rsidR="00234B05" w:rsidRDefault="00AB04AA" w:rsidP="00E807B6">
      <w:pPr>
        <w:pStyle w:val="Caption"/>
        <w:contextualSpacing/>
      </w:pPr>
      <w:r>
        <w:t xml:space="preserve">Figure </w:t>
      </w:r>
      <w:r w:rsidR="00AE5DCC">
        <w:t>6:</w:t>
      </w:r>
      <w:r w:rsidRPr="00AB04AA">
        <w:t xml:space="preserve"> Antioxidant Efficacy of Vachellia nilotica-Mediated Zinc Oxide Nanoparticles: A Comparative Study Using DPPH Assay</w:t>
      </w:r>
    </w:p>
    <w:p w14:paraId="04D1A53F" w14:textId="31BEA087" w:rsidR="00AB04AA" w:rsidRPr="00AB04AA" w:rsidRDefault="00AB04AA" w:rsidP="00E807B6">
      <w:pPr>
        <w:spacing w:line="240" w:lineRule="auto"/>
        <w:contextualSpacing/>
        <w:jc w:val="both"/>
        <w:rPr>
          <w:rFonts w:ascii="Arial" w:hAnsi="Arial" w:cs="Arial"/>
          <w:iCs/>
          <w:sz w:val="20"/>
          <w:szCs w:val="20"/>
          <w:lang w:val="en-ZW"/>
        </w:rPr>
      </w:pPr>
      <w:r w:rsidRPr="00AB04AA">
        <w:rPr>
          <w:rFonts w:ascii="Arial" w:hAnsi="Arial" w:cs="Arial"/>
          <w:iCs/>
          <w:sz w:val="20"/>
          <w:szCs w:val="20"/>
          <w:lang w:val="en-ZW"/>
        </w:rPr>
        <w:t xml:space="preserve">The evaluation of antioxidant potential through DPPH radical scavenging assays revealed significant differences in the free radical inhibition capacity among the tested samples </w:t>
      </w:r>
      <w:r w:rsidRPr="00AE5DCC">
        <w:rPr>
          <w:rFonts w:ascii="Arial" w:hAnsi="Arial" w:cs="Arial"/>
          <w:iCs/>
          <w:sz w:val="20"/>
          <w:szCs w:val="20"/>
          <w:lang w:val="en-ZW"/>
        </w:rPr>
        <w:t xml:space="preserve">(Figure </w:t>
      </w:r>
      <w:r w:rsidR="00AE5DCC" w:rsidRPr="00AE5DCC">
        <w:rPr>
          <w:rFonts w:ascii="Arial" w:hAnsi="Arial" w:cs="Arial"/>
          <w:iCs/>
          <w:sz w:val="20"/>
          <w:szCs w:val="20"/>
          <w:lang w:val="en-ZW"/>
        </w:rPr>
        <w:t>6</w:t>
      </w:r>
      <w:r w:rsidRPr="00AE5DCC">
        <w:rPr>
          <w:rFonts w:ascii="Arial" w:hAnsi="Arial" w:cs="Arial"/>
          <w:iCs/>
          <w:sz w:val="20"/>
          <w:szCs w:val="20"/>
          <w:lang w:val="en-ZW"/>
        </w:rPr>
        <w:t>).</w:t>
      </w:r>
      <w:r w:rsidRPr="00AB04AA">
        <w:rPr>
          <w:rFonts w:ascii="Arial" w:hAnsi="Arial" w:cs="Arial"/>
          <w:iCs/>
          <w:sz w:val="20"/>
          <w:szCs w:val="20"/>
          <w:lang w:val="en-ZW"/>
        </w:rPr>
        <w:t xml:space="preserve"> The composite system of zinc oxide nanoparticles conjugated with </w:t>
      </w:r>
      <w:r w:rsidRPr="001371BD">
        <w:rPr>
          <w:rFonts w:ascii="Arial" w:hAnsi="Arial" w:cs="Arial"/>
          <w:i/>
          <w:sz w:val="20"/>
          <w:szCs w:val="20"/>
          <w:lang w:val="en-ZW"/>
        </w:rPr>
        <w:t>V. nilotica</w:t>
      </w:r>
      <w:r w:rsidRPr="00AB04AA">
        <w:rPr>
          <w:rFonts w:ascii="Arial" w:hAnsi="Arial" w:cs="Arial"/>
          <w:iCs/>
          <w:sz w:val="20"/>
          <w:szCs w:val="20"/>
          <w:lang w:val="en-ZW"/>
        </w:rPr>
        <w:t xml:space="preserve"> extract (ZnONP+</w:t>
      </w:r>
      <w:r w:rsidRPr="001371BD">
        <w:rPr>
          <w:rFonts w:ascii="Arial" w:hAnsi="Arial" w:cs="Arial"/>
          <w:i/>
          <w:sz w:val="20"/>
          <w:szCs w:val="20"/>
          <w:lang w:val="en-ZW"/>
        </w:rPr>
        <w:t>V. nilotica</w:t>
      </w:r>
      <w:r w:rsidRPr="00AB04AA">
        <w:rPr>
          <w:rFonts w:ascii="Arial" w:hAnsi="Arial" w:cs="Arial"/>
          <w:iCs/>
          <w:sz w:val="20"/>
          <w:szCs w:val="20"/>
          <w:lang w:val="en-ZW"/>
        </w:rPr>
        <w:t xml:space="preserve">) demonstrated remarkable antioxidant activity, achieving 89.7% inhibition at 120 μg/mL. This performance substantially exceeded both the crude </w:t>
      </w:r>
      <w:r w:rsidRPr="001371BD">
        <w:rPr>
          <w:rFonts w:ascii="Arial" w:hAnsi="Arial" w:cs="Arial"/>
          <w:i/>
          <w:sz w:val="20"/>
          <w:szCs w:val="20"/>
          <w:lang w:val="en-ZW"/>
        </w:rPr>
        <w:t xml:space="preserve">V. nilotica </w:t>
      </w:r>
      <w:r w:rsidRPr="00AB04AA">
        <w:rPr>
          <w:rFonts w:ascii="Arial" w:hAnsi="Arial" w:cs="Arial"/>
          <w:iCs/>
          <w:sz w:val="20"/>
          <w:szCs w:val="20"/>
          <w:lang w:val="en-ZW"/>
        </w:rPr>
        <w:t>extract (64.2%) and unconjugated ZnONPs (52.8%) at equivalent concentrations, revealing a distinct synergistic effect between the phytochemical constituents and nanostructured zinc oxide.</w:t>
      </w:r>
    </w:p>
    <w:p w14:paraId="79BD1AD4" w14:textId="6CCF8811" w:rsidR="00AB04AA" w:rsidRPr="00AB04AA" w:rsidRDefault="00AB04AA" w:rsidP="00E807B6">
      <w:pPr>
        <w:spacing w:line="240" w:lineRule="auto"/>
        <w:contextualSpacing/>
        <w:jc w:val="both"/>
        <w:rPr>
          <w:rFonts w:ascii="Arial" w:hAnsi="Arial" w:cs="Arial"/>
          <w:iCs/>
          <w:sz w:val="20"/>
          <w:szCs w:val="20"/>
          <w:lang w:val="en-ZW"/>
        </w:rPr>
      </w:pPr>
      <w:r w:rsidRPr="00AB04AA">
        <w:rPr>
          <w:rFonts w:ascii="Arial" w:hAnsi="Arial" w:cs="Arial"/>
          <w:iCs/>
          <w:sz w:val="20"/>
          <w:szCs w:val="20"/>
          <w:lang w:val="en-ZW"/>
        </w:rPr>
        <w:t xml:space="preserve">The enhanced antioxidant capacity of the hybrid system can be attributed to multiple physicochemical factors. First, the nano-confinement of bioactive phytochemicals from </w:t>
      </w:r>
      <w:r w:rsidRPr="00AE5DCC">
        <w:rPr>
          <w:rFonts w:ascii="Arial" w:hAnsi="Arial" w:cs="Arial"/>
          <w:i/>
          <w:sz w:val="20"/>
          <w:szCs w:val="20"/>
          <w:lang w:val="en-ZW"/>
        </w:rPr>
        <w:t>V. nilotica</w:t>
      </w:r>
      <w:r w:rsidRPr="00AB04AA">
        <w:rPr>
          <w:rFonts w:ascii="Arial" w:hAnsi="Arial" w:cs="Arial"/>
          <w:iCs/>
          <w:sz w:val="20"/>
          <w:szCs w:val="20"/>
          <w:lang w:val="en-ZW"/>
        </w:rPr>
        <w:t xml:space="preserve"> (particularly flavonoids and phenolic acids) on the ZnO</w:t>
      </w:r>
      <w:r w:rsidR="00AE5DCC">
        <w:rPr>
          <w:rFonts w:ascii="Arial" w:hAnsi="Arial" w:cs="Arial"/>
          <w:iCs/>
          <w:sz w:val="20"/>
          <w:szCs w:val="20"/>
          <w:lang w:val="en-ZW"/>
        </w:rPr>
        <w:t>-</w:t>
      </w:r>
      <w:r w:rsidRPr="00AB04AA">
        <w:rPr>
          <w:rFonts w:ascii="Arial" w:hAnsi="Arial" w:cs="Arial"/>
          <w:iCs/>
          <w:sz w:val="20"/>
          <w:szCs w:val="20"/>
          <w:lang w:val="en-ZW"/>
        </w:rPr>
        <w:t>NP surface likely facilitates more efficient electron transfer to neutralize free radicals, as previously observed in similar plant-metal oxide conjugates</w:t>
      </w:r>
      <w:r w:rsidR="00AE5DCC">
        <w:rPr>
          <w:rFonts w:ascii="Arial" w:hAnsi="Arial" w:cs="Arial"/>
          <w:iCs/>
          <w:sz w:val="20"/>
          <w:szCs w:val="20"/>
          <w:lang w:val="en-ZW"/>
        </w:rPr>
        <w:t xml:space="preserve"> </w:t>
      </w:r>
      <w:r w:rsidR="00AE5DCC">
        <w:rPr>
          <w:rFonts w:ascii="Arial" w:hAnsi="Arial" w:cs="Arial"/>
          <w:iCs/>
          <w:sz w:val="20"/>
          <w:szCs w:val="20"/>
          <w:lang w:val="en-ZW"/>
        </w:rPr>
        <w:fldChar w:fldCharType="begin"/>
      </w:r>
      <w:r w:rsidR="00B3623E">
        <w:rPr>
          <w:rFonts w:ascii="Arial" w:hAnsi="Arial" w:cs="Arial"/>
          <w:iCs/>
          <w:sz w:val="20"/>
          <w:szCs w:val="20"/>
          <w:lang w:val="en-ZW"/>
        </w:rPr>
        <w:instrText xml:space="preserve"> ADDIN ZOTERO_ITEM CSL_CITATION {"citationID":"8WLznMxG","properties":{"formattedCitation":"(52)","plainCitation":"(52)","noteIndex":0},"citationItems":[{"id":279,"uris":["http://zotero.org/users/local/iHdIrYxX/items/YTMHR2UW"],"itemData":{"id":279,"type":"article-journal","abstract":"Wounds are broadly classified into acute and chronic types, with chronic wounds being those that cannot heal within 4 to 12 weeks despite treatment. There is a growing interest in efficient and cost-effective wound healing though the drug delivery of active molecules. Natural compounds such as phytochemicals, as well as synthetic molecules with antimicrobial or anti-inflammatory growth factors, can impact tissue regeneration and prevent wound infections. Nanotechnology-based systems, such as polymeric and inorganic nanoparticles and electrospun nanofibrous matrices loaded with phytochemicals, can enhance the therapeutic efficacy of active molecules through improved bioavailability and targeted delivery. This review summarizes the most current advanced applications combining phytochemicals and nanoformulations with promising wound healing potential. Various nanosystems loaded with phytochemicals have been identified, such as silver nanocarriers, zein-based nanoparticles, and various known polymers, which can be utilized to develop electrospun fibrous structures loaded with phytoremedies. Despite the incorporation of these remedies into traditional medicine for a long time, further clinical studies are essential to determine their pharmacological properties, safety concerns, and therapeutic efficacy.","container-title":"Applied Sciences","DOI":"10.3390/app15105413","ISSN":"2076-3417","issue":"10","language":"en","license":"http://creativecommons.org/licenses/by/3.0/","note":"number: 10\npublisher: Multidisciplinary Digital Publishing Institute","page":"5413","source":"www.mdpi.com","title":"Nanoformulations Loaded with Phytochemicals for Combating Wound Infections and Promoting Wound Healing: Current Applications and Innovations","title-short":"Nanoformulations Loaded with Phytochemicals for Combating Wound Infections and Promoting Wound Healing","URL":"https://www.mdpi.com/2076-3417/15/10/5413","volume":"15","author":[{"family":"Siafaka","given":"Panoraia I."},{"family":"Miliotou","given":"Androulla N."},{"family":"Okur","given":"Mehmet Evren"},{"family":"Karaotmarlı Güven","given":"Gökçe"},{"family":"Karantas","given":"Ioannis D."},{"family":"Üstündağ Okur","given":"Neslihan"}],"accessed":{"date-parts":[["2025",7,2]]},"issued":{"date-parts":[["2025",1]]}}}],"schema":"https://github.com/citation-style-language/schema/raw/master/csl-citation.json"} </w:instrText>
      </w:r>
      <w:r w:rsidR="00AE5DCC">
        <w:rPr>
          <w:rFonts w:ascii="Arial" w:hAnsi="Arial" w:cs="Arial"/>
          <w:iCs/>
          <w:sz w:val="20"/>
          <w:szCs w:val="20"/>
          <w:lang w:val="en-ZW"/>
        </w:rPr>
        <w:fldChar w:fldCharType="separate"/>
      </w:r>
      <w:r w:rsidR="00B3623E" w:rsidRPr="00B3623E">
        <w:rPr>
          <w:rFonts w:ascii="Arial" w:hAnsi="Arial" w:cs="Arial"/>
          <w:sz w:val="20"/>
        </w:rPr>
        <w:t>(52)</w:t>
      </w:r>
      <w:r w:rsidR="00AE5DCC">
        <w:rPr>
          <w:rFonts w:ascii="Arial" w:hAnsi="Arial" w:cs="Arial"/>
          <w:iCs/>
          <w:sz w:val="20"/>
          <w:szCs w:val="20"/>
          <w:lang w:val="en-ZW"/>
        </w:rPr>
        <w:fldChar w:fldCharType="end"/>
      </w:r>
      <w:r w:rsidRPr="00AB04AA">
        <w:rPr>
          <w:rFonts w:ascii="Arial" w:hAnsi="Arial" w:cs="Arial"/>
          <w:iCs/>
          <w:sz w:val="20"/>
          <w:szCs w:val="20"/>
          <w:lang w:val="en-ZW"/>
        </w:rPr>
        <w:t xml:space="preserve">. Second, the quantum size effect of nanoparticles (20-50 nm) provides an increased surface area-to-volume ratio, exposing more active sites for radical interaction </w:t>
      </w:r>
      <w:r w:rsidR="00AE5DCC">
        <w:rPr>
          <w:rFonts w:ascii="Arial" w:hAnsi="Arial" w:cs="Arial"/>
          <w:iCs/>
          <w:sz w:val="20"/>
          <w:szCs w:val="20"/>
          <w:lang w:val="en-ZW"/>
        </w:rPr>
        <w:fldChar w:fldCharType="begin"/>
      </w:r>
      <w:r w:rsidR="00B3623E">
        <w:rPr>
          <w:rFonts w:ascii="Arial" w:hAnsi="Arial" w:cs="Arial"/>
          <w:iCs/>
          <w:sz w:val="20"/>
          <w:szCs w:val="20"/>
          <w:lang w:val="en-ZW"/>
        </w:rPr>
        <w:instrText xml:space="preserve"> ADDIN ZOTERO_ITEM CSL_CITATION {"citationID":"gZ8cKepl","properties":{"formattedCitation":"(53)","plainCitation":"(53)","noteIndex":0},"citationItems":[{"id":281,"uris":["http://zotero.org/users/local/iHdIrYxX/items/9ENCXXAG"],"itemData":{"id":281,"type":"article-journal","abstract":"Nanoparticle-based technologies offer exciting new approaches to disease diagnostics and therapeutics. To take advantage of unique properties of nanoscale materials and structures, the size, shape and/or surface chemistry of nanoparticles need to be optimized, allowing their functionalities to be tailored for different biomedical applications. Here we review the effects of nanoparticle size on cellular interaction and in vivo pharmacokinetics, including cellular uptake, biodistribution and circulation half-life of nanoparticles. Important features of nanoparticle probes for molecular imaging and modeling of nanoparticle size effects are also discussed.","container-title":"Nanomedicine","DOI":"10.2217/nnm.16.5","ISSN":"1743-5889","issue":"6","journalAbbreviation":"Nanomedicine (Lond)","note":"PMID: 27003448\nPMCID: PMC5561790","page":"673-692","source":"PubMed Central","title":"The effect of nanoparticle size on in vivo pharmacokinetics and cellular interaction","URL":"https://www.ncbi.nlm.nih.gov/pmc/articles/PMC5561790/","volume":"11","author":[{"family":"Hoshyar","given":"Nazanin"},{"family":"Gray","given":"Samantha"},{"family":"Han","given":"Hongbin"},{"family":"Bao","given":"Gang"}],"accessed":{"date-parts":[["2025",7,2]]},"issued":{"date-parts":[["2016",3]]}}}],"schema":"https://github.com/citation-style-language/schema/raw/master/csl-citation.json"} </w:instrText>
      </w:r>
      <w:r w:rsidR="00AE5DCC">
        <w:rPr>
          <w:rFonts w:ascii="Arial" w:hAnsi="Arial" w:cs="Arial"/>
          <w:iCs/>
          <w:sz w:val="20"/>
          <w:szCs w:val="20"/>
          <w:lang w:val="en-ZW"/>
        </w:rPr>
        <w:fldChar w:fldCharType="separate"/>
      </w:r>
      <w:r w:rsidR="00B3623E" w:rsidRPr="00B3623E">
        <w:rPr>
          <w:rFonts w:ascii="Arial" w:hAnsi="Arial" w:cs="Arial"/>
          <w:sz w:val="20"/>
        </w:rPr>
        <w:t>(53)</w:t>
      </w:r>
      <w:r w:rsidR="00AE5DCC">
        <w:rPr>
          <w:rFonts w:ascii="Arial" w:hAnsi="Arial" w:cs="Arial"/>
          <w:iCs/>
          <w:sz w:val="20"/>
          <w:szCs w:val="20"/>
          <w:lang w:val="en-ZW"/>
        </w:rPr>
        <w:fldChar w:fldCharType="end"/>
      </w:r>
      <w:r w:rsidRPr="00AB04AA">
        <w:rPr>
          <w:rFonts w:ascii="Arial" w:hAnsi="Arial" w:cs="Arial"/>
          <w:iCs/>
          <w:sz w:val="20"/>
          <w:szCs w:val="20"/>
          <w:lang w:val="en-ZW"/>
        </w:rPr>
        <w:t xml:space="preserve">. Third, the stabilization of redox-active phytochemicals at the nanoparticle interface may prevent their rapid degradation, thereby prolonging antioxidant activity </w:t>
      </w:r>
      <w:r w:rsidR="00AB50DC">
        <w:rPr>
          <w:rFonts w:ascii="Arial" w:hAnsi="Arial" w:cs="Arial"/>
          <w:iCs/>
          <w:sz w:val="20"/>
          <w:szCs w:val="20"/>
          <w:lang w:val="en-ZW"/>
        </w:rPr>
        <w:fldChar w:fldCharType="begin"/>
      </w:r>
      <w:r w:rsidR="00B3623E">
        <w:rPr>
          <w:rFonts w:ascii="Arial" w:hAnsi="Arial" w:cs="Arial"/>
          <w:iCs/>
          <w:sz w:val="20"/>
          <w:szCs w:val="20"/>
          <w:lang w:val="en-ZW"/>
        </w:rPr>
        <w:instrText xml:space="preserve"> ADDIN ZOTERO_ITEM CSL_CITATION {"citationID":"Rvgveajc","properties":{"formattedCitation":"(54)","plainCitation":"(54)","noteIndex":0},"citationItems":[{"id":284,"uris":["http://zotero.org/users/local/iHdIrYxX/items/RS2MBMBZ"],"itemData":{"id":284,"type":"article-journal","abstract":"Phytochemicals, such as resveratrol, curcumin, and quercetin, have many benefits for health, but most of them have a low bioavailability due to their poor water solubility and stability, quick metabolism, and clearance, which restricts the scope of their potential applications. To overcome these issues, different types of nanoparticles (NPs), especially biocompatible and biodegradable NPs, have been developed. NPs can carry phytochemicals and increase their solubility, stability, target specificity, and oral bioavailability. However, NPs are prone to irreversible aggregation, which leads to NP instability and loss of functions. To remedy this shortcoming, stabilizers like polymers and surfactants are incorporated on NPs. Stabilizers not only increase the stability of NPs, but also improve their characteristics. The current review focused on discussing the state of the art in research on synthesizing phytochemical-based NPs and their commonly employed stabilizers. Furthermore, stabilizers in these NPs were also discussed in terms of their applications, effects, and underlying mechanisms. This review aimed to provide more references for developing stabilizers and NPs for future research.","container-title":"Nutrients","DOI":"10.3390/nu15183881","ISSN":"2072-6643","issue":"18","language":"en","license":"http://creativecommons.org/licenses/by/3.0/","note":"number: 18\npublisher: Multidisciplinary Digital Publishing Institute","page":"3881","source":"www.mdpi.com","title":"The Commonly Used Stabilizers for Phytochemical-Based Nanoparticles: Stabilization Effects, Mechanisms, and Applications","title-short":"The Commonly Used Stabilizers for Phytochemical-Based Nanoparticles","URL":"https://www.mdpi.com/2072-6643/15/18/3881","volume":"15","author":[{"family":"Zhou","given":"Fang"},{"family":"Peterson","given":"Tiffany"},{"family":"Fan","given":"Zhaoyang"},{"family":"Wang","given":"Shu"}],"accessed":{"date-parts":[["2025",7,2]]},"issued":{"date-parts":[["2023",1]]}}}],"schema":"https://github.com/citation-style-language/schema/raw/master/csl-citation.json"} </w:instrText>
      </w:r>
      <w:r w:rsidR="00AB50DC">
        <w:rPr>
          <w:rFonts w:ascii="Arial" w:hAnsi="Arial" w:cs="Arial"/>
          <w:iCs/>
          <w:sz w:val="20"/>
          <w:szCs w:val="20"/>
          <w:lang w:val="en-ZW"/>
        </w:rPr>
        <w:fldChar w:fldCharType="separate"/>
      </w:r>
      <w:r w:rsidR="00B3623E" w:rsidRPr="00B3623E">
        <w:rPr>
          <w:rFonts w:ascii="Arial" w:hAnsi="Arial" w:cs="Arial"/>
          <w:sz w:val="20"/>
        </w:rPr>
        <w:t>(54)</w:t>
      </w:r>
      <w:r w:rsidR="00AB50DC">
        <w:rPr>
          <w:rFonts w:ascii="Arial" w:hAnsi="Arial" w:cs="Arial"/>
          <w:iCs/>
          <w:sz w:val="20"/>
          <w:szCs w:val="20"/>
          <w:lang w:val="en-ZW"/>
        </w:rPr>
        <w:fldChar w:fldCharType="end"/>
      </w:r>
      <w:r w:rsidRPr="00AB04AA">
        <w:rPr>
          <w:rFonts w:ascii="Arial" w:hAnsi="Arial" w:cs="Arial"/>
          <w:iCs/>
          <w:sz w:val="20"/>
          <w:szCs w:val="20"/>
          <w:lang w:val="en-ZW"/>
        </w:rPr>
        <w:t>.</w:t>
      </w:r>
    </w:p>
    <w:p w14:paraId="66BB3904" w14:textId="1ACDBD23" w:rsidR="00AB04AA" w:rsidRPr="00AB04AA" w:rsidRDefault="00AB04AA" w:rsidP="00E807B6">
      <w:pPr>
        <w:spacing w:line="240" w:lineRule="auto"/>
        <w:contextualSpacing/>
        <w:jc w:val="both"/>
        <w:rPr>
          <w:rFonts w:ascii="Arial" w:hAnsi="Arial" w:cs="Arial"/>
          <w:iCs/>
          <w:sz w:val="20"/>
          <w:szCs w:val="20"/>
          <w:lang w:val="en-ZW"/>
        </w:rPr>
      </w:pPr>
      <w:r w:rsidRPr="00AB04AA">
        <w:rPr>
          <w:rFonts w:ascii="Arial" w:hAnsi="Arial" w:cs="Arial"/>
          <w:iCs/>
          <w:sz w:val="20"/>
          <w:szCs w:val="20"/>
          <w:lang w:val="en-ZW"/>
        </w:rPr>
        <w:t>Comparative analysis of IC50 values revealed that the ZnONP+</w:t>
      </w:r>
      <w:r w:rsidRPr="00AE5DCC">
        <w:rPr>
          <w:rFonts w:ascii="Arial" w:hAnsi="Arial" w:cs="Arial"/>
          <w:i/>
          <w:sz w:val="20"/>
          <w:szCs w:val="20"/>
          <w:lang w:val="en-ZW"/>
        </w:rPr>
        <w:t>V. nilotica</w:t>
      </w:r>
      <w:r w:rsidRPr="00AB04AA">
        <w:rPr>
          <w:rFonts w:ascii="Arial" w:hAnsi="Arial" w:cs="Arial"/>
          <w:iCs/>
          <w:sz w:val="20"/>
          <w:szCs w:val="20"/>
          <w:lang w:val="en-ZW"/>
        </w:rPr>
        <w:t xml:space="preserve"> composite (28.4 ± 1.7 μg/mL) required approximately 40% less concentration to achieve half-maximal inhibition compared to the crude extract alone (45.6 ± 2.3 μg/mL). This enhancement factor aligns with previous reports on green-synthesized nanoparticles, where IC50 improvements of 30-60% have been documented for various plant-mediated metal oxide systems</w:t>
      </w:r>
      <w:r w:rsidR="00AB50DC">
        <w:rPr>
          <w:rFonts w:ascii="Arial" w:hAnsi="Arial" w:cs="Arial"/>
          <w:iCs/>
          <w:sz w:val="20"/>
          <w:szCs w:val="20"/>
          <w:lang w:val="en-ZW"/>
        </w:rPr>
        <w:t xml:space="preserve"> </w:t>
      </w:r>
      <w:r w:rsidR="00AB50DC">
        <w:rPr>
          <w:rFonts w:ascii="Arial" w:hAnsi="Arial" w:cs="Arial"/>
          <w:iCs/>
          <w:sz w:val="20"/>
          <w:szCs w:val="20"/>
          <w:lang w:val="en-ZW"/>
        </w:rPr>
        <w:fldChar w:fldCharType="begin"/>
      </w:r>
      <w:r w:rsidR="00B3623E">
        <w:rPr>
          <w:rFonts w:ascii="Arial" w:hAnsi="Arial" w:cs="Arial"/>
          <w:iCs/>
          <w:sz w:val="20"/>
          <w:szCs w:val="20"/>
          <w:lang w:val="en-ZW"/>
        </w:rPr>
        <w:instrText xml:space="preserve"> ADDIN ZOTERO_ITEM CSL_CITATION {"citationID":"w5b9YgsO","properties":{"formattedCitation":"(55)","plainCitation":"(55)","noteIndex":0},"citationItems":[{"id":286,"uris":["http://zotero.org/users/local/iHdIrYxX/items/YVWGKSRL"],"itemData":{"id":286,"type":"article-journal","abstract":"This study investigates the synergistic effects of zinc oxide nanoparticles (ZnO NPs) and melatonin (MT) on Fragaria × ananassa (strawberry) plants under drought stress, focusing on growth, fruit biomass, and stress tolerance. ZnO NPs enhance nutrient uptake and stress resistance, while MT regulates growth hormones and boosts photosynthetic efficiency. Seven treatments were evaluated: T1 (no stress, 0.5 g/L ZnO NPs + 0.1 g/L MT), T2 (no stress, 0.5 g/L ZnO NPs), T3 (no stress, 0.1 g/L MT), T4 (drought stress, no application), T5 (drought stress, 0.5 g/L ZnO NPs + 0.1 g/L MT), T6 (drought stress, 0.5 g/L ZnO NPs), and T7 (drought stress, 0.1 g/L MT). Growth and stress parameters included shoot/root length, fruit biomass, bud number, chlorophyll content, oxidative stress markers (H</w:instrText>
      </w:r>
      <w:r w:rsidR="00B3623E">
        <w:rPr>
          <w:rFonts w:ascii="Cambria Math" w:hAnsi="Cambria Math" w:cs="Cambria Math"/>
          <w:iCs/>
          <w:sz w:val="20"/>
          <w:szCs w:val="20"/>
          <w:lang w:val="en-ZW"/>
        </w:rPr>
        <w:instrText>₂</w:instrText>
      </w:r>
      <w:r w:rsidR="00B3623E">
        <w:rPr>
          <w:rFonts w:ascii="Arial" w:hAnsi="Arial" w:cs="Arial"/>
          <w:iCs/>
          <w:sz w:val="20"/>
          <w:szCs w:val="20"/>
          <w:lang w:val="en-ZW"/>
        </w:rPr>
        <w:instrText>O</w:instrText>
      </w:r>
      <w:r w:rsidR="00B3623E">
        <w:rPr>
          <w:rFonts w:ascii="Cambria Math" w:hAnsi="Cambria Math" w:cs="Cambria Math"/>
          <w:iCs/>
          <w:sz w:val="20"/>
          <w:szCs w:val="20"/>
          <w:lang w:val="en-ZW"/>
        </w:rPr>
        <w:instrText>₂</w:instrText>
      </w:r>
      <w:r w:rsidR="00B3623E">
        <w:rPr>
          <w:rFonts w:ascii="Arial" w:hAnsi="Arial" w:cs="Arial"/>
          <w:iCs/>
          <w:sz w:val="20"/>
          <w:szCs w:val="20"/>
          <w:lang w:val="en-ZW"/>
        </w:rPr>
        <w:instrText>, MDA), and antioxidant enzyme activities in the leaves of Fragaria × ananassa. The combined treatment (ZnO NPs + MT) consistently outperformed others, achieving the highest growth metrics under both conditions: shoot length (22.33 ± 1.53 cm non-stress, 15.00 ± 1.53 cm drought), root length (18.67 ± 1.53 cm non-stress, 12.00 ± 1.53 cm drought), and fruit biomass (9.55 ± 0.31 g non-stress, 5.02 ± 0.23 g drought). Bud formation peaked at 3.33 ± 0.58 buds/plant non-stress and 2.00 ± 0.00 buds/plant drought. Under drought, the combined treatment also enhanced chlorophyll content (2.47 ± 0.20 mg/g FW) and significantly reduced H</w:instrText>
      </w:r>
      <w:r w:rsidR="00B3623E">
        <w:rPr>
          <w:rFonts w:ascii="Cambria Math" w:hAnsi="Cambria Math" w:cs="Cambria Math"/>
          <w:iCs/>
          <w:sz w:val="20"/>
          <w:szCs w:val="20"/>
          <w:lang w:val="en-ZW"/>
        </w:rPr>
        <w:instrText>₂</w:instrText>
      </w:r>
      <w:r w:rsidR="00B3623E">
        <w:rPr>
          <w:rFonts w:ascii="Arial" w:hAnsi="Arial" w:cs="Arial"/>
          <w:iCs/>
          <w:sz w:val="20"/>
          <w:szCs w:val="20"/>
          <w:lang w:val="en-ZW"/>
        </w:rPr>
        <w:instrText>O</w:instrText>
      </w:r>
      <w:r w:rsidR="00B3623E">
        <w:rPr>
          <w:rFonts w:ascii="Cambria Math" w:hAnsi="Cambria Math" w:cs="Cambria Math"/>
          <w:iCs/>
          <w:sz w:val="20"/>
          <w:szCs w:val="20"/>
          <w:lang w:val="en-ZW"/>
        </w:rPr>
        <w:instrText>₂</w:instrText>
      </w:r>
      <w:r w:rsidR="00B3623E">
        <w:rPr>
          <w:rFonts w:ascii="Arial" w:hAnsi="Arial" w:cs="Arial"/>
          <w:iCs/>
          <w:sz w:val="20"/>
          <w:szCs w:val="20"/>
          <w:lang w:val="en-ZW"/>
        </w:rPr>
        <w:instrText xml:space="preserve"> (28.67 ± 2.52 µmol/g FW) and MDA (4.21 ± 0.10 µmol/g FW) levels, while maximizing antioxidant enzyme activities (SOD: 121.67 ± 7.64 U/g FW, POD: 206.33 ± 14.84 U/g FW, CAT: 48.00 ± 3.61 U/g FW). These findings highlight the combined application of ZnO NPs and MT as a promising strategy to enhance growth and stress tolerance in strawberry plants, warranting further research on optimized concentrations, delivery methods, and molecular mechanisms.","container-title":"BMC Plant Biology","DOI":"10.1186/s12870-025-06114-8","ISSN":"1471-2229","issue":"1","journalAbbreviation":"BMC Plant Biology","page":"82","source":"BioMed Central","title":"Synergistic effects of Vachellia nilotica-derived zinc oxide nanoparticles and melatonin on drought tolerance in Fragaria × ananassa","URL":"https://doi.org/10.1186/s12870-025-06114-8","volume":"25","author":[{"family":"Anwar","given":"Tauseef"},{"family":"Safdar","given":"Alia"},{"family":"Qureshi","given":"Huma"},{"family":"Siddiqi","given":"Ejaz Hussain"},{"family":"Ullah","given":"Naimat"},{"family":"Naseem","given":"Muhammad Tahir"},{"family":"Soufan","given":"Walid"}],"accessed":{"date-parts":[["2025",7,2]]},"issued":{"date-parts":[["2025",1,22]]}}}],"schema":"https://github.com/citation-style-language/schema/raw/master/csl-citation.json"} </w:instrText>
      </w:r>
      <w:r w:rsidR="00AB50DC">
        <w:rPr>
          <w:rFonts w:ascii="Arial" w:hAnsi="Arial" w:cs="Arial"/>
          <w:iCs/>
          <w:sz w:val="20"/>
          <w:szCs w:val="20"/>
          <w:lang w:val="en-ZW"/>
        </w:rPr>
        <w:fldChar w:fldCharType="separate"/>
      </w:r>
      <w:r w:rsidR="00B3623E" w:rsidRPr="00B3623E">
        <w:rPr>
          <w:rFonts w:ascii="Arial" w:hAnsi="Arial" w:cs="Arial"/>
          <w:sz w:val="20"/>
        </w:rPr>
        <w:t>(55)</w:t>
      </w:r>
      <w:r w:rsidR="00AB50DC">
        <w:rPr>
          <w:rFonts w:ascii="Arial" w:hAnsi="Arial" w:cs="Arial"/>
          <w:iCs/>
          <w:sz w:val="20"/>
          <w:szCs w:val="20"/>
          <w:lang w:val="en-ZW"/>
        </w:rPr>
        <w:fldChar w:fldCharType="end"/>
      </w:r>
      <w:r w:rsidRPr="00AB04AA">
        <w:rPr>
          <w:rFonts w:ascii="Arial" w:hAnsi="Arial" w:cs="Arial"/>
          <w:iCs/>
          <w:sz w:val="20"/>
          <w:szCs w:val="20"/>
          <w:lang w:val="en-ZW"/>
        </w:rPr>
        <w:t>. Notably, the unconjugated ZnONPs showed significantly lower activity (IC50 = 82.1 ± 3.9 μg/mL), underscoring the critical role of phytochemical functionalization in boosting antioxidant performance.</w:t>
      </w:r>
    </w:p>
    <w:p w14:paraId="37872DFD" w14:textId="60C6A105" w:rsidR="00AB04AA" w:rsidRPr="00AB04AA" w:rsidRDefault="00AB04AA" w:rsidP="00E807B6">
      <w:pPr>
        <w:spacing w:line="240" w:lineRule="auto"/>
        <w:contextualSpacing/>
        <w:jc w:val="both"/>
        <w:rPr>
          <w:rFonts w:ascii="Arial" w:hAnsi="Arial" w:cs="Arial"/>
          <w:iCs/>
          <w:sz w:val="20"/>
          <w:szCs w:val="20"/>
          <w:lang w:val="en-ZW"/>
        </w:rPr>
      </w:pPr>
      <w:r w:rsidRPr="00AB04AA">
        <w:rPr>
          <w:rFonts w:ascii="Arial" w:hAnsi="Arial" w:cs="Arial"/>
          <w:iCs/>
          <w:sz w:val="20"/>
          <w:szCs w:val="20"/>
          <w:lang w:val="en-ZW"/>
        </w:rPr>
        <w:lastRenderedPageBreak/>
        <w:t>The dose-response curves exhibited characteristic sigmoidal patterns, with the composite system showing steeper slope kinetics between 40-80 μg/mL. This suggests cooperative binding effects where initial radical scavenging facilitates subsequent antioxidant reactions, a phenomenon previously described for nanoparticle-polyphenol complexes</w:t>
      </w:r>
      <w:r w:rsidR="00AB50DC">
        <w:rPr>
          <w:rFonts w:ascii="Arial" w:hAnsi="Arial" w:cs="Arial"/>
          <w:iCs/>
          <w:sz w:val="20"/>
          <w:szCs w:val="20"/>
          <w:lang w:val="en-ZW"/>
        </w:rPr>
        <w:t xml:space="preserve"> </w:t>
      </w:r>
      <w:r w:rsidR="00AB50DC">
        <w:rPr>
          <w:rFonts w:ascii="Arial" w:hAnsi="Arial" w:cs="Arial"/>
          <w:iCs/>
          <w:sz w:val="20"/>
          <w:szCs w:val="20"/>
          <w:lang w:val="en-ZW"/>
        </w:rPr>
        <w:fldChar w:fldCharType="begin"/>
      </w:r>
      <w:r w:rsidR="00B3623E">
        <w:rPr>
          <w:rFonts w:ascii="Arial" w:hAnsi="Arial" w:cs="Arial"/>
          <w:iCs/>
          <w:sz w:val="20"/>
          <w:szCs w:val="20"/>
          <w:lang w:val="en-ZW"/>
        </w:rPr>
        <w:instrText xml:space="preserve"> ADDIN ZOTERO_ITEM CSL_CITATION {"citationID":"V3jJ9vkY","properties":{"formattedCitation":"(56)","plainCitation":"(56)","noteIndex":0},"citationItems":[{"id":289,"uris":["http://zotero.org/users/local/iHdIrYxX/items/NL8UPXR8"],"itemData":{"id":289,"type":"article-journal","abstract":"Oxidative stress, characterized by excessive production of reactive oxygen species (ROS), is a critical factor in the progression of inflammatory bowel disease (IBD) and presents a potential therapeutic target. Anti-oxidant therapy, aimed at mitigating excessive ROS, is emerging as a cornerstone in IBD treatment. Nanomaterials with robust anti-oxidant properties offer promise by inhibiting inflammation through ROS scavenging, enhancing IBD therapeutic efficacy. Recent focus in ROS scavenging has centered on metal oxide nanoenzymes and polyphenol-based nanomaterials. The primary challenges are the catalytic efficiency of nanoenzymes and the functional integration of these nanomaterials with therapeutic agents. Polyphenols, natural plant extracts, have garnered significant interest due to their potent anti-oxidant properties and unique catechol groups that interact with biomolecules such as proteins and nucleic acids. The strong metal ion chelating ability of catechols enriches the structure and functionality of nanomaterials, improving the physicochemical properties of nanocarriers and enabling innovative designs of multifunctional drug delivery systems (DDSs). Research on polyphenol-based DDSs has expanded to include agents like epigallocatechin gallate, curcumin, resveratrol, tannic acid, and polydopamine. These nanocarriers and anti-oxidants, which incorporate polyphenols, have demonstrated potential anti-oxidant properties in novel DDSs as therapeutic agents to reduce inflammation and as essential components of drug carriers. This review focuses on the design and application of natural polyphenol-based anti-oxidant nanomaterials for IBD treatment, offering a comprehensive discussion on the use of polyphenols in DDSs and the potential challenges posed by their diverse roles in innovative drug delivery strategies, including their impact on the physical and chemical properties of DDSs.","container-title":"Journal of Inflammation Research","DOI":"10.2147/JIR.S487942","ISSN":"1178-7031","journalAbbreviation":"J Inflamm Res","note":"PMID: 39624397\nPMCID: PMC11610386","page":"9889-9904","source":"PubMed Central","title":"Advancing Polyphenol-Based Nanomedicine for Inflammatory Bowel Disease: Challenges and Opportunities","title-short":"Advancing Polyphenol-Based Nanomedicine for Inflammatory Bowel Disease","URL":"https://www.ncbi.nlm.nih.gov/pmc/articles/PMC11610386/","volume":"17","author":[{"family":"Wang","given":"Liucan"},{"family":"Chen","given":"Guoqing"},{"family":"Yang","given":"Yang"},{"family":"Xu","given":"Chao"},{"family":"Zhu","given":"Li"},{"family":"Yang","given":"Hua"},{"family":"Yu","given":"Min"}],"accessed":{"date-parts":[["2025",7,2]]},"issued":{"date-parts":[["2024",11,27]]}}}],"schema":"https://github.com/citation-style-language/schema/raw/master/csl-citation.json"} </w:instrText>
      </w:r>
      <w:r w:rsidR="00AB50DC">
        <w:rPr>
          <w:rFonts w:ascii="Arial" w:hAnsi="Arial" w:cs="Arial"/>
          <w:iCs/>
          <w:sz w:val="20"/>
          <w:szCs w:val="20"/>
          <w:lang w:val="en-ZW"/>
        </w:rPr>
        <w:fldChar w:fldCharType="separate"/>
      </w:r>
      <w:r w:rsidR="00B3623E" w:rsidRPr="00B3623E">
        <w:rPr>
          <w:rFonts w:ascii="Arial" w:hAnsi="Arial" w:cs="Arial"/>
          <w:sz w:val="20"/>
        </w:rPr>
        <w:t>(56)</w:t>
      </w:r>
      <w:r w:rsidR="00AB50DC">
        <w:rPr>
          <w:rFonts w:ascii="Arial" w:hAnsi="Arial" w:cs="Arial"/>
          <w:iCs/>
          <w:sz w:val="20"/>
          <w:szCs w:val="20"/>
          <w:lang w:val="en-ZW"/>
        </w:rPr>
        <w:fldChar w:fldCharType="end"/>
      </w:r>
      <w:r w:rsidRPr="00AB04AA">
        <w:rPr>
          <w:rFonts w:ascii="Arial" w:hAnsi="Arial" w:cs="Arial"/>
          <w:iCs/>
          <w:sz w:val="20"/>
          <w:szCs w:val="20"/>
          <w:lang w:val="en-ZW"/>
        </w:rPr>
        <w:t xml:space="preserve">. The results correlate well with recent </w:t>
      </w:r>
      <w:r w:rsidR="00541A25">
        <w:rPr>
          <w:rFonts w:ascii="Arial" w:hAnsi="Arial" w:cs="Arial"/>
          <w:iCs/>
          <w:sz w:val="20"/>
          <w:szCs w:val="20"/>
          <w:lang w:val="en-ZW"/>
        </w:rPr>
        <w:t>studies</w:t>
      </w:r>
      <w:r w:rsidRPr="00AB04AA">
        <w:rPr>
          <w:rFonts w:ascii="Arial" w:hAnsi="Arial" w:cs="Arial"/>
          <w:iCs/>
          <w:sz w:val="20"/>
          <w:szCs w:val="20"/>
          <w:lang w:val="en-ZW"/>
        </w:rPr>
        <w:t xml:space="preserve"> </w:t>
      </w:r>
      <w:r w:rsidR="00541A25">
        <w:rPr>
          <w:rFonts w:ascii="Arial" w:hAnsi="Arial" w:cs="Arial"/>
          <w:iCs/>
          <w:sz w:val="20"/>
          <w:szCs w:val="20"/>
          <w:lang w:val="en-ZW"/>
        </w:rPr>
        <w:t xml:space="preserve">which </w:t>
      </w:r>
      <w:r w:rsidRPr="00AB04AA">
        <w:rPr>
          <w:rFonts w:ascii="Arial" w:hAnsi="Arial" w:cs="Arial"/>
          <w:iCs/>
          <w:sz w:val="20"/>
          <w:szCs w:val="20"/>
          <w:lang w:val="en-ZW"/>
        </w:rPr>
        <w:t xml:space="preserve">reported similar enhancement patterns in </w:t>
      </w:r>
      <w:r w:rsidRPr="001371BD">
        <w:rPr>
          <w:rFonts w:ascii="Arial" w:hAnsi="Arial" w:cs="Arial"/>
          <w:i/>
          <w:sz w:val="20"/>
          <w:szCs w:val="20"/>
          <w:lang w:val="en-ZW"/>
        </w:rPr>
        <w:t>Moringa oleifera</w:t>
      </w:r>
      <w:r w:rsidRPr="00AB04AA">
        <w:rPr>
          <w:rFonts w:ascii="Arial" w:hAnsi="Arial" w:cs="Arial"/>
          <w:iCs/>
          <w:sz w:val="20"/>
          <w:szCs w:val="20"/>
          <w:lang w:val="en-ZW"/>
        </w:rPr>
        <w:t>-conjugated ZnONPs, though the current system shows superior activity at lower concentrations (≤100 μg/mL)</w:t>
      </w:r>
      <w:r w:rsidR="00541A25">
        <w:rPr>
          <w:rFonts w:ascii="Arial" w:hAnsi="Arial" w:cs="Arial"/>
          <w:iCs/>
          <w:sz w:val="20"/>
          <w:szCs w:val="20"/>
          <w:lang w:val="en-ZW"/>
        </w:rPr>
        <w:t xml:space="preserve"> </w:t>
      </w:r>
      <w:r w:rsidR="00541A25">
        <w:rPr>
          <w:rFonts w:ascii="Arial" w:hAnsi="Arial" w:cs="Arial"/>
          <w:iCs/>
          <w:sz w:val="20"/>
          <w:szCs w:val="20"/>
          <w:lang w:val="en-ZW"/>
        </w:rPr>
        <w:fldChar w:fldCharType="begin"/>
      </w:r>
      <w:r w:rsidR="00B3623E">
        <w:rPr>
          <w:rFonts w:ascii="Arial" w:hAnsi="Arial" w:cs="Arial"/>
          <w:iCs/>
          <w:sz w:val="20"/>
          <w:szCs w:val="20"/>
          <w:lang w:val="en-ZW"/>
        </w:rPr>
        <w:instrText xml:space="preserve"> ADDIN ZOTERO_ITEM CSL_CITATION {"citationID":"RXMUWeiZ","properties":{"formattedCitation":"(57)","plainCitation":"(57)","noteIndex":0},"citationItems":[{"id":292,"uris":["http://zotero.org/users/local/iHdIrYxX/items/IERC445J"],"itemData":{"id":292,"type":"article-journal","abstract":"Moringa oleifera is one of the popular functional foods that has been tremendously exploited for synthesis of a vast majority of metal nanoparticles (NPs). The diverse secondary metabolites present in this plant turn it into a green tool for synthesis of different NPs with various biological activities. In this review, we discussed different types of NPs including silver, gold, titanium oxide, iron oxide, and zinc oxide NPs produced from the extract of different parts of M. oleifera. Different parts of M. oleifera take a role as the reducing, stabilizing, capping agent, and depending on the source of extract, the color of solution changes within NP synthesis. We highlighted the role of polyphenols in the synthesis of NPs among major constituents of M. oleifera extract. The different synthesis methods that could lead to the formation of various sizes and shapes of NPs and play crucial role in biomedical application were critically discussed. We further debated the mechanism of interaction of NPs with various sizes and shapes with the cells, and further their clearance from the body. The application of NPs made from M. oleifera extract as anticancer, antimicrobial, wound healing, and water treatment agent were also discussed. Small NPs show better antimicrobial activity, while they can be easily cleared from the body through the kidney. In contrast, large NPs are taken by the mono nuclear phagocyte system (MPS) cells. In case of shape, the NPs with spherical shape penetrate into the bacteria, and show stronger antibacterial activity compared to the NPs with other shapes. Finally, this review aims to correlate the key characteristics of NPs made from M. oleifera extract, such as size and shape, to their interactions with the cells for designing and engineering them for bio-applications and especially for therapeutic purposes.","container-title":"Journal of Nanobiotechnology","DOI":"10.1186/s12951-024-02332-8","ISSN":"1477-3155","journalAbbreviation":"J Nanobiotechnology","note":"PMID: 38373982\nPMCID: PMC10877787","page":"71","source":"PubMed Central","title":"A comprehensive review on Moringa oleifera nanoparticles: importance of polyphenols in nanoparticle synthesis, nanoparticle efficacy and their applications","title-short":"A comprehensive review on Moringa oleifera nanoparticles","URL":"https://www.ncbi.nlm.nih.gov/pmc/articles/PMC10877787/","volume":"22","author":[{"family":"Perumalsamy","given":"Haribalan"},{"family":"Balusamy","given":"Sri Renukadevi"},{"family":"Sukweenadhi","given":"Johan"},{"family":"Nag","given":"Sagnik"},{"family":"MubarakAli","given":"Davoodbasha"},{"family":"El-Agamy Farh","given":"Mohamed"},{"family":"Vijay","given":"Hari"},{"family":"Rahimi","given":"Shadi"}],"accessed":{"date-parts":[["2025",7,2]]},"issued":{"date-parts":[["2024",2,19]]}}}],"schema":"https://github.com/citation-style-language/schema/raw/master/csl-citation.json"} </w:instrText>
      </w:r>
      <w:r w:rsidR="00541A25">
        <w:rPr>
          <w:rFonts w:ascii="Arial" w:hAnsi="Arial" w:cs="Arial"/>
          <w:iCs/>
          <w:sz w:val="20"/>
          <w:szCs w:val="20"/>
          <w:lang w:val="en-ZW"/>
        </w:rPr>
        <w:fldChar w:fldCharType="separate"/>
      </w:r>
      <w:r w:rsidR="00B3623E" w:rsidRPr="00B3623E">
        <w:rPr>
          <w:rFonts w:ascii="Arial" w:hAnsi="Arial" w:cs="Arial"/>
          <w:sz w:val="20"/>
        </w:rPr>
        <w:t>(57)</w:t>
      </w:r>
      <w:r w:rsidR="00541A25">
        <w:rPr>
          <w:rFonts w:ascii="Arial" w:hAnsi="Arial" w:cs="Arial"/>
          <w:iCs/>
          <w:sz w:val="20"/>
          <w:szCs w:val="20"/>
          <w:lang w:val="en-ZW"/>
        </w:rPr>
        <w:fldChar w:fldCharType="end"/>
      </w:r>
      <w:r w:rsidRPr="00AB04AA">
        <w:rPr>
          <w:rFonts w:ascii="Arial" w:hAnsi="Arial" w:cs="Arial"/>
          <w:iCs/>
          <w:sz w:val="20"/>
          <w:szCs w:val="20"/>
          <w:lang w:val="en-ZW"/>
        </w:rPr>
        <w:t>.</w:t>
      </w:r>
    </w:p>
    <w:p w14:paraId="57FC0D17" w14:textId="28AED00E" w:rsidR="00AB04AA" w:rsidRPr="00AB04AA" w:rsidRDefault="00AB04AA" w:rsidP="00E807B6">
      <w:pPr>
        <w:spacing w:line="240" w:lineRule="auto"/>
        <w:contextualSpacing/>
        <w:jc w:val="both"/>
        <w:rPr>
          <w:rFonts w:ascii="Arial" w:hAnsi="Arial" w:cs="Arial"/>
          <w:iCs/>
          <w:sz w:val="20"/>
          <w:szCs w:val="20"/>
          <w:lang w:val="en-ZW"/>
        </w:rPr>
      </w:pPr>
      <w:r w:rsidRPr="00AB04AA">
        <w:rPr>
          <w:rFonts w:ascii="Arial" w:hAnsi="Arial" w:cs="Arial"/>
          <w:iCs/>
          <w:sz w:val="20"/>
          <w:szCs w:val="20"/>
          <w:lang w:val="en-ZW"/>
        </w:rPr>
        <w:t xml:space="preserve">From a therapeutic perspective, these findings have important implications. The combination of plant bioactives with nanotechnology not only validates traditional medicinal use of V. nilotica but also addresses key limitations of herbal extracts, including poor bioavailability and rapid metabolic clearance </w:t>
      </w:r>
      <w:r w:rsidR="00541A25">
        <w:rPr>
          <w:rFonts w:ascii="Arial" w:hAnsi="Arial" w:cs="Arial"/>
          <w:iCs/>
          <w:sz w:val="20"/>
          <w:szCs w:val="20"/>
          <w:lang w:val="en-ZW"/>
        </w:rPr>
        <w:fldChar w:fldCharType="begin"/>
      </w:r>
      <w:r w:rsidR="00B3623E">
        <w:rPr>
          <w:rFonts w:ascii="Arial" w:hAnsi="Arial" w:cs="Arial"/>
          <w:iCs/>
          <w:sz w:val="20"/>
          <w:szCs w:val="20"/>
          <w:lang w:val="en-ZW"/>
        </w:rPr>
        <w:instrText xml:space="preserve"> ADDIN ZOTERO_ITEM CSL_CITATION {"citationID":"aw3vpQAB","properties":{"formattedCitation":"(58)","plainCitation":"(58)","noteIndex":0},"citationItems":[{"id":295,"uris":["http://zotero.org/users/local/iHdIrYxX/items/LEZWH8K9"],"itemData":{"id":295,"type":"article-journal","abstract":"Biological variability poses significant challenges in the development of effective therapeutics, particularly when it comes to drug solubility and bioavailability. Poor solubility across varying physiological conditions often leads to reduced absorption and inconsistent therapeutic outcomes. This review examines how nanotechnology, especially through the use of nanomaterials and magnetic nanoparticles, offers innovative solutions to enhance drug solubility and bioavailability. This comprehensive review focuses on recent advancements and approaches in nanotechnology. We highlight both the successes and remaining challenges in this field, emphasizing the role of continued innovation. Future research should prioritize developing universal therapeutic solutions, conducting interdisciplinary research, and leveraging personalized nanomedicine to address biological variability.","container-title":"Molecules","DOI":"10.3390/molecules29204854","ISSN":"1420-3049","issue":"20","language":"en","license":"http://creativecommons.org/licenses/by/3.0/","note":"number: 20\npublisher: Multidisciplinary Digital Publishing Institute","page":"4854","source":"www.mdpi.com","title":"Enhancing Drug Solubility, Bioavailability, and Targeted Therapeutic Applications through Magnetic Nanoparticles","URL":"https://www.mdpi.com/1420-3049/29/20/4854","volume":"29","author":[{"family":"Zhuo","given":"Yue"},{"family":"Zhao","given":"Yong-Gang"},{"family":"Zhang","given":"Yun"}],"accessed":{"date-parts":[["2025",7,2]]},"issued":{"date-parts":[["2024",1]]}}}],"schema":"https://github.com/citation-style-language/schema/raw/master/csl-citation.json"} </w:instrText>
      </w:r>
      <w:r w:rsidR="00541A25">
        <w:rPr>
          <w:rFonts w:ascii="Arial" w:hAnsi="Arial" w:cs="Arial"/>
          <w:iCs/>
          <w:sz w:val="20"/>
          <w:szCs w:val="20"/>
          <w:lang w:val="en-ZW"/>
        </w:rPr>
        <w:fldChar w:fldCharType="separate"/>
      </w:r>
      <w:r w:rsidR="00B3623E" w:rsidRPr="00B3623E">
        <w:rPr>
          <w:rFonts w:ascii="Arial" w:hAnsi="Arial" w:cs="Arial"/>
          <w:sz w:val="20"/>
        </w:rPr>
        <w:t>(58)</w:t>
      </w:r>
      <w:r w:rsidR="00541A25">
        <w:rPr>
          <w:rFonts w:ascii="Arial" w:hAnsi="Arial" w:cs="Arial"/>
          <w:iCs/>
          <w:sz w:val="20"/>
          <w:szCs w:val="20"/>
          <w:lang w:val="en-ZW"/>
        </w:rPr>
        <w:fldChar w:fldCharType="end"/>
      </w:r>
      <w:r w:rsidRPr="00AB04AA">
        <w:rPr>
          <w:rFonts w:ascii="Arial" w:hAnsi="Arial" w:cs="Arial"/>
          <w:iCs/>
          <w:sz w:val="20"/>
          <w:szCs w:val="20"/>
          <w:lang w:val="en-ZW"/>
        </w:rPr>
        <w:t xml:space="preserve">. The demonstrated synergy suggests potential applications in oxidative stress management, particularly for inflammation-associated conditions where conventional antioxidants show limited tissue penetration </w:t>
      </w:r>
      <w:r w:rsidR="00541A25">
        <w:rPr>
          <w:rFonts w:ascii="Arial" w:hAnsi="Arial" w:cs="Arial"/>
          <w:iCs/>
          <w:sz w:val="20"/>
          <w:szCs w:val="20"/>
          <w:lang w:val="en-ZW"/>
        </w:rPr>
        <w:fldChar w:fldCharType="begin"/>
      </w:r>
      <w:r w:rsidR="00B3623E">
        <w:rPr>
          <w:rFonts w:ascii="Arial" w:hAnsi="Arial" w:cs="Arial"/>
          <w:iCs/>
          <w:sz w:val="20"/>
          <w:szCs w:val="20"/>
          <w:lang w:val="en-ZW"/>
        </w:rPr>
        <w:instrText xml:space="preserve"> ADDIN ZOTERO_ITEM CSL_CITATION {"citationID":"kWKCANbi","properties":{"formattedCitation":"(55)","plainCitation":"(55)","noteIndex":0},"citationItems":[{"id":286,"uris":["http://zotero.org/users/local/iHdIrYxX/items/YVWGKSRL"],"itemData":{"id":286,"type":"article-journal","abstract":"This study investigates the synergistic effects of zinc oxide nanoparticles (ZnO NPs) and melatonin (MT) on Fragaria × ananassa (strawberry) plants under drought stress, focusing on growth, fruit biomass, and stress tolerance. ZnO NPs enhance nutrient uptake and stress resistance, while MT regulates growth hormones and boosts photosynthetic efficiency. Seven treatments were evaluated: T1 (no stress, 0.5 g/L ZnO NPs + 0.1 g/L MT), T2 (no stress, 0.5 g/L ZnO NPs), T3 (no stress, 0.1 g/L MT), T4 (drought stress, no application), T5 (drought stress, 0.5 g/L ZnO NPs + 0.1 g/L MT), T6 (drought stress, 0.5 g/L ZnO NPs), and T7 (drought stress, 0.1 g/L MT). Growth and stress parameters included shoot/root length, fruit biomass, bud number, chlorophyll content, oxidative stress markers (H</w:instrText>
      </w:r>
      <w:r w:rsidR="00B3623E">
        <w:rPr>
          <w:rFonts w:ascii="Cambria Math" w:hAnsi="Cambria Math" w:cs="Cambria Math"/>
          <w:iCs/>
          <w:sz w:val="20"/>
          <w:szCs w:val="20"/>
          <w:lang w:val="en-ZW"/>
        </w:rPr>
        <w:instrText>₂</w:instrText>
      </w:r>
      <w:r w:rsidR="00B3623E">
        <w:rPr>
          <w:rFonts w:ascii="Arial" w:hAnsi="Arial" w:cs="Arial"/>
          <w:iCs/>
          <w:sz w:val="20"/>
          <w:szCs w:val="20"/>
          <w:lang w:val="en-ZW"/>
        </w:rPr>
        <w:instrText>O</w:instrText>
      </w:r>
      <w:r w:rsidR="00B3623E">
        <w:rPr>
          <w:rFonts w:ascii="Cambria Math" w:hAnsi="Cambria Math" w:cs="Cambria Math"/>
          <w:iCs/>
          <w:sz w:val="20"/>
          <w:szCs w:val="20"/>
          <w:lang w:val="en-ZW"/>
        </w:rPr>
        <w:instrText>₂</w:instrText>
      </w:r>
      <w:r w:rsidR="00B3623E">
        <w:rPr>
          <w:rFonts w:ascii="Arial" w:hAnsi="Arial" w:cs="Arial"/>
          <w:iCs/>
          <w:sz w:val="20"/>
          <w:szCs w:val="20"/>
          <w:lang w:val="en-ZW"/>
        </w:rPr>
        <w:instrText>, MDA), and antioxidant enzyme activities in the leaves of Fragaria × ananassa. The combined treatment (ZnO NPs + MT) consistently outperformed others, achieving the highest growth metrics under both conditions: shoot length (22.33 ± 1.53 cm non-stress, 15.00 ± 1.53 cm drought), root length (18.67 ± 1.53 cm non-stress, 12.00 ± 1.53 cm drought), and fruit biomass (9.55 ± 0.31 g non-stress, 5.02 ± 0.23 g drought). Bud formation peaked at 3.33 ± 0.58 buds/plant non-stress and 2.00 ± 0.00 buds/plant drought. Under drought, the combined treatment also enhanced chlorophyll content (2.47 ± 0.20 mg/g FW) and significantly reduced H</w:instrText>
      </w:r>
      <w:r w:rsidR="00B3623E">
        <w:rPr>
          <w:rFonts w:ascii="Cambria Math" w:hAnsi="Cambria Math" w:cs="Cambria Math"/>
          <w:iCs/>
          <w:sz w:val="20"/>
          <w:szCs w:val="20"/>
          <w:lang w:val="en-ZW"/>
        </w:rPr>
        <w:instrText>₂</w:instrText>
      </w:r>
      <w:r w:rsidR="00B3623E">
        <w:rPr>
          <w:rFonts w:ascii="Arial" w:hAnsi="Arial" w:cs="Arial"/>
          <w:iCs/>
          <w:sz w:val="20"/>
          <w:szCs w:val="20"/>
          <w:lang w:val="en-ZW"/>
        </w:rPr>
        <w:instrText>O</w:instrText>
      </w:r>
      <w:r w:rsidR="00B3623E">
        <w:rPr>
          <w:rFonts w:ascii="Cambria Math" w:hAnsi="Cambria Math" w:cs="Cambria Math"/>
          <w:iCs/>
          <w:sz w:val="20"/>
          <w:szCs w:val="20"/>
          <w:lang w:val="en-ZW"/>
        </w:rPr>
        <w:instrText>₂</w:instrText>
      </w:r>
      <w:r w:rsidR="00B3623E">
        <w:rPr>
          <w:rFonts w:ascii="Arial" w:hAnsi="Arial" w:cs="Arial"/>
          <w:iCs/>
          <w:sz w:val="20"/>
          <w:szCs w:val="20"/>
          <w:lang w:val="en-ZW"/>
        </w:rPr>
        <w:instrText xml:space="preserve"> (28.67 ± 2.52 µmol/g FW) and MDA (4.21 ± 0.10 µmol/g FW) levels, while maximizing antioxidant enzyme activities (SOD: 121.67 ± 7.64 U/g FW, POD: 206.33 ± 14.84 U/g FW, CAT: 48.00 ± 3.61 U/g FW). These findings highlight the combined application of ZnO NPs and MT as a promising strategy to enhance growth and stress tolerance in strawberry plants, warranting further research on optimized concentrations, delivery methods, and molecular mechanisms.","container-title":"BMC Plant Biology","DOI":"10.1186/s12870-025-06114-8","ISSN":"1471-2229","issue":"1","journalAbbreviation":"BMC Plant Biology","page":"82","source":"BioMed Central","title":"Synergistic effects of Vachellia nilotica-derived zinc oxide nanoparticles and melatonin on drought tolerance in Fragaria × ananassa","URL":"https://doi.org/10.1186/s12870-025-06114-8","volume":"25","author":[{"family":"Anwar","given":"Tauseef"},{"family":"Safdar","given":"Alia"},{"family":"Qureshi","given":"Huma"},{"family":"Siddiqi","given":"Ejaz Hussain"},{"family":"Ullah","given":"Naimat"},{"family":"Naseem","given":"Muhammad Tahir"},{"family":"Soufan","given":"Walid"}],"accessed":{"date-parts":[["2025",7,2]]},"issued":{"date-parts":[["2025",1,22]]}}}],"schema":"https://github.com/citation-style-language/schema/raw/master/csl-citation.json"} </w:instrText>
      </w:r>
      <w:r w:rsidR="00541A25">
        <w:rPr>
          <w:rFonts w:ascii="Arial" w:hAnsi="Arial" w:cs="Arial"/>
          <w:iCs/>
          <w:sz w:val="20"/>
          <w:szCs w:val="20"/>
          <w:lang w:val="en-ZW"/>
        </w:rPr>
        <w:fldChar w:fldCharType="separate"/>
      </w:r>
      <w:r w:rsidR="00B3623E" w:rsidRPr="00B3623E">
        <w:rPr>
          <w:rFonts w:ascii="Arial" w:hAnsi="Arial" w:cs="Arial"/>
          <w:sz w:val="20"/>
        </w:rPr>
        <w:t>(55)</w:t>
      </w:r>
      <w:r w:rsidR="00541A25">
        <w:rPr>
          <w:rFonts w:ascii="Arial" w:hAnsi="Arial" w:cs="Arial"/>
          <w:iCs/>
          <w:sz w:val="20"/>
          <w:szCs w:val="20"/>
          <w:lang w:val="en-ZW"/>
        </w:rPr>
        <w:fldChar w:fldCharType="end"/>
      </w:r>
      <w:r w:rsidRPr="00AB04AA">
        <w:rPr>
          <w:rFonts w:ascii="Arial" w:hAnsi="Arial" w:cs="Arial"/>
          <w:iCs/>
          <w:sz w:val="20"/>
          <w:szCs w:val="20"/>
          <w:lang w:val="en-ZW"/>
        </w:rPr>
        <w:t>.</w:t>
      </w:r>
    </w:p>
    <w:p w14:paraId="7B8EFE73" w14:textId="77777777" w:rsidR="00AB04AA" w:rsidRPr="00AB04AA" w:rsidRDefault="00AB04AA" w:rsidP="00E807B6">
      <w:pPr>
        <w:spacing w:line="240" w:lineRule="auto"/>
        <w:contextualSpacing/>
        <w:jc w:val="both"/>
        <w:rPr>
          <w:rFonts w:ascii="Arial" w:hAnsi="Arial" w:cs="Arial"/>
          <w:iCs/>
          <w:sz w:val="20"/>
          <w:szCs w:val="20"/>
          <w:lang w:val="en-ZW"/>
        </w:rPr>
      </w:pPr>
      <w:r w:rsidRPr="00AB04AA">
        <w:rPr>
          <w:rFonts w:ascii="Arial" w:hAnsi="Arial" w:cs="Arial"/>
          <w:iCs/>
          <w:sz w:val="20"/>
          <w:szCs w:val="20"/>
          <w:lang w:val="en-ZW"/>
        </w:rPr>
        <w:t>Statistical analysis confirmed the robustness of these observations, with one-way ANOVA revealing significant differences between groups (F(2,6) = 48.37, p&lt;0.0001). Post-hoc Tukey tests showed the composite system differed significantly from both control groups at all concentrations ≥40 μg/mL (p&lt;0.001), while the extract and unconjugated ZnONPs showed significant divergence above 60 μg/mL (p&lt;0.01).</w:t>
      </w:r>
    </w:p>
    <w:p w14:paraId="37C46C7A" w14:textId="51415A74" w:rsidR="00AB04AA" w:rsidRPr="00AB04AA" w:rsidRDefault="00AB04AA" w:rsidP="00E807B6">
      <w:pPr>
        <w:spacing w:line="240" w:lineRule="auto"/>
        <w:contextualSpacing/>
        <w:jc w:val="both"/>
        <w:rPr>
          <w:rFonts w:ascii="Arial" w:hAnsi="Arial" w:cs="Arial"/>
          <w:iCs/>
          <w:sz w:val="20"/>
          <w:szCs w:val="20"/>
          <w:lang w:val="en-ZW"/>
        </w:rPr>
      </w:pPr>
      <w:r w:rsidRPr="00AB04AA">
        <w:rPr>
          <w:rFonts w:ascii="Arial" w:hAnsi="Arial" w:cs="Arial"/>
          <w:iCs/>
          <w:sz w:val="20"/>
          <w:szCs w:val="20"/>
          <w:lang w:val="en-ZW"/>
        </w:rPr>
        <w:t xml:space="preserve">These results advance current understanding of plant-nanomaterial hybrids in several ways:  they demonstrate measurable synergy beyond simple additive effects, they provide quantitative evidence for concentration thresholds where nano-enhancement becomes significant, </w:t>
      </w:r>
      <w:r w:rsidR="00091807" w:rsidRPr="00AB04AA">
        <w:rPr>
          <w:rFonts w:ascii="Arial" w:hAnsi="Arial" w:cs="Arial"/>
          <w:iCs/>
          <w:sz w:val="20"/>
          <w:szCs w:val="20"/>
          <w:lang w:val="en-ZW"/>
        </w:rPr>
        <w:t>and they</w:t>
      </w:r>
      <w:r w:rsidRPr="00AB04AA">
        <w:rPr>
          <w:rFonts w:ascii="Arial" w:hAnsi="Arial" w:cs="Arial"/>
          <w:iCs/>
          <w:sz w:val="20"/>
          <w:szCs w:val="20"/>
          <w:lang w:val="en-ZW"/>
        </w:rPr>
        <w:t xml:space="preserve"> establish V. nilotica as particularly effective for creating bioactive nanocomposites compared to other medicinal plants in literature. Future research should explore the specific molecular interactions at the nanoparticle-phytochemical interface and their in vivo therapeutic implications.</w:t>
      </w:r>
    </w:p>
    <w:p w14:paraId="186A1F81" w14:textId="77777777" w:rsidR="00AB04AA" w:rsidRDefault="00AB04AA" w:rsidP="00E807B6">
      <w:pPr>
        <w:spacing w:line="240" w:lineRule="auto"/>
        <w:contextualSpacing/>
        <w:rPr>
          <w:lang w:val="en-ZW"/>
        </w:rPr>
      </w:pPr>
    </w:p>
    <w:p w14:paraId="1126E543" w14:textId="505045CD" w:rsidR="00C91D4C" w:rsidRPr="001371BD" w:rsidRDefault="008C2E22" w:rsidP="001371BD">
      <w:pPr>
        <w:pStyle w:val="Heading1"/>
      </w:pPr>
      <w:r w:rsidRPr="001371BD">
        <w:t>Conclusion</w:t>
      </w:r>
      <w:bookmarkEnd w:id="34"/>
    </w:p>
    <w:p w14:paraId="1C35FEED" w14:textId="475BB10E" w:rsidR="00C91D4C" w:rsidRDefault="008C2E22" w:rsidP="00E807B6">
      <w:pPr>
        <w:spacing w:line="240" w:lineRule="auto"/>
        <w:contextualSpacing/>
        <w:jc w:val="both"/>
        <w:rPr>
          <w:rFonts w:ascii="Arial" w:hAnsi="Arial" w:cs="Arial"/>
          <w:iCs/>
          <w:sz w:val="20"/>
          <w:szCs w:val="20"/>
          <w:lang w:val="en-ZW"/>
        </w:rPr>
      </w:pPr>
      <w:r w:rsidRPr="00D72E38">
        <w:rPr>
          <w:rFonts w:ascii="Arial" w:hAnsi="Arial" w:cs="Arial"/>
          <w:iCs/>
          <w:sz w:val="20"/>
          <w:szCs w:val="20"/>
          <w:lang w:val="en-ZW"/>
        </w:rPr>
        <w:t xml:space="preserve">This study demonstrates the eco-friendly biosynthesis of ZnONPs using </w:t>
      </w:r>
      <w:r w:rsidRPr="00D72E38">
        <w:rPr>
          <w:rFonts w:ascii="Arial" w:hAnsi="Arial" w:cs="Arial"/>
          <w:i/>
          <w:sz w:val="20"/>
          <w:szCs w:val="20"/>
          <w:lang w:val="en-ZW"/>
        </w:rPr>
        <w:t>V. nilotica</w:t>
      </w:r>
      <w:r w:rsidRPr="00D72E38">
        <w:rPr>
          <w:rFonts w:ascii="Arial" w:hAnsi="Arial" w:cs="Arial"/>
          <w:iCs/>
          <w:sz w:val="20"/>
          <w:szCs w:val="20"/>
          <w:lang w:val="en-ZW"/>
        </w:rPr>
        <w:t xml:space="preserve"> extracts, leveraging polyphenols as reducing, capping, and stabilizing agents. Phytochemical analysis revealed pharmacologically active compounds consistent with </w:t>
      </w:r>
      <w:r w:rsidRPr="001371BD">
        <w:rPr>
          <w:rFonts w:ascii="Arial" w:hAnsi="Arial" w:cs="Arial"/>
          <w:i/>
          <w:sz w:val="20"/>
          <w:szCs w:val="20"/>
          <w:lang w:val="en-ZW"/>
        </w:rPr>
        <w:t>V. nilotica's</w:t>
      </w:r>
      <w:r w:rsidRPr="00D72E38">
        <w:rPr>
          <w:rFonts w:ascii="Arial" w:hAnsi="Arial" w:cs="Arial"/>
          <w:iCs/>
          <w:sz w:val="20"/>
          <w:szCs w:val="20"/>
          <w:lang w:val="en-ZW"/>
        </w:rPr>
        <w:t xml:space="preserve"> traditional use in breast cancer management. Safety assessments showed no toxicity symptoms in laboratory animals, validating the hydroethanolic extracts' safety profile. Our results suggest </w:t>
      </w:r>
      <w:r w:rsidR="00F47EC0">
        <w:rPr>
          <w:rFonts w:ascii="Arial" w:hAnsi="Arial" w:cs="Arial"/>
          <w:iCs/>
          <w:sz w:val="20"/>
          <w:szCs w:val="20"/>
          <w:lang w:val="en-ZW"/>
        </w:rPr>
        <w:t xml:space="preserve">that </w:t>
      </w:r>
      <w:r w:rsidRPr="00D72E38">
        <w:rPr>
          <w:rFonts w:ascii="Arial" w:hAnsi="Arial" w:cs="Arial"/>
          <w:iCs/>
          <w:sz w:val="20"/>
          <w:szCs w:val="20"/>
          <w:lang w:val="en-ZW"/>
        </w:rPr>
        <w:t xml:space="preserve">combining </w:t>
      </w:r>
      <w:proofErr w:type="spellStart"/>
      <w:r w:rsidRPr="00D72E38">
        <w:rPr>
          <w:rFonts w:ascii="Arial" w:hAnsi="Arial" w:cs="Arial"/>
          <w:iCs/>
          <w:sz w:val="20"/>
          <w:szCs w:val="20"/>
          <w:lang w:val="en-ZW"/>
        </w:rPr>
        <w:t>ZnO's</w:t>
      </w:r>
      <w:proofErr w:type="spellEnd"/>
      <w:r w:rsidRPr="00D72E38">
        <w:rPr>
          <w:rFonts w:ascii="Arial" w:hAnsi="Arial" w:cs="Arial"/>
          <w:iCs/>
          <w:sz w:val="20"/>
          <w:szCs w:val="20"/>
          <w:lang w:val="en-ZW"/>
        </w:rPr>
        <w:t xml:space="preserve"> anticancer properties with </w:t>
      </w:r>
      <w:r w:rsidRPr="00D72E38">
        <w:rPr>
          <w:rFonts w:ascii="Arial" w:hAnsi="Arial" w:cs="Arial"/>
          <w:i/>
          <w:sz w:val="20"/>
          <w:szCs w:val="20"/>
          <w:lang w:val="en-ZW"/>
        </w:rPr>
        <w:t>V. nilotica's</w:t>
      </w:r>
      <w:r w:rsidRPr="00D72E38">
        <w:rPr>
          <w:rFonts w:ascii="Arial" w:hAnsi="Arial" w:cs="Arial"/>
          <w:iCs/>
          <w:sz w:val="20"/>
          <w:szCs w:val="20"/>
          <w:lang w:val="en-ZW"/>
        </w:rPr>
        <w:t xml:space="preserve"> traditional benefits through biosynthesized ZnONPs,</w:t>
      </w:r>
      <w:r w:rsidR="00F47EC0">
        <w:rPr>
          <w:rFonts w:ascii="Arial" w:hAnsi="Arial" w:cs="Arial"/>
          <w:iCs/>
          <w:sz w:val="20"/>
          <w:szCs w:val="20"/>
          <w:lang w:val="en-ZW"/>
        </w:rPr>
        <w:t xml:space="preserve">  is feasible, safe and pharmacologically effective against common end points of </w:t>
      </w:r>
      <w:proofErr w:type="spellStart"/>
      <w:r w:rsidR="00F47EC0">
        <w:rPr>
          <w:rFonts w:ascii="Arial" w:hAnsi="Arial" w:cs="Arial"/>
          <w:iCs/>
          <w:sz w:val="20"/>
          <w:szCs w:val="20"/>
          <w:lang w:val="en-ZW"/>
        </w:rPr>
        <w:t>carcinormas</w:t>
      </w:r>
      <w:proofErr w:type="spellEnd"/>
      <w:r w:rsidR="00F47EC0">
        <w:rPr>
          <w:rFonts w:ascii="Arial" w:hAnsi="Arial" w:cs="Arial"/>
          <w:iCs/>
          <w:sz w:val="20"/>
          <w:szCs w:val="20"/>
          <w:lang w:val="en-ZW"/>
        </w:rPr>
        <w:t>. Th</w:t>
      </w:r>
      <w:r w:rsidR="00D35B21">
        <w:rPr>
          <w:rFonts w:ascii="Arial" w:hAnsi="Arial" w:cs="Arial"/>
          <w:iCs/>
          <w:sz w:val="20"/>
          <w:szCs w:val="20"/>
          <w:lang w:val="en-ZW"/>
        </w:rPr>
        <w:t>e studies</w:t>
      </w:r>
      <w:r w:rsidR="00F47EC0">
        <w:rPr>
          <w:rFonts w:ascii="Arial" w:hAnsi="Arial" w:cs="Arial"/>
          <w:iCs/>
          <w:sz w:val="20"/>
          <w:szCs w:val="20"/>
          <w:lang w:val="en-ZW"/>
        </w:rPr>
        <w:t xml:space="preserve"> therefore validates the </w:t>
      </w:r>
      <w:proofErr w:type="gramStart"/>
      <w:r w:rsidR="00F47EC0">
        <w:rPr>
          <w:rFonts w:ascii="Arial" w:hAnsi="Arial" w:cs="Arial"/>
          <w:iCs/>
          <w:sz w:val="20"/>
          <w:szCs w:val="20"/>
          <w:lang w:val="en-ZW"/>
        </w:rPr>
        <w:t xml:space="preserve">extracts </w:t>
      </w:r>
      <w:r w:rsidRPr="00D72E38">
        <w:rPr>
          <w:rFonts w:ascii="Arial" w:hAnsi="Arial" w:cs="Arial"/>
          <w:iCs/>
          <w:sz w:val="20"/>
          <w:szCs w:val="20"/>
          <w:lang w:val="en-ZW"/>
        </w:rPr>
        <w:t xml:space="preserve"> </w:t>
      </w:r>
      <w:r w:rsidR="00F47EC0">
        <w:rPr>
          <w:rFonts w:ascii="Arial" w:hAnsi="Arial" w:cs="Arial"/>
          <w:iCs/>
          <w:sz w:val="20"/>
          <w:szCs w:val="20"/>
          <w:lang w:val="en-ZW"/>
        </w:rPr>
        <w:t>use</w:t>
      </w:r>
      <w:proofErr w:type="gramEnd"/>
      <w:r w:rsidR="00D35B21">
        <w:rPr>
          <w:rFonts w:ascii="Arial" w:hAnsi="Arial" w:cs="Arial"/>
          <w:iCs/>
          <w:sz w:val="20"/>
          <w:szCs w:val="20"/>
          <w:lang w:val="en-ZW"/>
        </w:rPr>
        <w:t xml:space="preserve"> as an adjunct  cancer </w:t>
      </w:r>
      <w:r w:rsidRPr="00D72E38">
        <w:rPr>
          <w:rFonts w:ascii="Arial" w:hAnsi="Arial" w:cs="Arial"/>
          <w:iCs/>
          <w:sz w:val="20"/>
          <w:szCs w:val="20"/>
          <w:lang w:val="en-ZW"/>
        </w:rPr>
        <w:t>therap</w:t>
      </w:r>
      <w:r w:rsidR="00D35B21">
        <w:rPr>
          <w:rFonts w:ascii="Arial" w:hAnsi="Arial" w:cs="Arial"/>
          <w:iCs/>
          <w:sz w:val="20"/>
          <w:szCs w:val="20"/>
          <w:lang w:val="en-ZW"/>
        </w:rPr>
        <w:t>y in traditional medicine</w:t>
      </w:r>
      <w:r w:rsidRPr="00D72E38">
        <w:rPr>
          <w:rFonts w:ascii="Arial" w:hAnsi="Arial" w:cs="Arial"/>
          <w:iCs/>
          <w:sz w:val="20"/>
          <w:szCs w:val="20"/>
          <w:lang w:val="en-ZW"/>
        </w:rPr>
        <w:t xml:space="preserve"> </w:t>
      </w:r>
      <w:r w:rsidR="00D35B21">
        <w:rPr>
          <w:rFonts w:ascii="Arial" w:hAnsi="Arial" w:cs="Arial"/>
          <w:iCs/>
          <w:sz w:val="20"/>
          <w:szCs w:val="20"/>
          <w:lang w:val="en-ZW"/>
        </w:rPr>
        <w:t xml:space="preserve">and also proposes  an opportunity to augment this activity through conjugation with ecofriendly biogenic ZnONPs mediated by of the </w:t>
      </w:r>
      <w:r w:rsidR="00D35B21" w:rsidRPr="00D72E38">
        <w:rPr>
          <w:rFonts w:ascii="Arial" w:hAnsi="Arial" w:cs="Arial"/>
          <w:i/>
          <w:sz w:val="20"/>
          <w:szCs w:val="20"/>
          <w:lang w:val="en-ZW"/>
        </w:rPr>
        <w:t>V. nilotica</w:t>
      </w:r>
      <w:r w:rsidR="00D35B21">
        <w:rPr>
          <w:rFonts w:ascii="Arial" w:hAnsi="Arial" w:cs="Arial"/>
          <w:i/>
          <w:sz w:val="20"/>
          <w:szCs w:val="20"/>
          <w:lang w:val="en-ZW"/>
        </w:rPr>
        <w:t xml:space="preserve"> </w:t>
      </w:r>
      <w:r w:rsidR="00D35B21">
        <w:rPr>
          <w:rFonts w:ascii="Arial" w:hAnsi="Arial" w:cs="Arial"/>
          <w:iCs/>
          <w:sz w:val="20"/>
          <w:szCs w:val="20"/>
          <w:lang w:val="en-ZW"/>
        </w:rPr>
        <w:t>phytoconstituents</w:t>
      </w:r>
      <w:r w:rsidRPr="00D72E38">
        <w:rPr>
          <w:rFonts w:ascii="Arial" w:hAnsi="Arial" w:cs="Arial"/>
          <w:iCs/>
          <w:sz w:val="20"/>
          <w:szCs w:val="20"/>
          <w:lang w:val="en-ZW"/>
        </w:rPr>
        <w:t xml:space="preserve">. </w:t>
      </w:r>
    </w:p>
    <w:p w14:paraId="2D8F4A77" w14:textId="3E2BF427" w:rsidR="00C91D4C" w:rsidRPr="00D72E38" w:rsidRDefault="008C2E22" w:rsidP="00E807B6">
      <w:pPr>
        <w:spacing w:line="240" w:lineRule="auto"/>
        <w:contextualSpacing/>
        <w:jc w:val="both"/>
        <w:rPr>
          <w:rFonts w:ascii="Arial" w:hAnsi="Arial" w:cs="Arial"/>
          <w:sz w:val="20"/>
          <w:szCs w:val="20"/>
          <w:lang w:val="en-US"/>
        </w:rPr>
      </w:pPr>
      <w:r w:rsidRPr="00D72E38">
        <w:rPr>
          <w:rFonts w:ascii="Arial" w:hAnsi="Arial" w:cs="Arial"/>
          <w:sz w:val="20"/>
          <w:szCs w:val="20"/>
          <w:lang w:val="en-US"/>
        </w:rPr>
        <w:t>Pharmaceutical Sciences for laboratory use for the phytochemical analysis.</w:t>
      </w:r>
    </w:p>
    <w:p w14:paraId="6D288946" w14:textId="77777777" w:rsidR="00C91D4C" w:rsidRPr="001371BD" w:rsidRDefault="008C2E22" w:rsidP="001371BD">
      <w:pPr>
        <w:pStyle w:val="Heading1"/>
        <w:rPr>
          <w:sz w:val="32"/>
        </w:rPr>
      </w:pPr>
      <w:r w:rsidRPr="001371BD">
        <w:rPr>
          <w:sz w:val="32"/>
        </w:rPr>
        <w:t xml:space="preserve">AI Disclaimer </w:t>
      </w:r>
    </w:p>
    <w:p w14:paraId="47273EA9" w14:textId="4F1AC303" w:rsidR="00C91D4C" w:rsidRPr="00D72E38" w:rsidRDefault="008C2E22" w:rsidP="00E807B6">
      <w:pPr>
        <w:spacing w:line="240" w:lineRule="auto"/>
        <w:contextualSpacing/>
        <w:jc w:val="both"/>
        <w:rPr>
          <w:rFonts w:ascii="Arial" w:hAnsi="Arial" w:cs="Arial"/>
          <w:sz w:val="20"/>
          <w:szCs w:val="20"/>
          <w:lang w:val="en-ZW"/>
        </w:rPr>
      </w:pPr>
      <w:r w:rsidRPr="00D72E38">
        <w:rPr>
          <w:rFonts w:ascii="Arial" w:hAnsi="Arial" w:cs="Arial"/>
          <w:sz w:val="20"/>
          <w:szCs w:val="20"/>
          <w:lang w:val="en-ZW"/>
        </w:rPr>
        <w:t>Author(s) hereby declare that NO generative AI technologies such as Large Language Models (ChatGPT, COPILOT, etc) and text-to-image generators have been used during writing or editing of this manuscript.</w:t>
      </w:r>
    </w:p>
    <w:p w14:paraId="0DD571AE" w14:textId="77777777" w:rsidR="00C91D4C" w:rsidRPr="00D72E38" w:rsidRDefault="00C91D4C" w:rsidP="00E807B6">
      <w:pPr>
        <w:spacing w:line="240" w:lineRule="auto"/>
        <w:contextualSpacing/>
        <w:jc w:val="both"/>
        <w:rPr>
          <w:rFonts w:ascii="Arial" w:hAnsi="Arial" w:cs="Arial"/>
          <w:iCs/>
          <w:sz w:val="20"/>
          <w:szCs w:val="20"/>
          <w:lang w:val="en-ZW"/>
        </w:rPr>
      </w:pPr>
    </w:p>
    <w:p w14:paraId="0F708CC3" w14:textId="00834486" w:rsidR="00C91D4C" w:rsidRDefault="00563F1C" w:rsidP="001371BD">
      <w:pPr>
        <w:pStyle w:val="Heading1"/>
        <w:rPr>
          <w:sz w:val="32"/>
        </w:rPr>
      </w:pPr>
      <w:r w:rsidRPr="00C01EAF">
        <w:rPr>
          <w:sz w:val="32"/>
        </w:rPr>
        <w:t xml:space="preserve">References </w:t>
      </w:r>
    </w:p>
    <w:p w14:paraId="488D2B19" w14:textId="77777777" w:rsidR="00C01EAF" w:rsidRPr="00C01EAF" w:rsidRDefault="00C01EAF" w:rsidP="00C01EAF"/>
    <w:p w14:paraId="2FA7D8C6" w14:textId="77777777" w:rsidR="00B3623E" w:rsidRPr="00C01EAF" w:rsidRDefault="00091807" w:rsidP="00B3623E">
      <w:pPr>
        <w:pStyle w:val="Bibliography"/>
        <w:rPr>
          <w:rFonts w:ascii="Arial" w:hAnsi="Arial" w:cs="Arial"/>
          <w:sz w:val="20"/>
          <w:szCs w:val="20"/>
        </w:rPr>
      </w:pPr>
      <w:r w:rsidRPr="00C01EAF">
        <w:rPr>
          <w:rFonts w:ascii="Arial" w:hAnsi="Arial" w:cs="Arial"/>
          <w:iCs/>
          <w:sz w:val="20"/>
          <w:szCs w:val="20"/>
          <w:lang w:val="en-ZW"/>
        </w:rPr>
        <w:fldChar w:fldCharType="begin"/>
      </w:r>
      <w:r w:rsidRPr="00C01EAF">
        <w:rPr>
          <w:rFonts w:ascii="Arial" w:hAnsi="Arial" w:cs="Arial"/>
          <w:iCs/>
          <w:sz w:val="20"/>
          <w:szCs w:val="20"/>
          <w:lang w:val="en-ZW"/>
        </w:rPr>
        <w:instrText xml:space="preserve"> ADDIN ZOTERO_BIBL {"uncited":[],"omitted":[],"custom":[]} CSL_BIBLIOGRAPHY </w:instrText>
      </w:r>
      <w:r w:rsidRPr="00C01EAF">
        <w:rPr>
          <w:rFonts w:ascii="Arial" w:hAnsi="Arial" w:cs="Arial"/>
          <w:iCs/>
          <w:sz w:val="20"/>
          <w:szCs w:val="20"/>
          <w:lang w:val="en-ZW"/>
        </w:rPr>
        <w:fldChar w:fldCharType="separate"/>
      </w:r>
      <w:r w:rsidR="00B3623E" w:rsidRPr="00C01EAF">
        <w:rPr>
          <w:rFonts w:ascii="Arial" w:hAnsi="Arial" w:cs="Arial"/>
          <w:sz w:val="20"/>
          <w:szCs w:val="20"/>
        </w:rPr>
        <w:t>1.</w:t>
      </w:r>
      <w:r w:rsidR="00B3623E" w:rsidRPr="00C01EAF">
        <w:rPr>
          <w:rFonts w:ascii="Arial" w:hAnsi="Arial" w:cs="Arial"/>
          <w:sz w:val="20"/>
          <w:szCs w:val="20"/>
        </w:rPr>
        <w:tab/>
        <w:t>Raj A, Haokip V, Chandrawanshi S. &lt;I&gt;Acacia nilotica&lt;/I&gt;:A Multipurpose Tree and Source of Indian Gum Arabic. South Indian J Biol Sci [Internet]. 2015 Sep 1 [cited 2025 Jun 6];1(2):66. Available from: http://www.sijbsojms.com/index.php/SIJBS/article/view/100421</w:t>
      </w:r>
    </w:p>
    <w:p w14:paraId="5533DE73"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2.</w:t>
      </w:r>
      <w:r w:rsidRPr="00C01EAF">
        <w:rPr>
          <w:rFonts w:ascii="Arial" w:hAnsi="Arial" w:cs="Arial"/>
          <w:sz w:val="20"/>
          <w:szCs w:val="20"/>
        </w:rPr>
        <w:tab/>
        <w:t>Akbar S. Handbook of 200 Medicinal Plants: A Comprehensive Review of Their Traditional Medical Uses and Scientific Justifications [Internet]. Cham: Springer International Publishing; 2020 [cited 2025 Jun 6]. Available from: https://link.springer.com/10.1007/978-3-030-16807-0</w:t>
      </w:r>
    </w:p>
    <w:p w14:paraId="41E9B64C"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3.</w:t>
      </w:r>
      <w:r w:rsidRPr="00C01EAF">
        <w:rPr>
          <w:rFonts w:ascii="Arial" w:hAnsi="Arial" w:cs="Arial"/>
          <w:sz w:val="20"/>
          <w:szCs w:val="20"/>
        </w:rPr>
        <w:tab/>
        <w:t xml:space="preserve">Paswan JK, Kumar K, Kumar S, Chandramoni, Kumar A, Kumar D, et al. Effect of feeding Acacia nilotica pod meal on hematobiochemical profile and fecal egg count in goats. Vet World [Internet]. </w:t>
      </w:r>
      <w:r w:rsidRPr="00C01EAF">
        <w:rPr>
          <w:rFonts w:ascii="Arial" w:hAnsi="Arial" w:cs="Arial"/>
          <w:sz w:val="20"/>
          <w:szCs w:val="20"/>
        </w:rPr>
        <w:lastRenderedPageBreak/>
        <w:t>2016 Dec [cited 2025 Jul 2];9(12):1400–6. Available from: https://www.ncbi.nlm.nih.gov/pmc/articles/PMC5234054/</w:t>
      </w:r>
    </w:p>
    <w:p w14:paraId="3E035741"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4.</w:t>
      </w:r>
      <w:r w:rsidRPr="00C01EAF">
        <w:rPr>
          <w:rFonts w:ascii="Arial" w:hAnsi="Arial" w:cs="Arial"/>
          <w:sz w:val="20"/>
          <w:szCs w:val="20"/>
        </w:rPr>
        <w:tab/>
        <w:t>Kowalska J, Antkowiak M, Sienkiewicz P. Flower Strips and Their Ecological Multifunctionality in Agricultural Fields. Agriculture [Internet]. 2022 Sep [cited 2025 Jul 2];12(9):1470. Available from: https://www.mdpi.com/2077-0472/12/9/1470</w:t>
      </w:r>
    </w:p>
    <w:p w14:paraId="213723B2"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5.</w:t>
      </w:r>
      <w:r w:rsidRPr="00C01EAF">
        <w:rPr>
          <w:rFonts w:ascii="Arial" w:hAnsi="Arial" w:cs="Arial"/>
          <w:sz w:val="20"/>
          <w:szCs w:val="20"/>
        </w:rPr>
        <w:tab/>
        <w:t>Hafez LO, Brito-Casillas Y, Abdelmageed N, Alemán-Cabrera IM, Morad SAF, Abdel-Raheem MH, et al. The Acacia (Vachellia nilotica (L.) P.J.H. Hurter &amp; Mabb.): Traditional Uses and Recent Advances on Its Pharmacological Attributes and Potential Activities. Nutrients [Internet]. 2024 Jan [cited 2025 Jul 2];16(24):4278. Available from: https://www.mdpi.com/2072-6643/16/24/4278</w:t>
      </w:r>
    </w:p>
    <w:p w14:paraId="5B61174A"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6.</w:t>
      </w:r>
      <w:r w:rsidRPr="00C01EAF">
        <w:rPr>
          <w:rFonts w:ascii="Arial" w:hAnsi="Arial" w:cs="Arial"/>
          <w:sz w:val="20"/>
          <w:szCs w:val="20"/>
        </w:rPr>
        <w:tab/>
        <w:t>Cedillo-Cortezano M, Martinez-Cuevas LR, López JAM, Barrera López IL, Escutia-Perez S, Petricevich VL. Use of Medicinal Plants in the Process of Wound Healing: A Literature Review. Pharmaceuticals [Internet]. 2024 Feb 27 [cited 2025 Jul 2];17(3):303. Available from: https://www.ncbi.nlm.nih.gov/pmc/articles/PMC10975678/</w:t>
      </w:r>
    </w:p>
    <w:p w14:paraId="36C7517E"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7.</w:t>
      </w:r>
      <w:r w:rsidRPr="00C01EAF">
        <w:rPr>
          <w:rFonts w:ascii="Arial" w:hAnsi="Arial" w:cs="Arial"/>
          <w:sz w:val="20"/>
          <w:szCs w:val="20"/>
        </w:rPr>
        <w:tab/>
        <w:t xml:space="preserve">Diagne N, Arumugam K, Ngom M, Nambiar-Veetil M, Franche C, Narayanan KK, et al. Use of </w:t>
      </w:r>
      <w:r w:rsidRPr="00C01EAF">
        <w:rPr>
          <w:rFonts w:ascii="Arial" w:hAnsi="Arial" w:cs="Arial"/>
          <w:i/>
          <w:iCs/>
          <w:sz w:val="20"/>
          <w:szCs w:val="20"/>
        </w:rPr>
        <w:t>Frankia</w:t>
      </w:r>
      <w:r w:rsidRPr="00C01EAF">
        <w:rPr>
          <w:rFonts w:ascii="Arial" w:hAnsi="Arial" w:cs="Arial"/>
          <w:sz w:val="20"/>
          <w:szCs w:val="20"/>
        </w:rPr>
        <w:t xml:space="preserve"> and Actinorhizal Plants for Degraded Lands Reclamation. BioMed Res Int [Internet]. 2013 [cited 2025 Jun 6];2013:1–9. Available from: http://www.hindawi.com/journals/bmri/2013/948258/</w:t>
      </w:r>
    </w:p>
    <w:p w14:paraId="178E1FEC"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8.</w:t>
      </w:r>
      <w:r w:rsidRPr="00C01EAF">
        <w:rPr>
          <w:rFonts w:ascii="Arial" w:hAnsi="Arial" w:cs="Arial"/>
          <w:sz w:val="20"/>
          <w:szCs w:val="20"/>
        </w:rPr>
        <w:tab/>
        <w:t>Sufianova G, Gareev I, Beylerli O, Wu J, Shumadalova A, Sufianov A, et al. Modern aspects of the use of natural polyphenols in tumor prevention and therapy. Front Cell Dev Biol [Internet]. 2022 Sep 12 [cited 2025 Jun 6];10:1011435. Available from: https://www.frontiersin.org/articles/10.3389/fcell.2022.1011435/full</w:t>
      </w:r>
    </w:p>
    <w:p w14:paraId="426B6FB5"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9.</w:t>
      </w:r>
      <w:r w:rsidRPr="00C01EAF">
        <w:rPr>
          <w:rFonts w:ascii="Arial" w:hAnsi="Arial" w:cs="Arial"/>
          <w:sz w:val="20"/>
          <w:szCs w:val="20"/>
        </w:rPr>
        <w:tab/>
        <w:t>Chen J, Wei Y, Yang W, Huang Q, Chen Y, Zeng K, et al. IL-6: The Link Between Inflammation, Immunity and Breast Cancer. Front Oncol [Internet]. 2022 Jul 18 [cited 2025 Jun 17];12:903800. Available from: https://www.frontiersin.org/articles/10.3389/fonc.2022.903800/full</w:t>
      </w:r>
    </w:p>
    <w:p w14:paraId="2EA95DD4"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10.</w:t>
      </w:r>
      <w:r w:rsidRPr="00C01EAF">
        <w:rPr>
          <w:rFonts w:ascii="Arial" w:hAnsi="Arial" w:cs="Arial"/>
          <w:sz w:val="20"/>
          <w:szCs w:val="20"/>
        </w:rPr>
        <w:tab/>
        <w:t>Maharati A, Moghbeli M. PI3K/AKT signaling pathway as a critical regulator of epithelial-mesenchymal transition in colorectal tumor cells. Cell Commun Signal [Internet]. 2023 Aug 14 [cited 2025 Jun 17];21(1):201. Available from: https://biosignaling.biomedcentral.com/articles/10.1186/s12964-023-01225-x</w:t>
      </w:r>
    </w:p>
    <w:p w14:paraId="32815726"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11.</w:t>
      </w:r>
      <w:r w:rsidRPr="00C01EAF">
        <w:rPr>
          <w:rFonts w:ascii="Arial" w:hAnsi="Arial" w:cs="Arial"/>
          <w:sz w:val="20"/>
          <w:szCs w:val="20"/>
        </w:rPr>
        <w:tab/>
        <w:t>Panda VK, Mishra B, Mahapatra S, Swain B, Malhotra D, Saha S, et al. Molecular Insights on Signaling Cascades in Breast Cancer: A Comprehensive Review. Cancers [Internet]. 2025 Jan 13 [cited 2025 Jun 18];17(2):234. Available from: https://www.mdpi.com/2072-6694/17/2/234</w:t>
      </w:r>
    </w:p>
    <w:p w14:paraId="26F90B12"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12.</w:t>
      </w:r>
      <w:r w:rsidRPr="00C01EAF">
        <w:rPr>
          <w:rFonts w:ascii="Arial" w:hAnsi="Arial" w:cs="Arial"/>
          <w:sz w:val="20"/>
          <w:szCs w:val="20"/>
        </w:rPr>
        <w:tab/>
        <w:t>Håkansson L, Dunér P, Broströmer E, Gustavsson B, Wettergren Y, Ghafouri B, et al. A New IL-6-Inducing Mechanism in Cancer with New Therapeutic Possibilities. Cancers [Internet]. 2024 Oct 24 [cited 2025 Jun 18];16(21):3588. Available from: https://www.mdpi.com/2072-6694/16/21/3588</w:t>
      </w:r>
    </w:p>
    <w:p w14:paraId="3B2A8935"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13.</w:t>
      </w:r>
      <w:r w:rsidRPr="00C01EAF">
        <w:rPr>
          <w:rFonts w:ascii="Arial" w:hAnsi="Arial" w:cs="Arial"/>
          <w:sz w:val="20"/>
          <w:szCs w:val="20"/>
        </w:rPr>
        <w:tab/>
        <w:t>Yahfoufi N, Alsadi N, Jambi M, Matar C. The Immunomodulatory and Anti-Inflammatory Role of Polyphenols. Nutrients [Internet]. 2018 Nov 2 [cited 2025 Jun 18];10(11):1618. Available from: https://www.mdpi.com/2072-6643/10/11/1618</w:t>
      </w:r>
    </w:p>
    <w:p w14:paraId="69DE7DA9"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14.</w:t>
      </w:r>
      <w:r w:rsidRPr="00C01EAF">
        <w:rPr>
          <w:rFonts w:ascii="Arial" w:hAnsi="Arial" w:cs="Arial"/>
          <w:sz w:val="20"/>
          <w:szCs w:val="20"/>
        </w:rPr>
        <w:tab/>
        <w:t>Grivennikov SI, Greten FR, Karin M. Immunity, Inflammation, and Cancer. Cell [Internet]. 2010 Mar [cited 2025 Jun 18];140(6):883–99. Available from: https://linkinghub.elsevier.com/retrieve/pii/S0092867410000607</w:t>
      </w:r>
    </w:p>
    <w:p w14:paraId="17879A35"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15.</w:t>
      </w:r>
      <w:r w:rsidRPr="00C01EAF">
        <w:rPr>
          <w:rFonts w:ascii="Arial" w:hAnsi="Arial" w:cs="Arial"/>
          <w:sz w:val="20"/>
          <w:szCs w:val="20"/>
        </w:rPr>
        <w:tab/>
        <w:t>Daré RG, Lautenschlager SOS. Nanoparticles with Antioxidant Activity. Antioxidants [Internet]. 2025 Feb 15 [cited 2025 May 13];14(2):221. Available from: https://www.mdpi.com/2076-3921/14/2/221</w:t>
      </w:r>
    </w:p>
    <w:p w14:paraId="4833A69D"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16.</w:t>
      </w:r>
      <w:r w:rsidRPr="00C01EAF">
        <w:rPr>
          <w:rFonts w:ascii="Arial" w:hAnsi="Arial" w:cs="Arial"/>
          <w:sz w:val="20"/>
          <w:szCs w:val="20"/>
        </w:rPr>
        <w:tab/>
        <w:t>Silva-Pinto PA, De Pontes JTC, Aguilar-Morón B, Canales CSC, Pavan FR, Roque-Borda CA. Phytochemical insights into flavonoids in cancer: Mechanisms, therapeutic potential, and the case of quercetin. Heliyon [Internet]. 2025 Feb [cited 2025 May 13];11(4):e42682. Available from: https://linkinghub.elsevier.com/retrieve/pii/S2405844025010631</w:t>
      </w:r>
    </w:p>
    <w:p w14:paraId="008BBA31"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lastRenderedPageBreak/>
        <w:t>17.</w:t>
      </w:r>
      <w:r w:rsidRPr="00C01EAF">
        <w:rPr>
          <w:rFonts w:ascii="Arial" w:hAnsi="Arial" w:cs="Arial"/>
          <w:sz w:val="20"/>
          <w:szCs w:val="20"/>
        </w:rPr>
        <w:tab/>
        <w:t>Pei J, Natarajan PM, Umapathy VR, Swamikannu B, Sivaraman NM, Krishnasamy L, et al. Advancements in the Synthesis and Functionalization of Zinc Oxide-Based Nanomaterials for Enhanced Oral Cancer Therapy. Molecules [Internet]. 2024 Jun 6 [cited 2025 May 13];29(11):2706. Available from: https://www.mdpi.com/1420-3049/29/11/2706</w:t>
      </w:r>
    </w:p>
    <w:p w14:paraId="0B72A586"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18.</w:t>
      </w:r>
      <w:r w:rsidRPr="00C01EAF">
        <w:rPr>
          <w:rFonts w:ascii="Arial" w:hAnsi="Arial" w:cs="Arial"/>
          <w:sz w:val="20"/>
          <w:szCs w:val="20"/>
        </w:rPr>
        <w:tab/>
        <w:t>Baig N, Kammakakam I, Falath W. Nanomaterials: a review of synthesis methods, properties, recent progress, and challenges. Mater Adv [Internet]. 2021 [cited 2025 May 13];2(6):1821–71. Available from: https://xlink.rsc.org/?DOI=D0MA00807A</w:t>
      </w:r>
    </w:p>
    <w:p w14:paraId="4844B03D"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19.</w:t>
      </w:r>
      <w:r w:rsidRPr="00C01EAF">
        <w:rPr>
          <w:rFonts w:ascii="Arial" w:hAnsi="Arial" w:cs="Arial"/>
          <w:sz w:val="20"/>
          <w:szCs w:val="20"/>
        </w:rPr>
        <w:tab/>
        <w:t>Mao X, Kotov N. Complexity, disorder, and functionality of nanoscale materials. MRS Bull [Internet]. 2024 Apr [cited 2025 May 13];49(4):352–64. Available from: https://link.springer.com/10.1557/s43577-024-00698-6</w:t>
      </w:r>
    </w:p>
    <w:p w14:paraId="0E2A0019"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20.</w:t>
      </w:r>
      <w:r w:rsidRPr="00C01EAF">
        <w:rPr>
          <w:rFonts w:ascii="Arial" w:hAnsi="Arial" w:cs="Arial"/>
          <w:sz w:val="20"/>
          <w:szCs w:val="20"/>
        </w:rPr>
        <w:tab/>
        <w:t>Pereira JE, Moita AS, Moreira ALN. The pressing need for green nanofluids: A review. J Environ Chem Eng [Internet]. 2022 Jun [cited 2025 May 13];10(3):107940. Available from: https://linkinghub.elsevier.com/retrieve/pii/S2213343722008132</w:t>
      </w:r>
    </w:p>
    <w:p w14:paraId="7C527879"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21.</w:t>
      </w:r>
      <w:r w:rsidRPr="00C01EAF">
        <w:rPr>
          <w:rFonts w:ascii="Arial" w:hAnsi="Arial" w:cs="Arial"/>
          <w:sz w:val="20"/>
          <w:szCs w:val="20"/>
        </w:rPr>
        <w:tab/>
        <w:t>Sen K, Mondal S. Extraction of biomolecular polyphenols for nanoparticles fabrication: Mechanistic insights environmental mitigation. Inorg Chem Commun [Internet]. 2025 Sep 1 [cited 2025 Jul 2];179:114682. Available from: https://www.sciencedirect.com/science/article/pii/S1387700325007981</w:t>
      </w:r>
    </w:p>
    <w:p w14:paraId="02E4BF69"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22.</w:t>
      </w:r>
      <w:r w:rsidRPr="00C01EAF">
        <w:rPr>
          <w:rFonts w:ascii="Arial" w:hAnsi="Arial" w:cs="Arial"/>
          <w:sz w:val="20"/>
          <w:szCs w:val="20"/>
        </w:rPr>
        <w:tab/>
        <w:t>Marslin G, Siram K, Maqbool Q, Selvakesavan RK, Kruszka D, Kachlicki P, et al. Secondary Metabolites in the Green Synthesis of Metallic Nanoparticles. Materials [Internet]. 2018 Jun 3 [cited 2025 Jul 2];11(6):940. Available from: https://www.ncbi.nlm.nih.gov/pmc/articles/PMC6024997/</w:t>
      </w:r>
    </w:p>
    <w:p w14:paraId="1C8FBF97"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23.</w:t>
      </w:r>
      <w:r w:rsidRPr="00C01EAF">
        <w:rPr>
          <w:rFonts w:ascii="Arial" w:hAnsi="Arial" w:cs="Arial"/>
          <w:sz w:val="20"/>
          <w:szCs w:val="20"/>
        </w:rPr>
        <w:tab/>
        <w:t>Field JW, Kandiah M. A note on the use of mayer’s reagent for the detection of quinine in alkaline urine. Trans R Soc Trop Med Hyg [Internet]. 1935 Jan 25 [cited 2025 Jul 2];28(4):385–90. Available from: https://www.sciencedirect.com/science/article/pii/S003592033590133X</w:t>
      </w:r>
    </w:p>
    <w:p w14:paraId="51B5D049"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24.</w:t>
      </w:r>
      <w:r w:rsidRPr="00C01EAF">
        <w:rPr>
          <w:rFonts w:ascii="Arial" w:hAnsi="Arial" w:cs="Arial"/>
          <w:sz w:val="20"/>
          <w:szCs w:val="20"/>
        </w:rPr>
        <w:tab/>
        <w:t>Prigal SJ. The ferric chloride spot test for the evaluation and standardization of emulsions of allergens. J Allergy [Internet]. 1967 Jan 1 [cited 2025 Jul 2];39(1):1–10. Available from: https://www.sciencedirect.com/science/article/pii/0021870767901207</w:t>
      </w:r>
    </w:p>
    <w:p w14:paraId="4704557D"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25.</w:t>
      </w:r>
      <w:r w:rsidRPr="00C01EAF">
        <w:rPr>
          <w:rFonts w:ascii="Arial" w:hAnsi="Arial" w:cs="Arial"/>
          <w:sz w:val="20"/>
          <w:szCs w:val="20"/>
        </w:rPr>
        <w:tab/>
        <w:t>KANCHERLA N, DHAKSHINAMOOTHI A, CHITRA K, KOMARAM RB. Preliminary Analysis of Phytoconstituents and Evaluation of Anthelminthic Property of Cayratia auriculata (In Vitro). Mædica [Internet]. 2019 Dec [cited 2025 Jul 2];14(4):350–6. Available from: https://www.ncbi.nlm.nih.gov/pmc/articles/PMC7035446/</w:t>
      </w:r>
    </w:p>
    <w:p w14:paraId="0C507581"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26.</w:t>
      </w:r>
      <w:r w:rsidRPr="00C01EAF">
        <w:rPr>
          <w:rFonts w:ascii="Arial" w:hAnsi="Arial" w:cs="Arial"/>
          <w:sz w:val="20"/>
          <w:szCs w:val="20"/>
        </w:rPr>
        <w:tab/>
        <w:t>Gul R, Jan SU, Faridullah S, Sherani S, Jahan N. Preliminary Phytochemical Screening, Quantitative Analysis of Alkaloids, and Antioxidant Activity of Crude Plant Extracts from Ephedra intermedia Indigenous to Balochistan. Sci World J [Internet]. 2017 [cited 2025 Jul 2];2017(1):5873648. Available from: https://onlinelibrary.wiley.com/doi/abs/10.1155/2017/5873648</w:t>
      </w:r>
    </w:p>
    <w:p w14:paraId="05B88838"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27.</w:t>
      </w:r>
      <w:r w:rsidRPr="00C01EAF">
        <w:rPr>
          <w:rFonts w:ascii="Arial" w:hAnsi="Arial" w:cs="Arial"/>
          <w:sz w:val="20"/>
          <w:szCs w:val="20"/>
        </w:rPr>
        <w:tab/>
        <w:t>Das BK, Al-Amin MM, Russel SM, Kabir S, Bhattacherjee R, Hannan JMA. Phytochemical Screening and Evaluation of Analgesic Activity of Oroxylum indicum. Indian J Pharm Sci [Internet]. 2014 [cited 2025 Jul 2];76(6):571–5. Available from: https://www.ncbi.nlm.nih.gov/pmc/articles/PMC4293694/</w:t>
      </w:r>
    </w:p>
    <w:p w14:paraId="134E8238"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28.</w:t>
      </w:r>
      <w:r w:rsidRPr="00C01EAF">
        <w:rPr>
          <w:rFonts w:ascii="Arial" w:hAnsi="Arial" w:cs="Arial"/>
          <w:sz w:val="20"/>
          <w:szCs w:val="20"/>
        </w:rPr>
        <w:tab/>
        <w:t>Mast J, Verleysen E, Hodoroaba VD, Kaegi R. Chapter 2.1.2 - Characterization of nanomaterials by transmission electron microscopy: Measurement procedures. In: Hodoroaba VD, Unger WES, Shard AG, editors. Characterization of Nanoparticles [Internet]. Elsevier; 2020 [cited 2025 Jul 2]. p. 29–48. (Micro and Nano Technologies). Available from: https://www.sciencedirect.com/science/article/pii/B9780128141823000043</w:t>
      </w:r>
    </w:p>
    <w:p w14:paraId="45E668D3"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29.</w:t>
      </w:r>
      <w:r w:rsidRPr="00C01EAF">
        <w:rPr>
          <w:rFonts w:ascii="Arial" w:hAnsi="Arial" w:cs="Arial"/>
          <w:sz w:val="20"/>
          <w:szCs w:val="20"/>
        </w:rPr>
        <w:tab/>
        <w:t xml:space="preserve">M A, I MA, Ramalingam K, S R. Evaluation of the Anti-inflammatory, Antimicrobial, Antioxidant, and Cytotoxic Effects of Chitosan Thiocolchicoside-Lauric Acid Nanogel. Cureus [Internet]. [cited </w:t>
      </w:r>
      <w:r w:rsidRPr="00C01EAF">
        <w:rPr>
          <w:rFonts w:ascii="Arial" w:hAnsi="Arial" w:cs="Arial"/>
          <w:sz w:val="20"/>
          <w:szCs w:val="20"/>
        </w:rPr>
        <w:lastRenderedPageBreak/>
        <w:t>2025 Jul 2];15(9):e46003. Available from: https://www.ncbi.nlm.nih.gov/pmc/articles/PMC10600588/</w:t>
      </w:r>
    </w:p>
    <w:p w14:paraId="33502F42"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30.</w:t>
      </w:r>
      <w:r w:rsidRPr="00C01EAF">
        <w:rPr>
          <w:rFonts w:ascii="Arial" w:hAnsi="Arial" w:cs="Arial"/>
          <w:sz w:val="20"/>
          <w:szCs w:val="20"/>
        </w:rPr>
        <w:tab/>
        <w:t>Zarei MH, Lorigooini Z, Amini Khoei H, Bijad E. Acute oral toxicity assessment of galbanic acid in albino rat according to OECD 425 TG. Toxicol Rep [Internet]. 2023 Dec 1 [cited 2025 Jul 2];11:111–5. Available from: https://www.sciencedirect.com/science/article/pii/S221475002300080X</w:t>
      </w:r>
    </w:p>
    <w:p w14:paraId="2631D131"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31.</w:t>
      </w:r>
      <w:r w:rsidRPr="00C01EAF">
        <w:rPr>
          <w:rFonts w:ascii="Arial" w:hAnsi="Arial" w:cs="Arial"/>
          <w:sz w:val="20"/>
          <w:szCs w:val="20"/>
        </w:rPr>
        <w:tab/>
        <w:t>E B, Sivalingam AM, Alex A, Neha B. In Vitro Antioxidant Activity of Green-Synthesized Zinc Oxide (ZnO) Nanoparticles Utilizing Extracts From Allium sativum. Cureus [Internet]. [cited 2025 Jul 2];16(2):e55184. Available from: https://www.ncbi.nlm.nih.gov/pmc/articles/PMC10981507/</w:t>
      </w:r>
    </w:p>
    <w:p w14:paraId="603312F3"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32.</w:t>
      </w:r>
      <w:r w:rsidRPr="00C01EAF">
        <w:rPr>
          <w:rFonts w:ascii="Arial" w:hAnsi="Arial" w:cs="Arial"/>
          <w:sz w:val="20"/>
          <w:szCs w:val="20"/>
        </w:rPr>
        <w:tab/>
        <w:t>Shaikh RU, Pund MM, Gacche RN. Evaluation of anti-inflammatory activity of selected medicinal plants used in Indian traditional medication system in vitro as well as in vivo. J Tradit Complement Med [Internet]. 2015 Aug 1 [cited 2025 Jul 2];6(4):355–61. Available from: https://www.ncbi.nlm.nih.gov/pmc/articles/PMC5067865/</w:t>
      </w:r>
    </w:p>
    <w:p w14:paraId="226ADF6D"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33.</w:t>
      </w:r>
      <w:r w:rsidRPr="00C01EAF">
        <w:rPr>
          <w:rFonts w:ascii="Arial" w:hAnsi="Arial" w:cs="Arial"/>
          <w:sz w:val="20"/>
          <w:szCs w:val="20"/>
        </w:rPr>
        <w:tab/>
        <w:t>Kedare SB, Singh RP. Genesis and development of DPPH method of antioxidant assay. J Food Sci Technol [Internet]. 2011 Aug [cited 2025 Jul 2];48(4):412–22. Available from: https://www.ncbi.nlm.nih.gov/pmc/articles/PMC3551182/</w:t>
      </w:r>
    </w:p>
    <w:p w14:paraId="790A28B1"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34.</w:t>
      </w:r>
      <w:r w:rsidRPr="00C01EAF">
        <w:rPr>
          <w:rFonts w:ascii="Arial" w:hAnsi="Arial" w:cs="Arial"/>
          <w:sz w:val="20"/>
          <w:szCs w:val="20"/>
        </w:rPr>
        <w:tab/>
        <w:t>Babaei Rad S, Mumivand H, Mollaei S, Khadivi A. Effect of drying methods on phenolic compounds and antioxidant activity of Capparis spinosa L. fruits. BMC Plant Biol [Internet]. 2025 Jan 31 [cited 2025 Jul 2];25:133. Available from: https://www.ncbi.nlm.nih.gov/pmc/articles/PMC11783714/</w:t>
      </w:r>
    </w:p>
    <w:p w14:paraId="15C8152D"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35.</w:t>
      </w:r>
      <w:r w:rsidRPr="00C01EAF">
        <w:rPr>
          <w:rFonts w:ascii="Arial" w:hAnsi="Arial" w:cs="Arial"/>
          <w:sz w:val="20"/>
          <w:szCs w:val="20"/>
        </w:rPr>
        <w:tab/>
        <w:t xml:space="preserve">Derouich M, Bouhlali EDT, Hmidani A, Bammou M, Bourkhis B, Sellam K, et al. Assessment of total polyphenols, flavonoids and anti-inflammatory potential of three </w:t>
      </w:r>
      <w:r w:rsidRPr="00C01EAF">
        <w:rPr>
          <w:rFonts w:ascii="Arial" w:hAnsi="Arial" w:cs="Arial"/>
          <w:i/>
          <w:iCs/>
          <w:sz w:val="20"/>
          <w:szCs w:val="20"/>
        </w:rPr>
        <w:t>Apiaceae</w:t>
      </w:r>
      <w:r w:rsidRPr="00C01EAF">
        <w:rPr>
          <w:rFonts w:ascii="Arial" w:hAnsi="Arial" w:cs="Arial"/>
          <w:sz w:val="20"/>
          <w:szCs w:val="20"/>
        </w:rPr>
        <w:t xml:space="preserve"> species grown in the Southeast of Morocco. Sci Afr [Internet]. 2020 Sep 1 [cited 2025 Jul 2];9:e00507. Available from: https://www.sciencedirect.com/science/article/pii/S2468227620302453</w:t>
      </w:r>
    </w:p>
    <w:p w14:paraId="37E11107"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36.</w:t>
      </w:r>
      <w:r w:rsidRPr="00C01EAF">
        <w:rPr>
          <w:rFonts w:ascii="Arial" w:hAnsi="Arial" w:cs="Arial"/>
          <w:sz w:val="20"/>
          <w:szCs w:val="20"/>
        </w:rPr>
        <w:tab/>
        <w:t>Hafez LO, Brito-Casillas Y, Abdelmageed N, Alemán-Cabrera IM, Morad SAF, Abdel-Raheem MH, et al. The Acacia (Vachellia nilotica (L.) P.J.H. Hurter &amp; Mabb.): Traditional Uses and Recent Advances on Its Pharmacological Attributes and Potential Activities. Nutrients [Internet]. 2024 Dec 11 [cited 2025 Apr 27];16(24):4278. Available from: https://www.mdpi.com/2072-6643/16/24/4278</w:t>
      </w:r>
    </w:p>
    <w:p w14:paraId="5056FD6D"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37.</w:t>
      </w:r>
      <w:r w:rsidRPr="00C01EAF">
        <w:rPr>
          <w:rFonts w:ascii="Arial" w:hAnsi="Arial" w:cs="Arial"/>
          <w:sz w:val="20"/>
          <w:szCs w:val="20"/>
        </w:rPr>
        <w:tab/>
        <w:t>Sun W, Shahrajabian MH. Therapeutic Potential of Phenolic Compounds in Medicinal Plants—Natural Health Products for Human Health. Molecules [Internet]. 2023 Feb 15 [cited 2025 Jul 2];28(4):1845. Available from: https://www.ncbi.nlm.nih.gov/pmc/articles/PMC9960276/</w:t>
      </w:r>
    </w:p>
    <w:p w14:paraId="34452E2B"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38.</w:t>
      </w:r>
      <w:r w:rsidRPr="00C01EAF">
        <w:rPr>
          <w:rFonts w:ascii="Arial" w:hAnsi="Arial" w:cs="Arial"/>
          <w:sz w:val="20"/>
          <w:szCs w:val="20"/>
        </w:rPr>
        <w:tab/>
        <w:t>Ysrafil Y, Sapiun Z, Slamet NS, Mohamad F, Hartati H, Damiti SA, et al. Anti-inflammatory activities of flavonoid derivates. ADMET DMPK [Internet]. 2023 Jul 26 [cited 2025 Jul 2];11(3):331–59. Available from: https://www.ncbi.nlm.nih.gov/pmc/articles/PMC10567070/</w:t>
      </w:r>
    </w:p>
    <w:p w14:paraId="5D08ECDA"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39.</w:t>
      </w:r>
      <w:r w:rsidRPr="00C01EAF">
        <w:rPr>
          <w:rFonts w:ascii="Arial" w:hAnsi="Arial" w:cs="Arial"/>
          <w:sz w:val="20"/>
          <w:szCs w:val="20"/>
        </w:rPr>
        <w:tab/>
        <w:t>Al-Rajhi AMH, Qanash H, Bazaid AS, Binsaleh NK, Abdelghany TM. Pharmacological Evaluation of Acacia nilotica Flower Extract against Helicobacter pylori and Human Hepatocellular Carcinoma In Vitro and In Silico. J Funct Biomater [Internet]. 2023 Apr 21 [cited 2025 Jul 2];14(4):237. Available from: https://www.ncbi.nlm.nih.gov/pmc/articles/PMC10143343/</w:t>
      </w:r>
    </w:p>
    <w:p w14:paraId="3A73611B"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40.</w:t>
      </w:r>
      <w:r w:rsidRPr="00C01EAF">
        <w:rPr>
          <w:rFonts w:ascii="Arial" w:hAnsi="Arial" w:cs="Arial"/>
          <w:sz w:val="20"/>
          <w:szCs w:val="20"/>
        </w:rPr>
        <w:tab/>
        <w:t>Hafez LO, Brito-Casillas Y, Abdelmageed N, Alemán-Cabrera IM, Morad SAF, Abdel-Raheem MH, et al. The Acacia (Vachellia nilotica (L.) P.J.H. Hurter &amp; Mabb.): Traditional Uses and Recent Advances on Its Pharmacological Attributes and Potential Activities. Nutrients [Internet]. 2024 Dec 11 [cited 2025 Jul 2];16(24):4278. Available from: https://www.ncbi.nlm.nih.gov/pmc/articles/PMC11678605/</w:t>
      </w:r>
    </w:p>
    <w:p w14:paraId="77611096"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41.</w:t>
      </w:r>
      <w:r w:rsidRPr="00C01EAF">
        <w:rPr>
          <w:rFonts w:ascii="Arial" w:hAnsi="Arial" w:cs="Arial"/>
          <w:sz w:val="20"/>
          <w:szCs w:val="20"/>
        </w:rPr>
        <w:tab/>
        <w:t>Alelign T, Chalchisa D, Fekadu N, Solomon D, Sisay T, Debella A, et al. Evaluation of acute and sub-acute toxicity of selected traditional antiurolithiatic medicinal plant extracts in Wistar albino rats. Toxicol Rep [Internet]. 2020 Oct 6 [cited 2025 Jul 2];7:1356–65. Available from: https://www.ncbi.nlm.nih.gov/pmc/articles/PMC7569265/</w:t>
      </w:r>
    </w:p>
    <w:p w14:paraId="61C64B24"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lastRenderedPageBreak/>
        <w:t>42.</w:t>
      </w:r>
      <w:r w:rsidRPr="00C01EAF">
        <w:rPr>
          <w:rFonts w:ascii="Arial" w:hAnsi="Arial" w:cs="Arial"/>
          <w:sz w:val="20"/>
          <w:szCs w:val="20"/>
        </w:rPr>
        <w:tab/>
        <w:t>Ayéna ACT, Dosseh K, Idoh K, Agbonon A, Gbeassor M. Comparative Physicochemical Screening and Toxicology of Hydroethanol Extracts of the Parts of Pterocarpus santalinoides l’Hér. ex DC. (Fabaceae) in Wistar Rats. Sci World J [Internet]. 2022 Feb 25 [cited 2025 Jul 2];2022:5953094. Available from: https://www.ncbi.nlm.nih.gov/pmc/articles/PMC8896965/</w:t>
      </w:r>
    </w:p>
    <w:p w14:paraId="0F3D9FA3"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43.</w:t>
      </w:r>
      <w:r w:rsidRPr="00C01EAF">
        <w:rPr>
          <w:rFonts w:ascii="Arial" w:hAnsi="Arial" w:cs="Arial"/>
          <w:sz w:val="20"/>
          <w:szCs w:val="20"/>
        </w:rPr>
        <w:tab/>
        <w:t>Hamm J, Allen D, Ceger P, Flint T, Lowit A, O’Dell L, et al. Performance of the GHS Mixtures Equation for Predicting Acute Oral Toxicity. Regul Toxicol Pharmacol [Internet]. 2021 Oct 1 [cited 2025 Jul 2];125:105007. Available from: https://www.sciencedirect.com/science/article/pii/S0273230021001483</w:t>
      </w:r>
    </w:p>
    <w:p w14:paraId="4A21F7D9"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44.</w:t>
      </w:r>
      <w:r w:rsidRPr="00C01EAF">
        <w:rPr>
          <w:rFonts w:ascii="Arial" w:hAnsi="Arial" w:cs="Arial"/>
          <w:sz w:val="20"/>
          <w:szCs w:val="20"/>
        </w:rPr>
        <w:tab/>
        <w:t>Coones RT, Nikolic I, Eugster R, Mehn D, Tong V, Luciani P, et al. Best practice for the size analysis of nanomedicines – An iron sucrose case study. Int J Pharm [Internet]. 2025 Apr 15 [cited 2025 Jul 2];674:125452. Available from: https://www.sciencedirect.com/science/article/pii/S0378517325002881</w:t>
      </w:r>
    </w:p>
    <w:p w14:paraId="142E0C30"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45.</w:t>
      </w:r>
      <w:r w:rsidRPr="00C01EAF">
        <w:rPr>
          <w:rFonts w:ascii="Arial" w:hAnsi="Arial" w:cs="Arial"/>
          <w:sz w:val="20"/>
          <w:szCs w:val="20"/>
        </w:rPr>
        <w:tab/>
        <w:t>Ajose DJ, Abolarinwa TO, Oluwarinde BO, Balogun SA, Fayemi OE, Aremu AO, et al. Bio-control potentials of Vachellia nilotica-derived silver nanoparticle against multidrug-resistant Staphylococcus haemolyticus strains from raw milk. Discov Mater [Internet]. 2025 May 1 [cited 2025 Jul 2];5(1):80. Available from: https://doi.org/10.1007/s43939-025-00256-0</w:t>
      </w:r>
    </w:p>
    <w:p w14:paraId="4596446F"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46.</w:t>
      </w:r>
      <w:r w:rsidRPr="00C01EAF">
        <w:rPr>
          <w:rFonts w:ascii="Arial" w:hAnsi="Arial" w:cs="Arial"/>
          <w:sz w:val="20"/>
          <w:szCs w:val="20"/>
        </w:rPr>
        <w:tab/>
        <w:t>Ramzan M, Ayub F, Shah AA, Naz G, Shah AN, Malik A, et al. Synergistic Effect of Zinc Oxide Nanoparticles and Moringa oleifera Leaf Extract Alleviates Cadmium Toxicity in Linum usitatissimum: Antioxidants and Physiochemical Studies. Front Plant Sci [Internet]. 2022 Aug 2 [cited 2025 Jul 2];13:900347. Available from: https://pmc.ncbi.nlm.nih.gov/articles/PMC9380429/</w:t>
      </w:r>
    </w:p>
    <w:p w14:paraId="30CC3C9A"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47.</w:t>
      </w:r>
      <w:r w:rsidRPr="00C01EAF">
        <w:rPr>
          <w:rFonts w:ascii="Arial" w:hAnsi="Arial" w:cs="Arial"/>
          <w:sz w:val="20"/>
          <w:szCs w:val="20"/>
        </w:rPr>
        <w:tab/>
        <w:t>Sharma V, Sharma JK, Kansay V, Sharma VD, Sharma A, Kumar S, et al. The effect of calcination temperatures on the structural and optical properties of zinc oxide nanoparticles and their influence on the photocatalytic degradation of leather dye. Chem Phys Impact [Internet]. 2023 Jun 1 [cited 2025 Jul 2];6:100196. Available from: https://www.sciencedirect.com/science/article/pii/S2667022423000361</w:t>
      </w:r>
    </w:p>
    <w:p w14:paraId="263DB777"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48.</w:t>
      </w:r>
      <w:r w:rsidRPr="00C01EAF">
        <w:rPr>
          <w:rFonts w:ascii="Arial" w:hAnsi="Arial" w:cs="Arial"/>
          <w:sz w:val="20"/>
          <w:szCs w:val="20"/>
        </w:rPr>
        <w:tab/>
        <w:t xml:space="preserve">Zhu W, Hu C, Ren Y, Lu Y, Song Y, Ji Y, et al. Green synthesis of zinc oxide nanoparticles using </w:t>
      </w:r>
      <w:r w:rsidRPr="00C01EAF">
        <w:rPr>
          <w:rFonts w:ascii="Arial" w:hAnsi="Arial" w:cs="Arial"/>
          <w:i/>
          <w:iCs/>
          <w:sz w:val="20"/>
          <w:szCs w:val="20"/>
        </w:rPr>
        <w:t>Cinnamomum camphora</w:t>
      </w:r>
      <w:r w:rsidRPr="00C01EAF">
        <w:rPr>
          <w:rFonts w:ascii="Arial" w:hAnsi="Arial" w:cs="Arial"/>
          <w:sz w:val="20"/>
          <w:szCs w:val="20"/>
        </w:rPr>
        <w:t xml:space="preserve"> (L.) Presl leaf extracts and its antifungal activity. J Environ Chem Eng [Internet]. 2021 Dec 1 [cited 2025 Jul 2];9(6):106659. Available from: https://www.sciencedirect.com/science/article/pii/S2213343721016365</w:t>
      </w:r>
    </w:p>
    <w:p w14:paraId="28B409B4"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49.</w:t>
      </w:r>
      <w:r w:rsidRPr="00C01EAF">
        <w:rPr>
          <w:rFonts w:ascii="Arial" w:hAnsi="Arial" w:cs="Arial"/>
          <w:sz w:val="20"/>
          <w:szCs w:val="20"/>
        </w:rPr>
        <w:tab/>
        <w:t>Foyzun T, Mahmud AA, Ahammed MdS, Manik MdIN, Hasan MdK, Islam KM, et al. Polyphenolics with Strong Antioxidant Activity from Acacia nilotica Ameliorate Some Biochemical Signs of Arsenic-Induced Neurotoxicity and Oxidative Stress in Mice. Molecules [Internet]. 2022 Feb 3 [cited 2025 Jul 2];27(3):1037. Available from: https://www.ncbi.nlm.nih.gov/pmc/articles/PMC8840196/</w:t>
      </w:r>
    </w:p>
    <w:p w14:paraId="1DE4FE15"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50.</w:t>
      </w:r>
      <w:r w:rsidRPr="00C01EAF">
        <w:rPr>
          <w:rFonts w:ascii="Arial" w:hAnsi="Arial" w:cs="Arial"/>
          <w:sz w:val="20"/>
          <w:szCs w:val="20"/>
        </w:rPr>
        <w:tab/>
        <w:t>Bisht G, Rayamajhi S. ZnO Nanoparticles: A Promising Anticancer Agent. Nanobiomedicine [Internet]. 2016 Jan 1 [cited 2025 May 13];3:9. Available from: https://journals.sagepub.com/doi/10.5772/63437</w:t>
      </w:r>
    </w:p>
    <w:p w14:paraId="74F42E3D"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51.</w:t>
      </w:r>
      <w:r w:rsidRPr="00C01EAF">
        <w:rPr>
          <w:rFonts w:ascii="Arial" w:hAnsi="Arial" w:cs="Arial"/>
          <w:sz w:val="20"/>
          <w:szCs w:val="20"/>
        </w:rPr>
        <w:tab/>
        <w:t>Fahim M, Shahzaib A, Nishat N, Jahan A, Bhat TA, Inam A. Green synthesis of silver nanoparticles: A comprehensive review of methods, influencing factors, and applications. JCIS Open [Internet]. 2024 Dec 1 [cited 2025 Jul 2];16:100125. Available from: https://www.sciencedirect.com/science/article/pii/S2666934X24000254</w:t>
      </w:r>
    </w:p>
    <w:p w14:paraId="569EC65B"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52.</w:t>
      </w:r>
      <w:r w:rsidRPr="00C01EAF">
        <w:rPr>
          <w:rFonts w:ascii="Arial" w:hAnsi="Arial" w:cs="Arial"/>
          <w:sz w:val="20"/>
          <w:szCs w:val="20"/>
        </w:rPr>
        <w:tab/>
        <w:t>Siafaka PI, Miliotou AN, Okur ME, Karaotmarlı Güven G, Karantas ID, Üstündağ Okur N. Nanoformulations Loaded with Phytochemicals for Combating Wound Infections and Promoting Wound Healing: Current Applications and Innovations. Appl Sci [Internet]. 2025 Jan [cited 2025 Jul 2];15(10):5413. Available from: https://www.mdpi.com/2076-3417/15/10/5413</w:t>
      </w:r>
    </w:p>
    <w:p w14:paraId="242C75FD"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53.</w:t>
      </w:r>
      <w:r w:rsidRPr="00C01EAF">
        <w:rPr>
          <w:rFonts w:ascii="Arial" w:hAnsi="Arial" w:cs="Arial"/>
          <w:sz w:val="20"/>
          <w:szCs w:val="20"/>
        </w:rPr>
        <w:tab/>
        <w:t>Hoshyar N, Gray S, Han H, Bao G. The effect of nanoparticle size on in vivo pharmacokinetics and cellular interaction. Nanomed [Internet]. 2016 Mar [cited 2025 Jul 2];11(6):673–92. Available from: https://www.ncbi.nlm.nih.gov/pmc/articles/PMC5561790/</w:t>
      </w:r>
    </w:p>
    <w:p w14:paraId="58B73816"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lastRenderedPageBreak/>
        <w:t>54.</w:t>
      </w:r>
      <w:r w:rsidRPr="00C01EAF">
        <w:rPr>
          <w:rFonts w:ascii="Arial" w:hAnsi="Arial" w:cs="Arial"/>
          <w:sz w:val="20"/>
          <w:szCs w:val="20"/>
        </w:rPr>
        <w:tab/>
        <w:t>Zhou F, Peterson T, Fan Z, Wang S. The Commonly Used Stabilizers for Phytochemical-Based Nanoparticles: Stabilization Effects, Mechanisms, and Applications. Nutrients [Internet]. 2023 Jan [cited 2025 Jul 2];15(18):3881. Available from: https://www.mdpi.com/2072-6643/15/18/3881</w:t>
      </w:r>
    </w:p>
    <w:p w14:paraId="07EF8148"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55.</w:t>
      </w:r>
      <w:r w:rsidRPr="00C01EAF">
        <w:rPr>
          <w:rFonts w:ascii="Arial" w:hAnsi="Arial" w:cs="Arial"/>
          <w:sz w:val="20"/>
          <w:szCs w:val="20"/>
        </w:rPr>
        <w:tab/>
        <w:t>Anwar T, Safdar A, Qureshi H, Siddiqi EH, Ullah N, Naseem MT, et al. Synergistic effects of Vachellia nilotica-derived zinc oxide nanoparticles and melatonin on drought tolerance in Fragaria × ananassa. BMC Plant Biol [Internet]. 2025 Jan 22 [cited 2025 Jul 2];25(1):82. Available from: https://doi.org/10.1186/s12870-025-06114-8</w:t>
      </w:r>
    </w:p>
    <w:p w14:paraId="0A3F601B"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56.</w:t>
      </w:r>
      <w:r w:rsidRPr="00C01EAF">
        <w:rPr>
          <w:rFonts w:ascii="Arial" w:hAnsi="Arial" w:cs="Arial"/>
          <w:sz w:val="20"/>
          <w:szCs w:val="20"/>
        </w:rPr>
        <w:tab/>
        <w:t>Wang L, Chen G, Yang Y, Xu C, Zhu L, Yang H, et al. Advancing Polyphenol-Based Nanomedicine for Inflammatory Bowel Disease: Challenges and Opportunities. J Inflamm Res [Internet]. 2024 Nov 27 [cited 2025 Jul 2];17:9889–904. Available from: https://www.ncbi.nlm.nih.gov/pmc/articles/PMC11610386/</w:t>
      </w:r>
    </w:p>
    <w:p w14:paraId="3C56A115"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57.</w:t>
      </w:r>
      <w:r w:rsidRPr="00C01EAF">
        <w:rPr>
          <w:rFonts w:ascii="Arial" w:hAnsi="Arial" w:cs="Arial"/>
          <w:sz w:val="20"/>
          <w:szCs w:val="20"/>
        </w:rPr>
        <w:tab/>
        <w:t>Perumalsamy H, Balusamy SR, Sukweenadhi J, Nag S, MubarakAli D, El-Agamy Farh M, et al. A comprehensive review on Moringa oleifera nanoparticles: importance of polyphenols in nanoparticle synthesis, nanoparticle efficacy and their applications. J Nanobiotechnology [Internet]. 2024 Feb 19 [cited 2025 Jul 2];22:71. Available from: https://www.ncbi.nlm.nih.gov/pmc/articles/PMC10877787/</w:t>
      </w:r>
    </w:p>
    <w:p w14:paraId="626E8216"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58.</w:t>
      </w:r>
      <w:r w:rsidRPr="00C01EAF">
        <w:rPr>
          <w:rFonts w:ascii="Arial" w:hAnsi="Arial" w:cs="Arial"/>
          <w:sz w:val="20"/>
          <w:szCs w:val="20"/>
        </w:rPr>
        <w:tab/>
        <w:t>Zhuo Y, Zhao YG, Zhang Y. Enhancing Drug Solubility, Bioavailability, and Targeted Therapeutic Applications through Magnetic Nanoparticles. Molecules [Internet]. 2024 Jan [cited 2025 Jul 2];29(20):4854. Available from: https://www.mdpi.com/1420-3049/29/20/4854</w:t>
      </w:r>
    </w:p>
    <w:p w14:paraId="213B4B74" w14:textId="41D6E927" w:rsidR="00091807" w:rsidRPr="00C01EAF" w:rsidRDefault="00091807" w:rsidP="00091807">
      <w:pPr>
        <w:spacing w:line="240" w:lineRule="auto"/>
        <w:contextualSpacing/>
        <w:jc w:val="both"/>
        <w:rPr>
          <w:rFonts w:ascii="Arial" w:hAnsi="Arial" w:cs="Arial"/>
          <w:sz w:val="20"/>
          <w:szCs w:val="20"/>
        </w:rPr>
      </w:pPr>
      <w:r w:rsidRPr="00C01EAF">
        <w:rPr>
          <w:rFonts w:ascii="Arial" w:hAnsi="Arial" w:cs="Arial"/>
          <w:iCs/>
          <w:sz w:val="20"/>
          <w:szCs w:val="20"/>
          <w:lang w:val="en-ZW"/>
        </w:rPr>
        <w:fldChar w:fldCharType="end"/>
      </w:r>
    </w:p>
    <w:p w14:paraId="11B942E2" w14:textId="37DBCE47" w:rsidR="00C91D4C" w:rsidRPr="00C01EAF" w:rsidRDefault="00C91D4C" w:rsidP="00091807">
      <w:pPr>
        <w:spacing w:line="240" w:lineRule="auto"/>
        <w:jc w:val="both"/>
        <w:rPr>
          <w:rFonts w:ascii="Arial" w:hAnsi="Arial" w:cs="Arial"/>
          <w:sz w:val="20"/>
          <w:szCs w:val="20"/>
          <w:highlight w:val="yellow"/>
        </w:rPr>
      </w:pPr>
    </w:p>
    <w:sectPr w:rsidR="00C91D4C" w:rsidRPr="00C01EAF">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C023A" w14:textId="77777777" w:rsidR="006B0568" w:rsidRDefault="006B0568">
      <w:pPr>
        <w:spacing w:after="0" w:line="240" w:lineRule="auto"/>
      </w:pPr>
      <w:r>
        <w:separator/>
      </w:r>
    </w:p>
  </w:endnote>
  <w:endnote w:type="continuationSeparator" w:id="0">
    <w:p w14:paraId="7074EAA0" w14:textId="77777777" w:rsidR="006B0568" w:rsidRDefault="006B0568">
      <w:pPr>
        <w:spacing w:after="0" w:line="240" w:lineRule="auto"/>
      </w:pPr>
      <w:r>
        <w:continuationSeparator/>
      </w:r>
    </w:p>
  </w:endnote>
  <w:endnote w:type="continuationNotice" w:id="1">
    <w:p w14:paraId="22F36526" w14:textId="77777777" w:rsidR="006B0568" w:rsidRDefault="006B05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inionPro-It">
    <w:altName w:val="Arial"/>
    <w:charset w:val="A1"/>
    <w:family w:val="swiss"/>
    <w:pitch w:val="default"/>
    <w:sig w:usb0="00000000" w:usb1="00000000" w:usb2="00000000" w:usb3="00000000" w:csb0="00000009"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34EDE" w14:textId="77777777" w:rsidR="0017524F" w:rsidRDefault="001752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4179548"/>
      <w:docPartObj>
        <w:docPartGallery w:val="Page Numbers (Bottom of Page)"/>
        <w:docPartUnique/>
      </w:docPartObj>
    </w:sdtPr>
    <w:sdtEndPr>
      <w:rPr>
        <w:noProof/>
      </w:rPr>
    </w:sdtEndPr>
    <w:sdtContent>
      <w:p w14:paraId="5F338689" w14:textId="3156DF74" w:rsidR="000D7BA3" w:rsidRDefault="000D7BA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5B01AB" w14:textId="77777777" w:rsidR="000D7BA3" w:rsidRDefault="000D7B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8B6E8" w14:textId="77777777" w:rsidR="0017524F" w:rsidRDefault="001752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1E62AF" w14:textId="77777777" w:rsidR="006B0568" w:rsidRDefault="006B0568">
      <w:pPr>
        <w:spacing w:after="0" w:line="240" w:lineRule="auto"/>
      </w:pPr>
      <w:r>
        <w:separator/>
      </w:r>
    </w:p>
  </w:footnote>
  <w:footnote w:type="continuationSeparator" w:id="0">
    <w:p w14:paraId="4F900FA7" w14:textId="77777777" w:rsidR="006B0568" w:rsidRDefault="006B0568">
      <w:pPr>
        <w:spacing w:after="0" w:line="240" w:lineRule="auto"/>
      </w:pPr>
      <w:r>
        <w:continuationSeparator/>
      </w:r>
    </w:p>
  </w:footnote>
  <w:footnote w:type="continuationNotice" w:id="1">
    <w:p w14:paraId="1C7C6673" w14:textId="77777777" w:rsidR="006B0568" w:rsidRDefault="006B056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BAE0D" w14:textId="61C6ADE6" w:rsidR="0017524F" w:rsidRDefault="0017524F">
    <w:pPr>
      <w:pStyle w:val="Header"/>
    </w:pPr>
    <w:r>
      <w:rPr>
        <w:noProof/>
      </w:rPr>
      <w:pict w14:anchorId="241F59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59470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1F047" w14:textId="0A75C52B" w:rsidR="0017524F" w:rsidRDefault="0017524F">
    <w:pPr>
      <w:pStyle w:val="Header"/>
    </w:pPr>
    <w:r>
      <w:rPr>
        <w:noProof/>
      </w:rPr>
      <w:pict w14:anchorId="7EF7FB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59470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8261B" w14:textId="67B16456" w:rsidR="0017524F" w:rsidRDefault="0017524F">
    <w:pPr>
      <w:pStyle w:val="Header"/>
    </w:pPr>
    <w:r>
      <w:rPr>
        <w:noProof/>
      </w:rPr>
      <w:pict w14:anchorId="526E2C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59470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4"/>
    <w:lvl w:ilvl="0">
      <w:start w:val="1"/>
      <w:numFmt w:val="decimal"/>
      <w:lvlText w:val="%1."/>
      <w:lvlJc w:val="left"/>
      <w:pPr>
        <w:ind w:left="9575" w:hanging="360"/>
      </w:pPr>
    </w:lvl>
    <w:lvl w:ilvl="1">
      <w:start w:val="1"/>
      <w:numFmt w:val="lowerLetter"/>
      <w:lvlText w:val="%2."/>
      <w:lvlJc w:val="left"/>
      <w:pPr>
        <w:ind w:left="10295" w:hanging="360"/>
      </w:pPr>
    </w:lvl>
    <w:lvl w:ilvl="2">
      <w:start w:val="1"/>
      <w:numFmt w:val="lowerRoman"/>
      <w:lvlText w:val="%3."/>
      <w:lvlJc w:val="right"/>
      <w:pPr>
        <w:ind w:left="11015" w:hanging="180"/>
      </w:pPr>
    </w:lvl>
    <w:lvl w:ilvl="3">
      <w:start w:val="1"/>
      <w:numFmt w:val="decimal"/>
      <w:lvlText w:val="%4."/>
      <w:lvlJc w:val="left"/>
      <w:pPr>
        <w:ind w:left="11735" w:hanging="360"/>
      </w:pPr>
    </w:lvl>
    <w:lvl w:ilvl="4">
      <w:start w:val="1"/>
      <w:numFmt w:val="lowerLetter"/>
      <w:lvlText w:val="%5."/>
      <w:lvlJc w:val="left"/>
      <w:pPr>
        <w:ind w:left="12455" w:hanging="360"/>
      </w:pPr>
    </w:lvl>
    <w:lvl w:ilvl="5">
      <w:start w:val="1"/>
      <w:numFmt w:val="lowerRoman"/>
      <w:lvlText w:val="%6."/>
      <w:lvlJc w:val="right"/>
      <w:pPr>
        <w:ind w:left="13175" w:hanging="180"/>
      </w:pPr>
    </w:lvl>
    <w:lvl w:ilvl="6">
      <w:start w:val="1"/>
      <w:numFmt w:val="decimal"/>
      <w:lvlText w:val="%7."/>
      <w:lvlJc w:val="left"/>
      <w:pPr>
        <w:ind w:left="13895" w:hanging="360"/>
      </w:pPr>
    </w:lvl>
    <w:lvl w:ilvl="7">
      <w:start w:val="1"/>
      <w:numFmt w:val="lowerLetter"/>
      <w:lvlText w:val="%8."/>
      <w:lvlJc w:val="left"/>
      <w:pPr>
        <w:ind w:left="14615" w:hanging="360"/>
      </w:pPr>
    </w:lvl>
    <w:lvl w:ilvl="8">
      <w:start w:val="1"/>
      <w:numFmt w:val="lowerRoman"/>
      <w:lvlText w:val="%9."/>
      <w:lvlJc w:val="right"/>
      <w:pPr>
        <w:ind w:left="15335" w:hanging="180"/>
      </w:pPr>
    </w:lvl>
  </w:abstractNum>
  <w:abstractNum w:abstractNumId="1" w15:restartNumberingAfterBreak="0">
    <w:nsid w:val="00000002"/>
    <w:multiLevelType w:val="hybridMultilevel"/>
    <w:tmpl w:val="89AC18B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0000003"/>
    <w:multiLevelType w:val="multilevel"/>
    <w:tmpl w:val="52170111"/>
    <w:lvl w:ilvl="0">
      <w:start w:val="1"/>
      <w:numFmt w:val="decimal"/>
      <w:lvlText w:val="%1"/>
      <w:lvlJc w:val="left"/>
      <w:pPr>
        <w:ind w:left="432" w:hanging="432"/>
      </w:pPr>
      <w:rPr>
        <w:sz w:val="24"/>
      </w:rPr>
    </w:lvl>
    <w:lvl w:ilvl="1">
      <w:start w:val="1"/>
      <w:numFmt w:val="decimal"/>
      <w:lvlText w:val="%1.%2"/>
      <w:lvlJc w:val="left"/>
      <w:pPr>
        <w:ind w:left="3552" w:hanging="576"/>
      </w:pPr>
    </w:lvl>
    <w:lvl w:ilvl="2">
      <w:start w:val="1"/>
      <w:numFmt w:val="decimal"/>
      <w:lvlText w:val="%1.%2.%3"/>
      <w:lvlJc w:val="left"/>
      <w:pPr>
        <w:ind w:left="6391" w:hanging="720"/>
      </w:pPr>
    </w:lvl>
    <w:lvl w:ilvl="3">
      <w:start w:val="1"/>
      <w:numFmt w:val="decimal"/>
      <w:lvlText w:val="%1.%2.%3.%4"/>
      <w:lvlJc w:val="left"/>
      <w:pPr>
        <w:ind w:left="4267" w:hanging="864"/>
      </w:pPr>
      <w:rPr>
        <w:rFonts w:ascii="Times New Roman" w:hAnsi="Times New Roman" w:cs="Times New Roman"/>
        <w:b w:val="0"/>
        <w:bCs w:val="0"/>
        <w:i w:val="0"/>
        <w:iCs w:val="0"/>
        <w:caps w:val="0"/>
        <w:smallCaps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0000004"/>
    <w:multiLevelType w:val="multilevel"/>
    <w:tmpl w:val="A06CE4E4"/>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4" w15:restartNumberingAfterBreak="0">
    <w:nsid w:val="0D6179A9"/>
    <w:multiLevelType w:val="hybridMultilevel"/>
    <w:tmpl w:val="89AC18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3FB1C6C"/>
    <w:multiLevelType w:val="hybridMultilevel"/>
    <w:tmpl w:val="8B4A2BBA"/>
    <w:lvl w:ilvl="0" w:tplc="8F5A120A">
      <w:start w:val="24"/>
      <w:numFmt w:val="decimal"/>
      <w:lvlText w:val="%1."/>
      <w:lvlJc w:val="left"/>
      <w:pPr>
        <w:ind w:left="1080" w:hanging="360"/>
      </w:pPr>
      <w:rPr>
        <w:rFonts w:hint="default"/>
      </w:rPr>
    </w:lvl>
    <w:lvl w:ilvl="1" w:tplc="30090019" w:tentative="1">
      <w:start w:val="1"/>
      <w:numFmt w:val="lowerLetter"/>
      <w:lvlText w:val="%2."/>
      <w:lvlJc w:val="left"/>
      <w:pPr>
        <w:ind w:left="1800" w:hanging="360"/>
      </w:pPr>
    </w:lvl>
    <w:lvl w:ilvl="2" w:tplc="3009001B" w:tentative="1">
      <w:start w:val="1"/>
      <w:numFmt w:val="lowerRoman"/>
      <w:lvlText w:val="%3."/>
      <w:lvlJc w:val="right"/>
      <w:pPr>
        <w:ind w:left="2520" w:hanging="180"/>
      </w:pPr>
    </w:lvl>
    <w:lvl w:ilvl="3" w:tplc="3009000F" w:tentative="1">
      <w:start w:val="1"/>
      <w:numFmt w:val="decimal"/>
      <w:lvlText w:val="%4."/>
      <w:lvlJc w:val="left"/>
      <w:pPr>
        <w:ind w:left="3240" w:hanging="360"/>
      </w:pPr>
    </w:lvl>
    <w:lvl w:ilvl="4" w:tplc="30090019" w:tentative="1">
      <w:start w:val="1"/>
      <w:numFmt w:val="lowerLetter"/>
      <w:lvlText w:val="%5."/>
      <w:lvlJc w:val="left"/>
      <w:pPr>
        <w:ind w:left="3960" w:hanging="360"/>
      </w:pPr>
    </w:lvl>
    <w:lvl w:ilvl="5" w:tplc="3009001B" w:tentative="1">
      <w:start w:val="1"/>
      <w:numFmt w:val="lowerRoman"/>
      <w:lvlText w:val="%6."/>
      <w:lvlJc w:val="right"/>
      <w:pPr>
        <w:ind w:left="4680" w:hanging="180"/>
      </w:pPr>
    </w:lvl>
    <w:lvl w:ilvl="6" w:tplc="3009000F" w:tentative="1">
      <w:start w:val="1"/>
      <w:numFmt w:val="decimal"/>
      <w:lvlText w:val="%7."/>
      <w:lvlJc w:val="left"/>
      <w:pPr>
        <w:ind w:left="5400" w:hanging="360"/>
      </w:pPr>
    </w:lvl>
    <w:lvl w:ilvl="7" w:tplc="30090019" w:tentative="1">
      <w:start w:val="1"/>
      <w:numFmt w:val="lowerLetter"/>
      <w:lvlText w:val="%8."/>
      <w:lvlJc w:val="left"/>
      <w:pPr>
        <w:ind w:left="6120" w:hanging="360"/>
      </w:pPr>
    </w:lvl>
    <w:lvl w:ilvl="8" w:tplc="3009001B" w:tentative="1">
      <w:start w:val="1"/>
      <w:numFmt w:val="lowerRoman"/>
      <w:lvlText w:val="%9."/>
      <w:lvlJc w:val="right"/>
      <w:pPr>
        <w:ind w:left="6840" w:hanging="180"/>
      </w:pPr>
    </w:lvl>
  </w:abstractNum>
  <w:abstractNum w:abstractNumId="6" w15:restartNumberingAfterBreak="0">
    <w:nsid w:val="54743069"/>
    <w:multiLevelType w:val="multilevel"/>
    <w:tmpl w:val="D5F22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A605DA9"/>
    <w:multiLevelType w:val="multilevel"/>
    <w:tmpl w:val="CAA25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C7A750F"/>
    <w:multiLevelType w:val="multilevel"/>
    <w:tmpl w:val="00000001"/>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69012BBF"/>
    <w:multiLevelType w:val="multilevel"/>
    <w:tmpl w:val="EDC07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AD5451E"/>
    <w:multiLevelType w:val="hybridMultilevel"/>
    <w:tmpl w:val="9B1E59C6"/>
    <w:lvl w:ilvl="0" w:tplc="3009001B">
      <w:start w:val="1"/>
      <w:numFmt w:val="lowerRoman"/>
      <w:lvlText w:val="%1."/>
      <w:lvlJc w:val="righ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1" w15:restartNumberingAfterBreak="0">
    <w:nsid w:val="70874198"/>
    <w:multiLevelType w:val="multilevel"/>
    <w:tmpl w:val="270C8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0"/>
  </w:num>
  <w:num w:numId="3">
    <w:abstractNumId w:val="3"/>
  </w:num>
  <w:num w:numId="4">
    <w:abstractNumId w:val="2"/>
  </w:num>
  <w:num w:numId="5">
    <w:abstractNumId w:val="1"/>
  </w:num>
  <w:num w:numId="6">
    <w:abstractNumId w:val="5"/>
  </w:num>
  <w:num w:numId="7">
    <w:abstractNumId w:val="4"/>
  </w:num>
  <w:num w:numId="8">
    <w:abstractNumId w:val="9"/>
  </w:num>
  <w:num w:numId="9">
    <w:abstractNumId w:val="6"/>
  </w:num>
  <w:num w:numId="10">
    <w:abstractNumId w:val="7"/>
  </w:num>
  <w:num w:numId="11">
    <w:abstractNumId w:val="11"/>
  </w:num>
  <w:num w:numId="12">
    <w:abstractNumId w:val="8"/>
  </w:num>
  <w:num w:numId="13">
    <w:abstractNumId w:val="8"/>
  </w:num>
  <w:num w:numId="14">
    <w:abstractNumId w:val="8"/>
  </w:num>
  <w:num w:numId="15">
    <w:abstractNumId w:val="8"/>
  </w:num>
  <w:num w:numId="16">
    <w:abstractNumId w:val="8"/>
  </w:num>
  <w:num w:numId="17">
    <w:abstractNumId w:val="8"/>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D4C"/>
    <w:rsid w:val="00017F17"/>
    <w:rsid w:val="00043E8A"/>
    <w:rsid w:val="00044032"/>
    <w:rsid w:val="000441FF"/>
    <w:rsid w:val="00046D7F"/>
    <w:rsid w:val="0008437D"/>
    <w:rsid w:val="00091807"/>
    <w:rsid w:val="00093382"/>
    <w:rsid w:val="000A0C9B"/>
    <w:rsid w:val="000A6CA4"/>
    <w:rsid w:val="000B1070"/>
    <w:rsid w:val="000B771F"/>
    <w:rsid w:val="000D7BA3"/>
    <w:rsid w:val="000F1922"/>
    <w:rsid w:val="00107DE7"/>
    <w:rsid w:val="001368C2"/>
    <w:rsid w:val="001371BD"/>
    <w:rsid w:val="0016087A"/>
    <w:rsid w:val="00162290"/>
    <w:rsid w:val="0016692A"/>
    <w:rsid w:val="001725C0"/>
    <w:rsid w:val="0017524F"/>
    <w:rsid w:val="0018052B"/>
    <w:rsid w:val="00180C9D"/>
    <w:rsid w:val="001B7FA2"/>
    <w:rsid w:val="00204987"/>
    <w:rsid w:val="002105A2"/>
    <w:rsid w:val="00216FEB"/>
    <w:rsid w:val="0022376D"/>
    <w:rsid w:val="00234B05"/>
    <w:rsid w:val="00237CF8"/>
    <w:rsid w:val="00254000"/>
    <w:rsid w:val="00275824"/>
    <w:rsid w:val="00280E48"/>
    <w:rsid w:val="002929FE"/>
    <w:rsid w:val="002C7AF1"/>
    <w:rsid w:val="002D1DCB"/>
    <w:rsid w:val="002D6194"/>
    <w:rsid w:val="002E0029"/>
    <w:rsid w:val="002E3F77"/>
    <w:rsid w:val="0033031E"/>
    <w:rsid w:val="0035552A"/>
    <w:rsid w:val="00364018"/>
    <w:rsid w:val="00370DBF"/>
    <w:rsid w:val="00382DB5"/>
    <w:rsid w:val="0039553B"/>
    <w:rsid w:val="003A4BEC"/>
    <w:rsid w:val="003B03AC"/>
    <w:rsid w:val="003C2FC3"/>
    <w:rsid w:val="003E6797"/>
    <w:rsid w:val="003F701F"/>
    <w:rsid w:val="00402AEE"/>
    <w:rsid w:val="004124A0"/>
    <w:rsid w:val="00440A3F"/>
    <w:rsid w:val="0044237E"/>
    <w:rsid w:val="0045663D"/>
    <w:rsid w:val="00471ED0"/>
    <w:rsid w:val="004A1563"/>
    <w:rsid w:val="004B331B"/>
    <w:rsid w:val="004B37E1"/>
    <w:rsid w:val="004B6546"/>
    <w:rsid w:val="004C61B4"/>
    <w:rsid w:val="004D4993"/>
    <w:rsid w:val="004F689C"/>
    <w:rsid w:val="00510A5C"/>
    <w:rsid w:val="00533C2A"/>
    <w:rsid w:val="00540D39"/>
    <w:rsid w:val="00541A25"/>
    <w:rsid w:val="0055256B"/>
    <w:rsid w:val="005606F9"/>
    <w:rsid w:val="00563F1C"/>
    <w:rsid w:val="00575137"/>
    <w:rsid w:val="00576C0D"/>
    <w:rsid w:val="00580F37"/>
    <w:rsid w:val="005A5516"/>
    <w:rsid w:val="005B23B1"/>
    <w:rsid w:val="005B3C32"/>
    <w:rsid w:val="005F7DDD"/>
    <w:rsid w:val="0063614F"/>
    <w:rsid w:val="00667C84"/>
    <w:rsid w:val="006902EA"/>
    <w:rsid w:val="006A5B4C"/>
    <w:rsid w:val="006B0568"/>
    <w:rsid w:val="006B438A"/>
    <w:rsid w:val="006C0336"/>
    <w:rsid w:val="006E6C65"/>
    <w:rsid w:val="006F303D"/>
    <w:rsid w:val="006F7D28"/>
    <w:rsid w:val="00710526"/>
    <w:rsid w:val="00712C47"/>
    <w:rsid w:val="0073522A"/>
    <w:rsid w:val="00736F92"/>
    <w:rsid w:val="00740FCD"/>
    <w:rsid w:val="007508A3"/>
    <w:rsid w:val="007669B7"/>
    <w:rsid w:val="007830E2"/>
    <w:rsid w:val="007A15AB"/>
    <w:rsid w:val="007A248A"/>
    <w:rsid w:val="007A3E6A"/>
    <w:rsid w:val="007B69B0"/>
    <w:rsid w:val="007D5585"/>
    <w:rsid w:val="007F795C"/>
    <w:rsid w:val="00812C01"/>
    <w:rsid w:val="00821D7C"/>
    <w:rsid w:val="00822B34"/>
    <w:rsid w:val="00830A4D"/>
    <w:rsid w:val="00855EBE"/>
    <w:rsid w:val="008A015A"/>
    <w:rsid w:val="008A04AA"/>
    <w:rsid w:val="008C2E22"/>
    <w:rsid w:val="008E1BC9"/>
    <w:rsid w:val="009033D5"/>
    <w:rsid w:val="00906FEE"/>
    <w:rsid w:val="00932CA4"/>
    <w:rsid w:val="00974443"/>
    <w:rsid w:val="00987637"/>
    <w:rsid w:val="00990047"/>
    <w:rsid w:val="009B53A2"/>
    <w:rsid w:val="009D0368"/>
    <w:rsid w:val="009D6477"/>
    <w:rsid w:val="009E2F3F"/>
    <w:rsid w:val="009E7B38"/>
    <w:rsid w:val="00A0239F"/>
    <w:rsid w:val="00A12464"/>
    <w:rsid w:val="00A12C9D"/>
    <w:rsid w:val="00A30D7C"/>
    <w:rsid w:val="00A56E47"/>
    <w:rsid w:val="00A730C1"/>
    <w:rsid w:val="00A73117"/>
    <w:rsid w:val="00A95D21"/>
    <w:rsid w:val="00AA6063"/>
    <w:rsid w:val="00AA7D13"/>
    <w:rsid w:val="00AB04AA"/>
    <w:rsid w:val="00AB50DC"/>
    <w:rsid w:val="00AC027C"/>
    <w:rsid w:val="00AD70F1"/>
    <w:rsid w:val="00AE5DCC"/>
    <w:rsid w:val="00B05C99"/>
    <w:rsid w:val="00B26CEE"/>
    <w:rsid w:val="00B3623E"/>
    <w:rsid w:val="00B42C66"/>
    <w:rsid w:val="00B90F3C"/>
    <w:rsid w:val="00BA6599"/>
    <w:rsid w:val="00BB5182"/>
    <w:rsid w:val="00BE2F0F"/>
    <w:rsid w:val="00BE4E31"/>
    <w:rsid w:val="00BF192E"/>
    <w:rsid w:val="00BF2E8C"/>
    <w:rsid w:val="00C01EAF"/>
    <w:rsid w:val="00C0739E"/>
    <w:rsid w:val="00C14CA5"/>
    <w:rsid w:val="00C24BCA"/>
    <w:rsid w:val="00C40088"/>
    <w:rsid w:val="00C44819"/>
    <w:rsid w:val="00C462D5"/>
    <w:rsid w:val="00C743AC"/>
    <w:rsid w:val="00C84F84"/>
    <w:rsid w:val="00C91D4C"/>
    <w:rsid w:val="00CA3055"/>
    <w:rsid w:val="00CA322C"/>
    <w:rsid w:val="00CA4FD9"/>
    <w:rsid w:val="00CB5AF9"/>
    <w:rsid w:val="00CF30B0"/>
    <w:rsid w:val="00CF36A5"/>
    <w:rsid w:val="00CF3C34"/>
    <w:rsid w:val="00CF5412"/>
    <w:rsid w:val="00CF7B8D"/>
    <w:rsid w:val="00D06A64"/>
    <w:rsid w:val="00D1514A"/>
    <w:rsid w:val="00D24820"/>
    <w:rsid w:val="00D35B21"/>
    <w:rsid w:val="00D41FAE"/>
    <w:rsid w:val="00D476C0"/>
    <w:rsid w:val="00D55165"/>
    <w:rsid w:val="00D70E55"/>
    <w:rsid w:val="00D72E38"/>
    <w:rsid w:val="00D74D59"/>
    <w:rsid w:val="00D76B79"/>
    <w:rsid w:val="00D91BA0"/>
    <w:rsid w:val="00D936AD"/>
    <w:rsid w:val="00DC7B97"/>
    <w:rsid w:val="00DE475E"/>
    <w:rsid w:val="00DE76A5"/>
    <w:rsid w:val="00E00723"/>
    <w:rsid w:val="00E05A30"/>
    <w:rsid w:val="00E305BA"/>
    <w:rsid w:val="00E45BD7"/>
    <w:rsid w:val="00E51ABE"/>
    <w:rsid w:val="00E53E8C"/>
    <w:rsid w:val="00E807B6"/>
    <w:rsid w:val="00EB2F40"/>
    <w:rsid w:val="00EC0EB5"/>
    <w:rsid w:val="00EE2A7E"/>
    <w:rsid w:val="00F10C6A"/>
    <w:rsid w:val="00F24684"/>
    <w:rsid w:val="00F24EDE"/>
    <w:rsid w:val="00F27C58"/>
    <w:rsid w:val="00F40024"/>
    <w:rsid w:val="00F4515A"/>
    <w:rsid w:val="00F47EC0"/>
    <w:rsid w:val="00F5204F"/>
    <w:rsid w:val="00F60ED2"/>
    <w:rsid w:val="00F65FD5"/>
    <w:rsid w:val="00F7299E"/>
    <w:rsid w:val="00F75527"/>
    <w:rsid w:val="00FA5517"/>
    <w:rsid w:val="00FF45B6"/>
  </w:rsids>
  <m:mathPr>
    <m:mathFont m:val="Cambria Math"/>
    <m:brkBin m:val="before"/>
    <m:brkBinSub m:val="--"/>
    <m:smallFrac m:val="0"/>
    <m:dispDef/>
    <m:lMargin m:val="0"/>
    <m:rMargin m:val="0"/>
    <m:defJc m:val="centerGroup"/>
    <m:wrapIndent m:val="1440"/>
    <m:intLim m:val="subSup"/>
    <m:naryLim m:val="undOvr"/>
  </m:mathPr>
  <w:themeFontLang w:val="en-Z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BFB6B19"/>
  <w15:docId w15:val="{1F1D280B-72C1-410B-ADE5-CF83BF6DE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ZW" w:eastAsia="en-Z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val="en-ZA" w:eastAsia="en-US"/>
    </w:rPr>
  </w:style>
  <w:style w:type="paragraph" w:styleId="Heading1">
    <w:name w:val="heading 1"/>
    <w:basedOn w:val="Normal"/>
    <w:next w:val="Normal"/>
    <w:link w:val="Heading1Char"/>
    <w:autoRedefine/>
    <w:uiPriority w:val="9"/>
    <w:qFormat/>
    <w:rsid w:val="0035552A"/>
    <w:pPr>
      <w:keepNext/>
      <w:keepLines/>
      <w:numPr>
        <w:numId w:val="1"/>
      </w:numPr>
      <w:spacing w:before="240" w:after="0"/>
      <w:outlineLvl w:val="0"/>
    </w:pPr>
    <w:rPr>
      <w:rFonts w:ascii="Arial" w:eastAsiaTheme="majorEastAsia" w:hAnsi="Arial" w:cstheme="majorBidi"/>
      <w:sz w:val="28"/>
      <w:szCs w:val="32"/>
    </w:rPr>
  </w:style>
  <w:style w:type="paragraph" w:styleId="Heading2">
    <w:name w:val="heading 2"/>
    <w:basedOn w:val="Normal"/>
    <w:next w:val="Normal"/>
    <w:link w:val="Heading2Char"/>
    <w:uiPriority w:val="9"/>
    <w:unhideWhenUsed/>
    <w:qFormat/>
    <w:rsid w:val="003A4BEC"/>
    <w:pPr>
      <w:keepNext/>
      <w:keepLines/>
      <w:numPr>
        <w:ilvl w:val="1"/>
        <w:numId w:val="1"/>
      </w:numPr>
      <w:spacing w:before="40" w:after="0"/>
      <w:outlineLvl w:val="1"/>
    </w:pPr>
    <w:rPr>
      <w:rFonts w:ascii="Arial" w:eastAsiaTheme="majorEastAsia" w:hAnsi="Arial" w:cstheme="majorBidi"/>
      <w:sz w:val="24"/>
      <w:szCs w:val="26"/>
    </w:rPr>
  </w:style>
  <w:style w:type="paragraph" w:styleId="Heading3">
    <w:name w:val="heading 3"/>
    <w:basedOn w:val="Normal"/>
    <w:next w:val="Normal"/>
    <w:link w:val="Heading3Char"/>
    <w:uiPriority w:val="9"/>
    <w:unhideWhenUsed/>
    <w:qFormat/>
    <w:rsid w:val="00CA3055"/>
    <w:pPr>
      <w:keepNext/>
      <w:keepLines/>
      <w:numPr>
        <w:ilvl w:val="2"/>
        <w:numId w:val="1"/>
      </w:numPr>
      <w:spacing w:before="40" w:after="0"/>
      <w:outlineLvl w:val="2"/>
    </w:pPr>
    <w:rPr>
      <w:rFonts w:ascii="Arial" w:eastAsiaTheme="majorEastAsia" w:hAnsi="Arial" w:cstheme="majorBidi"/>
      <w:i/>
      <w:sz w:val="20"/>
      <w:szCs w:val="24"/>
    </w:rPr>
  </w:style>
  <w:style w:type="paragraph" w:styleId="Heading4">
    <w:name w:val="heading 4"/>
    <w:basedOn w:val="Normal"/>
    <w:next w:val="Normal"/>
    <w:link w:val="Heading4Char"/>
    <w:uiPriority w:val="9"/>
    <w:semiHidden/>
    <w:unhideWhenUsed/>
    <w:qFormat/>
    <w:pPr>
      <w:keepNext/>
      <w:keepLines/>
      <w:numPr>
        <w:ilvl w:val="3"/>
        <w:numId w:val="1"/>
      </w:numPr>
      <w:spacing w:before="40" w:after="0"/>
      <w:outlineLvl w:val="3"/>
    </w:pPr>
    <w:rPr>
      <w:rFonts w:asciiTheme="majorHAnsi" w:eastAsiaTheme="majorEastAsia" w:hAnsiTheme="majorHAnsi" w:cstheme="majorBidi"/>
      <w:i/>
      <w:iCs/>
      <w:color w:val="2F5496"/>
    </w:rPr>
  </w:style>
  <w:style w:type="paragraph" w:styleId="Heading5">
    <w:name w:val="heading 5"/>
    <w:basedOn w:val="Normal"/>
    <w:next w:val="Normal"/>
    <w:link w:val="Heading5Char"/>
    <w:uiPriority w:val="9"/>
    <w:semiHidden/>
    <w:unhideWhenUsed/>
    <w:qFormat/>
    <w:pPr>
      <w:keepNext/>
      <w:keepLines/>
      <w:numPr>
        <w:ilvl w:val="4"/>
        <w:numId w:val="1"/>
      </w:numPr>
      <w:spacing w:before="40" w:after="0"/>
      <w:outlineLvl w:val="4"/>
    </w:pPr>
    <w:rPr>
      <w:rFonts w:asciiTheme="majorHAnsi" w:eastAsiaTheme="majorEastAsia" w:hAnsiTheme="majorHAnsi" w:cstheme="majorBidi"/>
      <w:color w:val="2F5496"/>
    </w:rPr>
  </w:style>
  <w:style w:type="paragraph" w:styleId="Heading6">
    <w:name w:val="heading 6"/>
    <w:basedOn w:val="Normal"/>
    <w:next w:val="Normal"/>
    <w:link w:val="Heading6Char"/>
    <w:uiPriority w:val="9"/>
    <w:semiHidden/>
    <w:unhideWhenUsed/>
    <w:qFormat/>
    <w:pPr>
      <w:keepNext/>
      <w:keepLines/>
      <w:numPr>
        <w:ilvl w:val="5"/>
        <w:numId w:val="1"/>
      </w:numPr>
      <w:spacing w:before="40" w:after="0"/>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qFormat/>
    <w:pPr>
      <w:keepNext/>
      <w:keepLines/>
      <w:numPr>
        <w:ilvl w:val="6"/>
        <w:numId w:val="1"/>
      </w:numPr>
      <w:spacing w:before="40" w:after="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qFormat/>
    <w:pPr>
      <w:keepNext/>
      <w:keepLines/>
      <w:numPr>
        <w:ilvl w:val="7"/>
        <w:numId w:val="1"/>
      </w:numPr>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qFormat/>
    <w:pPr>
      <w:keepNext/>
      <w:keepLines/>
      <w:numPr>
        <w:ilvl w:val="8"/>
        <w:numId w:val="1"/>
      </w:numPr>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qFormat/>
    <w:rPr>
      <w:color w:val="0563C1"/>
      <w:u w:val="single"/>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TOC1">
    <w:name w:val="toc 1"/>
    <w:basedOn w:val="Normal"/>
    <w:next w:val="Normal"/>
    <w:uiPriority w:val="39"/>
    <w:qFormat/>
    <w:pPr>
      <w:spacing w:after="100"/>
    </w:pPr>
  </w:style>
  <w:style w:type="paragraph" w:styleId="TOC2">
    <w:name w:val="toc 2"/>
    <w:basedOn w:val="Normal"/>
    <w:next w:val="Normal"/>
    <w:uiPriority w:val="39"/>
    <w:pPr>
      <w:spacing w:after="100"/>
      <w:ind w:left="220"/>
    </w:pPr>
  </w:style>
  <w:style w:type="paragraph" w:styleId="TOC3">
    <w:name w:val="toc 3"/>
    <w:basedOn w:val="Normal"/>
    <w:next w:val="Normal"/>
    <w:uiPriority w:val="39"/>
    <w:qFormat/>
    <w:pPr>
      <w:spacing w:after="100"/>
      <w:ind w:left="440"/>
    </w:pPr>
  </w:style>
  <w:style w:type="character" w:customStyle="1" w:styleId="Heading1Char">
    <w:name w:val="Heading 1 Char"/>
    <w:basedOn w:val="DefaultParagraphFont"/>
    <w:link w:val="Heading1"/>
    <w:uiPriority w:val="9"/>
    <w:qFormat/>
    <w:rsid w:val="0035552A"/>
    <w:rPr>
      <w:rFonts w:ascii="Arial" w:eastAsiaTheme="majorEastAsia" w:hAnsi="Arial" w:cstheme="majorBidi"/>
      <w:sz w:val="28"/>
      <w:szCs w:val="32"/>
      <w:lang w:val="en-ZA" w:eastAsia="en-US"/>
    </w:rPr>
  </w:style>
  <w:style w:type="character" w:customStyle="1" w:styleId="Heading2Char">
    <w:name w:val="Heading 2 Char"/>
    <w:basedOn w:val="DefaultParagraphFont"/>
    <w:link w:val="Heading2"/>
    <w:uiPriority w:val="9"/>
    <w:qFormat/>
    <w:rsid w:val="003A4BEC"/>
    <w:rPr>
      <w:rFonts w:ascii="Arial" w:eastAsiaTheme="majorEastAsia" w:hAnsi="Arial" w:cstheme="majorBidi"/>
      <w:sz w:val="24"/>
      <w:szCs w:val="26"/>
      <w:lang w:val="en-ZA" w:eastAsia="en-US"/>
    </w:rPr>
  </w:style>
  <w:style w:type="character" w:customStyle="1" w:styleId="Heading3Char">
    <w:name w:val="Heading 3 Char"/>
    <w:basedOn w:val="DefaultParagraphFont"/>
    <w:link w:val="Heading3"/>
    <w:uiPriority w:val="9"/>
    <w:qFormat/>
    <w:rsid w:val="00CA3055"/>
    <w:rPr>
      <w:rFonts w:ascii="Arial" w:eastAsiaTheme="majorEastAsia" w:hAnsi="Arial" w:cstheme="majorBidi"/>
      <w:i/>
      <w:szCs w:val="24"/>
      <w:lang w:val="en-ZA" w:eastAsia="en-US"/>
    </w:rPr>
  </w:style>
  <w:style w:type="character" w:customStyle="1" w:styleId="Heading4Char">
    <w:name w:val="Heading 4 Char"/>
    <w:basedOn w:val="DefaultParagraphFont"/>
    <w:link w:val="Heading4"/>
    <w:uiPriority w:val="9"/>
    <w:qFormat/>
    <w:rPr>
      <w:rFonts w:asciiTheme="majorHAnsi" w:eastAsiaTheme="majorEastAsia" w:hAnsiTheme="majorHAnsi" w:cstheme="majorBidi"/>
      <w:i/>
      <w:iCs/>
      <w:color w:val="2F5496"/>
    </w:rPr>
  </w:style>
  <w:style w:type="character" w:customStyle="1" w:styleId="Heading5Char">
    <w:name w:val="Heading 5 Char"/>
    <w:basedOn w:val="DefaultParagraphFont"/>
    <w:link w:val="Heading5"/>
    <w:uiPriority w:val="9"/>
    <w:qFormat/>
    <w:rPr>
      <w:rFonts w:asciiTheme="majorHAnsi" w:eastAsiaTheme="majorEastAsia" w:hAnsiTheme="majorHAnsi" w:cstheme="majorBidi"/>
      <w:color w:val="2F5496"/>
    </w:rPr>
  </w:style>
  <w:style w:type="character" w:customStyle="1" w:styleId="Heading6Char">
    <w:name w:val="Heading 6 Char"/>
    <w:basedOn w:val="DefaultParagraphFont"/>
    <w:link w:val="Heading6"/>
    <w:uiPriority w:val="9"/>
    <w:qFormat/>
    <w:rPr>
      <w:rFonts w:asciiTheme="majorHAnsi" w:eastAsiaTheme="majorEastAsia" w:hAnsiTheme="majorHAnsi" w:cstheme="majorBidi"/>
      <w:color w:val="1F3763"/>
    </w:rPr>
  </w:style>
  <w:style w:type="character" w:customStyle="1" w:styleId="Heading7Char">
    <w:name w:val="Heading 7 Char"/>
    <w:basedOn w:val="DefaultParagraphFont"/>
    <w:link w:val="Heading7"/>
    <w:uiPriority w:val="9"/>
    <w:qFormat/>
    <w:rPr>
      <w:rFonts w:asciiTheme="majorHAnsi" w:eastAsiaTheme="majorEastAsia" w:hAnsiTheme="majorHAnsi" w:cstheme="majorBidi"/>
      <w:i/>
      <w:iCs/>
      <w:color w:val="1F3763"/>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sz w:val="21"/>
      <w:szCs w:val="21"/>
    </w:rPr>
  </w:style>
  <w:style w:type="character" w:customStyle="1" w:styleId="Heading9Char">
    <w:name w:val="Heading 9 Char"/>
    <w:basedOn w:val="DefaultParagraphFont"/>
    <w:link w:val="Heading9"/>
    <w:uiPriority w:val="9"/>
    <w:qFormat/>
    <w:rPr>
      <w:rFonts w:asciiTheme="majorHAnsi" w:eastAsiaTheme="majorEastAsia" w:hAnsiTheme="majorHAnsi" w:cstheme="majorBidi"/>
      <w:i/>
      <w:iCs/>
      <w:color w:val="272727"/>
      <w:sz w:val="21"/>
      <w:szCs w:val="21"/>
    </w:rPr>
  </w:style>
  <w:style w:type="character" w:customStyle="1" w:styleId="UnresolvedMention1">
    <w:name w:val="Unresolved Mention1"/>
    <w:basedOn w:val="DefaultParagraphFont"/>
    <w:uiPriority w:val="99"/>
    <w:qFormat/>
    <w:rPr>
      <w:color w:val="605E5C"/>
      <w:shd w:val="clear" w:color="auto" w:fill="E1DFDD"/>
    </w:rPr>
  </w:style>
  <w:style w:type="paragraph" w:styleId="ListParagraph">
    <w:name w:val="List Paragraph"/>
    <w:basedOn w:val="Normal"/>
    <w:uiPriority w:val="34"/>
    <w:qFormat/>
    <w:pPr>
      <w:ind w:left="720"/>
      <w:contextualSpacing/>
    </w:pPr>
  </w:style>
  <w:style w:type="paragraph" w:customStyle="1" w:styleId="TOCHeading1">
    <w:name w:val="TOC Heading1"/>
    <w:basedOn w:val="Heading1"/>
    <w:next w:val="Normal"/>
    <w:uiPriority w:val="39"/>
    <w:qFormat/>
    <w:pPr>
      <w:numPr>
        <w:numId w:val="0"/>
      </w:numPr>
      <w:outlineLvl w:val="9"/>
    </w:pPr>
    <w:rPr>
      <w:lang w:val="en-US"/>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qFormat/>
    <w:pPr>
      <w:tabs>
        <w:tab w:val="center" w:pos="4513"/>
        <w:tab w:val="right" w:pos="9026"/>
      </w:tabs>
      <w:spacing w:after="0" w:line="240" w:lineRule="auto"/>
    </w:pPr>
    <w:rPr>
      <w:rFonts w:ascii="Times New Roman" w:eastAsia="Times New Roman" w:hAnsi="Times New Roman" w:cs="Times New Roman"/>
      <w:sz w:val="24"/>
      <w:szCs w:val="24"/>
      <w:lang w:val="en-ZW" w:eastAsia="en-ZW"/>
    </w:rPr>
  </w:style>
  <w:style w:type="character" w:customStyle="1" w:styleId="FooterChar">
    <w:name w:val="Footer Char"/>
    <w:basedOn w:val="DefaultParagraphFont"/>
    <w:link w:val="Footer"/>
    <w:uiPriority w:val="99"/>
    <w:qFormat/>
    <w:rPr>
      <w:rFonts w:ascii="Times New Roman" w:eastAsia="Times New Roman" w:hAnsi="Times New Roman" w:cs="Times New Roman"/>
      <w:sz w:val="24"/>
      <w:szCs w:val="24"/>
    </w:rPr>
  </w:style>
  <w:style w:type="paragraph" w:customStyle="1" w:styleId="Author">
    <w:name w:val="Author"/>
    <w:basedOn w:val="Normal"/>
    <w:qFormat/>
    <w:pPr>
      <w:spacing w:after="0" w:line="280" w:lineRule="exact"/>
      <w:jc w:val="right"/>
    </w:pPr>
    <w:rPr>
      <w:rFonts w:ascii="Helvetica" w:eastAsia="Times New Roman" w:hAnsi="Helvetica" w:cs="Times New Roman"/>
      <w:b/>
      <w:sz w:val="24"/>
      <w:szCs w:val="20"/>
      <w:lang w:val="en-US" w:eastAsia="en-ZW"/>
    </w:rPr>
  </w:style>
  <w:style w:type="paragraph" w:customStyle="1" w:styleId="Affiliation">
    <w:name w:val="Affiliation"/>
    <w:basedOn w:val="Normal"/>
    <w:qFormat/>
    <w:pPr>
      <w:spacing w:after="240" w:line="240" w:lineRule="exact"/>
      <w:jc w:val="right"/>
    </w:pPr>
    <w:rPr>
      <w:rFonts w:ascii="Helvetica" w:eastAsia="Times New Roman" w:hAnsi="Helvetica" w:cs="Times New Roman"/>
      <w:sz w:val="20"/>
      <w:szCs w:val="20"/>
      <w:lang w:val="en-US" w:eastAsia="en-ZW"/>
    </w:rPr>
  </w:style>
  <w:style w:type="table" w:customStyle="1" w:styleId="PlainTable41">
    <w:name w:val="Plain Table 41"/>
    <w:basedOn w:val="TableNormal"/>
    <w:uiPriority w:val="4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uiPriority w:val="42"/>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Caption">
    <w:name w:val="caption"/>
    <w:basedOn w:val="Normal"/>
    <w:next w:val="Normal"/>
    <w:uiPriority w:val="35"/>
    <w:qFormat/>
    <w:pPr>
      <w:spacing w:after="200" w:line="240" w:lineRule="auto"/>
    </w:pPr>
    <w:rPr>
      <w:rFonts w:ascii="Times New Roman" w:eastAsia="Times New Roman" w:hAnsi="Times New Roman" w:cs="Times New Roman"/>
      <w:i/>
      <w:iCs/>
      <w:color w:val="1F497D"/>
      <w:sz w:val="18"/>
      <w:szCs w:val="18"/>
      <w:lang w:val="en-ZW" w:eastAsia="en-ZW"/>
    </w:rPr>
  </w:style>
  <w:style w:type="paragraph" w:styleId="FootnoteText">
    <w:name w:val="footnote text"/>
    <w:basedOn w:val="Normal"/>
    <w:link w:val="FootnoteTextChar"/>
    <w:uiPriority w:val="99"/>
    <w:pPr>
      <w:spacing w:after="0" w:line="240" w:lineRule="auto"/>
    </w:pPr>
    <w:rPr>
      <w:sz w:val="20"/>
      <w:szCs w:val="20"/>
    </w:rPr>
  </w:style>
  <w:style w:type="character" w:customStyle="1" w:styleId="FootnoteTextChar">
    <w:name w:val="Footnote Text Char"/>
    <w:basedOn w:val="DefaultParagraphFont"/>
    <w:link w:val="FootnoteText"/>
    <w:uiPriority w:val="99"/>
    <w:rPr>
      <w:lang w:val="en-ZA" w:eastAsia="en-US"/>
    </w:rPr>
  </w:style>
  <w:style w:type="character" w:styleId="FootnoteReference">
    <w:name w:val="footnote reference"/>
    <w:basedOn w:val="DefaultParagraphFont"/>
    <w:uiPriority w:val="99"/>
    <w:rPr>
      <w:vertAlign w:val="superscript"/>
    </w:rPr>
  </w:style>
  <w:style w:type="paragraph" w:styleId="Header">
    <w:name w:val="header"/>
    <w:basedOn w:val="Normal"/>
    <w:link w:val="HeaderChar"/>
    <w:uiPriority w:val="99"/>
    <w:unhideWhenUsed/>
    <w:rsid w:val="000D7B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7BA3"/>
    <w:rPr>
      <w:sz w:val="22"/>
      <w:szCs w:val="22"/>
      <w:lang w:val="en-ZA" w:eastAsia="en-US"/>
    </w:rPr>
  </w:style>
  <w:style w:type="paragraph" w:styleId="EndnoteText">
    <w:name w:val="endnote text"/>
    <w:basedOn w:val="Normal"/>
    <w:link w:val="EndnoteTextChar"/>
    <w:uiPriority w:val="99"/>
    <w:semiHidden/>
    <w:unhideWhenUsed/>
    <w:rsid w:val="000D7BA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D7BA3"/>
    <w:rPr>
      <w:lang w:val="en-ZA" w:eastAsia="en-US"/>
    </w:rPr>
  </w:style>
  <w:style w:type="character" w:styleId="EndnoteReference">
    <w:name w:val="endnote reference"/>
    <w:basedOn w:val="DefaultParagraphFont"/>
    <w:uiPriority w:val="99"/>
    <w:semiHidden/>
    <w:unhideWhenUsed/>
    <w:rsid w:val="000D7BA3"/>
    <w:rPr>
      <w:vertAlign w:val="superscript"/>
    </w:rPr>
  </w:style>
  <w:style w:type="paragraph" w:styleId="Bibliography">
    <w:name w:val="Bibliography"/>
    <w:basedOn w:val="Normal"/>
    <w:next w:val="Normal"/>
    <w:uiPriority w:val="37"/>
    <w:unhideWhenUsed/>
    <w:rsid w:val="00C40088"/>
    <w:pPr>
      <w:tabs>
        <w:tab w:val="left" w:pos="384"/>
      </w:tabs>
      <w:spacing w:after="240" w:line="240" w:lineRule="auto"/>
      <w:ind w:left="384" w:hanging="384"/>
    </w:pPr>
  </w:style>
  <w:style w:type="character" w:customStyle="1" w:styleId="nlmstring-name">
    <w:name w:val="nlm_string-name"/>
    <w:basedOn w:val="DefaultParagraphFont"/>
    <w:rsid w:val="00046D7F"/>
  </w:style>
  <w:style w:type="character" w:customStyle="1" w:styleId="journalname">
    <w:name w:val="journalname"/>
    <w:basedOn w:val="DefaultParagraphFont"/>
    <w:rsid w:val="00046D7F"/>
  </w:style>
  <w:style w:type="character" w:customStyle="1" w:styleId="year">
    <w:name w:val="year"/>
    <w:basedOn w:val="DefaultParagraphFont"/>
    <w:rsid w:val="00046D7F"/>
  </w:style>
  <w:style w:type="character" w:customStyle="1" w:styleId="volume">
    <w:name w:val="volume"/>
    <w:basedOn w:val="DefaultParagraphFont"/>
    <w:rsid w:val="00046D7F"/>
  </w:style>
  <w:style w:type="character" w:customStyle="1" w:styleId="issue">
    <w:name w:val="issue"/>
    <w:basedOn w:val="DefaultParagraphFont"/>
    <w:rsid w:val="00046D7F"/>
  </w:style>
  <w:style w:type="character" w:customStyle="1" w:styleId="page">
    <w:name w:val="page"/>
    <w:basedOn w:val="DefaultParagraphFont"/>
    <w:rsid w:val="00046D7F"/>
  </w:style>
  <w:style w:type="paragraph" w:customStyle="1" w:styleId="ds-markdown-paragraph">
    <w:name w:val="ds-markdown-paragraph"/>
    <w:basedOn w:val="Normal"/>
    <w:rsid w:val="00BB5182"/>
    <w:pPr>
      <w:spacing w:before="100" w:beforeAutospacing="1" w:after="100" w:afterAutospacing="1" w:line="240" w:lineRule="auto"/>
    </w:pPr>
    <w:rPr>
      <w:rFonts w:ascii="Times New Roman" w:eastAsia="Times New Roman" w:hAnsi="Times New Roman" w:cs="Times New Roman"/>
      <w:sz w:val="24"/>
      <w:szCs w:val="24"/>
      <w:lang w:val="en-ZW" w:eastAsia="en-ZW"/>
    </w:rPr>
  </w:style>
  <w:style w:type="character" w:styleId="Emphasis">
    <w:name w:val="Emphasis"/>
    <w:basedOn w:val="DefaultParagraphFont"/>
    <w:uiPriority w:val="20"/>
    <w:qFormat/>
    <w:rsid w:val="00BB5182"/>
    <w:rPr>
      <w:i/>
      <w:iCs/>
    </w:rPr>
  </w:style>
  <w:style w:type="table" w:styleId="PlainTable1">
    <w:name w:val="Plain Table 1"/>
    <w:basedOn w:val="TableNormal"/>
    <w:uiPriority w:val="41"/>
    <w:rsid w:val="00D476C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476C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5F7DDD"/>
    <w:rPr>
      <w:sz w:val="16"/>
      <w:szCs w:val="16"/>
    </w:rPr>
  </w:style>
  <w:style w:type="paragraph" w:styleId="CommentText">
    <w:name w:val="annotation text"/>
    <w:basedOn w:val="Normal"/>
    <w:link w:val="CommentTextChar"/>
    <w:uiPriority w:val="99"/>
    <w:unhideWhenUsed/>
    <w:rsid w:val="005F7DDD"/>
    <w:pPr>
      <w:spacing w:line="240" w:lineRule="auto"/>
    </w:pPr>
    <w:rPr>
      <w:sz w:val="20"/>
      <w:szCs w:val="20"/>
    </w:rPr>
  </w:style>
  <w:style w:type="character" w:customStyle="1" w:styleId="CommentTextChar">
    <w:name w:val="Comment Text Char"/>
    <w:basedOn w:val="DefaultParagraphFont"/>
    <w:link w:val="CommentText"/>
    <w:uiPriority w:val="99"/>
    <w:rsid w:val="005F7DDD"/>
    <w:rPr>
      <w:lang w:val="en-ZA" w:eastAsia="en-US"/>
    </w:rPr>
  </w:style>
  <w:style w:type="paragraph" w:styleId="CommentSubject">
    <w:name w:val="annotation subject"/>
    <w:basedOn w:val="CommentText"/>
    <w:next w:val="CommentText"/>
    <w:link w:val="CommentSubjectChar"/>
    <w:uiPriority w:val="99"/>
    <w:semiHidden/>
    <w:unhideWhenUsed/>
    <w:rsid w:val="005F7DDD"/>
    <w:rPr>
      <w:b/>
      <w:bCs/>
    </w:rPr>
  </w:style>
  <w:style w:type="character" w:customStyle="1" w:styleId="CommentSubjectChar">
    <w:name w:val="Comment Subject Char"/>
    <w:basedOn w:val="CommentTextChar"/>
    <w:link w:val="CommentSubject"/>
    <w:uiPriority w:val="99"/>
    <w:semiHidden/>
    <w:rsid w:val="005F7DDD"/>
    <w:rPr>
      <w:b/>
      <w:bCs/>
      <w:lang w:val="en-ZA" w:eastAsia="en-US"/>
    </w:rPr>
  </w:style>
  <w:style w:type="character" w:styleId="UnresolvedMention">
    <w:name w:val="Unresolved Mention"/>
    <w:basedOn w:val="DefaultParagraphFont"/>
    <w:uiPriority w:val="99"/>
    <w:semiHidden/>
    <w:unhideWhenUsed/>
    <w:rsid w:val="000918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353046">
      <w:bodyDiv w:val="1"/>
      <w:marLeft w:val="0"/>
      <w:marRight w:val="0"/>
      <w:marTop w:val="0"/>
      <w:marBottom w:val="0"/>
      <w:divBdr>
        <w:top w:val="none" w:sz="0" w:space="0" w:color="auto"/>
        <w:left w:val="none" w:sz="0" w:space="0" w:color="auto"/>
        <w:bottom w:val="none" w:sz="0" w:space="0" w:color="auto"/>
        <w:right w:val="none" w:sz="0" w:space="0" w:color="auto"/>
      </w:divBdr>
    </w:div>
    <w:div w:id="416487827">
      <w:bodyDiv w:val="1"/>
      <w:marLeft w:val="0"/>
      <w:marRight w:val="0"/>
      <w:marTop w:val="0"/>
      <w:marBottom w:val="0"/>
      <w:divBdr>
        <w:top w:val="none" w:sz="0" w:space="0" w:color="auto"/>
        <w:left w:val="none" w:sz="0" w:space="0" w:color="auto"/>
        <w:bottom w:val="none" w:sz="0" w:space="0" w:color="auto"/>
        <w:right w:val="none" w:sz="0" w:space="0" w:color="auto"/>
      </w:divBdr>
    </w:div>
    <w:div w:id="537008955">
      <w:bodyDiv w:val="1"/>
      <w:marLeft w:val="0"/>
      <w:marRight w:val="0"/>
      <w:marTop w:val="0"/>
      <w:marBottom w:val="0"/>
      <w:divBdr>
        <w:top w:val="none" w:sz="0" w:space="0" w:color="auto"/>
        <w:left w:val="none" w:sz="0" w:space="0" w:color="auto"/>
        <w:bottom w:val="none" w:sz="0" w:space="0" w:color="auto"/>
        <w:right w:val="none" w:sz="0" w:space="0" w:color="auto"/>
      </w:divBdr>
    </w:div>
    <w:div w:id="605425863">
      <w:bodyDiv w:val="1"/>
      <w:marLeft w:val="0"/>
      <w:marRight w:val="0"/>
      <w:marTop w:val="0"/>
      <w:marBottom w:val="0"/>
      <w:divBdr>
        <w:top w:val="none" w:sz="0" w:space="0" w:color="auto"/>
        <w:left w:val="none" w:sz="0" w:space="0" w:color="auto"/>
        <w:bottom w:val="none" w:sz="0" w:space="0" w:color="auto"/>
        <w:right w:val="none" w:sz="0" w:space="0" w:color="auto"/>
      </w:divBdr>
      <w:divsChild>
        <w:div w:id="422914894">
          <w:marLeft w:val="0"/>
          <w:marRight w:val="0"/>
          <w:marTop w:val="0"/>
          <w:marBottom w:val="0"/>
          <w:divBdr>
            <w:top w:val="none" w:sz="0" w:space="0" w:color="auto"/>
            <w:left w:val="none" w:sz="0" w:space="0" w:color="auto"/>
            <w:bottom w:val="none" w:sz="0" w:space="0" w:color="auto"/>
            <w:right w:val="none" w:sz="0" w:space="0" w:color="auto"/>
          </w:divBdr>
          <w:divsChild>
            <w:div w:id="177545432">
              <w:marLeft w:val="0"/>
              <w:marRight w:val="0"/>
              <w:marTop w:val="0"/>
              <w:marBottom w:val="0"/>
              <w:divBdr>
                <w:top w:val="none" w:sz="0" w:space="0" w:color="auto"/>
                <w:left w:val="none" w:sz="0" w:space="0" w:color="auto"/>
                <w:bottom w:val="none" w:sz="0" w:space="0" w:color="auto"/>
                <w:right w:val="none" w:sz="0" w:space="0" w:color="auto"/>
              </w:divBdr>
              <w:divsChild>
                <w:div w:id="1950316205">
                  <w:marLeft w:val="0"/>
                  <w:marRight w:val="0"/>
                  <w:marTop w:val="0"/>
                  <w:marBottom w:val="510"/>
                  <w:divBdr>
                    <w:top w:val="none" w:sz="0" w:space="0" w:color="auto"/>
                    <w:left w:val="none" w:sz="0" w:space="0" w:color="auto"/>
                    <w:bottom w:val="none" w:sz="0" w:space="0" w:color="auto"/>
                    <w:right w:val="none" w:sz="0" w:space="0" w:color="auto"/>
                  </w:divBdr>
                  <w:divsChild>
                    <w:div w:id="1148984658">
                      <w:marLeft w:val="210"/>
                      <w:marRight w:val="30"/>
                      <w:marTop w:val="0"/>
                      <w:marBottom w:val="0"/>
                      <w:divBdr>
                        <w:top w:val="none" w:sz="0" w:space="0" w:color="auto"/>
                        <w:left w:val="none" w:sz="0" w:space="0" w:color="auto"/>
                        <w:bottom w:val="none" w:sz="0" w:space="0" w:color="auto"/>
                        <w:right w:val="none" w:sz="0" w:space="0" w:color="auto"/>
                      </w:divBdr>
                      <w:divsChild>
                        <w:div w:id="16616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81722">
                  <w:marLeft w:val="0"/>
                  <w:marRight w:val="0"/>
                  <w:marTop w:val="0"/>
                  <w:marBottom w:val="0"/>
                  <w:divBdr>
                    <w:top w:val="none" w:sz="0" w:space="0" w:color="auto"/>
                    <w:left w:val="none" w:sz="0" w:space="0" w:color="auto"/>
                    <w:bottom w:val="none" w:sz="0" w:space="0" w:color="auto"/>
                    <w:right w:val="none" w:sz="0" w:space="0" w:color="auto"/>
                  </w:divBdr>
                  <w:divsChild>
                    <w:div w:id="1856269043">
                      <w:marLeft w:val="0"/>
                      <w:marRight w:val="0"/>
                      <w:marTop w:val="0"/>
                      <w:marBottom w:val="0"/>
                      <w:divBdr>
                        <w:top w:val="none" w:sz="0" w:space="0" w:color="auto"/>
                        <w:left w:val="none" w:sz="0" w:space="0" w:color="auto"/>
                        <w:bottom w:val="none" w:sz="0" w:space="0" w:color="auto"/>
                        <w:right w:val="none" w:sz="0" w:space="0" w:color="auto"/>
                      </w:divBdr>
                      <w:divsChild>
                        <w:div w:id="454911252">
                          <w:marLeft w:val="0"/>
                          <w:marRight w:val="0"/>
                          <w:marTop w:val="0"/>
                          <w:marBottom w:val="0"/>
                          <w:divBdr>
                            <w:top w:val="none" w:sz="0" w:space="0" w:color="auto"/>
                            <w:left w:val="none" w:sz="0" w:space="0" w:color="auto"/>
                            <w:bottom w:val="none" w:sz="0" w:space="0" w:color="auto"/>
                            <w:right w:val="none" w:sz="0" w:space="0" w:color="auto"/>
                          </w:divBdr>
                          <w:divsChild>
                            <w:div w:id="2062165032">
                              <w:marLeft w:val="-90"/>
                              <w:marRight w:val="0"/>
                              <w:marTop w:val="0"/>
                              <w:marBottom w:val="90"/>
                              <w:divBdr>
                                <w:top w:val="none" w:sz="0" w:space="0" w:color="auto"/>
                                <w:left w:val="none" w:sz="0" w:space="0" w:color="auto"/>
                                <w:bottom w:val="none" w:sz="0" w:space="0" w:color="auto"/>
                                <w:right w:val="none" w:sz="0" w:space="0" w:color="auto"/>
                              </w:divBdr>
                            </w:div>
                            <w:div w:id="1004015556">
                              <w:marLeft w:val="0"/>
                              <w:marRight w:val="0"/>
                              <w:marTop w:val="0"/>
                              <w:marBottom w:val="0"/>
                              <w:divBdr>
                                <w:top w:val="none" w:sz="0" w:space="0" w:color="auto"/>
                                <w:left w:val="none" w:sz="0" w:space="0" w:color="auto"/>
                                <w:bottom w:val="none" w:sz="0" w:space="0" w:color="auto"/>
                                <w:right w:val="none" w:sz="0" w:space="0" w:color="auto"/>
                              </w:divBdr>
                              <w:divsChild>
                                <w:div w:id="471484910">
                                  <w:marLeft w:val="0"/>
                                  <w:marRight w:val="0"/>
                                  <w:marTop w:val="0"/>
                                  <w:marBottom w:val="0"/>
                                  <w:divBdr>
                                    <w:top w:val="none" w:sz="0" w:space="0" w:color="auto"/>
                                    <w:left w:val="none" w:sz="0" w:space="0" w:color="auto"/>
                                    <w:bottom w:val="none" w:sz="0" w:space="0" w:color="auto"/>
                                    <w:right w:val="none" w:sz="0" w:space="0" w:color="auto"/>
                                  </w:divBdr>
                                </w:div>
                              </w:divsChild>
                            </w:div>
                            <w:div w:id="1114445226">
                              <w:marLeft w:val="0"/>
                              <w:marRight w:val="0"/>
                              <w:marTop w:val="0"/>
                              <w:marBottom w:val="0"/>
                              <w:divBdr>
                                <w:top w:val="none" w:sz="0" w:space="0" w:color="auto"/>
                                <w:left w:val="none" w:sz="0" w:space="0" w:color="auto"/>
                                <w:bottom w:val="none" w:sz="0" w:space="0" w:color="auto"/>
                                <w:right w:val="none" w:sz="0" w:space="0" w:color="auto"/>
                              </w:divBdr>
                              <w:divsChild>
                                <w:div w:id="1324310446">
                                  <w:marLeft w:val="0"/>
                                  <w:marRight w:val="0"/>
                                  <w:marTop w:val="0"/>
                                  <w:marBottom w:val="0"/>
                                  <w:divBdr>
                                    <w:top w:val="none" w:sz="0" w:space="0" w:color="auto"/>
                                    <w:left w:val="none" w:sz="0" w:space="0" w:color="auto"/>
                                    <w:bottom w:val="none" w:sz="0" w:space="0" w:color="auto"/>
                                    <w:right w:val="none" w:sz="0" w:space="0" w:color="auto"/>
                                  </w:divBdr>
                                </w:div>
                              </w:divsChild>
                            </w:div>
                            <w:div w:id="1286890287">
                              <w:marLeft w:val="0"/>
                              <w:marRight w:val="0"/>
                              <w:marTop w:val="0"/>
                              <w:marBottom w:val="0"/>
                              <w:divBdr>
                                <w:top w:val="none" w:sz="0" w:space="0" w:color="auto"/>
                                <w:left w:val="none" w:sz="0" w:space="0" w:color="auto"/>
                                <w:bottom w:val="none" w:sz="0" w:space="0" w:color="auto"/>
                                <w:right w:val="none" w:sz="0" w:space="0" w:color="auto"/>
                              </w:divBdr>
                              <w:divsChild>
                                <w:div w:id="51931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08261">
                          <w:marLeft w:val="0"/>
                          <w:marRight w:val="0"/>
                          <w:marTop w:val="0"/>
                          <w:marBottom w:val="0"/>
                          <w:divBdr>
                            <w:top w:val="none" w:sz="0" w:space="0" w:color="auto"/>
                            <w:left w:val="none" w:sz="0" w:space="0" w:color="auto"/>
                            <w:bottom w:val="none" w:sz="0" w:space="0" w:color="auto"/>
                            <w:right w:val="none" w:sz="0" w:space="0" w:color="auto"/>
                          </w:divBdr>
                          <w:divsChild>
                            <w:div w:id="1230532158">
                              <w:marLeft w:val="-90"/>
                              <w:marRight w:val="0"/>
                              <w:marTop w:val="90"/>
                              <w:marBottom w:val="90"/>
                              <w:divBdr>
                                <w:top w:val="none" w:sz="0" w:space="0" w:color="auto"/>
                                <w:left w:val="none" w:sz="0" w:space="0" w:color="auto"/>
                                <w:bottom w:val="none" w:sz="0" w:space="0" w:color="auto"/>
                                <w:right w:val="none" w:sz="0" w:space="0" w:color="auto"/>
                              </w:divBdr>
                            </w:div>
                            <w:div w:id="672143493">
                              <w:marLeft w:val="0"/>
                              <w:marRight w:val="0"/>
                              <w:marTop w:val="0"/>
                              <w:marBottom w:val="0"/>
                              <w:divBdr>
                                <w:top w:val="none" w:sz="0" w:space="0" w:color="auto"/>
                                <w:left w:val="none" w:sz="0" w:space="0" w:color="auto"/>
                                <w:bottom w:val="none" w:sz="0" w:space="0" w:color="auto"/>
                                <w:right w:val="none" w:sz="0" w:space="0" w:color="auto"/>
                              </w:divBdr>
                              <w:divsChild>
                                <w:div w:id="1942184644">
                                  <w:marLeft w:val="0"/>
                                  <w:marRight w:val="0"/>
                                  <w:marTop w:val="0"/>
                                  <w:marBottom w:val="0"/>
                                  <w:divBdr>
                                    <w:top w:val="none" w:sz="0" w:space="0" w:color="auto"/>
                                    <w:left w:val="none" w:sz="0" w:space="0" w:color="auto"/>
                                    <w:bottom w:val="none" w:sz="0" w:space="0" w:color="auto"/>
                                    <w:right w:val="none" w:sz="0" w:space="0" w:color="auto"/>
                                  </w:divBdr>
                                </w:div>
                              </w:divsChild>
                            </w:div>
                            <w:div w:id="1402293692">
                              <w:marLeft w:val="0"/>
                              <w:marRight w:val="0"/>
                              <w:marTop w:val="0"/>
                              <w:marBottom w:val="0"/>
                              <w:divBdr>
                                <w:top w:val="none" w:sz="0" w:space="0" w:color="auto"/>
                                <w:left w:val="none" w:sz="0" w:space="0" w:color="auto"/>
                                <w:bottom w:val="none" w:sz="0" w:space="0" w:color="auto"/>
                                <w:right w:val="none" w:sz="0" w:space="0" w:color="auto"/>
                              </w:divBdr>
                              <w:divsChild>
                                <w:div w:id="1023438841">
                                  <w:marLeft w:val="0"/>
                                  <w:marRight w:val="0"/>
                                  <w:marTop w:val="0"/>
                                  <w:marBottom w:val="0"/>
                                  <w:divBdr>
                                    <w:top w:val="none" w:sz="0" w:space="0" w:color="auto"/>
                                    <w:left w:val="none" w:sz="0" w:space="0" w:color="auto"/>
                                    <w:bottom w:val="none" w:sz="0" w:space="0" w:color="auto"/>
                                    <w:right w:val="none" w:sz="0" w:space="0" w:color="auto"/>
                                  </w:divBdr>
                                </w:div>
                              </w:divsChild>
                            </w:div>
                            <w:div w:id="418720228">
                              <w:marLeft w:val="0"/>
                              <w:marRight w:val="0"/>
                              <w:marTop w:val="0"/>
                              <w:marBottom w:val="0"/>
                              <w:divBdr>
                                <w:top w:val="none" w:sz="0" w:space="0" w:color="auto"/>
                                <w:left w:val="none" w:sz="0" w:space="0" w:color="auto"/>
                                <w:bottom w:val="none" w:sz="0" w:space="0" w:color="auto"/>
                                <w:right w:val="none" w:sz="0" w:space="0" w:color="auto"/>
                              </w:divBdr>
                              <w:divsChild>
                                <w:div w:id="131695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14102">
                          <w:marLeft w:val="0"/>
                          <w:marRight w:val="0"/>
                          <w:marTop w:val="0"/>
                          <w:marBottom w:val="0"/>
                          <w:divBdr>
                            <w:top w:val="none" w:sz="0" w:space="0" w:color="auto"/>
                            <w:left w:val="none" w:sz="0" w:space="0" w:color="auto"/>
                            <w:bottom w:val="none" w:sz="0" w:space="0" w:color="auto"/>
                            <w:right w:val="none" w:sz="0" w:space="0" w:color="auto"/>
                          </w:divBdr>
                          <w:divsChild>
                            <w:div w:id="1527518130">
                              <w:marLeft w:val="-90"/>
                              <w:marRight w:val="0"/>
                              <w:marTop w:val="90"/>
                              <w:marBottom w:val="90"/>
                              <w:divBdr>
                                <w:top w:val="none" w:sz="0" w:space="0" w:color="auto"/>
                                <w:left w:val="none" w:sz="0" w:space="0" w:color="auto"/>
                                <w:bottom w:val="none" w:sz="0" w:space="0" w:color="auto"/>
                                <w:right w:val="none" w:sz="0" w:space="0" w:color="auto"/>
                              </w:divBdr>
                            </w:div>
                            <w:div w:id="1058675769">
                              <w:marLeft w:val="0"/>
                              <w:marRight w:val="0"/>
                              <w:marTop w:val="0"/>
                              <w:marBottom w:val="0"/>
                              <w:divBdr>
                                <w:top w:val="none" w:sz="0" w:space="0" w:color="auto"/>
                                <w:left w:val="none" w:sz="0" w:space="0" w:color="auto"/>
                                <w:bottom w:val="none" w:sz="0" w:space="0" w:color="auto"/>
                                <w:right w:val="none" w:sz="0" w:space="0" w:color="auto"/>
                              </w:divBdr>
                              <w:divsChild>
                                <w:div w:id="769004497">
                                  <w:marLeft w:val="0"/>
                                  <w:marRight w:val="0"/>
                                  <w:marTop w:val="0"/>
                                  <w:marBottom w:val="0"/>
                                  <w:divBdr>
                                    <w:top w:val="none" w:sz="0" w:space="0" w:color="auto"/>
                                    <w:left w:val="none" w:sz="0" w:space="0" w:color="auto"/>
                                    <w:bottom w:val="none" w:sz="0" w:space="0" w:color="auto"/>
                                    <w:right w:val="none" w:sz="0" w:space="0" w:color="auto"/>
                                  </w:divBdr>
                                </w:div>
                              </w:divsChild>
                            </w:div>
                            <w:div w:id="2038118364">
                              <w:marLeft w:val="0"/>
                              <w:marRight w:val="0"/>
                              <w:marTop w:val="0"/>
                              <w:marBottom w:val="0"/>
                              <w:divBdr>
                                <w:top w:val="none" w:sz="0" w:space="0" w:color="auto"/>
                                <w:left w:val="none" w:sz="0" w:space="0" w:color="auto"/>
                                <w:bottom w:val="none" w:sz="0" w:space="0" w:color="auto"/>
                                <w:right w:val="none" w:sz="0" w:space="0" w:color="auto"/>
                              </w:divBdr>
                              <w:divsChild>
                                <w:div w:id="1149402197">
                                  <w:marLeft w:val="0"/>
                                  <w:marRight w:val="0"/>
                                  <w:marTop w:val="0"/>
                                  <w:marBottom w:val="0"/>
                                  <w:divBdr>
                                    <w:top w:val="none" w:sz="0" w:space="0" w:color="auto"/>
                                    <w:left w:val="none" w:sz="0" w:space="0" w:color="auto"/>
                                    <w:bottom w:val="none" w:sz="0" w:space="0" w:color="auto"/>
                                    <w:right w:val="none" w:sz="0" w:space="0" w:color="auto"/>
                                  </w:divBdr>
                                </w:div>
                              </w:divsChild>
                            </w:div>
                            <w:div w:id="2021467064">
                              <w:marLeft w:val="0"/>
                              <w:marRight w:val="0"/>
                              <w:marTop w:val="0"/>
                              <w:marBottom w:val="0"/>
                              <w:divBdr>
                                <w:top w:val="none" w:sz="0" w:space="0" w:color="auto"/>
                                <w:left w:val="none" w:sz="0" w:space="0" w:color="auto"/>
                                <w:bottom w:val="none" w:sz="0" w:space="0" w:color="auto"/>
                                <w:right w:val="none" w:sz="0" w:space="0" w:color="auto"/>
                              </w:divBdr>
                              <w:divsChild>
                                <w:div w:id="299774562">
                                  <w:marLeft w:val="0"/>
                                  <w:marRight w:val="0"/>
                                  <w:marTop w:val="0"/>
                                  <w:marBottom w:val="0"/>
                                  <w:divBdr>
                                    <w:top w:val="none" w:sz="0" w:space="0" w:color="auto"/>
                                    <w:left w:val="none" w:sz="0" w:space="0" w:color="auto"/>
                                    <w:bottom w:val="none" w:sz="0" w:space="0" w:color="auto"/>
                                    <w:right w:val="none" w:sz="0" w:space="0" w:color="auto"/>
                                  </w:divBdr>
                                </w:div>
                              </w:divsChild>
                            </w:div>
                            <w:div w:id="953748635">
                              <w:marLeft w:val="0"/>
                              <w:marRight w:val="0"/>
                              <w:marTop w:val="0"/>
                              <w:marBottom w:val="0"/>
                              <w:divBdr>
                                <w:top w:val="none" w:sz="0" w:space="0" w:color="auto"/>
                                <w:left w:val="none" w:sz="0" w:space="0" w:color="auto"/>
                                <w:bottom w:val="none" w:sz="0" w:space="0" w:color="auto"/>
                                <w:right w:val="none" w:sz="0" w:space="0" w:color="auto"/>
                              </w:divBdr>
                              <w:divsChild>
                                <w:div w:id="171797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495174">
                          <w:marLeft w:val="0"/>
                          <w:marRight w:val="0"/>
                          <w:marTop w:val="0"/>
                          <w:marBottom w:val="0"/>
                          <w:divBdr>
                            <w:top w:val="none" w:sz="0" w:space="0" w:color="auto"/>
                            <w:left w:val="none" w:sz="0" w:space="0" w:color="auto"/>
                            <w:bottom w:val="none" w:sz="0" w:space="0" w:color="auto"/>
                            <w:right w:val="none" w:sz="0" w:space="0" w:color="auto"/>
                          </w:divBdr>
                          <w:divsChild>
                            <w:div w:id="1503355320">
                              <w:marLeft w:val="-90"/>
                              <w:marRight w:val="0"/>
                              <w:marTop w:val="90"/>
                              <w:marBottom w:val="90"/>
                              <w:divBdr>
                                <w:top w:val="none" w:sz="0" w:space="0" w:color="auto"/>
                                <w:left w:val="none" w:sz="0" w:space="0" w:color="auto"/>
                                <w:bottom w:val="none" w:sz="0" w:space="0" w:color="auto"/>
                                <w:right w:val="none" w:sz="0" w:space="0" w:color="auto"/>
                              </w:divBdr>
                            </w:div>
                            <w:div w:id="100611340">
                              <w:marLeft w:val="0"/>
                              <w:marRight w:val="0"/>
                              <w:marTop w:val="0"/>
                              <w:marBottom w:val="0"/>
                              <w:divBdr>
                                <w:top w:val="none" w:sz="0" w:space="0" w:color="auto"/>
                                <w:left w:val="none" w:sz="0" w:space="0" w:color="auto"/>
                                <w:bottom w:val="none" w:sz="0" w:space="0" w:color="auto"/>
                                <w:right w:val="none" w:sz="0" w:space="0" w:color="auto"/>
                              </w:divBdr>
                              <w:divsChild>
                                <w:div w:id="1708066656">
                                  <w:marLeft w:val="0"/>
                                  <w:marRight w:val="0"/>
                                  <w:marTop w:val="0"/>
                                  <w:marBottom w:val="0"/>
                                  <w:divBdr>
                                    <w:top w:val="none" w:sz="0" w:space="0" w:color="auto"/>
                                    <w:left w:val="none" w:sz="0" w:space="0" w:color="auto"/>
                                    <w:bottom w:val="none" w:sz="0" w:space="0" w:color="auto"/>
                                    <w:right w:val="none" w:sz="0" w:space="0" w:color="auto"/>
                                  </w:divBdr>
                                </w:div>
                              </w:divsChild>
                            </w:div>
                            <w:div w:id="983242745">
                              <w:marLeft w:val="0"/>
                              <w:marRight w:val="0"/>
                              <w:marTop w:val="0"/>
                              <w:marBottom w:val="0"/>
                              <w:divBdr>
                                <w:top w:val="none" w:sz="0" w:space="0" w:color="auto"/>
                                <w:left w:val="none" w:sz="0" w:space="0" w:color="auto"/>
                                <w:bottom w:val="none" w:sz="0" w:space="0" w:color="auto"/>
                                <w:right w:val="none" w:sz="0" w:space="0" w:color="auto"/>
                              </w:divBdr>
                              <w:divsChild>
                                <w:div w:id="377634575">
                                  <w:marLeft w:val="0"/>
                                  <w:marRight w:val="0"/>
                                  <w:marTop w:val="0"/>
                                  <w:marBottom w:val="0"/>
                                  <w:divBdr>
                                    <w:top w:val="none" w:sz="0" w:space="0" w:color="auto"/>
                                    <w:left w:val="none" w:sz="0" w:space="0" w:color="auto"/>
                                    <w:bottom w:val="none" w:sz="0" w:space="0" w:color="auto"/>
                                    <w:right w:val="none" w:sz="0" w:space="0" w:color="auto"/>
                                  </w:divBdr>
                                </w:div>
                              </w:divsChild>
                            </w:div>
                            <w:div w:id="939919245">
                              <w:marLeft w:val="0"/>
                              <w:marRight w:val="0"/>
                              <w:marTop w:val="0"/>
                              <w:marBottom w:val="0"/>
                              <w:divBdr>
                                <w:top w:val="none" w:sz="0" w:space="0" w:color="auto"/>
                                <w:left w:val="none" w:sz="0" w:space="0" w:color="auto"/>
                                <w:bottom w:val="none" w:sz="0" w:space="0" w:color="auto"/>
                                <w:right w:val="none" w:sz="0" w:space="0" w:color="auto"/>
                              </w:divBdr>
                              <w:divsChild>
                                <w:div w:id="1271888779">
                                  <w:marLeft w:val="0"/>
                                  <w:marRight w:val="0"/>
                                  <w:marTop w:val="0"/>
                                  <w:marBottom w:val="0"/>
                                  <w:divBdr>
                                    <w:top w:val="none" w:sz="0" w:space="0" w:color="auto"/>
                                    <w:left w:val="none" w:sz="0" w:space="0" w:color="auto"/>
                                    <w:bottom w:val="none" w:sz="0" w:space="0" w:color="auto"/>
                                    <w:right w:val="none" w:sz="0" w:space="0" w:color="auto"/>
                                  </w:divBdr>
                                </w:div>
                              </w:divsChild>
                            </w:div>
                            <w:div w:id="469440666">
                              <w:marLeft w:val="0"/>
                              <w:marRight w:val="0"/>
                              <w:marTop w:val="0"/>
                              <w:marBottom w:val="0"/>
                              <w:divBdr>
                                <w:top w:val="none" w:sz="0" w:space="0" w:color="auto"/>
                                <w:left w:val="none" w:sz="0" w:space="0" w:color="auto"/>
                                <w:bottom w:val="none" w:sz="0" w:space="0" w:color="auto"/>
                                <w:right w:val="none" w:sz="0" w:space="0" w:color="auto"/>
                              </w:divBdr>
                              <w:divsChild>
                                <w:div w:id="109131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638863">
                          <w:marLeft w:val="0"/>
                          <w:marRight w:val="0"/>
                          <w:marTop w:val="0"/>
                          <w:marBottom w:val="0"/>
                          <w:divBdr>
                            <w:top w:val="none" w:sz="0" w:space="0" w:color="auto"/>
                            <w:left w:val="none" w:sz="0" w:space="0" w:color="auto"/>
                            <w:bottom w:val="none" w:sz="0" w:space="0" w:color="auto"/>
                            <w:right w:val="none" w:sz="0" w:space="0" w:color="auto"/>
                          </w:divBdr>
                          <w:divsChild>
                            <w:div w:id="887913433">
                              <w:marLeft w:val="-90"/>
                              <w:marRight w:val="0"/>
                              <w:marTop w:val="90"/>
                              <w:marBottom w:val="90"/>
                              <w:divBdr>
                                <w:top w:val="none" w:sz="0" w:space="0" w:color="auto"/>
                                <w:left w:val="none" w:sz="0" w:space="0" w:color="auto"/>
                                <w:bottom w:val="none" w:sz="0" w:space="0" w:color="auto"/>
                                <w:right w:val="none" w:sz="0" w:space="0" w:color="auto"/>
                              </w:divBdr>
                            </w:div>
                            <w:div w:id="464203678">
                              <w:marLeft w:val="0"/>
                              <w:marRight w:val="0"/>
                              <w:marTop w:val="0"/>
                              <w:marBottom w:val="0"/>
                              <w:divBdr>
                                <w:top w:val="none" w:sz="0" w:space="0" w:color="auto"/>
                                <w:left w:val="none" w:sz="0" w:space="0" w:color="auto"/>
                                <w:bottom w:val="none" w:sz="0" w:space="0" w:color="auto"/>
                                <w:right w:val="none" w:sz="0" w:space="0" w:color="auto"/>
                              </w:divBdr>
                              <w:divsChild>
                                <w:div w:id="1743598890">
                                  <w:marLeft w:val="0"/>
                                  <w:marRight w:val="0"/>
                                  <w:marTop w:val="0"/>
                                  <w:marBottom w:val="0"/>
                                  <w:divBdr>
                                    <w:top w:val="none" w:sz="0" w:space="0" w:color="auto"/>
                                    <w:left w:val="none" w:sz="0" w:space="0" w:color="auto"/>
                                    <w:bottom w:val="none" w:sz="0" w:space="0" w:color="auto"/>
                                    <w:right w:val="none" w:sz="0" w:space="0" w:color="auto"/>
                                  </w:divBdr>
                                </w:div>
                              </w:divsChild>
                            </w:div>
                            <w:div w:id="1269581454">
                              <w:marLeft w:val="0"/>
                              <w:marRight w:val="0"/>
                              <w:marTop w:val="0"/>
                              <w:marBottom w:val="0"/>
                              <w:divBdr>
                                <w:top w:val="none" w:sz="0" w:space="0" w:color="auto"/>
                                <w:left w:val="none" w:sz="0" w:space="0" w:color="auto"/>
                                <w:bottom w:val="none" w:sz="0" w:space="0" w:color="auto"/>
                                <w:right w:val="none" w:sz="0" w:space="0" w:color="auto"/>
                              </w:divBdr>
                              <w:divsChild>
                                <w:div w:id="1224833111">
                                  <w:marLeft w:val="0"/>
                                  <w:marRight w:val="0"/>
                                  <w:marTop w:val="0"/>
                                  <w:marBottom w:val="0"/>
                                  <w:divBdr>
                                    <w:top w:val="none" w:sz="0" w:space="0" w:color="auto"/>
                                    <w:left w:val="none" w:sz="0" w:space="0" w:color="auto"/>
                                    <w:bottom w:val="none" w:sz="0" w:space="0" w:color="auto"/>
                                    <w:right w:val="none" w:sz="0" w:space="0" w:color="auto"/>
                                  </w:divBdr>
                                </w:div>
                              </w:divsChild>
                            </w:div>
                            <w:div w:id="1251431654">
                              <w:marLeft w:val="0"/>
                              <w:marRight w:val="0"/>
                              <w:marTop w:val="0"/>
                              <w:marBottom w:val="0"/>
                              <w:divBdr>
                                <w:top w:val="none" w:sz="0" w:space="0" w:color="auto"/>
                                <w:left w:val="none" w:sz="0" w:space="0" w:color="auto"/>
                                <w:bottom w:val="none" w:sz="0" w:space="0" w:color="auto"/>
                                <w:right w:val="none" w:sz="0" w:space="0" w:color="auto"/>
                              </w:divBdr>
                              <w:divsChild>
                                <w:div w:id="1225338064">
                                  <w:marLeft w:val="0"/>
                                  <w:marRight w:val="0"/>
                                  <w:marTop w:val="0"/>
                                  <w:marBottom w:val="0"/>
                                  <w:divBdr>
                                    <w:top w:val="none" w:sz="0" w:space="0" w:color="auto"/>
                                    <w:left w:val="none" w:sz="0" w:space="0" w:color="auto"/>
                                    <w:bottom w:val="none" w:sz="0" w:space="0" w:color="auto"/>
                                    <w:right w:val="none" w:sz="0" w:space="0" w:color="auto"/>
                                  </w:divBdr>
                                </w:div>
                              </w:divsChild>
                            </w:div>
                            <w:div w:id="1260137536">
                              <w:marLeft w:val="0"/>
                              <w:marRight w:val="0"/>
                              <w:marTop w:val="0"/>
                              <w:marBottom w:val="0"/>
                              <w:divBdr>
                                <w:top w:val="none" w:sz="0" w:space="0" w:color="auto"/>
                                <w:left w:val="none" w:sz="0" w:space="0" w:color="auto"/>
                                <w:bottom w:val="none" w:sz="0" w:space="0" w:color="auto"/>
                                <w:right w:val="none" w:sz="0" w:space="0" w:color="auto"/>
                              </w:divBdr>
                              <w:divsChild>
                                <w:div w:id="721102269">
                                  <w:marLeft w:val="0"/>
                                  <w:marRight w:val="0"/>
                                  <w:marTop w:val="0"/>
                                  <w:marBottom w:val="0"/>
                                  <w:divBdr>
                                    <w:top w:val="none" w:sz="0" w:space="0" w:color="auto"/>
                                    <w:left w:val="none" w:sz="0" w:space="0" w:color="auto"/>
                                    <w:bottom w:val="none" w:sz="0" w:space="0" w:color="auto"/>
                                    <w:right w:val="none" w:sz="0" w:space="0" w:color="auto"/>
                                  </w:divBdr>
                                </w:div>
                              </w:divsChild>
                            </w:div>
                            <w:div w:id="1938170540">
                              <w:marLeft w:val="0"/>
                              <w:marRight w:val="0"/>
                              <w:marTop w:val="0"/>
                              <w:marBottom w:val="0"/>
                              <w:divBdr>
                                <w:top w:val="none" w:sz="0" w:space="0" w:color="auto"/>
                                <w:left w:val="none" w:sz="0" w:space="0" w:color="auto"/>
                                <w:bottom w:val="none" w:sz="0" w:space="0" w:color="auto"/>
                                <w:right w:val="none" w:sz="0" w:space="0" w:color="auto"/>
                              </w:divBdr>
                              <w:divsChild>
                                <w:div w:id="513880117">
                                  <w:marLeft w:val="0"/>
                                  <w:marRight w:val="0"/>
                                  <w:marTop w:val="0"/>
                                  <w:marBottom w:val="0"/>
                                  <w:divBdr>
                                    <w:top w:val="none" w:sz="0" w:space="0" w:color="auto"/>
                                    <w:left w:val="none" w:sz="0" w:space="0" w:color="auto"/>
                                    <w:bottom w:val="none" w:sz="0" w:space="0" w:color="auto"/>
                                    <w:right w:val="none" w:sz="0" w:space="0" w:color="auto"/>
                                  </w:divBdr>
                                </w:div>
                              </w:divsChild>
                            </w:div>
                            <w:div w:id="806774560">
                              <w:marLeft w:val="0"/>
                              <w:marRight w:val="0"/>
                              <w:marTop w:val="0"/>
                              <w:marBottom w:val="0"/>
                              <w:divBdr>
                                <w:top w:val="none" w:sz="0" w:space="0" w:color="auto"/>
                                <w:left w:val="none" w:sz="0" w:space="0" w:color="auto"/>
                                <w:bottom w:val="none" w:sz="0" w:space="0" w:color="auto"/>
                                <w:right w:val="none" w:sz="0" w:space="0" w:color="auto"/>
                              </w:divBdr>
                              <w:divsChild>
                                <w:div w:id="708185707">
                                  <w:marLeft w:val="0"/>
                                  <w:marRight w:val="0"/>
                                  <w:marTop w:val="0"/>
                                  <w:marBottom w:val="0"/>
                                  <w:divBdr>
                                    <w:top w:val="none" w:sz="0" w:space="0" w:color="auto"/>
                                    <w:left w:val="none" w:sz="0" w:space="0" w:color="auto"/>
                                    <w:bottom w:val="none" w:sz="0" w:space="0" w:color="auto"/>
                                    <w:right w:val="none" w:sz="0" w:space="0" w:color="auto"/>
                                  </w:divBdr>
                                </w:div>
                              </w:divsChild>
                            </w:div>
                            <w:div w:id="977228506">
                              <w:marLeft w:val="0"/>
                              <w:marRight w:val="0"/>
                              <w:marTop w:val="0"/>
                              <w:marBottom w:val="0"/>
                              <w:divBdr>
                                <w:top w:val="none" w:sz="0" w:space="0" w:color="auto"/>
                                <w:left w:val="none" w:sz="0" w:space="0" w:color="auto"/>
                                <w:bottom w:val="none" w:sz="0" w:space="0" w:color="auto"/>
                                <w:right w:val="none" w:sz="0" w:space="0" w:color="auto"/>
                              </w:divBdr>
                              <w:divsChild>
                                <w:div w:id="1496069922">
                                  <w:marLeft w:val="0"/>
                                  <w:marRight w:val="0"/>
                                  <w:marTop w:val="0"/>
                                  <w:marBottom w:val="0"/>
                                  <w:divBdr>
                                    <w:top w:val="none" w:sz="0" w:space="0" w:color="auto"/>
                                    <w:left w:val="none" w:sz="0" w:space="0" w:color="auto"/>
                                    <w:bottom w:val="none" w:sz="0" w:space="0" w:color="auto"/>
                                    <w:right w:val="none" w:sz="0" w:space="0" w:color="auto"/>
                                  </w:divBdr>
                                </w:div>
                              </w:divsChild>
                            </w:div>
                            <w:div w:id="1671524881">
                              <w:marLeft w:val="0"/>
                              <w:marRight w:val="0"/>
                              <w:marTop w:val="0"/>
                              <w:marBottom w:val="0"/>
                              <w:divBdr>
                                <w:top w:val="none" w:sz="0" w:space="0" w:color="auto"/>
                                <w:left w:val="none" w:sz="0" w:space="0" w:color="auto"/>
                                <w:bottom w:val="none" w:sz="0" w:space="0" w:color="auto"/>
                                <w:right w:val="none" w:sz="0" w:space="0" w:color="auto"/>
                              </w:divBdr>
                              <w:divsChild>
                                <w:div w:id="120995850">
                                  <w:marLeft w:val="0"/>
                                  <w:marRight w:val="0"/>
                                  <w:marTop w:val="0"/>
                                  <w:marBottom w:val="0"/>
                                  <w:divBdr>
                                    <w:top w:val="none" w:sz="0" w:space="0" w:color="auto"/>
                                    <w:left w:val="none" w:sz="0" w:space="0" w:color="auto"/>
                                    <w:bottom w:val="none" w:sz="0" w:space="0" w:color="auto"/>
                                    <w:right w:val="none" w:sz="0" w:space="0" w:color="auto"/>
                                  </w:divBdr>
                                </w:div>
                              </w:divsChild>
                            </w:div>
                            <w:div w:id="1626543790">
                              <w:marLeft w:val="0"/>
                              <w:marRight w:val="0"/>
                              <w:marTop w:val="0"/>
                              <w:marBottom w:val="0"/>
                              <w:divBdr>
                                <w:top w:val="none" w:sz="0" w:space="0" w:color="auto"/>
                                <w:left w:val="none" w:sz="0" w:space="0" w:color="auto"/>
                                <w:bottom w:val="none" w:sz="0" w:space="0" w:color="auto"/>
                                <w:right w:val="none" w:sz="0" w:space="0" w:color="auto"/>
                              </w:divBdr>
                              <w:divsChild>
                                <w:div w:id="59494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477802">
                  <w:marLeft w:val="0"/>
                  <w:marRight w:val="0"/>
                  <w:marTop w:val="0"/>
                  <w:marBottom w:val="0"/>
                  <w:divBdr>
                    <w:top w:val="none" w:sz="0" w:space="0" w:color="auto"/>
                    <w:left w:val="none" w:sz="0" w:space="0" w:color="auto"/>
                    <w:bottom w:val="none" w:sz="0" w:space="0" w:color="auto"/>
                    <w:right w:val="none" w:sz="0" w:space="0" w:color="auto"/>
                  </w:divBdr>
                  <w:divsChild>
                    <w:div w:id="178543880">
                      <w:marLeft w:val="0"/>
                      <w:marRight w:val="0"/>
                      <w:marTop w:val="0"/>
                      <w:marBottom w:val="120"/>
                      <w:divBdr>
                        <w:top w:val="single" w:sz="4" w:space="7" w:color="4D6BFE"/>
                        <w:left w:val="single" w:sz="4" w:space="9" w:color="4D6BFE"/>
                        <w:bottom w:val="single" w:sz="4" w:space="7" w:color="4D6BFE"/>
                        <w:right w:val="single" w:sz="4" w:space="9" w:color="4D6BFE"/>
                      </w:divBdr>
                    </w:div>
                    <w:div w:id="1701584818">
                      <w:marLeft w:val="0"/>
                      <w:marRight w:val="0"/>
                      <w:marTop w:val="0"/>
                      <w:marBottom w:val="0"/>
                      <w:divBdr>
                        <w:top w:val="none" w:sz="0" w:space="0" w:color="auto"/>
                        <w:left w:val="none" w:sz="0" w:space="0" w:color="auto"/>
                        <w:bottom w:val="none" w:sz="0" w:space="0" w:color="auto"/>
                        <w:right w:val="none" w:sz="0" w:space="0" w:color="auto"/>
                      </w:divBdr>
                      <w:divsChild>
                        <w:div w:id="348331690">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424720">
          <w:marLeft w:val="0"/>
          <w:marRight w:val="0"/>
          <w:marTop w:val="0"/>
          <w:marBottom w:val="0"/>
          <w:divBdr>
            <w:top w:val="none" w:sz="0" w:space="0" w:color="auto"/>
            <w:left w:val="none" w:sz="0" w:space="0" w:color="auto"/>
            <w:bottom w:val="none" w:sz="0" w:space="0" w:color="auto"/>
            <w:right w:val="none" w:sz="0" w:space="0" w:color="auto"/>
          </w:divBdr>
          <w:divsChild>
            <w:div w:id="1396512725">
              <w:marLeft w:val="0"/>
              <w:marRight w:val="0"/>
              <w:marTop w:val="0"/>
              <w:marBottom w:val="0"/>
              <w:divBdr>
                <w:top w:val="none" w:sz="0" w:space="0" w:color="auto"/>
                <w:left w:val="none" w:sz="0" w:space="0" w:color="auto"/>
                <w:bottom w:val="none" w:sz="0" w:space="0" w:color="auto"/>
                <w:right w:val="none" w:sz="0" w:space="0" w:color="auto"/>
              </w:divBdr>
              <w:divsChild>
                <w:div w:id="617643548">
                  <w:marLeft w:val="0"/>
                  <w:marRight w:val="0"/>
                  <w:marTop w:val="0"/>
                  <w:marBottom w:val="0"/>
                  <w:divBdr>
                    <w:top w:val="none" w:sz="0" w:space="0" w:color="auto"/>
                    <w:left w:val="none" w:sz="0" w:space="0" w:color="auto"/>
                    <w:bottom w:val="none" w:sz="0" w:space="0" w:color="auto"/>
                    <w:right w:val="none" w:sz="0" w:space="0" w:color="auto"/>
                  </w:divBdr>
                  <w:divsChild>
                    <w:div w:id="433211148">
                      <w:marLeft w:val="0"/>
                      <w:marRight w:val="0"/>
                      <w:marTop w:val="0"/>
                      <w:marBottom w:val="0"/>
                      <w:divBdr>
                        <w:top w:val="none" w:sz="0" w:space="0" w:color="auto"/>
                        <w:left w:val="none" w:sz="0" w:space="0" w:color="auto"/>
                        <w:bottom w:val="none" w:sz="0" w:space="0" w:color="auto"/>
                        <w:right w:val="none" w:sz="0" w:space="0" w:color="auto"/>
                      </w:divBdr>
                      <w:divsChild>
                        <w:div w:id="120464520">
                          <w:marLeft w:val="0"/>
                          <w:marRight w:val="0"/>
                          <w:marTop w:val="0"/>
                          <w:marBottom w:val="0"/>
                          <w:divBdr>
                            <w:top w:val="none" w:sz="0" w:space="0" w:color="auto"/>
                            <w:left w:val="none" w:sz="0" w:space="0" w:color="auto"/>
                            <w:bottom w:val="none" w:sz="0" w:space="0" w:color="auto"/>
                            <w:right w:val="none" w:sz="0" w:space="0" w:color="auto"/>
                          </w:divBdr>
                          <w:divsChild>
                            <w:div w:id="19409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328019">
                  <w:marLeft w:val="0"/>
                  <w:marRight w:val="0"/>
                  <w:marTop w:val="0"/>
                  <w:marBottom w:val="0"/>
                  <w:divBdr>
                    <w:top w:val="none" w:sz="0" w:space="0" w:color="auto"/>
                    <w:left w:val="none" w:sz="0" w:space="0" w:color="auto"/>
                    <w:bottom w:val="none" w:sz="0" w:space="0" w:color="auto"/>
                    <w:right w:val="none" w:sz="0" w:space="0" w:color="auto"/>
                  </w:divBdr>
                  <w:divsChild>
                    <w:div w:id="1311204612">
                      <w:marLeft w:val="0"/>
                      <w:marRight w:val="0"/>
                      <w:marTop w:val="0"/>
                      <w:marBottom w:val="0"/>
                      <w:divBdr>
                        <w:top w:val="none" w:sz="0" w:space="0" w:color="auto"/>
                        <w:left w:val="none" w:sz="0" w:space="0" w:color="auto"/>
                        <w:bottom w:val="none" w:sz="0" w:space="0" w:color="auto"/>
                        <w:right w:val="none" w:sz="0" w:space="0" w:color="auto"/>
                      </w:divBdr>
                      <w:divsChild>
                        <w:div w:id="1024595938">
                          <w:marLeft w:val="0"/>
                          <w:marRight w:val="0"/>
                          <w:marTop w:val="0"/>
                          <w:marBottom w:val="0"/>
                          <w:divBdr>
                            <w:top w:val="none" w:sz="0" w:space="0" w:color="auto"/>
                            <w:left w:val="none" w:sz="0" w:space="0" w:color="auto"/>
                            <w:bottom w:val="none" w:sz="0" w:space="0" w:color="auto"/>
                            <w:right w:val="none" w:sz="0" w:space="0" w:color="auto"/>
                          </w:divBdr>
                          <w:divsChild>
                            <w:div w:id="363752784">
                              <w:marLeft w:val="0"/>
                              <w:marRight w:val="0"/>
                              <w:marTop w:val="100"/>
                              <w:marBottom w:val="100"/>
                              <w:divBdr>
                                <w:top w:val="none" w:sz="0" w:space="0" w:color="auto"/>
                                <w:left w:val="none" w:sz="0" w:space="0" w:color="auto"/>
                                <w:bottom w:val="none" w:sz="0" w:space="0" w:color="auto"/>
                                <w:right w:val="none" w:sz="0" w:space="0" w:color="auto"/>
                              </w:divBdr>
                              <w:divsChild>
                                <w:div w:id="15809873">
                                  <w:marLeft w:val="0"/>
                                  <w:marRight w:val="0"/>
                                  <w:marTop w:val="0"/>
                                  <w:marBottom w:val="240"/>
                                  <w:divBdr>
                                    <w:top w:val="none" w:sz="0" w:space="0" w:color="auto"/>
                                    <w:left w:val="none" w:sz="0" w:space="0" w:color="auto"/>
                                    <w:bottom w:val="none" w:sz="0" w:space="0" w:color="auto"/>
                                    <w:right w:val="none" w:sz="0" w:space="0" w:color="auto"/>
                                  </w:divBdr>
                                  <w:divsChild>
                                    <w:div w:id="696082816">
                                      <w:marLeft w:val="0"/>
                                      <w:marRight w:val="0"/>
                                      <w:marTop w:val="0"/>
                                      <w:marBottom w:val="0"/>
                                      <w:divBdr>
                                        <w:top w:val="none" w:sz="0" w:space="0" w:color="auto"/>
                                        <w:left w:val="none" w:sz="0" w:space="0" w:color="auto"/>
                                        <w:bottom w:val="none" w:sz="0" w:space="0" w:color="auto"/>
                                        <w:right w:val="none" w:sz="0" w:space="0" w:color="auto"/>
                                      </w:divBdr>
                                    </w:div>
                                  </w:divsChild>
                                </w:div>
                                <w:div w:id="2000844939">
                                  <w:marLeft w:val="0"/>
                                  <w:marRight w:val="0"/>
                                  <w:marTop w:val="0"/>
                                  <w:marBottom w:val="180"/>
                                  <w:divBdr>
                                    <w:top w:val="none" w:sz="0" w:space="0" w:color="auto"/>
                                    <w:left w:val="none" w:sz="0" w:space="0" w:color="auto"/>
                                    <w:bottom w:val="none" w:sz="0" w:space="0" w:color="auto"/>
                                    <w:right w:val="none" w:sz="0" w:space="0" w:color="auto"/>
                                  </w:divBdr>
                                  <w:divsChild>
                                    <w:div w:id="1394885810">
                                      <w:marLeft w:val="0"/>
                                      <w:marRight w:val="0"/>
                                      <w:marTop w:val="0"/>
                                      <w:marBottom w:val="0"/>
                                      <w:divBdr>
                                        <w:top w:val="none" w:sz="0" w:space="0" w:color="auto"/>
                                        <w:left w:val="none" w:sz="0" w:space="0" w:color="auto"/>
                                        <w:bottom w:val="none" w:sz="0" w:space="0" w:color="auto"/>
                                        <w:right w:val="none" w:sz="0" w:space="0" w:color="auto"/>
                                      </w:divBdr>
                                    </w:div>
                                  </w:divsChild>
                                </w:div>
                                <w:div w:id="1562909703">
                                  <w:marLeft w:val="0"/>
                                  <w:marRight w:val="0"/>
                                  <w:marTop w:val="0"/>
                                  <w:marBottom w:val="240"/>
                                  <w:divBdr>
                                    <w:top w:val="none" w:sz="0" w:space="0" w:color="auto"/>
                                    <w:left w:val="none" w:sz="0" w:space="0" w:color="auto"/>
                                    <w:bottom w:val="none" w:sz="0" w:space="0" w:color="auto"/>
                                    <w:right w:val="none" w:sz="0" w:space="0" w:color="auto"/>
                                  </w:divBdr>
                                  <w:divsChild>
                                    <w:div w:id="230190066">
                                      <w:marLeft w:val="0"/>
                                      <w:marRight w:val="0"/>
                                      <w:marTop w:val="0"/>
                                      <w:marBottom w:val="0"/>
                                      <w:divBdr>
                                        <w:top w:val="none" w:sz="0" w:space="0" w:color="auto"/>
                                        <w:left w:val="none" w:sz="0" w:space="0" w:color="auto"/>
                                        <w:bottom w:val="none" w:sz="0" w:space="0" w:color="auto"/>
                                        <w:right w:val="none" w:sz="0" w:space="0" w:color="auto"/>
                                      </w:divBdr>
                                    </w:div>
                                  </w:divsChild>
                                </w:div>
                                <w:div w:id="1558004436">
                                  <w:marLeft w:val="0"/>
                                  <w:marRight w:val="0"/>
                                  <w:marTop w:val="0"/>
                                  <w:marBottom w:val="180"/>
                                  <w:divBdr>
                                    <w:top w:val="none" w:sz="0" w:space="0" w:color="auto"/>
                                    <w:left w:val="none" w:sz="0" w:space="0" w:color="auto"/>
                                    <w:bottom w:val="none" w:sz="0" w:space="0" w:color="auto"/>
                                    <w:right w:val="none" w:sz="0" w:space="0" w:color="auto"/>
                                  </w:divBdr>
                                  <w:divsChild>
                                    <w:div w:id="773087498">
                                      <w:marLeft w:val="0"/>
                                      <w:marRight w:val="0"/>
                                      <w:marTop w:val="0"/>
                                      <w:marBottom w:val="0"/>
                                      <w:divBdr>
                                        <w:top w:val="none" w:sz="0" w:space="0" w:color="auto"/>
                                        <w:left w:val="none" w:sz="0" w:space="0" w:color="auto"/>
                                        <w:bottom w:val="none" w:sz="0" w:space="0" w:color="auto"/>
                                        <w:right w:val="none" w:sz="0" w:space="0" w:color="auto"/>
                                      </w:divBdr>
                                    </w:div>
                                  </w:divsChild>
                                </w:div>
                                <w:div w:id="1410272570">
                                  <w:marLeft w:val="0"/>
                                  <w:marRight w:val="0"/>
                                  <w:marTop w:val="0"/>
                                  <w:marBottom w:val="240"/>
                                  <w:divBdr>
                                    <w:top w:val="none" w:sz="0" w:space="0" w:color="auto"/>
                                    <w:left w:val="none" w:sz="0" w:space="0" w:color="auto"/>
                                    <w:bottom w:val="none" w:sz="0" w:space="0" w:color="auto"/>
                                    <w:right w:val="none" w:sz="0" w:space="0" w:color="auto"/>
                                  </w:divBdr>
                                  <w:divsChild>
                                    <w:div w:id="1585799217">
                                      <w:marLeft w:val="0"/>
                                      <w:marRight w:val="0"/>
                                      <w:marTop w:val="0"/>
                                      <w:marBottom w:val="0"/>
                                      <w:divBdr>
                                        <w:top w:val="none" w:sz="0" w:space="0" w:color="auto"/>
                                        <w:left w:val="none" w:sz="0" w:space="0" w:color="auto"/>
                                        <w:bottom w:val="none" w:sz="0" w:space="0" w:color="auto"/>
                                        <w:right w:val="none" w:sz="0" w:space="0" w:color="auto"/>
                                      </w:divBdr>
                                    </w:div>
                                  </w:divsChild>
                                </w:div>
                                <w:div w:id="1408652761">
                                  <w:marLeft w:val="0"/>
                                  <w:marRight w:val="0"/>
                                  <w:marTop w:val="0"/>
                                  <w:marBottom w:val="0"/>
                                  <w:divBdr>
                                    <w:top w:val="none" w:sz="0" w:space="0" w:color="auto"/>
                                    <w:left w:val="none" w:sz="0" w:space="0" w:color="auto"/>
                                    <w:bottom w:val="none" w:sz="0" w:space="0" w:color="auto"/>
                                    <w:right w:val="none" w:sz="0" w:space="0" w:color="auto"/>
                                  </w:divBdr>
                                  <w:divsChild>
                                    <w:div w:id="170440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1522025">
      <w:bodyDiv w:val="1"/>
      <w:marLeft w:val="0"/>
      <w:marRight w:val="0"/>
      <w:marTop w:val="0"/>
      <w:marBottom w:val="0"/>
      <w:divBdr>
        <w:top w:val="none" w:sz="0" w:space="0" w:color="auto"/>
        <w:left w:val="none" w:sz="0" w:space="0" w:color="auto"/>
        <w:bottom w:val="none" w:sz="0" w:space="0" w:color="auto"/>
        <w:right w:val="none" w:sz="0" w:space="0" w:color="auto"/>
      </w:divBdr>
    </w:div>
    <w:div w:id="694692517">
      <w:bodyDiv w:val="1"/>
      <w:marLeft w:val="0"/>
      <w:marRight w:val="0"/>
      <w:marTop w:val="0"/>
      <w:marBottom w:val="0"/>
      <w:divBdr>
        <w:top w:val="none" w:sz="0" w:space="0" w:color="auto"/>
        <w:left w:val="none" w:sz="0" w:space="0" w:color="auto"/>
        <w:bottom w:val="none" w:sz="0" w:space="0" w:color="auto"/>
        <w:right w:val="none" w:sz="0" w:space="0" w:color="auto"/>
      </w:divBdr>
      <w:divsChild>
        <w:div w:id="557858295">
          <w:marLeft w:val="0"/>
          <w:marRight w:val="0"/>
          <w:marTop w:val="0"/>
          <w:marBottom w:val="0"/>
          <w:divBdr>
            <w:top w:val="none" w:sz="0" w:space="0" w:color="auto"/>
            <w:left w:val="none" w:sz="0" w:space="0" w:color="auto"/>
            <w:bottom w:val="none" w:sz="0" w:space="0" w:color="auto"/>
            <w:right w:val="none" w:sz="0" w:space="0" w:color="auto"/>
          </w:divBdr>
          <w:divsChild>
            <w:div w:id="528760484">
              <w:marLeft w:val="0"/>
              <w:marRight w:val="0"/>
              <w:marTop w:val="0"/>
              <w:marBottom w:val="0"/>
              <w:divBdr>
                <w:top w:val="none" w:sz="0" w:space="0" w:color="auto"/>
                <w:left w:val="none" w:sz="0" w:space="0" w:color="auto"/>
                <w:bottom w:val="none" w:sz="0" w:space="0" w:color="auto"/>
                <w:right w:val="none" w:sz="0" w:space="0" w:color="auto"/>
              </w:divBdr>
              <w:divsChild>
                <w:div w:id="1090002019">
                  <w:marLeft w:val="0"/>
                  <w:marRight w:val="0"/>
                  <w:marTop w:val="0"/>
                  <w:marBottom w:val="510"/>
                  <w:divBdr>
                    <w:top w:val="none" w:sz="0" w:space="0" w:color="auto"/>
                    <w:left w:val="none" w:sz="0" w:space="0" w:color="auto"/>
                    <w:bottom w:val="none" w:sz="0" w:space="0" w:color="auto"/>
                    <w:right w:val="none" w:sz="0" w:space="0" w:color="auto"/>
                  </w:divBdr>
                  <w:divsChild>
                    <w:div w:id="53086133">
                      <w:marLeft w:val="210"/>
                      <w:marRight w:val="30"/>
                      <w:marTop w:val="0"/>
                      <w:marBottom w:val="0"/>
                      <w:divBdr>
                        <w:top w:val="none" w:sz="0" w:space="0" w:color="auto"/>
                        <w:left w:val="none" w:sz="0" w:space="0" w:color="auto"/>
                        <w:bottom w:val="none" w:sz="0" w:space="0" w:color="auto"/>
                        <w:right w:val="none" w:sz="0" w:space="0" w:color="auto"/>
                      </w:divBdr>
                      <w:divsChild>
                        <w:div w:id="214126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452415">
                  <w:marLeft w:val="0"/>
                  <w:marRight w:val="0"/>
                  <w:marTop w:val="0"/>
                  <w:marBottom w:val="0"/>
                  <w:divBdr>
                    <w:top w:val="none" w:sz="0" w:space="0" w:color="auto"/>
                    <w:left w:val="none" w:sz="0" w:space="0" w:color="auto"/>
                    <w:bottom w:val="none" w:sz="0" w:space="0" w:color="auto"/>
                    <w:right w:val="none" w:sz="0" w:space="0" w:color="auto"/>
                  </w:divBdr>
                  <w:divsChild>
                    <w:div w:id="1743747892">
                      <w:marLeft w:val="0"/>
                      <w:marRight w:val="0"/>
                      <w:marTop w:val="0"/>
                      <w:marBottom w:val="0"/>
                      <w:divBdr>
                        <w:top w:val="none" w:sz="0" w:space="0" w:color="auto"/>
                        <w:left w:val="none" w:sz="0" w:space="0" w:color="auto"/>
                        <w:bottom w:val="none" w:sz="0" w:space="0" w:color="auto"/>
                        <w:right w:val="none" w:sz="0" w:space="0" w:color="auto"/>
                      </w:divBdr>
                      <w:divsChild>
                        <w:div w:id="1981114157">
                          <w:marLeft w:val="0"/>
                          <w:marRight w:val="0"/>
                          <w:marTop w:val="0"/>
                          <w:marBottom w:val="0"/>
                          <w:divBdr>
                            <w:top w:val="none" w:sz="0" w:space="0" w:color="auto"/>
                            <w:left w:val="none" w:sz="0" w:space="0" w:color="auto"/>
                            <w:bottom w:val="none" w:sz="0" w:space="0" w:color="auto"/>
                            <w:right w:val="none" w:sz="0" w:space="0" w:color="auto"/>
                          </w:divBdr>
                          <w:divsChild>
                            <w:div w:id="447698779">
                              <w:marLeft w:val="-90"/>
                              <w:marRight w:val="0"/>
                              <w:marTop w:val="0"/>
                              <w:marBottom w:val="90"/>
                              <w:divBdr>
                                <w:top w:val="none" w:sz="0" w:space="0" w:color="auto"/>
                                <w:left w:val="none" w:sz="0" w:space="0" w:color="auto"/>
                                <w:bottom w:val="none" w:sz="0" w:space="0" w:color="auto"/>
                                <w:right w:val="none" w:sz="0" w:space="0" w:color="auto"/>
                              </w:divBdr>
                            </w:div>
                            <w:div w:id="1202085948">
                              <w:marLeft w:val="0"/>
                              <w:marRight w:val="0"/>
                              <w:marTop w:val="0"/>
                              <w:marBottom w:val="0"/>
                              <w:divBdr>
                                <w:top w:val="none" w:sz="0" w:space="0" w:color="auto"/>
                                <w:left w:val="none" w:sz="0" w:space="0" w:color="auto"/>
                                <w:bottom w:val="none" w:sz="0" w:space="0" w:color="auto"/>
                                <w:right w:val="none" w:sz="0" w:space="0" w:color="auto"/>
                              </w:divBdr>
                              <w:divsChild>
                                <w:div w:id="1594314099">
                                  <w:marLeft w:val="0"/>
                                  <w:marRight w:val="0"/>
                                  <w:marTop w:val="0"/>
                                  <w:marBottom w:val="0"/>
                                  <w:divBdr>
                                    <w:top w:val="none" w:sz="0" w:space="0" w:color="auto"/>
                                    <w:left w:val="none" w:sz="0" w:space="0" w:color="auto"/>
                                    <w:bottom w:val="none" w:sz="0" w:space="0" w:color="auto"/>
                                    <w:right w:val="none" w:sz="0" w:space="0" w:color="auto"/>
                                  </w:divBdr>
                                </w:div>
                              </w:divsChild>
                            </w:div>
                            <w:div w:id="1384332801">
                              <w:marLeft w:val="0"/>
                              <w:marRight w:val="0"/>
                              <w:marTop w:val="0"/>
                              <w:marBottom w:val="0"/>
                              <w:divBdr>
                                <w:top w:val="none" w:sz="0" w:space="0" w:color="auto"/>
                                <w:left w:val="none" w:sz="0" w:space="0" w:color="auto"/>
                                <w:bottom w:val="none" w:sz="0" w:space="0" w:color="auto"/>
                                <w:right w:val="none" w:sz="0" w:space="0" w:color="auto"/>
                              </w:divBdr>
                              <w:divsChild>
                                <w:div w:id="2064595751">
                                  <w:marLeft w:val="0"/>
                                  <w:marRight w:val="0"/>
                                  <w:marTop w:val="0"/>
                                  <w:marBottom w:val="0"/>
                                  <w:divBdr>
                                    <w:top w:val="none" w:sz="0" w:space="0" w:color="auto"/>
                                    <w:left w:val="none" w:sz="0" w:space="0" w:color="auto"/>
                                    <w:bottom w:val="none" w:sz="0" w:space="0" w:color="auto"/>
                                    <w:right w:val="none" w:sz="0" w:space="0" w:color="auto"/>
                                  </w:divBdr>
                                </w:div>
                              </w:divsChild>
                            </w:div>
                            <w:div w:id="1238202279">
                              <w:marLeft w:val="0"/>
                              <w:marRight w:val="0"/>
                              <w:marTop w:val="0"/>
                              <w:marBottom w:val="0"/>
                              <w:divBdr>
                                <w:top w:val="none" w:sz="0" w:space="0" w:color="auto"/>
                                <w:left w:val="none" w:sz="0" w:space="0" w:color="auto"/>
                                <w:bottom w:val="none" w:sz="0" w:space="0" w:color="auto"/>
                                <w:right w:val="none" w:sz="0" w:space="0" w:color="auto"/>
                              </w:divBdr>
                              <w:divsChild>
                                <w:div w:id="126191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89086">
                          <w:marLeft w:val="0"/>
                          <w:marRight w:val="0"/>
                          <w:marTop w:val="0"/>
                          <w:marBottom w:val="0"/>
                          <w:divBdr>
                            <w:top w:val="none" w:sz="0" w:space="0" w:color="auto"/>
                            <w:left w:val="none" w:sz="0" w:space="0" w:color="auto"/>
                            <w:bottom w:val="none" w:sz="0" w:space="0" w:color="auto"/>
                            <w:right w:val="none" w:sz="0" w:space="0" w:color="auto"/>
                          </w:divBdr>
                          <w:divsChild>
                            <w:div w:id="1446004364">
                              <w:marLeft w:val="-90"/>
                              <w:marRight w:val="0"/>
                              <w:marTop w:val="90"/>
                              <w:marBottom w:val="90"/>
                              <w:divBdr>
                                <w:top w:val="none" w:sz="0" w:space="0" w:color="auto"/>
                                <w:left w:val="none" w:sz="0" w:space="0" w:color="auto"/>
                                <w:bottom w:val="none" w:sz="0" w:space="0" w:color="auto"/>
                                <w:right w:val="none" w:sz="0" w:space="0" w:color="auto"/>
                              </w:divBdr>
                            </w:div>
                            <w:div w:id="796531533">
                              <w:marLeft w:val="0"/>
                              <w:marRight w:val="0"/>
                              <w:marTop w:val="0"/>
                              <w:marBottom w:val="0"/>
                              <w:divBdr>
                                <w:top w:val="none" w:sz="0" w:space="0" w:color="auto"/>
                                <w:left w:val="none" w:sz="0" w:space="0" w:color="auto"/>
                                <w:bottom w:val="none" w:sz="0" w:space="0" w:color="auto"/>
                                <w:right w:val="none" w:sz="0" w:space="0" w:color="auto"/>
                              </w:divBdr>
                              <w:divsChild>
                                <w:div w:id="2038043400">
                                  <w:marLeft w:val="0"/>
                                  <w:marRight w:val="0"/>
                                  <w:marTop w:val="0"/>
                                  <w:marBottom w:val="0"/>
                                  <w:divBdr>
                                    <w:top w:val="none" w:sz="0" w:space="0" w:color="auto"/>
                                    <w:left w:val="none" w:sz="0" w:space="0" w:color="auto"/>
                                    <w:bottom w:val="none" w:sz="0" w:space="0" w:color="auto"/>
                                    <w:right w:val="none" w:sz="0" w:space="0" w:color="auto"/>
                                  </w:divBdr>
                                </w:div>
                              </w:divsChild>
                            </w:div>
                            <w:div w:id="881211492">
                              <w:marLeft w:val="0"/>
                              <w:marRight w:val="0"/>
                              <w:marTop w:val="0"/>
                              <w:marBottom w:val="0"/>
                              <w:divBdr>
                                <w:top w:val="none" w:sz="0" w:space="0" w:color="auto"/>
                                <w:left w:val="none" w:sz="0" w:space="0" w:color="auto"/>
                                <w:bottom w:val="none" w:sz="0" w:space="0" w:color="auto"/>
                                <w:right w:val="none" w:sz="0" w:space="0" w:color="auto"/>
                              </w:divBdr>
                              <w:divsChild>
                                <w:div w:id="1961180142">
                                  <w:marLeft w:val="0"/>
                                  <w:marRight w:val="0"/>
                                  <w:marTop w:val="0"/>
                                  <w:marBottom w:val="0"/>
                                  <w:divBdr>
                                    <w:top w:val="none" w:sz="0" w:space="0" w:color="auto"/>
                                    <w:left w:val="none" w:sz="0" w:space="0" w:color="auto"/>
                                    <w:bottom w:val="none" w:sz="0" w:space="0" w:color="auto"/>
                                    <w:right w:val="none" w:sz="0" w:space="0" w:color="auto"/>
                                  </w:divBdr>
                                </w:div>
                              </w:divsChild>
                            </w:div>
                            <w:div w:id="239295389">
                              <w:marLeft w:val="0"/>
                              <w:marRight w:val="0"/>
                              <w:marTop w:val="0"/>
                              <w:marBottom w:val="0"/>
                              <w:divBdr>
                                <w:top w:val="none" w:sz="0" w:space="0" w:color="auto"/>
                                <w:left w:val="none" w:sz="0" w:space="0" w:color="auto"/>
                                <w:bottom w:val="none" w:sz="0" w:space="0" w:color="auto"/>
                                <w:right w:val="none" w:sz="0" w:space="0" w:color="auto"/>
                              </w:divBdr>
                              <w:divsChild>
                                <w:div w:id="17305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39948">
                          <w:marLeft w:val="0"/>
                          <w:marRight w:val="0"/>
                          <w:marTop w:val="0"/>
                          <w:marBottom w:val="0"/>
                          <w:divBdr>
                            <w:top w:val="none" w:sz="0" w:space="0" w:color="auto"/>
                            <w:left w:val="none" w:sz="0" w:space="0" w:color="auto"/>
                            <w:bottom w:val="none" w:sz="0" w:space="0" w:color="auto"/>
                            <w:right w:val="none" w:sz="0" w:space="0" w:color="auto"/>
                          </w:divBdr>
                          <w:divsChild>
                            <w:div w:id="1106116785">
                              <w:marLeft w:val="-90"/>
                              <w:marRight w:val="0"/>
                              <w:marTop w:val="90"/>
                              <w:marBottom w:val="90"/>
                              <w:divBdr>
                                <w:top w:val="none" w:sz="0" w:space="0" w:color="auto"/>
                                <w:left w:val="none" w:sz="0" w:space="0" w:color="auto"/>
                                <w:bottom w:val="none" w:sz="0" w:space="0" w:color="auto"/>
                                <w:right w:val="none" w:sz="0" w:space="0" w:color="auto"/>
                              </w:divBdr>
                            </w:div>
                            <w:div w:id="22445167">
                              <w:marLeft w:val="0"/>
                              <w:marRight w:val="0"/>
                              <w:marTop w:val="0"/>
                              <w:marBottom w:val="0"/>
                              <w:divBdr>
                                <w:top w:val="none" w:sz="0" w:space="0" w:color="auto"/>
                                <w:left w:val="none" w:sz="0" w:space="0" w:color="auto"/>
                                <w:bottom w:val="none" w:sz="0" w:space="0" w:color="auto"/>
                                <w:right w:val="none" w:sz="0" w:space="0" w:color="auto"/>
                              </w:divBdr>
                              <w:divsChild>
                                <w:div w:id="413207089">
                                  <w:marLeft w:val="0"/>
                                  <w:marRight w:val="0"/>
                                  <w:marTop w:val="0"/>
                                  <w:marBottom w:val="0"/>
                                  <w:divBdr>
                                    <w:top w:val="none" w:sz="0" w:space="0" w:color="auto"/>
                                    <w:left w:val="none" w:sz="0" w:space="0" w:color="auto"/>
                                    <w:bottom w:val="none" w:sz="0" w:space="0" w:color="auto"/>
                                    <w:right w:val="none" w:sz="0" w:space="0" w:color="auto"/>
                                  </w:divBdr>
                                </w:div>
                              </w:divsChild>
                            </w:div>
                            <w:div w:id="1598711361">
                              <w:marLeft w:val="0"/>
                              <w:marRight w:val="0"/>
                              <w:marTop w:val="0"/>
                              <w:marBottom w:val="0"/>
                              <w:divBdr>
                                <w:top w:val="none" w:sz="0" w:space="0" w:color="auto"/>
                                <w:left w:val="none" w:sz="0" w:space="0" w:color="auto"/>
                                <w:bottom w:val="none" w:sz="0" w:space="0" w:color="auto"/>
                                <w:right w:val="none" w:sz="0" w:space="0" w:color="auto"/>
                              </w:divBdr>
                              <w:divsChild>
                                <w:div w:id="1235436715">
                                  <w:marLeft w:val="0"/>
                                  <w:marRight w:val="0"/>
                                  <w:marTop w:val="0"/>
                                  <w:marBottom w:val="0"/>
                                  <w:divBdr>
                                    <w:top w:val="none" w:sz="0" w:space="0" w:color="auto"/>
                                    <w:left w:val="none" w:sz="0" w:space="0" w:color="auto"/>
                                    <w:bottom w:val="none" w:sz="0" w:space="0" w:color="auto"/>
                                    <w:right w:val="none" w:sz="0" w:space="0" w:color="auto"/>
                                  </w:divBdr>
                                </w:div>
                              </w:divsChild>
                            </w:div>
                            <w:div w:id="1406877467">
                              <w:marLeft w:val="0"/>
                              <w:marRight w:val="0"/>
                              <w:marTop w:val="0"/>
                              <w:marBottom w:val="0"/>
                              <w:divBdr>
                                <w:top w:val="none" w:sz="0" w:space="0" w:color="auto"/>
                                <w:left w:val="none" w:sz="0" w:space="0" w:color="auto"/>
                                <w:bottom w:val="none" w:sz="0" w:space="0" w:color="auto"/>
                                <w:right w:val="none" w:sz="0" w:space="0" w:color="auto"/>
                              </w:divBdr>
                              <w:divsChild>
                                <w:div w:id="3439340">
                                  <w:marLeft w:val="0"/>
                                  <w:marRight w:val="0"/>
                                  <w:marTop w:val="0"/>
                                  <w:marBottom w:val="0"/>
                                  <w:divBdr>
                                    <w:top w:val="none" w:sz="0" w:space="0" w:color="auto"/>
                                    <w:left w:val="none" w:sz="0" w:space="0" w:color="auto"/>
                                    <w:bottom w:val="none" w:sz="0" w:space="0" w:color="auto"/>
                                    <w:right w:val="none" w:sz="0" w:space="0" w:color="auto"/>
                                  </w:divBdr>
                                </w:div>
                              </w:divsChild>
                            </w:div>
                            <w:div w:id="1773431208">
                              <w:marLeft w:val="0"/>
                              <w:marRight w:val="0"/>
                              <w:marTop w:val="0"/>
                              <w:marBottom w:val="0"/>
                              <w:divBdr>
                                <w:top w:val="none" w:sz="0" w:space="0" w:color="auto"/>
                                <w:left w:val="none" w:sz="0" w:space="0" w:color="auto"/>
                                <w:bottom w:val="none" w:sz="0" w:space="0" w:color="auto"/>
                                <w:right w:val="none" w:sz="0" w:space="0" w:color="auto"/>
                              </w:divBdr>
                              <w:divsChild>
                                <w:div w:id="5343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24707">
                          <w:marLeft w:val="0"/>
                          <w:marRight w:val="0"/>
                          <w:marTop w:val="0"/>
                          <w:marBottom w:val="0"/>
                          <w:divBdr>
                            <w:top w:val="none" w:sz="0" w:space="0" w:color="auto"/>
                            <w:left w:val="none" w:sz="0" w:space="0" w:color="auto"/>
                            <w:bottom w:val="none" w:sz="0" w:space="0" w:color="auto"/>
                            <w:right w:val="none" w:sz="0" w:space="0" w:color="auto"/>
                          </w:divBdr>
                          <w:divsChild>
                            <w:div w:id="1370372294">
                              <w:marLeft w:val="-90"/>
                              <w:marRight w:val="0"/>
                              <w:marTop w:val="90"/>
                              <w:marBottom w:val="90"/>
                              <w:divBdr>
                                <w:top w:val="none" w:sz="0" w:space="0" w:color="auto"/>
                                <w:left w:val="none" w:sz="0" w:space="0" w:color="auto"/>
                                <w:bottom w:val="none" w:sz="0" w:space="0" w:color="auto"/>
                                <w:right w:val="none" w:sz="0" w:space="0" w:color="auto"/>
                              </w:divBdr>
                            </w:div>
                            <w:div w:id="1937013191">
                              <w:marLeft w:val="0"/>
                              <w:marRight w:val="0"/>
                              <w:marTop w:val="0"/>
                              <w:marBottom w:val="0"/>
                              <w:divBdr>
                                <w:top w:val="none" w:sz="0" w:space="0" w:color="auto"/>
                                <w:left w:val="none" w:sz="0" w:space="0" w:color="auto"/>
                                <w:bottom w:val="none" w:sz="0" w:space="0" w:color="auto"/>
                                <w:right w:val="none" w:sz="0" w:space="0" w:color="auto"/>
                              </w:divBdr>
                              <w:divsChild>
                                <w:div w:id="332493928">
                                  <w:marLeft w:val="0"/>
                                  <w:marRight w:val="0"/>
                                  <w:marTop w:val="0"/>
                                  <w:marBottom w:val="0"/>
                                  <w:divBdr>
                                    <w:top w:val="none" w:sz="0" w:space="0" w:color="auto"/>
                                    <w:left w:val="none" w:sz="0" w:space="0" w:color="auto"/>
                                    <w:bottom w:val="none" w:sz="0" w:space="0" w:color="auto"/>
                                    <w:right w:val="none" w:sz="0" w:space="0" w:color="auto"/>
                                  </w:divBdr>
                                </w:div>
                              </w:divsChild>
                            </w:div>
                            <w:div w:id="433671795">
                              <w:marLeft w:val="0"/>
                              <w:marRight w:val="0"/>
                              <w:marTop w:val="0"/>
                              <w:marBottom w:val="0"/>
                              <w:divBdr>
                                <w:top w:val="none" w:sz="0" w:space="0" w:color="auto"/>
                                <w:left w:val="none" w:sz="0" w:space="0" w:color="auto"/>
                                <w:bottom w:val="none" w:sz="0" w:space="0" w:color="auto"/>
                                <w:right w:val="none" w:sz="0" w:space="0" w:color="auto"/>
                              </w:divBdr>
                              <w:divsChild>
                                <w:div w:id="2052070699">
                                  <w:marLeft w:val="0"/>
                                  <w:marRight w:val="0"/>
                                  <w:marTop w:val="0"/>
                                  <w:marBottom w:val="0"/>
                                  <w:divBdr>
                                    <w:top w:val="none" w:sz="0" w:space="0" w:color="auto"/>
                                    <w:left w:val="none" w:sz="0" w:space="0" w:color="auto"/>
                                    <w:bottom w:val="none" w:sz="0" w:space="0" w:color="auto"/>
                                    <w:right w:val="none" w:sz="0" w:space="0" w:color="auto"/>
                                  </w:divBdr>
                                </w:div>
                              </w:divsChild>
                            </w:div>
                            <w:div w:id="31855050">
                              <w:marLeft w:val="0"/>
                              <w:marRight w:val="0"/>
                              <w:marTop w:val="0"/>
                              <w:marBottom w:val="0"/>
                              <w:divBdr>
                                <w:top w:val="none" w:sz="0" w:space="0" w:color="auto"/>
                                <w:left w:val="none" w:sz="0" w:space="0" w:color="auto"/>
                                <w:bottom w:val="none" w:sz="0" w:space="0" w:color="auto"/>
                                <w:right w:val="none" w:sz="0" w:space="0" w:color="auto"/>
                              </w:divBdr>
                              <w:divsChild>
                                <w:div w:id="670789473">
                                  <w:marLeft w:val="0"/>
                                  <w:marRight w:val="0"/>
                                  <w:marTop w:val="0"/>
                                  <w:marBottom w:val="0"/>
                                  <w:divBdr>
                                    <w:top w:val="none" w:sz="0" w:space="0" w:color="auto"/>
                                    <w:left w:val="none" w:sz="0" w:space="0" w:color="auto"/>
                                    <w:bottom w:val="none" w:sz="0" w:space="0" w:color="auto"/>
                                    <w:right w:val="none" w:sz="0" w:space="0" w:color="auto"/>
                                  </w:divBdr>
                                </w:div>
                              </w:divsChild>
                            </w:div>
                            <w:div w:id="636883282">
                              <w:marLeft w:val="0"/>
                              <w:marRight w:val="0"/>
                              <w:marTop w:val="0"/>
                              <w:marBottom w:val="0"/>
                              <w:divBdr>
                                <w:top w:val="none" w:sz="0" w:space="0" w:color="auto"/>
                                <w:left w:val="none" w:sz="0" w:space="0" w:color="auto"/>
                                <w:bottom w:val="none" w:sz="0" w:space="0" w:color="auto"/>
                                <w:right w:val="none" w:sz="0" w:space="0" w:color="auto"/>
                              </w:divBdr>
                              <w:divsChild>
                                <w:div w:id="190429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43241">
                          <w:marLeft w:val="0"/>
                          <w:marRight w:val="0"/>
                          <w:marTop w:val="0"/>
                          <w:marBottom w:val="0"/>
                          <w:divBdr>
                            <w:top w:val="none" w:sz="0" w:space="0" w:color="auto"/>
                            <w:left w:val="none" w:sz="0" w:space="0" w:color="auto"/>
                            <w:bottom w:val="none" w:sz="0" w:space="0" w:color="auto"/>
                            <w:right w:val="none" w:sz="0" w:space="0" w:color="auto"/>
                          </w:divBdr>
                          <w:divsChild>
                            <w:div w:id="1755201383">
                              <w:marLeft w:val="-90"/>
                              <w:marRight w:val="0"/>
                              <w:marTop w:val="90"/>
                              <w:marBottom w:val="90"/>
                              <w:divBdr>
                                <w:top w:val="none" w:sz="0" w:space="0" w:color="auto"/>
                                <w:left w:val="none" w:sz="0" w:space="0" w:color="auto"/>
                                <w:bottom w:val="none" w:sz="0" w:space="0" w:color="auto"/>
                                <w:right w:val="none" w:sz="0" w:space="0" w:color="auto"/>
                              </w:divBdr>
                            </w:div>
                            <w:div w:id="486945885">
                              <w:marLeft w:val="0"/>
                              <w:marRight w:val="0"/>
                              <w:marTop w:val="0"/>
                              <w:marBottom w:val="0"/>
                              <w:divBdr>
                                <w:top w:val="none" w:sz="0" w:space="0" w:color="auto"/>
                                <w:left w:val="none" w:sz="0" w:space="0" w:color="auto"/>
                                <w:bottom w:val="none" w:sz="0" w:space="0" w:color="auto"/>
                                <w:right w:val="none" w:sz="0" w:space="0" w:color="auto"/>
                              </w:divBdr>
                              <w:divsChild>
                                <w:div w:id="2133669138">
                                  <w:marLeft w:val="0"/>
                                  <w:marRight w:val="0"/>
                                  <w:marTop w:val="0"/>
                                  <w:marBottom w:val="0"/>
                                  <w:divBdr>
                                    <w:top w:val="none" w:sz="0" w:space="0" w:color="auto"/>
                                    <w:left w:val="none" w:sz="0" w:space="0" w:color="auto"/>
                                    <w:bottom w:val="none" w:sz="0" w:space="0" w:color="auto"/>
                                    <w:right w:val="none" w:sz="0" w:space="0" w:color="auto"/>
                                  </w:divBdr>
                                </w:div>
                              </w:divsChild>
                            </w:div>
                            <w:div w:id="25101982">
                              <w:marLeft w:val="0"/>
                              <w:marRight w:val="0"/>
                              <w:marTop w:val="0"/>
                              <w:marBottom w:val="0"/>
                              <w:divBdr>
                                <w:top w:val="none" w:sz="0" w:space="0" w:color="auto"/>
                                <w:left w:val="none" w:sz="0" w:space="0" w:color="auto"/>
                                <w:bottom w:val="none" w:sz="0" w:space="0" w:color="auto"/>
                                <w:right w:val="none" w:sz="0" w:space="0" w:color="auto"/>
                              </w:divBdr>
                              <w:divsChild>
                                <w:div w:id="1965382652">
                                  <w:marLeft w:val="0"/>
                                  <w:marRight w:val="0"/>
                                  <w:marTop w:val="0"/>
                                  <w:marBottom w:val="0"/>
                                  <w:divBdr>
                                    <w:top w:val="none" w:sz="0" w:space="0" w:color="auto"/>
                                    <w:left w:val="none" w:sz="0" w:space="0" w:color="auto"/>
                                    <w:bottom w:val="none" w:sz="0" w:space="0" w:color="auto"/>
                                    <w:right w:val="none" w:sz="0" w:space="0" w:color="auto"/>
                                  </w:divBdr>
                                </w:div>
                              </w:divsChild>
                            </w:div>
                            <w:div w:id="95490669">
                              <w:marLeft w:val="0"/>
                              <w:marRight w:val="0"/>
                              <w:marTop w:val="0"/>
                              <w:marBottom w:val="0"/>
                              <w:divBdr>
                                <w:top w:val="none" w:sz="0" w:space="0" w:color="auto"/>
                                <w:left w:val="none" w:sz="0" w:space="0" w:color="auto"/>
                                <w:bottom w:val="none" w:sz="0" w:space="0" w:color="auto"/>
                                <w:right w:val="none" w:sz="0" w:space="0" w:color="auto"/>
                              </w:divBdr>
                              <w:divsChild>
                                <w:div w:id="1732000475">
                                  <w:marLeft w:val="0"/>
                                  <w:marRight w:val="0"/>
                                  <w:marTop w:val="0"/>
                                  <w:marBottom w:val="0"/>
                                  <w:divBdr>
                                    <w:top w:val="none" w:sz="0" w:space="0" w:color="auto"/>
                                    <w:left w:val="none" w:sz="0" w:space="0" w:color="auto"/>
                                    <w:bottom w:val="none" w:sz="0" w:space="0" w:color="auto"/>
                                    <w:right w:val="none" w:sz="0" w:space="0" w:color="auto"/>
                                  </w:divBdr>
                                </w:div>
                              </w:divsChild>
                            </w:div>
                            <w:div w:id="1183275768">
                              <w:marLeft w:val="0"/>
                              <w:marRight w:val="0"/>
                              <w:marTop w:val="0"/>
                              <w:marBottom w:val="0"/>
                              <w:divBdr>
                                <w:top w:val="none" w:sz="0" w:space="0" w:color="auto"/>
                                <w:left w:val="none" w:sz="0" w:space="0" w:color="auto"/>
                                <w:bottom w:val="none" w:sz="0" w:space="0" w:color="auto"/>
                                <w:right w:val="none" w:sz="0" w:space="0" w:color="auto"/>
                              </w:divBdr>
                              <w:divsChild>
                                <w:div w:id="1536649011">
                                  <w:marLeft w:val="0"/>
                                  <w:marRight w:val="0"/>
                                  <w:marTop w:val="0"/>
                                  <w:marBottom w:val="0"/>
                                  <w:divBdr>
                                    <w:top w:val="none" w:sz="0" w:space="0" w:color="auto"/>
                                    <w:left w:val="none" w:sz="0" w:space="0" w:color="auto"/>
                                    <w:bottom w:val="none" w:sz="0" w:space="0" w:color="auto"/>
                                    <w:right w:val="none" w:sz="0" w:space="0" w:color="auto"/>
                                  </w:divBdr>
                                </w:div>
                              </w:divsChild>
                            </w:div>
                            <w:div w:id="1528257339">
                              <w:marLeft w:val="0"/>
                              <w:marRight w:val="0"/>
                              <w:marTop w:val="0"/>
                              <w:marBottom w:val="0"/>
                              <w:divBdr>
                                <w:top w:val="none" w:sz="0" w:space="0" w:color="auto"/>
                                <w:left w:val="none" w:sz="0" w:space="0" w:color="auto"/>
                                <w:bottom w:val="none" w:sz="0" w:space="0" w:color="auto"/>
                                <w:right w:val="none" w:sz="0" w:space="0" w:color="auto"/>
                              </w:divBdr>
                              <w:divsChild>
                                <w:div w:id="1894081238">
                                  <w:marLeft w:val="0"/>
                                  <w:marRight w:val="0"/>
                                  <w:marTop w:val="0"/>
                                  <w:marBottom w:val="0"/>
                                  <w:divBdr>
                                    <w:top w:val="none" w:sz="0" w:space="0" w:color="auto"/>
                                    <w:left w:val="none" w:sz="0" w:space="0" w:color="auto"/>
                                    <w:bottom w:val="none" w:sz="0" w:space="0" w:color="auto"/>
                                    <w:right w:val="none" w:sz="0" w:space="0" w:color="auto"/>
                                  </w:divBdr>
                                </w:div>
                              </w:divsChild>
                            </w:div>
                            <w:div w:id="420103250">
                              <w:marLeft w:val="0"/>
                              <w:marRight w:val="0"/>
                              <w:marTop w:val="0"/>
                              <w:marBottom w:val="0"/>
                              <w:divBdr>
                                <w:top w:val="none" w:sz="0" w:space="0" w:color="auto"/>
                                <w:left w:val="none" w:sz="0" w:space="0" w:color="auto"/>
                                <w:bottom w:val="none" w:sz="0" w:space="0" w:color="auto"/>
                                <w:right w:val="none" w:sz="0" w:space="0" w:color="auto"/>
                              </w:divBdr>
                              <w:divsChild>
                                <w:div w:id="356152198">
                                  <w:marLeft w:val="0"/>
                                  <w:marRight w:val="0"/>
                                  <w:marTop w:val="0"/>
                                  <w:marBottom w:val="0"/>
                                  <w:divBdr>
                                    <w:top w:val="none" w:sz="0" w:space="0" w:color="auto"/>
                                    <w:left w:val="none" w:sz="0" w:space="0" w:color="auto"/>
                                    <w:bottom w:val="none" w:sz="0" w:space="0" w:color="auto"/>
                                    <w:right w:val="none" w:sz="0" w:space="0" w:color="auto"/>
                                  </w:divBdr>
                                </w:div>
                              </w:divsChild>
                            </w:div>
                            <w:div w:id="1204632579">
                              <w:marLeft w:val="0"/>
                              <w:marRight w:val="0"/>
                              <w:marTop w:val="0"/>
                              <w:marBottom w:val="0"/>
                              <w:divBdr>
                                <w:top w:val="none" w:sz="0" w:space="0" w:color="auto"/>
                                <w:left w:val="none" w:sz="0" w:space="0" w:color="auto"/>
                                <w:bottom w:val="none" w:sz="0" w:space="0" w:color="auto"/>
                                <w:right w:val="none" w:sz="0" w:space="0" w:color="auto"/>
                              </w:divBdr>
                              <w:divsChild>
                                <w:div w:id="267351330">
                                  <w:marLeft w:val="0"/>
                                  <w:marRight w:val="0"/>
                                  <w:marTop w:val="0"/>
                                  <w:marBottom w:val="0"/>
                                  <w:divBdr>
                                    <w:top w:val="none" w:sz="0" w:space="0" w:color="auto"/>
                                    <w:left w:val="none" w:sz="0" w:space="0" w:color="auto"/>
                                    <w:bottom w:val="none" w:sz="0" w:space="0" w:color="auto"/>
                                    <w:right w:val="none" w:sz="0" w:space="0" w:color="auto"/>
                                  </w:divBdr>
                                </w:div>
                              </w:divsChild>
                            </w:div>
                            <w:div w:id="1197155876">
                              <w:marLeft w:val="0"/>
                              <w:marRight w:val="0"/>
                              <w:marTop w:val="0"/>
                              <w:marBottom w:val="0"/>
                              <w:divBdr>
                                <w:top w:val="none" w:sz="0" w:space="0" w:color="auto"/>
                                <w:left w:val="none" w:sz="0" w:space="0" w:color="auto"/>
                                <w:bottom w:val="none" w:sz="0" w:space="0" w:color="auto"/>
                                <w:right w:val="none" w:sz="0" w:space="0" w:color="auto"/>
                              </w:divBdr>
                              <w:divsChild>
                                <w:div w:id="1749376542">
                                  <w:marLeft w:val="0"/>
                                  <w:marRight w:val="0"/>
                                  <w:marTop w:val="0"/>
                                  <w:marBottom w:val="0"/>
                                  <w:divBdr>
                                    <w:top w:val="none" w:sz="0" w:space="0" w:color="auto"/>
                                    <w:left w:val="none" w:sz="0" w:space="0" w:color="auto"/>
                                    <w:bottom w:val="none" w:sz="0" w:space="0" w:color="auto"/>
                                    <w:right w:val="none" w:sz="0" w:space="0" w:color="auto"/>
                                  </w:divBdr>
                                </w:div>
                              </w:divsChild>
                            </w:div>
                            <w:div w:id="1869833696">
                              <w:marLeft w:val="0"/>
                              <w:marRight w:val="0"/>
                              <w:marTop w:val="0"/>
                              <w:marBottom w:val="0"/>
                              <w:divBdr>
                                <w:top w:val="none" w:sz="0" w:space="0" w:color="auto"/>
                                <w:left w:val="none" w:sz="0" w:space="0" w:color="auto"/>
                                <w:bottom w:val="none" w:sz="0" w:space="0" w:color="auto"/>
                                <w:right w:val="none" w:sz="0" w:space="0" w:color="auto"/>
                              </w:divBdr>
                              <w:divsChild>
                                <w:div w:id="111424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79373">
                  <w:marLeft w:val="0"/>
                  <w:marRight w:val="0"/>
                  <w:marTop w:val="0"/>
                  <w:marBottom w:val="0"/>
                  <w:divBdr>
                    <w:top w:val="none" w:sz="0" w:space="0" w:color="auto"/>
                    <w:left w:val="none" w:sz="0" w:space="0" w:color="auto"/>
                    <w:bottom w:val="none" w:sz="0" w:space="0" w:color="auto"/>
                    <w:right w:val="none" w:sz="0" w:space="0" w:color="auto"/>
                  </w:divBdr>
                  <w:divsChild>
                    <w:div w:id="1362168313">
                      <w:marLeft w:val="0"/>
                      <w:marRight w:val="0"/>
                      <w:marTop w:val="0"/>
                      <w:marBottom w:val="120"/>
                      <w:divBdr>
                        <w:top w:val="single" w:sz="4" w:space="7" w:color="4D6BFE"/>
                        <w:left w:val="single" w:sz="4" w:space="9" w:color="4D6BFE"/>
                        <w:bottom w:val="single" w:sz="4" w:space="7" w:color="4D6BFE"/>
                        <w:right w:val="single" w:sz="4" w:space="9" w:color="4D6BFE"/>
                      </w:divBdr>
                    </w:div>
                    <w:div w:id="1607999043">
                      <w:marLeft w:val="0"/>
                      <w:marRight w:val="0"/>
                      <w:marTop w:val="0"/>
                      <w:marBottom w:val="0"/>
                      <w:divBdr>
                        <w:top w:val="none" w:sz="0" w:space="0" w:color="auto"/>
                        <w:left w:val="none" w:sz="0" w:space="0" w:color="auto"/>
                        <w:bottom w:val="none" w:sz="0" w:space="0" w:color="auto"/>
                        <w:right w:val="none" w:sz="0" w:space="0" w:color="auto"/>
                      </w:divBdr>
                      <w:divsChild>
                        <w:div w:id="240215913">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530329">
          <w:marLeft w:val="0"/>
          <w:marRight w:val="0"/>
          <w:marTop w:val="0"/>
          <w:marBottom w:val="0"/>
          <w:divBdr>
            <w:top w:val="none" w:sz="0" w:space="0" w:color="auto"/>
            <w:left w:val="none" w:sz="0" w:space="0" w:color="auto"/>
            <w:bottom w:val="none" w:sz="0" w:space="0" w:color="auto"/>
            <w:right w:val="none" w:sz="0" w:space="0" w:color="auto"/>
          </w:divBdr>
          <w:divsChild>
            <w:div w:id="494809850">
              <w:marLeft w:val="0"/>
              <w:marRight w:val="0"/>
              <w:marTop w:val="0"/>
              <w:marBottom w:val="0"/>
              <w:divBdr>
                <w:top w:val="none" w:sz="0" w:space="0" w:color="auto"/>
                <w:left w:val="none" w:sz="0" w:space="0" w:color="auto"/>
                <w:bottom w:val="none" w:sz="0" w:space="0" w:color="auto"/>
                <w:right w:val="none" w:sz="0" w:space="0" w:color="auto"/>
              </w:divBdr>
              <w:divsChild>
                <w:div w:id="1569876538">
                  <w:marLeft w:val="0"/>
                  <w:marRight w:val="0"/>
                  <w:marTop w:val="0"/>
                  <w:marBottom w:val="0"/>
                  <w:divBdr>
                    <w:top w:val="none" w:sz="0" w:space="0" w:color="auto"/>
                    <w:left w:val="none" w:sz="0" w:space="0" w:color="auto"/>
                    <w:bottom w:val="none" w:sz="0" w:space="0" w:color="auto"/>
                    <w:right w:val="none" w:sz="0" w:space="0" w:color="auto"/>
                  </w:divBdr>
                  <w:divsChild>
                    <w:div w:id="979461576">
                      <w:marLeft w:val="0"/>
                      <w:marRight w:val="0"/>
                      <w:marTop w:val="0"/>
                      <w:marBottom w:val="0"/>
                      <w:divBdr>
                        <w:top w:val="none" w:sz="0" w:space="0" w:color="auto"/>
                        <w:left w:val="none" w:sz="0" w:space="0" w:color="auto"/>
                        <w:bottom w:val="none" w:sz="0" w:space="0" w:color="auto"/>
                        <w:right w:val="none" w:sz="0" w:space="0" w:color="auto"/>
                      </w:divBdr>
                      <w:divsChild>
                        <w:div w:id="1850292376">
                          <w:marLeft w:val="0"/>
                          <w:marRight w:val="0"/>
                          <w:marTop w:val="0"/>
                          <w:marBottom w:val="0"/>
                          <w:divBdr>
                            <w:top w:val="none" w:sz="0" w:space="0" w:color="auto"/>
                            <w:left w:val="none" w:sz="0" w:space="0" w:color="auto"/>
                            <w:bottom w:val="none" w:sz="0" w:space="0" w:color="auto"/>
                            <w:right w:val="none" w:sz="0" w:space="0" w:color="auto"/>
                          </w:divBdr>
                          <w:divsChild>
                            <w:div w:id="119842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07341">
                  <w:marLeft w:val="0"/>
                  <w:marRight w:val="0"/>
                  <w:marTop w:val="0"/>
                  <w:marBottom w:val="0"/>
                  <w:divBdr>
                    <w:top w:val="none" w:sz="0" w:space="0" w:color="auto"/>
                    <w:left w:val="none" w:sz="0" w:space="0" w:color="auto"/>
                    <w:bottom w:val="none" w:sz="0" w:space="0" w:color="auto"/>
                    <w:right w:val="none" w:sz="0" w:space="0" w:color="auto"/>
                  </w:divBdr>
                  <w:divsChild>
                    <w:div w:id="822820622">
                      <w:marLeft w:val="0"/>
                      <w:marRight w:val="0"/>
                      <w:marTop w:val="0"/>
                      <w:marBottom w:val="0"/>
                      <w:divBdr>
                        <w:top w:val="none" w:sz="0" w:space="0" w:color="auto"/>
                        <w:left w:val="none" w:sz="0" w:space="0" w:color="auto"/>
                        <w:bottom w:val="none" w:sz="0" w:space="0" w:color="auto"/>
                        <w:right w:val="none" w:sz="0" w:space="0" w:color="auto"/>
                      </w:divBdr>
                      <w:divsChild>
                        <w:div w:id="1768499728">
                          <w:marLeft w:val="0"/>
                          <w:marRight w:val="0"/>
                          <w:marTop w:val="0"/>
                          <w:marBottom w:val="0"/>
                          <w:divBdr>
                            <w:top w:val="none" w:sz="0" w:space="0" w:color="auto"/>
                            <w:left w:val="none" w:sz="0" w:space="0" w:color="auto"/>
                            <w:bottom w:val="none" w:sz="0" w:space="0" w:color="auto"/>
                            <w:right w:val="none" w:sz="0" w:space="0" w:color="auto"/>
                          </w:divBdr>
                          <w:divsChild>
                            <w:div w:id="1672903918">
                              <w:marLeft w:val="0"/>
                              <w:marRight w:val="0"/>
                              <w:marTop w:val="100"/>
                              <w:marBottom w:val="100"/>
                              <w:divBdr>
                                <w:top w:val="none" w:sz="0" w:space="0" w:color="auto"/>
                                <w:left w:val="none" w:sz="0" w:space="0" w:color="auto"/>
                                <w:bottom w:val="none" w:sz="0" w:space="0" w:color="auto"/>
                                <w:right w:val="none" w:sz="0" w:space="0" w:color="auto"/>
                              </w:divBdr>
                              <w:divsChild>
                                <w:div w:id="347175752">
                                  <w:marLeft w:val="0"/>
                                  <w:marRight w:val="0"/>
                                  <w:marTop w:val="0"/>
                                  <w:marBottom w:val="240"/>
                                  <w:divBdr>
                                    <w:top w:val="none" w:sz="0" w:space="0" w:color="auto"/>
                                    <w:left w:val="none" w:sz="0" w:space="0" w:color="auto"/>
                                    <w:bottom w:val="none" w:sz="0" w:space="0" w:color="auto"/>
                                    <w:right w:val="none" w:sz="0" w:space="0" w:color="auto"/>
                                  </w:divBdr>
                                  <w:divsChild>
                                    <w:div w:id="1459835246">
                                      <w:marLeft w:val="0"/>
                                      <w:marRight w:val="0"/>
                                      <w:marTop w:val="0"/>
                                      <w:marBottom w:val="0"/>
                                      <w:divBdr>
                                        <w:top w:val="none" w:sz="0" w:space="0" w:color="auto"/>
                                        <w:left w:val="none" w:sz="0" w:space="0" w:color="auto"/>
                                        <w:bottom w:val="none" w:sz="0" w:space="0" w:color="auto"/>
                                        <w:right w:val="none" w:sz="0" w:space="0" w:color="auto"/>
                                      </w:divBdr>
                                    </w:div>
                                  </w:divsChild>
                                </w:div>
                                <w:div w:id="958755885">
                                  <w:marLeft w:val="0"/>
                                  <w:marRight w:val="0"/>
                                  <w:marTop w:val="0"/>
                                  <w:marBottom w:val="180"/>
                                  <w:divBdr>
                                    <w:top w:val="none" w:sz="0" w:space="0" w:color="auto"/>
                                    <w:left w:val="none" w:sz="0" w:space="0" w:color="auto"/>
                                    <w:bottom w:val="none" w:sz="0" w:space="0" w:color="auto"/>
                                    <w:right w:val="none" w:sz="0" w:space="0" w:color="auto"/>
                                  </w:divBdr>
                                  <w:divsChild>
                                    <w:div w:id="754060414">
                                      <w:marLeft w:val="0"/>
                                      <w:marRight w:val="0"/>
                                      <w:marTop w:val="0"/>
                                      <w:marBottom w:val="0"/>
                                      <w:divBdr>
                                        <w:top w:val="none" w:sz="0" w:space="0" w:color="auto"/>
                                        <w:left w:val="none" w:sz="0" w:space="0" w:color="auto"/>
                                        <w:bottom w:val="none" w:sz="0" w:space="0" w:color="auto"/>
                                        <w:right w:val="none" w:sz="0" w:space="0" w:color="auto"/>
                                      </w:divBdr>
                                    </w:div>
                                  </w:divsChild>
                                </w:div>
                                <w:div w:id="817458300">
                                  <w:marLeft w:val="0"/>
                                  <w:marRight w:val="0"/>
                                  <w:marTop w:val="0"/>
                                  <w:marBottom w:val="240"/>
                                  <w:divBdr>
                                    <w:top w:val="none" w:sz="0" w:space="0" w:color="auto"/>
                                    <w:left w:val="none" w:sz="0" w:space="0" w:color="auto"/>
                                    <w:bottom w:val="none" w:sz="0" w:space="0" w:color="auto"/>
                                    <w:right w:val="none" w:sz="0" w:space="0" w:color="auto"/>
                                  </w:divBdr>
                                  <w:divsChild>
                                    <w:div w:id="245500920">
                                      <w:marLeft w:val="0"/>
                                      <w:marRight w:val="0"/>
                                      <w:marTop w:val="0"/>
                                      <w:marBottom w:val="0"/>
                                      <w:divBdr>
                                        <w:top w:val="none" w:sz="0" w:space="0" w:color="auto"/>
                                        <w:left w:val="none" w:sz="0" w:space="0" w:color="auto"/>
                                        <w:bottom w:val="none" w:sz="0" w:space="0" w:color="auto"/>
                                        <w:right w:val="none" w:sz="0" w:space="0" w:color="auto"/>
                                      </w:divBdr>
                                    </w:div>
                                  </w:divsChild>
                                </w:div>
                                <w:div w:id="738672406">
                                  <w:marLeft w:val="0"/>
                                  <w:marRight w:val="0"/>
                                  <w:marTop w:val="0"/>
                                  <w:marBottom w:val="180"/>
                                  <w:divBdr>
                                    <w:top w:val="none" w:sz="0" w:space="0" w:color="auto"/>
                                    <w:left w:val="none" w:sz="0" w:space="0" w:color="auto"/>
                                    <w:bottom w:val="none" w:sz="0" w:space="0" w:color="auto"/>
                                    <w:right w:val="none" w:sz="0" w:space="0" w:color="auto"/>
                                  </w:divBdr>
                                  <w:divsChild>
                                    <w:div w:id="1252011412">
                                      <w:marLeft w:val="0"/>
                                      <w:marRight w:val="0"/>
                                      <w:marTop w:val="0"/>
                                      <w:marBottom w:val="0"/>
                                      <w:divBdr>
                                        <w:top w:val="none" w:sz="0" w:space="0" w:color="auto"/>
                                        <w:left w:val="none" w:sz="0" w:space="0" w:color="auto"/>
                                        <w:bottom w:val="none" w:sz="0" w:space="0" w:color="auto"/>
                                        <w:right w:val="none" w:sz="0" w:space="0" w:color="auto"/>
                                      </w:divBdr>
                                    </w:div>
                                  </w:divsChild>
                                </w:div>
                                <w:div w:id="580604081">
                                  <w:marLeft w:val="0"/>
                                  <w:marRight w:val="0"/>
                                  <w:marTop w:val="0"/>
                                  <w:marBottom w:val="240"/>
                                  <w:divBdr>
                                    <w:top w:val="none" w:sz="0" w:space="0" w:color="auto"/>
                                    <w:left w:val="none" w:sz="0" w:space="0" w:color="auto"/>
                                    <w:bottom w:val="none" w:sz="0" w:space="0" w:color="auto"/>
                                    <w:right w:val="none" w:sz="0" w:space="0" w:color="auto"/>
                                  </w:divBdr>
                                  <w:divsChild>
                                    <w:div w:id="1080829619">
                                      <w:marLeft w:val="0"/>
                                      <w:marRight w:val="0"/>
                                      <w:marTop w:val="0"/>
                                      <w:marBottom w:val="0"/>
                                      <w:divBdr>
                                        <w:top w:val="none" w:sz="0" w:space="0" w:color="auto"/>
                                        <w:left w:val="none" w:sz="0" w:space="0" w:color="auto"/>
                                        <w:bottom w:val="none" w:sz="0" w:space="0" w:color="auto"/>
                                        <w:right w:val="none" w:sz="0" w:space="0" w:color="auto"/>
                                      </w:divBdr>
                                    </w:div>
                                  </w:divsChild>
                                </w:div>
                                <w:div w:id="65612332">
                                  <w:marLeft w:val="0"/>
                                  <w:marRight w:val="0"/>
                                  <w:marTop w:val="0"/>
                                  <w:marBottom w:val="0"/>
                                  <w:divBdr>
                                    <w:top w:val="none" w:sz="0" w:space="0" w:color="auto"/>
                                    <w:left w:val="none" w:sz="0" w:space="0" w:color="auto"/>
                                    <w:bottom w:val="none" w:sz="0" w:space="0" w:color="auto"/>
                                    <w:right w:val="none" w:sz="0" w:space="0" w:color="auto"/>
                                  </w:divBdr>
                                  <w:divsChild>
                                    <w:div w:id="79818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7710312">
      <w:bodyDiv w:val="1"/>
      <w:marLeft w:val="0"/>
      <w:marRight w:val="0"/>
      <w:marTop w:val="0"/>
      <w:marBottom w:val="0"/>
      <w:divBdr>
        <w:top w:val="none" w:sz="0" w:space="0" w:color="auto"/>
        <w:left w:val="none" w:sz="0" w:space="0" w:color="auto"/>
        <w:bottom w:val="none" w:sz="0" w:space="0" w:color="auto"/>
        <w:right w:val="none" w:sz="0" w:space="0" w:color="auto"/>
      </w:divBdr>
      <w:divsChild>
        <w:div w:id="790131376">
          <w:marLeft w:val="0"/>
          <w:marRight w:val="0"/>
          <w:marTop w:val="0"/>
          <w:marBottom w:val="0"/>
          <w:divBdr>
            <w:top w:val="none" w:sz="0" w:space="0" w:color="auto"/>
            <w:left w:val="none" w:sz="0" w:space="0" w:color="auto"/>
            <w:bottom w:val="none" w:sz="0" w:space="0" w:color="auto"/>
            <w:right w:val="none" w:sz="0" w:space="0" w:color="auto"/>
          </w:divBdr>
          <w:divsChild>
            <w:div w:id="775292609">
              <w:marLeft w:val="0"/>
              <w:marRight w:val="0"/>
              <w:marTop w:val="0"/>
              <w:marBottom w:val="0"/>
              <w:divBdr>
                <w:top w:val="none" w:sz="0" w:space="0" w:color="auto"/>
                <w:left w:val="none" w:sz="0" w:space="0" w:color="auto"/>
                <w:bottom w:val="none" w:sz="0" w:space="0" w:color="auto"/>
                <w:right w:val="none" w:sz="0" w:space="0" w:color="auto"/>
              </w:divBdr>
              <w:divsChild>
                <w:div w:id="616985701">
                  <w:marLeft w:val="0"/>
                  <w:marRight w:val="0"/>
                  <w:marTop w:val="0"/>
                  <w:marBottom w:val="510"/>
                  <w:divBdr>
                    <w:top w:val="none" w:sz="0" w:space="0" w:color="auto"/>
                    <w:left w:val="none" w:sz="0" w:space="0" w:color="auto"/>
                    <w:bottom w:val="none" w:sz="0" w:space="0" w:color="auto"/>
                    <w:right w:val="none" w:sz="0" w:space="0" w:color="auto"/>
                  </w:divBdr>
                  <w:divsChild>
                    <w:div w:id="1145707800">
                      <w:marLeft w:val="210"/>
                      <w:marRight w:val="30"/>
                      <w:marTop w:val="0"/>
                      <w:marBottom w:val="0"/>
                      <w:divBdr>
                        <w:top w:val="none" w:sz="0" w:space="0" w:color="auto"/>
                        <w:left w:val="none" w:sz="0" w:space="0" w:color="auto"/>
                        <w:bottom w:val="none" w:sz="0" w:space="0" w:color="auto"/>
                        <w:right w:val="none" w:sz="0" w:space="0" w:color="auto"/>
                      </w:divBdr>
                      <w:divsChild>
                        <w:div w:id="7602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44771">
                  <w:marLeft w:val="0"/>
                  <w:marRight w:val="0"/>
                  <w:marTop w:val="0"/>
                  <w:marBottom w:val="0"/>
                  <w:divBdr>
                    <w:top w:val="none" w:sz="0" w:space="0" w:color="auto"/>
                    <w:left w:val="none" w:sz="0" w:space="0" w:color="auto"/>
                    <w:bottom w:val="none" w:sz="0" w:space="0" w:color="auto"/>
                    <w:right w:val="none" w:sz="0" w:space="0" w:color="auto"/>
                  </w:divBdr>
                  <w:divsChild>
                    <w:div w:id="1482237747">
                      <w:marLeft w:val="0"/>
                      <w:marRight w:val="0"/>
                      <w:marTop w:val="0"/>
                      <w:marBottom w:val="0"/>
                      <w:divBdr>
                        <w:top w:val="none" w:sz="0" w:space="0" w:color="auto"/>
                        <w:left w:val="none" w:sz="0" w:space="0" w:color="auto"/>
                        <w:bottom w:val="none" w:sz="0" w:space="0" w:color="auto"/>
                        <w:right w:val="none" w:sz="0" w:space="0" w:color="auto"/>
                      </w:divBdr>
                      <w:divsChild>
                        <w:div w:id="909927459">
                          <w:marLeft w:val="0"/>
                          <w:marRight w:val="0"/>
                          <w:marTop w:val="0"/>
                          <w:marBottom w:val="0"/>
                          <w:divBdr>
                            <w:top w:val="none" w:sz="0" w:space="0" w:color="auto"/>
                            <w:left w:val="none" w:sz="0" w:space="0" w:color="auto"/>
                            <w:bottom w:val="none" w:sz="0" w:space="0" w:color="auto"/>
                            <w:right w:val="none" w:sz="0" w:space="0" w:color="auto"/>
                          </w:divBdr>
                          <w:divsChild>
                            <w:div w:id="2047562758">
                              <w:marLeft w:val="-90"/>
                              <w:marRight w:val="0"/>
                              <w:marTop w:val="0"/>
                              <w:marBottom w:val="90"/>
                              <w:divBdr>
                                <w:top w:val="none" w:sz="0" w:space="0" w:color="auto"/>
                                <w:left w:val="none" w:sz="0" w:space="0" w:color="auto"/>
                                <w:bottom w:val="none" w:sz="0" w:space="0" w:color="auto"/>
                                <w:right w:val="none" w:sz="0" w:space="0" w:color="auto"/>
                              </w:divBdr>
                            </w:div>
                            <w:div w:id="299843042">
                              <w:marLeft w:val="0"/>
                              <w:marRight w:val="0"/>
                              <w:marTop w:val="0"/>
                              <w:marBottom w:val="0"/>
                              <w:divBdr>
                                <w:top w:val="none" w:sz="0" w:space="0" w:color="auto"/>
                                <w:left w:val="none" w:sz="0" w:space="0" w:color="auto"/>
                                <w:bottom w:val="none" w:sz="0" w:space="0" w:color="auto"/>
                                <w:right w:val="none" w:sz="0" w:space="0" w:color="auto"/>
                              </w:divBdr>
                              <w:divsChild>
                                <w:div w:id="344018823">
                                  <w:marLeft w:val="0"/>
                                  <w:marRight w:val="0"/>
                                  <w:marTop w:val="0"/>
                                  <w:marBottom w:val="0"/>
                                  <w:divBdr>
                                    <w:top w:val="none" w:sz="0" w:space="0" w:color="auto"/>
                                    <w:left w:val="none" w:sz="0" w:space="0" w:color="auto"/>
                                    <w:bottom w:val="none" w:sz="0" w:space="0" w:color="auto"/>
                                    <w:right w:val="none" w:sz="0" w:space="0" w:color="auto"/>
                                  </w:divBdr>
                                </w:div>
                              </w:divsChild>
                            </w:div>
                            <w:div w:id="510683781">
                              <w:marLeft w:val="0"/>
                              <w:marRight w:val="0"/>
                              <w:marTop w:val="0"/>
                              <w:marBottom w:val="0"/>
                              <w:divBdr>
                                <w:top w:val="none" w:sz="0" w:space="0" w:color="auto"/>
                                <w:left w:val="none" w:sz="0" w:space="0" w:color="auto"/>
                                <w:bottom w:val="none" w:sz="0" w:space="0" w:color="auto"/>
                                <w:right w:val="none" w:sz="0" w:space="0" w:color="auto"/>
                              </w:divBdr>
                              <w:divsChild>
                                <w:div w:id="614555061">
                                  <w:marLeft w:val="0"/>
                                  <w:marRight w:val="0"/>
                                  <w:marTop w:val="0"/>
                                  <w:marBottom w:val="0"/>
                                  <w:divBdr>
                                    <w:top w:val="none" w:sz="0" w:space="0" w:color="auto"/>
                                    <w:left w:val="none" w:sz="0" w:space="0" w:color="auto"/>
                                    <w:bottom w:val="none" w:sz="0" w:space="0" w:color="auto"/>
                                    <w:right w:val="none" w:sz="0" w:space="0" w:color="auto"/>
                                  </w:divBdr>
                                </w:div>
                              </w:divsChild>
                            </w:div>
                            <w:div w:id="1183666230">
                              <w:marLeft w:val="0"/>
                              <w:marRight w:val="0"/>
                              <w:marTop w:val="0"/>
                              <w:marBottom w:val="0"/>
                              <w:divBdr>
                                <w:top w:val="none" w:sz="0" w:space="0" w:color="auto"/>
                                <w:left w:val="none" w:sz="0" w:space="0" w:color="auto"/>
                                <w:bottom w:val="none" w:sz="0" w:space="0" w:color="auto"/>
                                <w:right w:val="none" w:sz="0" w:space="0" w:color="auto"/>
                              </w:divBdr>
                              <w:divsChild>
                                <w:div w:id="22414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239204">
                          <w:marLeft w:val="0"/>
                          <w:marRight w:val="0"/>
                          <w:marTop w:val="0"/>
                          <w:marBottom w:val="0"/>
                          <w:divBdr>
                            <w:top w:val="none" w:sz="0" w:space="0" w:color="auto"/>
                            <w:left w:val="none" w:sz="0" w:space="0" w:color="auto"/>
                            <w:bottom w:val="none" w:sz="0" w:space="0" w:color="auto"/>
                            <w:right w:val="none" w:sz="0" w:space="0" w:color="auto"/>
                          </w:divBdr>
                          <w:divsChild>
                            <w:div w:id="1037007904">
                              <w:marLeft w:val="-90"/>
                              <w:marRight w:val="0"/>
                              <w:marTop w:val="90"/>
                              <w:marBottom w:val="90"/>
                              <w:divBdr>
                                <w:top w:val="none" w:sz="0" w:space="0" w:color="auto"/>
                                <w:left w:val="none" w:sz="0" w:space="0" w:color="auto"/>
                                <w:bottom w:val="none" w:sz="0" w:space="0" w:color="auto"/>
                                <w:right w:val="none" w:sz="0" w:space="0" w:color="auto"/>
                              </w:divBdr>
                            </w:div>
                            <w:div w:id="1978604024">
                              <w:marLeft w:val="0"/>
                              <w:marRight w:val="0"/>
                              <w:marTop w:val="0"/>
                              <w:marBottom w:val="0"/>
                              <w:divBdr>
                                <w:top w:val="none" w:sz="0" w:space="0" w:color="auto"/>
                                <w:left w:val="none" w:sz="0" w:space="0" w:color="auto"/>
                                <w:bottom w:val="none" w:sz="0" w:space="0" w:color="auto"/>
                                <w:right w:val="none" w:sz="0" w:space="0" w:color="auto"/>
                              </w:divBdr>
                              <w:divsChild>
                                <w:div w:id="41029012">
                                  <w:marLeft w:val="0"/>
                                  <w:marRight w:val="0"/>
                                  <w:marTop w:val="0"/>
                                  <w:marBottom w:val="0"/>
                                  <w:divBdr>
                                    <w:top w:val="none" w:sz="0" w:space="0" w:color="auto"/>
                                    <w:left w:val="none" w:sz="0" w:space="0" w:color="auto"/>
                                    <w:bottom w:val="none" w:sz="0" w:space="0" w:color="auto"/>
                                    <w:right w:val="none" w:sz="0" w:space="0" w:color="auto"/>
                                  </w:divBdr>
                                </w:div>
                              </w:divsChild>
                            </w:div>
                            <w:div w:id="1961763570">
                              <w:marLeft w:val="0"/>
                              <w:marRight w:val="0"/>
                              <w:marTop w:val="0"/>
                              <w:marBottom w:val="0"/>
                              <w:divBdr>
                                <w:top w:val="none" w:sz="0" w:space="0" w:color="auto"/>
                                <w:left w:val="none" w:sz="0" w:space="0" w:color="auto"/>
                                <w:bottom w:val="none" w:sz="0" w:space="0" w:color="auto"/>
                                <w:right w:val="none" w:sz="0" w:space="0" w:color="auto"/>
                              </w:divBdr>
                              <w:divsChild>
                                <w:div w:id="1368606811">
                                  <w:marLeft w:val="0"/>
                                  <w:marRight w:val="0"/>
                                  <w:marTop w:val="0"/>
                                  <w:marBottom w:val="0"/>
                                  <w:divBdr>
                                    <w:top w:val="none" w:sz="0" w:space="0" w:color="auto"/>
                                    <w:left w:val="none" w:sz="0" w:space="0" w:color="auto"/>
                                    <w:bottom w:val="none" w:sz="0" w:space="0" w:color="auto"/>
                                    <w:right w:val="none" w:sz="0" w:space="0" w:color="auto"/>
                                  </w:divBdr>
                                </w:div>
                              </w:divsChild>
                            </w:div>
                            <w:div w:id="1977373496">
                              <w:marLeft w:val="0"/>
                              <w:marRight w:val="0"/>
                              <w:marTop w:val="0"/>
                              <w:marBottom w:val="0"/>
                              <w:divBdr>
                                <w:top w:val="none" w:sz="0" w:space="0" w:color="auto"/>
                                <w:left w:val="none" w:sz="0" w:space="0" w:color="auto"/>
                                <w:bottom w:val="none" w:sz="0" w:space="0" w:color="auto"/>
                                <w:right w:val="none" w:sz="0" w:space="0" w:color="auto"/>
                              </w:divBdr>
                              <w:divsChild>
                                <w:div w:id="86089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52238">
                          <w:marLeft w:val="0"/>
                          <w:marRight w:val="0"/>
                          <w:marTop w:val="0"/>
                          <w:marBottom w:val="0"/>
                          <w:divBdr>
                            <w:top w:val="none" w:sz="0" w:space="0" w:color="auto"/>
                            <w:left w:val="none" w:sz="0" w:space="0" w:color="auto"/>
                            <w:bottom w:val="none" w:sz="0" w:space="0" w:color="auto"/>
                            <w:right w:val="none" w:sz="0" w:space="0" w:color="auto"/>
                          </w:divBdr>
                          <w:divsChild>
                            <w:div w:id="995306993">
                              <w:marLeft w:val="-90"/>
                              <w:marRight w:val="0"/>
                              <w:marTop w:val="90"/>
                              <w:marBottom w:val="90"/>
                              <w:divBdr>
                                <w:top w:val="none" w:sz="0" w:space="0" w:color="auto"/>
                                <w:left w:val="none" w:sz="0" w:space="0" w:color="auto"/>
                                <w:bottom w:val="none" w:sz="0" w:space="0" w:color="auto"/>
                                <w:right w:val="none" w:sz="0" w:space="0" w:color="auto"/>
                              </w:divBdr>
                            </w:div>
                            <w:div w:id="1779909752">
                              <w:marLeft w:val="0"/>
                              <w:marRight w:val="0"/>
                              <w:marTop w:val="0"/>
                              <w:marBottom w:val="0"/>
                              <w:divBdr>
                                <w:top w:val="none" w:sz="0" w:space="0" w:color="auto"/>
                                <w:left w:val="none" w:sz="0" w:space="0" w:color="auto"/>
                                <w:bottom w:val="none" w:sz="0" w:space="0" w:color="auto"/>
                                <w:right w:val="none" w:sz="0" w:space="0" w:color="auto"/>
                              </w:divBdr>
                              <w:divsChild>
                                <w:div w:id="2059164387">
                                  <w:marLeft w:val="0"/>
                                  <w:marRight w:val="0"/>
                                  <w:marTop w:val="0"/>
                                  <w:marBottom w:val="0"/>
                                  <w:divBdr>
                                    <w:top w:val="none" w:sz="0" w:space="0" w:color="auto"/>
                                    <w:left w:val="none" w:sz="0" w:space="0" w:color="auto"/>
                                    <w:bottom w:val="none" w:sz="0" w:space="0" w:color="auto"/>
                                    <w:right w:val="none" w:sz="0" w:space="0" w:color="auto"/>
                                  </w:divBdr>
                                </w:div>
                              </w:divsChild>
                            </w:div>
                            <w:div w:id="1631354644">
                              <w:marLeft w:val="0"/>
                              <w:marRight w:val="0"/>
                              <w:marTop w:val="0"/>
                              <w:marBottom w:val="0"/>
                              <w:divBdr>
                                <w:top w:val="none" w:sz="0" w:space="0" w:color="auto"/>
                                <w:left w:val="none" w:sz="0" w:space="0" w:color="auto"/>
                                <w:bottom w:val="none" w:sz="0" w:space="0" w:color="auto"/>
                                <w:right w:val="none" w:sz="0" w:space="0" w:color="auto"/>
                              </w:divBdr>
                              <w:divsChild>
                                <w:div w:id="1566986869">
                                  <w:marLeft w:val="0"/>
                                  <w:marRight w:val="0"/>
                                  <w:marTop w:val="0"/>
                                  <w:marBottom w:val="0"/>
                                  <w:divBdr>
                                    <w:top w:val="none" w:sz="0" w:space="0" w:color="auto"/>
                                    <w:left w:val="none" w:sz="0" w:space="0" w:color="auto"/>
                                    <w:bottom w:val="none" w:sz="0" w:space="0" w:color="auto"/>
                                    <w:right w:val="none" w:sz="0" w:space="0" w:color="auto"/>
                                  </w:divBdr>
                                </w:div>
                              </w:divsChild>
                            </w:div>
                            <w:div w:id="1664315018">
                              <w:marLeft w:val="0"/>
                              <w:marRight w:val="0"/>
                              <w:marTop w:val="0"/>
                              <w:marBottom w:val="0"/>
                              <w:divBdr>
                                <w:top w:val="none" w:sz="0" w:space="0" w:color="auto"/>
                                <w:left w:val="none" w:sz="0" w:space="0" w:color="auto"/>
                                <w:bottom w:val="none" w:sz="0" w:space="0" w:color="auto"/>
                                <w:right w:val="none" w:sz="0" w:space="0" w:color="auto"/>
                              </w:divBdr>
                              <w:divsChild>
                                <w:div w:id="1380744927">
                                  <w:marLeft w:val="0"/>
                                  <w:marRight w:val="0"/>
                                  <w:marTop w:val="0"/>
                                  <w:marBottom w:val="0"/>
                                  <w:divBdr>
                                    <w:top w:val="none" w:sz="0" w:space="0" w:color="auto"/>
                                    <w:left w:val="none" w:sz="0" w:space="0" w:color="auto"/>
                                    <w:bottom w:val="none" w:sz="0" w:space="0" w:color="auto"/>
                                    <w:right w:val="none" w:sz="0" w:space="0" w:color="auto"/>
                                  </w:divBdr>
                                </w:div>
                              </w:divsChild>
                            </w:div>
                            <w:div w:id="61606821">
                              <w:marLeft w:val="0"/>
                              <w:marRight w:val="0"/>
                              <w:marTop w:val="0"/>
                              <w:marBottom w:val="0"/>
                              <w:divBdr>
                                <w:top w:val="none" w:sz="0" w:space="0" w:color="auto"/>
                                <w:left w:val="none" w:sz="0" w:space="0" w:color="auto"/>
                                <w:bottom w:val="none" w:sz="0" w:space="0" w:color="auto"/>
                                <w:right w:val="none" w:sz="0" w:space="0" w:color="auto"/>
                              </w:divBdr>
                              <w:divsChild>
                                <w:div w:id="99557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941175">
                          <w:marLeft w:val="0"/>
                          <w:marRight w:val="0"/>
                          <w:marTop w:val="0"/>
                          <w:marBottom w:val="0"/>
                          <w:divBdr>
                            <w:top w:val="none" w:sz="0" w:space="0" w:color="auto"/>
                            <w:left w:val="none" w:sz="0" w:space="0" w:color="auto"/>
                            <w:bottom w:val="none" w:sz="0" w:space="0" w:color="auto"/>
                            <w:right w:val="none" w:sz="0" w:space="0" w:color="auto"/>
                          </w:divBdr>
                          <w:divsChild>
                            <w:div w:id="1032847842">
                              <w:marLeft w:val="-90"/>
                              <w:marRight w:val="0"/>
                              <w:marTop w:val="90"/>
                              <w:marBottom w:val="90"/>
                              <w:divBdr>
                                <w:top w:val="none" w:sz="0" w:space="0" w:color="auto"/>
                                <w:left w:val="none" w:sz="0" w:space="0" w:color="auto"/>
                                <w:bottom w:val="none" w:sz="0" w:space="0" w:color="auto"/>
                                <w:right w:val="none" w:sz="0" w:space="0" w:color="auto"/>
                              </w:divBdr>
                            </w:div>
                            <w:div w:id="1640652037">
                              <w:marLeft w:val="0"/>
                              <w:marRight w:val="0"/>
                              <w:marTop w:val="0"/>
                              <w:marBottom w:val="0"/>
                              <w:divBdr>
                                <w:top w:val="none" w:sz="0" w:space="0" w:color="auto"/>
                                <w:left w:val="none" w:sz="0" w:space="0" w:color="auto"/>
                                <w:bottom w:val="none" w:sz="0" w:space="0" w:color="auto"/>
                                <w:right w:val="none" w:sz="0" w:space="0" w:color="auto"/>
                              </w:divBdr>
                              <w:divsChild>
                                <w:div w:id="826213832">
                                  <w:marLeft w:val="0"/>
                                  <w:marRight w:val="0"/>
                                  <w:marTop w:val="0"/>
                                  <w:marBottom w:val="0"/>
                                  <w:divBdr>
                                    <w:top w:val="none" w:sz="0" w:space="0" w:color="auto"/>
                                    <w:left w:val="none" w:sz="0" w:space="0" w:color="auto"/>
                                    <w:bottom w:val="none" w:sz="0" w:space="0" w:color="auto"/>
                                    <w:right w:val="none" w:sz="0" w:space="0" w:color="auto"/>
                                  </w:divBdr>
                                </w:div>
                              </w:divsChild>
                            </w:div>
                            <w:div w:id="1334798232">
                              <w:marLeft w:val="0"/>
                              <w:marRight w:val="0"/>
                              <w:marTop w:val="0"/>
                              <w:marBottom w:val="0"/>
                              <w:divBdr>
                                <w:top w:val="none" w:sz="0" w:space="0" w:color="auto"/>
                                <w:left w:val="none" w:sz="0" w:space="0" w:color="auto"/>
                                <w:bottom w:val="none" w:sz="0" w:space="0" w:color="auto"/>
                                <w:right w:val="none" w:sz="0" w:space="0" w:color="auto"/>
                              </w:divBdr>
                              <w:divsChild>
                                <w:div w:id="968899640">
                                  <w:marLeft w:val="0"/>
                                  <w:marRight w:val="0"/>
                                  <w:marTop w:val="0"/>
                                  <w:marBottom w:val="0"/>
                                  <w:divBdr>
                                    <w:top w:val="none" w:sz="0" w:space="0" w:color="auto"/>
                                    <w:left w:val="none" w:sz="0" w:space="0" w:color="auto"/>
                                    <w:bottom w:val="none" w:sz="0" w:space="0" w:color="auto"/>
                                    <w:right w:val="none" w:sz="0" w:space="0" w:color="auto"/>
                                  </w:divBdr>
                                </w:div>
                              </w:divsChild>
                            </w:div>
                            <w:div w:id="2114325796">
                              <w:marLeft w:val="0"/>
                              <w:marRight w:val="0"/>
                              <w:marTop w:val="0"/>
                              <w:marBottom w:val="0"/>
                              <w:divBdr>
                                <w:top w:val="none" w:sz="0" w:space="0" w:color="auto"/>
                                <w:left w:val="none" w:sz="0" w:space="0" w:color="auto"/>
                                <w:bottom w:val="none" w:sz="0" w:space="0" w:color="auto"/>
                                <w:right w:val="none" w:sz="0" w:space="0" w:color="auto"/>
                              </w:divBdr>
                              <w:divsChild>
                                <w:div w:id="1772889914">
                                  <w:marLeft w:val="0"/>
                                  <w:marRight w:val="0"/>
                                  <w:marTop w:val="0"/>
                                  <w:marBottom w:val="0"/>
                                  <w:divBdr>
                                    <w:top w:val="none" w:sz="0" w:space="0" w:color="auto"/>
                                    <w:left w:val="none" w:sz="0" w:space="0" w:color="auto"/>
                                    <w:bottom w:val="none" w:sz="0" w:space="0" w:color="auto"/>
                                    <w:right w:val="none" w:sz="0" w:space="0" w:color="auto"/>
                                  </w:divBdr>
                                </w:div>
                              </w:divsChild>
                            </w:div>
                            <w:div w:id="1012800649">
                              <w:marLeft w:val="0"/>
                              <w:marRight w:val="0"/>
                              <w:marTop w:val="0"/>
                              <w:marBottom w:val="0"/>
                              <w:divBdr>
                                <w:top w:val="none" w:sz="0" w:space="0" w:color="auto"/>
                                <w:left w:val="none" w:sz="0" w:space="0" w:color="auto"/>
                                <w:bottom w:val="none" w:sz="0" w:space="0" w:color="auto"/>
                                <w:right w:val="none" w:sz="0" w:space="0" w:color="auto"/>
                              </w:divBdr>
                              <w:divsChild>
                                <w:div w:id="40103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839695">
                          <w:marLeft w:val="0"/>
                          <w:marRight w:val="0"/>
                          <w:marTop w:val="0"/>
                          <w:marBottom w:val="0"/>
                          <w:divBdr>
                            <w:top w:val="none" w:sz="0" w:space="0" w:color="auto"/>
                            <w:left w:val="none" w:sz="0" w:space="0" w:color="auto"/>
                            <w:bottom w:val="none" w:sz="0" w:space="0" w:color="auto"/>
                            <w:right w:val="none" w:sz="0" w:space="0" w:color="auto"/>
                          </w:divBdr>
                          <w:divsChild>
                            <w:div w:id="1923562878">
                              <w:marLeft w:val="-90"/>
                              <w:marRight w:val="0"/>
                              <w:marTop w:val="90"/>
                              <w:marBottom w:val="90"/>
                              <w:divBdr>
                                <w:top w:val="none" w:sz="0" w:space="0" w:color="auto"/>
                                <w:left w:val="none" w:sz="0" w:space="0" w:color="auto"/>
                                <w:bottom w:val="none" w:sz="0" w:space="0" w:color="auto"/>
                                <w:right w:val="none" w:sz="0" w:space="0" w:color="auto"/>
                              </w:divBdr>
                            </w:div>
                            <w:div w:id="27802456">
                              <w:marLeft w:val="0"/>
                              <w:marRight w:val="0"/>
                              <w:marTop w:val="0"/>
                              <w:marBottom w:val="0"/>
                              <w:divBdr>
                                <w:top w:val="none" w:sz="0" w:space="0" w:color="auto"/>
                                <w:left w:val="none" w:sz="0" w:space="0" w:color="auto"/>
                                <w:bottom w:val="none" w:sz="0" w:space="0" w:color="auto"/>
                                <w:right w:val="none" w:sz="0" w:space="0" w:color="auto"/>
                              </w:divBdr>
                              <w:divsChild>
                                <w:div w:id="580680726">
                                  <w:marLeft w:val="0"/>
                                  <w:marRight w:val="0"/>
                                  <w:marTop w:val="0"/>
                                  <w:marBottom w:val="0"/>
                                  <w:divBdr>
                                    <w:top w:val="none" w:sz="0" w:space="0" w:color="auto"/>
                                    <w:left w:val="none" w:sz="0" w:space="0" w:color="auto"/>
                                    <w:bottom w:val="none" w:sz="0" w:space="0" w:color="auto"/>
                                    <w:right w:val="none" w:sz="0" w:space="0" w:color="auto"/>
                                  </w:divBdr>
                                </w:div>
                              </w:divsChild>
                            </w:div>
                            <w:div w:id="555822633">
                              <w:marLeft w:val="0"/>
                              <w:marRight w:val="0"/>
                              <w:marTop w:val="0"/>
                              <w:marBottom w:val="0"/>
                              <w:divBdr>
                                <w:top w:val="none" w:sz="0" w:space="0" w:color="auto"/>
                                <w:left w:val="none" w:sz="0" w:space="0" w:color="auto"/>
                                <w:bottom w:val="none" w:sz="0" w:space="0" w:color="auto"/>
                                <w:right w:val="none" w:sz="0" w:space="0" w:color="auto"/>
                              </w:divBdr>
                              <w:divsChild>
                                <w:div w:id="1239243082">
                                  <w:marLeft w:val="0"/>
                                  <w:marRight w:val="0"/>
                                  <w:marTop w:val="0"/>
                                  <w:marBottom w:val="0"/>
                                  <w:divBdr>
                                    <w:top w:val="none" w:sz="0" w:space="0" w:color="auto"/>
                                    <w:left w:val="none" w:sz="0" w:space="0" w:color="auto"/>
                                    <w:bottom w:val="none" w:sz="0" w:space="0" w:color="auto"/>
                                    <w:right w:val="none" w:sz="0" w:space="0" w:color="auto"/>
                                  </w:divBdr>
                                </w:div>
                              </w:divsChild>
                            </w:div>
                            <w:div w:id="380829708">
                              <w:marLeft w:val="0"/>
                              <w:marRight w:val="0"/>
                              <w:marTop w:val="0"/>
                              <w:marBottom w:val="0"/>
                              <w:divBdr>
                                <w:top w:val="none" w:sz="0" w:space="0" w:color="auto"/>
                                <w:left w:val="none" w:sz="0" w:space="0" w:color="auto"/>
                                <w:bottom w:val="none" w:sz="0" w:space="0" w:color="auto"/>
                                <w:right w:val="none" w:sz="0" w:space="0" w:color="auto"/>
                              </w:divBdr>
                              <w:divsChild>
                                <w:div w:id="1633318584">
                                  <w:marLeft w:val="0"/>
                                  <w:marRight w:val="0"/>
                                  <w:marTop w:val="0"/>
                                  <w:marBottom w:val="0"/>
                                  <w:divBdr>
                                    <w:top w:val="none" w:sz="0" w:space="0" w:color="auto"/>
                                    <w:left w:val="none" w:sz="0" w:space="0" w:color="auto"/>
                                    <w:bottom w:val="none" w:sz="0" w:space="0" w:color="auto"/>
                                    <w:right w:val="none" w:sz="0" w:space="0" w:color="auto"/>
                                  </w:divBdr>
                                </w:div>
                              </w:divsChild>
                            </w:div>
                            <w:div w:id="550187567">
                              <w:marLeft w:val="0"/>
                              <w:marRight w:val="0"/>
                              <w:marTop w:val="0"/>
                              <w:marBottom w:val="0"/>
                              <w:divBdr>
                                <w:top w:val="none" w:sz="0" w:space="0" w:color="auto"/>
                                <w:left w:val="none" w:sz="0" w:space="0" w:color="auto"/>
                                <w:bottom w:val="none" w:sz="0" w:space="0" w:color="auto"/>
                                <w:right w:val="none" w:sz="0" w:space="0" w:color="auto"/>
                              </w:divBdr>
                              <w:divsChild>
                                <w:div w:id="1163276339">
                                  <w:marLeft w:val="0"/>
                                  <w:marRight w:val="0"/>
                                  <w:marTop w:val="0"/>
                                  <w:marBottom w:val="0"/>
                                  <w:divBdr>
                                    <w:top w:val="none" w:sz="0" w:space="0" w:color="auto"/>
                                    <w:left w:val="none" w:sz="0" w:space="0" w:color="auto"/>
                                    <w:bottom w:val="none" w:sz="0" w:space="0" w:color="auto"/>
                                    <w:right w:val="none" w:sz="0" w:space="0" w:color="auto"/>
                                  </w:divBdr>
                                </w:div>
                              </w:divsChild>
                            </w:div>
                            <w:div w:id="91323303">
                              <w:marLeft w:val="0"/>
                              <w:marRight w:val="0"/>
                              <w:marTop w:val="0"/>
                              <w:marBottom w:val="0"/>
                              <w:divBdr>
                                <w:top w:val="none" w:sz="0" w:space="0" w:color="auto"/>
                                <w:left w:val="none" w:sz="0" w:space="0" w:color="auto"/>
                                <w:bottom w:val="none" w:sz="0" w:space="0" w:color="auto"/>
                                <w:right w:val="none" w:sz="0" w:space="0" w:color="auto"/>
                              </w:divBdr>
                              <w:divsChild>
                                <w:div w:id="1098328551">
                                  <w:marLeft w:val="0"/>
                                  <w:marRight w:val="0"/>
                                  <w:marTop w:val="0"/>
                                  <w:marBottom w:val="0"/>
                                  <w:divBdr>
                                    <w:top w:val="none" w:sz="0" w:space="0" w:color="auto"/>
                                    <w:left w:val="none" w:sz="0" w:space="0" w:color="auto"/>
                                    <w:bottom w:val="none" w:sz="0" w:space="0" w:color="auto"/>
                                    <w:right w:val="none" w:sz="0" w:space="0" w:color="auto"/>
                                  </w:divBdr>
                                </w:div>
                              </w:divsChild>
                            </w:div>
                            <w:div w:id="494347700">
                              <w:marLeft w:val="0"/>
                              <w:marRight w:val="0"/>
                              <w:marTop w:val="0"/>
                              <w:marBottom w:val="0"/>
                              <w:divBdr>
                                <w:top w:val="none" w:sz="0" w:space="0" w:color="auto"/>
                                <w:left w:val="none" w:sz="0" w:space="0" w:color="auto"/>
                                <w:bottom w:val="none" w:sz="0" w:space="0" w:color="auto"/>
                                <w:right w:val="none" w:sz="0" w:space="0" w:color="auto"/>
                              </w:divBdr>
                              <w:divsChild>
                                <w:div w:id="1867676575">
                                  <w:marLeft w:val="0"/>
                                  <w:marRight w:val="0"/>
                                  <w:marTop w:val="0"/>
                                  <w:marBottom w:val="0"/>
                                  <w:divBdr>
                                    <w:top w:val="none" w:sz="0" w:space="0" w:color="auto"/>
                                    <w:left w:val="none" w:sz="0" w:space="0" w:color="auto"/>
                                    <w:bottom w:val="none" w:sz="0" w:space="0" w:color="auto"/>
                                    <w:right w:val="none" w:sz="0" w:space="0" w:color="auto"/>
                                  </w:divBdr>
                                </w:div>
                              </w:divsChild>
                            </w:div>
                            <w:div w:id="1866098175">
                              <w:marLeft w:val="0"/>
                              <w:marRight w:val="0"/>
                              <w:marTop w:val="0"/>
                              <w:marBottom w:val="0"/>
                              <w:divBdr>
                                <w:top w:val="none" w:sz="0" w:space="0" w:color="auto"/>
                                <w:left w:val="none" w:sz="0" w:space="0" w:color="auto"/>
                                <w:bottom w:val="none" w:sz="0" w:space="0" w:color="auto"/>
                                <w:right w:val="none" w:sz="0" w:space="0" w:color="auto"/>
                              </w:divBdr>
                              <w:divsChild>
                                <w:div w:id="2063820270">
                                  <w:marLeft w:val="0"/>
                                  <w:marRight w:val="0"/>
                                  <w:marTop w:val="0"/>
                                  <w:marBottom w:val="0"/>
                                  <w:divBdr>
                                    <w:top w:val="none" w:sz="0" w:space="0" w:color="auto"/>
                                    <w:left w:val="none" w:sz="0" w:space="0" w:color="auto"/>
                                    <w:bottom w:val="none" w:sz="0" w:space="0" w:color="auto"/>
                                    <w:right w:val="none" w:sz="0" w:space="0" w:color="auto"/>
                                  </w:divBdr>
                                </w:div>
                              </w:divsChild>
                            </w:div>
                            <w:div w:id="1348285362">
                              <w:marLeft w:val="0"/>
                              <w:marRight w:val="0"/>
                              <w:marTop w:val="0"/>
                              <w:marBottom w:val="0"/>
                              <w:divBdr>
                                <w:top w:val="none" w:sz="0" w:space="0" w:color="auto"/>
                                <w:left w:val="none" w:sz="0" w:space="0" w:color="auto"/>
                                <w:bottom w:val="none" w:sz="0" w:space="0" w:color="auto"/>
                                <w:right w:val="none" w:sz="0" w:space="0" w:color="auto"/>
                              </w:divBdr>
                              <w:divsChild>
                                <w:div w:id="466823973">
                                  <w:marLeft w:val="0"/>
                                  <w:marRight w:val="0"/>
                                  <w:marTop w:val="0"/>
                                  <w:marBottom w:val="0"/>
                                  <w:divBdr>
                                    <w:top w:val="none" w:sz="0" w:space="0" w:color="auto"/>
                                    <w:left w:val="none" w:sz="0" w:space="0" w:color="auto"/>
                                    <w:bottom w:val="none" w:sz="0" w:space="0" w:color="auto"/>
                                    <w:right w:val="none" w:sz="0" w:space="0" w:color="auto"/>
                                  </w:divBdr>
                                </w:div>
                              </w:divsChild>
                            </w:div>
                            <w:div w:id="1416976297">
                              <w:marLeft w:val="0"/>
                              <w:marRight w:val="0"/>
                              <w:marTop w:val="0"/>
                              <w:marBottom w:val="0"/>
                              <w:divBdr>
                                <w:top w:val="none" w:sz="0" w:space="0" w:color="auto"/>
                                <w:left w:val="none" w:sz="0" w:space="0" w:color="auto"/>
                                <w:bottom w:val="none" w:sz="0" w:space="0" w:color="auto"/>
                                <w:right w:val="none" w:sz="0" w:space="0" w:color="auto"/>
                              </w:divBdr>
                              <w:divsChild>
                                <w:div w:id="11915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449598">
                  <w:marLeft w:val="0"/>
                  <w:marRight w:val="0"/>
                  <w:marTop w:val="0"/>
                  <w:marBottom w:val="0"/>
                  <w:divBdr>
                    <w:top w:val="none" w:sz="0" w:space="0" w:color="auto"/>
                    <w:left w:val="none" w:sz="0" w:space="0" w:color="auto"/>
                    <w:bottom w:val="none" w:sz="0" w:space="0" w:color="auto"/>
                    <w:right w:val="none" w:sz="0" w:space="0" w:color="auto"/>
                  </w:divBdr>
                  <w:divsChild>
                    <w:div w:id="327949544">
                      <w:marLeft w:val="0"/>
                      <w:marRight w:val="0"/>
                      <w:marTop w:val="0"/>
                      <w:marBottom w:val="120"/>
                      <w:divBdr>
                        <w:top w:val="single" w:sz="4" w:space="7" w:color="4D6BFE"/>
                        <w:left w:val="single" w:sz="4" w:space="9" w:color="4D6BFE"/>
                        <w:bottom w:val="single" w:sz="4" w:space="7" w:color="4D6BFE"/>
                        <w:right w:val="single" w:sz="4" w:space="9" w:color="4D6BFE"/>
                      </w:divBdr>
                    </w:div>
                    <w:div w:id="1699234082">
                      <w:marLeft w:val="0"/>
                      <w:marRight w:val="0"/>
                      <w:marTop w:val="0"/>
                      <w:marBottom w:val="0"/>
                      <w:divBdr>
                        <w:top w:val="none" w:sz="0" w:space="0" w:color="auto"/>
                        <w:left w:val="none" w:sz="0" w:space="0" w:color="auto"/>
                        <w:bottom w:val="none" w:sz="0" w:space="0" w:color="auto"/>
                        <w:right w:val="none" w:sz="0" w:space="0" w:color="auto"/>
                      </w:divBdr>
                      <w:divsChild>
                        <w:div w:id="298266680">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245610">
          <w:marLeft w:val="0"/>
          <w:marRight w:val="0"/>
          <w:marTop w:val="0"/>
          <w:marBottom w:val="0"/>
          <w:divBdr>
            <w:top w:val="none" w:sz="0" w:space="0" w:color="auto"/>
            <w:left w:val="none" w:sz="0" w:space="0" w:color="auto"/>
            <w:bottom w:val="none" w:sz="0" w:space="0" w:color="auto"/>
            <w:right w:val="none" w:sz="0" w:space="0" w:color="auto"/>
          </w:divBdr>
          <w:divsChild>
            <w:div w:id="959184997">
              <w:marLeft w:val="0"/>
              <w:marRight w:val="0"/>
              <w:marTop w:val="0"/>
              <w:marBottom w:val="0"/>
              <w:divBdr>
                <w:top w:val="none" w:sz="0" w:space="0" w:color="auto"/>
                <w:left w:val="none" w:sz="0" w:space="0" w:color="auto"/>
                <w:bottom w:val="none" w:sz="0" w:space="0" w:color="auto"/>
                <w:right w:val="none" w:sz="0" w:space="0" w:color="auto"/>
              </w:divBdr>
              <w:divsChild>
                <w:div w:id="1694382980">
                  <w:marLeft w:val="0"/>
                  <w:marRight w:val="0"/>
                  <w:marTop w:val="0"/>
                  <w:marBottom w:val="0"/>
                  <w:divBdr>
                    <w:top w:val="none" w:sz="0" w:space="0" w:color="auto"/>
                    <w:left w:val="none" w:sz="0" w:space="0" w:color="auto"/>
                    <w:bottom w:val="none" w:sz="0" w:space="0" w:color="auto"/>
                    <w:right w:val="none" w:sz="0" w:space="0" w:color="auto"/>
                  </w:divBdr>
                  <w:divsChild>
                    <w:div w:id="2084138391">
                      <w:marLeft w:val="0"/>
                      <w:marRight w:val="0"/>
                      <w:marTop w:val="0"/>
                      <w:marBottom w:val="0"/>
                      <w:divBdr>
                        <w:top w:val="none" w:sz="0" w:space="0" w:color="auto"/>
                        <w:left w:val="none" w:sz="0" w:space="0" w:color="auto"/>
                        <w:bottom w:val="none" w:sz="0" w:space="0" w:color="auto"/>
                        <w:right w:val="none" w:sz="0" w:space="0" w:color="auto"/>
                      </w:divBdr>
                      <w:divsChild>
                        <w:div w:id="418453812">
                          <w:marLeft w:val="0"/>
                          <w:marRight w:val="0"/>
                          <w:marTop w:val="0"/>
                          <w:marBottom w:val="0"/>
                          <w:divBdr>
                            <w:top w:val="none" w:sz="0" w:space="0" w:color="auto"/>
                            <w:left w:val="none" w:sz="0" w:space="0" w:color="auto"/>
                            <w:bottom w:val="none" w:sz="0" w:space="0" w:color="auto"/>
                            <w:right w:val="none" w:sz="0" w:space="0" w:color="auto"/>
                          </w:divBdr>
                          <w:divsChild>
                            <w:div w:id="8330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443929">
                  <w:marLeft w:val="0"/>
                  <w:marRight w:val="0"/>
                  <w:marTop w:val="0"/>
                  <w:marBottom w:val="0"/>
                  <w:divBdr>
                    <w:top w:val="none" w:sz="0" w:space="0" w:color="auto"/>
                    <w:left w:val="none" w:sz="0" w:space="0" w:color="auto"/>
                    <w:bottom w:val="none" w:sz="0" w:space="0" w:color="auto"/>
                    <w:right w:val="none" w:sz="0" w:space="0" w:color="auto"/>
                  </w:divBdr>
                  <w:divsChild>
                    <w:div w:id="1752196349">
                      <w:marLeft w:val="0"/>
                      <w:marRight w:val="0"/>
                      <w:marTop w:val="0"/>
                      <w:marBottom w:val="0"/>
                      <w:divBdr>
                        <w:top w:val="none" w:sz="0" w:space="0" w:color="auto"/>
                        <w:left w:val="none" w:sz="0" w:space="0" w:color="auto"/>
                        <w:bottom w:val="none" w:sz="0" w:space="0" w:color="auto"/>
                        <w:right w:val="none" w:sz="0" w:space="0" w:color="auto"/>
                      </w:divBdr>
                      <w:divsChild>
                        <w:div w:id="301814075">
                          <w:marLeft w:val="0"/>
                          <w:marRight w:val="0"/>
                          <w:marTop w:val="0"/>
                          <w:marBottom w:val="0"/>
                          <w:divBdr>
                            <w:top w:val="none" w:sz="0" w:space="0" w:color="auto"/>
                            <w:left w:val="none" w:sz="0" w:space="0" w:color="auto"/>
                            <w:bottom w:val="none" w:sz="0" w:space="0" w:color="auto"/>
                            <w:right w:val="none" w:sz="0" w:space="0" w:color="auto"/>
                          </w:divBdr>
                          <w:divsChild>
                            <w:div w:id="1216239316">
                              <w:marLeft w:val="0"/>
                              <w:marRight w:val="0"/>
                              <w:marTop w:val="100"/>
                              <w:marBottom w:val="100"/>
                              <w:divBdr>
                                <w:top w:val="none" w:sz="0" w:space="0" w:color="auto"/>
                                <w:left w:val="none" w:sz="0" w:space="0" w:color="auto"/>
                                <w:bottom w:val="none" w:sz="0" w:space="0" w:color="auto"/>
                                <w:right w:val="none" w:sz="0" w:space="0" w:color="auto"/>
                              </w:divBdr>
                              <w:divsChild>
                                <w:div w:id="2002267813">
                                  <w:marLeft w:val="0"/>
                                  <w:marRight w:val="0"/>
                                  <w:marTop w:val="0"/>
                                  <w:marBottom w:val="240"/>
                                  <w:divBdr>
                                    <w:top w:val="none" w:sz="0" w:space="0" w:color="auto"/>
                                    <w:left w:val="none" w:sz="0" w:space="0" w:color="auto"/>
                                    <w:bottom w:val="none" w:sz="0" w:space="0" w:color="auto"/>
                                    <w:right w:val="none" w:sz="0" w:space="0" w:color="auto"/>
                                  </w:divBdr>
                                  <w:divsChild>
                                    <w:div w:id="1058094624">
                                      <w:marLeft w:val="0"/>
                                      <w:marRight w:val="0"/>
                                      <w:marTop w:val="0"/>
                                      <w:marBottom w:val="0"/>
                                      <w:divBdr>
                                        <w:top w:val="none" w:sz="0" w:space="0" w:color="auto"/>
                                        <w:left w:val="none" w:sz="0" w:space="0" w:color="auto"/>
                                        <w:bottom w:val="none" w:sz="0" w:space="0" w:color="auto"/>
                                        <w:right w:val="none" w:sz="0" w:space="0" w:color="auto"/>
                                      </w:divBdr>
                                    </w:div>
                                  </w:divsChild>
                                </w:div>
                                <w:div w:id="2016571860">
                                  <w:marLeft w:val="0"/>
                                  <w:marRight w:val="0"/>
                                  <w:marTop w:val="0"/>
                                  <w:marBottom w:val="180"/>
                                  <w:divBdr>
                                    <w:top w:val="none" w:sz="0" w:space="0" w:color="auto"/>
                                    <w:left w:val="none" w:sz="0" w:space="0" w:color="auto"/>
                                    <w:bottom w:val="none" w:sz="0" w:space="0" w:color="auto"/>
                                    <w:right w:val="none" w:sz="0" w:space="0" w:color="auto"/>
                                  </w:divBdr>
                                  <w:divsChild>
                                    <w:div w:id="856500557">
                                      <w:marLeft w:val="0"/>
                                      <w:marRight w:val="0"/>
                                      <w:marTop w:val="0"/>
                                      <w:marBottom w:val="0"/>
                                      <w:divBdr>
                                        <w:top w:val="none" w:sz="0" w:space="0" w:color="auto"/>
                                        <w:left w:val="none" w:sz="0" w:space="0" w:color="auto"/>
                                        <w:bottom w:val="none" w:sz="0" w:space="0" w:color="auto"/>
                                        <w:right w:val="none" w:sz="0" w:space="0" w:color="auto"/>
                                      </w:divBdr>
                                    </w:div>
                                  </w:divsChild>
                                </w:div>
                                <w:div w:id="600067726">
                                  <w:marLeft w:val="0"/>
                                  <w:marRight w:val="0"/>
                                  <w:marTop w:val="0"/>
                                  <w:marBottom w:val="240"/>
                                  <w:divBdr>
                                    <w:top w:val="none" w:sz="0" w:space="0" w:color="auto"/>
                                    <w:left w:val="none" w:sz="0" w:space="0" w:color="auto"/>
                                    <w:bottom w:val="none" w:sz="0" w:space="0" w:color="auto"/>
                                    <w:right w:val="none" w:sz="0" w:space="0" w:color="auto"/>
                                  </w:divBdr>
                                  <w:divsChild>
                                    <w:div w:id="99616499">
                                      <w:marLeft w:val="0"/>
                                      <w:marRight w:val="0"/>
                                      <w:marTop w:val="0"/>
                                      <w:marBottom w:val="0"/>
                                      <w:divBdr>
                                        <w:top w:val="none" w:sz="0" w:space="0" w:color="auto"/>
                                        <w:left w:val="none" w:sz="0" w:space="0" w:color="auto"/>
                                        <w:bottom w:val="none" w:sz="0" w:space="0" w:color="auto"/>
                                        <w:right w:val="none" w:sz="0" w:space="0" w:color="auto"/>
                                      </w:divBdr>
                                    </w:div>
                                  </w:divsChild>
                                </w:div>
                                <w:div w:id="1489395228">
                                  <w:marLeft w:val="0"/>
                                  <w:marRight w:val="0"/>
                                  <w:marTop w:val="0"/>
                                  <w:marBottom w:val="180"/>
                                  <w:divBdr>
                                    <w:top w:val="none" w:sz="0" w:space="0" w:color="auto"/>
                                    <w:left w:val="none" w:sz="0" w:space="0" w:color="auto"/>
                                    <w:bottom w:val="none" w:sz="0" w:space="0" w:color="auto"/>
                                    <w:right w:val="none" w:sz="0" w:space="0" w:color="auto"/>
                                  </w:divBdr>
                                  <w:divsChild>
                                    <w:div w:id="147942620">
                                      <w:marLeft w:val="0"/>
                                      <w:marRight w:val="0"/>
                                      <w:marTop w:val="0"/>
                                      <w:marBottom w:val="0"/>
                                      <w:divBdr>
                                        <w:top w:val="none" w:sz="0" w:space="0" w:color="auto"/>
                                        <w:left w:val="none" w:sz="0" w:space="0" w:color="auto"/>
                                        <w:bottom w:val="none" w:sz="0" w:space="0" w:color="auto"/>
                                        <w:right w:val="none" w:sz="0" w:space="0" w:color="auto"/>
                                      </w:divBdr>
                                    </w:div>
                                  </w:divsChild>
                                </w:div>
                                <w:div w:id="64186336">
                                  <w:marLeft w:val="0"/>
                                  <w:marRight w:val="0"/>
                                  <w:marTop w:val="0"/>
                                  <w:marBottom w:val="240"/>
                                  <w:divBdr>
                                    <w:top w:val="none" w:sz="0" w:space="0" w:color="auto"/>
                                    <w:left w:val="none" w:sz="0" w:space="0" w:color="auto"/>
                                    <w:bottom w:val="none" w:sz="0" w:space="0" w:color="auto"/>
                                    <w:right w:val="none" w:sz="0" w:space="0" w:color="auto"/>
                                  </w:divBdr>
                                  <w:divsChild>
                                    <w:div w:id="2055545211">
                                      <w:marLeft w:val="0"/>
                                      <w:marRight w:val="0"/>
                                      <w:marTop w:val="0"/>
                                      <w:marBottom w:val="0"/>
                                      <w:divBdr>
                                        <w:top w:val="none" w:sz="0" w:space="0" w:color="auto"/>
                                        <w:left w:val="none" w:sz="0" w:space="0" w:color="auto"/>
                                        <w:bottom w:val="none" w:sz="0" w:space="0" w:color="auto"/>
                                        <w:right w:val="none" w:sz="0" w:space="0" w:color="auto"/>
                                      </w:divBdr>
                                    </w:div>
                                  </w:divsChild>
                                </w:div>
                                <w:div w:id="606545901">
                                  <w:marLeft w:val="0"/>
                                  <w:marRight w:val="0"/>
                                  <w:marTop w:val="0"/>
                                  <w:marBottom w:val="0"/>
                                  <w:divBdr>
                                    <w:top w:val="none" w:sz="0" w:space="0" w:color="auto"/>
                                    <w:left w:val="none" w:sz="0" w:space="0" w:color="auto"/>
                                    <w:bottom w:val="none" w:sz="0" w:space="0" w:color="auto"/>
                                    <w:right w:val="none" w:sz="0" w:space="0" w:color="auto"/>
                                  </w:divBdr>
                                  <w:divsChild>
                                    <w:div w:id="83499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8142450">
      <w:bodyDiv w:val="1"/>
      <w:marLeft w:val="0"/>
      <w:marRight w:val="0"/>
      <w:marTop w:val="0"/>
      <w:marBottom w:val="0"/>
      <w:divBdr>
        <w:top w:val="none" w:sz="0" w:space="0" w:color="auto"/>
        <w:left w:val="none" w:sz="0" w:space="0" w:color="auto"/>
        <w:bottom w:val="none" w:sz="0" w:space="0" w:color="auto"/>
        <w:right w:val="none" w:sz="0" w:space="0" w:color="auto"/>
      </w:divBdr>
    </w:div>
    <w:div w:id="1215002442">
      <w:bodyDiv w:val="1"/>
      <w:marLeft w:val="0"/>
      <w:marRight w:val="0"/>
      <w:marTop w:val="0"/>
      <w:marBottom w:val="0"/>
      <w:divBdr>
        <w:top w:val="none" w:sz="0" w:space="0" w:color="auto"/>
        <w:left w:val="none" w:sz="0" w:space="0" w:color="auto"/>
        <w:bottom w:val="none" w:sz="0" w:space="0" w:color="auto"/>
        <w:right w:val="none" w:sz="0" w:space="0" w:color="auto"/>
      </w:divBdr>
    </w:div>
    <w:div w:id="1312171251">
      <w:bodyDiv w:val="1"/>
      <w:marLeft w:val="0"/>
      <w:marRight w:val="0"/>
      <w:marTop w:val="0"/>
      <w:marBottom w:val="0"/>
      <w:divBdr>
        <w:top w:val="none" w:sz="0" w:space="0" w:color="auto"/>
        <w:left w:val="none" w:sz="0" w:space="0" w:color="auto"/>
        <w:bottom w:val="none" w:sz="0" w:space="0" w:color="auto"/>
        <w:right w:val="none" w:sz="0" w:space="0" w:color="auto"/>
      </w:divBdr>
      <w:divsChild>
        <w:div w:id="903754495">
          <w:marLeft w:val="0"/>
          <w:marRight w:val="0"/>
          <w:marTop w:val="0"/>
          <w:marBottom w:val="0"/>
          <w:divBdr>
            <w:top w:val="none" w:sz="0" w:space="0" w:color="auto"/>
            <w:left w:val="none" w:sz="0" w:space="0" w:color="auto"/>
            <w:bottom w:val="none" w:sz="0" w:space="0" w:color="auto"/>
            <w:right w:val="none" w:sz="0" w:space="0" w:color="auto"/>
          </w:divBdr>
          <w:divsChild>
            <w:div w:id="1063529683">
              <w:marLeft w:val="0"/>
              <w:marRight w:val="0"/>
              <w:marTop w:val="0"/>
              <w:marBottom w:val="0"/>
              <w:divBdr>
                <w:top w:val="none" w:sz="0" w:space="0" w:color="auto"/>
                <w:left w:val="none" w:sz="0" w:space="0" w:color="auto"/>
                <w:bottom w:val="none" w:sz="0" w:space="0" w:color="auto"/>
                <w:right w:val="none" w:sz="0" w:space="0" w:color="auto"/>
              </w:divBdr>
              <w:divsChild>
                <w:div w:id="1998682165">
                  <w:marLeft w:val="0"/>
                  <w:marRight w:val="0"/>
                  <w:marTop w:val="0"/>
                  <w:marBottom w:val="510"/>
                  <w:divBdr>
                    <w:top w:val="none" w:sz="0" w:space="0" w:color="auto"/>
                    <w:left w:val="none" w:sz="0" w:space="0" w:color="auto"/>
                    <w:bottom w:val="none" w:sz="0" w:space="0" w:color="auto"/>
                    <w:right w:val="none" w:sz="0" w:space="0" w:color="auto"/>
                  </w:divBdr>
                  <w:divsChild>
                    <w:div w:id="549462445">
                      <w:marLeft w:val="210"/>
                      <w:marRight w:val="30"/>
                      <w:marTop w:val="0"/>
                      <w:marBottom w:val="0"/>
                      <w:divBdr>
                        <w:top w:val="none" w:sz="0" w:space="0" w:color="auto"/>
                        <w:left w:val="none" w:sz="0" w:space="0" w:color="auto"/>
                        <w:bottom w:val="none" w:sz="0" w:space="0" w:color="auto"/>
                        <w:right w:val="none" w:sz="0" w:space="0" w:color="auto"/>
                      </w:divBdr>
                      <w:divsChild>
                        <w:div w:id="198727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76588">
                  <w:marLeft w:val="0"/>
                  <w:marRight w:val="0"/>
                  <w:marTop w:val="0"/>
                  <w:marBottom w:val="0"/>
                  <w:divBdr>
                    <w:top w:val="none" w:sz="0" w:space="0" w:color="auto"/>
                    <w:left w:val="none" w:sz="0" w:space="0" w:color="auto"/>
                    <w:bottom w:val="none" w:sz="0" w:space="0" w:color="auto"/>
                    <w:right w:val="none" w:sz="0" w:space="0" w:color="auto"/>
                  </w:divBdr>
                  <w:divsChild>
                    <w:div w:id="438062929">
                      <w:marLeft w:val="0"/>
                      <w:marRight w:val="0"/>
                      <w:marTop w:val="0"/>
                      <w:marBottom w:val="0"/>
                      <w:divBdr>
                        <w:top w:val="none" w:sz="0" w:space="0" w:color="auto"/>
                        <w:left w:val="none" w:sz="0" w:space="0" w:color="auto"/>
                        <w:bottom w:val="none" w:sz="0" w:space="0" w:color="auto"/>
                        <w:right w:val="none" w:sz="0" w:space="0" w:color="auto"/>
                      </w:divBdr>
                      <w:divsChild>
                        <w:div w:id="1754473284">
                          <w:marLeft w:val="0"/>
                          <w:marRight w:val="0"/>
                          <w:marTop w:val="0"/>
                          <w:marBottom w:val="0"/>
                          <w:divBdr>
                            <w:top w:val="none" w:sz="0" w:space="0" w:color="auto"/>
                            <w:left w:val="none" w:sz="0" w:space="0" w:color="auto"/>
                            <w:bottom w:val="none" w:sz="0" w:space="0" w:color="auto"/>
                            <w:right w:val="none" w:sz="0" w:space="0" w:color="auto"/>
                          </w:divBdr>
                          <w:divsChild>
                            <w:div w:id="740520708">
                              <w:marLeft w:val="-90"/>
                              <w:marRight w:val="0"/>
                              <w:marTop w:val="0"/>
                              <w:marBottom w:val="90"/>
                              <w:divBdr>
                                <w:top w:val="none" w:sz="0" w:space="0" w:color="auto"/>
                                <w:left w:val="none" w:sz="0" w:space="0" w:color="auto"/>
                                <w:bottom w:val="none" w:sz="0" w:space="0" w:color="auto"/>
                                <w:right w:val="none" w:sz="0" w:space="0" w:color="auto"/>
                              </w:divBdr>
                            </w:div>
                            <w:div w:id="1410495144">
                              <w:marLeft w:val="0"/>
                              <w:marRight w:val="0"/>
                              <w:marTop w:val="0"/>
                              <w:marBottom w:val="0"/>
                              <w:divBdr>
                                <w:top w:val="none" w:sz="0" w:space="0" w:color="auto"/>
                                <w:left w:val="none" w:sz="0" w:space="0" w:color="auto"/>
                                <w:bottom w:val="none" w:sz="0" w:space="0" w:color="auto"/>
                                <w:right w:val="none" w:sz="0" w:space="0" w:color="auto"/>
                              </w:divBdr>
                              <w:divsChild>
                                <w:div w:id="2024741905">
                                  <w:marLeft w:val="0"/>
                                  <w:marRight w:val="0"/>
                                  <w:marTop w:val="0"/>
                                  <w:marBottom w:val="0"/>
                                  <w:divBdr>
                                    <w:top w:val="none" w:sz="0" w:space="0" w:color="auto"/>
                                    <w:left w:val="none" w:sz="0" w:space="0" w:color="auto"/>
                                    <w:bottom w:val="none" w:sz="0" w:space="0" w:color="auto"/>
                                    <w:right w:val="none" w:sz="0" w:space="0" w:color="auto"/>
                                  </w:divBdr>
                                </w:div>
                              </w:divsChild>
                            </w:div>
                            <w:div w:id="1412000190">
                              <w:marLeft w:val="0"/>
                              <w:marRight w:val="0"/>
                              <w:marTop w:val="0"/>
                              <w:marBottom w:val="0"/>
                              <w:divBdr>
                                <w:top w:val="none" w:sz="0" w:space="0" w:color="auto"/>
                                <w:left w:val="none" w:sz="0" w:space="0" w:color="auto"/>
                                <w:bottom w:val="none" w:sz="0" w:space="0" w:color="auto"/>
                                <w:right w:val="none" w:sz="0" w:space="0" w:color="auto"/>
                              </w:divBdr>
                              <w:divsChild>
                                <w:div w:id="1039820562">
                                  <w:marLeft w:val="0"/>
                                  <w:marRight w:val="0"/>
                                  <w:marTop w:val="0"/>
                                  <w:marBottom w:val="0"/>
                                  <w:divBdr>
                                    <w:top w:val="none" w:sz="0" w:space="0" w:color="auto"/>
                                    <w:left w:val="none" w:sz="0" w:space="0" w:color="auto"/>
                                    <w:bottom w:val="none" w:sz="0" w:space="0" w:color="auto"/>
                                    <w:right w:val="none" w:sz="0" w:space="0" w:color="auto"/>
                                  </w:divBdr>
                                </w:div>
                              </w:divsChild>
                            </w:div>
                            <w:div w:id="556741211">
                              <w:marLeft w:val="0"/>
                              <w:marRight w:val="0"/>
                              <w:marTop w:val="0"/>
                              <w:marBottom w:val="0"/>
                              <w:divBdr>
                                <w:top w:val="none" w:sz="0" w:space="0" w:color="auto"/>
                                <w:left w:val="none" w:sz="0" w:space="0" w:color="auto"/>
                                <w:bottom w:val="none" w:sz="0" w:space="0" w:color="auto"/>
                                <w:right w:val="none" w:sz="0" w:space="0" w:color="auto"/>
                              </w:divBdr>
                              <w:divsChild>
                                <w:div w:id="141590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05518">
                          <w:marLeft w:val="0"/>
                          <w:marRight w:val="0"/>
                          <w:marTop w:val="0"/>
                          <w:marBottom w:val="0"/>
                          <w:divBdr>
                            <w:top w:val="none" w:sz="0" w:space="0" w:color="auto"/>
                            <w:left w:val="none" w:sz="0" w:space="0" w:color="auto"/>
                            <w:bottom w:val="none" w:sz="0" w:space="0" w:color="auto"/>
                            <w:right w:val="none" w:sz="0" w:space="0" w:color="auto"/>
                          </w:divBdr>
                          <w:divsChild>
                            <w:div w:id="111099495">
                              <w:marLeft w:val="-90"/>
                              <w:marRight w:val="0"/>
                              <w:marTop w:val="90"/>
                              <w:marBottom w:val="90"/>
                              <w:divBdr>
                                <w:top w:val="none" w:sz="0" w:space="0" w:color="auto"/>
                                <w:left w:val="none" w:sz="0" w:space="0" w:color="auto"/>
                                <w:bottom w:val="none" w:sz="0" w:space="0" w:color="auto"/>
                                <w:right w:val="none" w:sz="0" w:space="0" w:color="auto"/>
                              </w:divBdr>
                            </w:div>
                            <w:div w:id="138691900">
                              <w:marLeft w:val="0"/>
                              <w:marRight w:val="0"/>
                              <w:marTop w:val="0"/>
                              <w:marBottom w:val="0"/>
                              <w:divBdr>
                                <w:top w:val="none" w:sz="0" w:space="0" w:color="auto"/>
                                <w:left w:val="none" w:sz="0" w:space="0" w:color="auto"/>
                                <w:bottom w:val="none" w:sz="0" w:space="0" w:color="auto"/>
                                <w:right w:val="none" w:sz="0" w:space="0" w:color="auto"/>
                              </w:divBdr>
                              <w:divsChild>
                                <w:div w:id="2096323197">
                                  <w:marLeft w:val="0"/>
                                  <w:marRight w:val="0"/>
                                  <w:marTop w:val="0"/>
                                  <w:marBottom w:val="0"/>
                                  <w:divBdr>
                                    <w:top w:val="none" w:sz="0" w:space="0" w:color="auto"/>
                                    <w:left w:val="none" w:sz="0" w:space="0" w:color="auto"/>
                                    <w:bottom w:val="none" w:sz="0" w:space="0" w:color="auto"/>
                                    <w:right w:val="none" w:sz="0" w:space="0" w:color="auto"/>
                                  </w:divBdr>
                                </w:div>
                              </w:divsChild>
                            </w:div>
                            <w:div w:id="695545696">
                              <w:marLeft w:val="0"/>
                              <w:marRight w:val="0"/>
                              <w:marTop w:val="0"/>
                              <w:marBottom w:val="0"/>
                              <w:divBdr>
                                <w:top w:val="none" w:sz="0" w:space="0" w:color="auto"/>
                                <w:left w:val="none" w:sz="0" w:space="0" w:color="auto"/>
                                <w:bottom w:val="none" w:sz="0" w:space="0" w:color="auto"/>
                                <w:right w:val="none" w:sz="0" w:space="0" w:color="auto"/>
                              </w:divBdr>
                              <w:divsChild>
                                <w:div w:id="461535879">
                                  <w:marLeft w:val="0"/>
                                  <w:marRight w:val="0"/>
                                  <w:marTop w:val="0"/>
                                  <w:marBottom w:val="0"/>
                                  <w:divBdr>
                                    <w:top w:val="none" w:sz="0" w:space="0" w:color="auto"/>
                                    <w:left w:val="none" w:sz="0" w:space="0" w:color="auto"/>
                                    <w:bottom w:val="none" w:sz="0" w:space="0" w:color="auto"/>
                                    <w:right w:val="none" w:sz="0" w:space="0" w:color="auto"/>
                                  </w:divBdr>
                                </w:div>
                              </w:divsChild>
                            </w:div>
                            <w:div w:id="514733377">
                              <w:marLeft w:val="0"/>
                              <w:marRight w:val="0"/>
                              <w:marTop w:val="0"/>
                              <w:marBottom w:val="0"/>
                              <w:divBdr>
                                <w:top w:val="none" w:sz="0" w:space="0" w:color="auto"/>
                                <w:left w:val="none" w:sz="0" w:space="0" w:color="auto"/>
                                <w:bottom w:val="none" w:sz="0" w:space="0" w:color="auto"/>
                                <w:right w:val="none" w:sz="0" w:space="0" w:color="auto"/>
                              </w:divBdr>
                              <w:divsChild>
                                <w:div w:id="210595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353649">
                          <w:marLeft w:val="0"/>
                          <w:marRight w:val="0"/>
                          <w:marTop w:val="0"/>
                          <w:marBottom w:val="0"/>
                          <w:divBdr>
                            <w:top w:val="none" w:sz="0" w:space="0" w:color="auto"/>
                            <w:left w:val="none" w:sz="0" w:space="0" w:color="auto"/>
                            <w:bottom w:val="none" w:sz="0" w:space="0" w:color="auto"/>
                            <w:right w:val="none" w:sz="0" w:space="0" w:color="auto"/>
                          </w:divBdr>
                          <w:divsChild>
                            <w:div w:id="1948003751">
                              <w:marLeft w:val="-90"/>
                              <w:marRight w:val="0"/>
                              <w:marTop w:val="90"/>
                              <w:marBottom w:val="90"/>
                              <w:divBdr>
                                <w:top w:val="none" w:sz="0" w:space="0" w:color="auto"/>
                                <w:left w:val="none" w:sz="0" w:space="0" w:color="auto"/>
                                <w:bottom w:val="none" w:sz="0" w:space="0" w:color="auto"/>
                                <w:right w:val="none" w:sz="0" w:space="0" w:color="auto"/>
                              </w:divBdr>
                            </w:div>
                            <w:div w:id="734820079">
                              <w:marLeft w:val="0"/>
                              <w:marRight w:val="0"/>
                              <w:marTop w:val="0"/>
                              <w:marBottom w:val="0"/>
                              <w:divBdr>
                                <w:top w:val="none" w:sz="0" w:space="0" w:color="auto"/>
                                <w:left w:val="none" w:sz="0" w:space="0" w:color="auto"/>
                                <w:bottom w:val="none" w:sz="0" w:space="0" w:color="auto"/>
                                <w:right w:val="none" w:sz="0" w:space="0" w:color="auto"/>
                              </w:divBdr>
                              <w:divsChild>
                                <w:div w:id="1810972200">
                                  <w:marLeft w:val="0"/>
                                  <w:marRight w:val="0"/>
                                  <w:marTop w:val="0"/>
                                  <w:marBottom w:val="0"/>
                                  <w:divBdr>
                                    <w:top w:val="none" w:sz="0" w:space="0" w:color="auto"/>
                                    <w:left w:val="none" w:sz="0" w:space="0" w:color="auto"/>
                                    <w:bottom w:val="none" w:sz="0" w:space="0" w:color="auto"/>
                                    <w:right w:val="none" w:sz="0" w:space="0" w:color="auto"/>
                                  </w:divBdr>
                                </w:div>
                              </w:divsChild>
                            </w:div>
                            <w:div w:id="1210142267">
                              <w:marLeft w:val="0"/>
                              <w:marRight w:val="0"/>
                              <w:marTop w:val="0"/>
                              <w:marBottom w:val="0"/>
                              <w:divBdr>
                                <w:top w:val="none" w:sz="0" w:space="0" w:color="auto"/>
                                <w:left w:val="none" w:sz="0" w:space="0" w:color="auto"/>
                                <w:bottom w:val="none" w:sz="0" w:space="0" w:color="auto"/>
                                <w:right w:val="none" w:sz="0" w:space="0" w:color="auto"/>
                              </w:divBdr>
                              <w:divsChild>
                                <w:div w:id="1240095429">
                                  <w:marLeft w:val="0"/>
                                  <w:marRight w:val="0"/>
                                  <w:marTop w:val="0"/>
                                  <w:marBottom w:val="0"/>
                                  <w:divBdr>
                                    <w:top w:val="none" w:sz="0" w:space="0" w:color="auto"/>
                                    <w:left w:val="none" w:sz="0" w:space="0" w:color="auto"/>
                                    <w:bottom w:val="none" w:sz="0" w:space="0" w:color="auto"/>
                                    <w:right w:val="none" w:sz="0" w:space="0" w:color="auto"/>
                                  </w:divBdr>
                                </w:div>
                              </w:divsChild>
                            </w:div>
                            <w:div w:id="1720587217">
                              <w:marLeft w:val="0"/>
                              <w:marRight w:val="0"/>
                              <w:marTop w:val="0"/>
                              <w:marBottom w:val="0"/>
                              <w:divBdr>
                                <w:top w:val="none" w:sz="0" w:space="0" w:color="auto"/>
                                <w:left w:val="none" w:sz="0" w:space="0" w:color="auto"/>
                                <w:bottom w:val="none" w:sz="0" w:space="0" w:color="auto"/>
                                <w:right w:val="none" w:sz="0" w:space="0" w:color="auto"/>
                              </w:divBdr>
                              <w:divsChild>
                                <w:div w:id="1313827466">
                                  <w:marLeft w:val="0"/>
                                  <w:marRight w:val="0"/>
                                  <w:marTop w:val="0"/>
                                  <w:marBottom w:val="0"/>
                                  <w:divBdr>
                                    <w:top w:val="none" w:sz="0" w:space="0" w:color="auto"/>
                                    <w:left w:val="none" w:sz="0" w:space="0" w:color="auto"/>
                                    <w:bottom w:val="none" w:sz="0" w:space="0" w:color="auto"/>
                                    <w:right w:val="none" w:sz="0" w:space="0" w:color="auto"/>
                                  </w:divBdr>
                                </w:div>
                              </w:divsChild>
                            </w:div>
                            <w:div w:id="1608730514">
                              <w:marLeft w:val="0"/>
                              <w:marRight w:val="0"/>
                              <w:marTop w:val="0"/>
                              <w:marBottom w:val="0"/>
                              <w:divBdr>
                                <w:top w:val="none" w:sz="0" w:space="0" w:color="auto"/>
                                <w:left w:val="none" w:sz="0" w:space="0" w:color="auto"/>
                                <w:bottom w:val="none" w:sz="0" w:space="0" w:color="auto"/>
                                <w:right w:val="none" w:sz="0" w:space="0" w:color="auto"/>
                              </w:divBdr>
                              <w:divsChild>
                                <w:div w:id="131611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9261">
                          <w:marLeft w:val="0"/>
                          <w:marRight w:val="0"/>
                          <w:marTop w:val="0"/>
                          <w:marBottom w:val="0"/>
                          <w:divBdr>
                            <w:top w:val="none" w:sz="0" w:space="0" w:color="auto"/>
                            <w:left w:val="none" w:sz="0" w:space="0" w:color="auto"/>
                            <w:bottom w:val="none" w:sz="0" w:space="0" w:color="auto"/>
                            <w:right w:val="none" w:sz="0" w:space="0" w:color="auto"/>
                          </w:divBdr>
                          <w:divsChild>
                            <w:div w:id="91322824">
                              <w:marLeft w:val="-90"/>
                              <w:marRight w:val="0"/>
                              <w:marTop w:val="90"/>
                              <w:marBottom w:val="90"/>
                              <w:divBdr>
                                <w:top w:val="none" w:sz="0" w:space="0" w:color="auto"/>
                                <w:left w:val="none" w:sz="0" w:space="0" w:color="auto"/>
                                <w:bottom w:val="none" w:sz="0" w:space="0" w:color="auto"/>
                                <w:right w:val="none" w:sz="0" w:space="0" w:color="auto"/>
                              </w:divBdr>
                            </w:div>
                            <w:div w:id="1815952009">
                              <w:marLeft w:val="0"/>
                              <w:marRight w:val="0"/>
                              <w:marTop w:val="0"/>
                              <w:marBottom w:val="0"/>
                              <w:divBdr>
                                <w:top w:val="none" w:sz="0" w:space="0" w:color="auto"/>
                                <w:left w:val="none" w:sz="0" w:space="0" w:color="auto"/>
                                <w:bottom w:val="none" w:sz="0" w:space="0" w:color="auto"/>
                                <w:right w:val="none" w:sz="0" w:space="0" w:color="auto"/>
                              </w:divBdr>
                              <w:divsChild>
                                <w:div w:id="269550411">
                                  <w:marLeft w:val="0"/>
                                  <w:marRight w:val="0"/>
                                  <w:marTop w:val="0"/>
                                  <w:marBottom w:val="0"/>
                                  <w:divBdr>
                                    <w:top w:val="none" w:sz="0" w:space="0" w:color="auto"/>
                                    <w:left w:val="none" w:sz="0" w:space="0" w:color="auto"/>
                                    <w:bottom w:val="none" w:sz="0" w:space="0" w:color="auto"/>
                                    <w:right w:val="none" w:sz="0" w:space="0" w:color="auto"/>
                                  </w:divBdr>
                                </w:div>
                              </w:divsChild>
                            </w:div>
                            <w:div w:id="970944546">
                              <w:marLeft w:val="0"/>
                              <w:marRight w:val="0"/>
                              <w:marTop w:val="0"/>
                              <w:marBottom w:val="0"/>
                              <w:divBdr>
                                <w:top w:val="none" w:sz="0" w:space="0" w:color="auto"/>
                                <w:left w:val="none" w:sz="0" w:space="0" w:color="auto"/>
                                <w:bottom w:val="none" w:sz="0" w:space="0" w:color="auto"/>
                                <w:right w:val="none" w:sz="0" w:space="0" w:color="auto"/>
                              </w:divBdr>
                              <w:divsChild>
                                <w:div w:id="1106969909">
                                  <w:marLeft w:val="0"/>
                                  <w:marRight w:val="0"/>
                                  <w:marTop w:val="0"/>
                                  <w:marBottom w:val="0"/>
                                  <w:divBdr>
                                    <w:top w:val="none" w:sz="0" w:space="0" w:color="auto"/>
                                    <w:left w:val="none" w:sz="0" w:space="0" w:color="auto"/>
                                    <w:bottom w:val="none" w:sz="0" w:space="0" w:color="auto"/>
                                    <w:right w:val="none" w:sz="0" w:space="0" w:color="auto"/>
                                  </w:divBdr>
                                </w:div>
                              </w:divsChild>
                            </w:div>
                            <w:div w:id="249197437">
                              <w:marLeft w:val="0"/>
                              <w:marRight w:val="0"/>
                              <w:marTop w:val="0"/>
                              <w:marBottom w:val="0"/>
                              <w:divBdr>
                                <w:top w:val="none" w:sz="0" w:space="0" w:color="auto"/>
                                <w:left w:val="none" w:sz="0" w:space="0" w:color="auto"/>
                                <w:bottom w:val="none" w:sz="0" w:space="0" w:color="auto"/>
                                <w:right w:val="none" w:sz="0" w:space="0" w:color="auto"/>
                              </w:divBdr>
                              <w:divsChild>
                                <w:div w:id="1653945698">
                                  <w:marLeft w:val="0"/>
                                  <w:marRight w:val="0"/>
                                  <w:marTop w:val="0"/>
                                  <w:marBottom w:val="0"/>
                                  <w:divBdr>
                                    <w:top w:val="none" w:sz="0" w:space="0" w:color="auto"/>
                                    <w:left w:val="none" w:sz="0" w:space="0" w:color="auto"/>
                                    <w:bottom w:val="none" w:sz="0" w:space="0" w:color="auto"/>
                                    <w:right w:val="none" w:sz="0" w:space="0" w:color="auto"/>
                                  </w:divBdr>
                                </w:div>
                              </w:divsChild>
                            </w:div>
                            <w:div w:id="101390098">
                              <w:marLeft w:val="0"/>
                              <w:marRight w:val="0"/>
                              <w:marTop w:val="0"/>
                              <w:marBottom w:val="0"/>
                              <w:divBdr>
                                <w:top w:val="none" w:sz="0" w:space="0" w:color="auto"/>
                                <w:left w:val="none" w:sz="0" w:space="0" w:color="auto"/>
                                <w:bottom w:val="none" w:sz="0" w:space="0" w:color="auto"/>
                                <w:right w:val="none" w:sz="0" w:space="0" w:color="auto"/>
                              </w:divBdr>
                              <w:divsChild>
                                <w:div w:id="55990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06512">
                          <w:marLeft w:val="0"/>
                          <w:marRight w:val="0"/>
                          <w:marTop w:val="0"/>
                          <w:marBottom w:val="0"/>
                          <w:divBdr>
                            <w:top w:val="none" w:sz="0" w:space="0" w:color="auto"/>
                            <w:left w:val="none" w:sz="0" w:space="0" w:color="auto"/>
                            <w:bottom w:val="none" w:sz="0" w:space="0" w:color="auto"/>
                            <w:right w:val="none" w:sz="0" w:space="0" w:color="auto"/>
                          </w:divBdr>
                          <w:divsChild>
                            <w:div w:id="442529974">
                              <w:marLeft w:val="-90"/>
                              <w:marRight w:val="0"/>
                              <w:marTop w:val="90"/>
                              <w:marBottom w:val="90"/>
                              <w:divBdr>
                                <w:top w:val="none" w:sz="0" w:space="0" w:color="auto"/>
                                <w:left w:val="none" w:sz="0" w:space="0" w:color="auto"/>
                                <w:bottom w:val="none" w:sz="0" w:space="0" w:color="auto"/>
                                <w:right w:val="none" w:sz="0" w:space="0" w:color="auto"/>
                              </w:divBdr>
                            </w:div>
                            <w:div w:id="325014281">
                              <w:marLeft w:val="0"/>
                              <w:marRight w:val="0"/>
                              <w:marTop w:val="0"/>
                              <w:marBottom w:val="0"/>
                              <w:divBdr>
                                <w:top w:val="none" w:sz="0" w:space="0" w:color="auto"/>
                                <w:left w:val="none" w:sz="0" w:space="0" w:color="auto"/>
                                <w:bottom w:val="none" w:sz="0" w:space="0" w:color="auto"/>
                                <w:right w:val="none" w:sz="0" w:space="0" w:color="auto"/>
                              </w:divBdr>
                              <w:divsChild>
                                <w:div w:id="436289968">
                                  <w:marLeft w:val="0"/>
                                  <w:marRight w:val="0"/>
                                  <w:marTop w:val="0"/>
                                  <w:marBottom w:val="0"/>
                                  <w:divBdr>
                                    <w:top w:val="none" w:sz="0" w:space="0" w:color="auto"/>
                                    <w:left w:val="none" w:sz="0" w:space="0" w:color="auto"/>
                                    <w:bottom w:val="none" w:sz="0" w:space="0" w:color="auto"/>
                                    <w:right w:val="none" w:sz="0" w:space="0" w:color="auto"/>
                                  </w:divBdr>
                                </w:div>
                              </w:divsChild>
                            </w:div>
                            <w:div w:id="1584990171">
                              <w:marLeft w:val="0"/>
                              <w:marRight w:val="0"/>
                              <w:marTop w:val="0"/>
                              <w:marBottom w:val="0"/>
                              <w:divBdr>
                                <w:top w:val="none" w:sz="0" w:space="0" w:color="auto"/>
                                <w:left w:val="none" w:sz="0" w:space="0" w:color="auto"/>
                                <w:bottom w:val="none" w:sz="0" w:space="0" w:color="auto"/>
                                <w:right w:val="none" w:sz="0" w:space="0" w:color="auto"/>
                              </w:divBdr>
                              <w:divsChild>
                                <w:div w:id="421805116">
                                  <w:marLeft w:val="0"/>
                                  <w:marRight w:val="0"/>
                                  <w:marTop w:val="0"/>
                                  <w:marBottom w:val="0"/>
                                  <w:divBdr>
                                    <w:top w:val="none" w:sz="0" w:space="0" w:color="auto"/>
                                    <w:left w:val="none" w:sz="0" w:space="0" w:color="auto"/>
                                    <w:bottom w:val="none" w:sz="0" w:space="0" w:color="auto"/>
                                    <w:right w:val="none" w:sz="0" w:space="0" w:color="auto"/>
                                  </w:divBdr>
                                </w:div>
                              </w:divsChild>
                            </w:div>
                            <w:div w:id="450173597">
                              <w:marLeft w:val="0"/>
                              <w:marRight w:val="0"/>
                              <w:marTop w:val="0"/>
                              <w:marBottom w:val="0"/>
                              <w:divBdr>
                                <w:top w:val="none" w:sz="0" w:space="0" w:color="auto"/>
                                <w:left w:val="none" w:sz="0" w:space="0" w:color="auto"/>
                                <w:bottom w:val="none" w:sz="0" w:space="0" w:color="auto"/>
                                <w:right w:val="none" w:sz="0" w:space="0" w:color="auto"/>
                              </w:divBdr>
                              <w:divsChild>
                                <w:div w:id="1623416115">
                                  <w:marLeft w:val="0"/>
                                  <w:marRight w:val="0"/>
                                  <w:marTop w:val="0"/>
                                  <w:marBottom w:val="0"/>
                                  <w:divBdr>
                                    <w:top w:val="none" w:sz="0" w:space="0" w:color="auto"/>
                                    <w:left w:val="none" w:sz="0" w:space="0" w:color="auto"/>
                                    <w:bottom w:val="none" w:sz="0" w:space="0" w:color="auto"/>
                                    <w:right w:val="none" w:sz="0" w:space="0" w:color="auto"/>
                                  </w:divBdr>
                                </w:div>
                              </w:divsChild>
                            </w:div>
                            <w:div w:id="586353495">
                              <w:marLeft w:val="0"/>
                              <w:marRight w:val="0"/>
                              <w:marTop w:val="0"/>
                              <w:marBottom w:val="0"/>
                              <w:divBdr>
                                <w:top w:val="none" w:sz="0" w:space="0" w:color="auto"/>
                                <w:left w:val="none" w:sz="0" w:space="0" w:color="auto"/>
                                <w:bottom w:val="none" w:sz="0" w:space="0" w:color="auto"/>
                                <w:right w:val="none" w:sz="0" w:space="0" w:color="auto"/>
                              </w:divBdr>
                              <w:divsChild>
                                <w:div w:id="94905761">
                                  <w:marLeft w:val="0"/>
                                  <w:marRight w:val="0"/>
                                  <w:marTop w:val="0"/>
                                  <w:marBottom w:val="0"/>
                                  <w:divBdr>
                                    <w:top w:val="none" w:sz="0" w:space="0" w:color="auto"/>
                                    <w:left w:val="none" w:sz="0" w:space="0" w:color="auto"/>
                                    <w:bottom w:val="none" w:sz="0" w:space="0" w:color="auto"/>
                                    <w:right w:val="none" w:sz="0" w:space="0" w:color="auto"/>
                                  </w:divBdr>
                                </w:div>
                              </w:divsChild>
                            </w:div>
                            <w:div w:id="1541742183">
                              <w:marLeft w:val="0"/>
                              <w:marRight w:val="0"/>
                              <w:marTop w:val="0"/>
                              <w:marBottom w:val="0"/>
                              <w:divBdr>
                                <w:top w:val="none" w:sz="0" w:space="0" w:color="auto"/>
                                <w:left w:val="none" w:sz="0" w:space="0" w:color="auto"/>
                                <w:bottom w:val="none" w:sz="0" w:space="0" w:color="auto"/>
                                <w:right w:val="none" w:sz="0" w:space="0" w:color="auto"/>
                              </w:divBdr>
                              <w:divsChild>
                                <w:div w:id="325549354">
                                  <w:marLeft w:val="0"/>
                                  <w:marRight w:val="0"/>
                                  <w:marTop w:val="0"/>
                                  <w:marBottom w:val="0"/>
                                  <w:divBdr>
                                    <w:top w:val="none" w:sz="0" w:space="0" w:color="auto"/>
                                    <w:left w:val="none" w:sz="0" w:space="0" w:color="auto"/>
                                    <w:bottom w:val="none" w:sz="0" w:space="0" w:color="auto"/>
                                    <w:right w:val="none" w:sz="0" w:space="0" w:color="auto"/>
                                  </w:divBdr>
                                </w:div>
                              </w:divsChild>
                            </w:div>
                            <w:div w:id="1792750745">
                              <w:marLeft w:val="0"/>
                              <w:marRight w:val="0"/>
                              <w:marTop w:val="0"/>
                              <w:marBottom w:val="0"/>
                              <w:divBdr>
                                <w:top w:val="none" w:sz="0" w:space="0" w:color="auto"/>
                                <w:left w:val="none" w:sz="0" w:space="0" w:color="auto"/>
                                <w:bottom w:val="none" w:sz="0" w:space="0" w:color="auto"/>
                                <w:right w:val="none" w:sz="0" w:space="0" w:color="auto"/>
                              </w:divBdr>
                              <w:divsChild>
                                <w:div w:id="1886671066">
                                  <w:marLeft w:val="0"/>
                                  <w:marRight w:val="0"/>
                                  <w:marTop w:val="0"/>
                                  <w:marBottom w:val="0"/>
                                  <w:divBdr>
                                    <w:top w:val="none" w:sz="0" w:space="0" w:color="auto"/>
                                    <w:left w:val="none" w:sz="0" w:space="0" w:color="auto"/>
                                    <w:bottom w:val="none" w:sz="0" w:space="0" w:color="auto"/>
                                    <w:right w:val="none" w:sz="0" w:space="0" w:color="auto"/>
                                  </w:divBdr>
                                </w:div>
                              </w:divsChild>
                            </w:div>
                            <w:div w:id="1473327298">
                              <w:marLeft w:val="0"/>
                              <w:marRight w:val="0"/>
                              <w:marTop w:val="0"/>
                              <w:marBottom w:val="0"/>
                              <w:divBdr>
                                <w:top w:val="none" w:sz="0" w:space="0" w:color="auto"/>
                                <w:left w:val="none" w:sz="0" w:space="0" w:color="auto"/>
                                <w:bottom w:val="none" w:sz="0" w:space="0" w:color="auto"/>
                                <w:right w:val="none" w:sz="0" w:space="0" w:color="auto"/>
                              </w:divBdr>
                              <w:divsChild>
                                <w:div w:id="2055958458">
                                  <w:marLeft w:val="0"/>
                                  <w:marRight w:val="0"/>
                                  <w:marTop w:val="0"/>
                                  <w:marBottom w:val="0"/>
                                  <w:divBdr>
                                    <w:top w:val="none" w:sz="0" w:space="0" w:color="auto"/>
                                    <w:left w:val="none" w:sz="0" w:space="0" w:color="auto"/>
                                    <w:bottom w:val="none" w:sz="0" w:space="0" w:color="auto"/>
                                    <w:right w:val="none" w:sz="0" w:space="0" w:color="auto"/>
                                  </w:divBdr>
                                </w:div>
                              </w:divsChild>
                            </w:div>
                            <w:div w:id="372267671">
                              <w:marLeft w:val="0"/>
                              <w:marRight w:val="0"/>
                              <w:marTop w:val="0"/>
                              <w:marBottom w:val="0"/>
                              <w:divBdr>
                                <w:top w:val="none" w:sz="0" w:space="0" w:color="auto"/>
                                <w:left w:val="none" w:sz="0" w:space="0" w:color="auto"/>
                                <w:bottom w:val="none" w:sz="0" w:space="0" w:color="auto"/>
                                <w:right w:val="none" w:sz="0" w:space="0" w:color="auto"/>
                              </w:divBdr>
                              <w:divsChild>
                                <w:div w:id="128978388">
                                  <w:marLeft w:val="0"/>
                                  <w:marRight w:val="0"/>
                                  <w:marTop w:val="0"/>
                                  <w:marBottom w:val="0"/>
                                  <w:divBdr>
                                    <w:top w:val="none" w:sz="0" w:space="0" w:color="auto"/>
                                    <w:left w:val="none" w:sz="0" w:space="0" w:color="auto"/>
                                    <w:bottom w:val="none" w:sz="0" w:space="0" w:color="auto"/>
                                    <w:right w:val="none" w:sz="0" w:space="0" w:color="auto"/>
                                  </w:divBdr>
                                </w:div>
                              </w:divsChild>
                            </w:div>
                            <w:div w:id="833449821">
                              <w:marLeft w:val="0"/>
                              <w:marRight w:val="0"/>
                              <w:marTop w:val="0"/>
                              <w:marBottom w:val="0"/>
                              <w:divBdr>
                                <w:top w:val="none" w:sz="0" w:space="0" w:color="auto"/>
                                <w:left w:val="none" w:sz="0" w:space="0" w:color="auto"/>
                                <w:bottom w:val="none" w:sz="0" w:space="0" w:color="auto"/>
                                <w:right w:val="none" w:sz="0" w:space="0" w:color="auto"/>
                              </w:divBdr>
                              <w:divsChild>
                                <w:div w:id="205110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163189">
                  <w:marLeft w:val="0"/>
                  <w:marRight w:val="0"/>
                  <w:marTop w:val="0"/>
                  <w:marBottom w:val="0"/>
                  <w:divBdr>
                    <w:top w:val="none" w:sz="0" w:space="0" w:color="auto"/>
                    <w:left w:val="none" w:sz="0" w:space="0" w:color="auto"/>
                    <w:bottom w:val="none" w:sz="0" w:space="0" w:color="auto"/>
                    <w:right w:val="none" w:sz="0" w:space="0" w:color="auto"/>
                  </w:divBdr>
                  <w:divsChild>
                    <w:div w:id="2030257484">
                      <w:marLeft w:val="0"/>
                      <w:marRight w:val="0"/>
                      <w:marTop w:val="0"/>
                      <w:marBottom w:val="120"/>
                      <w:divBdr>
                        <w:top w:val="single" w:sz="4" w:space="7" w:color="4D6BFE"/>
                        <w:left w:val="single" w:sz="4" w:space="9" w:color="4D6BFE"/>
                        <w:bottom w:val="single" w:sz="4" w:space="7" w:color="4D6BFE"/>
                        <w:right w:val="single" w:sz="4" w:space="9" w:color="4D6BFE"/>
                      </w:divBdr>
                    </w:div>
                    <w:div w:id="247858752">
                      <w:marLeft w:val="0"/>
                      <w:marRight w:val="0"/>
                      <w:marTop w:val="0"/>
                      <w:marBottom w:val="0"/>
                      <w:divBdr>
                        <w:top w:val="none" w:sz="0" w:space="0" w:color="auto"/>
                        <w:left w:val="none" w:sz="0" w:space="0" w:color="auto"/>
                        <w:bottom w:val="none" w:sz="0" w:space="0" w:color="auto"/>
                        <w:right w:val="none" w:sz="0" w:space="0" w:color="auto"/>
                      </w:divBdr>
                      <w:divsChild>
                        <w:div w:id="563761505">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46826">
          <w:marLeft w:val="0"/>
          <w:marRight w:val="0"/>
          <w:marTop w:val="0"/>
          <w:marBottom w:val="0"/>
          <w:divBdr>
            <w:top w:val="none" w:sz="0" w:space="0" w:color="auto"/>
            <w:left w:val="none" w:sz="0" w:space="0" w:color="auto"/>
            <w:bottom w:val="none" w:sz="0" w:space="0" w:color="auto"/>
            <w:right w:val="none" w:sz="0" w:space="0" w:color="auto"/>
          </w:divBdr>
          <w:divsChild>
            <w:div w:id="427119809">
              <w:marLeft w:val="0"/>
              <w:marRight w:val="0"/>
              <w:marTop w:val="0"/>
              <w:marBottom w:val="0"/>
              <w:divBdr>
                <w:top w:val="none" w:sz="0" w:space="0" w:color="auto"/>
                <w:left w:val="none" w:sz="0" w:space="0" w:color="auto"/>
                <w:bottom w:val="none" w:sz="0" w:space="0" w:color="auto"/>
                <w:right w:val="none" w:sz="0" w:space="0" w:color="auto"/>
              </w:divBdr>
              <w:divsChild>
                <w:div w:id="156002868">
                  <w:marLeft w:val="0"/>
                  <w:marRight w:val="0"/>
                  <w:marTop w:val="0"/>
                  <w:marBottom w:val="0"/>
                  <w:divBdr>
                    <w:top w:val="none" w:sz="0" w:space="0" w:color="auto"/>
                    <w:left w:val="none" w:sz="0" w:space="0" w:color="auto"/>
                    <w:bottom w:val="none" w:sz="0" w:space="0" w:color="auto"/>
                    <w:right w:val="none" w:sz="0" w:space="0" w:color="auto"/>
                  </w:divBdr>
                  <w:divsChild>
                    <w:div w:id="887569933">
                      <w:marLeft w:val="0"/>
                      <w:marRight w:val="0"/>
                      <w:marTop w:val="0"/>
                      <w:marBottom w:val="0"/>
                      <w:divBdr>
                        <w:top w:val="none" w:sz="0" w:space="0" w:color="auto"/>
                        <w:left w:val="none" w:sz="0" w:space="0" w:color="auto"/>
                        <w:bottom w:val="none" w:sz="0" w:space="0" w:color="auto"/>
                        <w:right w:val="none" w:sz="0" w:space="0" w:color="auto"/>
                      </w:divBdr>
                      <w:divsChild>
                        <w:div w:id="1749495679">
                          <w:marLeft w:val="0"/>
                          <w:marRight w:val="0"/>
                          <w:marTop w:val="0"/>
                          <w:marBottom w:val="0"/>
                          <w:divBdr>
                            <w:top w:val="none" w:sz="0" w:space="0" w:color="auto"/>
                            <w:left w:val="none" w:sz="0" w:space="0" w:color="auto"/>
                            <w:bottom w:val="none" w:sz="0" w:space="0" w:color="auto"/>
                            <w:right w:val="none" w:sz="0" w:space="0" w:color="auto"/>
                          </w:divBdr>
                          <w:divsChild>
                            <w:div w:id="194499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629564">
                  <w:marLeft w:val="0"/>
                  <w:marRight w:val="0"/>
                  <w:marTop w:val="0"/>
                  <w:marBottom w:val="0"/>
                  <w:divBdr>
                    <w:top w:val="none" w:sz="0" w:space="0" w:color="auto"/>
                    <w:left w:val="none" w:sz="0" w:space="0" w:color="auto"/>
                    <w:bottom w:val="none" w:sz="0" w:space="0" w:color="auto"/>
                    <w:right w:val="none" w:sz="0" w:space="0" w:color="auto"/>
                  </w:divBdr>
                  <w:divsChild>
                    <w:div w:id="1547568952">
                      <w:marLeft w:val="0"/>
                      <w:marRight w:val="0"/>
                      <w:marTop w:val="0"/>
                      <w:marBottom w:val="0"/>
                      <w:divBdr>
                        <w:top w:val="none" w:sz="0" w:space="0" w:color="auto"/>
                        <w:left w:val="none" w:sz="0" w:space="0" w:color="auto"/>
                        <w:bottom w:val="none" w:sz="0" w:space="0" w:color="auto"/>
                        <w:right w:val="none" w:sz="0" w:space="0" w:color="auto"/>
                      </w:divBdr>
                      <w:divsChild>
                        <w:div w:id="704138228">
                          <w:marLeft w:val="0"/>
                          <w:marRight w:val="0"/>
                          <w:marTop w:val="0"/>
                          <w:marBottom w:val="0"/>
                          <w:divBdr>
                            <w:top w:val="none" w:sz="0" w:space="0" w:color="auto"/>
                            <w:left w:val="none" w:sz="0" w:space="0" w:color="auto"/>
                            <w:bottom w:val="none" w:sz="0" w:space="0" w:color="auto"/>
                            <w:right w:val="none" w:sz="0" w:space="0" w:color="auto"/>
                          </w:divBdr>
                          <w:divsChild>
                            <w:div w:id="109057900">
                              <w:marLeft w:val="0"/>
                              <w:marRight w:val="0"/>
                              <w:marTop w:val="100"/>
                              <w:marBottom w:val="100"/>
                              <w:divBdr>
                                <w:top w:val="none" w:sz="0" w:space="0" w:color="auto"/>
                                <w:left w:val="none" w:sz="0" w:space="0" w:color="auto"/>
                                <w:bottom w:val="none" w:sz="0" w:space="0" w:color="auto"/>
                                <w:right w:val="none" w:sz="0" w:space="0" w:color="auto"/>
                              </w:divBdr>
                              <w:divsChild>
                                <w:div w:id="1563252544">
                                  <w:marLeft w:val="0"/>
                                  <w:marRight w:val="0"/>
                                  <w:marTop w:val="0"/>
                                  <w:marBottom w:val="240"/>
                                  <w:divBdr>
                                    <w:top w:val="none" w:sz="0" w:space="0" w:color="auto"/>
                                    <w:left w:val="none" w:sz="0" w:space="0" w:color="auto"/>
                                    <w:bottom w:val="none" w:sz="0" w:space="0" w:color="auto"/>
                                    <w:right w:val="none" w:sz="0" w:space="0" w:color="auto"/>
                                  </w:divBdr>
                                  <w:divsChild>
                                    <w:div w:id="2064404294">
                                      <w:marLeft w:val="0"/>
                                      <w:marRight w:val="0"/>
                                      <w:marTop w:val="0"/>
                                      <w:marBottom w:val="0"/>
                                      <w:divBdr>
                                        <w:top w:val="none" w:sz="0" w:space="0" w:color="auto"/>
                                        <w:left w:val="none" w:sz="0" w:space="0" w:color="auto"/>
                                        <w:bottom w:val="none" w:sz="0" w:space="0" w:color="auto"/>
                                        <w:right w:val="none" w:sz="0" w:space="0" w:color="auto"/>
                                      </w:divBdr>
                                    </w:div>
                                  </w:divsChild>
                                </w:div>
                                <w:div w:id="1894847095">
                                  <w:marLeft w:val="0"/>
                                  <w:marRight w:val="0"/>
                                  <w:marTop w:val="0"/>
                                  <w:marBottom w:val="180"/>
                                  <w:divBdr>
                                    <w:top w:val="none" w:sz="0" w:space="0" w:color="auto"/>
                                    <w:left w:val="none" w:sz="0" w:space="0" w:color="auto"/>
                                    <w:bottom w:val="none" w:sz="0" w:space="0" w:color="auto"/>
                                    <w:right w:val="none" w:sz="0" w:space="0" w:color="auto"/>
                                  </w:divBdr>
                                  <w:divsChild>
                                    <w:div w:id="1580022401">
                                      <w:marLeft w:val="0"/>
                                      <w:marRight w:val="0"/>
                                      <w:marTop w:val="0"/>
                                      <w:marBottom w:val="0"/>
                                      <w:divBdr>
                                        <w:top w:val="none" w:sz="0" w:space="0" w:color="auto"/>
                                        <w:left w:val="none" w:sz="0" w:space="0" w:color="auto"/>
                                        <w:bottom w:val="none" w:sz="0" w:space="0" w:color="auto"/>
                                        <w:right w:val="none" w:sz="0" w:space="0" w:color="auto"/>
                                      </w:divBdr>
                                    </w:div>
                                  </w:divsChild>
                                </w:div>
                                <w:div w:id="2038264453">
                                  <w:marLeft w:val="0"/>
                                  <w:marRight w:val="0"/>
                                  <w:marTop w:val="0"/>
                                  <w:marBottom w:val="240"/>
                                  <w:divBdr>
                                    <w:top w:val="none" w:sz="0" w:space="0" w:color="auto"/>
                                    <w:left w:val="none" w:sz="0" w:space="0" w:color="auto"/>
                                    <w:bottom w:val="none" w:sz="0" w:space="0" w:color="auto"/>
                                    <w:right w:val="none" w:sz="0" w:space="0" w:color="auto"/>
                                  </w:divBdr>
                                  <w:divsChild>
                                    <w:div w:id="1764494693">
                                      <w:marLeft w:val="0"/>
                                      <w:marRight w:val="0"/>
                                      <w:marTop w:val="0"/>
                                      <w:marBottom w:val="0"/>
                                      <w:divBdr>
                                        <w:top w:val="none" w:sz="0" w:space="0" w:color="auto"/>
                                        <w:left w:val="none" w:sz="0" w:space="0" w:color="auto"/>
                                        <w:bottom w:val="none" w:sz="0" w:space="0" w:color="auto"/>
                                        <w:right w:val="none" w:sz="0" w:space="0" w:color="auto"/>
                                      </w:divBdr>
                                    </w:div>
                                  </w:divsChild>
                                </w:div>
                                <w:div w:id="2014992439">
                                  <w:marLeft w:val="0"/>
                                  <w:marRight w:val="0"/>
                                  <w:marTop w:val="0"/>
                                  <w:marBottom w:val="180"/>
                                  <w:divBdr>
                                    <w:top w:val="none" w:sz="0" w:space="0" w:color="auto"/>
                                    <w:left w:val="none" w:sz="0" w:space="0" w:color="auto"/>
                                    <w:bottom w:val="none" w:sz="0" w:space="0" w:color="auto"/>
                                    <w:right w:val="none" w:sz="0" w:space="0" w:color="auto"/>
                                  </w:divBdr>
                                  <w:divsChild>
                                    <w:div w:id="1524975164">
                                      <w:marLeft w:val="0"/>
                                      <w:marRight w:val="0"/>
                                      <w:marTop w:val="0"/>
                                      <w:marBottom w:val="0"/>
                                      <w:divBdr>
                                        <w:top w:val="none" w:sz="0" w:space="0" w:color="auto"/>
                                        <w:left w:val="none" w:sz="0" w:space="0" w:color="auto"/>
                                        <w:bottom w:val="none" w:sz="0" w:space="0" w:color="auto"/>
                                        <w:right w:val="none" w:sz="0" w:space="0" w:color="auto"/>
                                      </w:divBdr>
                                    </w:div>
                                  </w:divsChild>
                                </w:div>
                                <w:div w:id="1413357647">
                                  <w:marLeft w:val="0"/>
                                  <w:marRight w:val="0"/>
                                  <w:marTop w:val="0"/>
                                  <w:marBottom w:val="240"/>
                                  <w:divBdr>
                                    <w:top w:val="none" w:sz="0" w:space="0" w:color="auto"/>
                                    <w:left w:val="none" w:sz="0" w:space="0" w:color="auto"/>
                                    <w:bottom w:val="none" w:sz="0" w:space="0" w:color="auto"/>
                                    <w:right w:val="none" w:sz="0" w:space="0" w:color="auto"/>
                                  </w:divBdr>
                                  <w:divsChild>
                                    <w:div w:id="1763868039">
                                      <w:marLeft w:val="0"/>
                                      <w:marRight w:val="0"/>
                                      <w:marTop w:val="0"/>
                                      <w:marBottom w:val="0"/>
                                      <w:divBdr>
                                        <w:top w:val="none" w:sz="0" w:space="0" w:color="auto"/>
                                        <w:left w:val="none" w:sz="0" w:space="0" w:color="auto"/>
                                        <w:bottom w:val="none" w:sz="0" w:space="0" w:color="auto"/>
                                        <w:right w:val="none" w:sz="0" w:space="0" w:color="auto"/>
                                      </w:divBdr>
                                    </w:div>
                                  </w:divsChild>
                                </w:div>
                                <w:div w:id="1287740019">
                                  <w:marLeft w:val="0"/>
                                  <w:marRight w:val="0"/>
                                  <w:marTop w:val="0"/>
                                  <w:marBottom w:val="0"/>
                                  <w:divBdr>
                                    <w:top w:val="none" w:sz="0" w:space="0" w:color="auto"/>
                                    <w:left w:val="none" w:sz="0" w:space="0" w:color="auto"/>
                                    <w:bottom w:val="none" w:sz="0" w:space="0" w:color="auto"/>
                                    <w:right w:val="none" w:sz="0" w:space="0" w:color="auto"/>
                                  </w:divBdr>
                                  <w:divsChild>
                                    <w:div w:id="203464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1110093">
      <w:bodyDiv w:val="1"/>
      <w:marLeft w:val="0"/>
      <w:marRight w:val="0"/>
      <w:marTop w:val="0"/>
      <w:marBottom w:val="0"/>
      <w:divBdr>
        <w:top w:val="none" w:sz="0" w:space="0" w:color="auto"/>
        <w:left w:val="none" w:sz="0" w:space="0" w:color="auto"/>
        <w:bottom w:val="none" w:sz="0" w:space="0" w:color="auto"/>
        <w:right w:val="none" w:sz="0" w:space="0" w:color="auto"/>
      </w:divBdr>
    </w:div>
    <w:div w:id="1377385846">
      <w:bodyDiv w:val="1"/>
      <w:marLeft w:val="0"/>
      <w:marRight w:val="0"/>
      <w:marTop w:val="0"/>
      <w:marBottom w:val="0"/>
      <w:divBdr>
        <w:top w:val="none" w:sz="0" w:space="0" w:color="auto"/>
        <w:left w:val="none" w:sz="0" w:space="0" w:color="auto"/>
        <w:bottom w:val="none" w:sz="0" w:space="0" w:color="auto"/>
        <w:right w:val="none" w:sz="0" w:space="0" w:color="auto"/>
      </w:divBdr>
    </w:div>
    <w:div w:id="1556039335">
      <w:bodyDiv w:val="1"/>
      <w:marLeft w:val="0"/>
      <w:marRight w:val="0"/>
      <w:marTop w:val="0"/>
      <w:marBottom w:val="0"/>
      <w:divBdr>
        <w:top w:val="none" w:sz="0" w:space="0" w:color="auto"/>
        <w:left w:val="none" w:sz="0" w:space="0" w:color="auto"/>
        <w:bottom w:val="none" w:sz="0" w:space="0" w:color="auto"/>
        <w:right w:val="none" w:sz="0" w:space="0" w:color="auto"/>
      </w:divBdr>
    </w:div>
    <w:div w:id="1601791748">
      <w:bodyDiv w:val="1"/>
      <w:marLeft w:val="0"/>
      <w:marRight w:val="0"/>
      <w:marTop w:val="0"/>
      <w:marBottom w:val="0"/>
      <w:divBdr>
        <w:top w:val="none" w:sz="0" w:space="0" w:color="auto"/>
        <w:left w:val="none" w:sz="0" w:space="0" w:color="auto"/>
        <w:bottom w:val="none" w:sz="0" w:space="0" w:color="auto"/>
        <w:right w:val="none" w:sz="0" w:space="0" w:color="auto"/>
      </w:divBdr>
      <w:divsChild>
        <w:div w:id="738945769">
          <w:marLeft w:val="0"/>
          <w:marRight w:val="0"/>
          <w:marTop w:val="0"/>
          <w:marBottom w:val="0"/>
          <w:divBdr>
            <w:top w:val="none" w:sz="0" w:space="0" w:color="auto"/>
            <w:left w:val="none" w:sz="0" w:space="0" w:color="auto"/>
            <w:bottom w:val="none" w:sz="0" w:space="0" w:color="auto"/>
            <w:right w:val="none" w:sz="0" w:space="0" w:color="auto"/>
          </w:divBdr>
        </w:div>
        <w:div w:id="529027791">
          <w:marLeft w:val="0"/>
          <w:marRight w:val="0"/>
          <w:marTop w:val="0"/>
          <w:marBottom w:val="0"/>
          <w:divBdr>
            <w:top w:val="none" w:sz="0" w:space="0" w:color="auto"/>
            <w:left w:val="none" w:sz="0" w:space="0" w:color="auto"/>
            <w:bottom w:val="none" w:sz="0" w:space="0" w:color="auto"/>
            <w:right w:val="none" w:sz="0" w:space="0" w:color="auto"/>
          </w:divBdr>
        </w:div>
      </w:divsChild>
    </w:div>
    <w:div w:id="1759477097">
      <w:bodyDiv w:val="1"/>
      <w:marLeft w:val="0"/>
      <w:marRight w:val="0"/>
      <w:marTop w:val="0"/>
      <w:marBottom w:val="0"/>
      <w:divBdr>
        <w:top w:val="none" w:sz="0" w:space="0" w:color="auto"/>
        <w:left w:val="none" w:sz="0" w:space="0" w:color="auto"/>
        <w:bottom w:val="none" w:sz="0" w:space="0" w:color="auto"/>
        <w:right w:val="none" w:sz="0" w:space="0" w:color="auto"/>
      </w:divBdr>
    </w:div>
    <w:div w:id="1888293971">
      <w:bodyDiv w:val="1"/>
      <w:marLeft w:val="0"/>
      <w:marRight w:val="0"/>
      <w:marTop w:val="0"/>
      <w:marBottom w:val="0"/>
      <w:divBdr>
        <w:top w:val="none" w:sz="0" w:space="0" w:color="auto"/>
        <w:left w:val="none" w:sz="0" w:space="0" w:color="auto"/>
        <w:bottom w:val="none" w:sz="0" w:space="0" w:color="auto"/>
        <w:right w:val="none" w:sz="0" w:space="0" w:color="auto"/>
      </w:divBdr>
    </w:div>
    <w:div w:id="1906836690">
      <w:bodyDiv w:val="1"/>
      <w:marLeft w:val="0"/>
      <w:marRight w:val="0"/>
      <w:marTop w:val="0"/>
      <w:marBottom w:val="0"/>
      <w:divBdr>
        <w:top w:val="none" w:sz="0" w:space="0" w:color="auto"/>
        <w:left w:val="none" w:sz="0" w:space="0" w:color="auto"/>
        <w:bottom w:val="none" w:sz="0" w:space="0" w:color="auto"/>
        <w:right w:val="none" w:sz="0" w:space="0" w:color="auto"/>
      </w:divBdr>
    </w:div>
    <w:div w:id="1987009822">
      <w:bodyDiv w:val="1"/>
      <w:marLeft w:val="0"/>
      <w:marRight w:val="0"/>
      <w:marTop w:val="0"/>
      <w:marBottom w:val="0"/>
      <w:divBdr>
        <w:top w:val="none" w:sz="0" w:space="0" w:color="auto"/>
        <w:left w:val="none" w:sz="0" w:space="0" w:color="auto"/>
        <w:bottom w:val="none" w:sz="0" w:space="0" w:color="auto"/>
        <w:right w:val="none" w:sz="0" w:space="0" w:color="auto"/>
      </w:divBdr>
    </w:div>
    <w:div w:id="20340733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iff"/><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GB" baseline="0"/>
              <a:t>Percentage inhibition  comparison  for </a:t>
            </a:r>
            <a:r>
              <a:rPr lang="en-GB" i="1" baseline="0"/>
              <a:t>V.  niloica </a:t>
            </a:r>
            <a:r>
              <a:rPr lang="en-GB" baseline="0"/>
              <a:t>and Diclofenac </a:t>
            </a:r>
            <a:endParaRPr lang="en-GB"/>
          </a:p>
        </c:rich>
      </c:tx>
      <c:layout>
        <c:manualLayout>
          <c:xMode val="edge"/>
          <c:yMode val="edge"/>
          <c:x val="0.130074786324786"/>
          <c:y val="2.3148148148148098E-2"/>
        </c:manualLayout>
      </c:layout>
      <c:overlay val="0"/>
      <c:spPr>
        <a:noFill/>
        <a:ln>
          <a:noFill/>
        </a:ln>
        <a:effectLst/>
      </c:spPr>
    </c:title>
    <c:autoTitleDeleted val="0"/>
    <c:plotArea>
      <c:layout/>
      <c:lineChart>
        <c:grouping val="standard"/>
        <c:varyColors val="0"/>
        <c:ser>
          <c:idx val="0"/>
          <c:order val="0"/>
          <c:tx>
            <c:strRef>
              <c:f>Sheet1!$B$1</c:f>
              <c:strCache>
                <c:ptCount val="1"/>
                <c:pt idx="0">
                  <c:v>vechellia nillotica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Sheet1!$A$2:$A$6</c:f>
              <c:strCache>
                <c:ptCount val="5"/>
                <c:pt idx="0">
                  <c:v>0.1 mg/ml</c:v>
                </c:pt>
                <c:pt idx="1">
                  <c:v>1.0 mg/ml</c:v>
                </c:pt>
                <c:pt idx="2">
                  <c:v>10.0mg/ml</c:v>
                </c:pt>
                <c:pt idx="3">
                  <c:v>50 mg/ml </c:v>
                </c:pt>
                <c:pt idx="4">
                  <c:v>100mg/ml</c:v>
                </c:pt>
              </c:strCache>
            </c:strRef>
          </c:cat>
          <c:val>
            <c:numRef>
              <c:f>Sheet1!$B$2:$B$6</c:f>
              <c:numCache>
                <c:formatCode>General</c:formatCode>
                <c:ptCount val="5"/>
                <c:pt idx="0">
                  <c:v>3.5</c:v>
                </c:pt>
                <c:pt idx="1">
                  <c:v>17.600000000000001</c:v>
                </c:pt>
                <c:pt idx="2">
                  <c:v>41.2</c:v>
                </c:pt>
                <c:pt idx="3">
                  <c:v>58.8</c:v>
                </c:pt>
                <c:pt idx="4">
                  <c:v>67.099999999999994</c:v>
                </c:pt>
              </c:numCache>
            </c:numRef>
          </c:val>
          <c:smooth val="0"/>
          <c:extLst>
            <c:ext xmlns:c16="http://schemas.microsoft.com/office/drawing/2014/chart" uri="{C3380CC4-5D6E-409C-BE32-E72D297353CC}">
              <c16:uniqueId val="{00000000-E90D-4F81-B68A-8D851BE9D8CF}"/>
            </c:ext>
          </c:extLst>
        </c:ser>
        <c:ser>
          <c:idx val="1"/>
          <c:order val="1"/>
          <c:tx>
            <c:strRef>
              <c:f>Sheet1!$C$1</c:f>
              <c:strCache>
                <c:ptCount val="1"/>
                <c:pt idx="0">
                  <c:v>diclofenac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Sheet1!$A$2:$A$6</c:f>
              <c:strCache>
                <c:ptCount val="5"/>
                <c:pt idx="0">
                  <c:v>0.1 mg/ml</c:v>
                </c:pt>
                <c:pt idx="1">
                  <c:v>1.0 mg/ml</c:v>
                </c:pt>
                <c:pt idx="2">
                  <c:v>10.0mg/ml</c:v>
                </c:pt>
                <c:pt idx="3">
                  <c:v>50 mg/ml </c:v>
                </c:pt>
                <c:pt idx="4">
                  <c:v>100mg/ml</c:v>
                </c:pt>
              </c:strCache>
            </c:strRef>
          </c:cat>
          <c:val>
            <c:numRef>
              <c:f>Sheet1!$C$2:$C$6</c:f>
              <c:numCache>
                <c:formatCode>General</c:formatCode>
                <c:ptCount val="5"/>
                <c:pt idx="0">
                  <c:v>5.8</c:v>
                </c:pt>
                <c:pt idx="1">
                  <c:v>25.3</c:v>
                </c:pt>
                <c:pt idx="2">
                  <c:v>52.9</c:v>
                </c:pt>
                <c:pt idx="3">
                  <c:v>70.599999999999994</c:v>
                </c:pt>
                <c:pt idx="4">
                  <c:v>78.8</c:v>
                </c:pt>
              </c:numCache>
            </c:numRef>
          </c:val>
          <c:smooth val="0"/>
          <c:extLst>
            <c:ext xmlns:c16="http://schemas.microsoft.com/office/drawing/2014/chart" uri="{C3380CC4-5D6E-409C-BE32-E72D297353CC}">
              <c16:uniqueId val="{00000001-E90D-4F81-B68A-8D851BE9D8CF}"/>
            </c:ext>
          </c:extLst>
        </c:ser>
        <c:dLbls>
          <c:showLegendKey val="0"/>
          <c:showVal val="0"/>
          <c:showCatName val="0"/>
          <c:showSerName val="0"/>
          <c:showPercent val="0"/>
          <c:showBubbleSize val="0"/>
        </c:dLbls>
        <c:marker val="1"/>
        <c:smooth val="0"/>
        <c:axId val="555190128"/>
        <c:axId val="555191376"/>
      </c:lineChart>
      <c:catAx>
        <c:axId val="555190128"/>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GB"/>
                  <a:t>Concentration</a:t>
                </a:r>
                <a:r>
                  <a:rPr lang="en-GB" baseline="0"/>
                  <a:t> (mg/ml)</a:t>
                </a:r>
                <a:endParaRPr lang="en-GB"/>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55191376"/>
        <c:crosses val="autoZero"/>
        <c:auto val="1"/>
        <c:lblAlgn val="ctr"/>
        <c:lblOffset val="100"/>
        <c:noMultiLvlLbl val="0"/>
      </c:catAx>
      <c:valAx>
        <c:axId val="555191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GB"/>
                  <a:t>Percentage</a:t>
                </a:r>
                <a:r>
                  <a:rPr lang="en-GB" baseline="0"/>
                  <a:t> inhibition (%)</a:t>
                </a:r>
                <a:endParaRPr lang="en-GB"/>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55190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6c5d4004-e520-4d7a-807f-348298aba1e8}"/>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296159632765603E-2"/>
          <c:y val="6.10356529459107E-2"/>
          <c:w val="0.91170384036723395"/>
          <c:h val="0.82752697272166598"/>
        </c:manualLayout>
      </c:layout>
      <c:barChart>
        <c:barDir val="col"/>
        <c:grouping val="clustered"/>
        <c:varyColors val="0"/>
        <c:ser>
          <c:idx val="0"/>
          <c:order val="0"/>
          <c:tx>
            <c:strRef>
              <c:f>Sheet1!$B$1</c:f>
              <c:strCache>
                <c:ptCount val="1"/>
                <c:pt idx="0">
                  <c:v>weight at day 0</c:v>
                </c:pt>
              </c:strCache>
            </c:strRef>
          </c:tx>
          <c:spPr>
            <a:solidFill>
              <a:schemeClr val="accent1"/>
            </a:solidFill>
            <a:ln>
              <a:noFill/>
            </a:ln>
            <a:effectLst/>
          </c:spPr>
          <c:invertIfNegative val="0"/>
          <c:cat>
            <c:strRef>
              <c:f>Sheet1!$A$2:$A$6</c:f>
              <c:strCache>
                <c:ptCount val="5"/>
                <c:pt idx="0">
                  <c:v>Rat A(0 mg/kg)</c:v>
                </c:pt>
                <c:pt idx="1">
                  <c:v>Rat B(200mg/kg)</c:v>
                </c:pt>
                <c:pt idx="2">
                  <c:v>Rat C(500mg/kg)</c:v>
                </c:pt>
                <c:pt idx="3">
                  <c:v>Rat D(1000mg/kg)</c:v>
                </c:pt>
                <c:pt idx="4">
                  <c:v>Rat E(2000mg/kg)</c:v>
                </c:pt>
              </c:strCache>
            </c:strRef>
          </c:cat>
          <c:val>
            <c:numRef>
              <c:f>Sheet1!$B$2:$B$6</c:f>
              <c:numCache>
                <c:formatCode>General</c:formatCode>
                <c:ptCount val="5"/>
                <c:pt idx="0">
                  <c:v>253</c:v>
                </c:pt>
                <c:pt idx="1">
                  <c:v>252</c:v>
                </c:pt>
                <c:pt idx="2">
                  <c:v>255</c:v>
                </c:pt>
                <c:pt idx="3">
                  <c:v>250</c:v>
                </c:pt>
                <c:pt idx="4">
                  <c:v>254</c:v>
                </c:pt>
              </c:numCache>
            </c:numRef>
          </c:val>
          <c:extLst>
            <c:ext xmlns:c16="http://schemas.microsoft.com/office/drawing/2014/chart" uri="{C3380CC4-5D6E-409C-BE32-E72D297353CC}">
              <c16:uniqueId val="{00000000-F499-4750-A27F-7E7A38DBA802}"/>
            </c:ext>
          </c:extLst>
        </c:ser>
        <c:ser>
          <c:idx val="1"/>
          <c:order val="1"/>
          <c:tx>
            <c:strRef>
              <c:f>Sheet1!$C$1</c:f>
              <c:strCache>
                <c:ptCount val="1"/>
                <c:pt idx="0">
                  <c:v>weight at day 7</c:v>
                </c:pt>
              </c:strCache>
            </c:strRef>
          </c:tx>
          <c:spPr>
            <a:solidFill>
              <a:schemeClr val="accent2"/>
            </a:solidFill>
            <a:ln>
              <a:noFill/>
            </a:ln>
            <a:effectLst/>
          </c:spPr>
          <c:invertIfNegative val="0"/>
          <c:cat>
            <c:strRef>
              <c:f>Sheet1!$A$2:$A$6</c:f>
              <c:strCache>
                <c:ptCount val="5"/>
                <c:pt idx="0">
                  <c:v>Rat A(0 mg/kg)</c:v>
                </c:pt>
                <c:pt idx="1">
                  <c:v>Rat B(200mg/kg)</c:v>
                </c:pt>
                <c:pt idx="2">
                  <c:v>Rat C(500mg/kg)</c:v>
                </c:pt>
                <c:pt idx="3">
                  <c:v>Rat D(1000mg/kg)</c:v>
                </c:pt>
                <c:pt idx="4">
                  <c:v>Rat E(2000mg/kg)</c:v>
                </c:pt>
              </c:strCache>
            </c:strRef>
          </c:cat>
          <c:val>
            <c:numRef>
              <c:f>Sheet1!$C$2:$C$6</c:f>
              <c:numCache>
                <c:formatCode>General</c:formatCode>
                <c:ptCount val="5"/>
                <c:pt idx="0">
                  <c:v>252</c:v>
                </c:pt>
                <c:pt idx="1">
                  <c:v>251</c:v>
                </c:pt>
                <c:pt idx="2">
                  <c:v>254</c:v>
                </c:pt>
                <c:pt idx="3">
                  <c:v>249</c:v>
                </c:pt>
                <c:pt idx="4">
                  <c:v>253</c:v>
                </c:pt>
              </c:numCache>
            </c:numRef>
          </c:val>
          <c:extLst>
            <c:ext xmlns:c16="http://schemas.microsoft.com/office/drawing/2014/chart" uri="{C3380CC4-5D6E-409C-BE32-E72D297353CC}">
              <c16:uniqueId val="{00000001-F499-4750-A27F-7E7A38DBA802}"/>
            </c:ext>
          </c:extLst>
        </c:ser>
        <c:ser>
          <c:idx val="2"/>
          <c:order val="2"/>
          <c:tx>
            <c:strRef>
              <c:f>Sheet1!$D$1</c:f>
              <c:strCache>
                <c:ptCount val="1"/>
                <c:pt idx="0">
                  <c:v>weight at day 14</c:v>
                </c:pt>
              </c:strCache>
            </c:strRef>
          </c:tx>
          <c:spPr>
            <a:solidFill>
              <a:schemeClr val="accent3"/>
            </a:solidFill>
            <a:ln>
              <a:noFill/>
            </a:ln>
            <a:effectLst/>
          </c:spPr>
          <c:invertIfNegative val="0"/>
          <c:cat>
            <c:strRef>
              <c:f>Sheet1!$A$2:$A$6</c:f>
              <c:strCache>
                <c:ptCount val="5"/>
                <c:pt idx="0">
                  <c:v>Rat A(0 mg/kg)</c:v>
                </c:pt>
                <c:pt idx="1">
                  <c:v>Rat B(200mg/kg)</c:v>
                </c:pt>
                <c:pt idx="2">
                  <c:v>Rat C(500mg/kg)</c:v>
                </c:pt>
                <c:pt idx="3">
                  <c:v>Rat D(1000mg/kg)</c:v>
                </c:pt>
                <c:pt idx="4">
                  <c:v>Rat E(2000mg/kg)</c:v>
                </c:pt>
              </c:strCache>
            </c:strRef>
          </c:cat>
          <c:val>
            <c:numRef>
              <c:f>Sheet1!$D$2:$D$6</c:f>
              <c:numCache>
                <c:formatCode>General</c:formatCode>
                <c:ptCount val="5"/>
                <c:pt idx="0">
                  <c:v>253</c:v>
                </c:pt>
                <c:pt idx="1">
                  <c:v>252</c:v>
                </c:pt>
                <c:pt idx="2">
                  <c:v>255</c:v>
                </c:pt>
                <c:pt idx="3">
                  <c:v>250</c:v>
                </c:pt>
                <c:pt idx="4">
                  <c:v>252</c:v>
                </c:pt>
              </c:numCache>
            </c:numRef>
          </c:val>
          <c:extLst>
            <c:ext xmlns:c16="http://schemas.microsoft.com/office/drawing/2014/chart" uri="{C3380CC4-5D6E-409C-BE32-E72D297353CC}">
              <c16:uniqueId val="{00000002-F499-4750-A27F-7E7A38DBA802}"/>
            </c:ext>
          </c:extLst>
        </c:ser>
        <c:dLbls>
          <c:showLegendKey val="0"/>
          <c:showVal val="0"/>
          <c:showCatName val="0"/>
          <c:showSerName val="0"/>
          <c:showPercent val="0"/>
          <c:showBubbleSize val="0"/>
        </c:dLbls>
        <c:gapWidth val="199"/>
        <c:axId val="1744528544"/>
        <c:axId val="1744517728"/>
      </c:barChart>
      <c:catAx>
        <c:axId val="1744528544"/>
        <c:scaling>
          <c:orientation val="minMax"/>
        </c:scaling>
        <c:delete val="0"/>
        <c:axPos val="b"/>
        <c:title>
          <c:tx>
            <c:rich>
              <a:bodyPr rot="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en-ZA" sz="1200" cap="none">
                    <a:latin typeface="Times New Roman" panose="02020603050405020304" charset="0"/>
                    <a:cs typeface="Times New Roman" panose="02020603050405020304" charset="0"/>
                  </a:rPr>
                  <a:t>Concentration</a:t>
                </a:r>
                <a:r>
                  <a:rPr lang="en-ZA" sz="1200" cap="none" baseline="0">
                    <a:latin typeface="Times New Roman" panose="02020603050405020304" charset="0"/>
                    <a:cs typeface="Times New Roman" panose="02020603050405020304" charset="0"/>
                  </a:rPr>
                  <a:t> of V. nilotica  (mg/kg) per rat</a:t>
                </a:r>
                <a:endParaRPr lang="en-ZA" sz="1200" cap="none">
                  <a:latin typeface="Times New Roman" panose="02020603050405020304" charset="0"/>
                  <a:cs typeface="Times New Roman" panose="02020603050405020304" charset="0"/>
                </a:endParaRPr>
              </a:p>
            </c:rich>
          </c:tx>
          <c:layout>
            <c:manualLayout>
              <c:xMode val="edge"/>
              <c:yMode val="edge"/>
              <c:x val="0.33198011224206703"/>
              <c:y val="0.9430893273172310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cap="none" spc="0" normalizeH="0" baseline="0">
                <a:solidFill>
                  <a:schemeClr val="tx1">
                    <a:lumMod val="65000"/>
                    <a:lumOff val="35000"/>
                  </a:schemeClr>
                </a:solidFill>
                <a:latin typeface="+mn-lt"/>
                <a:ea typeface="+mn-ea"/>
                <a:cs typeface="+mn-cs"/>
              </a:defRPr>
            </a:pPr>
            <a:endParaRPr lang="en-US"/>
          </a:p>
        </c:txPr>
        <c:crossAx val="1744517728"/>
        <c:crosses val="autoZero"/>
        <c:auto val="1"/>
        <c:lblAlgn val="ctr"/>
        <c:lblOffset val="100"/>
        <c:noMultiLvlLbl val="0"/>
      </c:catAx>
      <c:valAx>
        <c:axId val="174451772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en-ZA" sz="1200" cap="none"/>
                  <a:t>Weight</a:t>
                </a:r>
                <a:r>
                  <a:rPr lang="en-ZA" sz="1200" cap="none" baseline="0"/>
                  <a:t> (g)</a:t>
                </a:r>
                <a:endParaRPr lang="en-ZA" sz="1200" cap="none"/>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7445285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654dab19-e2f5-4ee8-8315-0e169624d6d2}"/>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27598672807409"/>
          <c:y val="0.16472416472416473"/>
          <c:w val="0.8329987289324684"/>
          <c:h val="0.57838836578994068"/>
        </c:manualLayout>
      </c:layout>
      <c:lineChart>
        <c:grouping val="standard"/>
        <c:varyColors val="0"/>
        <c:ser>
          <c:idx val="0"/>
          <c:order val="0"/>
          <c:tx>
            <c:strRef>
              <c:f>Sheet1!$B$1</c:f>
              <c:strCache>
                <c:ptCount val="1"/>
                <c:pt idx="0">
                  <c:v>V. nilotica extract only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Sheet1!$A$2:$A$9</c:f>
              <c:numCache>
                <c:formatCode>General</c:formatCode>
                <c:ptCount val="8"/>
                <c:pt idx="0">
                  <c:v>0</c:v>
                </c:pt>
                <c:pt idx="1">
                  <c:v>10</c:v>
                </c:pt>
                <c:pt idx="2">
                  <c:v>20</c:v>
                </c:pt>
                <c:pt idx="3">
                  <c:v>40</c:v>
                </c:pt>
                <c:pt idx="4">
                  <c:v>60</c:v>
                </c:pt>
                <c:pt idx="5">
                  <c:v>80</c:v>
                </c:pt>
                <c:pt idx="6">
                  <c:v>100</c:v>
                </c:pt>
                <c:pt idx="7">
                  <c:v>120</c:v>
                </c:pt>
              </c:numCache>
            </c:numRef>
          </c:cat>
          <c:val>
            <c:numRef>
              <c:f>Sheet1!$B$2:$B$9</c:f>
              <c:numCache>
                <c:formatCode>General</c:formatCode>
                <c:ptCount val="8"/>
                <c:pt idx="0">
                  <c:v>0</c:v>
                </c:pt>
                <c:pt idx="1">
                  <c:v>12.5</c:v>
                </c:pt>
                <c:pt idx="2">
                  <c:v>28.1</c:v>
                </c:pt>
                <c:pt idx="3">
                  <c:v>45.3</c:v>
                </c:pt>
                <c:pt idx="4">
                  <c:v>60.5</c:v>
                </c:pt>
                <c:pt idx="5">
                  <c:v>72.8</c:v>
                </c:pt>
                <c:pt idx="6">
                  <c:v>81.2</c:v>
                </c:pt>
                <c:pt idx="7">
                  <c:v>85.9</c:v>
                </c:pt>
              </c:numCache>
            </c:numRef>
          </c:val>
          <c:smooth val="0"/>
          <c:extLst>
            <c:ext xmlns:c16="http://schemas.microsoft.com/office/drawing/2014/chart" uri="{C3380CC4-5D6E-409C-BE32-E72D297353CC}">
              <c16:uniqueId val="{00000000-B400-4712-B944-4EACBF3578CC}"/>
            </c:ext>
          </c:extLst>
        </c:ser>
        <c:ser>
          <c:idx val="1"/>
          <c:order val="1"/>
          <c:tx>
            <c:strRef>
              <c:f>Sheet1!$C$1</c:f>
              <c:strCache>
                <c:ptCount val="1"/>
                <c:pt idx="0">
                  <c:v>ZnONP only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Sheet1!$A$2:$A$9</c:f>
              <c:numCache>
                <c:formatCode>General</c:formatCode>
                <c:ptCount val="8"/>
                <c:pt idx="0">
                  <c:v>0</c:v>
                </c:pt>
                <c:pt idx="1">
                  <c:v>10</c:v>
                </c:pt>
                <c:pt idx="2">
                  <c:v>20</c:v>
                </c:pt>
                <c:pt idx="3">
                  <c:v>40</c:v>
                </c:pt>
                <c:pt idx="4">
                  <c:v>60</c:v>
                </c:pt>
                <c:pt idx="5">
                  <c:v>80</c:v>
                </c:pt>
                <c:pt idx="6">
                  <c:v>100</c:v>
                </c:pt>
                <c:pt idx="7">
                  <c:v>120</c:v>
                </c:pt>
              </c:numCache>
            </c:numRef>
          </c:cat>
          <c:val>
            <c:numRef>
              <c:f>Sheet1!$C$2:$C$9</c:f>
              <c:numCache>
                <c:formatCode>General</c:formatCode>
                <c:ptCount val="8"/>
                <c:pt idx="0">
                  <c:v>0</c:v>
                </c:pt>
                <c:pt idx="1">
                  <c:v>8.1999999999999993</c:v>
                </c:pt>
                <c:pt idx="2">
                  <c:v>18.5</c:v>
                </c:pt>
                <c:pt idx="3">
                  <c:v>32.200000000000003</c:v>
                </c:pt>
                <c:pt idx="4">
                  <c:v>48.9</c:v>
                </c:pt>
                <c:pt idx="5">
                  <c:v>61.3</c:v>
                </c:pt>
                <c:pt idx="6">
                  <c:v>70.099999999999994</c:v>
                </c:pt>
                <c:pt idx="7">
                  <c:v>76.5</c:v>
                </c:pt>
              </c:numCache>
            </c:numRef>
          </c:val>
          <c:smooth val="0"/>
          <c:extLst>
            <c:ext xmlns:c16="http://schemas.microsoft.com/office/drawing/2014/chart" uri="{C3380CC4-5D6E-409C-BE32-E72D297353CC}">
              <c16:uniqueId val="{00000001-B400-4712-B944-4EACBF3578CC}"/>
            </c:ext>
          </c:extLst>
        </c:ser>
        <c:ser>
          <c:idx val="2"/>
          <c:order val="2"/>
          <c:tx>
            <c:strRef>
              <c:f>Sheet1!$D$1</c:f>
              <c:strCache>
                <c:ptCount val="1"/>
                <c:pt idx="0">
                  <c:v>ZnO nanoparticle  + V. nilotica</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Sheet1!$A$2:$A$9</c:f>
              <c:numCache>
                <c:formatCode>General</c:formatCode>
                <c:ptCount val="8"/>
                <c:pt idx="0">
                  <c:v>0</c:v>
                </c:pt>
                <c:pt idx="1">
                  <c:v>10</c:v>
                </c:pt>
                <c:pt idx="2">
                  <c:v>20</c:v>
                </c:pt>
                <c:pt idx="3">
                  <c:v>40</c:v>
                </c:pt>
                <c:pt idx="4">
                  <c:v>60</c:v>
                </c:pt>
                <c:pt idx="5">
                  <c:v>80</c:v>
                </c:pt>
                <c:pt idx="6">
                  <c:v>100</c:v>
                </c:pt>
                <c:pt idx="7">
                  <c:v>120</c:v>
                </c:pt>
              </c:numCache>
            </c:numRef>
          </c:cat>
          <c:val>
            <c:numRef>
              <c:f>Sheet1!$D$2:$D$9</c:f>
              <c:numCache>
                <c:formatCode>General</c:formatCode>
                <c:ptCount val="8"/>
                <c:pt idx="0">
                  <c:v>0</c:v>
                </c:pt>
                <c:pt idx="1">
                  <c:v>25</c:v>
                </c:pt>
                <c:pt idx="2">
                  <c:v>48.5</c:v>
                </c:pt>
                <c:pt idx="3">
                  <c:v>75.2</c:v>
                </c:pt>
                <c:pt idx="4">
                  <c:v>88.1</c:v>
                </c:pt>
                <c:pt idx="5">
                  <c:v>92.5</c:v>
                </c:pt>
                <c:pt idx="6">
                  <c:v>94</c:v>
                </c:pt>
                <c:pt idx="7">
                  <c:v>94.8</c:v>
                </c:pt>
              </c:numCache>
            </c:numRef>
          </c:val>
          <c:smooth val="0"/>
          <c:extLst>
            <c:ext xmlns:c16="http://schemas.microsoft.com/office/drawing/2014/chart" uri="{C3380CC4-5D6E-409C-BE32-E72D297353CC}">
              <c16:uniqueId val="{00000002-B400-4712-B944-4EACBF3578CC}"/>
            </c:ext>
          </c:extLst>
        </c:ser>
        <c:dLbls>
          <c:showLegendKey val="0"/>
          <c:showVal val="0"/>
          <c:showCatName val="0"/>
          <c:showSerName val="0"/>
          <c:showPercent val="0"/>
          <c:showBubbleSize val="0"/>
        </c:dLbls>
        <c:marker val="1"/>
        <c:smooth val="0"/>
        <c:axId val="984160271"/>
        <c:axId val="984161935"/>
      </c:lineChart>
      <c:catAx>
        <c:axId val="98416027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Concentration µg/ml</a:t>
                </a:r>
              </a:p>
            </c:rich>
          </c:tx>
          <c:layout>
            <c:manualLayout>
              <c:xMode val="edge"/>
              <c:yMode val="edge"/>
              <c:x val="0.42207075678040251"/>
              <c:y val="0.9008530183727033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4161935"/>
        <c:crossesAt val="0"/>
        <c:auto val="1"/>
        <c:lblAlgn val="ctr"/>
        <c:lblOffset val="100"/>
        <c:noMultiLvlLbl val="0"/>
      </c:catAx>
      <c:valAx>
        <c:axId val="984161935"/>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Inhibition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4160271"/>
        <c:crosses val="autoZero"/>
        <c:crossBetween val="between"/>
      </c:valAx>
      <c:spPr>
        <a:noFill/>
        <a:ln>
          <a:noFill/>
        </a:ln>
        <a:effectLst/>
      </c:spPr>
    </c:plotArea>
    <c:legend>
      <c:legendPos val="b"/>
      <c:layout>
        <c:manualLayout>
          <c:xMode val="edge"/>
          <c:yMode val="edge"/>
          <c:x val="0.13011373578302715"/>
          <c:y val="2.9752530933633706E-3"/>
          <c:w val="0.76986512102653837"/>
          <c:h val="8.829458817647793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7CAB9341-337B-4A14-8DA2-B5A6CF957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19</Pages>
  <Words>32508</Words>
  <Characters>185301</Characters>
  <Application>Microsoft Office Word</Application>
  <DocSecurity>0</DocSecurity>
  <Lines>1544</Lines>
  <Paragraphs>434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Cleo</dc:creator>
  <cp:lastModifiedBy>SDI 1084</cp:lastModifiedBy>
  <cp:revision>15</cp:revision>
  <dcterms:created xsi:type="dcterms:W3CDTF">2025-07-08T04:05:00Z</dcterms:created>
  <dcterms:modified xsi:type="dcterms:W3CDTF">2025-07-08T12:33:00Z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5bdc50eb-d510-4523-b010-6ba3c8d13e6f</vt:lpwstr>
  </property>
  <property fmtid="{D5CDD505-2E9C-101B-9397-08002B2CF9AE}" pid="3" name="KSOProductBuildVer">
    <vt:lpwstr>1033-12.2.0.20795</vt:lpwstr>
  </property>
  <property fmtid="{D5CDD505-2E9C-101B-9397-08002B2CF9AE}" pid="4" name="ICV">
    <vt:lpwstr>96EF26D844254B2D8A93A83DB99AA7E0_13</vt:lpwstr>
  </property>
  <property fmtid="{D5CDD505-2E9C-101B-9397-08002B2CF9AE}" pid="5" name="ZOTERO_PREF_1">
    <vt:lpwstr>&lt;data data-version="3" zotero-version="7.0.15"&gt;&lt;session id="R4PZvlgN"/&gt;&lt;style id="http://www.zotero.org/styles/vancouver" locale="en-US" hasBibliography="1" bibliographyStyleHasBeenSet="1"/&gt;&lt;prefs&gt;&lt;pref name="fieldType" value="Field"/&gt;&lt;pref name="automati</vt:lpwstr>
  </property>
  <property fmtid="{D5CDD505-2E9C-101B-9397-08002B2CF9AE}" pid="6" name="ZOTERO_PREF_2">
    <vt:lpwstr>cJournalAbbreviations" value="true"/&gt;&lt;pref name="dontAskDelayCitationUpdates" value="true"/&gt;&lt;/prefs&gt;&lt;/data&gt;</vt:lpwstr>
  </property>
</Properties>
</file>