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138E" w14:textId="7E18485F" w:rsidR="001A789E" w:rsidRDefault="002B0603" w:rsidP="00347BAF">
      <w:pPr>
        <w:jc w:val="center"/>
        <w:rPr>
          <w:rFonts w:ascii="Times New Roman" w:hAnsi="Times New Roman" w:cs="Times New Roman"/>
          <w:b/>
          <w:bCs/>
          <w:sz w:val="36"/>
          <w:szCs w:val="36"/>
        </w:rPr>
      </w:pPr>
      <w:bookmarkStart w:id="0" w:name="_Hlk195130859"/>
      <w:r w:rsidRPr="002B0603">
        <w:rPr>
          <w:rFonts w:ascii="Times New Roman" w:hAnsi="Times New Roman" w:cs="Times New Roman"/>
          <w:b/>
          <w:bCs/>
          <w:sz w:val="36"/>
          <w:szCs w:val="36"/>
        </w:rPr>
        <w:t>Awareness of MOOCs Among Secondary-Level Teacher Trainees: A Cross-Sectional Study from India</w:t>
      </w:r>
    </w:p>
    <w:p w14:paraId="0CDA525F" w14:textId="77777777" w:rsidR="002F6F63" w:rsidRDefault="002F6F63" w:rsidP="00347BAF">
      <w:pPr>
        <w:jc w:val="center"/>
        <w:rPr>
          <w:rFonts w:ascii="Times New Roman" w:hAnsi="Times New Roman" w:cs="Times New Roman"/>
          <w:b/>
          <w:bCs/>
          <w:sz w:val="36"/>
          <w:szCs w:val="36"/>
        </w:rPr>
      </w:pPr>
      <w:bookmarkStart w:id="1" w:name="_Hlk202946760"/>
    </w:p>
    <w:p w14:paraId="218C0C7C" w14:textId="77777777" w:rsidR="00347BAF" w:rsidRDefault="00347BAF" w:rsidP="00347BAF">
      <w:pPr>
        <w:pStyle w:val="ListParagraph"/>
        <w:jc w:val="center"/>
        <w:rPr>
          <w:rFonts w:ascii="Times New Roman" w:hAnsi="Times New Roman" w:cs="Times New Roman"/>
          <w:sz w:val="20"/>
          <w:szCs w:val="20"/>
        </w:rPr>
      </w:pPr>
      <w:bookmarkStart w:id="2" w:name="_GoBack"/>
      <w:bookmarkEnd w:id="1"/>
      <w:bookmarkEnd w:id="2"/>
    </w:p>
    <w:p w14:paraId="4A5B7636" w14:textId="1988F792" w:rsidR="00347BAF" w:rsidRPr="000E137D" w:rsidRDefault="00347BAF" w:rsidP="000E137D">
      <w:pPr>
        <w:jc w:val="center"/>
        <w:rPr>
          <w:rFonts w:ascii="Times New Roman" w:hAnsi="Times New Roman" w:cs="Times New Roman"/>
          <w:b/>
          <w:bCs/>
          <w:sz w:val="28"/>
          <w:szCs w:val="28"/>
        </w:rPr>
      </w:pPr>
      <w:r w:rsidRPr="000E137D">
        <w:rPr>
          <w:rFonts w:ascii="Times New Roman" w:hAnsi="Times New Roman" w:cs="Times New Roman"/>
          <w:b/>
          <w:bCs/>
          <w:sz w:val="28"/>
          <w:szCs w:val="28"/>
        </w:rPr>
        <w:t>Abstract</w:t>
      </w:r>
    </w:p>
    <w:p w14:paraId="0B37365B" w14:textId="20D7ED9D" w:rsidR="000E137D" w:rsidRPr="000E137D" w:rsidRDefault="000E137D" w:rsidP="000E137D">
      <w:pPr>
        <w:jc w:val="both"/>
        <w:rPr>
          <w:rFonts w:ascii="Times New Roman" w:hAnsi="Times New Roman" w:cs="Times New Roman"/>
          <w:sz w:val="24"/>
          <w:szCs w:val="24"/>
        </w:rPr>
      </w:pPr>
      <w:r w:rsidRPr="000E137D">
        <w:rPr>
          <w:rFonts w:ascii="Times New Roman" w:hAnsi="Times New Roman" w:cs="Times New Roman"/>
          <w:sz w:val="24"/>
          <w:szCs w:val="24"/>
        </w:rPr>
        <w:t xml:space="preserve">Massive Open Online Courses (MOOCs) </w:t>
      </w:r>
      <w:r w:rsidR="00541CEA">
        <w:rPr>
          <w:rFonts w:ascii="Times New Roman" w:hAnsi="Times New Roman" w:cs="Times New Roman"/>
          <w:sz w:val="24"/>
          <w:szCs w:val="24"/>
        </w:rPr>
        <w:t>are emerging as essential tools in teacher education.</w:t>
      </w:r>
      <w:r w:rsidRPr="000E137D">
        <w:rPr>
          <w:rFonts w:ascii="Times New Roman" w:hAnsi="Times New Roman" w:cs="Times New Roman"/>
          <w:sz w:val="24"/>
          <w:szCs w:val="24"/>
        </w:rPr>
        <w:t xml:space="preserve"> However, limited empirical evidence exists on the extent of MOOC awareness among secondary grade prospective teachers in India. This study addresses that gap by examining the awareness levels of 259 B.Ed. students in Mysore through a structured Awareness Test spanning five domains: usability, technological requirements, policy knowledge, present practices, and conceptual understanding. </w:t>
      </w:r>
      <w:r w:rsidR="00541CEA">
        <w:rPr>
          <w:rFonts w:ascii="Times New Roman" w:hAnsi="Times New Roman" w:cs="Times New Roman"/>
          <w:sz w:val="24"/>
          <w:szCs w:val="24"/>
        </w:rPr>
        <w:t xml:space="preserve">Data were </w:t>
      </w:r>
      <w:proofErr w:type="spellStart"/>
      <w:r w:rsidR="00541CEA">
        <w:rPr>
          <w:rFonts w:ascii="Times New Roman" w:hAnsi="Times New Roman" w:cs="Times New Roman"/>
          <w:sz w:val="24"/>
          <w:szCs w:val="24"/>
        </w:rPr>
        <w:t>analyzed</w:t>
      </w:r>
      <w:proofErr w:type="spellEnd"/>
      <w:r w:rsidR="00541CEA">
        <w:rPr>
          <w:rFonts w:ascii="Times New Roman" w:hAnsi="Times New Roman" w:cs="Times New Roman"/>
          <w:sz w:val="24"/>
          <w:szCs w:val="24"/>
        </w:rPr>
        <w:t xml:space="preserve"> descriptively and inferentially using stratified random sampling and a cross-sectional survey design</w:t>
      </w:r>
      <w:r w:rsidRPr="000E137D">
        <w:rPr>
          <w:rFonts w:ascii="Times New Roman" w:hAnsi="Times New Roman" w:cs="Times New Roman"/>
          <w:sz w:val="24"/>
          <w:szCs w:val="24"/>
        </w:rPr>
        <w:t>.</w:t>
      </w:r>
    </w:p>
    <w:p w14:paraId="602CF7D4" w14:textId="32CD5F87" w:rsidR="000E137D" w:rsidRPr="000E137D" w:rsidRDefault="000E137D" w:rsidP="000E137D">
      <w:pPr>
        <w:jc w:val="both"/>
        <w:rPr>
          <w:rFonts w:ascii="Times New Roman" w:hAnsi="Times New Roman" w:cs="Times New Roman"/>
          <w:sz w:val="24"/>
          <w:szCs w:val="24"/>
        </w:rPr>
      </w:pPr>
      <w:r w:rsidRPr="000E137D">
        <w:rPr>
          <w:rFonts w:ascii="Times New Roman" w:hAnsi="Times New Roman" w:cs="Times New Roman"/>
          <w:sz w:val="24"/>
          <w:szCs w:val="24"/>
        </w:rPr>
        <w:t>Findings revealed that while 6</w:t>
      </w:r>
      <w:r w:rsidR="00541CEA">
        <w:rPr>
          <w:rFonts w:ascii="Times New Roman" w:hAnsi="Times New Roman" w:cs="Times New Roman"/>
          <w:sz w:val="24"/>
          <w:szCs w:val="24"/>
        </w:rPr>
        <w:t>3.71</w:t>
      </w:r>
      <w:r w:rsidRPr="000E137D">
        <w:rPr>
          <w:rFonts w:ascii="Times New Roman" w:hAnsi="Times New Roman" w:cs="Times New Roman"/>
          <w:sz w:val="24"/>
          <w:szCs w:val="24"/>
        </w:rPr>
        <w:t xml:space="preserve">% of participants exhibited moderate awareness of MOOCs, critical knowledge gaps persisted in policy guidelines and platform-specific details. Female participants demonstrated significantly higher awareness </w:t>
      </w:r>
      <w:r w:rsidR="00541CEA">
        <w:rPr>
          <w:rFonts w:ascii="Times New Roman" w:hAnsi="Times New Roman" w:cs="Times New Roman"/>
          <w:sz w:val="24"/>
          <w:szCs w:val="24"/>
        </w:rPr>
        <w:t>of</w:t>
      </w:r>
      <w:r w:rsidRPr="000E137D">
        <w:rPr>
          <w:rFonts w:ascii="Times New Roman" w:hAnsi="Times New Roman" w:cs="Times New Roman"/>
          <w:sz w:val="24"/>
          <w:szCs w:val="24"/>
        </w:rPr>
        <w:t xml:space="preserve"> student support mechanisms and familiarity with SWAYAM initiatives. Science stream students outperformed humanities peers in technical aspects, whereas humanities students better understood the pedagogical contrasts between MOOCs and traditional methods.</w:t>
      </w:r>
    </w:p>
    <w:p w14:paraId="382C77C0" w14:textId="77777777" w:rsidR="000E137D" w:rsidRPr="000E137D" w:rsidRDefault="000E137D" w:rsidP="000E137D">
      <w:pPr>
        <w:jc w:val="both"/>
        <w:rPr>
          <w:rFonts w:ascii="Times New Roman" w:hAnsi="Times New Roman" w:cs="Times New Roman"/>
          <w:sz w:val="24"/>
          <w:szCs w:val="24"/>
        </w:rPr>
      </w:pPr>
      <w:r w:rsidRPr="000E137D">
        <w:rPr>
          <w:rFonts w:ascii="Times New Roman" w:hAnsi="Times New Roman" w:cs="Times New Roman"/>
          <w:sz w:val="24"/>
          <w:szCs w:val="24"/>
        </w:rPr>
        <w:t>These insights suggest an urgent need for integrating foundational MOOC modules into pre-service teacher training. The study contributes to understanding digital readiness in teacher education and offers actionable recommendations for policymakers and institutions aiming to promote equitable and informed use of online learning platforms.</w:t>
      </w:r>
    </w:p>
    <w:p w14:paraId="68023B75" w14:textId="03662308" w:rsidR="00654C19" w:rsidRPr="00654C19" w:rsidRDefault="00654C19" w:rsidP="00654C19">
      <w:pPr>
        <w:jc w:val="both"/>
        <w:rPr>
          <w:rFonts w:ascii="Times New Roman" w:hAnsi="Times New Roman" w:cs="Times New Roman"/>
          <w:sz w:val="24"/>
          <w:szCs w:val="24"/>
        </w:rPr>
      </w:pPr>
    </w:p>
    <w:p w14:paraId="38AFF5D5" w14:textId="77777777" w:rsidR="00654C19" w:rsidRPr="00654C19" w:rsidRDefault="00654C19" w:rsidP="00654C19">
      <w:pPr>
        <w:jc w:val="both"/>
        <w:rPr>
          <w:rFonts w:ascii="Times New Roman" w:hAnsi="Times New Roman" w:cs="Times New Roman"/>
          <w:sz w:val="24"/>
          <w:szCs w:val="24"/>
        </w:rPr>
      </w:pPr>
      <w:r w:rsidRPr="00654C19">
        <w:rPr>
          <w:rFonts w:ascii="Times New Roman" w:hAnsi="Times New Roman" w:cs="Times New Roman"/>
          <w:b/>
          <w:bCs/>
          <w:sz w:val="24"/>
          <w:szCs w:val="24"/>
        </w:rPr>
        <w:t>Keywords</w:t>
      </w:r>
      <w:r w:rsidRPr="00654C19">
        <w:rPr>
          <w:rFonts w:ascii="Times New Roman" w:hAnsi="Times New Roman" w:cs="Times New Roman"/>
          <w:sz w:val="24"/>
          <w:szCs w:val="24"/>
        </w:rPr>
        <w:t>: MOOCs, Awareness, SWAYAM, Teacher Education, Digital Readiness</w:t>
      </w:r>
      <w:r w:rsidRPr="00654C19">
        <w:rPr>
          <w:rFonts w:ascii="Times New Roman" w:hAnsi="Times New Roman" w:cs="Times New Roman"/>
          <w:sz w:val="24"/>
          <w:szCs w:val="24"/>
        </w:rPr>
        <w:br/>
      </w:r>
      <w:r w:rsidRPr="00654C19">
        <w:rPr>
          <w:rFonts w:ascii="Times New Roman" w:hAnsi="Times New Roman" w:cs="Times New Roman"/>
          <w:b/>
          <w:bCs/>
          <w:sz w:val="24"/>
          <w:szCs w:val="24"/>
        </w:rPr>
        <w:t>Paper type</w:t>
      </w:r>
      <w:r w:rsidRPr="00654C19">
        <w:rPr>
          <w:rFonts w:ascii="Times New Roman" w:hAnsi="Times New Roman" w:cs="Times New Roman"/>
          <w:sz w:val="24"/>
          <w:szCs w:val="24"/>
        </w:rPr>
        <w:t>: Research Article</w:t>
      </w:r>
    </w:p>
    <w:p w14:paraId="7C81D4A8" w14:textId="77777777" w:rsidR="00654C19" w:rsidRPr="00654C19" w:rsidRDefault="00654C19" w:rsidP="00070A74">
      <w:pPr>
        <w:jc w:val="both"/>
        <w:rPr>
          <w:rFonts w:ascii="Times New Roman" w:hAnsi="Times New Roman" w:cs="Times New Roman"/>
          <w:sz w:val="24"/>
          <w:szCs w:val="24"/>
        </w:rPr>
      </w:pPr>
    </w:p>
    <w:p w14:paraId="33EF8584" w14:textId="1FCED182" w:rsidR="008C5B8E"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INTRODUCTION</w:t>
      </w:r>
    </w:p>
    <w:p w14:paraId="61F2CDB7" w14:textId="6164A472" w:rsidR="003E1A24" w:rsidRPr="003E1A24" w:rsidRDefault="003E1A24" w:rsidP="003E1A24">
      <w:pPr>
        <w:jc w:val="both"/>
        <w:rPr>
          <w:rFonts w:ascii="Times New Roman" w:hAnsi="Times New Roman" w:cs="Times New Roman"/>
          <w:sz w:val="24"/>
          <w:szCs w:val="24"/>
        </w:rPr>
      </w:pPr>
      <w:r w:rsidRPr="003E1A24">
        <w:rPr>
          <w:rFonts w:ascii="Times New Roman" w:hAnsi="Times New Roman" w:cs="Times New Roman"/>
          <w:sz w:val="24"/>
          <w:szCs w:val="24"/>
        </w:rPr>
        <w:t xml:space="preserve">The landscape of education has undergone </w:t>
      </w:r>
      <w:r w:rsidR="006029B9">
        <w:rPr>
          <w:rFonts w:ascii="Times New Roman" w:hAnsi="Times New Roman" w:cs="Times New Roman"/>
          <w:sz w:val="24"/>
          <w:szCs w:val="24"/>
        </w:rPr>
        <w:t xml:space="preserve">a </w:t>
      </w:r>
      <w:r w:rsidRPr="003E1A24">
        <w:rPr>
          <w:rFonts w:ascii="Times New Roman" w:hAnsi="Times New Roman" w:cs="Times New Roman"/>
          <w:sz w:val="24"/>
          <w:szCs w:val="24"/>
        </w:rPr>
        <w:t>significant transformation with the advent of digital learning platforms. Among these innovations, Massive Open Online Courses (MOOCs) have emerged as a revolutionary educational paradigm that transcends traditional classroom boundaries. These online courses are designed to accommodate unlimited participation and provide open access to education via the internet (Ayoub et al., 2020). The evolution of MOOCs represents a pivotal shift in educational delivery methods, offering learners worldwide unprecedented access to knowledge from renowned institutions and educators.</w:t>
      </w:r>
    </w:p>
    <w:p w14:paraId="234B0962" w14:textId="72CF7D7B" w:rsidR="00110299" w:rsidRDefault="003E1A24" w:rsidP="003E1A24">
      <w:pPr>
        <w:jc w:val="both"/>
        <w:rPr>
          <w:rFonts w:ascii="Times New Roman" w:hAnsi="Times New Roman" w:cs="Times New Roman"/>
          <w:sz w:val="24"/>
          <w:szCs w:val="24"/>
        </w:rPr>
      </w:pPr>
      <w:r w:rsidRPr="003E1A24">
        <w:rPr>
          <w:rFonts w:ascii="Times New Roman" w:hAnsi="Times New Roman" w:cs="Times New Roman"/>
          <w:sz w:val="24"/>
          <w:szCs w:val="24"/>
        </w:rPr>
        <w:t xml:space="preserve">In the Indian context, </w:t>
      </w:r>
      <w:r w:rsidR="006029B9">
        <w:rPr>
          <w:rFonts w:ascii="Times New Roman" w:hAnsi="Times New Roman" w:cs="Times New Roman"/>
          <w:sz w:val="24"/>
          <w:szCs w:val="24"/>
        </w:rPr>
        <w:t xml:space="preserve">MOOCs have been implemented to democratize education and to reduce the rural-urban divide. These platforms host </w:t>
      </w:r>
      <w:r w:rsidR="000B6CA2">
        <w:rPr>
          <w:rFonts w:ascii="Times New Roman" w:hAnsi="Times New Roman" w:cs="Times New Roman"/>
          <w:sz w:val="24"/>
          <w:szCs w:val="24"/>
        </w:rPr>
        <w:t>many</w:t>
      </w:r>
      <w:r w:rsidR="006029B9">
        <w:rPr>
          <w:rFonts w:ascii="Times New Roman" w:hAnsi="Times New Roman" w:cs="Times New Roman"/>
          <w:sz w:val="24"/>
          <w:szCs w:val="24"/>
        </w:rPr>
        <w:t xml:space="preserve"> courses </w:t>
      </w:r>
      <w:r w:rsidR="000B6CA2">
        <w:rPr>
          <w:rFonts w:ascii="Times New Roman" w:hAnsi="Times New Roman" w:cs="Times New Roman"/>
          <w:sz w:val="24"/>
          <w:szCs w:val="24"/>
        </w:rPr>
        <w:t>that</w:t>
      </w:r>
      <w:r w:rsidR="006029B9">
        <w:rPr>
          <w:rFonts w:ascii="Times New Roman" w:hAnsi="Times New Roman" w:cs="Times New Roman"/>
          <w:sz w:val="24"/>
          <w:szCs w:val="24"/>
        </w:rPr>
        <w:t xml:space="preserve"> are open for anyone to access and are usually provided </w:t>
      </w:r>
      <w:r w:rsidR="000B6CA2">
        <w:rPr>
          <w:rFonts w:ascii="Times New Roman" w:hAnsi="Times New Roman" w:cs="Times New Roman"/>
          <w:sz w:val="24"/>
          <w:szCs w:val="24"/>
        </w:rPr>
        <w:t>by</w:t>
      </w:r>
      <w:r w:rsidR="006029B9">
        <w:rPr>
          <w:rFonts w:ascii="Times New Roman" w:hAnsi="Times New Roman" w:cs="Times New Roman"/>
          <w:sz w:val="24"/>
          <w:szCs w:val="24"/>
        </w:rPr>
        <w:t xml:space="preserve"> the top universities. These are </w:t>
      </w:r>
      <w:r w:rsidR="000B6CA2">
        <w:rPr>
          <w:rFonts w:ascii="Times New Roman" w:hAnsi="Times New Roman" w:cs="Times New Roman"/>
          <w:sz w:val="24"/>
          <w:szCs w:val="24"/>
        </w:rPr>
        <w:t>free-of-cost</w:t>
      </w:r>
      <w:r w:rsidR="006029B9">
        <w:rPr>
          <w:rFonts w:ascii="Times New Roman" w:hAnsi="Times New Roman" w:cs="Times New Roman"/>
          <w:sz w:val="24"/>
          <w:szCs w:val="24"/>
        </w:rPr>
        <w:t xml:space="preserve"> courses</w:t>
      </w:r>
      <w:r w:rsidR="000B6CA2">
        <w:rPr>
          <w:rFonts w:ascii="Times New Roman" w:hAnsi="Times New Roman" w:cs="Times New Roman"/>
          <w:sz w:val="24"/>
          <w:szCs w:val="24"/>
        </w:rPr>
        <w:t>,</w:t>
      </w:r>
      <w:r w:rsidR="006029B9">
        <w:rPr>
          <w:rFonts w:ascii="Times New Roman" w:hAnsi="Times New Roman" w:cs="Times New Roman"/>
          <w:sz w:val="24"/>
          <w:szCs w:val="24"/>
        </w:rPr>
        <w:t xml:space="preserve"> </w:t>
      </w:r>
      <w:r w:rsidR="000B6CA2">
        <w:rPr>
          <w:rFonts w:ascii="Times New Roman" w:hAnsi="Times New Roman" w:cs="Times New Roman"/>
          <w:sz w:val="24"/>
          <w:szCs w:val="24"/>
        </w:rPr>
        <w:t>and they</w:t>
      </w:r>
      <w:r w:rsidR="006029B9">
        <w:rPr>
          <w:rFonts w:ascii="Times New Roman" w:hAnsi="Times New Roman" w:cs="Times New Roman"/>
          <w:sz w:val="24"/>
          <w:szCs w:val="24"/>
        </w:rPr>
        <w:t xml:space="preserve"> also provide a certificate </w:t>
      </w:r>
      <w:r w:rsidR="000B6CA2">
        <w:rPr>
          <w:rFonts w:ascii="Times New Roman" w:hAnsi="Times New Roman" w:cs="Times New Roman"/>
          <w:sz w:val="24"/>
          <w:szCs w:val="24"/>
        </w:rPr>
        <w:t xml:space="preserve">on completion for a nominal fee. Platforms that provide MOOCs in India </w:t>
      </w:r>
      <w:r w:rsidR="000B6CA2">
        <w:rPr>
          <w:rFonts w:ascii="Times New Roman" w:hAnsi="Times New Roman" w:cs="Times New Roman"/>
          <w:sz w:val="24"/>
          <w:szCs w:val="24"/>
        </w:rPr>
        <w:lastRenderedPageBreak/>
        <w:t xml:space="preserve">include SWAYAM, NPTEL, Coursera, </w:t>
      </w:r>
      <w:proofErr w:type="spellStart"/>
      <w:r w:rsidR="000B6CA2">
        <w:rPr>
          <w:rFonts w:ascii="Times New Roman" w:hAnsi="Times New Roman" w:cs="Times New Roman"/>
          <w:sz w:val="24"/>
          <w:szCs w:val="24"/>
        </w:rPr>
        <w:t>Upgrad</w:t>
      </w:r>
      <w:proofErr w:type="spellEnd"/>
      <w:r w:rsidR="000B6CA2">
        <w:rPr>
          <w:rFonts w:ascii="Times New Roman" w:hAnsi="Times New Roman" w:cs="Times New Roman"/>
          <w:sz w:val="24"/>
          <w:szCs w:val="24"/>
        </w:rPr>
        <w:t xml:space="preserve">, and Khan Academy to name a few. The major </w:t>
      </w:r>
      <w:r w:rsidR="00C263FF">
        <w:rPr>
          <w:rFonts w:ascii="Times New Roman" w:hAnsi="Times New Roman" w:cs="Times New Roman"/>
          <w:sz w:val="24"/>
          <w:szCs w:val="24"/>
        </w:rPr>
        <w:t>advantages</w:t>
      </w:r>
      <w:r w:rsidR="000B6CA2">
        <w:rPr>
          <w:rFonts w:ascii="Times New Roman" w:hAnsi="Times New Roman" w:cs="Times New Roman"/>
          <w:sz w:val="24"/>
          <w:szCs w:val="24"/>
        </w:rPr>
        <w:t xml:space="preserve"> that these platforms offer </w:t>
      </w:r>
      <w:r w:rsidR="00C263FF">
        <w:rPr>
          <w:rFonts w:ascii="Times New Roman" w:hAnsi="Times New Roman" w:cs="Times New Roman"/>
          <w:sz w:val="24"/>
          <w:szCs w:val="24"/>
        </w:rPr>
        <w:t>are</w:t>
      </w:r>
      <w:r w:rsidR="000B6CA2">
        <w:rPr>
          <w:rFonts w:ascii="Times New Roman" w:hAnsi="Times New Roman" w:cs="Times New Roman"/>
          <w:sz w:val="24"/>
          <w:szCs w:val="24"/>
        </w:rPr>
        <w:t xml:space="preserve"> accessibility, affordability, flexibility, lifelong learning, and skill development. </w:t>
      </w:r>
      <w:r w:rsidR="00C263FF">
        <w:rPr>
          <w:rFonts w:ascii="Times New Roman" w:hAnsi="Times New Roman" w:cs="Times New Roman"/>
          <w:sz w:val="24"/>
          <w:szCs w:val="24"/>
        </w:rPr>
        <w:t xml:space="preserve">The digital divide, language barrier, lack of motivation, and </w:t>
      </w:r>
      <w:proofErr w:type="spellStart"/>
      <w:r w:rsidR="002B0603">
        <w:rPr>
          <w:rFonts w:ascii="Times New Roman" w:hAnsi="Times New Roman" w:cs="Times New Roman"/>
          <w:sz w:val="24"/>
          <w:szCs w:val="24"/>
        </w:rPr>
        <w:t>underrecognition</w:t>
      </w:r>
      <w:proofErr w:type="spellEnd"/>
      <w:r w:rsidR="00C263FF">
        <w:rPr>
          <w:rFonts w:ascii="Times New Roman" w:hAnsi="Times New Roman" w:cs="Times New Roman"/>
          <w:sz w:val="24"/>
          <w:szCs w:val="24"/>
        </w:rPr>
        <w:t xml:space="preserve"> of these courses are some of the challenges that students face when taking a MOOC course. </w:t>
      </w:r>
    </w:p>
    <w:p w14:paraId="12232950" w14:textId="77777777" w:rsidR="00062EE4" w:rsidRDefault="00FD64EE" w:rsidP="003E1A24">
      <w:pPr>
        <w:jc w:val="both"/>
        <w:rPr>
          <w:rFonts w:ascii="Times New Roman" w:hAnsi="Times New Roman" w:cs="Times New Roman"/>
          <w:sz w:val="24"/>
          <w:szCs w:val="24"/>
        </w:rPr>
      </w:pPr>
      <w:r>
        <w:rPr>
          <w:rFonts w:ascii="Times New Roman" w:hAnsi="Times New Roman" w:cs="Times New Roman"/>
          <w:sz w:val="24"/>
          <w:szCs w:val="24"/>
        </w:rPr>
        <w:t>To ensure a higher participation of students in MOOCs</w:t>
      </w:r>
      <w:r w:rsidR="00110299">
        <w:rPr>
          <w:rFonts w:ascii="Times New Roman" w:hAnsi="Times New Roman" w:cs="Times New Roman"/>
          <w:sz w:val="24"/>
          <w:szCs w:val="24"/>
        </w:rPr>
        <w:t>,</w:t>
      </w:r>
      <w:r>
        <w:rPr>
          <w:rFonts w:ascii="Times New Roman" w:hAnsi="Times New Roman" w:cs="Times New Roman"/>
          <w:sz w:val="24"/>
          <w:szCs w:val="24"/>
        </w:rPr>
        <w:t xml:space="preserve"> the Government of India </w:t>
      </w:r>
      <w:r w:rsidR="00110299">
        <w:rPr>
          <w:rFonts w:ascii="Times New Roman" w:hAnsi="Times New Roman" w:cs="Times New Roman"/>
          <w:sz w:val="24"/>
          <w:szCs w:val="24"/>
        </w:rPr>
        <w:t xml:space="preserve">has brought in certain initiatives and policies. The National Education Policy (NEP) 2020 promotes the usage of technology in higher education, and the credit transfer system of SWAYAM helps learners to earn academic credits. The Digital India and PM </w:t>
      </w:r>
      <w:proofErr w:type="spellStart"/>
      <w:r w:rsidR="00110299">
        <w:rPr>
          <w:rFonts w:ascii="Times New Roman" w:hAnsi="Times New Roman" w:cs="Times New Roman"/>
          <w:sz w:val="24"/>
          <w:szCs w:val="24"/>
        </w:rPr>
        <w:t>eVidya</w:t>
      </w:r>
      <w:proofErr w:type="spellEnd"/>
      <w:r w:rsidR="00110299">
        <w:rPr>
          <w:rFonts w:ascii="Times New Roman" w:hAnsi="Times New Roman" w:cs="Times New Roman"/>
          <w:sz w:val="24"/>
          <w:szCs w:val="24"/>
        </w:rPr>
        <w:t xml:space="preserve"> are initiatives that support digital learning and infrastructure development. </w:t>
      </w:r>
    </w:p>
    <w:p w14:paraId="1184072C" w14:textId="34765116" w:rsidR="008C5B8E" w:rsidRDefault="00110299" w:rsidP="002977B5">
      <w:pPr>
        <w:jc w:val="both"/>
        <w:rPr>
          <w:rFonts w:ascii="Times New Roman" w:hAnsi="Times New Roman" w:cs="Times New Roman"/>
          <w:sz w:val="24"/>
          <w:szCs w:val="24"/>
        </w:rPr>
      </w:pPr>
      <w:r>
        <w:rPr>
          <w:rFonts w:ascii="Times New Roman" w:hAnsi="Times New Roman" w:cs="Times New Roman"/>
          <w:sz w:val="24"/>
          <w:szCs w:val="24"/>
        </w:rPr>
        <w:t>D</w:t>
      </w:r>
      <w:r w:rsidRPr="00110299">
        <w:rPr>
          <w:rFonts w:ascii="Times New Roman" w:hAnsi="Times New Roman" w:cs="Times New Roman"/>
          <w:sz w:val="24"/>
          <w:szCs w:val="24"/>
        </w:rPr>
        <w:t>espite these developments in digital education, the usage and awareness among prospective teachers are limited</w:t>
      </w:r>
      <w:r w:rsidR="006A2D17">
        <w:rPr>
          <w:rFonts w:ascii="Times New Roman" w:hAnsi="Times New Roman" w:cs="Times New Roman"/>
          <w:sz w:val="24"/>
          <w:szCs w:val="24"/>
        </w:rPr>
        <w:t xml:space="preserve"> and underexplored</w:t>
      </w:r>
      <w:r>
        <w:rPr>
          <w:rFonts w:ascii="Times New Roman" w:hAnsi="Times New Roman" w:cs="Times New Roman"/>
          <w:sz w:val="24"/>
          <w:szCs w:val="24"/>
        </w:rPr>
        <w:t>.</w:t>
      </w:r>
      <w:r w:rsidR="00062EE4">
        <w:rPr>
          <w:rFonts w:ascii="Times New Roman" w:hAnsi="Times New Roman" w:cs="Times New Roman"/>
          <w:sz w:val="24"/>
          <w:szCs w:val="24"/>
        </w:rPr>
        <w:t xml:space="preserve"> </w:t>
      </w:r>
      <w:r w:rsidR="006A2D17" w:rsidRPr="00062EE4">
        <w:rPr>
          <w:rFonts w:ascii="Times New Roman" w:hAnsi="Times New Roman" w:cs="Times New Roman"/>
          <w:sz w:val="24"/>
          <w:szCs w:val="24"/>
        </w:rPr>
        <w:t xml:space="preserve">Therefore, the present study aims to fill this gap by understanding the </w:t>
      </w:r>
      <w:r w:rsidR="00262619" w:rsidRPr="00062EE4">
        <w:rPr>
          <w:rFonts w:ascii="Times New Roman" w:hAnsi="Times New Roman" w:cs="Times New Roman"/>
          <w:sz w:val="24"/>
          <w:szCs w:val="24"/>
        </w:rPr>
        <w:t>awareness levels</w:t>
      </w:r>
      <w:r w:rsidR="00062EE4" w:rsidRPr="00062EE4">
        <w:rPr>
          <w:rFonts w:ascii="Times New Roman" w:hAnsi="Times New Roman" w:cs="Times New Roman"/>
          <w:sz w:val="24"/>
          <w:szCs w:val="24"/>
        </w:rPr>
        <w:t xml:space="preserve"> among the prospective teachers of Mysore </w:t>
      </w:r>
      <w:r w:rsidR="00062EE4">
        <w:rPr>
          <w:rFonts w:ascii="Times New Roman" w:hAnsi="Times New Roman" w:cs="Times New Roman"/>
          <w:sz w:val="24"/>
          <w:szCs w:val="24"/>
        </w:rPr>
        <w:t xml:space="preserve">city. </w:t>
      </w:r>
    </w:p>
    <w:p w14:paraId="297F75F8" w14:textId="77777777" w:rsidR="00654C19" w:rsidRDefault="00654C19" w:rsidP="002977B5">
      <w:pPr>
        <w:jc w:val="both"/>
        <w:rPr>
          <w:rFonts w:ascii="Times New Roman" w:hAnsi="Times New Roman" w:cs="Times New Roman"/>
          <w:sz w:val="24"/>
          <w:szCs w:val="24"/>
        </w:rPr>
      </w:pPr>
    </w:p>
    <w:p w14:paraId="57B165E9" w14:textId="558F57BC" w:rsidR="008C5B8E"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CONCEPTUAL FRAMEWORK</w:t>
      </w:r>
    </w:p>
    <w:p w14:paraId="10925DA8" w14:textId="6C63E803" w:rsidR="002527B0" w:rsidRDefault="002527B0" w:rsidP="003E1A24">
      <w:pPr>
        <w:jc w:val="both"/>
        <w:rPr>
          <w:rFonts w:ascii="Times New Roman" w:hAnsi="Times New Roman" w:cs="Times New Roman"/>
          <w:sz w:val="24"/>
          <w:szCs w:val="24"/>
        </w:rPr>
      </w:pPr>
      <w:r>
        <w:rPr>
          <w:rFonts w:ascii="Times New Roman" w:hAnsi="Times New Roman" w:cs="Times New Roman"/>
          <w:sz w:val="24"/>
          <w:szCs w:val="24"/>
        </w:rPr>
        <w:t>The study examines how demographic characteristics</w:t>
      </w:r>
      <w:r w:rsidR="00C365EC">
        <w:rPr>
          <w:rFonts w:ascii="Times New Roman" w:hAnsi="Times New Roman" w:cs="Times New Roman"/>
          <w:sz w:val="24"/>
          <w:szCs w:val="24"/>
        </w:rPr>
        <w:t xml:space="preserve"> and domain-specific knowledge influence the awareness of Massive Open Online Courses (MOOCs) among secondary grade prospective teachers, ultimately influencing</w:t>
      </w:r>
      <w:r>
        <w:rPr>
          <w:rFonts w:ascii="Times New Roman" w:hAnsi="Times New Roman" w:cs="Times New Roman"/>
          <w:sz w:val="24"/>
          <w:szCs w:val="24"/>
        </w:rPr>
        <w:t xml:space="preserve"> their adoption. </w:t>
      </w:r>
      <w:r w:rsidR="00C365EC">
        <w:rPr>
          <w:rFonts w:ascii="Times New Roman" w:hAnsi="Times New Roman" w:cs="Times New Roman"/>
          <w:sz w:val="24"/>
          <w:szCs w:val="24"/>
        </w:rPr>
        <w:t xml:space="preserve">Even though the study was not directly based on any theoretical model, its findings </w:t>
      </w:r>
      <w:r w:rsidR="00744A98">
        <w:rPr>
          <w:rFonts w:ascii="Times New Roman" w:hAnsi="Times New Roman" w:cs="Times New Roman"/>
          <w:sz w:val="24"/>
          <w:szCs w:val="24"/>
        </w:rPr>
        <w:t xml:space="preserve">and structure </w:t>
      </w:r>
      <w:r w:rsidR="00C365EC">
        <w:rPr>
          <w:rFonts w:ascii="Times New Roman" w:hAnsi="Times New Roman" w:cs="Times New Roman"/>
          <w:sz w:val="24"/>
          <w:szCs w:val="24"/>
        </w:rPr>
        <w:t xml:space="preserve">align with two recognized frameworks, such as the Technology Acceptance Model (TAM) (Davis, 1989) and Diffusion of Innovations Theory (Rogers, 2003). </w:t>
      </w:r>
    </w:p>
    <w:p w14:paraId="0AC1BDD8" w14:textId="0AEE7BA9" w:rsidR="00C365EC" w:rsidRDefault="00744A98" w:rsidP="003E1A24">
      <w:pPr>
        <w:jc w:val="both"/>
        <w:rPr>
          <w:rFonts w:ascii="Times New Roman" w:hAnsi="Times New Roman" w:cs="Times New Roman"/>
          <w:sz w:val="24"/>
          <w:szCs w:val="24"/>
        </w:rPr>
      </w:pPr>
      <w:r>
        <w:rPr>
          <w:rFonts w:ascii="Times New Roman" w:hAnsi="Times New Roman" w:cs="Times New Roman"/>
          <w:sz w:val="24"/>
          <w:szCs w:val="24"/>
        </w:rPr>
        <w:t xml:space="preserve">These models suggest that technological advancements follow a structured pattern of awareness, followed by their evaluation, and finally accepting or rejecting their adoption. The TAM, in particular, talks about </w:t>
      </w:r>
      <w:r w:rsidRPr="00744A98">
        <w:rPr>
          <w:rFonts w:ascii="Times New Roman" w:hAnsi="Times New Roman" w:cs="Times New Roman"/>
          <w:sz w:val="24"/>
          <w:szCs w:val="24"/>
        </w:rPr>
        <w:t>the role of perceived usefulness and ease of use as mediators of technology acceptance</w:t>
      </w:r>
      <w:r w:rsidR="00A26A44">
        <w:rPr>
          <w:rFonts w:ascii="Times New Roman" w:hAnsi="Times New Roman" w:cs="Times New Roman"/>
          <w:sz w:val="24"/>
          <w:szCs w:val="24"/>
        </w:rPr>
        <w:t>,</w:t>
      </w:r>
      <w:r>
        <w:rPr>
          <w:rFonts w:ascii="Times New Roman" w:hAnsi="Times New Roman" w:cs="Times New Roman"/>
          <w:sz w:val="24"/>
          <w:szCs w:val="24"/>
        </w:rPr>
        <w:t xml:space="preserve"> factors partially reflected in this study’s findings based on usability, technological </w:t>
      </w:r>
      <w:r w:rsidR="00A26A44">
        <w:rPr>
          <w:rFonts w:ascii="Times New Roman" w:hAnsi="Times New Roman" w:cs="Times New Roman"/>
          <w:sz w:val="24"/>
          <w:szCs w:val="24"/>
        </w:rPr>
        <w:t>requirements</w:t>
      </w:r>
      <w:r>
        <w:rPr>
          <w:rFonts w:ascii="Times New Roman" w:hAnsi="Times New Roman" w:cs="Times New Roman"/>
          <w:sz w:val="24"/>
          <w:szCs w:val="24"/>
        </w:rPr>
        <w:t xml:space="preserve">, and policy </w:t>
      </w:r>
      <w:r w:rsidR="00A26A44">
        <w:rPr>
          <w:rFonts w:ascii="Times New Roman" w:hAnsi="Times New Roman" w:cs="Times New Roman"/>
          <w:sz w:val="24"/>
          <w:szCs w:val="24"/>
        </w:rPr>
        <w:t>guidelines</w:t>
      </w:r>
      <w:r>
        <w:rPr>
          <w:rFonts w:ascii="Times New Roman" w:hAnsi="Times New Roman" w:cs="Times New Roman"/>
          <w:sz w:val="24"/>
          <w:szCs w:val="24"/>
        </w:rPr>
        <w:t>.</w:t>
      </w:r>
    </w:p>
    <w:p w14:paraId="7F50B3A1" w14:textId="1A2651CF" w:rsidR="00A26A44" w:rsidRDefault="00744A98" w:rsidP="00A26A44">
      <w:pPr>
        <w:jc w:val="both"/>
        <w:rPr>
          <w:rFonts w:ascii="Times New Roman" w:hAnsi="Times New Roman" w:cs="Times New Roman"/>
          <w:sz w:val="24"/>
          <w:szCs w:val="24"/>
        </w:rPr>
      </w:pPr>
      <w:r w:rsidRPr="00744A98">
        <w:rPr>
          <w:rFonts w:ascii="Times New Roman" w:hAnsi="Times New Roman" w:cs="Times New Roman"/>
          <w:sz w:val="24"/>
          <w:szCs w:val="24"/>
        </w:rPr>
        <w:t>The framework developed here, however, is empirical and tailored specifically to prospective teachers in the Indian context. It comprises</w:t>
      </w:r>
      <w:r>
        <w:rPr>
          <w:rFonts w:ascii="Times New Roman" w:hAnsi="Times New Roman" w:cs="Times New Roman"/>
          <w:sz w:val="24"/>
          <w:szCs w:val="24"/>
        </w:rPr>
        <w:t xml:space="preserve"> demographic variables such as gender (male, female) and stream of study (science, humanities); awareness domains including conceptual understanding (knowledge of MOOCs as a concept), usability (perceived convenience and accessibility)</w:t>
      </w:r>
      <w:r w:rsidR="00A26A44">
        <w:rPr>
          <w:rFonts w:ascii="Times New Roman" w:hAnsi="Times New Roman" w:cs="Times New Roman"/>
          <w:sz w:val="24"/>
          <w:szCs w:val="24"/>
        </w:rPr>
        <w:t>, t</w:t>
      </w:r>
      <w:r w:rsidR="00A26A44" w:rsidRPr="00A26A44">
        <w:rPr>
          <w:rFonts w:ascii="Times New Roman" w:hAnsi="Times New Roman" w:cs="Times New Roman"/>
          <w:sz w:val="24"/>
          <w:szCs w:val="24"/>
        </w:rPr>
        <w:t xml:space="preserve">echnological </w:t>
      </w:r>
      <w:r w:rsidR="00A26A44">
        <w:rPr>
          <w:rFonts w:ascii="Times New Roman" w:hAnsi="Times New Roman" w:cs="Times New Roman"/>
          <w:sz w:val="24"/>
          <w:szCs w:val="24"/>
        </w:rPr>
        <w:t>r</w:t>
      </w:r>
      <w:r w:rsidR="00A26A44" w:rsidRPr="00A26A44">
        <w:rPr>
          <w:rFonts w:ascii="Times New Roman" w:hAnsi="Times New Roman" w:cs="Times New Roman"/>
          <w:sz w:val="24"/>
          <w:szCs w:val="24"/>
        </w:rPr>
        <w:t>equirements (</w:t>
      </w:r>
      <w:r w:rsidR="00A26A44">
        <w:rPr>
          <w:rFonts w:ascii="Times New Roman" w:hAnsi="Times New Roman" w:cs="Times New Roman"/>
          <w:sz w:val="24"/>
          <w:szCs w:val="24"/>
        </w:rPr>
        <w:t>a</w:t>
      </w:r>
      <w:r w:rsidR="00A26A44" w:rsidRPr="00A26A44">
        <w:rPr>
          <w:rFonts w:ascii="Times New Roman" w:hAnsi="Times New Roman" w:cs="Times New Roman"/>
          <w:sz w:val="24"/>
          <w:szCs w:val="24"/>
        </w:rPr>
        <w:t xml:space="preserve">wareness of internet, devices, and digital tools),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 xml:space="preserve">resent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ractices (</w:t>
      </w:r>
      <w:r w:rsidR="00A26A44">
        <w:rPr>
          <w:rFonts w:ascii="Times New Roman" w:hAnsi="Times New Roman" w:cs="Times New Roman"/>
          <w:sz w:val="24"/>
          <w:szCs w:val="24"/>
        </w:rPr>
        <w:t>e</w:t>
      </w:r>
      <w:r w:rsidR="00A26A44" w:rsidRPr="00A26A44">
        <w:rPr>
          <w:rFonts w:ascii="Times New Roman" w:hAnsi="Times New Roman" w:cs="Times New Roman"/>
          <w:sz w:val="24"/>
          <w:szCs w:val="24"/>
        </w:rPr>
        <w:t xml:space="preserve">ngagement or familiarity with MOOCs),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 xml:space="preserve">olicy </w:t>
      </w:r>
      <w:r w:rsidR="00A26A44">
        <w:rPr>
          <w:rFonts w:ascii="Times New Roman" w:hAnsi="Times New Roman" w:cs="Times New Roman"/>
          <w:sz w:val="24"/>
          <w:szCs w:val="24"/>
        </w:rPr>
        <w:t>guidelines</w:t>
      </w:r>
      <w:r w:rsidR="00A26A44" w:rsidRPr="00A26A44">
        <w:rPr>
          <w:rFonts w:ascii="Times New Roman" w:hAnsi="Times New Roman" w:cs="Times New Roman"/>
          <w:sz w:val="24"/>
          <w:szCs w:val="24"/>
        </w:rPr>
        <w:t xml:space="preserve"> </w:t>
      </w:r>
      <w:r w:rsidR="00A26A44">
        <w:rPr>
          <w:rFonts w:ascii="Times New Roman" w:hAnsi="Times New Roman" w:cs="Times New Roman"/>
          <w:sz w:val="24"/>
          <w:szCs w:val="24"/>
        </w:rPr>
        <w:t>(k</w:t>
      </w:r>
      <w:r w:rsidR="00A26A44" w:rsidRPr="00A26A44">
        <w:rPr>
          <w:rFonts w:ascii="Times New Roman" w:hAnsi="Times New Roman" w:cs="Times New Roman"/>
          <w:sz w:val="24"/>
          <w:szCs w:val="24"/>
        </w:rPr>
        <w:t>nowledge of national-level initiatives and institutional efforts</w:t>
      </w:r>
      <w:r w:rsidR="00A26A44">
        <w:rPr>
          <w:rFonts w:ascii="Times New Roman" w:hAnsi="Times New Roman" w:cs="Times New Roman"/>
          <w:sz w:val="24"/>
          <w:szCs w:val="24"/>
        </w:rPr>
        <w:t>)</w:t>
      </w:r>
      <w:r w:rsidR="00A26A44" w:rsidRPr="00A26A44">
        <w:rPr>
          <w:rFonts w:ascii="Times New Roman" w:hAnsi="Times New Roman" w:cs="Times New Roman"/>
          <w:sz w:val="24"/>
          <w:szCs w:val="24"/>
        </w:rPr>
        <w:t>.</w:t>
      </w:r>
      <w:r w:rsidR="00A26A44">
        <w:rPr>
          <w:rFonts w:ascii="Times New Roman" w:hAnsi="Times New Roman" w:cs="Times New Roman"/>
          <w:sz w:val="24"/>
          <w:szCs w:val="24"/>
        </w:rPr>
        <w:t xml:space="preserve"> </w:t>
      </w:r>
    </w:p>
    <w:p w14:paraId="2F3672A2" w14:textId="13DFE0B4" w:rsidR="00F6067D" w:rsidRDefault="00A26A44" w:rsidP="00CB65CF">
      <w:pPr>
        <w:jc w:val="both"/>
        <w:rPr>
          <w:rFonts w:ascii="Times New Roman" w:hAnsi="Times New Roman" w:cs="Times New Roman"/>
          <w:sz w:val="24"/>
          <w:szCs w:val="24"/>
        </w:rPr>
      </w:pPr>
      <w:r w:rsidRPr="00A26A44">
        <w:rPr>
          <w:rFonts w:ascii="Times New Roman" w:hAnsi="Times New Roman" w:cs="Times New Roman"/>
          <w:sz w:val="24"/>
          <w:szCs w:val="24"/>
        </w:rPr>
        <w:t>The five domains are envisioned as interconnected elements influencing a participant's comprehensive understanding of MOOCs. This understanding is recognised as an essential prerequisite for significant digital participation, especially within the realm of teacher education and professional development.</w:t>
      </w:r>
      <w:r>
        <w:rPr>
          <w:rFonts w:ascii="Times New Roman" w:hAnsi="Times New Roman" w:cs="Times New Roman"/>
          <w:sz w:val="24"/>
          <w:szCs w:val="24"/>
        </w:rPr>
        <w:t xml:space="preserve"> </w:t>
      </w:r>
      <w:r w:rsidRPr="00A26A44">
        <w:rPr>
          <w:rFonts w:ascii="Times New Roman" w:hAnsi="Times New Roman" w:cs="Times New Roman"/>
          <w:sz w:val="24"/>
          <w:szCs w:val="24"/>
        </w:rPr>
        <w:t xml:space="preserve">The study does not investigate behavioural outcomes like MOOC enrolment or course completion; nonetheless, the incorporation of usability, policy </w:t>
      </w:r>
      <w:r>
        <w:rPr>
          <w:rFonts w:ascii="Times New Roman" w:hAnsi="Times New Roman" w:cs="Times New Roman"/>
          <w:sz w:val="24"/>
          <w:szCs w:val="24"/>
        </w:rPr>
        <w:t>guidelines</w:t>
      </w:r>
      <w:r w:rsidRPr="00A26A44">
        <w:rPr>
          <w:rFonts w:ascii="Times New Roman" w:hAnsi="Times New Roman" w:cs="Times New Roman"/>
          <w:sz w:val="24"/>
          <w:szCs w:val="24"/>
        </w:rPr>
        <w:t xml:space="preserve">, and </w:t>
      </w:r>
      <w:r>
        <w:rPr>
          <w:rFonts w:ascii="Times New Roman" w:hAnsi="Times New Roman" w:cs="Times New Roman"/>
          <w:sz w:val="24"/>
          <w:szCs w:val="24"/>
        </w:rPr>
        <w:t>present</w:t>
      </w:r>
      <w:r w:rsidRPr="00A26A44">
        <w:rPr>
          <w:rFonts w:ascii="Times New Roman" w:hAnsi="Times New Roman" w:cs="Times New Roman"/>
          <w:sz w:val="24"/>
          <w:szCs w:val="24"/>
        </w:rPr>
        <w:t xml:space="preserve"> practices as domains serves as a proxy for potential future adoption, as articulated in wider technology adoption theories.</w:t>
      </w:r>
    </w:p>
    <w:p w14:paraId="621AD1BA" w14:textId="33CD40F7" w:rsidR="00C320A1" w:rsidRDefault="00C320A1" w:rsidP="00CB65C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421EC4" wp14:editId="57A339A4">
            <wp:extent cx="5730240" cy="3488690"/>
            <wp:effectExtent l="0" t="0" r="3810" b="0"/>
            <wp:docPr id="945108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08257" name="Picture 945108257"/>
                    <pic:cNvPicPr/>
                  </pic:nvPicPr>
                  <pic:blipFill rotWithShape="1">
                    <a:blip r:embed="rId7">
                      <a:extLst>
                        <a:ext uri="{28A0092B-C50C-407E-A947-70E740481C1C}">
                          <a14:useLocalDpi xmlns:a14="http://schemas.microsoft.com/office/drawing/2010/main" val="0"/>
                        </a:ext>
                      </a:extLst>
                    </a:blip>
                    <a:srcRect l="24332" t="17097" r="22833" b="15097"/>
                    <a:stretch/>
                  </pic:blipFill>
                  <pic:spPr bwMode="auto">
                    <a:xfrm>
                      <a:off x="0" y="0"/>
                      <a:ext cx="5730240" cy="3488690"/>
                    </a:xfrm>
                    <a:prstGeom prst="rect">
                      <a:avLst/>
                    </a:prstGeom>
                    <a:ln>
                      <a:noFill/>
                    </a:ln>
                    <a:extLst>
                      <a:ext uri="{53640926-AAD7-44D8-BBD7-CCE9431645EC}">
                        <a14:shadowObscured xmlns:a14="http://schemas.microsoft.com/office/drawing/2010/main"/>
                      </a:ext>
                    </a:extLst>
                  </pic:spPr>
                </pic:pic>
              </a:graphicData>
            </a:graphic>
          </wp:inline>
        </w:drawing>
      </w:r>
    </w:p>
    <w:p w14:paraId="407E195F" w14:textId="39E704A9" w:rsidR="00F6067D" w:rsidRPr="00D456F5" w:rsidRDefault="001B1C54" w:rsidP="00D456F5">
      <w:pPr>
        <w:jc w:val="center"/>
        <w:rPr>
          <w:rFonts w:ascii="Times New Roman" w:hAnsi="Times New Roman" w:cs="Times New Roman"/>
          <w:sz w:val="20"/>
          <w:szCs w:val="20"/>
        </w:rPr>
      </w:pPr>
      <w:r>
        <w:rPr>
          <w:rFonts w:ascii="Times New Roman" w:hAnsi="Times New Roman" w:cs="Times New Roman"/>
          <w:b/>
          <w:bCs/>
          <w:sz w:val="20"/>
          <w:szCs w:val="20"/>
        </w:rPr>
        <w:t>Fig 1-</w:t>
      </w:r>
      <w:r w:rsidR="00D456F5" w:rsidRPr="00D456F5">
        <w:rPr>
          <w:rFonts w:ascii="Times New Roman" w:hAnsi="Times New Roman" w:cs="Times New Roman"/>
          <w:b/>
          <w:bCs/>
          <w:sz w:val="20"/>
          <w:szCs w:val="20"/>
        </w:rPr>
        <w:t>Conceptual Framework for MOOC Awareness Among Prospective Teachers</w:t>
      </w:r>
    </w:p>
    <w:p w14:paraId="6EE7EA4C" w14:textId="77777777" w:rsidR="00D456F5" w:rsidRDefault="00D456F5" w:rsidP="008C5B8E">
      <w:pPr>
        <w:jc w:val="both"/>
        <w:rPr>
          <w:rFonts w:ascii="Times New Roman" w:hAnsi="Times New Roman" w:cs="Times New Roman"/>
          <w:sz w:val="24"/>
          <w:szCs w:val="24"/>
        </w:rPr>
      </w:pPr>
    </w:p>
    <w:p w14:paraId="6B5CDEBC" w14:textId="7CE817D9" w:rsidR="008C5B8E" w:rsidRDefault="00CB65CF" w:rsidP="008C5B8E">
      <w:pPr>
        <w:jc w:val="both"/>
        <w:rPr>
          <w:rFonts w:ascii="Times New Roman" w:hAnsi="Times New Roman" w:cs="Times New Roman"/>
          <w:sz w:val="24"/>
          <w:szCs w:val="24"/>
        </w:rPr>
      </w:pPr>
      <w:r w:rsidRPr="00CB65CF">
        <w:rPr>
          <w:rFonts w:ascii="Times New Roman" w:hAnsi="Times New Roman" w:cs="Times New Roman"/>
          <w:sz w:val="24"/>
          <w:szCs w:val="24"/>
        </w:rPr>
        <w:t>This paradigm facilitates the empirical evaluation of how gender and academic stream affect MOOC awareness across five conceptual domains, employing a validated and reliable awareness assessment specifically designed for the teacher education environment.</w:t>
      </w:r>
    </w:p>
    <w:p w14:paraId="764EBCCD" w14:textId="77777777" w:rsidR="00BB5484" w:rsidRPr="00B81432" w:rsidRDefault="00BB5484" w:rsidP="008C5B8E">
      <w:pPr>
        <w:jc w:val="both"/>
        <w:rPr>
          <w:rFonts w:ascii="Times New Roman" w:hAnsi="Times New Roman" w:cs="Times New Roman"/>
          <w:sz w:val="6"/>
          <w:szCs w:val="6"/>
        </w:rPr>
      </w:pPr>
    </w:p>
    <w:p w14:paraId="3C24DE91" w14:textId="16603216" w:rsidR="00BB5484"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REVIEW OF RELATED LITERATURE</w:t>
      </w:r>
    </w:p>
    <w:p w14:paraId="39B3E8EA"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Massive Open Online Courses (MOOCs) have emerged as flexible and scalable alternatives to traditional education, providing open access to quality learning resources. However, awareness and usage patterns of MOOCs vary significantly across countries, learner groups, and academic disciplines, particularly within the context of teacher education.</w:t>
      </w:r>
    </w:p>
    <w:p w14:paraId="4D904665"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In many developing countries, MOOC awareness remains low despite increasing internet access. Muzafarova and Kaya (2014) found that over 60% of Georgian university students had never heard of MOOCs. Similarly, Shakya et al. (2016) reported that 81% of students in Nepal lacked awareness of major platforms like Coursera and edX. Muhammad et al. (2016) noted that Nigerian students from non-technical backgrounds had limited exposure to MOOCs, reflecting disparities in digital engagement.</w:t>
      </w:r>
    </w:p>
    <w:p w14:paraId="32E97C4A"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 xml:space="preserve">More recent studies confirm that these challenges persist. White and </w:t>
      </w:r>
      <w:proofErr w:type="spellStart"/>
      <w:r w:rsidRPr="00EA4BA8">
        <w:rPr>
          <w:rFonts w:ascii="Times New Roman" w:hAnsi="Times New Roman" w:cs="Times New Roman"/>
          <w:sz w:val="24"/>
          <w:szCs w:val="24"/>
        </w:rPr>
        <w:t>Panyawongngam</w:t>
      </w:r>
      <w:proofErr w:type="spellEnd"/>
      <w:r w:rsidRPr="00EA4BA8">
        <w:rPr>
          <w:rFonts w:ascii="Times New Roman" w:hAnsi="Times New Roman" w:cs="Times New Roman"/>
          <w:sz w:val="24"/>
          <w:szCs w:val="24"/>
        </w:rPr>
        <w:t xml:space="preserve"> (2025) observed low familiarity with both benefits and providers of MOOCs among Thai undergraduates. Macugay et al. (2025) found moderate awareness levels in Philippine higher education, shaped by teaching experience, academic stream, and digital infrastructure. These findings highlight that even in moderately connected environments, institutional support and learner motivation are essential for meaningful MOOC engagement.</w:t>
      </w:r>
    </w:p>
    <w:p w14:paraId="5D67A1BE"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lastRenderedPageBreak/>
        <w:t>India has promoted MOOCs through platforms like SWAYAM and NPTEL, aligned with the objectives of the National Education Policy (NEP) 2020. Yet, several studies suggest that awareness, especially in teacher education, remains uneven. Singh and Chauhan (2017) reported that teacher educators were aware of MOOCs but lacked understanding of their structure, certification, and policy integration. Shaikh (2017) similarly noted that student teachers had digital access but lacked clarity about MOOCs’ relevance to professional growth.</w:t>
      </w:r>
    </w:p>
    <w:p w14:paraId="6BB4D04F"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 xml:space="preserve">Mondal and </w:t>
      </w:r>
      <w:proofErr w:type="spellStart"/>
      <w:r w:rsidRPr="00EA4BA8">
        <w:rPr>
          <w:rFonts w:ascii="Times New Roman" w:hAnsi="Times New Roman" w:cs="Times New Roman"/>
          <w:sz w:val="24"/>
          <w:szCs w:val="24"/>
        </w:rPr>
        <w:t>Parhi</w:t>
      </w:r>
      <w:proofErr w:type="spellEnd"/>
      <w:r w:rsidRPr="00EA4BA8">
        <w:rPr>
          <w:rFonts w:ascii="Times New Roman" w:hAnsi="Times New Roman" w:cs="Times New Roman"/>
          <w:sz w:val="24"/>
          <w:szCs w:val="24"/>
        </w:rPr>
        <w:t xml:space="preserve"> (2024) found that only 39.5% of B.Ed. and M.Ed. students across Indian universities were aware of SWAYAM. Their study revealed that institutional type (central vs. state or private) and access to infrastructure (Wi-Fi, ABC ID) significantly influenced awareness and </w:t>
      </w:r>
      <w:proofErr w:type="spellStart"/>
      <w:r w:rsidRPr="00EA4BA8">
        <w:rPr>
          <w:rFonts w:ascii="Times New Roman" w:hAnsi="Times New Roman" w:cs="Times New Roman"/>
          <w:sz w:val="24"/>
          <w:szCs w:val="24"/>
        </w:rPr>
        <w:t>enrollment</w:t>
      </w:r>
      <w:proofErr w:type="spellEnd"/>
      <w:r w:rsidRPr="00EA4BA8">
        <w:rPr>
          <w:rFonts w:ascii="Times New Roman" w:hAnsi="Times New Roman" w:cs="Times New Roman"/>
          <w:sz w:val="24"/>
          <w:szCs w:val="24"/>
        </w:rPr>
        <w:t>. Singh and Bhandari (2025) reported that while awareness of government MOOCs was moderate, usage remained low due to time constraints, internet issues, and limited institutional promotion. Other Indian studies (e.g., Giri &amp; Majhi, 2024; Mandal &amp; Yadav, 2024; Purkayastha &amp; Sinha, 2021) emphasize the importance of structured orientation and integration of MOOCs into the curriculum to improve adoption among teacher trainees.</w:t>
      </w:r>
    </w:p>
    <w:p w14:paraId="60CB65BC"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Demographic and academic factors play an important role in shaping MOOC awareness. Singha and C.A. (2024) and Patwardhan and Yadav (2022) found higher awareness among male learners and those in science and commerce disciplines, whereas Shaikh (2017) reported that female student teachers were more attuned to learner support and pedagogical aspects of MOOCs. Macugay et al. (2025) further observed that academic discipline and teaching experience influenced awareness, with business and technology fields outperforming others.</w:t>
      </w:r>
    </w:p>
    <w:p w14:paraId="760AD421"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Theoretical perspectives such as Rogers’ Diffusion of Innovations and Deci and Ryan’s Self-Determination Theory have been applied to explain how factors like intrinsic motivation, prior exposure to technology, and institutional culture influence MOOC adoption (Macugay et al., 2025). These frameworks support the argument that awareness is a multi-dimensional construct shaped by both individual and systemic variables.</w:t>
      </w:r>
    </w:p>
    <w:p w14:paraId="7402421D" w14:textId="77777777" w:rsidR="00EA4BA8" w:rsidRPr="00EA4BA8" w:rsidRDefault="00EA4BA8" w:rsidP="00EA4BA8">
      <w:pPr>
        <w:jc w:val="both"/>
        <w:rPr>
          <w:rFonts w:ascii="Times New Roman" w:hAnsi="Times New Roman" w:cs="Times New Roman"/>
          <w:sz w:val="24"/>
          <w:szCs w:val="24"/>
        </w:rPr>
      </w:pPr>
      <w:r w:rsidRPr="00EA4BA8">
        <w:rPr>
          <w:rFonts w:ascii="Times New Roman" w:hAnsi="Times New Roman" w:cs="Times New Roman"/>
          <w:sz w:val="24"/>
          <w:szCs w:val="24"/>
        </w:rPr>
        <w:t>Although MOOC awareness has been studied extensively in the Indian context, limited research focuses on B.Ed. students preparing for secondary-level teaching, a group critical to future digital learning implementation in schools. Most existing studies focus on postgraduate learners or in-service faculty, often without distinguishing between awareness domains.</w:t>
      </w:r>
    </w:p>
    <w:p w14:paraId="7AC46404" w14:textId="1B1E5955" w:rsidR="00594C4B" w:rsidRPr="00594C4B" w:rsidRDefault="00EA4BA8" w:rsidP="00594C4B">
      <w:pPr>
        <w:jc w:val="both"/>
        <w:rPr>
          <w:rFonts w:ascii="Times New Roman" w:hAnsi="Times New Roman" w:cs="Times New Roman"/>
          <w:sz w:val="24"/>
          <w:szCs w:val="24"/>
        </w:rPr>
      </w:pPr>
      <w:r w:rsidRPr="00EA4BA8">
        <w:rPr>
          <w:rFonts w:ascii="Times New Roman" w:hAnsi="Times New Roman" w:cs="Times New Roman"/>
          <w:sz w:val="24"/>
          <w:szCs w:val="24"/>
        </w:rPr>
        <w:t>Moreover, few studies employ a domain-specific framework for understanding MOOC awareness, incorporating aspects like conceptual knowledge, usability, technological requirements, policy awareness, and present practices. This study addresses that gap by examining awareness among prospective teachers in Mysore city, with particular focus on gender and academic stream. In doing so, it contributes to the broader discourse on teacher readiness and digital inclusion in Indian education.</w:t>
      </w:r>
    </w:p>
    <w:p w14:paraId="5297795C" w14:textId="77777777" w:rsidR="00B81432" w:rsidRPr="00B81432" w:rsidRDefault="00B81432" w:rsidP="008C5B8E">
      <w:pPr>
        <w:jc w:val="both"/>
        <w:rPr>
          <w:rFonts w:ascii="Times New Roman" w:hAnsi="Times New Roman" w:cs="Times New Roman"/>
          <w:sz w:val="6"/>
          <w:szCs w:val="6"/>
        </w:rPr>
      </w:pPr>
    </w:p>
    <w:p w14:paraId="50B86B2F" w14:textId="74AA1821" w:rsidR="00BB5484"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 xml:space="preserve">OBJECTIVES OF THE STUDY </w:t>
      </w:r>
    </w:p>
    <w:p w14:paraId="0739EDD3" w14:textId="77777777" w:rsidR="00333F16" w:rsidRDefault="00BB5484" w:rsidP="008C5B8E">
      <w:pPr>
        <w:jc w:val="both"/>
        <w:rPr>
          <w:rFonts w:ascii="Times New Roman" w:hAnsi="Times New Roman" w:cs="Times New Roman"/>
          <w:sz w:val="24"/>
          <w:szCs w:val="24"/>
        </w:rPr>
      </w:pPr>
      <w:r w:rsidRPr="00BB5484">
        <w:rPr>
          <w:rFonts w:ascii="Times New Roman" w:hAnsi="Times New Roman" w:cs="Times New Roman"/>
          <w:sz w:val="24"/>
          <w:szCs w:val="24"/>
        </w:rPr>
        <w:t xml:space="preserve">The objectives of the study are – </w:t>
      </w:r>
    </w:p>
    <w:p w14:paraId="345D80F6" w14:textId="16F59C34" w:rsidR="00333F16" w:rsidRPr="00333F16" w:rsidRDefault="00BB5484" w:rsidP="00333F16">
      <w:pPr>
        <w:pStyle w:val="ListParagraph"/>
        <w:numPr>
          <w:ilvl w:val="0"/>
          <w:numId w:val="2"/>
        </w:numPr>
        <w:jc w:val="both"/>
        <w:rPr>
          <w:rFonts w:ascii="Times New Roman" w:hAnsi="Times New Roman" w:cs="Times New Roman"/>
          <w:sz w:val="24"/>
          <w:szCs w:val="24"/>
        </w:rPr>
      </w:pPr>
      <w:r w:rsidRPr="00333F16">
        <w:rPr>
          <w:rFonts w:ascii="Times New Roman" w:hAnsi="Times New Roman" w:cs="Times New Roman"/>
          <w:sz w:val="24"/>
          <w:szCs w:val="24"/>
        </w:rPr>
        <w:t>To determine the level of awareness among the prospective teachers towards MOOCs.</w:t>
      </w:r>
    </w:p>
    <w:p w14:paraId="2557438C" w14:textId="3B4429D2" w:rsidR="00333F16" w:rsidRDefault="00BB5484" w:rsidP="008C5B8E">
      <w:pPr>
        <w:pStyle w:val="ListParagraph"/>
        <w:numPr>
          <w:ilvl w:val="0"/>
          <w:numId w:val="2"/>
        </w:numPr>
        <w:jc w:val="both"/>
        <w:rPr>
          <w:rFonts w:ascii="Times New Roman" w:hAnsi="Times New Roman" w:cs="Times New Roman"/>
          <w:sz w:val="24"/>
          <w:szCs w:val="24"/>
        </w:rPr>
      </w:pPr>
      <w:r w:rsidRPr="00333F16">
        <w:rPr>
          <w:rFonts w:ascii="Times New Roman" w:hAnsi="Times New Roman" w:cs="Times New Roman"/>
          <w:sz w:val="24"/>
          <w:szCs w:val="24"/>
        </w:rPr>
        <w:t xml:space="preserve">To compare the awareness of MOOCs </w:t>
      </w:r>
      <w:r w:rsidR="00333F16">
        <w:rPr>
          <w:rFonts w:ascii="Times New Roman" w:hAnsi="Times New Roman" w:cs="Times New Roman"/>
          <w:sz w:val="24"/>
          <w:szCs w:val="24"/>
        </w:rPr>
        <w:t>among</w:t>
      </w:r>
      <w:r w:rsidRPr="00333F16">
        <w:rPr>
          <w:rFonts w:ascii="Times New Roman" w:hAnsi="Times New Roman" w:cs="Times New Roman"/>
          <w:sz w:val="24"/>
          <w:szCs w:val="24"/>
        </w:rPr>
        <w:t xml:space="preserve"> male and female prospective teachers of Mysore city. </w:t>
      </w:r>
    </w:p>
    <w:p w14:paraId="09B41029" w14:textId="415C79E2" w:rsidR="00BB5484" w:rsidRPr="00333F16" w:rsidRDefault="00BB5484" w:rsidP="008C5B8E">
      <w:pPr>
        <w:pStyle w:val="ListParagraph"/>
        <w:numPr>
          <w:ilvl w:val="0"/>
          <w:numId w:val="2"/>
        </w:numPr>
        <w:jc w:val="both"/>
        <w:rPr>
          <w:rFonts w:ascii="Times New Roman" w:hAnsi="Times New Roman" w:cs="Times New Roman"/>
          <w:sz w:val="24"/>
          <w:szCs w:val="24"/>
        </w:rPr>
      </w:pPr>
      <w:r w:rsidRPr="00333F16">
        <w:rPr>
          <w:rFonts w:ascii="Times New Roman" w:hAnsi="Times New Roman" w:cs="Times New Roman"/>
          <w:sz w:val="24"/>
          <w:szCs w:val="24"/>
        </w:rPr>
        <w:lastRenderedPageBreak/>
        <w:t xml:space="preserve">To compare the awareness of MOOCs </w:t>
      </w:r>
      <w:r w:rsidR="00333F16">
        <w:rPr>
          <w:rFonts w:ascii="Times New Roman" w:hAnsi="Times New Roman" w:cs="Times New Roman"/>
          <w:sz w:val="24"/>
          <w:szCs w:val="24"/>
        </w:rPr>
        <w:t>among</w:t>
      </w:r>
      <w:r w:rsidRPr="00333F16">
        <w:rPr>
          <w:rFonts w:ascii="Times New Roman" w:hAnsi="Times New Roman" w:cs="Times New Roman"/>
          <w:sz w:val="24"/>
          <w:szCs w:val="24"/>
        </w:rPr>
        <w:t xml:space="preserve"> science and humanities prospective teachers of Mysore city. </w:t>
      </w:r>
    </w:p>
    <w:p w14:paraId="01E092C1" w14:textId="77777777" w:rsidR="008C5B8E" w:rsidRPr="00B81432" w:rsidRDefault="008C5B8E" w:rsidP="008C5B8E">
      <w:pPr>
        <w:jc w:val="both"/>
        <w:rPr>
          <w:rFonts w:ascii="Times New Roman" w:hAnsi="Times New Roman" w:cs="Times New Roman"/>
          <w:sz w:val="6"/>
          <w:szCs w:val="6"/>
        </w:rPr>
      </w:pPr>
    </w:p>
    <w:p w14:paraId="1AA6ED2D" w14:textId="25A0556D" w:rsidR="0095504A"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METHODOLOGY</w:t>
      </w:r>
    </w:p>
    <w:p w14:paraId="2647B3F0" w14:textId="6505A538" w:rsidR="0095504A" w:rsidRDefault="0095504A" w:rsidP="0095504A">
      <w:pPr>
        <w:jc w:val="both"/>
        <w:rPr>
          <w:rFonts w:ascii="Times New Roman" w:hAnsi="Times New Roman" w:cs="Times New Roman"/>
          <w:sz w:val="24"/>
          <w:szCs w:val="24"/>
        </w:rPr>
      </w:pPr>
      <w:r>
        <w:rPr>
          <w:rFonts w:ascii="Times New Roman" w:hAnsi="Times New Roman" w:cs="Times New Roman"/>
          <w:b/>
          <w:bCs/>
          <w:sz w:val="24"/>
          <w:szCs w:val="24"/>
        </w:rPr>
        <w:t xml:space="preserve">Research Design: </w:t>
      </w:r>
      <w:r w:rsidRPr="0095504A">
        <w:rPr>
          <w:rFonts w:ascii="Times New Roman" w:hAnsi="Times New Roman" w:cs="Times New Roman"/>
          <w:sz w:val="24"/>
          <w:szCs w:val="24"/>
        </w:rPr>
        <w:t xml:space="preserve">This study employs a quantitative research design </w:t>
      </w:r>
      <w:r w:rsidR="00B83AA2">
        <w:rPr>
          <w:rFonts w:ascii="Times New Roman" w:hAnsi="Times New Roman" w:cs="Times New Roman"/>
          <w:sz w:val="24"/>
          <w:szCs w:val="24"/>
        </w:rPr>
        <w:t xml:space="preserve">along with a </w:t>
      </w:r>
      <w:r w:rsidR="00B83AA2" w:rsidRPr="0095504A">
        <w:rPr>
          <w:rFonts w:ascii="Times New Roman" w:hAnsi="Times New Roman" w:cs="Times New Roman"/>
          <w:sz w:val="24"/>
          <w:szCs w:val="24"/>
        </w:rPr>
        <w:t>cross-sectional survey method</w:t>
      </w:r>
      <w:r w:rsidR="00B83AA2">
        <w:rPr>
          <w:rFonts w:ascii="Times New Roman" w:hAnsi="Times New Roman" w:cs="Times New Roman"/>
          <w:sz w:val="24"/>
          <w:szCs w:val="24"/>
        </w:rPr>
        <w:t xml:space="preserve"> </w:t>
      </w:r>
      <w:r w:rsidRPr="0095504A">
        <w:rPr>
          <w:rFonts w:ascii="Times New Roman" w:hAnsi="Times New Roman" w:cs="Times New Roman"/>
          <w:sz w:val="24"/>
          <w:szCs w:val="24"/>
        </w:rPr>
        <w:t>to investigate the awareness of prospective teachers towards Massive Open Online Courses (MOOCs).</w:t>
      </w:r>
      <w:r>
        <w:rPr>
          <w:rFonts w:ascii="Times New Roman" w:hAnsi="Times New Roman" w:cs="Times New Roman"/>
          <w:sz w:val="24"/>
          <w:szCs w:val="24"/>
        </w:rPr>
        <w:t xml:space="preserve"> </w:t>
      </w:r>
      <w:r w:rsidR="00060BAD" w:rsidRPr="00060BAD">
        <w:rPr>
          <w:rFonts w:ascii="Times New Roman" w:hAnsi="Times New Roman" w:cs="Times New Roman"/>
          <w:sz w:val="24"/>
          <w:szCs w:val="24"/>
        </w:rPr>
        <w:t>The survey method was selected for its effectiveness in capturing self-reported awareness and comparative data across demographic groups within a defined population</w:t>
      </w:r>
      <w:r w:rsidR="00060BAD">
        <w:rPr>
          <w:rFonts w:ascii="Times New Roman" w:hAnsi="Times New Roman" w:cs="Times New Roman"/>
          <w:sz w:val="24"/>
          <w:szCs w:val="24"/>
        </w:rPr>
        <w:t>.</w:t>
      </w:r>
    </w:p>
    <w:p w14:paraId="48B45F37" w14:textId="14AEDBB8" w:rsidR="0095504A" w:rsidRDefault="0095504A" w:rsidP="0095504A">
      <w:pPr>
        <w:jc w:val="both"/>
        <w:rPr>
          <w:rFonts w:ascii="Times New Roman" w:hAnsi="Times New Roman" w:cs="Times New Roman"/>
          <w:sz w:val="24"/>
          <w:szCs w:val="24"/>
        </w:rPr>
      </w:pPr>
      <w:r>
        <w:rPr>
          <w:rFonts w:ascii="Times New Roman" w:hAnsi="Times New Roman" w:cs="Times New Roman"/>
          <w:b/>
          <w:bCs/>
          <w:sz w:val="24"/>
          <w:szCs w:val="24"/>
        </w:rPr>
        <w:t>Population</w:t>
      </w:r>
      <w:r w:rsidR="00060BAD">
        <w:rPr>
          <w:rFonts w:ascii="Times New Roman" w:hAnsi="Times New Roman" w:cs="Times New Roman"/>
          <w:b/>
          <w:bCs/>
          <w:sz w:val="24"/>
          <w:szCs w:val="24"/>
        </w:rPr>
        <w:t xml:space="preserve"> and Sample</w:t>
      </w:r>
      <w:r>
        <w:rPr>
          <w:rFonts w:ascii="Times New Roman" w:hAnsi="Times New Roman" w:cs="Times New Roman"/>
          <w:b/>
          <w:bCs/>
          <w:sz w:val="24"/>
          <w:szCs w:val="24"/>
        </w:rPr>
        <w:t xml:space="preserve">: </w:t>
      </w:r>
      <w:r w:rsidRPr="0095504A">
        <w:rPr>
          <w:rFonts w:ascii="Times New Roman" w:hAnsi="Times New Roman" w:cs="Times New Roman"/>
          <w:sz w:val="24"/>
          <w:szCs w:val="24"/>
        </w:rPr>
        <w:t xml:space="preserve">The population of a study includes all the prospective teachers studying in </w:t>
      </w:r>
      <w:r w:rsidR="00060BAD">
        <w:rPr>
          <w:rFonts w:ascii="Times New Roman" w:hAnsi="Times New Roman" w:cs="Times New Roman"/>
          <w:sz w:val="24"/>
          <w:szCs w:val="24"/>
        </w:rPr>
        <w:t xml:space="preserve">the </w:t>
      </w:r>
      <w:r w:rsidRPr="0095504A">
        <w:rPr>
          <w:rFonts w:ascii="Times New Roman" w:hAnsi="Times New Roman" w:cs="Times New Roman"/>
          <w:sz w:val="24"/>
          <w:szCs w:val="24"/>
        </w:rPr>
        <w:t>B.Ed. Colleges (both government and private) approved by NCTE, recognized by the Government of Karnataka</w:t>
      </w:r>
      <w:r w:rsidR="00060BAD">
        <w:rPr>
          <w:rFonts w:ascii="Times New Roman" w:hAnsi="Times New Roman" w:cs="Times New Roman"/>
          <w:sz w:val="24"/>
          <w:szCs w:val="24"/>
        </w:rPr>
        <w:t>,</w:t>
      </w:r>
      <w:r w:rsidRPr="0095504A">
        <w:rPr>
          <w:rFonts w:ascii="Times New Roman" w:hAnsi="Times New Roman" w:cs="Times New Roman"/>
          <w:sz w:val="24"/>
          <w:szCs w:val="24"/>
        </w:rPr>
        <w:t xml:space="preserve"> </w:t>
      </w:r>
      <w:r w:rsidR="00060BAD">
        <w:rPr>
          <w:rFonts w:ascii="Times New Roman" w:hAnsi="Times New Roman" w:cs="Times New Roman"/>
          <w:sz w:val="24"/>
          <w:szCs w:val="24"/>
        </w:rPr>
        <w:t xml:space="preserve">and </w:t>
      </w:r>
      <w:r w:rsidRPr="0095504A">
        <w:rPr>
          <w:rFonts w:ascii="Times New Roman" w:hAnsi="Times New Roman" w:cs="Times New Roman"/>
          <w:sz w:val="24"/>
          <w:szCs w:val="24"/>
        </w:rPr>
        <w:t>affiliated to the University of Mysore</w:t>
      </w:r>
      <w:r>
        <w:rPr>
          <w:rFonts w:ascii="Times New Roman" w:hAnsi="Times New Roman" w:cs="Times New Roman"/>
          <w:sz w:val="24"/>
          <w:szCs w:val="24"/>
        </w:rPr>
        <w:t>.</w:t>
      </w:r>
      <w:r>
        <w:rPr>
          <w:rFonts w:ascii="Times New Roman" w:hAnsi="Times New Roman" w:cs="Times New Roman"/>
          <w:b/>
          <w:bCs/>
          <w:sz w:val="24"/>
          <w:szCs w:val="24"/>
        </w:rPr>
        <w:t xml:space="preserve"> </w:t>
      </w:r>
      <w:r w:rsidRPr="0095504A">
        <w:rPr>
          <w:rFonts w:ascii="Times New Roman" w:hAnsi="Times New Roman" w:cs="Times New Roman"/>
          <w:sz w:val="24"/>
          <w:szCs w:val="24"/>
        </w:rPr>
        <w:t xml:space="preserve">Stratified random sampling was used to select the sample for the present study. The sample includes 259 prospective teachers of 2 private and 1 government B.Ed. institutions of Mysore city </w:t>
      </w:r>
      <w:r>
        <w:rPr>
          <w:rFonts w:ascii="Times New Roman" w:hAnsi="Times New Roman" w:cs="Times New Roman"/>
          <w:sz w:val="24"/>
          <w:szCs w:val="24"/>
        </w:rPr>
        <w:t xml:space="preserve">were </w:t>
      </w:r>
      <w:r w:rsidRPr="0095504A">
        <w:rPr>
          <w:rFonts w:ascii="Times New Roman" w:hAnsi="Times New Roman" w:cs="Times New Roman"/>
          <w:sz w:val="24"/>
          <w:szCs w:val="24"/>
        </w:rPr>
        <w:t>selected randomly.</w:t>
      </w:r>
      <w:r>
        <w:rPr>
          <w:rFonts w:ascii="Times New Roman" w:hAnsi="Times New Roman" w:cs="Times New Roman"/>
          <w:sz w:val="24"/>
          <w:szCs w:val="24"/>
        </w:rPr>
        <w:t xml:space="preserve"> </w:t>
      </w:r>
      <w:r w:rsidR="00120393">
        <w:rPr>
          <w:rFonts w:ascii="Times New Roman" w:hAnsi="Times New Roman" w:cs="Times New Roman"/>
          <w:sz w:val="24"/>
          <w:szCs w:val="24"/>
        </w:rPr>
        <w:t>Out of the 259 prospective teachers, based on gender, a</w:t>
      </w:r>
      <w:r>
        <w:rPr>
          <w:rFonts w:ascii="Times New Roman" w:hAnsi="Times New Roman" w:cs="Times New Roman"/>
          <w:sz w:val="24"/>
          <w:szCs w:val="24"/>
        </w:rPr>
        <w:t xml:space="preserve"> total of 58 male and 201 female</w:t>
      </w:r>
      <w:r w:rsidR="00120393">
        <w:rPr>
          <w:rFonts w:ascii="Times New Roman" w:hAnsi="Times New Roman" w:cs="Times New Roman"/>
          <w:sz w:val="24"/>
          <w:szCs w:val="24"/>
        </w:rPr>
        <w:t xml:space="preserve"> prospective teachers, and based on stream, a total of 137 humanities and 122 science prospective teachers participated in the study.</w:t>
      </w:r>
    </w:p>
    <w:p w14:paraId="2881354F" w14:textId="4CE7BE65" w:rsidR="000A2E19" w:rsidRDefault="000A2E19" w:rsidP="0095504A">
      <w:pPr>
        <w:jc w:val="both"/>
        <w:rPr>
          <w:rFonts w:ascii="Times New Roman" w:hAnsi="Times New Roman" w:cs="Times New Roman"/>
          <w:sz w:val="24"/>
          <w:szCs w:val="24"/>
        </w:rPr>
      </w:pPr>
      <w:r>
        <w:rPr>
          <w:rFonts w:ascii="Times New Roman" w:hAnsi="Times New Roman" w:cs="Times New Roman"/>
          <w:b/>
          <w:bCs/>
          <w:sz w:val="24"/>
          <w:szCs w:val="24"/>
        </w:rPr>
        <w:t xml:space="preserve">Tool Description: </w:t>
      </w:r>
      <w:r w:rsidR="00F6478B" w:rsidRPr="00F6478B">
        <w:rPr>
          <w:rFonts w:ascii="Times New Roman" w:hAnsi="Times New Roman" w:cs="Times New Roman"/>
          <w:sz w:val="24"/>
          <w:szCs w:val="24"/>
        </w:rPr>
        <w:t xml:space="preserve">This study employs </w:t>
      </w:r>
      <w:r w:rsidR="001B2FDA">
        <w:rPr>
          <w:rFonts w:ascii="Times New Roman" w:hAnsi="Times New Roman" w:cs="Times New Roman"/>
          <w:sz w:val="24"/>
          <w:szCs w:val="24"/>
        </w:rPr>
        <w:t xml:space="preserve">a </w:t>
      </w:r>
      <w:r w:rsidR="00F6478B" w:rsidRPr="00F6478B">
        <w:rPr>
          <w:rFonts w:ascii="Times New Roman" w:hAnsi="Times New Roman" w:cs="Times New Roman"/>
          <w:sz w:val="24"/>
          <w:szCs w:val="24"/>
        </w:rPr>
        <w:t>primary quantitative data collection instrument: an Awareness Test.</w:t>
      </w:r>
      <w:r w:rsidR="00F6478B">
        <w:rPr>
          <w:rFonts w:ascii="Times New Roman" w:hAnsi="Times New Roman" w:cs="Times New Roman"/>
          <w:sz w:val="24"/>
          <w:szCs w:val="24"/>
        </w:rPr>
        <w:t xml:space="preserve"> </w:t>
      </w:r>
    </w:p>
    <w:p w14:paraId="0C2AF630" w14:textId="24936935" w:rsidR="00174532" w:rsidRDefault="00F6478B">
      <w:pPr>
        <w:pStyle w:val="ListParagraph"/>
        <w:numPr>
          <w:ilvl w:val="0"/>
          <w:numId w:val="3"/>
        </w:numPr>
        <w:jc w:val="both"/>
        <w:rPr>
          <w:rFonts w:ascii="Times New Roman" w:hAnsi="Times New Roman" w:cs="Times New Roman"/>
          <w:sz w:val="24"/>
          <w:szCs w:val="24"/>
        </w:rPr>
      </w:pPr>
      <w:r w:rsidRPr="00174532">
        <w:rPr>
          <w:rFonts w:ascii="Times New Roman" w:hAnsi="Times New Roman" w:cs="Times New Roman"/>
          <w:b/>
          <w:bCs/>
          <w:i/>
          <w:iCs/>
          <w:sz w:val="24"/>
          <w:szCs w:val="24"/>
        </w:rPr>
        <w:t xml:space="preserve">Awareness Test: </w:t>
      </w:r>
      <w:r w:rsidR="0067568E" w:rsidRPr="00174532">
        <w:rPr>
          <w:rFonts w:ascii="Times New Roman" w:hAnsi="Times New Roman" w:cs="Times New Roman"/>
          <w:sz w:val="24"/>
          <w:szCs w:val="24"/>
        </w:rPr>
        <w:t xml:space="preserve">The awareness test was designed to measure the knowledge and understanding of prospective teachers regarding various aspects of Massive Open Online Courses (MOOCs). The test consists of 20 multiple-choice questions (MCQs) distributed across five conceptual domains: </w:t>
      </w:r>
      <w:r w:rsidR="00174532" w:rsidRPr="00174532">
        <w:rPr>
          <w:rFonts w:ascii="Times New Roman" w:hAnsi="Times New Roman" w:cs="Times New Roman"/>
          <w:sz w:val="24"/>
          <w:szCs w:val="24"/>
        </w:rPr>
        <w:t xml:space="preserve">conceptual understanding, usability, technological requirement, present practices, and policy guidelines. </w:t>
      </w:r>
      <w:r w:rsidR="00060BAD" w:rsidRPr="00060BAD">
        <w:rPr>
          <w:rFonts w:ascii="Times New Roman" w:hAnsi="Times New Roman" w:cs="Times New Roman"/>
          <w:sz w:val="24"/>
          <w:szCs w:val="24"/>
        </w:rPr>
        <w:t>Each correct response was awarded one mark, with total scores ranging from 0 to 20. Awareness levels were categorized as low, moderate, or high based on standard deviation-based cutoffs.</w:t>
      </w:r>
    </w:p>
    <w:p w14:paraId="674AA584" w14:textId="662F553C" w:rsidR="004E28ED" w:rsidRPr="00060BAD" w:rsidRDefault="00060BAD" w:rsidP="00060BAD">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i/>
          <w:iCs/>
          <w:sz w:val="24"/>
          <w:szCs w:val="24"/>
        </w:rPr>
        <w:t xml:space="preserve">Validity and </w:t>
      </w:r>
      <w:r w:rsidR="00654C19">
        <w:rPr>
          <w:rFonts w:ascii="Times New Roman" w:hAnsi="Times New Roman" w:cs="Times New Roman"/>
          <w:b/>
          <w:bCs/>
          <w:i/>
          <w:iCs/>
          <w:sz w:val="24"/>
          <w:szCs w:val="24"/>
        </w:rPr>
        <w:t xml:space="preserve">Reliability: </w:t>
      </w:r>
      <w:r w:rsidRPr="00060BAD">
        <w:rPr>
          <w:rFonts w:ascii="Times New Roman" w:hAnsi="Times New Roman" w:cs="Times New Roman"/>
          <w:sz w:val="24"/>
          <w:szCs w:val="24"/>
        </w:rPr>
        <w:t>Content validity was ensured through expert review and careful item selection. The original 36-item tool was reduced to 20 focused questions across five domains, eliminating redundancies while retaining key concepts.</w:t>
      </w:r>
      <w:r>
        <w:rPr>
          <w:rFonts w:ascii="Times New Roman" w:hAnsi="Times New Roman" w:cs="Times New Roman"/>
          <w:sz w:val="24"/>
          <w:szCs w:val="24"/>
        </w:rPr>
        <w:t xml:space="preserve"> </w:t>
      </w:r>
      <w:r w:rsidR="0086095F" w:rsidRPr="0086095F">
        <w:rPr>
          <w:rFonts w:ascii="Times New Roman" w:hAnsi="Times New Roman" w:cs="Times New Roman"/>
          <w:sz w:val="24"/>
          <w:szCs w:val="24"/>
        </w:rPr>
        <w:t xml:space="preserve">The reliability of the Awareness Test was assessed through a pilot study involving a sample of 50 prospective teachers. </w:t>
      </w:r>
      <w:r w:rsidR="0086095F">
        <w:rPr>
          <w:rFonts w:ascii="Times New Roman" w:hAnsi="Times New Roman" w:cs="Times New Roman"/>
          <w:sz w:val="24"/>
          <w:szCs w:val="24"/>
        </w:rPr>
        <w:t xml:space="preserve">Cronbach's alpha coefficient was </w:t>
      </w:r>
      <w:r>
        <w:rPr>
          <w:rFonts w:ascii="Times New Roman" w:hAnsi="Times New Roman" w:cs="Times New Roman"/>
          <w:sz w:val="24"/>
          <w:szCs w:val="24"/>
        </w:rPr>
        <w:t>calculated to be</w:t>
      </w:r>
      <w:r w:rsidR="0086095F" w:rsidRPr="0086095F">
        <w:rPr>
          <w:rFonts w:ascii="Times New Roman" w:hAnsi="Times New Roman" w:cs="Times New Roman"/>
          <w:sz w:val="24"/>
          <w:szCs w:val="24"/>
        </w:rPr>
        <w:t xml:space="preserve"> 0.839</w:t>
      </w:r>
      <w:r>
        <w:rPr>
          <w:rFonts w:ascii="Times New Roman" w:hAnsi="Times New Roman" w:cs="Times New Roman"/>
          <w:sz w:val="24"/>
          <w:szCs w:val="24"/>
        </w:rPr>
        <w:t>,</w:t>
      </w:r>
      <w:r w:rsidR="0086095F" w:rsidRPr="0086095F">
        <w:rPr>
          <w:rFonts w:ascii="Times New Roman" w:hAnsi="Times New Roman" w:cs="Times New Roman"/>
          <w:sz w:val="24"/>
          <w:szCs w:val="24"/>
        </w:rPr>
        <w:t xml:space="preserve"> indicat</w:t>
      </w:r>
      <w:r>
        <w:rPr>
          <w:rFonts w:ascii="Times New Roman" w:hAnsi="Times New Roman" w:cs="Times New Roman"/>
          <w:sz w:val="24"/>
          <w:szCs w:val="24"/>
        </w:rPr>
        <w:t>ing</w:t>
      </w:r>
      <w:r w:rsidR="0086095F" w:rsidRPr="0086095F">
        <w:rPr>
          <w:rFonts w:ascii="Times New Roman" w:hAnsi="Times New Roman" w:cs="Times New Roman"/>
          <w:sz w:val="24"/>
          <w:szCs w:val="24"/>
        </w:rPr>
        <w:t xml:space="preserve"> a high level of reliability</w:t>
      </w:r>
      <w:r w:rsidR="004E28ED" w:rsidRPr="00060BAD">
        <w:rPr>
          <w:rFonts w:ascii="Times New Roman" w:hAnsi="Times New Roman" w:cs="Times New Roman"/>
          <w:sz w:val="24"/>
          <w:szCs w:val="24"/>
        </w:rPr>
        <w:t>.</w:t>
      </w:r>
    </w:p>
    <w:p w14:paraId="3ECB17C2" w14:textId="135C43BD" w:rsidR="00174532" w:rsidRDefault="00174532" w:rsidP="0095504A">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Data </w:t>
      </w:r>
      <w:r w:rsidR="00C24A2E">
        <w:rPr>
          <w:rFonts w:ascii="Times New Roman" w:hAnsi="Times New Roman" w:cs="Times New Roman"/>
          <w:b/>
          <w:bCs/>
          <w:sz w:val="24"/>
          <w:szCs w:val="24"/>
        </w:rPr>
        <w:t>C</w:t>
      </w:r>
      <w:r>
        <w:rPr>
          <w:rFonts w:ascii="Times New Roman" w:hAnsi="Times New Roman" w:cs="Times New Roman"/>
          <w:b/>
          <w:bCs/>
          <w:sz w:val="24"/>
          <w:szCs w:val="24"/>
        </w:rPr>
        <w:t xml:space="preserve">ollection: </w:t>
      </w:r>
      <w:r w:rsidR="00060BAD" w:rsidRPr="00060BAD">
        <w:rPr>
          <w:rFonts w:ascii="Times New Roman" w:hAnsi="Times New Roman" w:cs="Times New Roman"/>
          <w:sz w:val="24"/>
          <w:szCs w:val="24"/>
        </w:rPr>
        <w:t>Permission was obtained from the heads of the participating institutions. Data were collected during in-person visits using a Google Forms–based questionnaire administered on digital devices. Participation was voluntary, and confidentiality of responses was ensured</w:t>
      </w:r>
      <w:r w:rsidR="00C24A2E" w:rsidRPr="00060BAD">
        <w:rPr>
          <w:rFonts w:ascii="Times New Roman" w:hAnsi="Times New Roman" w:cs="Times New Roman"/>
          <w:sz w:val="24"/>
          <w:szCs w:val="24"/>
        </w:rPr>
        <w:t>.</w:t>
      </w:r>
    </w:p>
    <w:p w14:paraId="1D096635" w14:textId="05E8092A" w:rsidR="004E28ED" w:rsidRDefault="00C24A2E" w:rsidP="00D456F5">
      <w:pPr>
        <w:jc w:val="both"/>
        <w:rPr>
          <w:rFonts w:ascii="Times New Roman" w:hAnsi="Times New Roman" w:cs="Times New Roman"/>
          <w:sz w:val="24"/>
          <w:szCs w:val="24"/>
        </w:rPr>
      </w:pPr>
      <w:r>
        <w:rPr>
          <w:rFonts w:ascii="Times New Roman" w:hAnsi="Times New Roman" w:cs="Times New Roman"/>
          <w:b/>
          <w:bCs/>
          <w:sz w:val="24"/>
          <w:szCs w:val="24"/>
        </w:rPr>
        <w:t xml:space="preserve">Data Analysis: </w:t>
      </w:r>
      <w:r w:rsidR="004E28ED" w:rsidRPr="004E28ED">
        <w:rPr>
          <w:rFonts w:ascii="Times New Roman" w:hAnsi="Times New Roman" w:cs="Times New Roman"/>
          <w:sz w:val="24"/>
          <w:szCs w:val="24"/>
        </w:rPr>
        <w:t xml:space="preserve">Responses from the awareness test were </w:t>
      </w:r>
      <w:proofErr w:type="spellStart"/>
      <w:r w:rsidR="004E28ED" w:rsidRPr="004E28ED">
        <w:rPr>
          <w:rFonts w:ascii="Times New Roman" w:hAnsi="Times New Roman" w:cs="Times New Roman"/>
          <w:sz w:val="24"/>
          <w:szCs w:val="24"/>
        </w:rPr>
        <w:t>analyzed</w:t>
      </w:r>
      <w:proofErr w:type="spellEnd"/>
      <w:r w:rsidR="004E28ED" w:rsidRPr="004E28ED">
        <w:rPr>
          <w:rFonts w:ascii="Times New Roman" w:hAnsi="Times New Roman" w:cs="Times New Roman"/>
          <w:sz w:val="24"/>
          <w:szCs w:val="24"/>
        </w:rPr>
        <w:t xml:space="preserve"> using </w:t>
      </w:r>
      <w:r w:rsidR="00295208">
        <w:rPr>
          <w:rFonts w:ascii="Times New Roman" w:hAnsi="Times New Roman" w:cs="Times New Roman"/>
          <w:sz w:val="24"/>
          <w:szCs w:val="24"/>
        </w:rPr>
        <w:t xml:space="preserve">SPSS and MS Excel to find the </w:t>
      </w:r>
      <w:r w:rsidR="004E28ED" w:rsidRPr="004E28ED">
        <w:rPr>
          <w:rFonts w:ascii="Times New Roman" w:hAnsi="Times New Roman" w:cs="Times New Roman"/>
          <w:sz w:val="24"/>
          <w:szCs w:val="24"/>
        </w:rPr>
        <w:t xml:space="preserve">percentage analysis and </w:t>
      </w:r>
      <w:r w:rsidR="00295208">
        <w:rPr>
          <w:rFonts w:ascii="Times New Roman" w:hAnsi="Times New Roman" w:cs="Times New Roman"/>
          <w:sz w:val="24"/>
          <w:szCs w:val="24"/>
        </w:rPr>
        <w:t xml:space="preserve">a </w:t>
      </w:r>
      <w:r w:rsidR="004E28ED" w:rsidRPr="004E28ED">
        <w:rPr>
          <w:rFonts w:ascii="Times New Roman" w:hAnsi="Times New Roman" w:cs="Times New Roman"/>
          <w:sz w:val="24"/>
          <w:szCs w:val="24"/>
        </w:rPr>
        <w:t>t-test</w:t>
      </w:r>
      <w:r w:rsidR="00140859">
        <w:rPr>
          <w:rFonts w:ascii="Times New Roman" w:hAnsi="Times New Roman" w:cs="Times New Roman"/>
          <w:sz w:val="24"/>
          <w:szCs w:val="24"/>
        </w:rPr>
        <w:t xml:space="preserve">. </w:t>
      </w:r>
      <w:r w:rsidR="00295208" w:rsidRPr="00295208">
        <w:rPr>
          <w:rFonts w:ascii="Times New Roman" w:hAnsi="Times New Roman" w:cs="Times New Roman"/>
          <w:sz w:val="24"/>
          <w:szCs w:val="24"/>
        </w:rPr>
        <w:t>The significance level was set at p &lt; .05</w:t>
      </w:r>
      <w:r w:rsidR="00295208">
        <w:rPr>
          <w:rFonts w:ascii="Times New Roman" w:hAnsi="Times New Roman" w:cs="Times New Roman"/>
          <w:sz w:val="24"/>
          <w:szCs w:val="24"/>
        </w:rPr>
        <w:t>, and the e</w:t>
      </w:r>
      <w:r w:rsidR="00295208" w:rsidRPr="00295208">
        <w:rPr>
          <w:rFonts w:ascii="Times New Roman" w:hAnsi="Times New Roman" w:cs="Times New Roman"/>
          <w:sz w:val="24"/>
          <w:szCs w:val="24"/>
        </w:rPr>
        <w:t>ffect sizes were computed using Cohen’s d to assess the practical significance of observed differences.</w:t>
      </w:r>
    </w:p>
    <w:p w14:paraId="2A781501" w14:textId="77777777" w:rsidR="00D456F5" w:rsidRPr="00D456F5" w:rsidRDefault="00D456F5" w:rsidP="00D456F5">
      <w:pPr>
        <w:jc w:val="both"/>
        <w:rPr>
          <w:rFonts w:ascii="Times New Roman" w:hAnsi="Times New Roman" w:cs="Times New Roman"/>
          <w:sz w:val="24"/>
          <w:szCs w:val="24"/>
        </w:rPr>
      </w:pPr>
    </w:p>
    <w:p w14:paraId="316D7689" w14:textId="395420E9" w:rsidR="00F03272" w:rsidRPr="00F509FC" w:rsidRDefault="00F509FC" w:rsidP="0095504A">
      <w:pPr>
        <w:jc w:val="both"/>
        <w:rPr>
          <w:rFonts w:ascii="Times New Roman" w:hAnsi="Times New Roman" w:cs="Times New Roman"/>
          <w:b/>
          <w:bCs/>
          <w:sz w:val="28"/>
          <w:szCs w:val="28"/>
        </w:rPr>
      </w:pPr>
      <w:bookmarkStart w:id="3" w:name="_Hlk195539734"/>
      <w:r w:rsidRPr="00F509FC">
        <w:rPr>
          <w:rFonts w:ascii="Times New Roman" w:hAnsi="Times New Roman" w:cs="Times New Roman"/>
          <w:b/>
          <w:bCs/>
          <w:sz w:val="28"/>
          <w:szCs w:val="28"/>
        </w:rPr>
        <w:t>ANALYSIS AND RESULTS</w:t>
      </w:r>
    </w:p>
    <w:p w14:paraId="727ED1E5" w14:textId="33ED01B9" w:rsidR="00295208" w:rsidRPr="00295208" w:rsidRDefault="00295208" w:rsidP="00F03272">
      <w:pPr>
        <w:spacing w:line="240" w:lineRule="auto"/>
        <w:jc w:val="both"/>
        <w:rPr>
          <w:rFonts w:ascii="Times New Roman" w:hAnsi="Times New Roman" w:cs="Times New Roman"/>
          <w:sz w:val="24"/>
          <w:szCs w:val="24"/>
        </w:rPr>
      </w:pPr>
      <w:r>
        <w:rPr>
          <w:rFonts w:ascii="Times New Roman" w:hAnsi="Times New Roman" w:cs="Times New Roman"/>
          <w:sz w:val="24"/>
          <w:szCs w:val="24"/>
        </w:rPr>
        <w:t>This section provides the findings arranged according to the three research objectives.</w:t>
      </w:r>
    </w:p>
    <w:p w14:paraId="6FC1D68E" w14:textId="77777777" w:rsidR="00140859" w:rsidRDefault="00140859" w:rsidP="00F03272">
      <w:pPr>
        <w:spacing w:line="240" w:lineRule="auto"/>
        <w:jc w:val="both"/>
        <w:rPr>
          <w:rFonts w:ascii="Times New Roman" w:hAnsi="Times New Roman" w:cs="Times New Roman"/>
          <w:b/>
          <w:bCs/>
          <w:sz w:val="24"/>
          <w:szCs w:val="24"/>
        </w:rPr>
      </w:pPr>
    </w:p>
    <w:p w14:paraId="2AF6BC34" w14:textId="5E68A654" w:rsidR="00F03272" w:rsidRPr="00F03272" w:rsidRDefault="00F03272" w:rsidP="00F0327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Research Objective 1 - </w:t>
      </w:r>
      <w:r w:rsidRPr="009E26A7">
        <w:rPr>
          <w:rFonts w:ascii="Times New Roman" w:hAnsi="Times New Roman" w:cs="Times New Roman"/>
          <w:sz w:val="24"/>
          <w:szCs w:val="24"/>
        </w:rPr>
        <w:t>To determine the level of awareness among the prospective teachers towards MOOCs.</w:t>
      </w:r>
    </w:p>
    <w:p w14:paraId="31DAF285" w14:textId="044009E6" w:rsidR="004E28ED" w:rsidRPr="00362FAF" w:rsidRDefault="00295208" w:rsidP="008F0A95">
      <w:pPr>
        <w:tabs>
          <w:tab w:val="num"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Descriptive statistics were used t</w:t>
      </w:r>
      <w:r w:rsidR="007B69CD" w:rsidRPr="007B69CD">
        <w:rPr>
          <w:rFonts w:ascii="Times New Roman" w:hAnsi="Times New Roman" w:cs="Times New Roman"/>
          <w:sz w:val="24"/>
          <w:szCs w:val="24"/>
        </w:rPr>
        <w:t xml:space="preserve">o assess the overall awareness of prospective secondary-grade teachers towards MOOCs. The results revealed a </w:t>
      </w:r>
      <w:r w:rsidR="007B69CD" w:rsidRPr="00295208">
        <w:rPr>
          <w:rFonts w:ascii="Times New Roman" w:hAnsi="Times New Roman" w:cs="Times New Roman"/>
          <w:sz w:val="24"/>
          <w:szCs w:val="24"/>
        </w:rPr>
        <w:t>mean score of 14.22 with a standard deviation of 4.4. Based on this distribution, awareness levels were categorized as low awareness (scores below 9.82), moderate awareness (scores between 9.82 and 18.62), and high awareness</w:t>
      </w:r>
      <w:r w:rsidR="007B69CD">
        <w:rPr>
          <w:rFonts w:ascii="Times New Roman" w:hAnsi="Times New Roman" w:cs="Times New Roman"/>
          <w:sz w:val="24"/>
          <w:szCs w:val="24"/>
        </w:rPr>
        <w:t xml:space="preserve"> (s</w:t>
      </w:r>
      <w:r w:rsidR="007B69CD" w:rsidRPr="007B69CD">
        <w:rPr>
          <w:rFonts w:ascii="Times New Roman" w:hAnsi="Times New Roman" w:cs="Times New Roman"/>
          <w:sz w:val="24"/>
          <w:szCs w:val="24"/>
        </w:rPr>
        <w:t>cores above 18.62</w:t>
      </w:r>
      <w:r w:rsidR="007B69CD">
        <w:rPr>
          <w:rFonts w:ascii="Times New Roman" w:hAnsi="Times New Roman" w:cs="Times New Roman"/>
          <w:sz w:val="24"/>
          <w:szCs w:val="24"/>
        </w:rPr>
        <w:t>).</w:t>
      </w:r>
      <w:r w:rsidR="00362FAF">
        <w:rPr>
          <w:rFonts w:ascii="Times New Roman" w:hAnsi="Times New Roman" w:cs="Times New Roman"/>
          <w:sz w:val="24"/>
          <w:szCs w:val="24"/>
        </w:rPr>
        <w:t xml:space="preserve"> Table 1 represents the distribution of participants according to the awareness levels. </w:t>
      </w:r>
    </w:p>
    <w:p w14:paraId="0E38CC16" w14:textId="77777777" w:rsidR="00140859" w:rsidRDefault="00140859" w:rsidP="00362FAF">
      <w:pPr>
        <w:pStyle w:val="Caption"/>
        <w:keepNext/>
        <w:jc w:val="both"/>
        <w:rPr>
          <w:rFonts w:ascii="Times New Roman" w:hAnsi="Times New Roman" w:cs="Times New Roman"/>
          <w:b/>
          <w:bCs/>
          <w:i w:val="0"/>
          <w:iCs w:val="0"/>
          <w:color w:val="auto"/>
          <w:sz w:val="24"/>
          <w:szCs w:val="24"/>
        </w:rPr>
      </w:pPr>
      <w:bookmarkStart w:id="4" w:name="_Toc194257117"/>
    </w:p>
    <w:p w14:paraId="7C2555C4" w14:textId="7E36F00E" w:rsidR="00F509FC" w:rsidRPr="00362FAF" w:rsidRDefault="00F03272" w:rsidP="00362FAF">
      <w:pPr>
        <w:pStyle w:val="Caption"/>
        <w:keepNext/>
        <w:jc w:val="both"/>
        <w:rPr>
          <w:rFonts w:ascii="Times New Roman" w:hAnsi="Times New Roman" w:cs="Times New Roman"/>
          <w:i w:val="0"/>
          <w:iCs w:val="0"/>
          <w:sz w:val="24"/>
          <w:szCs w:val="24"/>
        </w:rPr>
      </w:pPr>
      <w:r w:rsidRPr="00362FAF">
        <w:rPr>
          <w:rFonts w:ascii="Times New Roman" w:hAnsi="Times New Roman" w:cs="Times New Roman"/>
          <w:b/>
          <w:bCs/>
          <w:i w:val="0"/>
          <w:iCs w:val="0"/>
          <w:color w:val="auto"/>
          <w:sz w:val="24"/>
          <w:szCs w:val="24"/>
        </w:rPr>
        <w:t>Table 1</w:t>
      </w:r>
      <w:r w:rsidR="00C16ACD">
        <w:rPr>
          <w:rFonts w:ascii="Times New Roman" w:hAnsi="Times New Roman" w:cs="Times New Roman"/>
          <w:b/>
          <w:bCs/>
          <w:i w:val="0"/>
          <w:iCs w:val="0"/>
          <w:color w:val="auto"/>
          <w:sz w:val="24"/>
          <w:szCs w:val="24"/>
        </w:rPr>
        <w:t xml:space="preserve">- </w:t>
      </w:r>
      <w:r w:rsidRPr="00362FAF">
        <w:rPr>
          <w:rFonts w:ascii="Times New Roman" w:hAnsi="Times New Roman" w:cs="Times New Roman"/>
          <w:b/>
          <w:bCs/>
          <w:i w:val="0"/>
          <w:iCs w:val="0"/>
          <w:color w:val="auto"/>
          <w:sz w:val="24"/>
          <w:szCs w:val="24"/>
        </w:rPr>
        <w:t>Distribution of Awareness Levels Among Prospective Teachers</w:t>
      </w:r>
      <w:bookmarkEnd w:id="4"/>
    </w:p>
    <w:p w14:paraId="091C1267" w14:textId="27C86B3D" w:rsidR="00F509FC" w:rsidRDefault="00362FAF" w:rsidP="00F509FC">
      <w:pPr>
        <w:spacing w:line="240" w:lineRule="auto"/>
        <w:jc w:val="both"/>
        <w:rPr>
          <w:rFonts w:ascii="Times New Roman" w:hAnsi="Times New Roman" w:cs="Times New Roman"/>
          <w:i/>
          <w:iCs/>
          <w:sz w:val="24"/>
          <w:szCs w:val="24"/>
        </w:rPr>
      </w:pPr>
      <w:r w:rsidRPr="00362FAF">
        <w:rPr>
          <w:rFonts w:ascii="Times New Roman" w:hAnsi="Times New Roman" w:cs="Times New Roman"/>
          <w:i/>
          <w:iCs/>
          <w:sz w:val="24"/>
          <w:szCs w:val="24"/>
        </w:rPr>
        <w:t>(N = 259)</w:t>
      </w:r>
    </w:p>
    <w:tbl>
      <w:tblPr>
        <w:tblStyle w:val="PlainTable2"/>
        <w:tblpPr w:leftFromText="180" w:rightFromText="180" w:vertAnchor="page" w:horzAnchor="margin" w:tblpY="7405"/>
        <w:tblW w:w="8979" w:type="dxa"/>
        <w:tblLook w:val="04A0" w:firstRow="1" w:lastRow="0" w:firstColumn="1" w:lastColumn="0" w:noHBand="0" w:noVBand="1"/>
      </w:tblPr>
      <w:tblGrid>
        <w:gridCol w:w="1760"/>
        <w:gridCol w:w="1157"/>
        <w:gridCol w:w="2027"/>
        <w:gridCol w:w="1795"/>
        <w:gridCol w:w="2240"/>
      </w:tblGrid>
      <w:tr w:rsidR="00140859" w:rsidRPr="00362FAF" w14:paraId="478FE671" w14:textId="77777777" w:rsidTr="00140859">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000000" w:themeColor="text1"/>
              <w:bottom w:val="single" w:sz="4" w:space="0" w:color="000000" w:themeColor="text1"/>
            </w:tcBorders>
            <w:vAlign w:val="center"/>
          </w:tcPr>
          <w:p w14:paraId="688F94E1" w14:textId="77777777" w:rsidR="00140859" w:rsidRPr="00362FAF" w:rsidRDefault="00140859" w:rsidP="00140859">
            <w:pPr>
              <w:pStyle w:val="whitespace-pre-wrap"/>
              <w:jc w:val="center"/>
              <w:rPr>
                <w:b w:val="0"/>
                <w:bCs w:val="0"/>
                <w:sz w:val="22"/>
                <w:szCs w:val="22"/>
              </w:rPr>
            </w:pPr>
            <w:r w:rsidRPr="00362FAF">
              <w:rPr>
                <w:sz w:val="22"/>
                <w:szCs w:val="22"/>
              </w:rPr>
              <w:t>Awareness Category</w:t>
            </w:r>
          </w:p>
        </w:tc>
        <w:tc>
          <w:tcPr>
            <w:tcW w:w="1157" w:type="dxa"/>
            <w:tcBorders>
              <w:top w:val="single" w:sz="4" w:space="0" w:color="000000" w:themeColor="text1"/>
              <w:bottom w:val="single" w:sz="4" w:space="0" w:color="000000" w:themeColor="text1"/>
            </w:tcBorders>
            <w:vAlign w:val="center"/>
          </w:tcPr>
          <w:p w14:paraId="674F5E58" w14:textId="77777777" w:rsidR="00140859" w:rsidRPr="00362FAF" w:rsidRDefault="00140859" w:rsidP="00140859">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Score Range</w:t>
            </w:r>
          </w:p>
        </w:tc>
        <w:tc>
          <w:tcPr>
            <w:tcW w:w="2027" w:type="dxa"/>
            <w:tcBorders>
              <w:top w:val="single" w:sz="4" w:space="0" w:color="000000" w:themeColor="text1"/>
              <w:bottom w:val="single" w:sz="4" w:space="0" w:color="000000" w:themeColor="text1"/>
            </w:tcBorders>
            <w:vAlign w:val="center"/>
          </w:tcPr>
          <w:p w14:paraId="6AE3314E" w14:textId="77777777" w:rsidR="00140859" w:rsidRPr="00362FAF" w:rsidRDefault="00140859" w:rsidP="00140859">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Number of Respondents</w:t>
            </w:r>
          </w:p>
        </w:tc>
        <w:tc>
          <w:tcPr>
            <w:tcW w:w="1795" w:type="dxa"/>
            <w:tcBorders>
              <w:top w:val="single" w:sz="4" w:space="0" w:color="000000" w:themeColor="text1"/>
              <w:bottom w:val="single" w:sz="4" w:space="0" w:color="000000"/>
            </w:tcBorders>
            <w:vAlign w:val="center"/>
          </w:tcPr>
          <w:p w14:paraId="28E76749" w14:textId="77777777" w:rsidR="00140859" w:rsidRPr="00362FAF" w:rsidRDefault="00140859" w:rsidP="00140859">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Percentage</w:t>
            </w:r>
          </w:p>
        </w:tc>
        <w:tc>
          <w:tcPr>
            <w:tcW w:w="2240" w:type="dxa"/>
            <w:tcBorders>
              <w:top w:val="single" w:sz="4" w:space="0" w:color="000000" w:themeColor="text1"/>
              <w:bottom w:val="single" w:sz="4" w:space="0" w:color="000000" w:themeColor="text1"/>
            </w:tcBorders>
            <w:vAlign w:val="center"/>
          </w:tcPr>
          <w:p w14:paraId="50722F5D" w14:textId="77777777" w:rsidR="00140859" w:rsidRPr="00362FAF" w:rsidRDefault="00140859" w:rsidP="00140859">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Interpretation</w:t>
            </w:r>
          </w:p>
        </w:tc>
      </w:tr>
      <w:tr w:rsidR="00140859" w:rsidRPr="00362FAF" w14:paraId="26DFE81B" w14:textId="77777777" w:rsidTr="00140859">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000000" w:themeColor="text1"/>
              <w:bottom w:val="single" w:sz="4" w:space="0" w:color="FFFFFF" w:themeColor="background1"/>
            </w:tcBorders>
            <w:vAlign w:val="center"/>
          </w:tcPr>
          <w:p w14:paraId="768846DA" w14:textId="77777777" w:rsidR="00140859" w:rsidRPr="00362FAF" w:rsidRDefault="00140859" w:rsidP="00140859">
            <w:pPr>
              <w:pStyle w:val="whitespace-pre-wrap"/>
              <w:jc w:val="center"/>
              <w:rPr>
                <w:sz w:val="22"/>
                <w:szCs w:val="22"/>
              </w:rPr>
            </w:pPr>
            <w:r w:rsidRPr="00362FAF">
              <w:rPr>
                <w:sz w:val="22"/>
                <w:szCs w:val="22"/>
              </w:rPr>
              <w:t>High Awareness</w:t>
            </w:r>
          </w:p>
        </w:tc>
        <w:tc>
          <w:tcPr>
            <w:tcW w:w="1157" w:type="dxa"/>
            <w:tcBorders>
              <w:top w:val="single" w:sz="4" w:space="0" w:color="000000" w:themeColor="text1"/>
              <w:bottom w:val="single" w:sz="4" w:space="0" w:color="FFFFFF" w:themeColor="background1"/>
            </w:tcBorders>
            <w:vAlign w:val="center"/>
          </w:tcPr>
          <w:p w14:paraId="6513162C"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&gt; 18.62</w:t>
            </w:r>
          </w:p>
        </w:tc>
        <w:tc>
          <w:tcPr>
            <w:tcW w:w="2027" w:type="dxa"/>
            <w:tcBorders>
              <w:top w:val="single" w:sz="4" w:space="0" w:color="000000" w:themeColor="text1"/>
              <w:bottom w:val="single" w:sz="4" w:space="0" w:color="FFFFFF" w:themeColor="background1"/>
            </w:tcBorders>
            <w:vAlign w:val="center"/>
          </w:tcPr>
          <w:p w14:paraId="2846954A"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47</w:t>
            </w:r>
          </w:p>
        </w:tc>
        <w:tc>
          <w:tcPr>
            <w:tcW w:w="1795" w:type="dxa"/>
            <w:tcBorders>
              <w:top w:val="single" w:sz="4" w:space="0" w:color="000000"/>
              <w:bottom w:val="nil"/>
            </w:tcBorders>
            <w:vAlign w:val="center"/>
          </w:tcPr>
          <w:p w14:paraId="36DA02AA"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18.15%</w:t>
            </w:r>
          </w:p>
        </w:tc>
        <w:tc>
          <w:tcPr>
            <w:tcW w:w="2240" w:type="dxa"/>
            <w:tcBorders>
              <w:top w:val="single" w:sz="4" w:space="0" w:color="000000" w:themeColor="text1"/>
              <w:bottom w:val="single" w:sz="4" w:space="0" w:color="FFFFFF" w:themeColor="background1"/>
            </w:tcBorders>
            <w:vAlign w:val="center"/>
          </w:tcPr>
          <w:p w14:paraId="64A4F1DF"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&gt;</w:t>
            </w:r>
            <w:r w:rsidRPr="00362FAF">
              <w:rPr>
                <w:sz w:val="22"/>
                <w:szCs w:val="22"/>
              </w:rPr>
              <w:t xml:space="preserve"> 1 </w:t>
            </w:r>
            <w:r>
              <w:rPr>
                <w:sz w:val="22"/>
                <w:szCs w:val="22"/>
              </w:rPr>
              <w:t>SD above</w:t>
            </w:r>
            <w:r w:rsidRPr="00362FAF">
              <w:rPr>
                <w:sz w:val="22"/>
                <w:szCs w:val="22"/>
              </w:rPr>
              <w:t xml:space="preserve"> </w:t>
            </w:r>
            <w:r>
              <w:rPr>
                <w:sz w:val="22"/>
                <w:szCs w:val="22"/>
              </w:rPr>
              <w:t xml:space="preserve">the </w:t>
            </w:r>
            <w:r w:rsidRPr="00362FAF">
              <w:rPr>
                <w:sz w:val="22"/>
                <w:szCs w:val="22"/>
              </w:rPr>
              <w:t>mean</w:t>
            </w:r>
          </w:p>
        </w:tc>
      </w:tr>
      <w:tr w:rsidR="00140859" w:rsidRPr="00362FAF" w14:paraId="6222F48E" w14:textId="77777777" w:rsidTr="00140859">
        <w:trPr>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FFFFFF" w:themeColor="background1"/>
              <w:bottom w:val="single" w:sz="4" w:space="0" w:color="FFFFFF" w:themeColor="background1"/>
            </w:tcBorders>
            <w:vAlign w:val="center"/>
          </w:tcPr>
          <w:p w14:paraId="76D82374" w14:textId="77777777" w:rsidR="00140859" w:rsidRPr="00362FAF" w:rsidRDefault="00140859" w:rsidP="00140859">
            <w:pPr>
              <w:pStyle w:val="whitespace-pre-wrap"/>
              <w:jc w:val="center"/>
              <w:rPr>
                <w:sz w:val="22"/>
                <w:szCs w:val="22"/>
              </w:rPr>
            </w:pPr>
            <w:r w:rsidRPr="00362FAF">
              <w:rPr>
                <w:sz w:val="22"/>
                <w:szCs w:val="22"/>
              </w:rPr>
              <w:t>Moderate Awareness</w:t>
            </w:r>
          </w:p>
        </w:tc>
        <w:tc>
          <w:tcPr>
            <w:tcW w:w="1157" w:type="dxa"/>
            <w:tcBorders>
              <w:top w:val="single" w:sz="4" w:space="0" w:color="FFFFFF" w:themeColor="background1"/>
              <w:bottom w:val="single" w:sz="4" w:space="0" w:color="FFFFFF" w:themeColor="background1"/>
            </w:tcBorders>
            <w:vAlign w:val="center"/>
          </w:tcPr>
          <w:p w14:paraId="5CD51C90" w14:textId="77777777" w:rsidR="00140859" w:rsidRPr="00362FAF" w:rsidRDefault="00140859" w:rsidP="00140859">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9.82 and 18.62</w:t>
            </w:r>
          </w:p>
        </w:tc>
        <w:tc>
          <w:tcPr>
            <w:tcW w:w="2027" w:type="dxa"/>
            <w:tcBorders>
              <w:top w:val="single" w:sz="4" w:space="0" w:color="FFFFFF" w:themeColor="background1"/>
              <w:bottom w:val="nil"/>
            </w:tcBorders>
            <w:vAlign w:val="center"/>
          </w:tcPr>
          <w:p w14:paraId="76B5B13A" w14:textId="77777777" w:rsidR="00140859" w:rsidRPr="00362FAF" w:rsidRDefault="00140859" w:rsidP="00140859">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165</w:t>
            </w:r>
          </w:p>
        </w:tc>
        <w:tc>
          <w:tcPr>
            <w:tcW w:w="1795" w:type="dxa"/>
            <w:tcBorders>
              <w:top w:val="nil"/>
              <w:bottom w:val="single" w:sz="4" w:space="0" w:color="FFFFFF" w:themeColor="background1"/>
            </w:tcBorders>
            <w:vAlign w:val="center"/>
          </w:tcPr>
          <w:p w14:paraId="335CF402" w14:textId="77777777" w:rsidR="00140859" w:rsidRPr="00362FAF" w:rsidRDefault="00140859" w:rsidP="00140859">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63.71%</w:t>
            </w:r>
          </w:p>
        </w:tc>
        <w:tc>
          <w:tcPr>
            <w:tcW w:w="2240" w:type="dxa"/>
            <w:tcBorders>
              <w:top w:val="single" w:sz="4" w:space="0" w:color="FFFFFF" w:themeColor="background1"/>
              <w:bottom w:val="single" w:sz="4" w:space="0" w:color="FFFFFF" w:themeColor="background1"/>
            </w:tcBorders>
            <w:vAlign w:val="center"/>
          </w:tcPr>
          <w:p w14:paraId="1009C6F9" w14:textId="77777777" w:rsidR="00140859" w:rsidRPr="00362FAF" w:rsidRDefault="00140859" w:rsidP="00140859">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 xml:space="preserve">Within </w:t>
            </w:r>
            <w:r w:rsidRPr="008376BA">
              <w:rPr>
                <w:sz w:val="22"/>
                <w:szCs w:val="22"/>
              </w:rPr>
              <w:t>±</w:t>
            </w:r>
            <w:r w:rsidRPr="00362FAF">
              <w:rPr>
                <w:sz w:val="22"/>
                <w:szCs w:val="22"/>
              </w:rPr>
              <w:t xml:space="preserve">1 </w:t>
            </w:r>
            <w:r>
              <w:rPr>
                <w:sz w:val="22"/>
                <w:szCs w:val="22"/>
              </w:rPr>
              <w:t>SD</w:t>
            </w:r>
            <w:r w:rsidRPr="00362FAF">
              <w:rPr>
                <w:sz w:val="22"/>
                <w:szCs w:val="22"/>
              </w:rPr>
              <w:t xml:space="preserve"> of the mean</w:t>
            </w:r>
          </w:p>
        </w:tc>
      </w:tr>
      <w:tr w:rsidR="00140859" w:rsidRPr="00362FAF" w14:paraId="0D1687E3" w14:textId="77777777" w:rsidTr="00140859">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FFFFFF" w:themeColor="background1"/>
              <w:bottom w:val="single" w:sz="4" w:space="0" w:color="000000" w:themeColor="text1"/>
            </w:tcBorders>
            <w:vAlign w:val="center"/>
          </w:tcPr>
          <w:p w14:paraId="720CCAF8" w14:textId="77777777" w:rsidR="00140859" w:rsidRPr="00362FAF" w:rsidRDefault="00140859" w:rsidP="00140859">
            <w:pPr>
              <w:pStyle w:val="whitespace-pre-wrap"/>
              <w:jc w:val="center"/>
              <w:rPr>
                <w:sz w:val="22"/>
                <w:szCs w:val="22"/>
              </w:rPr>
            </w:pPr>
            <w:r w:rsidRPr="00362FAF">
              <w:rPr>
                <w:sz w:val="22"/>
                <w:szCs w:val="22"/>
              </w:rPr>
              <w:t>Low Awareness</w:t>
            </w:r>
          </w:p>
        </w:tc>
        <w:tc>
          <w:tcPr>
            <w:tcW w:w="1157" w:type="dxa"/>
            <w:tcBorders>
              <w:top w:val="single" w:sz="4" w:space="0" w:color="FFFFFF" w:themeColor="background1"/>
              <w:bottom w:val="single" w:sz="4" w:space="0" w:color="000000" w:themeColor="text1"/>
            </w:tcBorders>
            <w:vAlign w:val="center"/>
          </w:tcPr>
          <w:p w14:paraId="6FD36EB2"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&lt; 9.82</w:t>
            </w:r>
          </w:p>
        </w:tc>
        <w:tc>
          <w:tcPr>
            <w:tcW w:w="2027" w:type="dxa"/>
            <w:tcBorders>
              <w:top w:val="nil"/>
              <w:bottom w:val="single" w:sz="4" w:space="0" w:color="000000" w:themeColor="text1"/>
            </w:tcBorders>
            <w:vAlign w:val="center"/>
          </w:tcPr>
          <w:p w14:paraId="1D4AA45E"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47</w:t>
            </w:r>
          </w:p>
        </w:tc>
        <w:tc>
          <w:tcPr>
            <w:tcW w:w="1795" w:type="dxa"/>
            <w:tcBorders>
              <w:top w:val="single" w:sz="4" w:space="0" w:color="FFFFFF" w:themeColor="background1"/>
              <w:bottom w:val="single" w:sz="4" w:space="0" w:color="000000" w:themeColor="text1"/>
            </w:tcBorders>
            <w:vAlign w:val="center"/>
          </w:tcPr>
          <w:p w14:paraId="53906DCF"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18.15%</w:t>
            </w:r>
          </w:p>
        </w:tc>
        <w:tc>
          <w:tcPr>
            <w:tcW w:w="2240" w:type="dxa"/>
            <w:tcBorders>
              <w:top w:val="single" w:sz="4" w:space="0" w:color="FFFFFF" w:themeColor="background1"/>
              <w:bottom w:val="single" w:sz="4" w:space="0" w:color="000000"/>
            </w:tcBorders>
            <w:vAlign w:val="center"/>
          </w:tcPr>
          <w:p w14:paraId="66D178DC" w14:textId="77777777" w:rsidR="00140859" w:rsidRPr="00362FAF" w:rsidRDefault="00140859" w:rsidP="00140859">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&gt;</w:t>
            </w:r>
            <w:r w:rsidRPr="00362FAF">
              <w:rPr>
                <w:sz w:val="22"/>
                <w:szCs w:val="22"/>
              </w:rPr>
              <w:t xml:space="preserve"> 1 </w:t>
            </w:r>
            <w:r>
              <w:rPr>
                <w:sz w:val="22"/>
                <w:szCs w:val="22"/>
              </w:rPr>
              <w:t>SD</w:t>
            </w:r>
            <w:r w:rsidRPr="00362FAF">
              <w:rPr>
                <w:sz w:val="22"/>
                <w:szCs w:val="22"/>
              </w:rPr>
              <w:t xml:space="preserve"> below the mean</w:t>
            </w:r>
          </w:p>
        </w:tc>
      </w:tr>
    </w:tbl>
    <w:p w14:paraId="3947F227" w14:textId="77777777" w:rsidR="008F0A95" w:rsidRPr="008F0A95" w:rsidRDefault="008F0A95" w:rsidP="00F509FC">
      <w:pPr>
        <w:spacing w:line="240" w:lineRule="auto"/>
        <w:jc w:val="both"/>
        <w:rPr>
          <w:rFonts w:ascii="Times New Roman" w:hAnsi="Times New Roman" w:cs="Times New Roman"/>
          <w:i/>
          <w:iCs/>
          <w:sz w:val="24"/>
          <w:szCs w:val="24"/>
        </w:rPr>
      </w:pPr>
    </w:p>
    <w:p w14:paraId="28F27F0A" w14:textId="53266D68" w:rsidR="007B69CD" w:rsidRPr="007B69CD" w:rsidRDefault="008F0A95" w:rsidP="007B69CD">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7B69CD" w:rsidRPr="007B69CD">
        <w:rPr>
          <w:rFonts w:ascii="Times New Roman" w:hAnsi="Times New Roman" w:cs="Times New Roman"/>
          <w:sz w:val="24"/>
          <w:szCs w:val="24"/>
        </w:rPr>
        <w:t>he majority of participants (63.71%) fell into the moderate awareness category. Interestingly, an equal proportion of respondents (18.15%) exhibited high and low awareness. This symmetrical distribution indicates that while a substantial number of prospective teachers possess a fair understanding of MOOCs, a significant segment remains at both extremes—either highly informed or minimally aware.</w:t>
      </w:r>
    </w:p>
    <w:p w14:paraId="7E86C8BE" w14:textId="77777777" w:rsidR="004E2777" w:rsidRDefault="004E2777" w:rsidP="00F509FC">
      <w:pPr>
        <w:spacing w:line="240" w:lineRule="auto"/>
        <w:jc w:val="both"/>
        <w:rPr>
          <w:rFonts w:ascii="Times New Roman" w:hAnsi="Times New Roman" w:cs="Times New Roman"/>
          <w:b/>
          <w:bCs/>
          <w:sz w:val="6"/>
          <w:szCs w:val="6"/>
        </w:rPr>
      </w:pPr>
    </w:p>
    <w:p w14:paraId="1D3059F1" w14:textId="77777777" w:rsidR="00140859" w:rsidRDefault="00140859" w:rsidP="00F509FC">
      <w:pPr>
        <w:spacing w:line="240" w:lineRule="auto"/>
        <w:jc w:val="both"/>
        <w:rPr>
          <w:rFonts w:ascii="Times New Roman" w:hAnsi="Times New Roman" w:cs="Times New Roman"/>
          <w:b/>
          <w:bCs/>
          <w:sz w:val="24"/>
          <w:szCs w:val="24"/>
        </w:rPr>
      </w:pPr>
    </w:p>
    <w:p w14:paraId="4F8227E8" w14:textId="33FA1CD1" w:rsidR="00F509FC" w:rsidRDefault="00F509FC" w:rsidP="00F509FC">
      <w:pPr>
        <w:spacing w:line="240" w:lineRule="auto"/>
        <w:jc w:val="both"/>
        <w:rPr>
          <w:rFonts w:ascii="Times New Roman" w:hAnsi="Times New Roman" w:cs="Times New Roman"/>
          <w:sz w:val="24"/>
          <w:szCs w:val="24"/>
        </w:rPr>
      </w:pPr>
      <w:r w:rsidRPr="00F509FC">
        <w:rPr>
          <w:rFonts w:ascii="Times New Roman" w:hAnsi="Times New Roman" w:cs="Times New Roman"/>
          <w:b/>
          <w:bCs/>
          <w:sz w:val="24"/>
          <w:szCs w:val="24"/>
        </w:rPr>
        <w:t xml:space="preserve">Research Objective </w:t>
      </w:r>
      <w:r w:rsidR="004E28ED">
        <w:rPr>
          <w:rFonts w:ascii="Times New Roman" w:hAnsi="Times New Roman" w:cs="Times New Roman"/>
          <w:b/>
          <w:bCs/>
          <w:sz w:val="24"/>
          <w:szCs w:val="24"/>
        </w:rPr>
        <w:t>2</w:t>
      </w:r>
      <w:r w:rsidRPr="00F509FC">
        <w:rPr>
          <w:rFonts w:ascii="Times New Roman" w:hAnsi="Times New Roman" w:cs="Times New Roman"/>
          <w:b/>
          <w:bCs/>
          <w:sz w:val="24"/>
          <w:szCs w:val="24"/>
        </w:rPr>
        <w:t xml:space="preserve"> - </w:t>
      </w:r>
      <w:r w:rsidRPr="00F509FC">
        <w:rPr>
          <w:rFonts w:ascii="Times New Roman" w:hAnsi="Times New Roman" w:cs="Times New Roman"/>
          <w:sz w:val="24"/>
          <w:szCs w:val="24"/>
        </w:rPr>
        <w:t xml:space="preserve">To compare the awareness of MOOCs of male and female prospective teachers of Mysore city. </w:t>
      </w:r>
    </w:p>
    <w:p w14:paraId="0FDA9B3B" w14:textId="77777777" w:rsidR="008F0A95" w:rsidRPr="008F0A95" w:rsidRDefault="008F0A95" w:rsidP="008F0A95">
      <w:p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An independent samples t-test was conducted to compare awareness scores between male (n = 58) and female (n = 201) participants.</w:t>
      </w:r>
    </w:p>
    <w:p w14:paraId="5081E752" w14:textId="77777777" w:rsidR="008F0A95" w:rsidRPr="008F0A95" w:rsidRDefault="008F0A95" w:rsidP="008F0A95">
      <w:pPr>
        <w:numPr>
          <w:ilvl w:val="0"/>
          <w:numId w:val="11"/>
        </w:num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Male: M = 13.26, SD = 4.24</w:t>
      </w:r>
    </w:p>
    <w:p w14:paraId="22941A2B" w14:textId="77777777" w:rsidR="008F0A95" w:rsidRPr="008F0A95" w:rsidRDefault="008F0A95" w:rsidP="008F0A95">
      <w:pPr>
        <w:numPr>
          <w:ilvl w:val="0"/>
          <w:numId w:val="11"/>
        </w:num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Female: M = 14.50, SD = 4.42</w:t>
      </w:r>
    </w:p>
    <w:p w14:paraId="305B9973" w14:textId="2F0E53C7" w:rsidR="008F0A95" w:rsidRPr="008F0A95" w:rsidRDefault="008F0A95" w:rsidP="008F0A95">
      <w:p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The mean difference was not statistically significant, t</w:t>
      </w:r>
      <w:r>
        <w:rPr>
          <w:rFonts w:ascii="Times New Roman" w:hAnsi="Times New Roman" w:cs="Times New Roman"/>
          <w:sz w:val="24"/>
          <w:szCs w:val="24"/>
        </w:rPr>
        <w:t xml:space="preserve"> </w:t>
      </w:r>
      <w:r w:rsidRPr="008F0A95">
        <w:rPr>
          <w:rFonts w:ascii="Times New Roman" w:hAnsi="Times New Roman" w:cs="Times New Roman"/>
          <w:sz w:val="24"/>
          <w:szCs w:val="24"/>
        </w:rPr>
        <w:t xml:space="preserve">(257) = 1.90, p = .059, indicating that overall awareness levels between </w:t>
      </w:r>
      <w:r>
        <w:rPr>
          <w:rFonts w:ascii="Times New Roman" w:hAnsi="Times New Roman" w:cs="Times New Roman"/>
          <w:sz w:val="24"/>
          <w:szCs w:val="24"/>
        </w:rPr>
        <w:t xml:space="preserve">both </w:t>
      </w:r>
      <w:r w:rsidRPr="008F0A95">
        <w:rPr>
          <w:rFonts w:ascii="Times New Roman" w:hAnsi="Times New Roman" w:cs="Times New Roman"/>
          <w:sz w:val="24"/>
          <w:szCs w:val="24"/>
        </w:rPr>
        <w:t>genders were similar.</w:t>
      </w:r>
      <w:r>
        <w:rPr>
          <w:rFonts w:ascii="Times New Roman" w:hAnsi="Times New Roman" w:cs="Times New Roman"/>
          <w:sz w:val="24"/>
          <w:szCs w:val="24"/>
        </w:rPr>
        <w:t xml:space="preserve"> </w:t>
      </w:r>
      <w:r w:rsidRPr="008F0A95">
        <w:rPr>
          <w:rFonts w:ascii="Times New Roman" w:hAnsi="Times New Roman" w:cs="Times New Roman"/>
          <w:sz w:val="24"/>
          <w:szCs w:val="24"/>
        </w:rPr>
        <w:t xml:space="preserve">However, </w:t>
      </w:r>
      <w:r>
        <w:rPr>
          <w:rFonts w:ascii="Times New Roman" w:hAnsi="Times New Roman" w:cs="Times New Roman"/>
          <w:sz w:val="24"/>
          <w:szCs w:val="24"/>
        </w:rPr>
        <w:t xml:space="preserve">the </w:t>
      </w:r>
      <w:r w:rsidRPr="008F0A95">
        <w:rPr>
          <w:rFonts w:ascii="Times New Roman" w:hAnsi="Times New Roman" w:cs="Times New Roman"/>
          <w:sz w:val="24"/>
          <w:szCs w:val="24"/>
        </w:rPr>
        <w:t>domain-wise analysis revealed statistically significant differences in specific areas. These are summarized in Table 2.</w:t>
      </w:r>
    </w:p>
    <w:p w14:paraId="2D354352" w14:textId="77777777" w:rsidR="004E2777" w:rsidRDefault="0064063F" w:rsidP="0064063F">
      <w:pPr>
        <w:spacing w:after="0" w:line="240" w:lineRule="auto"/>
        <w:rPr>
          <w:rFonts w:ascii="Times New Roman" w:hAnsi="Times New Roman" w:cs="Times New Roman"/>
          <w:b/>
          <w:bCs/>
          <w:i/>
          <w:iCs/>
          <w:sz w:val="24"/>
          <w:szCs w:val="24"/>
        </w:rPr>
      </w:pPr>
      <w:bookmarkStart w:id="5" w:name="_Toc194257119"/>
      <w:r>
        <w:rPr>
          <w:rFonts w:ascii="Times New Roman" w:hAnsi="Times New Roman" w:cs="Times New Roman"/>
          <w:b/>
          <w:bCs/>
          <w:i/>
          <w:iCs/>
          <w:sz w:val="24"/>
          <w:szCs w:val="24"/>
        </w:rPr>
        <w:t xml:space="preserve">          </w:t>
      </w:r>
    </w:p>
    <w:p w14:paraId="448432D3" w14:textId="77777777" w:rsidR="008F0A95" w:rsidRDefault="00F509FC" w:rsidP="008F0A95">
      <w:pPr>
        <w:spacing w:after="0" w:line="240" w:lineRule="auto"/>
        <w:jc w:val="both"/>
        <w:rPr>
          <w:rFonts w:ascii="Times New Roman" w:hAnsi="Times New Roman" w:cs="Times New Roman"/>
          <w:b/>
          <w:bCs/>
          <w:sz w:val="24"/>
          <w:szCs w:val="24"/>
        </w:rPr>
      </w:pPr>
      <w:r w:rsidRPr="008F0A95">
        <w:rPr>
          <w:rFonts w:ascii="Times New Roman" w:hAnsi="Times New Roman" w:cs="Times New Roman"/>
          <w:b/>
          <w:bCs/>
          <w:sz w:val="24"/>
          <w:szCs w:val="24"/>
        </w:rPr>
        <w:t xml:space="preserve">Table </w:t>
      </w:r>
      <w:r w:rsidR="00A3758F" w:rsidRPr="008F0A95">
        <w:rPr>
          <w:rFonts w:ascii="Times New Roman" w:hAnsi="Times New Roman" w:cs="Times New Roman"/>
          <w:b/>
          <w:bCs/>
          <w:sz w:val="24"/>
          <w:szCs w:val="24"/>
        </w:rPr>
        <w:t>2</w:t>
      </w:r>
      <w:r w:rsidR="00544A66" w:rsidRPr="008F0A95">
        <w:rPr>
          <w:rFonts w:ascii="Times New Roman" w:hAnsi="Times New Roman" w:cs="Times New Roman"/>
          <w:b/>
          <w:bCs/>
          <w:sz w:val="24"/>
          <w:szCs w:val="24"/>
        </w:rPr>
        <w:t xml:space="preserve"> </w:t>
      </w:r>
    </w:p>
    <w:p w14:paraId="476206B8" w14:textId="77777777" w:rsidR="008F0A95" w:rsidRDefault="008F0A95" w:rsidP="008F0A95">
      <w:pPr>
        <w:spacing w:after="0" w:line="240" w:lineRule="auto"/>
        <w:jc w:val="both"/>
        <w:rPr>
          <w:rFonts w:ascii="Times New Roman" w:hAnsi="Times New Roman" w:cs="Times New Roman"/>
          <w:b/>
          <w:bCs/>
          <w:sz w:val="24"/>
          <w:szCs w:val="24"/>
        </w:rPr>
      </w:pPr>
    </w:p>
    <w:p w14:paraId="5BDD8E9B" w14:textId="1E9EA664" w:rsidR="004E2777" w:rsidRPr="008F0A95" w:rsidRDefault="00782A6B" w:rsidP="008F0A95">
      <w:pPr>
        <w:spacing w:after="0" w:line="240" w:lineRule="auto"/>
        <w:jc w:val="both"/>
        <w:rPr>
          <w:rFonts w:ascii="Times New Roman" w:hAnsi="Times New Roman" w:cs="Times New Roman"/>
          <w:b/>
          <w:bCs/>
          <w:sz w:val="24"/>
          <w:szCs w:val="24"/>
        </w:rPr>
      </w:pPr>
      <w:r w:rsidRPr="008F0A95">
        <w:rPr>
          <w:rFonts w:ascii="Times New Roman" w:hAnsi="Times New Roman" w:cs="Times New Roman"/>
          <w:b/>
          <w:bCs/>
          <w:sz w:val="24"/>
          <w:szCs w:val="24"/>
        </w:rPr>
        <w:t xml:space="preserve">Domain-wise </w:t>
      </w:r>
      <w:r w:rsidR="00544A66" w:rsidRPr="008F0A95">
        <w:rPr>
          <w:rFonts w:ascii="Times New Roman" w:hAnsi="Times New Roman" w:cs="Times New Roman"/>
          <w:b/>
          <w:bCs/>
          <w:sz w:val="24"/>
          <w:szCs w:val="24"/>
        </w:rPr>
        <w:t>Gender Comparison</w:t>
      </w:r>
      <w:bookmarkEnd w:id="5"/>
    </w:p>
    <w:p w14:paraId="78FB6DF0" w14:textId="77777777" w:rsidR="004E2777" w:rsidRDefault="004E2777" w:rsidP="0064063F">
      <w:pPr>
        <w:spacing w:after="0" w:line="240" w:lineRule="auto"/>
        <w:rPr>
          <w:rFonts w:ascii="Times New Roman" w:hAnsi="Times New Roman" w:cs="Times New Roman"/>
          <w:b/>
          <w:bCs/>
          <w:i/>
          <w:iCs/>
          <w:sz w:val="24"/>
          <w:szCs w:val="24"/>
        </w:rPr>
      </w:pPr>
    </w:p>
    <w:tbl>
      <w:tblPr>
        <w:tblStyle w:val="TableGrid"/>
        <w:tblW w:w="9170" w:type="dxa"/>
        <w:tblInd w:w="-5" w:type="dxa"/>
        <w:tblLook w:val="04A0" w:firstRow="1" w:lastRow="0" w:firstColumn="1" w:lastColumn="0" w:noHBand="0" w:noVBand="1"/>
      </w:tblPr>
      <w:tblGrid>
        <w:gridCol w:w="1786"/>
        <w:gridCol w:w="1191"/>
        <w:gridCol w:w="1191"/>
        <w:gridCol w:w="1191"/>
        <w:gridCol w:w="1191"/>
        <w:gridCol w:w="1191"/>
        <w:gridCol w:w="1429"/>
      </w:tblGrid>
      <w:tr w:rsidR="002C01E5" w:rsidRPr="002C01E5" w14:paraId="525C038E" w14:textId="77777777" w:rsidTr="00140859">
        <w:trPr>
          <w:trHeight w:val="1020"/>
        </w:trPr>
        <w:tc>
          <w:tcPr>
            <w:tcW w:w="1786" w:type="dxa"/>
            <w:tcBorders>
              <w:left w:val="single" w:sz="4" w:space="0" w:color="FFFFFF"/>
              <w:right w:val="single" w:sz="4" w:space="0" w:color="FFFFFF"/>
            </w:tcBorders>
            <w:vAlign w:val="center"/>
          </w:tcPr>
          <w:p w14:paraId="0E39C8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Domain</w:t>
            </w:r>
          </w:p>
        </w:tc>
        <w:tc>
          <w:tcPr>
            <w:tcW w:w="1191" w:type="dxa"/>
            <w:tcBorders>
              <w:left w:val="single" w:sz="4" w:space="0" w:color="FFFFFF"/>
              <w:right w:val="single" w:sz="4" w:space="0" w:color="FFFFFF"/>
            </w:tcBorders>
            <w:vAlign w:val="center"/>
          </w:tcPr>
          <w:p w14:paraId="59CB0E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Male Mean</w:t>
            </w:r>
          </w:p>
        </w:tc>
        <w:tc>
          <w:tcPr>
            <w:tcW w:w="1191" w:type="dxa"/>
            <w:tcBorders>
              <w:left w:val="single" w:sz="4" w:space="0" w:color="FFFFFF"/>
              <w:right w:val="single" w:sz="4" w:space="0" w:color="FFFFFF"/>
            </w:tcBorders>
            <w:vAlign w:val="center"/>
          </w:tcPr>
          <w:p w14:paraId="5DF596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Female Mean</w:t>
            </w:r>
          </w:p>
        </w:tc>
        <w:tc>
          <w:tcPr>
            <w:tcW w:w="1191" w:type="dxa"/>
            <w:tcBorders>
              <w:left w:val="single" w:sz="4" w:space="0" w:color="FFFFFF"/>
              <w:right w:val="single" w:sz="4" w:space="0" w:color="FFFFFF"/>
            </w:tcBorders>
            <w:vAlign w:val="center"/>
          </w:tcPr>
          <w:p w14:paraId="3198FF8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t-value</w:t>
            </w:r>
          </w:p>
        </w:tc>
        <w:tc>
          <w:tcPr>
            <w:tcW w:w="1191" w:type="dxa"/>
            <w:tcBorders>
              <w:left w:val="single" w:sz="4" w:space="0" w:color="FFFFFF"/>
              <w:right w:val="single" w:sz="4" w:space="0" w:color="FFFFFF"/>
            </w:tcBorders>
            <w:vAlign w:val="center"/>
          </w:tcPr>
          <w:p w14:paraId="5590E59E"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p-value</w:t>
            </w:r>
          </w:p>
        </w:tc>
        <w:tc>
          <w:tcPr>
            <w:tcW w:w="1191" w:type="dxa"/>
            <w:tcBorders>
              <w:left w:val="single" w:sz="4" w:space="0" w:color="FFFFFF"/>
              <w:bottom w:val="single" w:sz="4" w:space="0" w:color="000000"/>
              <w:right w:val="single" w:sz="4" w:space="0" w:color="FFFFFF"/>
            </w:tcBorders>
            <w:vAlign w:val="center"/>
          </w:tcPr>
          <w:p w14:paraId="32C5C1FB"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Cohen's d</w:t>
            </w:r>
          </w:p>
        </w:tc>
        <w:tc>
          <w:tcPr>
            <w:tcW w:w="1429" w:type="dxa"/>
            <w:tcBorders>
              <w:left w:val="single" w:sz="4" w:space="0" w:color="FFFFFF"/>
              <w:right w:val="single" w:sz="4" w:space="0" w:color="FFFFFF"/>
            </w:tcBorders>
            <w:vAlign w:val="center"/>
          </w:tcPr>
          <w:p w14:paraId="1DCC6711" w14:textId="77777777" w:rsidR="002C01E5" w:rsidRDefault="004E2777" w:rsidP="004E2777">
            <w:pPr>
              <w:jc w:val="center"/>
              <w:rPr>
                <w:rFonts w:ascii="Times New Roman" w:hAnsi="Times New Roman" w:cs="Times New Roman"/>
                <w:b/>
                <w:bCs/>
              </w:rPr>
            </w:pPr>
            <w:r w:rsidRPr="002C01E5">
              <w:rPr>
                <w:rFonts w:ascii="Times New Roman" w:hAnsi="Times New Roman" w:cs="Times New Roman"/>
                <w:b/>
                <w:bCs/>
              </w:rPr>
              <w:t xml:space="preserve">Significant </w:t>
            </w:r>
          </w:p>
          <w:p w14:paraId="67AF7D04" w14:textId="5488C3CD"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Difference</w:t>
            </w:r>
          </w:p>
        </w:tc>
      </w:tr>
      <w:tr w:rsidR="002C01E5" w:rsidRPr="002C01E5" w14:paraId="44E8F5A8" w14:textId="77777777" w:rsidTr="001D2E66">
        <w:trPr>
          <w:trHeight w:val="907"/>
        </w:trPr>
        <w:tc>
          <w:tcPr>
            <w:tcW w:w="1786" w:type="dxa"/>
            <w:tcBorders>
              <w:left w:val="single" w:sz="4" w:space="0" w:color="FFFFFF"/>
              <w:bottom w:val="single" w:sz="4" w:space="0" w:color="FFFFFF"/>
              <w:right w:val="single" w:sz="4" w:space="0" w:color="FFFFFF"/>
            </w:tcBorders>
            <w:vAlign w:val="center"/>
          </w:tcPr>
          <w:p w14:paraId="2F013727"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Conceptual Understanding</w:t>
            </w:r>
          </w:p>
        </w:tc>
        <w:tc>
          <w:tcPr>
            <w:tcW w:w="1191" w:type="dxa"/>
            <w:tcBorders>
              <w:left w:val="single" w:sz="4" w:space="0" w:color="FFFFFF"/>
              <w:bottom w:val="single" w:sz="4" w:space="0" w:color="FFFFFF"/>
              <w:right w:val="single" w:sz="4" w:space="0" w:color="FFFFFF"/>
            </w:tcBorders>
            <w:vAlign w:val="center"/>
          </w:tcPr>
          <w:p w14:paraId="5CADA177"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0.69</w:t>
            </w:r>
          </w:p>
        </w:tc>
        <w:tc>
          <w:tcPr>
            <w:tcW w:w="1191" w:type="dxa"/>
            <w:tcBorders>
              <w:left w:val="single" w:sz="4" w:space="0" w:color="FFFFFF"/>
              <w:bottom w:val="single" w:sz="4" w:space="0" w:color="FFFFFF"/>
              <w:right w:val="single" w:sz="4" w:space="0" w:color="FFFFFF"/>
            </w:tcBorders>
            <w:vAlign w:val="center"/>
          </w:tcPr>
          <w:p w14:paraId="0C184B5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0.79</w:t>
            </w:r>
          </w:p>
        </w:tc>
        <w:tc>
          <w:tcPr>
            <w:tcW w:w="1191" w:type="dxa"/>
            <w:tcBorders>
              <w:left w:val="single" w:sz="4" w:space="0" w:color="FFFFFF"/>
              <w:bottom w:val="single" w:sz="4" w:space="0" w:color="FFFFFF"/>
              <w:right w:val="single" w:sz="4" w:space="0" w:color="FFFFFF"/>
            </w:tcBorders>
            <w:vAlign w:val="center"/>
          </w:tcPr>
          <w:p w14:paraId="1B0E2A49"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2.754</w:t>
            </w:r>
          </w:p>
        </w:tc>
        <w:tc>
          <w:tcPr>
            <w:tcW w:w="1191" w:type="dxa"/>
            <w:tcBorders>
              <w:left w:val="single" w:sz="4" w:space="0" w:color="FFFFFF"/>
              <w:bottom w:val="single" w:sz="4" w:space="0" w:color="FFFFFF"/>
              <w:right w:val="single" w:sz="4" w:space="0" w:color="FFFFFF"/>
            </w:tcBorders>
            <w:vAlign w:val="center"/>
          </w:tcPr>
          <w:p w14:paraId="0978ED6B" w14:textId="2AE2589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w:t>
            </w:r>
            <w:r w:rsidR="003C1E56" w:rsidRPr="002C01E5">
              <w:rPr>
                <w:rFonts w:ascii="Times New Roman" w:hAnsi="Times New Roman" w:cs="Times New Roman"/>
              </w:rPr>
              <w:t>5</w:t>
            </w:r>
          </w:p>
        </w:tc>
        <w:tc>
          <w:tcPr>
            <w:tcW w:w="1191" w:type="dxa"/>
            <w:tcBorders>
              <w:top w:val="single" w:sz="4" w:space="0" w:color="000000"/>
              <w:left w:val="single" w:sz="4" w:space="0" w:color="FFFFFF"/>
              <w:bottom w:val="single" w:sz="4" w:space="0" w:color="FFFFFF"/>
              <w:right w:val="single" w:sz="4" w:space="0" w:color="FFFFFF"/>
            </w:tcBorders>
            <w:vAlign w:val="center"/>
          </w:tcPr>
          <w:p w14:paraId="7F38CC80"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0.37</w:t>
            </w:r>
          </w:p>
        </w:tc>
        <w:tc>
          <w:tcPr>
            <w:tcW w:w="1429" w:type="dxa"/>
            <w:tcBorders>
              <w:left w:val="single" w:sz="4" w:space="0" w:color="FFFFFF"/>
              <w:bottom w:val="single" w:sz="4" w:space="0" w:color="FFFFFF"/>
              <w:right w:val="single" w:sz="4" w:space="0" w:color="FFFFFF"/>
            </w:tcBorders>
            <w:shd w:val="clear" w:color="auto" w:fill="FF6D6D"/>
            <w:vAlign w:val="center"/>
          </w:tcPr>
          <w:p w14:paraId="410A5844" w14:textId="58833BE0"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r w:rsidR="002C01E5" w:rsidRPr="002C01E5" w14:paraId="37A3409E"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3824F66A"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Usability</w:t>
            </w:r>
          </w:p>
        </w:tc>
        <w:tc>
          <w:tcPr>
            <w:tcW w:w="1191" w:type="dxa"/>
            <w:tcBorders>
              <w:top w:val="single" w:sz="4" w:space="0" w:color="FFFFFF"/>
              <w:left w:val="single" w:sz="4" w:space="0" w:color="FFFFFF"/>
              <w:bottom w:val="single" w:sz="4" w:space="0" w:color="FFFFFF"/>
              <w:right w:val="single" w:sz="4" w:space="0" w:color="FFFFFF"/>
            </w:tcBorders>
            <w:vAlign w:val="center"/>
          </w:tcPr>
          <w:p w14:paraId="7D0E05D0"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0.71</w:t>
            </w:r>
          </w:p>
        </w:tc>
        <w:tc>
          <w:tcPr>
            <w:tcW w:w="1191" w:type="dxa"/>
            <w:tcBorders>
              <w:top w:val="single" w:sz="4" w:space="0" w:color="FFFFFF"/>
              <w:left w:val="single" w:sz="4" w:space="0" w:color="FFFFFF"/>
              <w:bottom w:val="single" w:sz="4" w:space="0" w:color="FFFFFF"/>
              <w:right w:val="single" w:sz="4" w:space="0" w:color="FFFFFF"/>
            </w:tcBorders>
            <w:vAlign w:val="center"/>
          </w:tcPr>
          <w:p w14:paraId="1E01FD7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0.76</w:t>
            </w:r>
          </w:p>
        </w:tc>
        <w:tc>
          <w:tcPr>
            <w:tcW w:w="1191" w:type="dxa"/>
            <w:tcBorders>
              <w:top w:val="single" w:sz="4" w:space="0" w:color="FFFFFF"/>
              <w:left w:val="single" w:sz="4" w:space="0" w:color="FFFFFF"/>
              <w:bottom w:val="single" w:sz="4" w:space="0" w:color="FFFFFF"/>
              <w:right w:val="single" w:sz="4" w:space="0" w:color="FFFFFF"/>
            </w:tcBorders>
            <w:vAlign w:val="center"/>
          </w:tcPr>
          <w:p w14:paraId="4D649BB6"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NS</w:t>
            </w:r>
          </w:p>
        </w:tc>
        <w:tc>
          <w:tcPr>
            <w:tcW w:w="1191" w:type="dxa"/>
            <w:tcBorders>
              <w:top w:val="single" w:sz="4" w:space="0" w:color="FFFFFF"/>
              <w:left w:val="single" w:sz="4" w:space="0" w:color="FFFFFF"/>
              <w:bottom w:val="single" w:sz="4" w:space="0" w:color="FFFFFF"/>
              <w:right w:val="single" w:sz="4" w:space="0" w:color="FFFFFF"/>
            </w:tcBorders>
            <w:vAlign w:val="center"/>
          </w:tcPr>
          <w:p w14:paraId="27B66FC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&gt;0.05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1CEB1D4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w:t>
            </w:r>
          </w:p>
        </w:tc>
        <w:tc>
          <w:tcPr>
            <w:tcW w:w="1429" w:type="dxa"/>
            <w:tcBorders>
              <w:top w:val="single" w:sz="4" w:space="0" w:color="FFFFFF"/>
              <w:left w:val="single" w:sz="4" w:space="0" w:color="FFFFFF"/>
              <w:bottom w:val="single" w:sz="4" w:space="0" w:color="FFFFFF"/>
              <w:right w:val="single" w:sz="4" w:space="0" w:color="FFFFFF"/>
            </w:tcBorders>
            <w:shd w:val="clear" w:color="auto" w:fill="A8D08D" w:themeFill="accent6" w:themeFillTint="99"/>
            <w:vAlign w:val="center"/>
          </w:tcPr>
          <w:p w14:paraId="02CE190A" w14:textId="77777777" w:rsidR="004E2777" w:rsidRPr="001D2E66" w:rsidRDefault="004E2777" w:rsidP="00782A6B">
            <w:pPr>
              <w:jc w:val="center"/>
              <w:rPr>
                <w:rFonts w:ascii="Times New Roman" w:hAnsi="Times New Roman" w:cs="Times New Roman"/>
                <w:b/>
                <w:bCs/>
              </w:rPr>
            </w:pPr>
            <w:r w:rsidRPr="001D2E66">
              <w:rPr>
                <w:rFonts w:ascii="Times New Roman" w:hAnsi="Times New Roman" w:cs="Times New Roman"/>
                <w:b/>
                <w:bCs/>
              </w:rPr>
              <w:t>No</w:t>
            </w:r>
          </w:p>
        </w:tc>
      </w:tr>
      <w:tr w:rsidR="002C01E5" w:rsidRPr="002C01E5" w14:paraId="42800A13"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0CF2B8C8"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Technological Requirements</w:t>
            </w:r>
          </w:p>
        </w:tc>
        <w:tc>
          <w:tcPr>
            <w:tcW w:w="1191" w:type="dxa"/>
            <w:tcBorders>
              <w:top w:val="single" w:sz="4" w:space="0" w:color="FFFFFF"/>
              <w:left w:val="single" w:sz="4" w:space="0" w:color="FFFFFF"/>
              <w:bottom w:val="single" w:sz="4" w:space="0" w:color="FFFFFF"/>
              <w:right w:val="single" w:sz="4" w:space="0" w:color="FFFFFF"/>
            </w:tcBorders>
            <w:vAlign w:val="center"/>
          </w:tcPr>
          <w:p w14:paraId="56A790CB"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0.68</w:t>
            </w:r>
          </w:p>
        </w:tc>
        <w:tc>
          <w:tcPr>
            <w:tcW w:w="1191" w:type="dxa"/>
            <w:tcBorders>
              <w:top w:val="single" w:sz="4" w:space="0" w:color="FFFFFF"/>
              <w:left w:val="single" w:sz="4" w:space="0" w:color="FFFFFF"/>
              <w:bottom w:val="single" w:sz="4" w:space="0" w:color="FFFFFF"/>
              <w:right w:val="single" w:sz="4" w:space="0" w:color="FFFFFF"/>
            </w:tcBorders>
            <w:vAlign w:val="center"/>
          </w:tcPr>
          <w:p w14:paraId="756AA82A"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0.73</w:t>
            </w:r>
          </w:p>
        </w:tc>
        <w:tc>
          <w:tcPr>
            <w:tcW w:w="1191" w:type="dxa"/>
            <w:tcBorders>
              <w:top w:val="single" w:sz="4" w:space="0" w:color="FFFFFF"/>
              <w:left w:val="single" w:sz="4" w:space="0" w:color="FFFFFF"/>
              <w:bottom w:val="single" w:sz="4" w:space="0" w:color="FFFFFF"/>
              <w:right w:val="single" w:sz="4" w:space="0" w:color="FFFFFF"/>
            </w:tcBorders>
            <w:vAlign w:val="center"/>
          </w:tcPr>
          <w:p w14:paraId="17C24D1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NS</w:t>
            </w:r>
          </w:p>
        </w:tc>
        <w:tc>
          <w:tcPr>
            <w:tcW w:w="1191" w:type="dxa"/>
            <w:tcBorders>
              <w:top w:val="single" w:sz="4" w:space="0" w:color="FFFFFF"/>
              <w:left w:val="single" w:sz="4" w:space="0" w:color="FFFFFF"/>
              <w:bottom w:val="single" w:sz="4" w:space="0" w:color="FFFFFF"/>
              <w:right w:val="single" w:sz="4" w:space="0" w:color="FFFFFF"/>
            </w:tcBorders>
            <w:vAlign w:val="center"/>
          </w:tcPr>
          <w:p w14:paraId="141452AF"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&gt;0.05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6AB4C98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w:t>
            </w:r>
          </w:p>
        </w:tc>
        <w:tc>
          <w:tcPr>
            <w:tcW w:w="1429" w:type="dxa"/>
            <w:tcBorders>
              <w:top w:val="single" w:sz="4" w:space="0" w:color="FFFFFF"/>
              <w:left w:val="single" w:sz="4" w:space="0" w:color="FFFFFF"/>
              <w:bottom w:val="single" w:sz="4" w:space="0" w:color="FFFFFF" w:themeColor="background1"/>
              <w:right w:val="single" w:sz="4" w:space="0" w:color="FFFFFF"/>
            </w:tcBorders>
            <w:shd w:val="clear" w:color="auto" w:fill="A8D08D" w:themeFill="accent6" w:themeFillTint="99"/>
            <w:vAlign w:val="center"/>
          </w:tcPr>
          <w:p w14:paraId="34A53F74" w14:textId="77777777" w:rsidR="004E2777" w:rsidRPr="001D2E66" w:rsidRDefault="004E2777" w:rsidP="00782A6B">
            <w:pPr>
              <w:jc w:val="center"/>
              <w:rPr>
                <w:rFonts w:ascii="Times New Roman" w:hAnsi="Times New Roman" w:cs="Times New Roman"/>
                <w:b/>
                <w:bCs/>
              </w:rPr>
            </w:pPr>
            <w:r w:rsidRPr="001D2E66">
              <w:rPr>
                <w:rFonts w:ascii="Times New Roman" w:hAnsi="Times New Roman" w:cs="Times New Roman"/>
                <w:b/>
                <w:bCs/>
              </w:rPr>
              <w:t>No</w:t>
            </w:r>
          </w:p>
        </w:tc>
      </w:tr>
      <w:tr w:rsidR="002C01E5" w:rsidRPr="002C01E5" w14:paraId="01B3BE43"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450F58F0"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Present Practices</w:t>
            </w:r>
          </w:p>
        </w:tc>
        <w:tc>
          <w:tcPr>
            <w:tcW w:w="1191" w:type="dxa"/>
            <w:tcBorders>
              <w:top w:val="single" w:sz="4" w:space="0" w:color="FFFFFF"/>
              <w:left w:val="single" w:sz="4" w:space="0" w:color="FFFFFF"/>
              <w:bottom w:val="single" w:sz="4" w:space="0" w:color="FFFFFF"/>
              <w:right w:val="single" w:sz="4" w:space="0" w:color="FFFFFF"/>
            </w:tcBorders>
            <w:vAlign w:val="center"/>
          </w:tcPr>
          <w:p w14:paraId="78D3C773"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0.64</w:t>
            </w:r>
          </w:p>
        </w:tc>
        <w:tc>
          <w:tcPr>
            <w:tcW w:w="1191" w:type="dxa"/>
            <w:tcBorders>
              <w:top w:val="single" w:sz="4" w:space="0" w:color="FFFFFF"/>
              <w:left w:val="single" w:sz="4" w:space="0" w:color="FFFFFF"/>
              <w:bottom w:val="single" w:sz="4" w:space="0" w:color="FFFFFF"/>
              <w:right w:val="single" w:sz="4" w:space="0" w:color="FFFFFF"/>
            </w:tcBorders>
            <w:vAlign w:val="center"/>
          </w:tcPr>
          <w:p w14:paraId="6F9785E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0.68</w:t>
            </w:r>
          </w:p>
        </w:tc>
        <w:tc>
          <w:tcPr>
            <w:tcW w:w="1191" w:type="dxa"/>
            <w:tcBorders>
              <w:top w:val="single" w:sz="4" w:space="0" w:color="FFFFFF"/>
              <w:left w:val="single" w:sz="4" w:space="0" w:color="FFFFFF"/>
              <w:bottom w:val="single" w:sz="4" w:space="0" w:color="FFFFFF"/>
              <w:right w:val="single" w:sz="4" w:space="0" w:color="FFFFFF"/>
            </w:tcBorders>
            <w:vAlign w:val="center"/>
          </w:tcPr>
          <w:p w14:paraId="22F9DEB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66E2EC6C"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2A94DD6D"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0.30</w:t>
            </w:r>
          </w:p>
        </w:tc>
        <w:tc>
          <w:tcPr>
            <w:tcW w:w="1429" w:type="dxa"/>
            <w:tcBorders>
              <w:top w:val="single" w:sz="4" w:space="0" w:color="FFFFFF" w:themeColor="background1"/>
              <w:left w:val="single" w:sz="4" w:space="0" w:color="FFFFFF"/>
              <w:bottom w:val="single" w:sz="4" w:space="0" w:color="FFFFFF"/>
              <w:right w:val="single" w:sz="4" w:space="0" w:color="FFFFFF"/>
            </w:tcBorders>
            <w:shd w:val="clear" w:color="auto" w:fill="FF6D6D"/>
            <w:vAlign w:val="center"/>
          </w:tcPr>
          <w:p w14:paraId="2BFF718B" w14:textId="62F81DC5"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r w:rsidR="002C01E5" w:rsidRPr="002C01E5" w14:paraId="3BFB4B39" w14:textId="77777777" w:rsidTr="001D2E66">
        <w:trPr>
          <w:trHeight w:val="907"/>
        </w:trPr>
        <w:tc>
          <w:tcPr>
            <w:tcW w:w="1786" w:type="dxa"/>
            <w:tcBorders>
              <w:top w:val="single" w:sz="4" w:space="0" w:color="FFFFFF"/>
              <w:left w:val="single" w:sz="4" w:space="0" w:color="FFFFFF"/>
              <w:right w:val="single" w:sz="4" w:space="0" w:color="FFFFFF"/>
            </w:tcBorders>
            <w:vAlign w:val="center"/>
          </w:tcPr>
          <w:p w14:paraId="6796BEDE"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Policy Guidelines</w:t>
            </w:r>
          </w:p>
        </w:tc>
        <w:tc>
          <w:tcPr>
            <w:tcW w:w="1191" w:type="dxa"/>
            <w:tcBorders>
              <w:top w:val="single" w:sz="4" w:space="0" w:color="FFFFFF"/>
              <w:left w:val="single" w:sz="4" w:space="0" w:color="FFFFFF"/>
              <w:right w:val="single" w:sz="4" w:space="0" w:color="FFFFFF"/>
            </w:tcBorders>
            <w:vAlign w:val="center"/>
          </w:tcPr>
          <w:p w14:paraId="1D254323"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0.58</w:t>
            </w:r>
          </w:p>
        </w:tc>
        <w:tc>
          <w:tcPr>
            <w:tcW w:w="1191" w:type="dxa"/>
            <w:tcBorders>
              <w:top w:val="single" w:sz="4" w:space="0" w:color="FFFFFF"/>
              <w:left w:val="single" w:sz="4" w:space="0" w:color="FFFFFF"/>
              <w:right w:val="single" w:sz="4" w:space="0" w:color="FFFFFF"/>
            </w:tcBorders>
            <w:vAlign w:val="center"/>
          </w:tcPr>
          <w:p w14:paraId="398D633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0.66</w:t>
            </w:r>
          </w:p>
        </w:tc>
        <w:tc>
          <w:tcPr>
            <w:tcW w:w="1191" w:type="dxa"/>
            <w:tcBorders>
              <w:top w:val="single" w:sz="4" w:space="0" w:color="FFFFFF"/>
              <w:left w:val="single" w:sz="4" w:space="0" w:color="FFFFFF"/>
              <w:right w:val="single" w:sz="4" w:space="0" w:color="FFFFFF"/>
            </w:tcBorders>
            <w:vAlign w:val="center"/>
          </w:tcPr>
          <w:p w14:paraId="0023219A"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2.442</w:t>
            </w:r>
          </w:p>
        </w:tc>
        <w:tc>
          <w:tcPr>
            <w:tcW w:w="1191" w:type="dxa"/>
            <w:tcBorders>
              <w:top w:val="single" w:sz="4" w:space="0" w:color="FFFFFF"/>
              <w:left w:val="single" w:sz="4" w:space="0" w:color="FFFFFF"/>
              <w:right w:val="single" w:sz="4" w:space="0" w:color="FFFFFF"/>
            </w:tcBorders>
            <w:vAlign w:val="center"/>
          </w:tcPr>
          <w:p w14:paraId="5ECCB96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&lt;0.05</w:t>
            </w:r>
          </w:p>
        </w:tc>
        <w:tc>
          <w:tcPr>
            <w:tcW w:w="1191" w:type="dxa"/>
            <w:tcBorders>
              <w:top w:val="single" w:sz="4" w:space="0" w:color="FFFFFF"/>
              <w:left w:val="single" w:sz="4" w:space="0" w:color="FFFFFF"/>
              <w:right w:val="single" w:sz="4" w:space="0" w:color="FFFFFF"/>
            </w:tcBorders>
            <w:vAlign w:val="center"/>
          </w:tcPr>
          <w:p w14:paraId="6EF1A7EB"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0.35</w:t>
            </w:r>
          </w:p>
        </w:tc>
        <w:tc>
          <w:tcPr>
            <w:tcW w:w="1429" w:type="dxa"/>
            <w:tcBorders>
              <w:top w:val="single" w:sz="4" w:space="0" w:color="FFFFFF"/>
              <w:left w:val="single" w:sz="4" w:space="0" w:color="FFFFFF"/>
              <w:right w:val="single" w:sz="4" w:space="0" w:color="FFFFFF"/>
            </w:tcBorders>
            <w:shd w:val="clear" w:color="auto" w:fill="FF6D6D"/>
            <w:vAlign w:val="center"/>
          </w:tcPr>
          <w:p w14:paraId="47C3C221" w14:textId="39B7A02D"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bl>
    <w:p w14:paraId="788C2B72" w14:textId="123A6236" w:rsidR="00343BCB" w:rsidRDefault="00343BCB" w:rsidP="00343BCB">
      <w:pPr>
        <w:spacing w:line="240" w:lineRule="auto"/>
        <w:jc w:val="center"/>
        <w:rPr>
          <w:rFonts w:ascii="Times New Roman" w:hAnsi="Times New Roman" w:cs="Times New Roman"/>
          <w:sz w:val="24"/>
          <w:szCs w:val="24"/>
        </w:rPr>
      </w:pPr>
    </w:p>
    <w:p w14:paraId="3FB30716" w14:textId="0807664D" w:rsidR="00A05CFC" w:rsidRDefault="002C01E5" w:rsidP="00343BCB">
      <w:pPr>
        <w:spacing w:line="240" w:lineRule="auto"/>
        <w:jc w:val="both"/>
        <w:rPr>
          <w:rFonts w:ascii="Times New Roman" w:hAnsi="Times New Roman" w:cs="Times New Roman"/>
          <w:sz w:val="24"/>
          <w:szCs w:val="24"/>
        </w:rPr>
      </w:pPr>
      <w:r w:rsidRPr="002C01E5">
        <w:rPr>
          <w:rFonts w:ascii="Times New Roman" w:hAnsi="Times New Roman" w:cs="Times New Roman"/>
          <w:sz w:val="24"/>
          <w:szCs w:val="24"/>
        </w:rPr>
        <w:t>Female participants scored significantly higher in Conceptual Understanding, Present Practices, and Policy Knowledge, with small to moderate effect sizes.</w:t>
      </w:r>
    </w:p>
    <w:p w14:paraId="7A0B6DF5" w14:textId="77777777" w:rsidR="002C01E5" w:rsidRDefault="002C01E5" w:rsidP="00F509FC">
      <w:pPr>
        <w:spacing w:line="240" w:lineRule="auto"/>
        <w:jc w:val="both"/>
        <w:rPr>
          <w:rFonts w:ascii="Times New Roman" w:hAnsi="Times New Roman" w:cs="Times New Roman"/>
          <w:sz w:val="24"/>
          <w:szCs w:val="24"/>
        </w:rPr>
      </w:pPr>
    </w:p>
    <w:p w14:paraId="3656C223" w14:textId="12E51962" w:rsidR="00F509FC" w:rsidRPr="00F509FC" w:rsidRDefault="00F509FC" w:rsidP="00F509FC">
      <w:pPr>
        <w:spacing w:line="240" w:lineRule="auto"/>
        <w:jc w:val="both"/>
        <w:rPr>
          <w:rFonts w:ascii="Times New Roman" w:hAnsi="Times New Roman" w:cs="Times New Roman"/>
          <w:sz w:val="24"/>
          <w:szCs w:val="24"/>
        </w:rPr>
      </w:pPr>
      <w:r w:rsidRPr="00F509FC">
        <w:rPr>
          <w:rFonts w:ascii="Times New Roman" w:hAnsi="Times New Roman" w:cs="Times New Roman"/>
          <w:b/>
          <w:bCs/>
          <w:sz w:val="24"/>
          <w:szCs w:val="24"/>
        </w:rPr>
        <w:t xml:space="preserve">Research Objective </w:t>
      </w:r>
      <w:r w:rsidR="004E28ED">
        <w:rPr>
          <w:rFonts w:ascii="Times New Roman" w:hAnsi="Times New Roman" w:cs="Times New Roman"/>
          <w:b/>
          <w:bCs/>
          <w:sz w:val="24"/>
          <w:szCs w:val="24"/>
        </w:rPr>
        <w:t>3</w:t>
      </w:r>
      <w:r w:rsidRPr="00F509FC">
        <w:rPr>
          <w:rFonts w:ascii="Times New Roman" w:hAnsi="Times New Roman" w:cs="Times New Roman"/>
          <w:b/>
          <w:bCs/>
          <w:sz w:val="24"/>
          <w:szCs w:val="24"/>
        </w:rPr>
        <w:t xml:space="preserve"> -</w:t>
      </w:r>
      <w:r w:rsidRPr="00F509FC">
        <w:rPr>
          <w:rFonts w:ascii="Times New Roman" w:hAnsi="Times New Roman" w:cs="Times New Roman"/>
          <w:sz w:val="24"/>
          <w:szCs w:val="24"/>
        </w:rPr>
        <w:t xml:space="preserve"> To compare the awareness of MOOCs of science and humanities prospective teachers of Mysore city. </w:t>
      </w:r>
    </w:p>
    <w:p w14:paraId="209BFDFC" w14:textId="77777777" w:rsidR="00140859" w:rsidRPr="00140859" w:rsidRDefault="00140859" w:rsidP="00140859">
      <w:p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lastRenderedPageBreak/>
        <w:t>An independent samples t-test was conducted to compare awareness scores based on academic stream.</w:t>
      </w:r>
    </w:p>
    <w:p w14:paraId="1B6B7B86" w14:textId="77777777" w:rsidR="00140859" w:rsidRPr="00140859" w:rsidRDefault="00140859" w:rsidP="00140859">
      <w:pPr>
        <w:numPr>
          <w:ilvl w:val="0"/>
          <w:numId w:val="12"/>
        </w:num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Science: M = 14.31, SD = 4.25</w:t>
      </w:r>
    </w:p>
    <w:p w14:paraId="472D873E" w14:textId="77777777" w:rsidR="00140859" w:rsidRDefault="00140859" w:rsidP="00140859">
      <w:pPr>
        <w:numPr>
          <w:ilvl w:val="0"/>
          <w:numId w:val="12"/>
        </w:num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Humanities: M = 14.14, SD = 4.54</w:t>
      </w:r>
    </w:p>
    <w:p w14:paraId="0C3C068B" w14:textId="4E062FE8" w:rsidR="00A05CFC" w:rsidRDefault="00140859" w:rsidP="00140859">
      <w:p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The difference was not statistically significant, t</w:t>
      </w:r>
      <w:r>
        <w:rPr>
          <w:rFonts w:ascii="Times New Roman" w:hAnsi="Times New Roman" w:cs="Times New Roman"/>
          <w:sz w:val="24"/>
          <w:szCs w:val="24"/>
        </w:rPr>
        <w:t xml:space="preserve"> </w:t>
      </w:r>
      <w:r w:rsidRPr="00140859">
        <w:rPr>
          <w:rFonts w:ascii="Times New Roman" w:hAnsi="Times New Roman" w:cs="Times New Roman"/>
          <w:sz w:val="24"/>
          <w:szCs w:val="24"/>
        </w:rPr>
        <w:t>(257) = 0.315, p = .753.</w:t>
      </w:r>
      <w:r>
        <w:rPr>
          <w:rFonts w:ascii="Times New Roman" w:hAnsi="Times New Roman" w:cs="Times New Roman"/>
          <w:sz w:val="24"/>
          <w:szCs w:val="24"/>
        </w:rPr>
        <w:t xml:space="preserve"> </w:t>
      </w:r>
      <w:r w:rsidRPr="00140859">
        <w:rPr>
          <w:rFonts w:ascii="Times New Roman" w:hAnsi="Times New Roman" w:cs="Times New Roman"/>
          <w:sz w:val="24"/>
          <w:szCs w:val="24"/>
        </w:rPr>
        <w:t>However, domain-specific analysis revealed significant differences in two areas</w:t>
      </w:r>
      <w:r>
        <w:rPr>
          <w:rFonts w:ascii="Times New Roman" w:hAnsi="Times New Roman" w:cs="Times New Roman"/>
          <w:sz w:val="24"/>
          <w:szCs w:val="24"/>
        </w:rPr>
        <w:t>, as shown in Table 3.</w:t>
      </w:r>
    </w:p>
    <w:p w14:paraId="66071DF0" w14:textId="77777777" w:rsidR="00140859" w:rsidRPr="00140859" w:rsidRDefault="00A53F8D" w:rsidP="00140859">
      <w:pPr>
        <w:spacing w:after="0" w:line="240" w:lineRule="auto"/>
        <w:jc w:val="both"/>
        <w:rPr>
          <w:rFonts w:ascii="Times New Roman" w:hAnsi="Times New Roman" w:cs="Times New Roman"/>
          <w:b/>
          <w:bCs/>
          <w:sz w:val="24"/>
          <w:szCs w:val="24"/>
        </w:rPr>
      </w:pPr>
      <w:r w:rsidRPr="00140859">
        <w:rPr>
          <w:rFonts w:ascii="Times New Roman" w:hAnsi="Times New Roman" w:cs="Times New Roman"/>
          <w:b/>
          <w:bCs/>
          <w:sz w:val="24"/>
          <w:szCs w:val="24"/>
        </w:rPr>
        <w:t xml:space="preserve">Table </w:t>
      </w:r>
      <w:r w:rsidR="00055752" w:rsidRPr="00140859">
        <w:rPr>
          <w:rFonts w:ascii="Times New Roman" w:hAnsi="Times New Roman" w:cs="Times New Roman"/>
          <w:b/>
          <w:bCs/>
          <w:sz w:val="24"/>
          <w:szCs w:val="24"/>
        </w:rPr>
        <w:t>3</w:t>
      </w:r>
      <w:r w:rsidRPr="00140859">
        <w:rPr>
          <w:rFonts w:ascii="Times New Roman" w:hAnsi="Times New Roman" w:cs="Times New Roman"/>
          <w:b/>
          <w:bCs/>
          <w:sz w:val="24"/>
          <w:szCs w:val="24"/>
        </w:rPr>
        <w:t xml:space="preserve"> </w:t>
      </w:r>
    </w:p>
    <w:p w14:paraId="3AABE642" w14:textId="77777777" w:rsidR="00140859" w:rsidRPr="00140859" w:rsidRDefault="00140859" w:rsidP="00140859">
      <w:pPr>
        <w:spacing w:after="0" w:line="240" w:lineRule="auto"/>
        <w:jc w:val="both"/>
        <w:rPr>
          <w:rFonts w:ascii="Times New Roman" w:hAnsi="Times New Roman" w:cs="Times New Roman"/>
          <w:b/>
          <w:bCs/>
          <w:sz w:val="24"/>
          <w:szCs w:val="24"/>
        </w:rPr>
      </w:pPr>
    </w:p>
    <w:p w14:paraId="2141C6F3" w14:textId="3A145FCC" w:rsidR="00A53F8D" w:rsidRPr="00140859" w:rsidRDefault="00A53F8D" w:rsidP="00140859">
      <w:pPr>
        <w:spacing w:after="0" w:line="240" w:lineRule="auto"/>
        <w:jc w:val="both"/>
        <w:rPr>
          <w:rFonts w:ascii="Times New Roman" w:hAnsi="Times New Roman" w:cs="Times New Roman"/>
          <w:b/>
          <w:bCs/>
          <w:sz w:val="24"/>
          <w:szCs w:val="24"/>
        </w:rPr>
      </w:pPr>
      <w:r w:rsidRPr="00140859">
        <w:rPr>
          <w:rFonts w:ascii="Times New Roman" w:hAnsi="Times New Roman" w:cs="Times New Roman"/>
          <w:b/>
          <w:bCs/>
          <w:sz w:val="24"/>
          <w:szCs w:val="24"/>
        </w:rPr>
        <w:t>Domain-wise Stream Comparison</w:t>
      </w:r>
    </w:p>
    <w:p w14:paraId="5D4E55E3" w14:textId="77777777" w:rsidR="00A53F8D" w:rsidRDefault="00A53F8D" w:rsidP="00A05CFC">
      <w:pPr>
        <w:spacing w:after="0" w:line="240" w:lineRule="auto"/>
        <w:jc w:val="both"/>
        <w:rPr>
          <w:rFonts w:ascii="Times New Roman" w:hAnsi="Times New Roman" w:cs="Times New Roman"/>
          <w:sz w:val="24"/>
          <w:szCs w:val="24"/>
        </w:rPr>
      </w:pPr>
    </w:p>
    <w:tbl>
      <w:tblPr>
        <w:tblStyle w:val="TableGrid"/>
        <w:tblW w:w="9242" w:type="dxa"/>
        <w:tblLook w:val="04A0" w:firstRow="1" w:lastRow="0" w:firstColumn="1" w:lastColumn="0" w:noHBand="0" w:noVBand="1"/>
      </w:tblPr>
      <w:tblGrid>
        <w:gridCol w:w="1701"/>
        <w:gridCol w:w="1304"/>
        <w:gridCol w:w="1134"/>
        <w:gridCol w:w="1134"/>
        <w:gridCol w:w="1134"/>
        <w:gridCol w:w="1134"/>
        <w:gridCol w:w="1701"/>
      </w:tblGrid>
      <w:tr w:rsidR="0060052C" w:rsidRPr="00A05CFC" w14:paraId="0DC65E43" w14:textId="77777777" w:rsidTr="0060052C">
        <w:trPr>
          <w:trHeight w:val="1020"/>
        </w:trPr>
        <w:tc>
          <w:tcPr>
            <w:tcW w:w="1701" w:type="dxa"/>
            <w:tcBorders>
              <w:left w:val="single" w:sz="4" w:space="0" w:color="FFFFFF"/>
              <w:right w:val="single" w:sz="4" w:space="0" w:color="FFFFFF"/>
            </w:tcBorders>
            <w:vAlign w:val="center"/>
          </w:tcPr>
          <w:p w14:paraId="1AEB2F6D"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Domain</w:t>
            </w:r>
          </w:p>
        </w:tc>
        <w:tc>
          <w:tcPr>
            <w:tcW w:w="1304" w:type="dxa"/>
            <w:tcBorders>
              <w:left w:val="single" w:sz="4" w:space="0" w:color="FFFFFF"/>
              <w:right w:val="single" w:sz="4" w:space="0" w:color="FFFFFF"/>
            </w:tcBorders>
            <w:vAlign w:val="center"/>
          </w:tcPr>
          <w:p w14:paraId="4B872F8E"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Humanities Mean</w:t>
            </w:r>
          </w:p>
        </w:tc>
        <w:tc>
          <w:tcPr>
            <w:tcW w:w="1134" w:type="dxa"/>
            <w:tcBorders>
              <w:left w:val="single" w:sz="4" w:space="0" w:color="FFFFFF"/>
              <w:right w:val="single" w:sz="4" w:space="0" w:color="FFFFFF"/>
            </w:tcBorders>
            <w:vAlign w:val="center"/>
          </w:tcPr>
          <w:p w14:paraId="1C3834F4"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Science Mean</w:t>
            </w:r>
          </w:p>
        </w:tc>
        <w:tc>
          <w:tcPr>
            <w:tcW w:w="1134" w:type="dxa"/>
            <w:tcBorders>
              <w:left w:val="single" w:sz="4" w:space="0" w:color="FFFFFF"/>
              <w:right w:val="single" w:sz="4" w:space="0" w:color="FFFFFF"/>
            </w:tcBorders>
            <w:vAlign w:val="center"/>
          </w:tcPr>
          <w:p w14:paraId="33542A5E"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t-value</w:t>
            </w:r>
          </w:p>
        </w:tc>
        <w:tc>
          <w:tcPr>
            <w:tcW w:w="1134" w:type="dxa"/>
            <w:tcBorders>
              <w:left w:val="single" w:sz="4" w:space="0" w:color="FFFFFF"/>
              <w:right w:val="single" w:sz="4" w:space="0" w:color="FFFFFF"/>
            </w:tcBorders>
            <w:vAlign w:val="center"/>
          </w:tcPr>
          <w:p w14:paraId="3EEA14B1"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p-value</w:t>
            </w:r>
          </w:p>
        </w:tc>
        <w:tc>
          <w:tcPr>
            <w:tcW w:w="1134" w:type="dxa"/>
            <w:tcBorders>
              <w:left w:val="single" w:sz="4" w:space="0" w:color="FFFFFF"/>
              <w:right w:val="single" w:sz="4" w:space="0" w:color="FFFFFF"/>
            </w:tcBorders>
            <w:vAlign w:val="center"/>
          </w:tcPr>
          <w:p w14:paraId="35289B26"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Cohen's d</w:t>
            </w:r>
          </w:p>
        </w:tc>
        <w:tc>
          <w:tcPr>
            <w:tcW w:w="1701" w:type="dxa"/>
            <w:tcBorders>
              <w:left w:val="single" w:sz="4" w:space="0" w:color="FFFFFF"/>
              <w:right w:val="single" w:sz="4" w:space="0" w:color="FFFFFF"/>
            </w:tcBorders>
            <w:vAlign w:val="center"/>
          </w:tcPr>
          <w:p w14:paraId="34CCFE0C" w14:textId="337B6A66" w:rsidR="0060052C" w:rsidRDefault="00A05CFC" w:rsidP="0060052C">
            <w:pPr>
              <w:jc w:val="center"/>
              <w:rPr>
                <w:rFonts w:ascii="Times New Roman" w:hAnsi="Times New Roman" w:cs="Times New Roman"/>
                <w:b/>
                <w:bCs/>
              </w:rPr>
            </w:pPr>
            <w:r w:rsidRPr="00A05CFC">
              <w:rPr>
                <w:rFonts w:ascii="Times New Roman" w:hAnsi="Times New Roman" w:cs="Times New Roman"/>
                <w:b/>
                <w:bCs/>
              </w:rPr>
              <w:t>Significant</w:t>
            </w:r>
          </w:p>
          <w:p w14:paraId="71D4DA44" w14:textId="07431D70"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Difference</w:t>
            </w:r>
          </w:p>
        </w:tc>
      </w:tr>
      <w:tr w:rsidR="0060052C" w:rsidRPr="00A05CFC" w14:paraId="5A7ABDDD" w14:textId="77777777" w:rsidTr="001D2E66">
        <w:trPr>
          <w:trHeight w:val="907"/>
        </w:trPr>
        <w:tc>
          <w:tcPr>
            <w:tcW w:w="1701" w:type="dxa"/>
            <w:tcBorders>
              <w:left w:val="single" w:sz="4" w:space="0" w:color="FFFFFF"/>
              <w:bottom w:val="single" w:sz="4" w:space="0" w:color="FFFFFF"/>
              <w:right w:val="single" w:sz="4" w:space="0" w:color="FFFFFF"/>
            </w:tcBorders>
            <w:vAlign w:val="center"/>
          </w:tcPr>
          <w:p w14:paraId="0E1AF80D"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Conceptual Understanding</w:t>
            </w:r>
          </w:p>
        </w:tc>
        <w:tc>
          <w:tcPr>
            <w:tcW w:w="1304" w:type="dxa"/>
            <w:tcBorders>
              <w:left w:val="single" w:sz="4" w:space="0" w:color="FFFFFF"/>
              <w:bottom w:val="single" w:sz="4" w:space="0" w:color="FFFFFF"/>
              <w:right w:val="single" w:sz="4" w:space="0" w:color="FFFFFF"/>
            </w:tcBorders>
            <w:vAlign w:val="center"/>
          </w:tcPr>
          <w:p w14:paraId="3BAAB7A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0.78</w:t>
            </w:r>
          </w:p>
        </w:tc>
        <w:tc>
          <w:tcPr>
            <w:tcW w:w="1134" w:type="dxa"/>
            <w:tcBorders>
              <w:left w:val="single" w:sz="4" w:space="0" w:color="FFFFFF"/>
              <w:bottom w:val="single" w:sz="4" w:space="0" w:color="FFFFFF"/>
              <w:right w:val="single" w:sz="4" w:space="0" w:color="FFFFFF"/>
            </w:tcBorders>
            <w:vAlign w:val="center"/>
          </w:tcPr>
          <w:p w14:paraId="1F556774"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0.79</w:t>
            </w:r>
          </w:p>
        </w:tc>
        <w:tc>
          <w:tcPr>
            <w:tcW w:w="1134" w:type="dxa"/>
            <w:tcBorders>
              <w:left w:val="single" w:sz="4" w:space="0" w:color="FFFFFF"/>
              <w:bottom w:val="single" w:sz="4" w:space="0" w:color="FFFFFF"/>
              <w:right w:val="single" w:sz="4" w:space="0" w:color="FFFFFF"/>
            </w:tcBorders>
            <w:vAlign w:val="center"/>
          </w:tcPr>
          <w:p w14:paraId="2A6E8D6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left w:val="single" w:sz="4" w:space="0" w:color="FFFFFF"/>
              <w:bottom w:val="single" w:sz="4" w:space="0" w:color="FFFFFF"/>
              <w:right w:val="single" w:sz="4" w:space="0" w:color="FFFFFF"/>
            </w:tcBorders>
            <w:vAlign w:val="center"/>
          </w:tcPr>
          <w:p w14:paraId="6E3488F4"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left w:val="single" w:sz="4" w:space="0" w:color="FFFFFF"/>
              <w:bottom w:val="single" w:sz="4" w:space="0" w:color="FFFFFF"/>
              <w:right w:val="single" w:sz="4" w:space="0" w:color="FFFFFF"/>
            </w:tcBorders>
            <w:vAlign w:val="center"/>
          </w:tcPr>
          <w:p w14:paraId="7076EA3B"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left w:val="single" w:sz="4" w:space="0" w:color="FFFFFF"/>
              <w:bottom w:val="single" w:sz="4" w:space="0" w:color="FFFFFF"/>
              <w:right w:val="single" w:sz="4" w:space="0" w:color="FFFFFF"/>
            </w:tcBorders>
            <w:shd w:val="clear" w:color="auto" w:fill="A8D08D" w:themeFill="accent6" w:themeFillTint="99"/>
            <w:vAlign w:val="center"/>
          </w:tcPr>
          <w:p w14:paraId="1D04C15D"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r w:rsidR="0060052C" w:rsidRPr="00A05CFC" w14:paraId="2CB150D0"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31D2A027"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Usability</w:t>
            </w:r>
          </w:p>
        </w:tc>
        <w:tc>
          <w:tcPr>
            <w:tcW w:w="1304" w:type="dxa"/>
            <w:tcBorders>
              <w:top w:val="single" w:sz="4" w:space="0" w:color="FFFFFF"/>
              <w:left w:val="single" w:sz="4" w:space="0" w:color="FFFFFF"/>
              <w:bottom w:val="single" w:sz="4" w:space="0" w:color="FFFFFF"/>
              <w:right w:val="single" w:sz="4" w:space="0" w:color="FFFFFF"/>
            </w:tcBorders>
            <w:vAlign w:val="center"/>
          </w:tcPr>
          <w:p w14:paraId="7856BBFA"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0.74</w:t>
            </w:r>
          </w:p>
        </w:tc>
        <w:tc>
          <w:tcPr>
            <w:tcW w:w="1134" w:type="dxa"/>
            <w:tcBorders>
              <w:top w:val="single" w:sz="4" w:space="0" w:color="FFFFFF"/>
              <w:left w:val="single" w:sz="4" w:space="0" w:color="FFFFFF"/>
              <w:bottom w:val="single" w:sz="4" w:space="0" w:color="FFFFFF"/>
              <w:right w:val="single" w:sz="4" w:space="0" w:color="FFFFFF"/>
            </w:tcBorders>
            <w:vAlign w:val="center"/>
          </w:tcPr>
          <w:p w14:paraId="32764E6C"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0.77</w:t>
            </w:r>
          </w:p>
        </w:tc>
        <w:tc>
          <w:tcPr>
            <w:tcW w:w="1134" w:type="dxa"/>
            <w:tcBorders>
              <w:top w:val="single" w:sz="4" w:space="0" w:color="FFFFFF"/>
              <w:left w:val="single" w:sz="4" w:space="0" w:color="FFFFFF"/>
              <w:bottom w:val="single" w:sz="4" w:space="0" w:color="FFFFFF"/>
              <w:right w:val="single" w:sz="4" w:space="0" w:color="FFFFFF"/>
            </w:tcBorders>
            <w:vAlign w:val="center"/>
          </w:tcPr>
          <w:p w14:paraId="7FAB4E9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top w:val="single" w:sz="4" w:space="0" w:color="FFFFFF"/>
              <w:left w:val="single" w:sz="4" w:space="0" w:color="FFFFFF"/>
              <w:bottom w:val="single" w:sz="4" w:space="0" w:color="FFFFFF"/>
              <w:right w:val="single" w:sz="4" w:space="0" w:color="FFFFFF"/>
            </w:tcBorders>
            <w:vAlign w:val="center"/>
          </w:tcPr>
          <w:p w14:paraId="69F2CA0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223D39FF"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8D08D" w:themeFill="accent6" w:themeFillTint="99"/>
            <w:vAlign w:val="center"/>
          </w:tcPr>
          <w:p w14:paraId="21E6C21B"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r w:rsidR="0060052C" w:rsidRPr="00A05CFC" w14:paraId="35284001"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29760E96"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Technological Requirements</w:t>
            </w:r>
          </w:p>
        </w:tc>
        <w:tc>
          <w:tcPr>
            <w:tcW w:w="1304" w:type="dxa"/>
            <w:tcBorders>
              <w:top w:val="single" w:sz="4" w:space="0" w:color="FFFFFF"/>
              <w:left w:val="single" w:sz="4" w:space="0" w:color="FFFFFF"/>
              <w:bottom w:val="single" w:sz="4" w:space="0" w:color="FFFFFF"/>
              <w:right w:val="single" w:sz="4" w:space="0" w:color="FFFFFF"/>
            </w:tcBorders>
            <w:vAlign w:val="center"/>
          </w:tcPr>
          <w:p w14:paraId="311A4DDC"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0.72</w:t>
            </w:r>
          </w:p>
        </w:tc>
        <w:tc>
          <w:tcPr>
            <w:tcW w:w="1134" w:type="dxa"/>
            <w:tcBorders>
              <w:top w:val="single" w:sz="4" w:space="0" w:color="FFFFFF"/>
              <w:left w:val="single" w:sz="4" w:space="0" w:color="FFFFFF"/>
              <w:bottom w:val="single" w:sz="4" w:space="0" w:color="FFFFFF"/>
              <w:right w:val="single" w:sz="4" w:space="0" w:color="FFFFFF"/>
            </w:tcBorders>
            <w:vAlign w:val="center"/>
          </w:tcPr>
          <w:p w14:paraId="5929C1B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0.80</w:t>
            </w:r>
          </w:p>
        </w:tc>
        <w:tc>
          <w:tcPr>
            <w:tcW w:w="1134" w:type="dxa"/>
            <w:tcBorders>
              <w:top w:val="single" w:sz="4" w:space="0" w:color="FFFFFF"/>
              <w:left w:val="single" w:sz="4" w:space="0" w:color="FFFFFF"/>
              <w:bottom w:val="single" w:sz="4" w:space="0" w:color="FFFFFF"/>
              <w:right w:val="single" w:sz="4" w:space="0" w:color="FFFFFF"/>
            </w:tcBorders>
            <w:vAlign w:val="center"/>
          </w:tcPr>
          <w:p w14:paraId="31F89C29"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2.038</w:t>
            </w:r>
          </w:p>
        </w:tc>
        <w:tc>
          <w:tcPr>
            <w:tcW w:w="1134" w:type="dxa"/>
            <w:tcBorders>
              <w:top w:val="single" w:sz="4" w:space="0" w:color="FFFFFF"/>
              <w:left w:val="single" w:sz="4" w:space="0" w:color="FFFFFF"/>
              <w:bottom w:val="single" w:sz="4" w:space="0" w:color="FFFFFF"/>
              <w:right w:val="single" w:sz="4" w:space="0" w:color="FFFFFF"/>
            </w:tcBorders>
            <w:vAlign w:val="center"/>
          </w:tcPr>
          <w:p w14:paraId="298BAA3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&lt;0.05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6E0DA0DF"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0.41</w:t>
            </w:r>
          </w:p>
        </w:tc>
        <w:tc>
          <w:tcPr>
            <w:tcW w:w="1701" w:type="dxa"/>
            <w:tcBorders>
              <w:top w:val="single" w:sz="4" w:space="0" w:color="FFFFFF"/>
              <w:left w:val="single" w:sz="4" w:space="0" w:color="FFFFFF"/>
              <w:bottom w:val="single" w:sz="4" w:space="0" w:color="FFFFFF"/>
              <w:right w:val="single" w:sz="4" w:space="0" w:color="FFFFFF"/>
            </w:tcBorders>
            <w:shd w:val="clear" w:color="auto" w:fill="FF6D6D"/>
            <w:vAlign w:val="center"/>
          </w:tcPr>
          <w:p w14:paraId="1BE18140" w14:textId="20ADA3D9"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Yes</w:t>
            </w:r>
          </w:p>
        </w:tc>
      </w:tr>
      <w:tr w:rsidR="0060052C" w:rsidRPr="00A05CFC" w14:paraId="691066C4"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642C3257"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Present Practices</w:t>
            </w:r>
          </w:p>
        </w:tc>
        <w:tc>
          <w:tcPr>
            <w:tcW w:w="1304" w:type="dxa"/>
            <w:tcBorders>
              <w:top w:val="single" w:sz="4" w:space="0" w:color="FFFFFF"/>
              <w:left w:val="single" w:sz="4" w:space="0" w:color="FFFFFF"/>
              <w:bottom w:val="single" w:sz="4" w:space="0" w:color="FFFFFF"/>
              <w:right w:val="single" w:sz="4" w:space="0" w:color="FFFFFF"/>
            </w:tcBorders>
            <w:vAlign w:val="center"/>
          </w:tcPr>
          <w:p w14:paraId="0E94147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0.70</w:t>
            </w:r>
          </w:p>
        </w:tc>
        <w:tc>
          <w:tcPr>
            <w:tcW w:w="1134" w:type="dxa"/>
            <w:tcBorders>
              <w:top w:val="single" w:sz="4" w:space="0" w:color="FFFFFF"/>
              <w:left w:val="single" w:sz="4" w:space="0" w:color="FFFFFF"/>
              <w:bottom w:val="single" w:sz="4" w:space="0" w:color="FFFFFF"/>
              <w:right w:val="single" w:sz="4" w:space="0" w:color="FFFFFF"/>
            </w:tcBorders>
            <w:vAlign w:val="center"/>
          </w:tcPr>
          <w:p w14:paraId="61E2D3ED"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0.66</w:t>
            </w:r>
          </w:p>
        </w:tc>
        <w:tc>
          <w:tcPr>
            <w:tcW w:w="1134" w:type="dxa"/>
            <w:tcBorders>
              <w:top w:val="single" w:sz="4" w:space="0" w:color="FFFFFF"/>
              <w:left w:val="single" w:sz="4" w:space="0" w:color="FFFFFF"/>
              <w:bottom w:val="single" w:sz="4" w:space="0" w:color="FFFFFF"/>
              <w:right w:val="single" w:sz="4" w:space="0" w:color="FFFFFF"/>
            </w:tcBorders>
            <w:vAlign w:val="center"/>
          </w:tcPr>
          <w:p w14:paraId="55E9271A"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-2.179</w:t>
            </w:r>
          </w:p>
        </w:tc>
        <w:tc>
          <w:tcPr>
            <w:tcW w:w="1134" w:type="dxa"/>
            <w:tcBorders>
              <w:top w:val="single" w:sz="4" w:space="0" w:color="FFFFFF"/>
              <w:left w:val="single" w:sz="4" w:space="0" w:color="FFFFFF"/>
              <w:bottom w:val="single" w:sz="4" w:space="0" w:color="FFFFFF"/>
              <w:right w:val="single" w:sz="4" w:space="0" w:color="FFFFFF"/>
            </w:tcBorders>
            <w:vAlign w:val="center"/>
          </w:tcPr>
          <w:p w14:paraId="6C8E01E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&lt;0.05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1EEB3B75"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0.36</w:t>
            </w:r>
          </w:p>
        </w:tc>
        <w:tc>
          <w:tcPr>
            <w:tcW w:w="1701" w:type="dxa"/>
            <w:tcBorders>
              <w:top w:val="single" w:sz="4" w:space="0" w:color="FFFFFF"/>
              <w:left w:val="single" w:sz="4" w:space="0" w:color="FFFFFF"/>
              <w:bottom w:val="single" w:sz="4" w:space="0" w:color="FFFFFF"/>
              <w:right w:val="single" w:sz="4" w:space="0" w:color="FFFFFF"/>
            </w:tcBorders>
            <w:shd w:val="clear" w:color="auto" w:fill="FF6D6D"/>
            <w:vAlign w:val="center"/>
          </w:tcPr>
          <w:p w14:paraId="4154B0D3" w14:textId="407378AD"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Yes</w:t>
            </w:r>
          </w:p>
        </w:tc>
      </w:tr>
      <w:tr w:rsidR="0060052C" w:rsidRPr="00A05CFC" w14:paraId="48E94DE3" w14:textId="77777777" w:rsidTr="001D2E66">
        <w:trPr>
          <w:trHeight w:val="907"/>
        </w:trPr>
        <w:tc>
          <w:tcPr>
            <w:tcW w:w="1701" w:type="dxa"/>
            <w:tcBorders>
              <w:top w:val="single" w:sz="4" w:space="0" w:color="FFFFFF"/>
              <w:left w:val="single" w:sz="4" w:space="0" w:color="FFFFFF"/>
              <w:right w:val="single" w:sz="4" w:space="0" w:color="FFFFFF"/>
            </w:tcBorders>
            <w:vAlign w:val="center"/>
          </w:tcPr>
          <w:p w14:paraId="35435E6C"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Policy Guidelines</w:t>
            </w:r>
          </w:p>
        </w:tc>
        <w:tc>
          <w:tcPr>
            <w:tcW w:w="1304" w:type="dxa"/>
            <w:tcBorders>
              <w:top w:val="single" w:sz="4" w:space="0" w:color="FFFFFF"/>
              <w:left w:val="single" w:sz="4" w:space="0" w:color="FFFFFF"/>
              <w:right w:val="single" w:sz="4" w:space="0" w:color="FFFFFF"/>
            </w:tcBorders>
            <w:vAlign w:val="center"/>
          </w:tcPr>
          <w:p w14:paraId="748A1A51"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0.66</w:t>
            </w:r>
          </w:p>
        </w:tc>
        <w:tc>
          <w:tcPr>
            <w:tcW w:w="1134" w:type="dxa"/>
            <w:tcBorders>
              <w:top w:val="single" w:sz="4" w:space="0" w:color="FFFFFF"/>
              <w:left w:val="single" w:sz="4" w:space="0" w:color="FFFFFF"/>
              <w:right w:val="single" w:sz="4" w:space="0" w:color="FFFFFF"/>
            </w:tcBorders>
            <w:vAlign w:val="center"/>
          </w:tcPr>
          <w:p w14:paraId="71208165"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0.68</w:t>
            </w:r>
          </w:p>
        </w:tc>
        <w:tc>
          <w:tcPr>
            <w:tcW w:w="1134" w:type="dxa"/>
            <w:tcBorders>
              <w:top w:val="single" w:sz="4" w:space="0" w:color="FFFFFF"/>
              <w:left w:val="single" w:sz="4" w:space="0" w:color="FFFFFF"/>
              <w:right w:val="single" w:sz="4" w:space="0" w:color="FFFFFF"/>
            </w:tcBorders>
            <w:vAlign w:val="center"/>
          </w:tcPr>
          <w:p w14:paraId="0710F628"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top w:val="single" w:sz="4" w:space="0" w:color="FFFFFF"/>
              <w:left w:val="single" w:sz="4" w:space="0" w:color="FFFFFF"/>
              <w:right w:val="single" w:sz="4" w:space="0" w:color="FFFFFF"/>
            </w:tcBorders>
            <w:vAlign w:val="center"/>
          </w:tcPr>
          <w:p w14:paraId="30C016C0"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top w:val="single" w:sz="4" w:space="0" w:color="FFFFFF"/>
              <w:left w:val="single" w:sz="4" w:space="0" w:color="FFFFFF"/>
              <w:right w:val="single" w:sz="4" w:space="0" w:color="FFFFFF"/>
            </w:tcBorders>
            <w:vAlign w:val="center"/>
          </w:tcPr>
          <w:p w14:paraId="5435A2C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top w:val="single" w:sz="4" w:space="0" w:color="FFFFFF"/>
              <w:left w:val="single" w:sz="4" w:space="0" w:color="FFFFFF"/>
              <w:right w:val="single" w:sz="4" w:space="0" w:color="FFFFFF"/>
            </w:tcBorders>
            <w:shd w:val="clear" w:color="auto" w:fill="A8D08D" w:themeFill="accent6" w:themeFillTint="99"/>
            <w:vAlign w:val="center"/>
          </w:tcPr>
          <w:p w14:paraId="28B1D29B"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bl>
    <w:p w14:paraId="5952CE40" w14:textId="77777777" w:rsidR="00A53F8D" w:rsidRDefault="00A53F8D" w:rsidP="00A05CFC">
      <w:pPr>
        <w:spacing w:after="0" w:line="240" w:lineRule="auto"/>
        <w:jc w:val="both"/>
        <w:rPr>
          <w:rFonts w:ascii="Times New Roman" w:hAnsi="Times New Roman" w:cs="Times New Roman"/>
          <w:b/>
          <w:bCs/>
          <w:i/>
          <w:iCs/>
          <w:sz w:val="24"/>
          <w:szCs w:val="24"/>
        </w:rPr>
      </w:pPr>
    </w:p>
    <w:p w14:paraId="3E19C363" w14:textId="77777777" w:rsidR="00A53F8D" w:rsidRPr="00A05CFC" w:rsidRDefault="00A53F8D" w:rsidP="00A05CFC">
      <w:pPr>
        <w:spacing w:after="0" w:line="240" w:lineRule="auto"/>
        <w:jc w:val="both"/>
        <w:rPr>
          <w:rFonts w:ascii="Times New Roman" w:hAnsi="Times New Roman" w:cs="Times New Roman"/>
          <w:sz w:val="24"/>
          <w:szCs w:val="24"/>
        </w:rPr>
      </w:pPr>
    </w:p>
    <w:p w14:paraId="0F78C9D1" w14:textId="64CF0CCD" w:rsidR="00A53F8D" w:rsidRDefault="0060052C" w:rsidP="00A05CFC">
      <w:pPr>
        <w:spacing w:after="0" w:line="240" w:lineRule="auto"/>
        <w:jc w:val="both"/>
        <w:rPr>
          <w:rFonts w:ascii="Times New Roman" w:hAnsi="Times New Roman" w:cs="Times New Roman"/>
          <w:sz w:val="24"/>
          <w:szCs w:val="24"/>
        </w:rPr>
      </w:pPr>
      <w:r w:rsidRPr="0060052C">
        <w:rPr>
          <w:rFonts w:ascii="Times New Roman" w:hAnsi="Times New Roman" w:cs="Times New Roman"/>
          <w:sz w:val="24"/>
          <w:szCs w:val="24"/>
        </w:rPr>
        <w:t>Science stream students scored significantly higher in Technological Requirements, while humanities students scored higher in Present Practices, with small-to-moderate effect sizes.</w:t>
      </w:r>
    </w:p>
    <w:p w14:paraId="02372DC9" w14:textId="697E2A0E" w:rsidR="00A53F8D" w:rsidRDefault="00A53F8D" w:rsidP="00A05CFC">
      <w:pPr>
        <w:spacing w:after="0" w:line="240" w:lineRule="auto"/>
        <w:jc w:val="both"/>
        <w:rPr>
          <w:rFonts w:ascii="Times New Roman" w:hAnsi="Times New Roman" w:cs="Times New Roman"/>
          <w:sz w:val="24"/>
          <w:szCs w:val="24"/>
        </w:rPr>
      </w:pPr>
    </w:p>
    <w:p w14:paraId="2A06CF57" w14:textId="77777777" w:rsidR="0060052C" w:rsidRPr="0060052C" w:rsidRDefault="0060052C" w:rsidP="0060052C">
      <w:pPr>
        <w:spacing w:line="240" w:lineRule="auto"/>
        <w:jc w:val="both"/>
        <w:rPr>
          <w:rFonts w:ascii="Times New Roman" w:hAnsi="Times New Roman" w:cs="Times New Roman"/>
          <w:b/>
          <w:bCs/>
          <w:sz w:val="24"/>
          <w:szCs w:val="24"/>
        </w:rPr>
      </w:pPr>
      <w:r w:rsidRPr="0060052C">
        <w:rPr>
          <w:rFonts w:ascii="Times New Roman" w:hAnsi="Times New Roman" w:cs="Times New Roman"/>
          <w:b/>
          <w:bCs/>
          <w:sz w:val="24"/>
          <w:szCs w:val="24"/>
        </w:rPr>
        <w:t>Summary of Key Statistical Findings</w:t>
      </w:r>
    </w:p>
    <w:p w14:paraId="624CF912"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Overall awareness was moderate for most students (M = 14.22).</w:t>
      </w:r>
    </w:p>
    <w:p w14:paraId="3DFC17C8"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No significant overall difference in awareness between genders or streams.</w:t>
      </w:r>
    </w:p>
    <w:p w14:paraId="0B29313F"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Female students scored significantly higher in student support and policy-related domains.</w:t>
      </w:r>
    </w:p>
    <w:p w14:paraId="5969A1AE" w14:textId="4E2E7A90" w:rsidR="0023338E" w:rsidRDefault="0060052C" w:rsidP="0023338E">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Science students showed better technical understanding; humanities students better appreciated pedagogical contrasts.</w:t>
      </w:r>
      <w:bookmarkEnd w:id="3"/>
    </w:p>
    <w:p w14:paraId="4B364CD0" w14:textId="77777777" w:rsidR="0060052C" w:rsidRPr="0060052C" w:rsidRDefault="0060052C" w:rsidP="002D1F00">
      <w:pPr>
        <w:spacing w:line="240" w:lineRule="auto"/>
        <w:jc w:val="both"/>
        <w:rPr>
          <w:rFonts w:ascii="Times New Roman" w:hAnsi="Times New Roman" w:cs="Times New Roman"/>
          <w:sz w:val="24"/>
          <w:szCs w:val="24"/>
        </w:rPr>
      </w:pPr>
    </w:p>
    <w:p w14:paraId="3B2DEC08" w14:textId="77777777" w:rsidR="001C7E54" w:rsidRPr="003B2863" w:rsidRDefault="001C7E54" w:rsidP="00F509FC">
      <w:pPr>
        <w:spacing w:line="240" w:lineRule="auto"/>
        <w:jc w:val="both"/>
        <w:rPr>
          <w:rFonts w:ascii="Times New Roman" w:hAnsi="Times New Roman" w:cs="Times New Roman"/>
          <w:sz w:val="6"/>
          <w:szCs w:val="6"/>
        </w:rPr>
      </w:pPr>
    </w:p>
    <w:p w14:paraId="4F3F53AF" w14:textId="0047A762" w:rsidR="00F03272" w:rsidRDefault="0023338E" w:rsidP="0095504A">
      <w:pPr>
        <w:jc w:val="both"/>
        <w:rPr>
          <w:rFonts w:ascii="Times New Roman" w:hAnsi="Times New Roman" w:cs="Times New Roman"/>
          <w:b/>
          <w:bCs/>
          <w:sz w:val="28"/>
          <w:szCs w:val="28"/>
        </w:rPr>
      </w:pPr>
      <w:r>
        <w:rPr>
          <w:rFonts w:ascii="Times New Roman" w:hAnsi="Times New Roman" w:cs="Times New Roman"/>
          <w:b/>
          <w:bCs/>
          <w:sz w:val="28"/>
          <w:szCs w:val="28"/>
        </w:rPr>
        <w:lastRenderedPageBreak/>
        <w:t>DISCUSSION</w:t>
      </w:r>
    </w:p>
    <w:p w14:paraId="3C9E885F" w14:textId="77777777" w:rsid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This study explored the awareness of Massive Open Online Courses (MOOCs) among secondary-grade prospective teachers, with attention to differences based on gender and academic stream. The findings contribute to the growing discourse on digital readiness and professional development in Indian teacher education.</w:t>
      </w:r>
    </w:p>
    <w:p w14:paraId="0C5B76AC" w14:textId="77777777" w:rsidR="002D1F00" w:rsidRPr="002D1F00" w:rsidRDefault="002D1F00" w:rsidP="002D1F00">
      <w:pPr>
        <w:jc w:val="both"/>
        <w:rPr>
          <w:rFonts w:ascii="Times New Roman" w:hAnsi="Times New Roman" w:cs="Times New Roman"/>
          <w:sz w:val="24"/>
          <w:szCs w:val="24"/>
        </w:rPr>
      </w:pPr>
    </w:p>
    <w:p w14:paraId="28E28B64"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MOOC Awareness Levels Among Prospective Teachers</w:t>
      </w:r>
    </w:p>
    <w:p w14:paraId="160A3DDE"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 xml:space="preserve">The majority of participants in this study demonstrated moderate awareness of MOOCs, with relatively balanced proportions at the low and high ends of the spectrum. This pattern aligns with prior studies in the Indian context, such as those by Shaikh (2017) and Singh and Chauhan (2017), who noted limited understanding of MOOC structures, certification mechanisms, and pedagogical integration among teacher trainees. The findings also resonate with international studies. Muzafarova and Kaya (2014), and Shakya et al. (2016), documented low awareness in Georgia and Nepal, respectively. More recently, Mondal and </w:t>
      </w:r>
      <w:proofErr w:type="spellStart"/>
      <w:r w:rsidRPr="002D1F00">
        <w:rPr>
          <w:rFonts w:ascii="Times New Roman" w:hAnsi="Times New Roman" w:cs="Times New Roman"/>
          <w:sz w:val="24"/>
          <w:szCs w:val="24"/>
        </w:rPr>
        <w:t>Parhi</w:t>
      </w:r>
      <w:proofErr w:type="spellEnd"/>
      <w:r w:rsidRPr="002D1F00">
        <w:rPr>
          <w:rFonts w:ascii="Times New Roman" w:hAnsi="Times New Roman" w:cs="Times New Roman"/>
          <w:sz w:val="24"/>
          <w:szCs w:val="24"/>
        </w:rPr>
        <w:t xml:space="preserve"> (2024) reported that only 39.5% of teacher education students in Indian universities were aware of SWAYAM MOOCs, highlighting persistent gaps in platform familiarity, certification options, and course navigation. Similarly, White and </w:t>
      </w:r>
      <w:proofErr w:type="spellStart"/>
      <w:r w:rsidRPr="002D1F00">
        <w:rPr>
          <w:rFonts w:ascii="Times New Roman" w:hAnsi="Times New Roman" w:cs="Times New Roman"/>
          <w:sz w:val="24"/>
          <w:szCs w:val="24"/>
        </w:rPr>
        <w:t>Panyawongngam</w:t>
      </w:r>
      <w:proofErr w:type="spellEnd"/>
      <w:r w:rsidRPr="002D1F00">
        <w:rPr>
          <w:rFonts w:ascii="Times New Roman" w:hAnsi="Times New Roman" w:cs="Times New Roman"/>
          <w:sz w:val="24"/>
          <w:szCs w:val="24"/>
        </w:rPr>
        <w:t xml:space="preserve"> (2025) found low MOOC awareness among Thai undergraduates despite widespread digital access.</w:t>
      </w:r>
    </w:p>
    <w:p w14:paraId="21F42C84"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These findings suggest that while digital access is growing, comprehensive understanding and engagement with MOOCs remain limited. This points to a pressing need to reevaluate how MOOCs are introduced within pre-service teacher education programs, particularly in terms of structured orientation and curricular alignment.</w:t>
      </w:r>
    </w:p>
    <w:p w14:paraId="2F5C86A4"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Gender-Based Differences in MOOC Awareness</w:t>
      </w:r>
    </w:p>
    <w:p w14:paraId="0BA60E62"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Although overall awareness levels did not differ significantly between male and female participants, domain-specific differences were observed. Female participants scored higher in conceptual understanding, present practices, and policy knowledge. These results are consistent with earlier observations by Shaikh (2017), who found that female teacher trainees were more attuned to support mechanisms and the pedagogical value of MOOCs. Macugay et al. (2025) similarly emphasized that institutional experience and teaching exposure influenced MOOC awareness levels, particularly among faculty. The current findings suggest that gendered patterns of digital engagement may not be uniform and that female pre-service teachers may be more receptive to the educational potential of MOOCs when properly introduced.</w:t>
      </w:r>
    </w:p>
    <w:p w14:paraId="7C82800B"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Academic Stream-Based Differences</w:t>
      </w:r>
    </w:p>
    <w:p w14:paraId="357719E9"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While no significant difference emerged in overall awareness between science and humanities students, domain-specific variations were evident. Science stream participants scored higher in technological requirements, whereas humanities students performed better in present practices. These results support earlier studies by Patwardhan and Yadav (2022), who found that technical disciplines generally reported higher MOOC familiarity, particularly with platform navigation and digital tools. Macugay et al. (2025) also observed greater awareness among students in business and technology fields, indicating that academic culture and curriculum exposure play a role in digital platform familiarity.</w:t>
      </w:r>
    </w:p>
    <w:p w14:paraId="3529D97C"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lastRenderedPageBreak/>
        <w:t>Implications for Teacher Education</w:t>
      </w:r>
    </w:p>
    <w:p w14:paraId="21893BB9"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 xml:space="preserve">The findings of this study point to critical gaps in the way MOOCs are integrated—or not integrated—into teacher training programs. Participants demonstrated only partial awareness of domain-specific MOOC features, reflecting an incomplete picture of how such platforms function or how they might be used for professional development. These results echo calls from Singh and Bhandari (2025) and Mondal and </w:t>
      </w:r>
      <w:proofErr w:type="spellStart"/>
      <w:r w:rsidRPr="002D1F00">
        <w:rPr>
          <w:rFonts w:ascii="Times New Roman" w:hAnsi="Times New Roman" w:cs="Times New Roman"/>
          <w:sz w:val="24"/>
          <w:szCs w:val="24"/>
        </w:rPr>
        <w:t>Parhi</w:t>
      </w:r>
      <w:proofErr w:type="spellEnd"/>
      <w:r w:rsidRPr="002D1F00">
        <w:rPr>
          <w:rFonts w:ascii="Times New Roman" w:hAnsi="Times New Roman" w:cs="Times New Roman"/>
          <w:sz w:val="24"/>
          <w:szCs w:val="24"/>
        </w:rPr>
        <w:t xml:space="preserve"> (2024), who emphasized that awareness alone does not translate into meaningful adoption. They identify time constraints, infrastructure challenges, and lack of institutional support as major deterrents to consistent engagement. These challenges persist even among students who view MOOCs as high-quality and professionally relevant.</w:t>
      </w:r>
    </w:p>
    <w:p w14:paraId="28C4DB3C" w14:textId="77777777" w:rsidR="002D1F00" w:rsidRPr="002D1F00" w:rsidRDefault="002D1F00" w:rsidP="002D1F00">
      <w:pPr>
        <w:jc w:val="both"/>
        <w:rPr>
          <w:rFonts w:ascii="Times New Roman" w:hAnsi="Times New Roman" w:cs="Times New Roman"/>
          <w:sz w:val="24"/>
          <w:szCs w:val="24"/>
        </w:rPr>
      </w:pPr>
      <w:r w:rsidRPr="002D1F00">
        <w:rPr>
          <w:rFonts w:ascii="Times New Roman" w:hAnsi="Times New Roman" w:cs="Times New Roman"/>
          <w:sz w:val="24"/>
          <w:szCs w:val="24"/>
        </w:rPr>
        <w:t>As a result, teacher education institutions should adopt a more systematic approach to MOOC integration. This includes embedding MOOC navigation and course participation within the curriculum, clarifying credit transfer and certification systems, and ensuring that students are aware of national-level initiatives like SWAYAM and the Academic Bank of Credits. Moreover, orientation programs and mentorship can help demystify MOOCs and foster a culture of digital engagement among future educators.</w:t>
      </w:r>
    </w:p>
    <w:p w14:paraId="231B5B06"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Limitations and Future Directions</w:t>
      </w:r>
    </w:p>
    <w:p w14:paraId="6E2D58F8" w14:textId="49E73682" w:rsidR="0060052C" w:rsidRPr="0060052C" w:rsidRDefault="002D1F00" w:rsidP="0060052C">
      <w:pPr>
        <w:jc w:val="both"/>
        <w:rPr>
          <w:rFonts w:ascii="Times New Roman" w:hAnsi="Times New Roman" w:cs="Times New Roman"/>
          <w:sz w:val="24"/>
          <w:szCs w:val="24"/>
        </w:rPr>
      </w:pPr>
      <w:r w:rsidRPr="002D1F00">
        <w:rPr>
          <w:rFonts w:ascii="Times New Roman" w:hAnsi="Times New Roman" w:cs="Times New Roman"/>
          <w:sz w:val="24"/>
          <w:szCs w:val="24"/>
        </w:rPr>
        <w:t xml:space="preserve">This study was limited to B.Ed. students in Mysore city, and findings may not generalize to other regions or educational levels. The use of a quantitative awareness test, while valid and reliable, does not capture students’ actual usage </w:t>
      </w:r>
      <w:proofErr w:type="spellStart"/>
      <w:r w:rsidRPr="002D1F00">
        <w:rPr>
          <w:rFonts w:ascii="Times New Roman" w:hAnsi="Times New Roman" w:cs="Times New Roman"/>
          <w:sz w:val="24"/>
          <w:szCs w:val="24"/>
        </w:rPr>
        <w:t>behavior</w:t>
      </w:r>
      <w:proofErr w:type="spellEnd"/>
      <w:r w:rsidRPr="002D1F00">
        <w:rPr>
          <w:rFonts w:ascii="Times New Roman" w:hAnsi="Times New Roman" w:cs="Times New Roman"/>
          <w:sz w:val="24"/>
          <w:szCs w:val="24"/>
        </w:rPr>
        <w:t xml:space="preserve"> or perceptions of MOOC effectiveness. Future research could incorporate qualitative methods to explore learner attitudes, institutional barriers, and motivational factors in greater depth. Longitudinal studies could also examine how awareness evolves during the teacher training process and whether it leads to actual adoption and integration in professional practice.</w:t>
      </w:r>
    </w:p>
    <w:p w14:paraId="5CBB1927" w14:textId="77777777" w:rsidR="0060052C" w:rsidRPr="0060052C" w:rsidRDefault="0060052C" w:rsidP="0060052C">
      <w:pPr>
        <w:jc w:val="both"/>
        <w:rPr>
          <w:rFonts w:ascii="Times New Roman" w:hAnsi="Times New Roman" w:cs="Times New Roman"/>
          <w:b/>
          <w:bCs/>
          <w:sz w:val="24"/>
          <w:szCs w:val="24"/>
        </w:rPr>
      </w:pPr>
      <w:r w:rsidRPr="0060052C">
        <w:rPr>
          <w:rFonts w:ascii="Times New Roman" w:hAnsi="Times New Roman" w:cs="Times New Roman"/>
          <w:b/>
          <w:bCs/>
          <w:sz w:val="24"/>
          <w:szCs w:val="24"/>
        </w:rPr>
        <w:t>Suggestions for Future Research</w:t>
      </w:r>
    </w:p>
    <w:p w14:paraId="10C0DF23" w14:textId="77777777" w:rsidR="0060052C" w:rsidRPr="0060052C" w:rsidRDefault="0060052C" w:rsidP="0060052C">
      <w:pPr>
        <w:jc w:val="both"/>
        <w:rPr>
          <w:rFonts w:ascii="Times New Roman" w:hAnsi="Times New Roman" w:cs="Times New Roman"/>
          <w:sz w:val="24"/>
          <w:szCs w:val="24"/>
        </w:rPr>
      </w:pPr>
      <w:r w:rsidRPr="0060052C">
        <w:rPr>
          <w:rFonts w:ascii="Times New Roman" w:hAnsi="Times New Roman" w:cs="Times New Roman"/>
          <w:sz w:val="24"/>
          <w:szCs w:val="24"/>
        </w:rPr>
        <w:t>Future studies could:</w:t>
      </w:r>
    </w:p>
    <w:p w14:paraId="523CFFC1"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Employ mixed methods to explore perceptions, attitudes, and motivations toward MOOCs</w:t>
      </w:r>
    </w:p>
    <w:p w14:paraId="092C783E"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Investigate the impact of MOOC usage on teaching competencies or digital readiness</w:t>
      </w:r>
    </w:p>
    <w:p w14:paraId="0A0D8FEF"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Conduct longitudinal studies to track changes in awareness and usage over time</w:t>
      </w:r>
    </w:p>
    <w:p w14:paraId="45577A26"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Compare MOOC awareness across rural vs urban teacher education contexts</w:t>
      </w:r>
    </w:p>
    <w:p w14:paraId="3033FA79" w14:textId="77777777" w:rsidR="00C030FC" w:rsidRPr="003B2863" w:rsidRDefault="00C030FC" w:rsidP="0023338E">
      <w:pPr>
        <w:jc w:val="both"/>
        <w:rPr>
          <w:rFonts w:ascii="Times New Roman" w:hAnsi="Times New Roman" w:cs="Times New Roman"/>
          <w:sz w:val="6"/>
          <w:szCs w:val="6"/>
        </w:rPr>
      </w:pPr>
    </w:p>
    <w:p w14:paraId="4DEA52F4" w14:textId="2C1A7722" w:rsidR="00C030FC" w:rsidRDefault="00C030FC" w:rsidP="0023338E">
      <w:pPr>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11F538BB" w14:textId="77777777" w:rsidR="003A224B" w:rsidRPr="003A224B" w:rsidRDefault="003A224B" w:rsidP="003A224B">
      <w:pPr>
        <w:jc w:val="both"/>
        <w:rPr>
          <w:rFonts w:ascii="Times New Roman" w:hAnsi="Times New Roman" w:cs="Times New Roman"/>
          <w:sz w:val="24"/>
          <w:szCs w:val="24"/>
        </w:rPr>
      </w:pPr>
      <w:r w:rsidRPr="003A224B">
        <w:rPr>
          <w:rFonts w:ascii="Times New Roman" w:hAnsi="Times New Roman" w:cs="Times New Roman"/>
          <w:sz w:val="24"/>
          <w:szCs w:val="24"/>
        </w:rPr>
        <w:t xml:space="preserve">This study examined the awareness of Massive Open Online Courses (MOOCs) among secondary-grade prospective teachers, focusing on domain-specific knowledge and differences by gender and academic stream. The results revealed that while a majority of participants demonstrated moderate awareness, substantial gaps persist in their understanding of policy features, certification processes, technological requirements, and present practices. These findings align with national and international research that highlights the gap between digital </w:t>
      </w:r>
      <w:r w:rsidRPr="003A224B">
        <w:rPr>
          <w:rFonts w:ascii="Times New Roman" w:hAnsi="Times New Roman" w:cs="Times New Roman"/>
          <w:sz w:val="24"/>
          <w:szCs w:val="24"/>
        </w:rPr>
        <w:lastRenderedPageBreak/>
        <w:t xml:space="preserve">access and meaningful engagement with MOOCs (Mondal &amp; </w:t>
      </w:r>
      <w:proofErr w:type="spellStart"/>
      <w:r w:rsidRPr="003A224B">
        <w:rPr>
          <w:rFonts w:ascii="Times New Roman" w:hAnsi="Times New Roman" w:cs="Times New Roman"/>
          <w:sz w:val="24"/>
          <w:szCs w:val="24"/>
        </w:rPr>
        <w:t>Parhi</w:t>
      </w:r>
      <w:proofErr w:type="spellEnd"/>
      <w:r w:rsidRPr="003A224B">
        <w:rPr>
          <w:rFonts w:ascii="Times New Roman" w:hAnsi="Times New Roman" w:cs="Times New Roman"/>
          <w:sz w:val="24"/>
          <w:szCs w:val="24"/>
        </w:rPr>
        <w:t xml:space="preserve">, 2024; White &amp; </w:t>
      </w:r>
      <w:proofErr w:type="spellStart"/>
      <w:r w:rsidRPr="003A224B">
        <w:rPr>
          <w:rFonts w:ascii="Times New Roman" w:hAnsi="Times New Roman" w:cs="Times New Roman"/>
          <w:sz w:val="24"/>
          <w:szCs w:val="24"/>
        </w:rPr>
        <w:t>Panyawongngam</w:t>
      </w:r>
      <w:proofErr w:type="spellEnd"/>
      <w:r w:rsidRPr="003A224B">
        <w:rPr>
          <w:rFonts w:ascii="Times New Roman" w:hAnsi="Times New Roman" w:cs="Times New Roman"/>
          <w:sz w:val="24"/>
          <w:szCs w:val="24"/>
        </w:rPr>
        <w:t>, 2025).</w:t>
      </w:r>
    </w:p>
    <w:p w14:paraId="078E06C6" w14:textId="77777777" w:rsidR="003A224B" w:rsidRPr="003A224B" w:rsidRDefault="003A224B" w:rsidP="003A224B">
      <w:pPr>
        <w:jc w:val="both"/>
        <w:rPr>
          <w:rFonts w:ascii="Times New Roman" w:hAnsi="Times New Roman" w:cs="Times New Roman"/>
          <w:sz w:val="24"/>
          <w:szCs w:val="24"/>
        </w:rPr>
      </w:pPr>
      <w:r w:rsidRPr="003A224B">
        <w:rPr>
          <w:rFonts w:ascii="Times New Roman" w:hAnsi="Times New Roman" w:cs="Times New Roman"/>
          <w:sz w:val="24"/>
          <w:szCs w:val="24"/>
        </w:rPr>
        <w:t>Domain-wise variations in awareness based on gender and academic stream were also observed. Female participants exhibited greater understanding in areas such as policy knowledge and pedagogical relevance, while science stream students scored higher in technological requirements. These results are consistent with earlier research showing that institutional support, academic discipline, and teaching exposure significantly influence MOOC awareness (Macugay et al., 2025; Patwardhan &amp; Yadav, 2022).</w:t>
      </w:r>
    </w:p>
    <w:p w14:paraId="6EA68D2E" w14:textId="77777777" w:rsidR="003A224B" w:rsidRPr="003A224B" w:rsidRDefault="003A224B" w:rsidP="003A224B">
      <w:pPr>
        <w:jc w:val="both"/>
        <w:rPr>
          <w:rFonts w:ascii="Times New Roman" w:hAnsi="Times New Roman" w:cs="Times New Roman"/>
          <w:sz w:val="24"/>
          <w:szCs w:val="24"/>
        </w:rPr>
      </w:pPr>
      <w:r w:rsidRPr="003A224B">
        <w:rPr>
          <w:rFonts w:ascii="Times New Roman" w:hAnsi="Times New Roman" w:cs="Times New Roman"/>
          <w:sz w:val="24"/>
          <w:szCs w:val="24"/>
        </w:rPr>
        <w:t>Despite government-backed platforms like SWAYAM and widespread internet connectivity, awareness among future teachers remains fragmented. As noted in studies by Singh and Bhandari (2025), infrastructural barriers, time constraints, and a lack of curriculum alignment continue to limit actual usage, even among students who view MOOCs positively. This reinforces the need for targeted efforts to move beyond superficial awareness toward structured adoption.</w:t>
      </w:r>
    </w:p>
    <w:p w14:paraId="068300D8" w14:textId="77777777" w:rsidR="003A224B" w:rsidRPr="003A224B" w:rsidRDefault="003A224B" w:rsidP="003A224B">
      <w:pPr>
        <w:jc w:val="both"/>
        <w:rPr>
          <w:rFonts w:ascii="Times New Roman" w:hAnsi="Times New Roman" w:cs="Times New Roman"/>
          <w:sz w:val="24"/>
          <w:szCs w:val="24"/>
        </w:rPr>
      </w:pPr>
      <w:r w:rsidRPr="003A224B">
        <w:rPr>
          <w:rFonts w:ascii="Times New Roman" w:hAnsi="Times New Roman" w:cs="Times New Roman"/>
          <w:sz w:val="24"/>
          <w:szCs w:val="24"/>
        </w:rPr>
        <w:t>To address these gaps, teacher education institutions should integrate MOOC training within the formal curriculum, provide orientation programs on platform usage and credit systems, and create space for hands-on engagement with digital learning tools. Institutional incentives and mentorship models can also help foster long-term digital readiness among pre-service teachers.</w:t>
      </w:r>
    </w:p>
    <w:p w14:paraId="6AC41DEE" w14:textId="77777777" w:rsidR="003A224B" w:rsidRPr="003A224B" w:rsidRDefault="003A224B" w:rsidP="003A224B">
      <w:pPr>
        <w:jc w:val="both"/>
        <w:rPr>
          <w:rFonts w:ascii="Times New Roman" w:hAnsi="Times New Roman" w:cs="Times New Roman"/>
          <w:sz w:val="24"/>
          <w:szCs w:val="24"/>
        </w:rPr>
      </w:pPr>
      <w:r w:rsidRPr="003A224B">
        <w:rPr>
          <w:rFonts w:ascii="Times New Roman" w:hAnsi="Times New Roman" w:cs="Times New Roman"/>
          <w:sz w:val="24"/>
          <w:szCs w:val="24"/>
        </w:rPr>
        <w:t>In sum, while MOOCs offer significant potential for enhancing teacher education, their impact will remain limited unless awareness is matched by structured support, institutional clarity, and sustained curricular integration. This study contributes to this discourse by providing a domain-based understanding of MOOC awareness among future teachers and offers actionable pathways for bridging the gap between access and adoption.</w:t>
      </w:r>
    </w:p>
    <w:p w14:paraId="64BFD832" w14:textId="47F06C2E" w:rsidR="0066338F" w:rsidRPr="0066338F" w:rsidRDefault="0066338F" w:rsidP="0066338F">
      <w:pPr>
        <w:jc w:val="both"/>
        <w:rPr>
          <w:rFonts w:ascii="Times New Roman" w:hAnsi="Times New Roman" w:cs="Times New Roman"/>
          <w:sz w:val="24"/>
          <w:szCs w:val="24"/>
        </w:rPr>
      </w:pPr>
    </w:p>
    <w:p w14:paraId="78837666" w14:textId="2FCFC03D" w:rsidR="00C030FC" w:rsidRPr="00C030FC" w:rsidRDefault="00C030FC" w:rsidP="00C030FC">
      <w:pPr>
        <w:jc w:val="both"/>
        <w:rPr>
          <w:rFonts w:ascii="Times New Roman" w:hAnsi="Times New Roman" w:cs="Times New Roman"/>
          <w:sz w:val="24"/>
          <w:szCs w:val="24"/>
        </w:rPr>
      </w:pPr>
    </w:p>
    <w:p w14:paraId="4D915AA2" w14:textId="77777777" w:rsidR="003B2863" w:rsidRPr="00C24A2E" w:rsidRDefault="003B2863" w:rsidP="0095504A">
      <w:pPr>
        <w:jc w:val="both"/>
        <w:rPr>
          <w:rFonts w:ascii="Times New Roman" w:hAnsi="Times New Roman" w:cs="Times New Roman"/>
          <w:sz w:val="24"/>
          <w:szCs w:val="24"/>
        </w:rPr>
      </w:pPr>
    </w:p>
    <w:p w14:paraId="64D9BCEB" w14:textId="110CCD80" w:rsidR="008C5B8E" w:rsidRPr="00C030FC" w:rsidRDefault="00C030FC" w:rsidP="008C5B8E">
      <w:pPr>
        <w:jc w:val="both"/>
        <w:rPr>
          <w:rFonts w:ascii="Times New Roman" w:hAnsi="Times New Roman" w:cs="Times New Roman"/>
          <w:b/>
          <w:bCs/>
          <w:sz w:val="28"/>
          <w:szCs w:val="28"/>
        </w:rPr>
      </w:pPr>
      <w:r w:rsidRPr="00C030FC">
        <w:rPr>
          <w:rFonts w:ascii="Times New Roman" w:hAnsi="Times New Roman" w:cs="Times New Roman"/>
          <w:b/>
          <w:bCs/>
          <w:sz w:val="28"/>
          <w:szCs w:val="28"/>
        </w:rPr>
        <w:t>REFERENCES</w:t>
      </w:r>
    </w:p>
    <w:bookmarkEnd w:id="0"/>
    <w:p w14:paraId="31CDD24E" w14:textId="2B147E75" w:rsidR="003A224B" w:rsidRPr="003A224B" w:rsidRDefault="003A224B" w:rsidP="003A224B">
      <w:pPr>
        <w:ind w:left="720" w:hanging="720"/>
        <w:jc w:val="both"/>
        <w:rPr>
          <w:rFonts w:ascii="Times New Roman" w:hAnsi="Times New Roman" w:cs="Times New Roman"/>
          <w:sz w:val="24"/>
          <w:szCs w:val="24"/>
        </w:rPr>
      </w:pPr>
      <w:proofErr w:type="spellStart"/>
      <w:r w:rsidRPr="003A224B">
        <w:rPr>
          <w:rFonts w:ascii="Times New Roman" w:hAnsi="Times New Roman" w:cs="Times New Roman"/>
          <w:sz w:val="24"/>
          <w:szCs w:val="24"/>
        </w:rPr>
        <w:t>Aharony</w:t>
      </w:r>
      <w:proofErr w:type="spellEnd"/>
      <w:r w:rsidRPr="003A224B">
        <w:rPr>
          <w:rFonts w:ascii="Times New Roman" w:hAnsi="Times New Roman" w:cs="Times New Roman"/>
          <w:sz w:val="24"/>
          <w:szCs w:val="24"/>
        </w:rPr>
        <w:t xml:space="preserve">, N., &amp; Bar-Ilan, J. (2016). Students' perceptions on MOOCs: An explanatory study. </w:t>
      </w:r>
      <w:r w:rsidRPr="003A224B">
        <w:rPr>
          <w:rFonts w:ascii="Times New Roman" w:hAnsi="Times New Roman" w:cs="Times New Roman"/>
          <w:i/>
          <w:iCs/>
          <w:sz w:val="24"/>
          <w:szCs w:val="24"/>
        </w:rPr>
        <w:t>Interdisciplinary Journal of e-Skills and Lifelong Learning</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12</w:t>
      </w:r>
      <w:r w:rsidRPr="003A224B">
        <w:rPr>
          <w:rFonts w:ascii="Times New Roman" w:hAnsi="Times New Roman" w:cs="Times New Roman"/>
          <w:sz w:val="24"/>
          <w:szCs w:val="24"/>
        </w:rPr>
        <w:t xml:space="preserve">, 145–162. </w:t>
      </w:r>
    </w:p>
    <w:p w14:paraId="4009B89A" w14:textId="77777777" w:rsidR="003A224B" w:rsidRPr="003A224B" w:rsidRDefault="003A224B" w:rsidP="003A224B">
      <w:pPr>
        <w:ind w:left="720" w:hanging="720"/>
        <w:jc w:val="both"/>
        <w:rPr>
          <w:rFonts w:ascii="Times New Roman" w:hAnsi="Times New Roman" w:cs="Times New Roman"/>
          <w:sz w:val="24"/>
          <w:szCs w:val="24"/>
        </w:rPr>
      </w:pPr>
      <w:proofErr w:type="spellStart"/>
      <w:r w:rsidRPr="003A224B">
        <w:rPr>
          <w:rFonts w:ascii="Times New Roman" w:hAnsi="Times New Roman" w:cs="Times New Roman"/>
          <w:sz w:val="24"/>
          <w:szCs w:val="24"/>
        </w:rPr>
        <w:t>Bakogianni</w:t>
      </w:r>
      <w:proofErr w:type="spellEnd"/>
      <w:r w:rsidRPr="003A224B">
        <w:rPr>
          <w:rFonts w:ascii="Times New Roman" w:hAnsi="Times New Roman" w:cs="Times New Roman"/>
          <w:sz w:val="24"/>
          <w:szCs w:val="24"/>
        </w:rPr>
        <w:t xml:space="preserve">, E., </w:t>
      </w:r>
      <w:proofErr w:type="spellStart"/>
      <w:r w:rsidRPr="003A224B">
        <w:rPr>
          <w:rFonts w:ascii="Times New Roman" w:hAnsi="Times New Roman" w:cs="Times New Roman"/>
          <w:sz w:val="24"/>
          <w:szCs w:val="24"/>
        </w:rPr>
        <w:t>Tsitouridou</w:t>
      </w:r>
      <w:proofErr w:type="spellEnd"/>
      <w:r w:rsidRPr="003A224B">
        <w:rPr>
          <w:rFonts w:ascii="Times New Roman" w:hAnsi="Times New Roman" w:cs="Times New Roman"/>
          <w:sz w:val="24"/>
          <w:szCs w:val="24"/>
        </w:rPr>
        <w:t xml:space="preserve">, M., &amp; </w:t>
      </w:r>
      <w:proofErr w:type="spellStart"/>
      <w:r w:rsidRPr="003A224B">
        <w:rPr>
          <w:rFonts w:ascii="Times New Roman" w:hAnsi="Times New Roman" w:cs="Times New Roman"/>
          <w:sz w:val="24"/>
          <w:szCs w:val="24"/>
        </w:rPr>
        <w:t>Kyridis</w:t>
      </w:r>
      <w:proofErr w:type="spellEnd"/>
      <w:r w:rsidRPr="003A224B">
        <w:rPr>
          <w:rFonts w:ascii="Times New Roman" w:hAnsi="Times New Roman" w:cs="Times New Roman"/>
          <w:sz w:val="24"/>
          <w:szCs w:val="24"/>
        </w:rPr>
        <w:t xml:space="preserve">, A. (2020). MOOC in teachers’ professional development: Examining teacher readiness. </w:t>
      </w:r>
      <w:r w:rsidRPr="003A224B">
        <w:rPr>
          <w:rFonts w:ascii="Times New Roman" w:hAnsi="Times New Roman" w:cs="Times New Roman"/>
          <w:i/>
          <w:iCs/>
          <w:sz w:val="24"/>
          <w:szCs w:val="24"/>
        </w:rPr>
        <w:t>Academia</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20</w:t>
      </w:r>
      <w:r w:rsidRPr="003A224B">
        <w:rPr>
          <w:rFonts w:ascii="Times New Roman" w:hAnsi="Times New Roman" w:cs="Times New Roman"/>
          <w:sz w:val="24"/>
          <w:szCs w:val="24"/>
        </w:rPr>
        <w:t>, 9–40.</w:t>
      </w:r>
    </w:p>
    <w:p w14:paraId="4FFBC39C"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Giri, S., &amp; Majhi, C. (2024). Awareness on massive open online courses (MOOCs) among the postgraduate students of Fakir Mohan University. </w:t>
      </w:r>
      <w:r w:rsidRPr="003A224B">
        <w:rPr>
          <w:rFonts w:ascii="Times New Roman" w:hAnsi="Times New Roman" w:cs="Times New Roman"/>
          <w:i/>
          <w:iCs/>
          <w:sz w:val="24"/>
          <w:szCs w:val="24"/>
        </w:rPr>
        <w:t>International Journal for Multidisciplinary Research</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6</w:t>
      </w:r>
      <w:r w:rsidRPr="003A224B">
        <w:rPr>
          <w:rFonts w:ascii="Times New Roman" w:hAnsi="Times New Roman" w:cs="Times New Roman"/>
          <w:sz w:val="24"/>
          <w:szCs w:val="24"/>
        </w:rPr>
        <w:t>(2), 1–5.</w:t>
      </w:r>
    </w:p>
    <w:p w14:paraId="0F733BA7" w14:textId="006A336F" w:rsidR="00C4571E" w:rsidRPr="003A224B"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Kasch J., </w:t>
      </w:r>
      <w:proofErr w:type="spellStart"/>
      <w:r w:rsidRPr="00C4571E">
        <w:rPr>
          <w:rFonts w:ascii="Times New Roman" w:hAnsi="Times New Roman" w:cs="Times New Roman"/>
          <w:sz w:val="24"/>
          <w:szCs w:val="24"/>
        </w:rPr>
        <w:t>Rosemalen</w:t>
      </w:r>
      <w:proofErr w:type="spellEnd"/>
      <w:r w:rsidRPr="00C4571E">
        <w:rPr>
          <w:rFonts w:ascii="Times New Roman" w:hAnsi="Times New Roman" w:cs="Times New Roman"/>
          <w:sz w:val="24"/>
          <w:szCs w:val="24"/>
        </w:rPr>
        <w:t xml:space="preserve"> P.V., </w:t>
      </w:r>
      <w:proofErr w:type="spellStart"/>
      <w:r w:rsidRPr="00C4571E">
        <w:rPr>
          <w:rFonts w:ascii="Times New Roman" w:hAnsi="Times New Roman" w:cs="Times New Roman"/>
          <w:sz w:val="24"/>
          <w:szCs w:val="24"/>
        </w:rPr>
        <w:t>Lohr</w:t>
      </w:r>
      <w:proofErr w:type="spellEnd"/>
      <w:r w:rsidRPr="00C4571E">
        <w:rPr>
          <w:rFonts w:ascii="Times New Roman" w:hAnsi="Times New Roman" w:cs="Times New Roman"/>
          <w:sz w:val="24"/>
          <w:szCs w:val="24"/>
        </w:rPr>
        <w:t xml:space="preserve"> A., Klemke R., </w:t>
      </w:r>
      <w:proofErr w:type="spellStart"/>
      <w:r w:rsidRPr="00C4571E">
        <w:rPr>
          <w:rFonts w:ascii="Times New Roman" w:hAnsi="Times New Roman" w:cs="Times New Roman"/>
          <w:sz w:val="24"/>
          <w:szCs w:val="24"/>
        </w:rPr>
        <w:t>Antonaci</w:t>
      </w:r>
      <w:proofErr w:type="spellEnd"/>
      <w:r w:rsidRPr="00C4571E">
        <w:rPr>
          <w:rFonts w:ascii="Times New Roman" w:hAnsi="Times New Roman" w:cs="Times New Roman"/>
          <w:sz w:val="24"/>
          <w:szCs w:val="24"/>
        </w:rPr>
        <w:t xml:space="preserve"> A., </w:t>
      </w:r>
      <w:proofErr w:type="spellStart"/>
      <w:r w:rsidRPr="00C4571E">
        <w:rPr>
          <w:rFonts w:ascii="Times New Roman" w:hAnsi="Times New Roman" w:cs="Times New Roman"/>
          <w:sz w:val="24"/>
          <w:szCs w:val="24"/>
        </w:rPr>
        <w:t>Kalz</w:t>
      </w:r>
      <w:proofErr w:type="spellEnd"/>
      <w:r w:rsidRPr="00C4571E">
        <w:rPr>
          <w:rFonts w:ascii="Times New Roman" w:hAnsi="Times New Roman" w:cs="Times New Roman"/>
          <w:sz w:val="24"/>
          <w:szCs w:val="24"/>
        </w:rPr>
        <w:t xml:space="preserve"> M. 2021. Students’ Perceptions of the Peer-Feedback Experience in MOOCs. Distance Education, pp 1-19 </w:t>
      </w:r>
    </w:p>
    <w:p w14:paraId="2D675559"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Macugay, P. J. D. R., </w:t>
      </w:r>
      <w:proofErr w:type="spellStart"/>
      <w:r w:rsidRPr="00C4571E">
        <w:rPr>
          <w:rFonts w:ascii="Times New Roman" w:hAnsi="Times New Roman" w:cs="Times New Roman"/>
          <w:sz w:val="24"/>
          <w:szCs w:val="24"/>
        </w:rPr>
        <w:t>Dinauanao</w:t>
      </w:r>
      <w:proofErr w:type="spellEnd"/>
      <w:r w:rsidRPr="00C4571E">
        <w:rPr>
          <w:rFonts w:ascii="Times New Roman" w:hAnsi="Times New Roman" w:cs="Times New Roman"/>
          <w:sz w:val="24"/>
          <w:szCs w:val="24"/>
        </w:rPr>
        <w:t xml:space="preserve">, A. M., Tan, R. L. M., &amp; Macugay, I. C. D. R. (2025). Awareness and utilization of massive open online courses (MOOCs) of college students </w:t>
      </w:r>
      <w:r w:rsidRPr="00C4571E">
        <w:rPr>
          <w:rFonts w:ascii="Times New Roman" w:hAnsi="Times New Roman" w:cs="Times New Roman"/>
          <w:sz w:val="24"/>
          <w:szCs w:val="24"/>
        </w:rPr>
        <w:lastRenderedPageBreak/>
        <w:t xml:space="preserve">and teachers in selected Philippine higher education institutions. </w:t>
      </w:r>
      <w:r w:rsidRPr="00C4571E">
        <w:rPr>
          <w:rFonts w:ascii="Times New Roman" w:hAnsi="Times New Roman" w:cs="Times New Roman"/>
          <w:i/>
          <w:iCs/>
          <w:sz w:val="24"/>
          <w:szCs w:val="24"/>
        </w:rPr>
        <w:t>British Journal of Teacher Education and Pedagogy, 4</w:t>
      </w:r>
      <w:r w:rsidRPr="00C4571E">
        <w:rPr>
          <w:rFonts w:ascii="Times New Roman" w:hAnsi="Times New Roman" w:cs="Times New Roman"/>
          <w:sz w:val="24"/>
          <w:szCs w:val="24"/>
        </w:rPr>
        <w:t xml:space="preserve">(1), 27–39. </w:t>
      </w:r>
    </w:p>
    <w:p w14:paraId="765D81FB" w14:textId="25F81A62" w:rsidR="00C4571E" w:rsidRPr="003A224B" w:rsidRDefault="00C4571E" w:rsidP="00C4571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241B54">
          <w:rPr>
            <w:rStyle w:val="Hyperlink"/>
            <w:rFonts w:ascii="Times New Roman" w:hAnsi="Times New Roman" w:cs="Times New Roman"/>
            <w:sz w:val="24"/>
            <w:szCs w:val="24"/>
          </w:rPr>
          <w:t>https://doi.org/10.32996/bjtep.2025.4.1.3</w:t>
        </w:r>
      </w:hyperlink>
      <w:r>
        <w:rPr>
          <w:rFonts w:ascii="Times New Roman" w:hAnsi="Times New Roman" w:cs="Times New Roman"/>
          <w:sz w:val="24"/>
          <w:szCs w:val="24"/>
        </w:rPr>
        <w:t xml:space="preserve"> </w:t>
      </w:r>
    </w:p>
    <w:p w14:paraId="29A30AA6" w14:textId="66514AD3" w:rsidR="003A224B" w:rsidRPr="003A224B" w:rsidRDefault="003A224B" w:rsidP="003A224B">
      <w:pPr>
        <w:ind w:left="720" w:hanging="720"/>
        <w:jc w:val="both"/>
        <w:rPr>
          <w:rFonts w:ascii="Times New Roman" w:hAnsi="Times New Roman" w:cs="Times New Roman"/>
          <w:sz w:val="24"/>
          <w:szCs w:val="24"/>
        </w:rPr>
      </w:pPr>
      <w:r w:rsidRPr="002B4F9F">
        <w:rPr>
          <w:rFonts w:ascii="Times New Roman" w:hAnsi="Times New Roman" w:cs="Times New Roman"/>
          <w:sz w:val="24"/>
          <w:szCs w:val="24"/>
          <w:lang w:val="pl-PL"/>
        </w:rPr>
        <w:t xml:space="preserve">Majid, F. A., Kamarudin, R., &amp; Zamin, A. A. M. (2019). </w:t>
      </w:r>
      <w:r w:rsidRPr="003A224B">
        <w:rPr>
          <w:rFonts w:ascii="Times New Roman" w:hAnsi="Times New Roman" w:cs="Times New Roman"/>
          <w:sz w:val="24"/>
          <w:szCs w:val="24"/>
        </w:rPr>
        <w:t xml:space="preserve">Postgraduate students’ perception of massive open online courses (MOOCs) in enhancing their learning experience. </w:t>
      </w:r>
      <w:r w:rsidRPr="003A224B">
        <w:rPr>
          <w:rFonts w:ascii="Times New Roman" w:hAnsi="Times New Roman" w:cs="Times New Roman"/>
          <w:i/>
          <w:iCs/>
          <w:sz w:val="24"/>
          <w:szCs w:val="24"/>
        </w:rPr>
        <w:t>International Journal of Education &amp; Literacy Studies</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7</w:t>
      </w:r>
      <w:r w:rsidRPr="003A224B">
        <w:rPr>
          <w:rFonts w:ascii="Times New Roman" w:hAnsi="Times New Roman" w:cs="Times New Roman"/>
          <w:sz w:val="24"/>
          <w:szCs w:val="24"/>
        </w:rPr>
        <w:t xml:space="preserve">(4), 101–105. </w:t>
      </w:r>
    </w:p>
    <w:p w14:paraId="6EDC4118"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Mandal, D., &amp; Yadav, V. K. (2024). Current trends of MOOCs in India: Historical background, development and challenges. </w:t>
      </w:r>
      <w:r w:rsidRPr="003A224B">
        <w:rPr>
          <w:rFonts w:ascii="Times New Roman" w:hAnsi="Times New Roman" w:cs="Times New Roman"/>
          <w:i/>
          <w:iCs/>
          <w:sz w:val="24"/>
          <w:szCs w:val="24"/>
        </w:rPr>
        <w:t>The Online Journal of Distance Education and E-Learning</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12</w:t>
      </w:r>
      <w:r w:rsidRPr="003A224B">
        <w:rPr>
          <w:rFonts w:ascii="Times New Roman" w:hAnsi="Times New Roman" w:cs="Times New Roman"/>
          <w:sz w:val="24"/>
          <w:szCs w:val="24"/>
        </w:rPr>
        <w:t>(1), 1–8.</w:t>
      </w:r>
    </w:p>
    <w:p w14:paraId="59000FCE" w14:textId="63A0FB4B"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Mondal, K., &amp; </w:t>
      </w:r>
      <w:proofErr w:type="spellStart"/>
      <w:r w:rsidRPr="00C4571E">
        <w:rPr>
          <w:rFonts w:ascii="Times New Roman" w:hAnsi="Times New Roman" w:cs="Times New Roman"/>
          <w:sz w:val="24"/>
          <w:szCs w:val="24"/>
        </w:rPr>
        <w:t>Parhi</w:t>
      </w:r>
      <w:proofErr w:type="spellEnd"/>
      <w:r w:rsidRPr="00C4571E">
        <w:rPr>
          <w:rFonts w:ascii="Times New Roman" w:hAnsi="Times New Roman" w:cs="Times New Roman"/>
          <w:sz w:val="24"/>
          <w:szCs w:val="24"/>
        </w:rPr>
        <w:t xml:space="preserve">, R. K. (2024). Awareness of SWAYAM MOOCs among students of teacher education. </w:t>
      </w:r>
      <w:r w:rsidRPr="00C4571E">
        <w:rPr>
          <w:rFonts w:ascii="Times New Roman" w:hAnsi="Times New Roman" w:cs="Times New Roman"/>
          <w:i/>
          <w:iCs/>
          <w:sz w:val="24"/>
          <w:szCs w:val="24"/>
        </w:rPr>
        <w:t>Educational Administration: Theory and Practice, 30</w:t>
      </w:r>
      <w:r w:rsidRPr="00C4571E">
        <w:rPr>
          <w:rFonts w:ascii="Times New Roman" w:hAnsi="Times New Roman" w:cs="Times New Roman"/>
          <w:sz w:val="24"/>
          <w:szCs w:val="24"/>
        </w:rPr>
        <w:t xml:space="preserve">(1), 1252–1263. </w:t>
      </w:r>
      <w:hyperlink r:id="rId9" w:history="1">
        <w:r w:rsidRPr="00241B54">
          <w:rPr>
            <w:rStyle w:val="Hyperlink"/>
            <w:rFonts w:ascii="Times New Roman" w:hAnsi="Times New Roman" w:cs="Times New Roman"/>
            <w:sz w:val="24"/>
            <w:szCs w:val="24"/>
          </w:rPr>
          <w:t>https://doi.org/10.53555/kuey.v30i1.6128</w:t>
        </w:r>
      </w:hyperlink>
    </w:p>
    <w:p w14:paraId="082FE479" w14:textId="002CFD5A"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Muhammad, S. H., Mustapha, A., &amp; Haruna, K. (2016). Massive open online courses: Awareness, adoption, benefits and challenges in Sub-Saharan Africa. </w:t>
      </w:r>
      <w:r w:rsidRPr="003A224B">
        <w:rPr>
          <w:rFonts w:ascii="Times New Roman" w:hAnsi="Times New Roman" w:cs="Times New Roman"/>
          <w:i/>
          <w:iCs/>
          <w:sz w:val="24"/>
          <w:szCs w:val="24"/>
        </w:rPr>
        <w:t>International Journal of ICT and Management</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4</w:t>
      </w:r>
      <w:r w:rsidRPr="003A224B">
        <w:rPr>
          <w:rFonts w:ascii="Times New Roman" w:hAnsi="Times New Roman" w:cs="Times New Roman"/>
          <w:sz w:val="24"/>
          <w:szCs w:val="24"/>
        </w:rPr>
        <w:t>(2), 60–68.</w:t>
      </w:r>
    </w:p>
    <w:p w14:paraId="305CB6FF" w14:textId="77777777" w:rsidR="003A224B" w:rsidRPr="003A224B" w:rsidRDefault="003A224B" w:rsidP="003A224B">
      <w:pPr>
        <w:ind w:left="720" w:hanging="720"/>
        <w:jc w:val="both"/>
        <w:rPr>
          <w:rFonts w:ascii="Times New Roman" w:hAnsi="Times New Roman" w:cs="Times New Roman"/>
          <w:sz w:val="24"/>
          <w:szCs w:val="24"/>
        </w:rPr>
      </w:pPr>
      <w:proofErr w:type="spellStart"/>
      <w:r w:rsidRPr="003A224B">
        <w:rPr>
          <w:rFonts w:ascii="Times New Roman" w:hAnsi="Times New Roman" w:cs="Times New Roman"/>
          <w:sz w:val="24"/>
          <w:szCs w:val="24"/>
        </w:rPr>
        <w:t>Muzafarova</w:t>
      </w:r>
      <w:proofErr w:type="spellEnd"/>
      <w:r w:rsidRPr="003A224B">
        <w:rPr>
          <w:rFonts w:ascii="Times New Roman" w:hAnsi="Times New Roman" w:cs="Times New Roman"/>
          <w:sz w:val="24"/>
          <w:szCs w:val="24"/>
        </w:rPr>
        <w:t xml:space="preserve">, T., &amp; Kaya, E. (2014). Survey of awareness of massive open online courses (MOOC): A case of International Black Sea University students, Georgia. </w:t>
      </w:r>
      <w:r w:rsidRPr="003A224B">
        <w:rPr>
          <w:rFonts w:ascii="Times New Roman" w:hAnsi="Times New Roman" w:cs="Times New Roman"/>
          <w:i/>
          <w:iCs/>
          <w:sz w:val="24"/>
          <w:szCs w:val="24"/>
        </w:rPr>
        <w:t>Journal of Education</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3</w:t>
      </w:r>
      <w:r w:rsidRPr="003A224B">
        <w:rPr>
          <w:rFonts w:ascii="Times New Roman" w:hAnsi="Times New Roman" w:cs="Times New Roman"/>
          <w:sz w:val="24"/>
          <w:szCs w:val="24"/>
        </w:rPr>
        <w:t>(2), 15–19.</w:t>
      </w:r>
    </w:p>
    <w:p w14:paraId="6FE52196" w14:textId="3376F0F6"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Patwardhan, V. K., &amp; Yadav, D. (2022). MOOC awareness and usage among faculty members across disciplines: An Indian perspective. </w:t>
      </w:r>
      <w:r w:rsidRPr="003A224B">
        <w:rPr>
          <w:rFonts w:ascii="Times New Roman" w:hAnsi="Times New Roman" w:cs="Times New Roman"/>
          <w:i/>
          <w:iCs/>
          <w:sz w:val="24"/>
          <w:szCs w:val="24"/>
        </w:rPr>
        <w:t>International Journal of Educational Management</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36</w:t>
      </w:r>
      <w:r w:rsidRPr="003A224B">
        <w:rPr>
          <w:rFonts w:ascii="Times New Roman" w:hAnsi="Times New Roman" w:cs="Times New Roman"/>
          <w:sz w:val="24"/>
          <w:szCs w:val="24"/>
        </w:rPr>
        <w:t xml:space="preserve">(1), 49–64. </w:t>
      </w:r>
    </w:p>
    <w:p w14:paraId="4446663C" w14:textId="24EC2D69"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Purkayastha, N., &amp; Sinha, M. K. (2021). Unstoppable study with MOOCs during COVID-19 pandemic: A study. </w:t>
      </w:r>
      <w:r w:rsidRPr="003A224B">
        <w:rPr>
          <w:rFonts w:ascii="Times New Roman" w:hAnsi="Times New Roman" w:cs="Times New Roman"/>
          <w:i/>
          <w:iCs/>
          <w:sz w:val="24"/>
          <w:szCs w:val="24"/>
        </w:rPr>
        <w:t>Library Philosophy and Practice</w:t>
      </w:r>
      <w:r w:rsidRPr="003A224B">
        <w:rPr>
          <w:rFonts w:ascii="Times New Roman" w:hAnsi="Times New Roman" w:cs="Times New Roman"/>
          <w:sz w:val="24"/>
          <w:szCs w:val="24"/>
        </w:rPr>
        <w:t xml:space="preserve">, 1–12. </w:t>
      </w:r>
    </w:p>
    <w:p w14:paraId="5BCCF79E" w14:textId="622D9539"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Shaikh, S. A. (2017). Student teacher awareness of MOOCs—Massive open online courses. </w:t>
      </w:r>
    </w:p>
    <w:p w14:paraId="42D2F7B1"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Shakya M., Shrestha S., Manandhar R. 2016. Awareness of MOOC among College Students: A Study of Far Western Region of Nepal. International Conference on E-Learning for Development, August, pp 1-10 </w:t>
      </w:r>
    </w:p>
    <w:p w14:paraId="4F771E94"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Singh G., Chauhan R. 2017. Awareness towards Massive Open Online Courses (MOOCs) and their usage for Teacher Education in India. Asian Journal of Distance Education. Volume 12 No. 2, pp 81-88 </w:t>
      </w:r>
    </w:p>
    <w:p w14:paraId="4EEA9816" w14:textId="558F7BA3"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Singh, R., &amp; Bhandari, R. S. (2025). Students’ awareness and usage of SWAYAM–NPTEL in higher education. </w:t>
      </w:r>
      <w:proofErr w:type="spellStart"/>
      <w:r w:rsidRPr="00C4571E">
        <w:rPr>
          <w:rFonts w:ascii="Times New Roman" w:hAnsi="Times New Roman" w:cs="Times New Roman"/>
          <w:i/>
          <w:iCs/>
          <w:sz w:val="24"/>
          <w:szCs w:val="24"/>
        </w:rPr>
        <w:t>Revista</w:t>
      </w:r>
      <w:proofErr w:type="spellEnd"/>
      <w:r w:rsidRPr="00C4571E">
        <w:rPr>
          <w:rFonts w:ascii="Times New Roman" w:hAnsi="Times New Roman" w:cs="Times New Roman"/>
          <w:i/>
          <w:iCs/>
          <w:sz w:val="24"/>
          <w:szCs w:val="24"/>
        </w:rPr>
        <w:t xml:space="preserve"> Review Index Journal of Multidisciplinary, 5</w:t>
      </w:r>
      <w:r w:rsidRPr="00C4571E">
        <w:rPr>
          <w:rFonts w:ascii="Times New Roman" w:hAnsi="Times New Roman" w:cs="Times New Roman"/>
          <w:sz w:val="24"/>
          <w:szCs w:val="24"/>
        </w:rPr>
        <w:t xml:space="preserve">(1), 147–154. </w:t>
      </w:r>
      <w:hyperlink r:id="rId10" w:tgtFrame="_new" w:history="1">
        <w:r w:rsidRPr="00C4571E">
          <w:rPr>
            <w:rStyle w:val="Hyperlink"/>
            <w:rFonts w:ascii="Times New Roman" w:hAnsi="Times New Roman" w:cs="Times New Roman"/>
            <w:sz w:val="24"/>
            <w:szCs w:val="24"/>
          </w:rPr>
          <w:t>https://doi.org/10.31305/rrijm2025.v05.n01.017</w:t>
        </w:r>
      </w:hyperlink>
    </w:p>
    <w:p w14:paraId="651ABC5F"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Singha R., C.A. 2024. Sustainability through Virtuality: Awareness and Completion of MOOCs among the Higher Education Faculties of West Bengal. Humanities and Social Science Studies. Volume 13, Issue 1, No. 4, pp 1-11 </w:t>
      </w:r>
    </w:p>
    <w:p w14:paraId="09785BC8" w14:textId="27DD0522" w:rsidR="00C4571E" w:rsidRDefault="00C4571E" w:rsidP="003A224B">
      <w:pPr>
        <w:ind w:left="720" w:hanging="720"/>
        <w:jc w:val="both"/>
        <w:rPr>
          <w:rFonts w:ascii="Times New Roman" w:hAnsi="Times New Roman" w:cs="Times New Roman"/>
          <w:sz w:val="24"/>
          <w:szCs w:val="24"/>
        </w:rPr>
      </w:pPr>
      <w:proofErr w:type="spellStart"/>
      <w:r w:rsidRPr="00C4571E">
        <w:rPr>
          <w:rFonts w:ascii="Times New Roman" w:hAnsi="Times New Roman" w:cs="Times New Roman"/>
          <w:sz w:val="24"/>
          <w:szCs w:val="24"/>
        </w:rPr>
        <w:t>Sukhbaataar</w:t>
      </w:r>
      <w:proofErr w:type="spellEnd"/>
      <w:r w:rsidRPr="00C4571E">
        <w:rPr>
          <w:rFonts w:ascii="Times New Roman" w:hAnsi="Times New Roman" w:cs="Times New Roman"/>
          <w:sz w:val="24"/>
          <w:szCs w:val="24"/>
        </w:rPr>
        <w:t xml:space="preserve"> O., </w:t>
      </w:r>
      <w:proofErr w:type="spellStart"/>
      <w:r w:rsidRPr="00C4571E">
        <w:rPr>
          <w:rFonts w:ascii="Times New Roman" w:hAnsi="Times New Roman" w:cs="Times New Roman"/>
          <w:sz w:val="24"/>
          <w:szCs w:val="24"/>
        </w:rPr>
        <w:t>Choimaa</w:t>
      </w:r>
      <w:proofErr w:type="spellEnd"/>
      <w:r w:rsidRPr="00C4571E">
        <w:rPr>
          <w:rFonts w:ascii="Times New Roman" w:hAnsi="Times New Roman" w:cs="Times New Roman"/>
          <w:sz w:val="24"/>
          <w:szCs w:val="24"/>
        </w:rPr>
        <w:t xml:space="preserve"> L., </w:t>
      </w:r>
      <w:proofErr w:type="spellStart"/>
      <w:r w:rsidRPr="00C4571E">
        <w:rPr>
          <w:rFonts w:ascii="Times New Roman" w:hAnsi="Times New Roman" w:cs="Times New Roman"/>
          <w:sz w:val="24"/>
          <w:szCs w:val="24"/>
        </w:rPr>
        <w:t>Usagawa</w:t>
      </w:r>
      <w:proofErr w:type="spellEnd"/>
      <w:r w:rsidRPr="00C4571E">
        <w:rPr>
          <w:rFonts w:ascii="Times New Roman" w:hAnsi="Times New Roman" w:cs="Times New Roman"/>
          <w:sz w:val="24"/>
          <w:szCs w:val="24"/>
        </w:rPr>
        <w:t xml:space="preserve"> T. 2018. Students’ Perception and Experience of Massive Open Online Courses in Mongolia. Creative Education, 9, pp 1818 1828 </w:t>
      </w:r>
    </w:p>
    <w:p w14:paraId="6553CBF6" w14:textId="613D012B" w:rsidR="0074445B" w:rsidRPr="0074445B" w:rsidRDefault="00C4571E" w:rsidP="00C4571E">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lastRenderedPageBreak/>
        <w:t xml:space="preserve">White, A. R., &amp; </w:t>
      </w:r>
      <w:proofErr w:type="spellStart"/>
      <w:r w:rsidRPr="00C4571E">
        <w:rPr>
          <w:rFonts w:ascii="Times New Roman" w:hAnsi="Times New Roman" w:cs="Times New Roman"/>
          <w:sz w:val="24"/>
          <w:szCs w:val="24"/>
        </w:rPr>
        <w:t>Panyawongngam</w:t>
      </w:r>
      <w:proofErr w:type="spellEnd"/>
      <w:r w:rsidRPr="00C4571E">
        <w:rPr>
          <w:rFonts w:ascii="Times New Roman" w:hAnsi="Times New Roman" w:cs="Times New Roman"/>
          <w:sz w:val="24"/>
          <w:szCs w:val="24"/>
        </w:rPr>
        <w:t xml:space="preserve">, L. (2025). Thai undergraduate students’ awareness of the benefits of Massive Open Online Courses. </w:t>
      </w:r>
      <w:r w:rsidRPr="00C4571E">
        <w:rPr>
          <w:rFonts w:ascii="Times New Roman" w:hAnsi="Times New Roman" w:cs="Times New Roman"/>
          <w:i/>
          <w:iCs/>
          <w:sz w:val="24"/>
          <w:szCs w:val="24"/>
        </w:rPr>
        <w:t>International Journal of Social Sciences and Business Research</w:t>
      </w:r>
      <w:r w:rsidRPr="00C4571E">
        <w:rPr>
          <w:rFonts w:ascii="Times New Roman" w:hAnsi="Times New Roman" w:cs="Times New Roman"/>
          <w:sz w:val="24"/>
          <w:szCs w:val="24"/>
        </w:rPr>
        <w:t xml:space="preserve">, </w:t>
      </w:r>
      <w:r w:rsidRPr="00C4571E">
        <w:rPr>
          <w:rFonts w:ascii="Times New Roman" w:hAnsi="Times New Roman" w:cs="Times New Roman"/>
          <w:i/>
          <w:iCs/>
          <w:sz w:val="24"/>
          <w:szCs w:val="24"/>
        </w:rPr>
        <w:t>5</w:t>
      </w:r>
      <w:r w:rsidRPr="00C4571E">
        <w:rPr>
          <w:rFonts w:ascii="Times New Roman" w:hAnsi="Times New Roman" w:cs="Times New Roman"/>
          <w:sz w:val="24"/>
          <w:szCs w:val="24"/>
        </w:rPr>
        <w:t>(1), 53–62.</w:t>
      </w:r>
      <w:r>
        <w:rPr>
          <w:rFonts w:ascii="Times New Roman" w:hAnsi="Times New Roman" w:cs="Times New Roman"/>
          <w:sz w:val="24"/>
          <w:szCs w:val="24"/>
        </w:rPr>
        <w:t xml:space="preserve"> </w:t>
      </w:r>
    </w:p>
    <w:sectPr w:rsidR="0074445B" w:rsidRPr="007444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607F" w14:textId="77777777" w:rsidR="00B206AA" w:rsidRDefault="00B206AA" w:rsidP="00532FC7">
      <w:pPr>
        <w:spacing w:after="0" w:line="240" w:lineRule="auto"/>
      </w:pPr>
      <w:r>
        <w:separator/>
      </w:r>
    </w:p>
  </w:endnote>
  <w:endnote w:type="continuationSeparator" w:id="0">
    <w:p w14:paraId="57A159FF" w14:textId="77777777" w:rsidR="00B206AA" w:rsidRDefault="00B206AA" w:rsidP="0053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F4D1" w14:textId="77777777" w:rsidR="00532FC7" w:rsidRDefault="0053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28AD" w14:textId="77777777" w:rsidR="00532FC7" w:rsidRDefault="00532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333B" w14:textId="77777777" w:rsidR="00532FC7" w:rsidRDefault="0053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EA93" w14:textId="77777777" w:rsidR="00B206AA" w:rsidRDefault="00B206AA" w:rsidP="00532FC7">
      <w:pPr>
        <w:spacing w:after="0" w:line="240" w:lineRule="auto"/>
      </w:pPr>
      <w:r>
        <w:separator/>
      </w:r>
    </w:p>
  </w:footnote>
  <w:footnote w:type="continuationSeparator" w:id="0">
    <w:p w14:paraId="57AFE739" w14:textId="77777777" w:rsidR="00B206AA" w:rsidRDefault="00B206AA" w:rsidP="0053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7F5D" w14:textId="675F27CF" w:rsidR="00532FC7" w:rsidRDefault="00532FC7">
    <w:pPr>
      <w:pStyle w:val="Header"/>
    </w:pPr>
    <w:r>
      <w:rPr>
        <w:noProof/>
      </w:rPr>
      <w:pict w14:anchorId="27223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DEDE" w14:textId="5EBFD4BD" w:rsidR="00532FC7" w:rsidRDefault="00532FC7">
    <w:pPr>
      <w:pStyle w:val="Header"/>
    </w:pPr>
    <w:r>
      <w:rPr>
        <w:noProof/>
      </w:rPr>
      <w:pict w14:anchorId="4EF66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BE8F" w14:textId="1B9792EF" w:rsidR="00532FC7" w:rsidRDefault="00532FC7">
    <w:pPr>
      <w:pStyle w:val="Header"/>
    </w:pPr>
    <w:r>
      <w:rPr>
        <w:noProof/>
      </w:rPr>
      <w:pict w14:anchorId="7650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F25"/>
    <w:multiLevelType w:val="hybridMultilevel"/>
    <w:tmpl w:val="314CAFAE"/>
    <w:lvl w:ilvl="0" w:tplc="5DF4B2A6">
      <w:start w:val="1"/>
      <w:numFmt w:val="lowerLetter"/>
      <w:lvlText w:val="%1)"/>
      <w:lvlJc w:val="left"/>
      <w:pPr>
        <w:ind w:left="4394" w:hanging="360"/>
      </w:pPr>
      <w:rPr>
        <w:rFonts w:hint="default"/>
        <w:b/>
        <w:i/>
      </w:rPr>
    </w:lvl>
    <w:lvl w:ilvl="1" w:tplc="40090019" w:tentative="1">
      <w:start w:val="1"/>
      <w:numFmt w:val="lowerLetter"/>
      <w:lvlText w:val="%2."/>
      <w:lvlJc w:val="left"/>
      <w:pPr>
        <w:ind w:left="5114" w:hanging="360"/>
      </w:pPr>
    </w:lvl>
    <w:lvl w:ilvl="2" w:tplc="4009001B" w:tentative="1">
      <w:start w:val="1"/>
      <w:numFmt w:val="lowerRoman"/>
      <w:lvlText w:val="%3."/>
      <w:lvlJc w:val="right"/>
      <w:pPr>
        <w:ind w:left="5834" w:hanging="180"/>
      </w:pPr>
    </w:lvl>
    <w:lvl w:ilvl="3" w:tplc="4009000F" w:tentative="1">
      <w:start w:val="1"/>
      <w:numFmt w:val="decimal"/>
      <w:lvlText w:val="%4."/>
      <w:lvlJc w:val="left"/>
      <w:pPr>
        <w:ind w:left="6554" w:hanging="360"/>
      </w:pPr>
    </w:lvl>
    <w:lvl w:ilvl="4" w:tplc="40090019" w:tentative="1">
      <w:start w:val="1"/>
      <w:numFmt w:val="lowerLetter"/>
      <w:lvlText w:val="%5."/>
      <w:lvlJc w:val="left"/>
      <w:pPr>
        <w:ind w:left="7274" w:hanging="360"/>
      </w:pPr>
    </w:lvl>
    <w:lvl w:ilvl="5" w:tplc="4009001B" w:tentative="1">
      <w:start w:val="1"/>
      <w:numFmt w:val="lowerRoman"/>
      <w:lvlText w:val="%6."/>
      <w:lvlJc w:val="right"/>
      <w:pPr>
        <w:ind w:left="7994" w:hanging="180"/>
      </w:pPr>
    </w:lvl>
    <w:lvl w:ilvl="6" w:tplc="4009000F" w:tentative="1">
      <w:start w:val="1"/>
      <w:numFmt w:val="decimal"/>
      <w:lvlText w:val="%7."/>
      <w:lvlJc w:val="left"/>
      <w:pPr>
        <w:ind w:left="8714" w:hanging="360"/>
      </w:pPr>
    </w:lvl>
    <w:lvl w:ilvl="7" w:tplc="40090019" w:tentative="1">
      <w:start w:val="1"/>
      <w:numFmt w:val="lowerLetter"/>
      <w:lvlText w:val="%8."/>
      <w:lvlJc w:val="left"/>
      <w:pPr>
        <w:ind w:left="9434" w:hanging="360"/>
      </w:pPr>
    </w:lvl>
    <w:lvl w:ilvl="8" w:tplc="4009001B" w:tentative="1">
      <w:start w:val="1"/>
      <w:numFmt w:val="lowerRoman"/>
      <w:lvlText w:val="%9."/>
      <w:lvlJc w:val="right"/>
      <w:pPr>
        <w:ind w:left="10154" w:hanging="180"/>
      </w:pPr>
    </w:lvl>
  </w:abstractNum>
  <w:abstractNum w:abstractNumId="1" w15:restartNumberingAfterBreak="0">
    <w:nsid w:val="14105CC3"/>
    <w:multiLevelType w:val="multilevel"/>
    <w:tmpl w:val="C07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3401"/>
    <w:multiLevelType w:val="multilevel"/>
    <w:tmpl w:val="A33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0457E"/>
    <w:multiLevelType w:val="multilevel"/>
    <w:tmpl w:val="5EC0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A2165"/>
    <w:multiLevelType w:val="multilevel"/>
    <w:tmpl w:val="997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61051"/>
    <w:multiLevelType w:val="hybridMultilevel"/>
    <w:tmpl w:val="457C27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4C4C6C"/>
    <w:multiLevelType w:val="multilevel"/>
    <w:tmpl w:val="319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32373"/>
    <w:multiLevelType w:val="multilevel"/>
    <w:tmpl w:val="400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300DFC"/>
    <w:multiLevelType w:val="multilevel"/>
    <w:tmpl w:val="599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D35AA"/>
    <w:multiLevelType w:val="multilevel"/>
    <w:tmpl w:val="005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638D9"/>
    <w:multiLevelType w:val="multilevel"/>
    <w:tmpl w:val="51A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72D61"/>
    <w:multiLevelType w:val="multilevel"/>
    <w:tmpl w:val="48CAEC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6B8D4B77"/>
    <w:multiLevelType w:val="hybridMultilevel"/>
    <w:tmpl w:val="3D102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67589C"/>
    <w:multiLevelType w:val="multilevel"/>
    <w:tmpl w:val="267484F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CEE15A5"/>
    <w:multiLevelType w:val="multilevel"/>
    <w:tmpl w:val="69B8266E"/>
    <w:styleLink w:val="Style1"/>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0"/>
  </w:num>
  <w:num w:numId="4">
    <w:abstractNumId w:val="14"/>
  </w:num>
  <w:num w:numId="5">
    <w:abstractNumId w:val="7"/>
  </w:num>
  <w:num w:numId="6">
    <w:abstractNumId w:val="13"/>
  </w:num>
  <w:num w:numId="7">
    <w:abstractNumId w:val="9"/>
  </w:num>
  <w:num w:numId="8">
    <w:abstractNumId w:val="10"/>
  </w:num>
  <w:num w:numId="9">
    <w:abstractNumId w:val="2"/>
  </w:num>
  <w:num w:numId="10">
    <w:abstractNumId w:val="4"/>
  </w:num>
  <w:num w:numId="11">
    <w:abstractNumId w:val="3"/>
  </w:num>
  <w:num w:numId="12">
    <w:abstractNumId w:val="6"/>
  </w:num>
  <w:num w:numId="13">
    <w:abstractNumId w:val="11"/>
  </w:num>
  <w:num w:numId="14">
    <w:abstractNumId w:val="1"/>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AF"/>
    <w:rsid w:val="000010BE"/>
    <w:rsid w:val="00055752"/>
    <w:rsid w:val="00057C18"/>
    <w:rsid w:val="00060BAD"/>
    <w:rsid w:val="00062EE4"/>
    <w:rsid w:val="00070A74"/>
    <w:rsid w:val="000A2E19"/>
    <w:rsid w:val="000B6CA2"/>
    <w:rsid w:val="000C3CC0"/>
    <w:rsid w:val="000C68C0"/>
    <w:rsid w:val="000E137D"/>
    <w:rsid w:val="0010489A"/>
    <w:rsid w:val="00110299"/>
    <w:rsid w:val="00112A9D"/>
    <w:rsid w:val="00120393"/>
    <w:rsid w:val="00140859"/>
    <w:rsid w:val="00166203"/>
    <w:rsid w:val="00174532"/>
    <w:rsid w:val="001A53B7"/>
    <w:rsid w:val="001A789E"/>
    <w:rsid w:val="001B1C54"/>
    <w:rsid w:val="001B2FDA"/>
    <w:rsid w:val="001C7E54"/>
    <w:rsid w:val="001D2E66"/>
    <w:rsid w:val="0023338E"/>
    <w:rsid w:val="002527B0"/>
    <w:rsid w:val="00262619"/>
    <w:rsid w:val="00295208"/>
    <w:rsid w:val="002977B5"/>
    <w:rsid w:val="002B0603"/>
    <w:rsid w:val="002B4F9F"/>
    <w:rsid w:val="002C01E5"/>
    <w:rsid w:val="002D1F00"/>
    <w:rsid w:val="002F2957"/>
    <w:rsid w:val="002F6F63"/>
    <w:rsid w:val="00333F16"/>
    <w:rsid w:val="00343BCB"/>
    <w:rsid w:val="00347BAF"/>
    <w:rsid w:val="00362FAF"/>
    <w:rsid w:val="003644B5"/>
    <w:rsid w:val="00364ED1"/>
    <w:rsid w:val="003A00CF"/>
    <w:rsid w:val="003A224B"/>
    <w:rsid w:val="003B2863"/>
    <w:rsid w:val="003C1E56"/>
    <w:rsid w:val="003C687D"/>
    <w:rsid w:val="003E1A24"/>
    <w:rsid w:val="003E5451"/>
    <w:rsid w:val="003E5477"/>
    <w:rsid w:val="0040405E"/>
    <w:rsid w:val="00445992"/>
    <w:rsid w:val="004845C2"/>
    <w:rsid w:val="004E2777"/>
    <w:rsid w:val="004E28ED"/>
    <w:rsid w:val="00511125"/>
    <w:rsid w:val="00532FC7"/>
    <w:rsid w:val="005379BD"/>
    <w:rsid w:val="00541CEA"/>
    <w:rsid w:val="00544A66"/>
    <w:rsid w:val="00570760"/>
    <w:rsid w:val="00581491"/>
    <w:rsid w:val="00586B8D"/>
    <w:rsid w:val="00594C4B"/>
    <w:rsid w:val="005A3AE3"/>
    <w:rsid w:val="0060052C"/>
    <w:rsid w:val="006029B9"/>
    <w:rsid w:val="00614F06"/>
    <w:rsid w:val="00622894"/>
    <w:rsid w:val="006330C0"/>
    <w:rsid w:val="0064063F"/>
    <w:rsid w:val="00654C19"/>
    <w:rsid w:val="006558B0"/>
    <w:rsid w:val="0066338F"/>
    <w:rsid w:val="0067568E"/>
    <w:rsid w:val="0069522F"/>
    <w:rsid w:val="006A2D17"/>
    <w:rsid w:val="006B2802"/>
    <w:rsid w:val="0074445B"/>
    <w:rsid w:val="00744A98"/>
    <w:rsid w:val="00782A6B"/>
    <w:rsid w:val="007A6CA1"/>
    <w:rsid w:val="007B69CD"/>
    <w:rsid w:val="007E641A"/>
    <w:rsid w:val="008376BA"/>
    <w:rsid w:val="0085126B"/>
    <w:rsid w:val="0086095F"/>
    <w:rsid w:val="008A7CD9"/>
    <w:rsid w:val="008C3048"/>
    <w:rsid w:val="008C5B8E"/>
    <w:rsid w:val="008F0A95"/>
    <w:rsid w:val="0095504A"/>
    <w:rsid w:val="009A2CF4"/>
    <w:rsid w:val="009F411F"/>
    <w:rsid w:val="00A05CFC"/>
    <w:rsid w:val="00A163D3"/>
    <w:rsid w:val="00A26A44"/>
    <w:rsid w:val="00A3758F"/>
    <w:rsid w:val="00A53F8D"/>
    <w:rsid w:val="00AE12D8"/>
    <w:rsid w:val="00AE29FC"/>
    <w:rsid w:val="00B015C1"/>
    <w:rsid w:val="00B17D27"/>
    <w:rsid w:val="00B206AA"/>
    <w:rsid w:val="00B81432"/>
    <w:rsid w:val="00B83AA2"/>
    <w:rsid w:val="00B87784"/>
    <w:rsid w:val="00BB5484"/>
    <w:rsid w:val="00BE1E1C"/>
    <w:rsid w:val="00C030FC"/>
    <w:rsid w:val="00C16ACD"/>
    <w:rsid w:val="00C24A2E"/>
    <w:rsid w:val="00C263FF"/>
    <w:rsid w:val="00C320A1"/>
    <w:rsid w:val="00C365EC"/>
    <w:rsid w:val="00C4571E"/>
    <w:rsid w:val="00CA4ED1"/>
    <w:rsid w:val="00CB65CF"/>
    <w:rsid w:val="00CE36B0"/>
    <w:rsid w:val="00CE4364"/>
    <w:rsid w:val="00CF5426"/>
    <w:rsid w:val="00D03602"/>
    <w:rsid w:val="00D11CE4"/>
    <w:rsid w:val="00D35118"/>
    <w:rsid w:val="00D456F5"/>
    <w:rsid w:val="00D67491"/>
    <w:rsid w:val="00D807B2"/>
    <w:rsid w:val="00DA2355"/>
    <w:rsid w:val="00DB2956"/>
    <w:rsid w:val="00E932D4"/>
    <w:rsid w:val="00E95E06"/>
    <w:rsid w:val="00EA4BA8"/>
    <w:rsid w:val="00EA5627"/>
    <w:rsid w:val="00ED5B42"/>
    <w:rsid w:val="00F03272"/>
    <w:rsid w:val="00F03F2B"/>
    <w:rsid w:val="00F2490A"/>
    <w:rsid w:val="00F40F40"/>
    <w:rsid w:val="00F44D6B"/>
    <w:rsid w:val="00F475B3"/>
    <w:rsid w:val="00F509FC"/>
    <w:rsid w:val="00F6067D"/>
    <w:rsid w:val="00F6478B"/>
    <w:rsid w:val="00FB2A4A"/>
    <w:rsid w:val="00FD64EE"/>
    <w:rsid w:val="00FF441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330094"/>
  <w15:chartTrackingRefBased/>
  <w15:docId w15:val="{854604AE-D71C-4CFD-AA96-3E52CA9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7B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B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B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B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B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7B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B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B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BAF"/>
    <w:rPr>
      <w:rFonts w:eastAsiaTheme="majorEastAsia" w:cstheme="majorBidi"/>
      <w:color w:val="272727" w:themeColor="text1" w:themeTint="D8"/>
    </w:rPr>
  </w:style>
  <w:style w:type="paragraph" w:styleId="Title">
    <w:name w:val="Title"/>
    <w:basedOn w:val="Normal"/>
    <w:next w:val="Normal"/>
    <w:link w:val="TitleChar"/>
    <w:uiPriority w:val="10"/>
    <w:qFormat/>
    <w:rsid w:val="00347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BAF"/>
    <w:pPr>
      <w:spacing w:before="160"/>
      <w:jc w:val="center"/>
    </w:pPr>
    <w:rPr>
      <w:i/>
      <w:iCs/>
      <w:color w:val="404040" w:themeColor="text1" w:themeTint="BF"/>
    </w:rPr>
  </w:style>
  <w:style w:type="character" w:customStyle="1" w:styleId="QuoteChar">
    <w:name w:val="Quote Char"/>
    <w:basedOn w:val="DefaultParagraphFont"/>
    <w:link w:val="Quote"/>
    <w:uiPriority w:val="29"/>
    <w:rsid w:val="00347BAF"/>
    <w:rPr>
      <w:i/>
      <w:iCs/>
      <w:color w:val="404040" w:themeColor="text1" w:themeTint="BF"/>
    </w:rPr>
  </w:style>
  <w:style w:type="paragraph" w:styleId="ListParagraph">
    <w:name w:val="List Paragraph"/>
    <w:basedOn w:val="Normal"/>
    <w:uiPriority w:val="34"/>
    <w:qFormat/>
    <w:rsid w:val="00347BAF"/>
    <w:pPr>
      <w:ind w:left="720"/>
      <w:contextualSpacing/>
    </w:pPr>
  </w:style>
  <w:style w:type="character" w:styleId="IntenseEmphasis">
    <w:name w:val="Intense Emphasis"/>
    <w:basedOn w:val="DefaultParagraphFont"/>
    <w:uiPriority w:val="21"/>
    <w:qFormat/>
    <w:rsid w:val="00347BAF"/>
    <w:rPr>
      <w:i/>
      <w:iCs/>
      <w:color w:val="2F5496" w:themeColor="accent1" w:themeShade="BF"/>
    </w:rPr>
  </w:style>
  <w:style w:type="paragraph" w:styleId="IntenseQuote">
    <w:name w:val="Intense Quote"/>
    <w:basedOn w:val="Normal"/>
    <w:next w:val="Normal"/>
    <w:link w:val="IntenseQuoteChar"/>
    <w:uiPriority w:val="30"/>
    <w:qFormat/>
    <w:rsid w:val="0034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BAF"/>
    <w:rPr>
      <w:i/>
      <w:iCs/>
      <w:color w:val="2F5496" w:themeColor="accent1" w:themeShade="BF"/>
    </w:rPr>
  </w:style>
  <w:style w:type="character" w:styleId="IntenseReference">
    <w:name w:val="Intense Reference"/>
    <w:basedOn w:val="DefaultParagraphFont"/>
    <w:uiPriority w:val="32"/>
    <w:qFormat/>
    <w:rsid w:val="00347BAF"/>
    <w:rPr>
      <w:b/>
      <w:bCs/>
      <w:smallCaps/>
      <w:color w:val="2F5496" w:themeColor="accent1" w:themeShade="BF"/>
      <w:spacing w:val="5"/>
    </w:rPr>
  </w:style>
  <w:style w:type="character" w:styleId="Hyperlink">
    <w:name w:val="Hyperlink"/>
    <w:basedOn w:val="DefaultParagraphFont"/>
    <w:uiPriority w:val="99"/>
    <w:unhideWhenUsed/>
    <w:rsid w:val="00347BAF"/>
    <w:rPr>
      <w:color w:val="0563C1" w:themeColor="hyperlink"/>
      <w:u w:val="single"/>
    </w:rPr>
  </w:style>
  <w:style w:type="character" w:styleId="UnresolvedMention">
    <w:name w:val="Unresolved Mention"/>
    <w:basedOn w:val="DefaultParagraphFont"/>
    <w:uiPriority w:val="99"/>
    <w:semiHidden/>
    <w:unhideWhenUsed/>
    <w:rsid w:val="00347BAF"/>
    <w:rPr>
      <w:color w:val="605E5C"/>
      <w:shd w:val="clear" w:color="auto" w:fill="E1DFDD"/>
    </w:rPr>
  </w:style>
  <w:style w:type="table" w:styleId="TableGrid">
    <w:name w:val="Table Grid"/>
    <w:basedOn w:val="TableNormal"/>
    <w:uiPriority w:val="59"/>
    <w:rsid w:val="00F0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F032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F03272"/>
    <w:pPr>
      <w:spacing w:after="200" w:line="240" w:lineRule="auto"/>
    </w:pPr>
    <w:rPr>
      <w:i/>
      <w:iCs/>
      <w:color w:val="44546A" w:themeColor="text2"/>
      <w:sz w:val="18"/>
      <w:szCs w:val="18"/>
    </w:rPr>
  </w:style>
  <w:style w:type="paragraph" w:styleId="NormalWeb">
    <w:name w:val="Normal (Web)"/>
    <w:basedOn w:val="Normal"/>
    <w:uiPriority w:val="99"/>
    <w:unhideWhenUsed/>
    <w:rsid w:val="00F509FC"/>
    <w:rPr>
      <w:rFonts w:ascii="Times New Roman" w:hAnsi="Times New Roman" w:cs="Times New Roman"/>
      <w:sz w:val="24"/>
      <w:szCs w:val="24"/>
    </w:rPr>
  </w:style>
  <w:style w:type="character" w:styleId="Strong">
    <w:name w:val="Strong"/>
    <w:basedOn w:val="DefaultParagraphFont"/>
    <w:uiPriority w:val="22"/>
    <w:qFormat/>
    <w:rsid w:val="00F509FC"/>
    <w:rPr>
      <w:b/>
      <w:bCs/>
    </w:rPr>
  </w:style>
  <w:style w:type="paragraph" w:styleId="Header">
    <w:name w:val="header"/>
    <w:basedOn w:val="Normal"/>
    <w:link w:val="HeaderChar"/>
    <w:uiPriority w:val="99"/>
    <w:unhideWhenUsed/>
    <w:rsid w:val="00F50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FC"/>
  </w:style>
  <w:style w:type="paragraph" w:styleId="Footer">
    <w:name w:val="footer"/>
    <w:basedOn w:val="Normal"/>
    <w:link w:val="FooterChar"/>
    <w:uiPriority w:val="99"/>
    <w:unhideWhenUsed/>
    <w:rsid w:val="00F50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FC"/>
  </w:style>
  <w:style w:type="paragraph" w:styleId="TOCHeading">
    <w:name w:val="TOC Heading"/>
    <w:basedOn w:val="Heading1"/>
    <w:next w:val="Normal"/>
    <w:uiPriority w:val="39"/>
    <w:unhideWhenUsed/>
    <w:qFormat/>
    <w:rsid w:val="00F509FC"/>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F509FC"/>
    <w:pPr>
      <w:spacing w:after="0"/>
      <w:ind w:left="220"/>
    </w:pPr>
    <w:rPr>
      <w:rFonts w:cstheme="minorHAnsi"/>
      <w:sz w:val="20"/>
      <w:szCs w:val="20"/>
    </w:rPr>
  </w:style>
  <w:style w:type="paragraph" w:styleId="TOC1">
    <w:name w:val="toc 1"/>
    <w:basedOn w:val="Normal"/>
    <w:next w:val="Normal"/>
    <w:autoRedefine/>
    <w:uiPriority w:val="39"/>
    <w:unhideWhenUsed/>
    <w:rsid w:val="00F509FC"/>
    <w:pPr>
      <w:tabs>
        <w:tab w:val="right" w:pos="9016"/>
      </w:tabs>
      <w:spacing w:before="360" w:after="0"/>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F509FC"/>
    <w:pPr>
      <w:spacing w:before="240" w:after="0"/>
    </w:pPr>
    <w:rPr>
      <w:rFonts w:cstheme="minorHAnsi"/>
      <w:b/>
      <w:bCs/>
      <w:sz w:val="20"/>
      <w:szCs w:val="20"/>
    </w:rPr>
  </w:style>
  <w:style w:type="numbering" w:customStyle="1" w:styleId="Style1">
    <w:name w:val="Style1"/>
    <w:uiPriority w:val="99"/>
    <w:rsid w:val="00F509FC"/>
    <w:pPr>
      <w:numPr>
        <w:numId w:val="4"/>
      </w:numPr>
    </w:pPr>
  </w:style>
  <w:style w:type="numbering" w:customStyle="1" w:styleId="Style2">
    <w:name w:val="Style2"/>
    <w:uiPriority w:val="99"/>
    <w:rsid w:val="00F509FC"/>
    <w:pPr>
      <w:numPr>
        <w:numId w:val="5"/>
      </w:numPr>
    </w:pPr>
  </w:style>
  <w:style w:type="paragraph" w:styleId="TableofFigures">
    <w:name w:val="table of figures"/>
    <w:basedOn w:val="Normal"/>
    <w:next w:val="Normal"/>
    <w:uiPriority w:val="99"/>
    <w:unhideWhenUsed/>
    <w:rsid w:val="00F509FC"/>
    <w:pPr>
      <w:spacing w:after="0"/>
    </w:pPr>
  </w:style>
  <w:style w:type="paragraph" w:styleId="TOC4">
    <w:name w:val="toc 4"/>
    <w:basedOn w:val="Normal"/>
    <w:next w:val="Normal"/>
    <w:autoRedefine/>
    <w:uiPriority w:val="39"/>
    <w:unhideWhenUsed/>
    <w:rsid w:val="00F509FC"/>
    <w:pPr>
      <w:spacing w:after="0"/>
      <w:ind w:left="440"/>
    </w:pPr>
    <w:rPr>
      <w:rFonts w:cstheme="minorHAnsi"/>
      <w:sz w:val="20"/>
      <w:szCs w:val="20"/>
    </w:rPr>
  </w:style>
  <w:style w:type="paragraph" w:styleId="TOC5">
    <w:name w:val="toc 5"/>
    <w:basedOn w:val="Normal"/>
    <w:next w:val="Normal"/>
    <w:autoRedefine/>
    <w:uiPriority w:val="39"/>
    <w:unhideWhenUsed/>
    <w:rsid w:val="00F509FC"/>
    <w:pPr>
      <w:spacing w:after="0"/>
      <w:ind w:left="660"/>
    </w:pPr>
    <w:rPr>
      <w:rFonts w:cstheme="minorHAnsi"/>
      <w:sz w:val="20"/>
      <w:szCs w:val="20"/>
    </w:rPr>
  </w:style>
  <w:style w:type="paragraph" w:styleId="TOC6">
    <w:name w:val="toc 6"/>
    <w:basedOn w:val="Normal"/>
    <w:next w:val="Normal"/>
    <w:autoRedefine/>
    <w:uiPriority w:val="39"/>
    <w:unhideWhenUsed/>
    <w:rsid w:val="00F509FC"/>
    <w:pPr>
      <w:spacing w:after="0"/>
      <w:ind w:left="880"/>
    </w:pPr>
    <w:rPr>
      <w:rFonts w:cstheme="minorHAnsi"/>
      <w:sz w:val="20"/>
      <w:szCs w:val="20"/>
    </w:rPr>
  </w:style>
  <w:style w:type="paragraph" w:styleId="TOC7">
    <w:name w:val="toc 7"/>
    <w:basedOn w:val="Normal"/>
    <w:next w:val="Normal"/>
    <w:autoRedefine/>
    <w:uiPriority w:val="39"/>
    <w:unhideWhenUsed/>
    <w:rsid w:val="00F509FC"/>
    <w:pPr>
      <w:spacing w:after="0"/>
      <w:ind w:left="1100"/>
    </w:pPr>
    <w:rPr>
      <w:rFonts w:cstheme="minorHAnsi"/>
      <w:sz w:val="20"/>
      <w:szCs w:val="20"/>
    </w:rPr>
  </w:style>
  <w:style w:type="paragraph" w:styleId="TOC8">
    <w:name w:val="toc 8"/>
    <w:basedOn w:val="Normal"/>
    <w:next w:val="Normal"/>
    <w:autoRedefine/>
    <w:uiPriority w:val="39"/>
    <w:unhideWhenUsed/>
    <w:rsid w:val="00F509FC"/>
    <w:pPr>
      <w:spacing w:after="0"/>
      <w:ind w:left="1320"/>
    </w:pPr>
    <w:rPr>
      <w:rFonts w:cstheme="minorHAnsi"/>
      <w:sz w:val="20"/>
      <w:szCs w:val="20"/>
    </w:rPr>
  </w:style>
  <w:style w:type="paragraph" w:styleId="TOC9">
    <w:name w:val="toc 9"/>
    <w:basedOn w:val="Normal"/>
    <w:next w:val="Normal"/>
    <w:autoRedefine/>
    <w:uiPriority w:val="39"/>
    <w:unhideWhenUsed/>
    <w:rsid w:val="00F509FC"/>
    <w:pPr>
      <w:spacing w:after="0"/>
      <w:ind w:left="1540"/>
    </w:pPr>
    <w:rPr>
      <w:rFonts w:cstheme="minorHAnsi"/>
      <w:sz w:val="20"/>
      <w:szCs w:val="20"/>
    </w:rPr>
  </w:style>
  <w:style w:type="table" w:styleId="PlainTable2">
    <w:name w:val="Plain Table 2"/>
    <w:basedOn w:val="TableNormal"/>
    <w:uiPriority w:val="42"/>
    <w:rsid w:val="00362F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1486">
      <w:bodyDiv w:val="1"/>
      <w:marLeft w:val="0"/>
      <w:marRight w:val="0"/>
      <w:marTop w:val="0"/>
      <w:marBottom w:val="0"/>
      <w:divBdr>
        <w:top w:val="none" w:sz="0" w:space="0" w:color="auto"/>
        <w:left w:val="none" w:sz="0" w:space="0" w:color="auto"/>
        <w:bottom w:val="none" w:sz="0" w:space="0" w:color="auto"/>
        <w:right w:val="none" w:sz="0" w:space="0" w:color="auto"/>
      </w:divBdr>
      <w:divsChild>
        <w:div w:id="188451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07124">
      <w:bodyDiv w:val="1"/>
      <w:marLeft w:val="0"/>
      <w:marRight w:val="0"/>
      <w:marTop w:val="0"/>
      <w:marBottom w:val="0"/>
      <w:divBdr>
        <w:top w:val="none" w:sz="0" w:space="0" w:color="auto"/>
        <w:left w:val="none" w:sz="0" w:space="0" w:color="auto"/>
        <w:bottom w:val="none" w:sz="0" w:space="0" w:color="auto"/>
        <w:right w:val="none" w:sz="0" w:space="0" w:color="auto"/>
      </w:divBdr>
    </w:div>
    <w:div w:id="55402122">
      <w:bodyDiv w:val="1"/>
      <w:marLeft w:val="0"/>
      <w:marRight w:val="0"/>
      <w:marTop w:val="0"/>
      <w:marBottom w:val="0"/>
      <w:divBdr>
        <w:top w:val="none" w:sz="0" w:space="0" w:color="auto"/>
        <w:left w:val="none" w:sz="0" w:space="0" w:color="auto"/>
        <w:bottom w:val="none" w:sz="0" w:space="0" w:color="auto"/>
        <w:right w:val="none" w:sz="0" w:space="0" w:color="auto"/>
      </w:divBdr>
    </w:div>
    <w:div w:id="81148641">
      <w:bodyDiv w:val="1"/>
      <w:marLeft w:val="0"/>
      <w:marRight w:val="0"/>
      <w:marTop w:val="0"/>
      <w:marBottom w:val="0"/>
      <w:divBdr>
        <w:top w:val="none" w:sz="0" w:space="0" w:color="auto"/>
        <w:left w:val="none" w:sz="0" w:space="0" w:color="auto"/>
        <w:bottom w:val="none" w:sz="0" w:space="0" w:color="auto"/>
        <w:right w:val="none" w:sz="0" w:space="0" w:color="auto"/>
      </w:divBdr>
    </w:div>
    <w:div w:id="84693103">
      <w:bodyDiv w:val="1"/>
      <w:marLeft w:val="0"/>
      <w:marRight w:val="0"/>
      <w:marTop w:val="0"/>
      <w:marBottom w:val="0"/>
      <w:divBdr>
        <w:top w:val="none" w:sz="0" w:space="0" w:color="auto"/>
        <w:left w:val="none" w:sz="0" w:space="0" w:color="auto"/>
        <w:bottom w:val="none" w:sz="0" w:space="0" w:color="auto"/>
        <w:right w:val="none" w:sz="0" w:space="0" w:color="auto"/>
      </w:divBdr>
    </w:div>
    <w:div w:id="86661239">
      <w:bodyDiv w:val="1"/>
      <w:marLeft w:val="0"/>
      <w:marRight w:val="0"/>
      <w:marTop w:val="0"/>
      <w:marBottom w:val="0"/>
      <w:divBdr>
        <w:top w:val="none" w:sz="0" w:space="0" w:color="auto"/>
        <w:left w:val="none" w:sz="0" w:space="0" w:color="auto"/>
        <w:bottom w:val="none" w:sz="0" w:space="0" w:color="auto"/>
        <w:right w:val="none" w:sz="0" w:space="0" w:color="auto"/>
      </w:divBdr>
      <w:divsChild>
        <w:div w:id="94137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3456">
      <w:bodyDiv w:val="1"/>
      <w:marLeft w:val="0"/>
      <w:marRight w:val="0"/>
      <w:marTop w:val="0"/>
      <w:marBottom w:val="0"/>
      <w:divBdr>
        <w:top w:val="none" w:sz="0" w:space="0" w:color="auto"/>
        <w:left w:val="none" w:sz="0" w:space="0" w:color="auto"/>
        <w:bottom w:val="none" w:sz="0" w:space="0" w:color="auto"/>
        <w:right w:val="none" w:sz="0" w:space="0" w:color="auto"/>
      </w:divBdr>
    </w:div>
    <w:div w:id="198133622">
      <w:bodyDiv w:val="1"/>
      <w:marLeft w:val="0"/>
      <w:marRight w:val="0"/>
      <w:marTop w:val="0"/>
      <w:marBottom w:val="0"/>
      <w:divBdr>
        <w:top w:val="none" w:sz="0" w:space="0" w:color="auto"/>
        <w:left w:val="none" w:sz="0" w:space="0" w:color="auto"/>
        <w:bottom w:val="none" w:sz="0" w:space="0" w:color="auto"/>
        <w:right w:val="none" w:sz="0" w:space="0" w:color="auto"/>
      </w:divBdr>
    </w:div>
    <w:div w:id="200094355">
      <w:bodyDiv w:val="1"/>
      <w:marLeft w:val="0"/>
      <w:marRight w:val="0"/>
      <w:marTop w:val="0"/>
      <w:marBottom w:val="0"/>
      <w:divBdr>
        <w:top w:val="none" w:sz="0" w:space="0" w:color="auto"/>
        <w:left w:val="none" w:sz="0" w:space="0" w:color="auto"/>
        <w:bottom w:val="none" w:sz="0" w:space="0" w:color="auto"/>
        <w:right w:val="none" w:sz="0" w:space="0" w:color="auto"/>
      </w:divBdr>
    </w:div>
    <w:div w:id="209584788">
      <w:bodyDiv w:val="1"/>
      <w:marLeft w:val="0"/>
      <w:marRight w:val="0"/>
      <w:marTop w:val="0"/>
      <w:marBottom w:val="0"/>
      <w:divBdr>
        <w:top w:val="none" w:sz="0" w:space="0" w:color="auto"/>
        <w:left w:val="none" w:sz="0" w:space="0" w:color="auto"/>
        <w:bottom w:val="none" w:sz="0" w:space="0" w:color="auto"/>
        <w:right w:val="none" w:sz="0" w:space="0" w:color="auto"/>
      </w:divBdr>
    </w:div>
    <w:div w:id="212736941">
      <w:bodyDiv w:val="1"/>
      <w:marLeft w:val="0"/>
      <w:marRight w:val="0"/>
      <w:marTop w:val="0"/>
      <w:marBottom w:val="0"/>
      <w:divBdr>
        <w:top w:val="none" w:sz="0" w:space="0" w:color="auto"/>
        <w:left w:val="none" w:sz="0" w:space="0" w:color="auto"/>
        <w:bottom w:val="none" w:sz="0" w:space="0" w:color="auto"/>
        <w:right w:val="none" w:sz="0" w:space="0" w:color="auto"/>
      </w:divBdr>
    </w:div>
    <w:div w:id="236794152">
      <w:bodyDiv w:val="1"/>
      <w:marLeft w:val="0"/>
      <w:marRight w:val="0"/>
      <w:marTop w:val="0"/>
      <w:marBottom w:val="0"/>
      <w:divBdr>
        <w:top w:val="none" w:sz="0" w:space="0" w:color="auto"/>
        <w:left w:val="none" w:sz="0" w:space="0" w:color="auto"/>
        <w:bottom w:val="none" w:sz="0" w:space="0" w:color="auto"/>
        <w:right w:val="none" w:sz="0" w:space="0" w:color="auto"/>
      </w:divBdr>
    </w:div>
    <w:div w:id="259997186">
      <w:bodyDiv w:val="1"/>
      <w:marLeft w:val="0"/>
      <w:marRight w:val="0"/>
      <w:marTop w:val="0"/>
      <w:marBottom w:val="0"/>
      <w:divBdr>
        <w:top w:val="none" w:sz="0" w:space="0" w:color="auto"/>
        <w:left w:val="none" w:sz="0" w:space="0" w:color="auto"/>
        <w:bottom w:val="none" w:sz="0" w:space="0" w:color="auto"/>
        <w:right w:val="none" w:sz="0" w:space="0" w:color="auto"/>
      </w:divBdr>
    </w:div>
    <w:div w:id="281424716">
      <w:bodyDiv w:val="1"/>
      <w:marLeft w:val="0"/>
      <w:marRight w:val="0"/>
      <w:marTop w:val="0"/>
      <w:marBottom w:val="0"/>
      <w:divBdr>
        <w:top w:val="none" w:sz="0" w:space="0" w:color="auto"/>
        <w:left w:val="none" w:sz="0" w:space="0" w:color="auto"/>
        <w:bottom w:val="none" w:sz="0" w:space="0" w:color="auto"/>
        <w:right w:val="none" w:sz="0" w:space="0" w:color="auto"/>
      </w:divBdr>
    </w:div>
    <w:div w:id="291403746">
      <w:bodyDiv w:val="1"/>
      <w:marLeft w:val="0"/>
      <w:marRight w:val="0"/>
      <w:marTop w:val="0"/>
      <w:marBottom w:val="0"/>
      <w:divBdr>
        <w:top w:val="none" w:sz="0" w:space="0" w:color="auto"/>
        <w:left w:val="none" w:sz="0" w:space="0" w:color="auto"/>
        <w:bottom w:val="none" w:sz="0" w:space="0" w:color="auto"/>
        <w:right w:val="none" w:sz="0" w:space="0" w:color="auto"/>
      </w:divBdr>
    </w:div>
    <w:div w:id="312369558">
      <w:bodyDiv w:val="1"/>
      <w:marLeft w:val="0"/>
      <w:marRight w:val="0"/>
      <w:marTop w:val="0"/>
      <w:marBottom w:val="0"/>
      <w:divBdr>
        <w:top w:val="none" w:sz="0" w:space="0" w:color="auto"/>
        <w:left w:val="none" w:sz="0" w:space="0" w:color="auto"/>
        <w:bottom w:val="none" w:sz="0" w:space="0" w:color="auto"/>
        <w:right w:val="none" w:sz="0" w:space="0" w:color="auto"/>
      </w:divBdr>
    </w:div>
    <w:div w:id="314535499">
      <w:bodyDiv w:val="1"/>
      <w:marLeft w:val="0"/>
      <w:marRight w:val="0"/>
      <w:marTop w:val="0"/>
      <w:marBottom w:val="0"/>
      <w:divBdr>
        <w:top w:val="none" w:sz="0" w:space="0" w:color="auto"/>
        <w:left w:val="none" w:sz="0" w:space="0" w:color="auto"/>
        <w:bottom w:val="none" w:sz="0" w:space="0" w:color="auto"/>
        <w:right w:val="none" w:sz="0" w:space="0" w:color="auto"/>
      </w:divBdr>
    </w:div>
    <w:div w:id="319626817">
      <w:bodyDiv w:val="1"/>
      <w:marLeft w:val="0"/>
      <w:marRight w:val="0"/>
      <w:marTop w:val="0"/>
      <w:marBottom w:val="0"/>
      <w:divBdr>
        <w:top w:val="none" w:sz="0" w:space="0" w:color="auto"/>
        <w:left w:val="none" w:sz="0" w:space="0" w:color="auto"/>
        <w:bottom w:val="none" w:sz="0" w:space="0" w:color="auto"/>
        <w:right w:val="none" w:sz="0" w:space="0" w:color="auto"/>
      </w:divBdr>
    </w:div>
    <w:div w:id="325980938">
      <w:bodyDiv w:val="1"/>
      <w:marLeft w:val="0"/>
      <w:marRight w:val="0"/>
      <w:marTop w:val="0"/>
      <w:marBottom w:val="0"/>
      <w:divBdr>
        <w:top w:val="none" w:sz="0" w:space="0" w:color="auto"/>
        <w:left w:val="none" w:sz="0" w:space="0" w:color="auto"/>
        <w:bottom w:val="none" w:sz="0" w:space="0" w:color="auto"/>
        <w:right w:val="none" w:sz="0" w:space="0" w:color="auto"/>
      </w:divBdr>
    </w:div>
    <w:div w:id="329719641">
      <w:bodyDiv w:val="1"/>
      <w:marLeft w:val="0"/>
      <w:marRight w:val="0"/>
      <w:marTop w:val="0"/>
      <w:marBottom w:val="0"/>
      <w:divBdr>
        <w:top w:val="none" w:sz="0" w:space="0" w:color="auto"/>
        <w:left w:val="none" w:sz="0" w:space="0" w:color="auto"/>
        <w:bottom w:val="none" w:sz="0" w:space="0" w:color="auto"/>
        <w:right w:val="none" w:sz="0" w:space="0" w:color="auto"/>
      </w:divBdr>
    </w:div>
    <w:div w:id="329792171">
      <w:bodyDiv w:val="1"/>
      <w:marLeft w:val="0"/>
      <w:marRight w:val="0"/>
      <w:marTop w:val="0"/>
      <w:marBottom w:val="0"/>
      <w:divBdr>
        <w:top w:val="none" w:sz="0" w:space="0" w:color="auto"/>
        <w:left w:val="none" w:sz="0" w:space="0" w:color="auto"/>
        <w:bottom w:val="none" w:sz="0" w:space="0" w:color="auto"/>
        <w:right w:val="none" w:sz="0" w:space="0" w:color="auto"/>
      </w:divBdr>
    </w:div>
    <w:div w:id="392893923">
      <w:bodyDiv w:val="1"/>
      <w:marLeft w:val="0"/>
      <w:marRight w:val="0"/>
      <w:marTop w:val="0"/>
      <w:marBottom w:val="0"/>
      <w:divBdr>
        <w:top w:val="none" w:sz="0" w:space="0" w:color="auto"/>
        <w:left w:val="none" w:sz="0" w:space="0" w:color="auto"/>
        <w:bottom w:val="none" w:sz="0" w:space="0" w:color="auto"/>
        <w:right w:val="none" w:sz="0" w:space="0" w:color="auto"/>
      </w:divBdr>
    </w:div>
    <w:div w:id="398990050">
      <w:bodyDiv w:val="1"/>
      <w:marLeft w:val="0"/>
      <w:marRight w:val="0"/>
      <w:marTop w:val="0"/>
      <w:marBottom w:val="0"/>
      <w:divBdr>
        <w:top w:val="none" w:sz="0" w:space="0" w:color="auto"/>
        <w:left w:val="none" w:sz="0" w:space="0" w:color="auto"/>
        <w:bottom w:val="none" w:sz="0" w:space="0" w:color="auto"/>
        <w:right w:val="none" w:sz="0" w:space="0" w:color="auto"/>
      </w:divBdr>
    </w:div>
    <w:div w:id="405034259">
      <w:bodyDiv w:val="1"/>
      <w:marLeft w:val="0"/>
      <w:marRight w:val="0"/>
      <w:marTop w:val="0"/>
      <w:marBottom w:val="0"/>
      <w:divBdr>
        <w:top w:val="none" w:sz="0" w:space="0" w:color="auto"/>
        <w:left w:val="none" w:sz="0" w:space="0" w:color="auto"/>
        <w:bottom w:val="none" w:sz="0" w:space="0" w:color="auto"/>
        <w:right w:val="none" w:sz="0" w:space="0" w:color="auto"/>
      </w:divBdr>
      <w:divsChild>
        <w:div w:id="598024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44010547">
      <w:bodyDiv w:val="1"/>
      <w:marLeft w:val="0"/>
      <w:marRight w:val="0"/>
      <w:marTop w:val="0"/>
      <w:marBottom w:val="0"/>
      <w:divBdr>
        <w:top w:val="none" w:sz="0" w:space="0" w:color="auto"/>
        <w:left w:val="none" w:sz="0" w:space="0" w:color="auto"/>
        <w:bottom w:val="none" w:sz="0" w:space="0" w:color="auto"/>
        <w:right w:val="none" w:sz="0" w:space="0" w:color="auto"/>
      </w:divBdr>
    </w:div>
    <w:div w:id="455220602">
      <w:bodyDiv w:val="1"/>
      <w:marLeft w:val="0"/>
      <w:marRight w:val="0"/>
      <w:marTop w:val="0"/>
      <w:marBottom w:val="0"/>
      <w:divBdr>
        <w:top w:val="none" w:sz="0" w:space="0" w:color="auto"/>
        <w:left w:val="none" w:sz="0" w:space="0" w:color="auto"/>
        <w:bottom w:val="none" w:sz="0" w:space="0" w:color="auto"/>
        <w:right w:val="none" w:sz="0" w:space="0" w:color="auto"/>
      </w:divBdr>
    </w:div>
    <w:div w:id="491608029">
      <w:bodyDiv w:val="1"/>
      <w:marLeft w:val="0"/>
      <w:marRight w:val="0"/>
      <w:marTop w:val="0"/>
      <w:marBottom w:val="0"/>
      <w:divBdr>
        <w:top w:val="none" w:sz="0" w:space="0" w:color="auto"/>
        <w:left w:val="none" w:sz="0" w:space="0" w:color="auto"/>
        <w:bottom w:val="none" w:sz="0" w:space="0" w:color="auto"/>
        <w:right w:val="none" w:sz="0" w:space="0" w:color="auto"/>
      </w:divBdr>
      <w:divsChild>
        <w:div w:id="1761372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77096">
      <w:bodyDiv w:val="1"/>
      <w:marLeft w:val="0"/>
      <w:marRight w:val="0"/>
      <w:marTop w:val="0"/>
      <w:marBottom w:val="0"/>
      <w:divBdr>
        <w:top w:val="none" w:sz="0" w:space="0" w:color="auto"/>
        <w:left w:val="none" w:sz="0" w:space="0" w:color="auto"/>
        <w:bottom w:val="none" w:sz="0" w:space="0" w:color="auto"/>
        <w:right w:val="none" w:sz="0" w:space="0" w:color="auto"/>
      </w:divBdr>
    </w:div>
    <w:div w:id="526875589">
      <w:bodyDiv w:val="1"/>
      <w:marLeft w:val="0"/>
      <w:marRight w:val="0"/>
      <w:marTop w:val="0"/>
      <w:marBottom w:val="0"/>
      <w:divBdr>
        <w:top w:val="none" w:sz="0" w:space="0" w:color="auto"/>
        <w:left w:val="none" w:sz="0" w:space="0" w:color="auto"/>
        <w:bottom w:val="none" w:sz="0" w:space="0" w:color="auto"/>
        <w:right w:val="none" w:sz="0" w:space="0" w:color="auto"/>
      </w:divBdr>
    </w:div>
    <w:div w:id="546643435">
      <w:bodyDiv w:val="1"/>
      <w:marLeft w:val="0"/>
      <w:marRight w:val="0"/>
      <w:marTop w:val="0"/>
      <w:marBottom w:val="0"/>
      <w:divBdr>
        <w:top w:val="none" w:sz="0" w:space="0" w:color="auto"/>
        <w:left w:val="none" w:sz="0" w:space="0" w:color="auto"/>
        <w:bottom w:val="none" w:sz="0" w:space="0" w:color="auto"/>
        <w:right w:val="none" w:sz="0" w:space="0" w:color="auto"/>
      </w:divBdr>
      <w:divsChild>
        <w:div w:id="109893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545094">
      <w:bodyDiv w:val="1"/>
      <w:marLeft w:val="0"/>
      <w:marRight w:val="0"/>
      <w:marTop w:val="0"/>
      <w:marBottom w:val="0"/>
      <w:divBdr>
        <w:top w:val="none" w:sz="0" w:space="0" w:color="auto"/>
        <w:left w:val="none" w:sz="0" w:space="0" w:color="auto"/>
        <w:bottom w:val="none" w:sz="0" w:space="0" w:color="auto"/>
        <w:right w:val="none" w:sz="0" w:space="0" w:color="auto"/>
      </w:divBdr>
    </w:div>
    <w:div w:id="644702517">
      <w:bodyDiv w:val="1"/>
      <w:marLeft w:val="0"/>
      <w:marRight w:val="0"/>
      <w:marTop w:val="0"/>
      <w:marBottom w:val="0"/>
      <w:divBdr>
        <w:top w:val="none" w:sz="0" w:space="0" w:color="auto"/>
        <w:left w:val="none" w:sz="0" w:space="0" w:color="auto"/>
        <w:bottom w:val="none" w:sz="0" w:space="0" w:color="auto"/>
        <w:right w:val="none" w:sz="0" w:space="0" w:color="auto"/>
      </w:divBdr>
    </w:div>
    <w:div w:id="645008186">
      <w:bodyDiv w:val="1"/>
      <w:marLeft w:val="0"/>
      <w:marRight w:val="0"/>
      <w:marTop w:val="0"/>
      <w:marBottom w:val="0"/>
      <w:divBdr>
        <w:top w:val="none" w:sz="0" w:space="0" w:color="auto"/>
        <w:left w:val="none" w:sz="0" w:space="0" w:color="auto"/>
        <w:bottom w:val="none" w:sz="0" w:space="0" w:color="auto"/>
        <w:right w:val="none" w:sz="0" w:space="0" w:color="auto"/>
      </w:divBdr>
    </w:div>
    <w:div w:id="657929121">
      <w:bodyDiv w:val="1"/>
      <w:marLeft w:val="0"/>
      <w:marRight w:val="0"/>
      <w:marTop w:val="0"/>
      <w:marBottom w:val="0"/>
      <w:divBdr>
        <w:top w:val="none" w:sz="0" w:space="0" w:color="auto"/>
        <w:left w:val="none" w:sz="0" w:space="0" w:color="auto"/>
        <w:bottom w:val="none" w:sz="0" w:space="0" w:color="auto"/>
        <w:right w:val="none" w:sz="0" w:space="0" w:color="auto"/>
      </w:divBdr>
      <w:divsChild>
        <w:div w:id="68147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12748">
      <w:bodyDiv w:val="1"/>
      <w:marLeft w:val="0"/>
      <w:marRight w:val="0"/>
      <w:marTop w:val="0"/>
      <w:marBottom w:val="0"/>
      <w:divBdr>
        <w:top w:val="none" w:sz="0" w:space="0" w:color="auto"/>
        <w:left w:val="none" w:sz="0" w:space="0" w:color="auto"/>
        <w:bottom w:val="none" w:sz="0" w:space="0" w:color="auto"/>
        <w:right w:val="none" w:sz="0" w:space="0" w:color="auto"/>
      </w:divBdr>
    </w:div>
    <w:div w:id="740516649">
      <w:bodyDiv w:val="1"/>
      <w:marLeft w:val="0"/>
      <w:marRight w:val="0"/>
      <w:marTop w:val="0"/>
      <w:marBottom w:val="0"/>
      <w:divBdr>
        <w:top w:val="none" w:sz="0" w:space="0" w:color="auto"/>
        <w:left w:val="none" w:sz="0" w:space="0" w:color="auto"/>
        <w:bottom w:val="none" w:sz="0" w:space="0" w:color="auto"/>
        <w:right w:val="none" w:sz="0" w:space="0" w:color="auto"/>
      </w:divBdr>
    </w:div>
    <w:div w:id="787505004">
      <w:bodyDiv w:val="1"/>
      <w:marLeft w:val="0"/>
      <w:marRight w:val="0"/>
      <w:marTop w:val="0"/>
      <w:marBottom w:val="0"/>
      <w:divBdr>
        <w:top w:val="none" w:sz="0" w:space="0" w:color="auto"/>
        <w:left w:val="none" w:sz="0" w:space="0" w:color="auto"/>
        <w:bottom w:val="none" w:sz="0" w:space="0" w:color="auto"/>
        <w:right w:val="none" w:sz="0" w:space="0" w:color="auto"/>
      </w:divBdr>
    </w:div>
    <w:div w:id="811212524">
      <w:bodyDiv w:val="1"/>
      <w:marLeft w:val="0"/>
      <w:marRight w:val="0"/>
      <w:marTop w:val="0"/>
      <w:marBottom w:val="0"/>
      <w:divBdr>
        <w:top w:val="none" w:sz="0" w:space="0" w:color="auto"/>
        <w:left w:val="none" w:sz="0" w:space="0" w:color="auto"/>
        <w:bottom w:val="none" w:sz="0" w:space="0" w:color="auto"/>
        <w:right w:val="none" w:sz="0" w:space="0" w:color="auto"/>
      </w:divBdr>
      <w:divsChild>
        <w:div w:id="128974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02782">
      <w:bodyDiv w:val="1"/>
      <w:marLeft w:val="0"/>
      <w:marRight w:val="0"/>
      <w:marTop w:val="0"/>
      <w:marBottom w:val="0"/>
      <w:divBdr>
        <w:top w:val="none" w:sz="0" w:space="0" w:color="auto"/>
        <w:left w:val="none" w:sz="0" w:space="0" w:color="auto"/>
        <w:bottom w:val="none" w:sz="0" w:space="0" w:color="auto"/>
        <w:right w:val="none" w:sz="0" w:space="0" w:color="auto"/>
      </w:divBdr>
    </w:div>
    <w:div w:id="857932993">
      <w:bodyDiv w:val="1"/>
      <w:marLeft w:val="0"/>
      <w:marRight w:val="0"/>
      <w:marTop w:val="0"/>
      <w:marBottom w:val="0"/>
      <w:divBdr>
        <w:top w:val="none" w:sz="0" w:space="0" w:color="auto"/>
        <w:left w:val="none" w:sz="0" w:space="0" w:color="auto"/>
        <w:bottom w:val="none" w:sz="0" w:space="0" w:color="auto"/>
        <w:right w:val="none" w:sz="0" w:space="0" w:color="auto"/>
      </w:divBdr>
    </w:div>
    <w:div w:id="865142725">
      <w:bodyDiv w:val="1"/>
      <w:marLeft w:val="0"/>
      <w:marRight w:val="0"/>
      <w:marTop w:val="0"/>
      <w:marBottom w:val="0"/>
      <w:divBdr>
        <w:top w:val="none" w:sz="0" w:space="0" w:color="auto"/>
        <w:left w:val="none" w:sz="0" w:space="0" w:color="auto"/>
        <w:bottom w:val="none" w:sz="0" w:space="0" w:color="auto"/>
        <w:right w:val="none" w:sz="0" w:space="0" w:color="auto"/>
      </w:divBdr>
    </w:div>
    <w:div w:id="913928616">
      <w:bodyDiv w:val="1"/>
      <w:marLeft w:val="0"/>
      <w:marRight w:val="0"/>
      <w:marTop w:val="0"/>
      <w:marBottom w:val="0"/>
      <w:divBdr>
        <w:top w:val="none" w:sz="0" w:space="0" w:color="auto"/>
        <w:left w:val="none" w:sz="0" w:space="0" w:color="auto"/>
        <w:bottom w:val="none" w:sz="0" w:space="0" w:color="auto"/>
        <w:right w:val="none" w:sz="0" w:space="0" w:color="auto"/>
      </w:divBdr>
    </w:div>
    <w:div w:id="944771300">
      <w:bodyDiv w:val="1"/>
      <w:marLeft w:val="0"/>
      <w:marRight w:val="0"/>
      <w:marTop w:val="0"/>
      <w:marBottom w:val="0"/>
      <w:divBdr>
        <w:top w:val="none" w:sz="0" w:space="0" w:color="auto"/>
        <w:left w:val="none" w:sz="0" w:space="0" w:color="auto"/>
        <w:bottom w:val="none" w:sz="0" w:space="0" w:color="auto"/>
        <w:right w:val="none" w:sz="0" w:space="0" w:color="auto"/>
      </w:divBdr>
    </w:div>
    <w:div w:id="969870556">
      <w:bodyDiv w:val="1"/>
      <w:marLeft w:val="0"/>
      <w:marRight w:val="0"/>
      <w:marTop w:val="0"/>
      <w:marBottom w:val="0"/>
      <w:divBdr>
        <w:top w:val="none" w:sz="0" w:space="0" w:color="auto"/>
        <w:left w:val="none" w:sz="0" w:space="0" w:color="auto"/>
        <w:bottom w:val="none" w:sz="0" w:space="0" w:color="auto"/>
        <w:right w:val="none" w:sz="0" w:space="0" w:color="auto"/>
      </w:divBdr>
    </w:div>
    <w:div w:id="969943535">
      <w:bodyDiv w:val="1"/>
      <w:marLeft w:val="0"/>
      <w:marRight w:val="0"/>
      <w:marTop w:val="0"/>
      <w:marBottom w:val="0"/>
      <w:divBdr>
        <w:top w:val="none" w:sz="0" w:space="0" w:color="auto"/>
        <w:left w:val="none" w:sz="0" w:space="0" w:color="auto"/>
        <w:bottom w:val="none" w:sz="0" w:space="0" w:color="auto"/>
        <w:right w:val="none" w:sz="0" w:space="0" w:color="auto"/>
      </w:divBdr>
    </w:div>
    <w:div w:id="1043022851">
      <w:bodyDiv w:val="1"/>
      <w:marLeft w:val="0"/>
      <w:marRight w:val="0"/>
      <w:marTop w:val="0"/>
      <w:marBottom w:val="0"/>
      <w:divBdr>
        <w:top w:val="none" w:sz="0" w:space="0" w:color="auto"/>
        <w:left w:val="none" w:sz="0" w:space="0" w:color="auto"/>
        <w:bottom w:val="none" w:sz="0" w:space="0" w:color="auto"/>
        <w:right w:val="none" w:sz="0" w:space="0" w:color="auto"/>
      </w:divBdr>
      <w:divsChild>
        <w:div w:id="895240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4960">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sChild>
        <w:div w:id="804394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930902">
      <w:bodyDiv w:val="1"/>
      <w:marLeft w:val="0"/>
      <w:marRight w:val="0"/>
      <w:marTop w:val="0"/>
      <w:marBottom w:val="0"/>
      <w:divBdr>
        <w:top w:val="none" w:sz="0" w:space="0" w:color="auto"/>
        <w:left w:val="none" w:sz="0" w:space="0" w:color="auto"/>
        <w:bottom w:val="none" w:sz="0" w:space="0" w:color="auto"/>
        <w:right w:val="none" w:sz="0" w:space="0" w:color="auto"/>
      </w:divBdr>
    </w:div>
    <w:div w:id="1302156359">
      <w:bodyDiv w:val="1"/>
      <w:marLeft w:val="0"/>
      <w:marRight w:val="0"/>
      <w:marTop w:val="0"/>
      <w:marBottom w:val="0"/>
      <w:divBdr>
        <w:top w:val="none" w:sz="0" w:space="0" w:color="auto"/>
        <w:left w:val="none" w:sz="0" w:space="0" w:color="auto"/>
        <w:bottom w:val="none" w:sz="0" w:space="0" w:color="auto"/>
        <w:right w:val="none" w:sz="0" w:space="0" w:color="auto"/>
      </w:divBdr>
    </w:div>
    <w:div w:id="1411611773">
      <w:bodyDiv w:val="1"/>
      <w:marLeft w:val="0"/>
      <w:marRight w:val="0"/>
      <w:marTop w:val="0"/>
      <w:marBottom w:val="0"/>
      <w:divBdr>
        <w:top w:val="none" w:sz="0" w:space="0" w:color="auto"/>
        <w:left w:val="none" w:sz="0" w:space="0" w:color="auto"/>
        <w:bottom w:val="none" w:sz="0" w:space="0" w:color="auto"/>
        <w:right w:val="none" w:sz="0" w:space="0" w:color="auto"/>
      </w:divBdr>
      <w:divsChild>
        <w:div w:id="37913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377472">
      <w:bodyDiv w:val="1"/>
      <w:marLeft w:val="0"/>
      <w:marRight w:val="0"/>
      <w:marTop w:val="0"/>
      <w:marBottom w:val="0"/>
      <w:divBdr>
        <w:top w:val="none" w:sz="0" w:space="0" w:color="auto"/>
        <w:left w:val="none" w:sz="0" w:space="0" w:color="auto"/>
        <w:bottom w:val="none" w:sz="0" w:space="0" w:color="auto"/>
        <w:right w:val="none" w:sz="0" w:space="0" w:color="auto"/>
      </w:divBdr>
    </w:div>
    <w:div w:id="1469779368">
      <w:bodyDiv w:val="1"/>
      <w:marLeft w:val="0"/>
      <w:marRight w:val="0"/>
      <w:marTop w:val="0"/>
      <w:marBottom w:val="0"/>
      <w:divBdr>
        <w:top w:val="none" w:sz="0" w:space="0" w:color="auto"/>
        <w:left w:val="none" w:sz="0" w:space="0" w:color="auto"/>
        <w:bottom w:val="none" w:sz="0" w:space="0" w:color="auto"/>
        <w:right w:val="none" w:sz="0" w:space="0" w:color="auto"/>
      </w:divBdr>
    </w:div>
    <w:div w:id="1500000694">
      <w:bodyDiv w:val="1"/>
      <w:marLeft w:val="0"/>
      <w:marRight w:val="0"/>
      <w:marTop w:val="0"/>
      <w:marBottom w:val="0"/>
      <w:divBdr>
        <w:top w:val="none" w:sz="0" w:space="0" w:color="auto"/>
        <w:left w:val="none" w:sz="0" w:space="0" w:color="auto"/>
        <w:bottom w:val="none" w:sz="0" w:space="0" w:color="auto"/>
        <w:right w:val="none" w:sz="0" w:space="0" w:color="auto"/>
      </w:divBdr>
    </w:div>
    <w:div w:id="1501197139">
      <w:bodyDiv w:val="1"/>
      <w:marLeft w:val="0"/>
      <w:marRight w:val="0"/>
      <w:marTop w:val="0"/>
      <w:marBottom w:val="0"/>
      <w:divBdr>
        <w:top w:val="none" w:sz="0" w:space="0" w:color="auto"/>
        <w:left w:val="none" w:sz="0" w:space="0" w:color="auto"/>
        <w:bottom w:val="none" w:sz="0" w:space="0" w:color="auto"/>
        <w:right w:val="none" w:sz="0" w:space="0" w:color="auto"/>
      </w:divBdr>
      <w:divsChild>
        <w:div w:id="879128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046016">
      <w:bodyDiv w:val="1"/>
      <w:marLeft w:val="0"/>
      <w:marRight w:val="0"/>
      <w:marTop w:val="0"/>
      <w:marBottom w:val="0"/>
      <w:divBdr>
        <w:top w:val="none" w:sz="0" w:space="0" w:color="auto"/>
        <w:left w:val="none" w:sz="0" w:space="0" w:color="auto"/>
        <w:bottom w:val="none" w:sz="0" w:space="0" w:color="auto"/>
        <w:right w:val="none" w:sz="0" w:space="0" w:color="auto"/>
      </w:divBdr>
    </w:div>
    <w:div w:id="1570113973">
      <w:bodyDiv w:val="1"/>
      <w:marLeft w:val="0"/>
      <w:marRight w:val="0"/>
      <w:marTop w:val="0"/>
      <w:marBottom w:val="0"/>
      <w:divBdr>
        <w:top w:val="none" w:sz="0" w:space="0" w:color="auto"/>
        <w:left w:val="none" w:sz="0" w:space="0" w:color="auto"/>
        <w:bottom w:val="none" w:sz="0" w:space="0" w:color="auto"/>
        <w:right w:val="none" w:sz="0" w:space="0" w:color="auto"/>
      </w:divBdr>
    </w:div>
    <w:div w:id="1573193299">
      <w:bodyDiv w:val="1"/>
      <w:marLeft w:val="0"/>
      <w:marRight w:val="0"/>
      <w:marTop w:val="0"/>
      <w:marBottom w:val="0"/>
      <w:divBdr>
        <w:top w:val="none" w:sz="0" w:space="0" w:color="auto"/>
        <w:left w:val="none" w:sz="0" w:space="0" w:color="auto"/>
        <w:bottom w:val="none" w:sz="0" w:space="0" w:color="auto"/>
        <w:right w:val="none" w:sz="0" w:space="0" w:color="auto"/>
      </w:divBdr>
    </w:div>
    <w:div w:id="1622222961">
      <w:bodyDiv w:val="1"/>
      <w:marLeft w:val="0"/>
      <w:marRight w:val="0"/>
      <w:marTop w:val="0"/>
      <w:marBottom w:val="0"/>
      <w:divBdr>
        <w:top w:val="none" w:sz="0" w:space="0" w:color="auto"/>
        <w:left w:val="none" w:sz="0" w:space="0" w:color="auto"/>
        <w:bottom w:val="none" w:sz="0" w:space="0" w:color="auto"/>
        <w:right w:val="none" w:sz="0" w:space="0" w:color="auto"/>
      </w:divBdr>
    </w:div>
    <w:div w:id="1622224291">
      <w:bodyDiv w:val="1"/>
      <w:marLeft w:val="0"/>
      <w:marRight w:val="0"/>
      <w:marTop w:val="0"/>
      <w:marBottom w:val="0"/>
      <w:divBdr>
        <w:top w:val="none" w:sz="0" w:space="0" w:color="auto"/>
        <w:left w:val="none" w:sz="0" w:space="0" w:color="auto"/>
        <w:bottom w:val="none" w:sz="0" w:space="0" w:color="auto"/>
        <w:right w:val="none" w:sz="0" w:space="0" w:color="auto"/>
      </w:divBdr>
    </w:div>
    <w:div w:id="1630238831">
      <w:bodyDiv w:val="1"/>
      <w:marLeft w:val="0"/>
      <w:marRight w:val="0"/>
      <w:marTop w:val="0"/>
      <w:marBottom w:val="0"/>
      <w:divBdr>
        <w:top w:val="none" w:sz="0" w:space="0" w:color="auto"/>
        <w:left w:val="none" w:sz="0" w:space="0" w:color="auto"/>
        <w:bottom w:val="none" w:sz="0" w:space="0" w:color="auto"/>
        <w:right w:val="none" w:sz="0" w:space="0" w:color="auto"/>
      </w:divBdr>
    </w:div>
    <w:div w:id="1672904021">
      <w:bodyDiv w:val="1"/>
      <w:marLeft w:val="0"/>
      <w:marRight w:val="0"/>
      <w:marTop w:val="0"/>
      <w:marBottom w:val="0"/>
      <w:divBdr>
        <w:top w:val="none" w:sz="0" w:space="0" w:color="auto"/>
        <w:left w:val="none" w:sz="0" w:space="0" w:color="auto"/>
        <w:bottom w:val="none" w:sz="0" w:space="0" w:color="auto"/>
        <w:right w:val="none" w:sz="0" w:space="0" w:color="auto"/>
      </w:divBdr>
    </w:div>
    <w:div w:id="1673218090">
      <w:bodyDiv w:val="1"/>
      <w:marLeft w:val="0"/>
      <w:marRight w:val="0"/>
      <w:marTop w:val="0"/>
      <w:marBottom w:val="0"/>
      <w:divBdr>
        <w:top w:val="none" w:sz="0" w:space="0" w:color="auto"/>
        <w:left w:val="none" w:sz="0" w:space="0" w:color="auto"/>
        <w:bottom w:val="none" w:sz="0" w:space="0" w:color="auto"/>
        <w:right w:val="none" w:sz="0" w:space="0" w:color="auto"/>
      </w:divBdr>
    </w:div>
    <w:div w:id="1751926327">
      <w:bodyDiv w:val="1"/>
      <w:marLeft w:val="0"/>
      <w:marRight w:val="0"/>
      <w:marTop w:val="0"/>
      <w:marBottom w:val="0"/>
      <w:divBdr>
        <w:top w:val="none" w:sz="0" w:space="0" w:color="auto"/>
        <w:left w:val="none" w:sz="0" w:space="0" w:color="auto"/>
        <w:bottom w:val="none" w:sz="0" w:space="0" w:color="auto"/>
        <w:right w:val="none" w:sz="0" w:space="0" w:color="auto"/>
      </w:divBdr>
    </w:div>
    <w:div w:id="1807889488">
      <w:bodyDiv w:val="1"/>
      <w:marLeft w:val="0"/>
      <w:marRight w:val="0"/>
      <w:marTop w:val="0"/>
      <w:marBottom w:val="0"/>
      <w:divBdr>
        <w:top w:val="none" w:sz="0" w:space="0" w:color="auto"/>
        <w:left w:val="none" w:sz="0" w:space="0" w:color="auto"/>
        <w:bottom w:val="none" w:sz="0" w:space="0" w:color="auto"/>
        <w:right w:val="none" w:sz="0" w:space="0" w:color="auto"/>
      </w:divBdr>
    </w:div>
    <w:div w:id="1814832970">
      <w:bodyDiv w:val="1"/>
      <w:marLeft w:val="0"/>
      <w:marRight w:val="0"/>
      <w:marTop w:val="0"/>
      <w:marBottom w:val="0"/>
      <w:divBdr>
        <w:top w:val="none" w:sz="0" w:space="0" w:color="auto"/>
        <w:left w:val="none" w:sz="0" w:space="0" w:color="auto"/>
        <w:bottom w:val="none" w:sz="0" w:space="0" w:color="auto"/>
        <w:right w:val="none" w:sz="0" w:space="0" w:color="auto"/>
      </w:divBdr>
    </w:div>
    <w:div w:id="1836653232">
      <w:bodyDiv w:val="1"/>
      <w:marLeft w:val="0"/>
      <w:marRight w:val="0"/>
      <w:marTop w:val="0"/>
      <w:marBottom w:val="0"/>
      <w:divBdr>
        <w:top w:val="none" w:sz="0" w:space="0" w:color="auto"/>
        <w:left w:val="none" w:sz="0" w:space="0" w:color="auto"/>
        <w:bottom w:val="none" w:sz="0" w:space="0" w:color="auto"/>
        <w:right w:val="none" w:sz="0" w:space="0" w:color="auto"/>
      </w:divBdr>
    </w:div>
    <w:div w:id="1879006849">
      <w:bodyDiv w:val="1"/>
      <w:marLeft w:val="0"/>
      <w:marRight w:val="0"/>
      <w:marTop w:val="0"/>
      <w:marBottom w:val="0"/>
      <w:divBdr>
        <w:top w:val="none" w:sz="0" w:space="0" w:color="auto"/>
        <w:left w:val="none" w:sz="0" w:space="0" w:color="auto"/>
        <w:bottom w:val="none" w:sz="0" w:space="0" w:color="auto"/>
        <w:right w:val="none" w:sz="0" w:space="0" w:color="auto"/>
      </w:divBdr>
    </w:div>
    <w:div w:id="1933008527">
      <w:bodyDiv w:val="1"/>
      <w:marLeft w:val="0"/>
      <w:marRight w:val="0"/>
      <w:marTop w:val="0"/>
      <w:marBottom w:val="0"/>
      <w:divBdr>
        <w:top w:val="none" w:sz="0" w:space="0" w:color="auto"/>
        <w:left w:val="none" w:sz="0" w:space="0" w:color="auto"/>
        <w:bottom w:val="none" w:sz="0" w:space="0" w:color="auto"/>
        <w:right w:val="none" w:sz="0" w:space="0" w:color="auto"/>
      </w:divBdr>
    </w:div>
    <w:div w:id="1952542690">
      <w:bodyDiv w:val="1"/>
      <w:marLeft w:val="0"/>
      <w:marRight w:val="0"/>
      <w:marTop w:val="0"/>
      <w:marBottom w:val="0"/>
      <w:divBdr>
        <w:top w:val="none" w:sz="0" w:space="0" w:color="auto"/>
        <w:left w:val="none" w:sz="0" w:space="0" w:color="auto"/>
        <w:bottom w:val="none" w:sz="0" w:space="0" w:color="auto"/>
        <w:right w:val="none" w:sz="0" w:space="0" w:color="auto"/>
      </w:divBdr>
    </w:div>
    <w:div w:id="1971864707">
      <w:bodyDiv w:val="1"/>
      <w:marLeft w:val="0"/>
      <w:marRight w:val="0"/>
      <w:marTop w:val="0"/>
      <w:marBottom w:val="0"/>
      <w:divBdr>
        <w:top w:val="none" w:sz="0" w:space="0" w:color="auto"/>
        <w:left w:val="none" w:sz="0" w:space="0" w:color="auto"/>
        <w:bottom w:val="none" w:sz="0" w:space="0" w:color="auto"/>
        <w:right w:val="none" w:sz="0" w:space="0" w:color="auto"/>
      </w:divBdr>
    </w:div>
    <w:div w:id="1984310034">
      <w:bodyDiv w:val="1"/>
      <w:marLeft w:val="0"/>
      <w:marRight w:val="0"/>
      <w:marTop w:val="0"/>
      <w:marBottom w:val="0"/>
      <w:divBdr>
        <w:top w:val="none" w:sz="0" w:space="0" w:color="auto"/>
        <w:left w:val="none" w:sz="0" w:space="0" w:color="auto"/>
        <w:bottom w:val="none" w:sz="0" w:space="0" w:color="auto"/>
        <w:right w:val="none" w:sz="0" w:space="0" w:color="auto"/>
      </w:divBdr>
    </w:div>
    <w:div w:id="2039088139">
      <w:bodyDiv w:val="1"/>
      <w:marLeft w:val="0"/>
      <w:marRight w:val="0"/>
      <w:marTop w:val="0"/>
      <w:marBottom w:val="0"/>
      <w:divBdr>
        <w:top w:val="none" w:sz="0" w:space="0" w:color="auto"/>
        <w:left w:val="none" w:sz="0" w:space="0" w:color="auto"/>
        <w:bottom w:val="none" w:sz="0" w:space="0" w:color="auto"/>
        <w:right w:val="none" w:sz="0" w:space="0" w:color="auto"/>
      </w:divBdr>
    </w:div>
    <w:div w:id="2062821775">
      <w:bodyDiv w:val="1"/>
      <w:marLeft w:val="0"/>
      <w:marRight w:val="0"/>
      <w:marTop w:val="0"/>
      <w:marBottom w:val="0"/>
      <w:divBdr>
        <w:top w:val="none" w:sz="0" w:space="0" w:color="auto"/>
        <w:left w:val="none" w:sz="0" w:space="0" w:color="auto"/>
        <w:bottom w:val="none" w:sz="0" w:space="0" w:color="auto"/>
        <w:right w:val="none" w:sz="0" w:space="0" w:color="auto"/>
      </w:divBdr>
    </w:div>
    <w:div w:id="2085376944">
      <w:bodyDiv w:val="1"/>
      <w:marLeft w:val="0"/>
      <w:marRight w:val="0"/>
      <w:marTop w:val="0"/>
      <w:marBottom w:val="0"/>
      <w:divBdr>
        <w:top w:val="none" w:sz="0" w:space="0" w:color="auto"/>
        <w:left w:val="none" w:sz="0" w:space="0" w:color="auto"/>
        <w:bottom w:val="none" w:sz="0" w:space="0" w:color="auto"/>
        <w:right w:val="none" w:sz="0" w:space="0" w:color="auto"/>
      </w:divBdr>
    </w:div>
    <w:div w:id="2099137070">
      <w:bodyDiv w:val="1"/>
      <w:marLeft w:val="0"/>
      <w:marRight w:val="0"/>
      <w:marTop w:val="0"/>
      <w:marBottom w:val="0"/>
      <w:divBdr>
        <w:top w:val="none" w:sz="0" w:space="0" w:color="auto"/>
        <w:left w:val="none" w:sz="0" w:space="0" w:color="auto"/>
        <w:bottom w:val="none" w:sz="0" w:space="0" w:color="auto"/>
        <w:right w:val="none" w:sz="0" w:space="0" w:color="auto"/>
      </w:divBdr>
      <w:divsChild>
        <w:div w:id="32100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2189">
      <w:bodyDiv w:val="1"/>
      <w:marLeft w:val="0"/>
      <w:marRight w:val="0"/>
      <w:marTop w:val="0"/>
      <w:marBottom w:val="0"/>
      <w:divBdr>
        <w:top w:val="none" w:sz="0" w:space="0" w:color="auto"/>
        <w:left w:val="none" w:sz="0" w:space="0" w:color="auto"/>
        <w:bottom w:val="none" w:sz="0" w:space="0" w:color="auto"/>
        <w:right w:val="none" w:sz="0" w:space="0" w:color="auto"/>
      </w:divBdr>
    </w:div>
    <w:div w:id="21197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996/bjtep.2025.4.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1305/rrijm2025.v05.n01.017" TargetMode="External"/><Relationship Id="rId4" Type="http://schemas.openxmlformats.org/officeDocument/2006/relationships/webSettings" Target="webSettings.xml"/><Relationship Id="rId9" Type="http://schemas.openxmlformats.org/officeDocument/2006/relationships/hyperlink" Target="https://doi.org/10.53555/kuey.v30i1.612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13</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Divya</dc:creator>
  <cp:keywords/>
  <dc:description/>
  <cp:lastModifiedBy>SDI 1180</cp:lastModifiedBy>
  <cp:revision>16</cp:revision>
  <cp:lastPrinted>2025-05-20T10:43:00Z</cp:lastPrinted>
  <dcterms:created xsi:type="dcterms:W3CDTF">2025-05-17T13:17:00Z</dcterms:created>
  <dcterms:modified xsi:type="dcterms:W3CDTF">2025-07-09T08:20:00Z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80457db3-5247-44dc-9cfe-6eb27ec56f06</vt:lpwstr>
  </property>
</Properties>
</file>