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07BA" w14:textId="77777777" w:rsidR="00E317DE" w:rsidRDefault="00AA3B82" w:rsidP="001C3DAF">
      <w:pPr>
        <w:pStyle w:val="Author"/>
        <w:spacing w:line="240" w:lineRule="auto"/>
        <w:jc w:val="left"/>
        <w:rPr>
          <w:rFonts w:ascii="Arial" w:hAnsi="Arial" w:cs="Arial"/>
          <w:sz w:val="22"/>
          <w:szCs w:val="22"/>
        </w:rPr>
      </w:pPr>
      <w:r w:rsidRPr="00AB0EA5">
        <w:rPr>
          <w:rFonts w:ascii="Arial" w:hAnsi="Arial" w:cs="Arial"/>
          <w:bCs/>
          <w:iCs/>
          <w:kern w:val="28"/>
          <w:sz w:val="22"/>
          <w:szCs w:val="22"/>
        </w:rPr>
        <w:t>The impact of the school learning environment on the academic performance of girls</w:t>
      </w:r>
      <w:bookmarkStart w:id="0" w:name="_nnzl0g6xxb70"/>
      <w:bookmarkStart w:id="1" w:name="_87sni8ubyu7y"/>
      <w:bookmarkEnd w:id="0"/>
      <w:bookmarkEnd w:id="1"/>
      <w:r w:rsidRPr="00AB0EA5">
        <w:rPr>
          <w:rFonts w:ascii="Arial" w:hAnsi="Arial" w:cs="Arial"/>
          <w:bCs/>
          <w:iCs/>
          <w:kern w:val="28"/>
          <w:sz w:val="22"/>
          <w:szCs w:val="22"/>
        </w:rPr>
        <w:t xml:space="preserve"> in Rwand</w:t>
      </w:r>
      <w:r w:rsidR="001C3DAF" w:rsidRPr="00AB0EA5">
        <w:rPr>
          <w:rFonts w:ascii="Arial" w:hAnsi="Arial" w:cs="Arial"/>
          <w:bCs/>
          <w:iCs/>
          <w:kern w:val="28"/>
          <w:sz w:val="22"/>
          <w:szCs w:val="22"/>
        </w:rPr>
        <w:t>a</w:t>
      </w:r>
      <w:r w:rsidR="001C3DAF" w:rsidRPr="00AB0EA5">
        <w:rPr>
          <w:rFonts w:ascii="Arial" w:hAnsi="Arial" w:cs="Arial"/>
          <w:sz w:val="22"/>
          <w:szCs w:val="22"/>
        </w:rPr>
        <w:tab/>
      </w:r>
    </w:p>
    <w:p w14:paraId="042453E1" w14:textId="77777777" w:rsidR="00E317DE" w:rsidRDefault="00E317DE" w:rsidP="00E317DE">
      <w:pPr>
        <w:pStyle w:val="Author"/>
        <w:spacing w:line="240" w:lineRule="auto"/>
        <w:rPr>
          <w:rFonts w:ascii="Arial" w:hAnsi="Arial" w:cs="Arial"/>
          <w:sz w:val="22"/>
          <w:szCs w:val="22"/>
        </w:rPr>
      </w:pPr>
    </w:p>
    <w:p w14:paraId="23D40BD4" w14:textId="77777777" w:rsidR="00B01FCD" w:rsidRPr="00AB0EA5" w:rsidRDefault="00BF58C6" w:rsidP="00441B6F">
      <w:pPr>
        <w:pStyle w:val="Copyright"/>
        <w:spacing w:after="0" w:line="240" w:lineRule="auto"/>
        <w:jc w:val="both"/>
        <w:rPr>
          <w:rFonts w:ascii="Arial" w:hAnsi="Arial" w:cs="Arial"/>
          <w:sz w:val="22"/>
          <w:szCs w:val="22"/>
        </w:rPr>
        <w:sectPr w:rsidR="00B01FCD" w:rsidRPr="00AB0EA5" w:rsidSect="006B0AF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B0EA5">
        <w:rPr>
          <w:rFonts w:ascii="Arial" w:hAnsi="Arial" w:cs="Arial"/>
          <w:noProof/>
          <w:sz w:val="22"/>
          <w:szCs w:val="22"/>
        </w:rPr>
        <mc:AlternateContent>
          <mc:Choice Requires="wps">
            <w:drawing>
              <wp:inline distT="0" distB="0" distL="0" distR="0" wp14:anchorId="2B7FA5E9" wp14:editId="5B0CA273">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278CB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AB0EA5">
        <w:rPr>
          <w:rFonts w:ascii="Arial" w:hAnsi="Arial" w:cs="Arial"/>
          <w:sz w:val="22"/>
          <w:szCs w:val="22"/>
        </w:rPr>
        <w:t>.</w:t>
      </w:r>
    </w:p>
    <w:p w14:paraId="18D683C8" w14:textId="77777777" w:rsidR="00790ADA" w:rsidRPr="00AB0EA5" w:rsidRDefault="00B01FCD" w:rsidP="00441B6F">
      <w:pPr>
        <w:pStyle w:val="AbstHead"/>
        <w:spacing w:after="0"/>
        <w:jc w:val="both"/>
        <w:rPr>
          <w:rFonts w:ascii="Arial" w:hAnsi="Arial" w:cs="Arial"/>
          <w:szCs w:val="22"/>
        </w:rPr>
      </w:pPr>
      <w:r w:rsidRPr="00AB0EA5">
        <w:rPr>
          <w:rFonts w:ascii="Arial" w:hAnsi="Arial" w:cs="Arial"/>
          <w:szCs w:val="22"/>
        </w:rPr>
        <w:t>ABSTRACT</w:t>
      </w:r>
      <w:r w:rsidR="0066510A" w:rsidRPr="00AB0EA5">
        <w:rPr>
          <w:rFonts w:ascii="Arial" w:hAnsi="Arial" w:cs="Arial"/>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B0EA5" w14:paraId="6E8E3ADF" w14:textId="77777777" w:rsidTr="00E317DE">
        <w:trPr>
          <w:trHeight w:val="719"/>
        </w:trPr>
        <w:tc>
          <w:tcPr>
            <w:tcW w:w="9576" w:type="dxa"/>
            <w:shd w:val="clear" w:color="auto" w:fill="F2F2F2"/>
          </w:tcPr>
          <w:p w14:paraId="788A593C" w14:textId="77777777" w:rsidR="00505F06" w:rsidRPr="00AB0EA5" w:rsidRDefault="00755268" w:rsidP="00441B6F">
            <w:pPr>
              <w:pStyle w:val="Body"/>
              <w:spacing w:after="0"/>
              <w:rPr>
                <w:rFonts w:ascii="Arial" w:eastAsia="Calibri" w:hAnsi="Arial" w:cs="Arial"/>
                <w:sz w:val="22"/>
                <w:szCs w:val="22"/>
              </w:rPr>
            </w:pPr>
            <w:r w:rsidRPr="00AB0EA5">
              <w:rPr>
                <w:rFonts w:ascii="Arial" w:hAnsi="Arial" w:cs="Arial"/>
                <w:sz w:val="22"/>
                <w:szCs w:val="22"/>
              </w:rPr>
              <w:t xml:space="preserve">This paper aims at </w:t>
            </w:r>
            <w:r w:rsidR="000950A0" w:rsidRPr="00AB0EA5">
              <w:rPr>
                <w:rFonts w:ascii="Arial" w:hAnsi="Arial" w:cs="Arial"/>
                <w:sz w:val="22"/>
                <w:szCs w:val="22"/>
              </w:rPr>
              <w:t>analyzing</w:t>
            </w:r>
            <w:r w:rsidRPr="00AB0EA5">
              <w:rPr>
                <w:rFonts w:ascii="Arial" w:hAnsi="Arial" w:cs="Arial"/>
                <w:sz w:val="22"/>
                <w:szCs w:val="22"/>
              </w:rPr>
              <w:t xml:space="preserve"> the impact of the school learning environment on the academic performance of secondary school girls participating in the </w:t>
            </w:r>
            <w:proofErr w:type="spellStart"/>
            <w:r w:rsidRPr="00AB0EA5">
              <w:rPr>
                <w:rFonts w:ascii="Arial" w:hAnsi="Arial" w:cs="Arial"/>
                <w:sz w:val="22"/>
                <w:szCs w:val="22"/>
              </w:rPr>
              <w:t>Malayika</w:t>
            </w:r>
            <w:proofErr w:type="spellEnd"/>
            <w:r w:rsidRPr="00AB0EA5">
              <w:rPr>
                <w:rFonts w:ascii="Arial" w:hAnsi="Arial" w:cs="Arial"/>
                <w:sz w:val="22"/>
                <w:szCs w:val="22"/>
              </w:rPr>
              <w:t xml:space="preserve"> </w:t>
            </w:r>
            <w:proofErr w:type="spellStart"/>
            <w:r w:rsidRPr="00AB0EA5">
              <w:rPr>
                <w:rFonts w:ascii="Arial" w:hAnsi="Arial" w:cs="Arial"/>
                <w:sz w:val="22"/>
                <w:szCs w:val="22"/>
              </w:rPr>
              <w:t>Mulinzi</w:t>
            </w:r>
            <w:proofErr w:type="spellEnd"/>
            <w:r w:rsidRPr="00AB0EA5">
              <w:rPr>
                <w:rFonts w:ascii="Arial" w:hAnsi="Arial" w:cs="Arial"/>
                <w:sz w:val="22"/>
                <w:szCs w:val="22"/>
              </w:rPr>
              <w:t xml:space="preserve"> </w:t>
            </w:r>
            <w:proofErr w:type="spellStart"/>
            <w:r w:rsidRPr="00AB0EA5">
              <w:rPr>
                <w:rFonts w:ascii="Arial" w:hAnsi="Arial" w:cs="Arial"/>
                <w:sz w:val="22"/>
                <w:szCs w:val="22"/>
              </w:rPr>
              <w:t>programme</w:t>
            </w:r>
            <w:proofErr w:type="spellEnd"/>
            <w:r w:rsidRPr="00AB0EA5">
              <w:rPr>
                <w:rFonts w:ascii="Arial" w:hAnsi="Arial" w:cs="Arial"/>
                <w:sz w:val="22"/>
                <w:szCs w:val="22"/>
              </w:rPr>
              <w:t xml:space="preserve"> in </w:t>
            </w:r>
            <w:proofErr w:type="spellStart"/>
            <w:r w:rsidRPr="00AB0EA5">
              <w:rPr>
                <w:rFonts w:ascii="Arial" w:hAnsi="Arial" w:cs="Arial"/>
                <w:sz w:val="22"/>
                <w:szCs w:val="22"/>
              </w:rPr>
              <w:t>Nyaruguru</w:t>
            </w:r>
            <w:proofErr w:type="spellEnd"/>
            <w:r w:rsidRPr="00AB0EA5">
              <w:rPr>
                <w:rFonts w:ascii="Arial" w:hAnsi="Arial" w:cs="Arial"/>
                <w:sz w:val="22"/>
                <w:szCs w:val="22"/>
              </w:rPr>
              <w:t xml:space="preserve"> District, Rwanda. The analysis goes to what is the influence of the school learning environment on the performance of girls under </w:t>
            </w:r>
            <w:proofErr w:type="spellStart"/>
            <w:proofErr w:type="gramStart"/>
            <w:r w:rsidRPr="00AB0EA5">
              <w:rPr>
                <w:rFonts w:ascii="Arial" w:hAnsi="Arial" w:cs="Arial"/>
                <w:sz w:val="22"/>
                <w:szCs w:val="22"/>
              </w:rPr>
              <w:t>Malayika</w:t>
            </w:r>
            <w:proofErr w:type="spellEnd"/>
            <w:r w:rsidRPr="00AB0EA5">
              <w:rPr>
                <w:rFonts w:ascii="Arial" w:hAnsi="Arial" w:cs="Arial"/>
                <w:sz w:val="22"/>
                <w:szCs w:val="22"/>
              </w:rPr>
              <w:t xml:space="preserve">  </w:t>
            </w:r>
            <w:proofErr w:type="spellStart"/>
            <w:r w:rsidRPr="00AB0EA5">
              <w:rPr>
                <w:rFonts w:ascii="Arial" w:hAnsi="Arial" w:cs="Arial"/>
                <w:sz w:val="22"/>
                <w:szCs w:val="22"/>
              </w:rPr>
              <w:t>Mulinzi</w:t>
            </w:r>
            <w:proofErr w:type="spellEnd"/>
            <w:proofErr w:type="gramEnd"/>
            <w:r w:rsidRPr="00AB0EA5">
              <w:rPr>
                <w:rFonts w:ascii="Arial" w:hAnsi="Arial" w:cs="Arial"/>
                <w:sz w:val="22"/>
                <w:szCs w:val="22"/>
              </w:rPr>
              <w:t xml:space="preserve"> </w:t>
            </w:r>
            <w:proofErr w:type="spellStart"/>
            <w:r w:rsidRPr="00AB0EA5">
              <w:rPr>
                <w:rFonts w:ascii="Arial" w:hAnsi="Arial" w:cs="Arial"/>
                <w:sz w:val="22"/>
                <w:szCs w:val="22"/>
              </w:rPr>
              <w:t>Programme</w:t>
            </w:r>
            <w:proofErr w:type="spellEnd"/>
            <w:r w:rsidRPr="00AB0EA5">
              <w:rPr>
                <w:rFonts w:ascii="Arial" w:hAnsi="Arial" w:cs="Arial"/>
                <w:sz w:val="22"/>
                <w:szCs w:val="22"/>
              </w:rPr>
              <w:t xml:space="preserve">. For information collection, the cross-section survey design was used for 116 responders. The probabilistic sampling technique was applied to select the respondents. The SSPS version 21 was in use to </w:t>
            </w:r>
            <w:proofErr w:type="spellStart"/>
            <w:r w:rsidRPr="00AB0EA5">
              <w:rPr>
                <w:rFonts w:ascii="Arial" w:hAnsi="Arial" w:cs="Arial"/>
                <w:sz w:val="22"/>
                <w:szCs w:val="22"/>
              </w:rPr>
              <w:t>analyse</w:t>
            </w:r>
            <w:proofErr w:type="spellEnd"/>
            <w:r w:rsidRPr="00AB0EA5">
              <w:rPr>
                <w:rFonts w:ascii="Arial" w:hAnsi="Arial" w:cs="Arial"/>
                <w:sz w:val="22"/>
                <w:szCs w:val="22"/>
              </w:rPr>
              <w:t xml:space="preserve"> the data. The findings provide insights into prioritizing interventions that focus on the school infrastructure improvements</w:t>
            </w:r>
            <w:bookmarkStart w:id="2" w:name="_GoBack"/>
            <w:bookmarkEnd w:id="2"/>
          </w:p>
        </w:tc>
      </w:tr>
    </w:tbl>
    <w:p w14:paraId="61756263" w14:textId="77777777" w:rsidR="00636EB2" w:rsidRPr="00AB0EA5" w:rsidRDefault="00636EB2" w:rsidP="00441B6F">
      <w:pPr>
        <w:pStyle w:val="Body"/>
        <w:spacing w:after="0"/>
        <w:rPr>
          <w:rFonts w:ascii="Arial" w:hAnsi="Arial" w:cs="Arial"/>
          <w:i/>
          <w:sz w:val="22"/>
          <w:szCs w:val="22"/>
        </w:rPr>
      </w:pPr>
    </w:p>
    <w:p w14:paraId="6F4C6706" w14:textId="77777777" w:rsidR="007F7B32" w:rsidRDefault="00A24E7E" w:rsidP="00565CEB">
      <w:pPr>
        <w:pStyle w:val="Body"/>
        <w:spacing w:after="0"/>
        <w:rPr>
          <w:rFonts w:ascii="Arial" w:hAnsi="Arial" w:cs="Arial"/>
          <w:i/>
          <w:sz w:val="22"/>
          <w:szCs w:val="22"/>
        </w:rPr>
      </w:pPr>
      <w:r w:rsidRPr="00E317DE">
        <w:rPr>
          <w:rFonts w:ascii="Arial" w:hAnsi="Arial" w:cs="Arial"/>
          <w:b/>
          <w:bCs/>
          <w:i/>
          <w:sz w:val="22"/>
          <w:szCs w:val="22"/>
        </w:rPr>
        <w:t>Keywords:</w:t>
      </w:r>
      <w:r w:rsidR="001532E7" w:rsidRPr="00AB0EA5">
        <w:rPr>
          <w:rFonts w:ascii="Arial" w:hAnsi="Arial" w:cs="Arial"/>
          <w:i/>
          <w:sz w:val="22"/>
          <w:szCs w:val="22"/>
        </w:rPr>
        <w:t xml:space="preserve"> academic performance, learning environment</w:t>
      </w:r>
    </w:p>
    <w:p w14:paraId="61194312" w14:textId="77777777" w:rsidR="00C41A07" w:rsidRDefault="00C41A07" w:rsidP="00565CEB">
      <w:pPr>
        <w:pStyle w:val="Body"/>
        <w:spacing w:after="0"/>
        <w:rPr>
          <w:rFonts w:ascii="Arial" w:hAnsi="Arial" w:cs="Arial"/>
          <w:i/>
          <w:sz w:val="22"/>
          <w:szCs w:val="22"/>
        </w:rPr>
      </w:pPr>
    </w:p>
    <w:p w14:paraId="1F5FCBB4" w14:textId="1EEDFFB7" w:rsidR="00790ADA" w:rsidRPr="00E317DE" w:rsidRDefault="00C41A07" w:rsidP="00E317DE">
      <w:pPr>
        <w:pStyle w:val="Body"/>
        <w:spacing w:before="120" w:after="120"/>
        <w:rPr>
          <w:rFonts w:ascii="Arial" w:hAnsi="Arial" w:cs="Arial"/>
          <w:b/>
          <w:sz w:val="22"/>
          <w:szCs w:val="22"/>
        </w:rPr>
      </w:pPr>
      <w:r w:rsidRPr="00C41A07">
        <w:rPr>
          <w:rFonts w:ascii="Arial" w:hAnsi="Arial" w:cs="Arial"/>
          <w:b/>
          <w:sz w:val="22"/>
          <w:szCs w:val="22"/>
        </w:rPr>
        <w:t>INTRODUCTION</w:t>
      </w:r>
    </w:p>
    <w:p w14:paraId="39168BC9" w14:textId="27796DA9" w:rsidR="000950A0" w:rsidRPr="00E317DE" w:rsidRDefault="000950A0" w:rsidP="00E317DE">
      <w:pPr>
        <w:pStyle w:val="Body"/>
        <w:spacing w:before="120" w:after="120"/>
        <w:rPr>
          <w:rFonts w:ascii="Arial" w:hAnsi="Arial" w:cs="Arial"/>
          <w:sz w:val="22"/>
          <w:szCs w:val="22"/>
        </w:rPr>
      </w:pPr>
      <w:r w:rsidRPr="00AB0EA5">
        <w:rPr>
          <w:rFonts w:ascii="Arial" w:hAnsi="Arial" w:cs="Arial"/>
          <w:sz w:val="22"/>
          <w:szCs w:val="22"/>
        </w:rPr>
        <w:t xml:space="preserve">   </w:t>
      </w:r>
      <w:r w:rsidRPr="00E317DE">
        <w:rPr>
          <w:rFonts w:ascii="Arial" w:hAnsi="Arial" w:cs="Arial"/>
          <w:sz w:val="22"/>
          <w:szCs w:val="22"/>
        </w:rPr>
        <w:t xml:space="preserve">The education of the girls is important in any society. It leads to an improved standard of life for a big part of the community since educated </w:t>
      </w:r>
      <w:r w:rsidR="00A41660" w:rsidRPr="00E317DE">
        <w:rPr>
          <w:rFonts w:ascii="Arial" w:hAnsi="Arial" w:cs="Arial"/>
          <w:sz w:val="22"/>
          <w:szCs w:val="22"/>
        </w:rPr>
        <w:t>girls would become</w:t>
      </w:r>
      <w:r w:rsidRPr="00E317DE">
        <w:rPr>
          <w:rFonts w:ascii="Arial" w:hAnsi="Arial" w:cs="Arial"/>
          <w:sz w:val="22"/>
          <w:szCs w:val="22"/>
        </w:rPr>
        <w:t xml:space="preserve"> </w:t>
      </w:r>
      <w:proofErr w:type="gramStart"/>
      <w:r w:rsidRPr="00E317DE">
        <w:rPr>
          <w:rFonts w:ascii="Arial" w:hAnsi="Arial" w:cs="Arial"/>
          <w:sz w:val="22"/>
          <w:szCs w:val="22"/>
        </w:rPr>
        <w:t>women  who</w:t>
      </w:r>
      <w:proofErr w:type="gramEnd"/>
      <w:r w:rsidRPr="00E317DE">
        <w:rPr>
          <w:rFonts w:ascii="Arial" w:hAnsi="Arial" w:cs="Arial"/>
          <w:sz w:val="22"/>
          <w:szCs w:val="22"/>
        </w:rPr>
        <w:t xml:space="preserve">  are conscious  of  health  issues,  like  hygiene  and  diet.  Poor academic performance of </w:t>
      </w:r>
      <w:proofErr w:type="gramStart"/>
      <w:r w:rsidRPr="00E317DE">
        <w:rPr>
          <w:rFonts w:ascii="Arial" w:hAnsi="Arial" w:cs="Arial"/>
          <w:sz w:val="22"/>
          <w:szCs w:val="22"/>
        </w:rPr>
        <w:t>the  girls</w:t>
      </w:r>
      <w:proofErr w:type="gramEnd"/>
      <w:r w:rsidRPr="00E317DE">
        <w:rPr>
          <w:rFonts w:ascii="Arial" w:hAnsi="Arial" w:cs="Arial"/>
          <w:sz w:val="22"/>
          <w:szCs w:val="22"/>
        </w:rPr>
        <w:t xml:space="preserve">  is thus an issue that would require a lot of consideration on ways to rectify it and reap benefits . Un</w:t>
      </w:r>
      <w:r w:rsidRPr="00AB0EA5">
        <w:rPr>
          <w:rFonts w:ascii="Arial" w:hAnsi="Arial" w:cs="Arial"/>
          <w:sz w:val="22"/>
          <w:szCs w:val="22"/>
        </w:rPr>
        <w:t>derstanding the school environment and climate toward the academic performance of girls is crucial for identifying the factors that hinder or enhance their educational achievements.</w:t>
      </w:r>
    </w:p>
    <w:p w14:paraId="30FD7E3B" w14:textId="77777777" w:rsidR="000950A0" w:rsidRPr="00E317DE" w:rsidRDefault="000950A0" w:rsidP="00E317DE">
      <w:pPr>
        <w:pStyle w:val="Body"/>
        <w:spacing w:before="120" w:after="120"/>
        <w:rPr>
          <w:rFonts w:ascii="Arial" w:hAnsi="Arial" w:cs="Arial"/>
          <w:sz w:val="22"/>
          <w:szCs w:val="22"/>
        </w:rPr>
      </w:pPr>
      <w:r w:rsidRPr="00AB0EA5">
        <w:rPr>
          <w:rFonts w:ascii="Arial" w:hAnsi="Arial" w:cs="Arial"/>
          <w:sz w:val="22"/>
          <w:szCs w:val="22"/>
        </w:rPr>
        <w:t>Education is a fundamental human right and a cornerstone for social and economic development</w:t>
      </w:r>
      <w:r w:rsidR="00200093" w:rsidRPr="00AB0EA5">
        <w:rPr>
          <w:rFonts w:ascii="Arial" w:hAnsi="Arial" w:cs="Arial"/>
          <w:sz w:val="22"/>
          <w:szCs w:val="22"/>
        </w:rPr>
        <w:t>.</w:t>
      </w:r>
      <w:r w:rsidRPr="00E317DE">
        <w:rPr>
          <w:rFonts w:ascii="Arial" w:hAnsi="Arial" w:cs="Arial"/>
          <w:sz w:val="22"/>
          <w:szCs w:val="22"/>
        </w:rPr>
        <w:t xml:space="preserve"> </w:t>
      </w:r>
      <w:r w:rsidRPr="00AB0EA5">
        <w:rPr>
          <w:rFonts w:ascii="Arial" w:hAnsi="Arial" w:cs="Arial"/>
          <w:sz w:val="22"/>
          <w:szCs w:val="22"/>
        </w:rPr>
        <w:t xml:space="preserve">Global initiatives such as Sustainable Development Goal 4 emphasize inclusive and equitable education to empower marginalized groups and address gender disparities.  Being a fundamental right, education of girls called attention of different scholars.  Some studies focus on the physical, social, and emotional aspects of the school environment and how these factors influence the academic outcomes of girls. And this pushes the </w:t>
      </w:r>
      <w:proofErr w:type="gramStart"/>
      <w:r w:rsidRPr="00AB0EA5">
        <w:rPr>
          <w:rFonts w:ascii="Arial" w:hAnsi="Arial" w:cs="Arial"/>
          <w:sz w:val="22"/>
          <w:szCs w:val="22"/>
        </w:rPr>
        <w:t>deep  study</w:t>
      </w:r>
      <w:proofErr w:type="gramEnd"/>
      <w:r w:rsidRPr="00AB0EA5">
        <w:rPr>
          <w:rFonts w:ascii="Arial" w:hAnsi="Arial" w:cs="Arial"/>
          <w:sz w:val="22"/>
          <w:szCs w:val="22"/>
        </w:rPr>
        <w:t xml:space="preserve"> on the impact of the school learning environment on the academic performance of girls in Rwanda</w:t>
      </w:r>
      <w:r w:rsidRPr="00E317DE">
        <w:rPr>
          <w:rFonts w:ascii="Arial" w:hAnsi="Arial" w:cs="Arial"/>
          <w:sz w:val="22"/>
          <w:szCs w:val="22"/>
        </w:rPr>
        <w:t>.</w:t>
      </w:r>
    </w:p>
    <w:p w14:paraId="07E0599B"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 xml:space="preserve">Cooper &amp; Green, (2020) studied the impact of school environment such as infrastructure, teaching quality, and peer dynamics impacted the academic success of girls in the United Kingdom. They used a qualitative approach using semi-structured interviews with 50 girls and 20 teachers across various secondary schools. The study found that a positive, supportive school environment significantly boosted the academic performance of girls. Factors such as teacher encouragement, clear academic expectations, and a nurturing atmosphere were key contributors. The study also highlights emotional well-being of students as linked to a positive school environment, and an important element for their academic performance. These scholars suggested that schools should create a supportive, positive environment with clear </w:t>
      </w:r>
      <w:proofErr w:type="spellStart"/>
      <w:r w:rsidRPr="00E317DE">
        <w:rPr>
          <w:rFonts w:ascii="Arial" w:hAnsi="Arial" w:cs="Arial"/>
          <w:sz w:val="22"/>
          <w:szCs w:val="22"/>
        </w:rPr>
        <w:t>behavioural</w:t>
      </w:r>
      <w:proofErr w:type="spellEnd"/>
      <w:r w:rsidRPr="00E317DE">
        <w:rPr>
          <w:rFonts w:ascii="Arial" w:hAnsi="Arial" w:cs="Arial"/>
          <w:sz w:val="22"/>
          <w:szCs w:val="22"/>
        </w:rPr>
        <w:t xml:space="preserve"> and academic expectations. </w:t>
      </w:r>
    </w:p>
    <w:p w14:paraId="44DA3D51"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 xml:space="preserve">Hall &amp; Adams (2017) on the role of school environment in enhancing the academic performance of girls in Australia used a mixed-methods approach combining surveys and interviews with 200 girls and 50 teachers in public schools. These scholars focused on how school infrastructure, teacher support, and extracurricular activities contributed to the academic outcomes of girls. They found that the availability of extracurricular activities, a safe and welcoming physical environment, and strong emotional support from teachers were key factors that improved the academic performance of girls. Schools with well-maintained facilities and a focus on mental health support had better academic results for girls. These scholars suggested for schools to provide extracurricular activities that promote social and academic growth for students. Mental health resources should also be integrated into the school environment to support students' emotional well-being. </w:t>
      </w:r>
    </w:p>
    <w:p w14:paraId="036F1423"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lastRenderedPageBreak/>
        <w:t xml:space="preserve">Daily, Mann, and </w:t>
      </w:r>
      <w:proofErr w:type="spellStart"/>
      <w:r w:rsidRPr="00E317DE">
        <w:rPr>
          <w:rFonts w:ascii="Arial" w:hAnsi="Arial" w:cs="Arial"/>
          <w:sz w:val="22"/>
          <w:szCs w:val="22"/>
        </w:rPr>
        <w:t>Kristjansson</w:t>
      </w:r>
      <w:proofErr w:type="spellEnd"/>
      <w:r w:rsidRPr="00E317DE">
        <w:rPr>
          <w:rFonts w:ascii="Arial" w:hAnsi="Arial" w:cs="Arial"/>
          <w:sz w:val="22"/>
          <w:szCs w:val="22"/>
        </w:rPr>
        <w:t xml:space="preserve"> (2019) conducted a study using data from middle and high school students in a Mid-Atlantic U.S. state to examine the impact of school climate on academic performance. Their survey measured multiple dimensions of the school environment, including teacher support, peer relationships, and school safety. The data were analyzed using regression models to explore the associations between these school climate factors and students’ academic achievement. The findings revealed that a positive school climate—characterized by supportive teacher-student interactions, safe school environments, and strong peer connections—had a significant positive impact on academic performance. Notably, the study highlighted that girls reported slightly higher levels of school connectedness, which was linked to better academic outcomes. The authors recommended that schools prioritize cultivating a positive climate through teacher training and systemic practices that enhance emotional and relational support for students.</w:t>
      </w:r>
    </w:p>
    <w:p w14:paraId="57642FAC"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Francis and Skelton (2005) explored how school environment, particularly infrastructure quality, teacher engagement, and peer interactions, influences girls’ academic performance in the United Kingdom. Their qualitative study involved semi-structured interviews with both students and educators across various secondary schools. Findings revealed that emotionally supportive environments, clear academic expectations, and positive peer dynamics significantly enhanced girls' motivation and performance. Teacher encouragement and school climate were especially pivotal, not only in boosting academic engagement but also in supporting girls' emotional well-being. The researchers emphasized that schools should foster nurturing atmospheres grounded in respect, inclusivity, and high expectations to optimize academic outcomes for female students.</w:t>
      </w:r>
    </w:p>
    <w:p w14:paraId="3985B2BA" w14:textId="77777777" w:rsidR="000950A0" w:rsidRPr="00E317DE" w:rsidRDefault="000950A0" w:rsidP="00E317DE">
      <w:pPr>
        <w:pStyle w:val="Body"/>
        <w:spacing w:before="120" w:after="120"/>
        <w:rPr>
          <w:rFonts w:ascii="Arial" w:hAnsi="Arial" w:cs="Arial"/>
          <w:sz w:val="22"/>
          <w:szCs w:val="22"/>
        </w:rPr>
      </w:pPr>
      <w:proofErr w:type="spellStart"/>
      <w:r w:rsidRPr="00E317DE">
        <w:rPr>
          <w:rFonts w:ascii="Arial" w:hAnsi="Arial" w:cs="Arial"/>
          <w:sz w:val="22"/>
          <w:szCs w:val="22"/>
        </w:rPr>
        <w:t>Kalkan</w:t>
      </w:r>
      <w:proofErr w:type="spellEnd"/>
      <w:r w:rsidRPr="00E317DE">
        <w:rPr>
          <w:rFonts w:ascii="Arial" w:hAnsi="Arial" w:cs="Arial"/>
          <w:sz w:val="22"/>
          <w:szCs w:val="22"/>
        </w:rPr>
        <w:t xml:space="preserve"> and </w:t>
      </w:r>
      <w:proofErr w:type="spellStart"/>
      <w:r w:rsidRPr="00E317DE">
        <w:rPr>
          <w:rFonts w:ascii="Arial" w:hAnsi="Arial" w:cs="Arial"/>
          <w:sz w:val="22"/>
          <w:szCs w:val="22"/>
        </w:rPr>
        <w:t>Dağlı</w:t>
      </w:r>
      <w:proofErr w:type="spellEnd"/>
      <w:r w:rsidRPr="00E317DE">
        <w:rPr>
          <w:rFonts w:ascii="Arial" w:hAnsi="Arial" w:cs="Arial"/>
          <w:sz w:val="22"/>
          <w:szCs w:val="22"/>
        </w:rPr>
        <w:t xml:space="preserve"> (2021) examined the influence of school climate on student engagement and academic performance in secondary schools using survey data from 667 students. Their findings indicated that a positive school climate—characterized by supportive teacher-student relationships, a sense of safety, and a strong sense of belonging—significantly reduced student burnout and enhanced academic motivation and outcomes. These scholars emphasized the importance of nurturing teacher behaviors, peer collaboration, and emotional safety in promoting students' academic success. They recommended that schools invest in initiatives that build supportive and inclusive environments, including teacher training programs focused on emotional intelligence and student engagement.</w:t>
      </w:r>
    </w:p>
    <w:p w14:paraId="592649DC"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In India, a 2024 systematic review published in BMC Public Health synthesized findings from multiple studies addressing the school environment’s impact on emotional health and academic outcomes among students, with a strong focus on female learners. The review revealed that school environments marked by physical safety, emotional support from teachers, and a collaborative peer culture positively influenced girls' academic achievement and psychological well-being. It was also noted that schools with inadequate infrastructure or poor student-teacher rapport often saw lower academic engagement among girls. The study concluded that improvements in school climate and teacher capacity-building are crucial to enhancing girls’ educational success, particularly in underserved areas.</w:t>
      </w:r>
    </w:p>
    <w:p w14:paraId="2CEC50EB" w14:textId="15701BC8"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A study from Australia published by E</w:t>
      </w:r>
      <w:r w:rsidR="006826BB" w:rsidRPr="00E317DE">
        <w:rPr>
          <w:rFonts w:ascii="Arial" w:hAnsi="Arial" w:cs="Arial"/>
          <w:sz w:val="22"/>
          <w:szCs w:val="22"/>
        </w:rPr>
        <w:t>ric</w:t>
      </w:r>
      <w:r w:rsidRPr="00E317DE">
        <w:rPr>
          <w:rFonts w:ascii="Arial" w:hAnsi="Arial" w:cs="Arial"/>
          <w:sz w:val="22"/>
          <w:szCs w:val="22"/>
        </w:rPr>
        <w:t xml:space="preserve"> (2021) used multivariable regression to analyze national student data and revealed that positive facets of school climate</w:t>
      </w:r>
      <w:r w:rsidR="00E317DE">
        <w:rPr>
          <w:rFonts w:ascii="Arial" w:hAnsi="Arial" w:cs="Arial"/>
          <w:sz w:val="22"/>
          <w:szCs w:val="22"/>
        </w:rPr>
        <w:t xml:space="preserve">, </w:t>
      </w:r>
      <w:r w:rsidRPr="00E317DE">
        <w:rPr>
          <w:rFonts w:ascii="Arial" w:hAnsi="Arial" w:cs="Arial"/>
          <w:sz w:val="22"/>
          <w:szCs w:val="22"/>
        </w:rPr>
        <w:t>such as high teacher expectations, fair discipline, and strong engagement</w:t>
      </w:r>
      <w:r w:rsidR="00E317DE">
        <w:rPr>
          <w:rFonts w:ascii="Arial" w:hAnsi="Arial" w:cs="Arial"/>
          <w:sz w:val="22"/>
          <w:szCs w:val="22"/>
        </w:rPr>
        <w:t xml:space="preserve">, </w:t>
      </w:r>
      <w:r w:rsidRPr="00E317DE">
        <w:rPr>
          <w:rFonts w:ascii="Arial" w:hAnsi="Arial" w:cs="Arial"/>
          <w:sz w:val="22"/>
          <w:szCs w:val="22"/>
        </w:rPr>
        <w:t>were associated with improved academic outcomes. The study emphasized that such school environments were especially beneficial for female students, who showed higher levels of classroom participation and academic achievement when supported emotionally and academically. It was suggested that schools develop strategies to foster inclusive engagement practices and ensure equitable teacher-student interactions.</w:t>
      </w:r>
    </w:p>
    <w:p w14:paraId="00E9129A"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Allen et al. (2020) conducted a global meta-analysis on school belonging and academic success among adolescents, drawing data from various educational settings, including both high- and low-income countries. While not exclusively focused on girls, the study showed that school belonging, a product of supportive relationships with teachers and peers, school safety, and inclusive climate—was significantly correlated with better academic performance and emotional resilience among students. The researchers recommended that schools adopt a socio-ecological approach to nurture belonging, which in turn supports girls' academic growth and well-being, especially during critical schooling years.</w:t>
      </w:r>
    </w:p>
    <w:p w14:paraId="087B5F83" w14:textId="77777777" w:rsidR="000950A0" w:rsidRPr="00E317DE" w:rsidRDefault="000950A0" w:rsidP="00E317DE">
      <w:pPr>
        <w:pStyle w:val="Body"/>
        <w:spacing w:before="120" w:after="120"/>
        <w:rPr>
          <w:rFonts w:ascii="Arial" w:hAnsi="Arial" w:cs="Arial"/>
          <w:sz w:val="22"/>
          <w:szCs w:val="22"/>
        </w:rPr>
      </w:pPr>
      <w:bookmarkStart w:id="3" w:name="_Hlk200331873"/>
      <w:r w:rsidRPr="00E317DE">
        <w:rPr>
          <w:rFonts w:ascii="Arial" w:hAnsi="Arial" w:cs="Arial"/>
          <w:sz w:val="22"/>
          <w:szCs w:val="22"/>
        </w:rPr>
        <w:t xml:space="preserve">Mugisha &amp; L. K. </w:t>
      </w:r>
      <w:proofErr w:type="spellStart"/>
      <w:r w:rsidRPr="00E317DE">
        <w:rPr>
          <w:rFonts w:ascii="Arial" w:hAnsi="Arial" w:cs="Arial"/>
          <w:sz w:val="22"/>
          <w:szCs w:val="22"/>
        </w:rPr>
        <w:t>Twizeyimana</w:t>
      </w:r>
      <w:proofErr w:type="spellEnd"/>
      <w:r w:rsidRPr="00E317DE">
        <w:rPr>
          <w:rFonts w:ascii="Arial" w:hAnsi="Arial" w:cs="Arial"/>
          <w:sz w:val="22"/>
          <w:szCs w:val="22"/>
        </w:rPr>
        <w:t xml:space="preserve"> (2023) did a study of school environment and its impact on girls’ academic performance in Rwanda. These scholars employed a qualitative approach using interviews with 50 girls from various schools in Rwanda to explore how school environment factors such as teacher-student relationships, safety, and school resources affected their academic outcomes. They found that, the emotional and social </w:t>
      </w:r>
      <w:r w:rsidRPr="00E317DE">
        <w:rPr>
          <w:rFonts w:ascii="Arial" w:hAnsi="Arial" w:cs="Arial"/>
          <w:sz w:val="22"/>
          <w:szCs w:val="22"/>
        </w:rPr>
        <w:lastRenderedPageBreak/>
        <w:t>aspects of the school environment to be crucial for the academic success of girls. Girls who had positive relationships with teachers and felt safe at school performed better. They suggested that schools should promote emotional support programs and peer mentorship to improve the academic performance of girls.</w:t>
      </w:r>
      <w:bookmarkEnd w:id="3"/>
      <w:r w:rsidRPr="00E317DE">
        <w:rPr>
          <w:rFonts w:ascii="Arial" w:hAnsi="Arial" w:cs="Arial"/>
          <w:sz w:val="22"/>
          <w:szCs w:val="22"/>
        </w:rPr>
        <w:t xml:space="preserve"> </w:t>
      </w:r>
    </w:p>
    <w:p w14:paraId="000BD599"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The reviewed literature highlights the multifaceted role of the school learning environment in shaping the academic performance of girls. The studies span developed, developing countries, and Rwanda, revealing commonalities and contextual differences in how physical, social, and emotional aspects of the learning environment affect academic outcomes.</w:t>
      </w:r>
    </w:p>
    <w:p w14:paraId="610E059D"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Studies across contexts emphasize the significance of adequate infrastructure in promoting academic performance. For instance, Francis and Skelton (2005) explored how school environment, particularly infrastructure quality, teacher engagement, and peer interactions, influences girls’ academic performance in the United Kingdom. The researchers emphasized that schools should foster nurturing atmospheres grounded in respect, inclusivity, and high expectations to optimize academic outcomes for female students.</w:t>
      </w:r>
    </w:p>
    <w:p w14:paraId="71FA54FA"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 xml:space="preserve">The role of teacher-student relationships, peer interactions, and collaborative learning also emerged as central to academic performance. As </w:t>
      </w:r>
      <w:proofErr w:type="spellStart"/>
      <w:r w:rsidRPr="00E317DE">
        <w:rPr>
          <w:rFonts w:ascii="Arial" w:hAnsi="Arial" w:cs="Arial"/>
          <w:sz w:val="22"/>
          <w:szCs w:val="22"/>
        </w:rPr>
        <w:t>Kalkan</w:t>
      </w:r>
      <w:proofErr w:type="spellEnd"/>
      <w:r w:rsidRPr="00E317DE">
        <w:rPr>
          <w:rFonts w:ascii="Arial" w:hAnsi="Arial" w:cs="Arial"/>
          <w:sz w:val="22"/>
          <w:szCs w:val="22"/>
        </w:rPr>
        <w:t xml:space="preserve"> and </w:t>
      </w:r>
      <w:proofErr w:type="spellStart"/>
      <w:r w:rsidRPr="00E317DE">
        <w:rPr>
          <w:rFonts w:ascii="Arial" w:hAnsi="Arial" w:cs="Arial"/>
          <w:sz w:val="22"/>
          <w:szCs w:val="22"/>
        </w:rPr>
        <w:t>Dağlı</w:t>
      </w:r>
      <w:proofErr w:type="spellEnd"/>
      <w:r w:rsidRPr="00E317DE">
        <w:rPr>
          <w:rFonts w:ascii="Arial" w:hAnsi="Arial" w:cs="Arial"/>
          <w:sz w:val="22"/>
          <w:szCs w:val="22"/>
        </w:rPr>
        <w:t xml:space="preserve"> (2021) examined the influence of school climate on student engagement and academic performance in secondary schools. Their findings indicated that a positive school climate—characterized by supportive teacher-student relationships, a sense of safety, and a strong sense of belonging—significantly reduced student burnout and enhanced academic motivation and outcomes. These scholars emphasized the importance of nurturing teacher behaviors, peer collaboration, and emotional safety in promoting students' academic success. They recommended that schools invest in initiatives that build supportive and inclusive environments, including teacher training programs focused on emotional intelligence and student engagement.</w:t>
      </w:r>
    </w:p>
    <w:p w14:paraId="2B9AF122"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 xml:space="preserve">A safe and inclusive school environment </w:t>
      </w:r>
      <w:proofErr w:type="gramStart"/>
      <w:r w:rsidRPr="00E317DE">
        <w:rPr>
          <w:rFonts w:ascii="Arial" w:hAnsi="Arial" w:cs="Arial"/>
          <w:sz w:val="22"/>
          <w:szCs w:val="22"/>
        </w:rPr>
        <w:t>were</w:t>
      </w:r>
      <w:proofErr w:type="gramEnd"/>
      <w:r w:rsidRPr="00E317DE">
        <w:rPr>
          <w:rFonts w:ascii="Arial" w:hAnsi="Arial" w:cs="Arial"/>
          <w:sz w:val="22"/>
          <w:szCs w:val="22"/>
        </w:rPr>
        <w:t xml:space="preserve"> consistently linked to better academic outcomes. Cooper &amp; Green (2020) in the UK found that a safe and inclusive environment reduced absenteeism and improved girls' focus on academics. </w:t>
      </w:r>
    </w:p>
    <w:p w14:paraId="722177FF"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 xml:space="preserve">It can confidently conclude that the school learning environment plays a pivotal role in shaping the academic performance of girls. Across developed and developing contexts, the importance of physical infrastructure, supportive social interactions, and emotional safety is consistently emphasized. </w:t>
      </w:r>
    </w:p>
    <w:p w14:paraId="2D2FE1FF" w14:textId="23BD4954" w:rsidR="00790ADA" w:rsidRDefault="000950A0" w:rsidP="00E317DE">
      <w:pPr>
        <w:pStyle w:val="Body"/>
        <w:spacing w:before="120" w:after="120"/>
        <w:rPr>
          <w:rFonts w:ascii="Arial" w:hAnsi="Arial" w:cs="Arial"/>
          <w:sz w:val="22"/>
          <w:szCs w:val="22"/>
        </w:rPr>
      </w:pPr>
      <w:r w:rsidRPr="00AB0EA5">
        <w:rPr>
          <w:rFonts w:ascii="Arial" w:hAnsi="Arial" w:cs="Arial"/>
          <w:sz w:val="22"/>
          <w:szCs w:val="22"/>
        </w:rPr>
        <w:t xml:space="preserve">This study used descriptive survey research. A descriptive survey is a method of collecting information by interviewing or administering questionnaires to a sample of </w:t>
      </w:r>
      <w:proofErr w:type="gramStart"/>
      <w:r w:rsidRPr="00AB0EA5">
        <w:rPr>
          <w:rFonts w:ascii="Arial" w:hAnsi="Arial" w:cs="Arial"/>
          <w:sz w:val="22"/>
          <w:szCs w:val="22"/>
        </w:rPr>
        <w:t>individuals .It</w:t>
      </w:r>
      <w:proofErr w:type="gramEnd"/>
      <w:r w:rsidRPr="00AB0EA5">
        <w:rPr>
          <w:rFonts w:ascii="Arial" w:hAnsi="Arial" w:cs="Arial"/>
          <w:sz w:val="22"/>
          <w:szCs w:val="22"/>
        </w:rPr>
        <w:t xml:space="preserve"> has also combined both qualitative and quantitative approaches. </w:t>
      </w:r>
      <w:r w:rsidR="00220AAE" w:rsidRPr="00AB0EA5">
        <w:rPr>
          <w:rFonts w:ascii="Arial" w:hAnsi="Arial" w:cs="Arial"/>
          <w:sz w:val="22"/>
          <w:szCs w:val="22"/>
        </w:rPr>
        <w:t xml:space="preserve">The </w:t>
      </w:r>
      <w:r w:rsidRPr="00AB0EA5">
        <w:rPr>
          <w:rFonts w:ascii="Arial" w:hAnsi="Arial" w:cs="Arial"/>
          <w:sz w:val="22"/>
          <w:szCs w:val="22"/>
        </w:rPr>
        <w:t>descriptive design is used preliminary and exploratory studies allow researchers to gather information, summarize, present, and interpret them for clarification. The use of descriptive survey design in this study were, therefore, the most appropriate for the investigation of the factors influencing the academic performance of students.</w:t>
      </w:r>
    </w:p>
    <w:p w14:paraId="4063806C" w14:textId="77777777" w:rsidR="001A7CA8" w:rsidRDefault="003A43EC" w:rsidP="001A7CA8">
      <w:pPr>
        <w:spacing w:before="240" w:after="240" w:line="480" w:lineRule="auto"/>
        <w:rPr>
          <w:rFonts w:ascii="Arial" w:hAnsi="Arial" w:cs="Arial"/>
          <w:b/>
          <w:bCs/>
          <w:sz w:val="22"/>
          <w:szCs w:val="22"/>
        </w:rPr>
      </w:pPr>
      <w:r w:rsidRPr="003A43EC">
        <w:rPr>
          <w:rFonts w:ascii="Arial" w:hAnsi="Arial" w:cs="Arial"/>
          <w:b/>
          <w:bCs/>
          <w:sz w:val="22"/>
          <w:szCs w:val="22"/>
        </w:rPr>
        <w:t>Methods</w:t>
      </w:r>
    </w:p>
    <w:p w14:paraId="641DEEFD" w14:textId="721AE396" w:rsidR="003A43EC" w:rsidRPr="002013B5" w:rsidRDefault="003A43EC" w:rsidP="001A7CA8">
      <w:pPr>
        <w:spacing w:before="240" w:after="240"/>
        <w:rPr>
          <w:rFonts w:ascii="Arial" w:hAnsi="Arial" w:cs="Arial"/>
          <w:bCs/>
          <w:sz w:val="22"/>
          <w:szCs w:val="22"/>
        </w:rPr>
      </w:pPr>
      <w:r w:rsidRPr="003A43EC">
        <w:rPr>
          <w:rFonts w:ascii="Arial" w:hAnsi="Arial" w:cs="Arial"/>
          <w:bCs/>
          <w:sz w:val="22"/>
          <w:szCs w:val="22"/>
        </w:rPr>
        <w:t>This study used descriptive survey design, collecting information by administering the questionnaires</w:t>
      </w:r>
      <w:r w:rsidR="002013B5">
        <w:rPr>
          <w:rFonts w:ascii="Arial" w:hAnsi="Arial" w:cs="Arial"/>
          <w:bCs/>
          <w:sz w:val="22"/>
          <w:szCs w:val="22"/>
        </w:rPr>
        <w:t xml:space="preserve"> and </w:t>
      </w:r>
      <w:r w:rsidR="002013B5" w:rsidRPr="003A43EC">
        <w:rPr>
          <w:rFonts w:ascii="Arial" w:hAnsi="Arial" w:cs="Arial"/>
          <w:bCs/>
          <w:sz w:val="22"/>
          <w:szCs w:val="22"/>
        </w:rPr>
        <w:t>interviewing</w:t>
      </w:r>
      <w:r w:rsidR="002013B5">
        <w:rPr>
          <w:rFonts w:ascii="Arial" w:hAnsi="Arial" w:cs="Arial"/>
          <w:bCs/>
          <w:sz w:val="22"/>
          <w:szCs w:val="22"/>
        </w:rPr>
        <w:t xml:space="preserve"> the responders</w:t>
      </w:r>
      <w:r w:rsidRPr="003A43EC">
        <w:rPr>
          <w:rFonts w:ascii="Arial" w:hAnsi="Arial" w:cs="Arial"/>
          <w:bCs/>
          <w:sz w:val="22"/>
          <w:szCs w:val="22"/>
        </w:rPr>
        <w:t xml:space="preserve">. It has also combined both qualitative and quantitative approaches. Noted that descriptive design is used preliminary to allow the researcher to gather information, summarize, present, and interpret them for clarification. The use of descriptive survey design in this study </w:t>
      </w:r>
      <w:r w:rsidR="00D36556">
        <w:rPr>
          <w:rFonts w:ascii="Arial" w:hAnsi="Arial" w:cs="Arial"/>
          <w:bCs/>
          <w:sz w:val="22"/>
          <w:szCs w:val="22"/>
        </w:rPr>
        <w:t>was</w:t>
      </w:r>
      <w:r w:rsidRPr="003A43EC">
        <w:rPr>
          <w:rFonts w:ascii="Arial" w:hAnsi="Arial" w:cs="Arial"/>
          <w:bCs/>
          <w:sz w:val="22"/>
          <w:szCs w:val="22"/>
        </w:rPr>
        <w:t>, therefore, the most appropriate for the investigation of the factors influencing the academic performance of students</w:t>
      </w:r>
      <w:r w:rsidRPr="003A43EC">
        <w:rPr>
          <w:rFonts w:ascii="Arial" w:hAnsi="Arial" w:cs="Arial"/>
          <w:b/>
          <w:bCs/>
          <w:sz w:val="22"/>
          <w:szCs w:val="22"/>
        </w:rPr>
        <w:t>.</w:t>
      </w:r>
    </w:p>
    <w:p w14:paraId="11364313" w14:textId="1A067A10" w:rsidR="003A43EC" w:rsidRDefault="003A43EC" w:rsidP="00F67FAD">
      <w:pPr>
        <w:pStyle w:val="Body"/>
        <w:tabs>
          <w:tab w:val="left" w:pos="1996"/>
        </w:tabs>
        <w:spacing w:before="120" w:after="120"/>
        <w:jc w:val="left"/>
        <w:rPr>
          <w:rFonts w:ascii="Arial" w:hAnsi="Arial" w:cs="Arial"/>
          <w:b/>
          <w:bCs/>
          <w:sz w:val="22"/>
          <w:szCs w:val="22"/>
        </w:rPr>
      </w:pPr>
    </w:p>
    <w:p w14:paraId="05856659" w14:textId="77777777" w:rsidR="00F67FAD" w:rsidRPr="00AB0EA5" w:rsidRDefault="00F67FAD" w:rsidP="00F67FAD">
      <w:pPr>
        <w:pStyle w:val="Body"/>
        <w:tabs>
          <w:tab w:val="left" w:pos="1996"/>
        </w:tabs>
        <w:spacing w:before="120" w:after="120"/>
        <w:jc w:val="left"/>
        <w:rPr>
          <w:rFonts w:ascii="Arial" w:hAnsi="Arial" w:cs="Arial"/>
          <w:sz w:val="22"/>
          <w:szCs w:val="22"/>
        </w:rPr>
      </w:pPr>
    </w:p>
    <w:p w14:paraId="3EB5ED0F" w14:textId="160D080C" w:rsidR="00790ADA" w:rsidRPr="00AB0EA5" w:rsidRDefault="00000F8F" w:rsidP="00E317DE">
      <w:pPr>
        <w:pStyle w:val="Head1"/>
        <w:spacing w:before="120" w:after="120"/>
        <w:jc w:val="both"/>
        <w:rPr>
          <w:rFonts w:ascii="Arial" w:hAnsi="Arial" w:cs="Arial"/>
          <w:szCs w:val="22"/>
        </w:rPr>
      </w:pPr>
      <w:r w:rsidRPr="00AB0EA5">
        <w:rPr>
          <w:rFonts w:ascii="Arial" w:hAnsi="Arial" w:cs="Arial"/>
          <w:szCs w:val="22"/>
        </w:rPr>
        <w:t>3</w:t>
      </w:r>
      <w:r w:rsidR="00902823" w:rsidRPr="00AB0EA5">
        <w:rPr>
          <w:rFonts w:ascii="Arial" w:hAnsi="Arial" w:cs="Arial"/>
          <w:szCs w:val="22"/>
        </w:rPr>
        <w:t xml:space="preserve">. </w:t>
      </w:r>
      <w:r w:rsidRPr="00AB0EA5">
        <w:rPr>
          <w:rFonts w:ascii="Arial" w:hAnsi="Arial" w:cs="Arial"/>
          <w:szCs w:val="22"/>
        </w:rPr>
        <w:t>results and discussion</w:t>
      </w:r>
    </w:p>
    <w:p w14:paraId="0B212B3D" w14:textId="2F0D642B" w:rsidR="00E317DE" w:rsidRDefault="00E5404E" w:rsidP="00E317DE">
      <w:pPr>
        <w:pStyle w:val="Body"/>
        <w:spacing w:before="120" w:after="120"/>
        <w:rPr>
          <w:rFonts w:ascii="Arial" w:hAnsi="Arial" w:cs="Arial"/>
          <w:sz w:val="22"/>
          <w:szCs w:val="22"/>
        </w:rPr>
      </w:pPr>
      <w:r w:rsidRPr="00AB0EA5">
        <w:rPr>
          <w:rFonts w:ascii="Arial" w:hAnsi="Arial" w:cs="Arial"/>
          <w:sz w:val="22"/>
          <w:szCs w:val="22"/>
        </w:rPr>
        <w:t xml:space="preserve">The topic of this study is the impact of the school learning environment on the academic performance of girls under the </w:t>
      </w:r>
      <w:proofErr w:type="spellStart"/>
      <w:r w:rsidRPr="00AB0EA5">
        <w:rPr>
          <w:rFonts w:ascii="Arial" w:hAnsi="Arial" w:cs="Arial"/>
          <w:sz w:val="22"/>
          <w:szCs w:val="22"/>
        </w:rPr>
        <w:t>Malayika</w:t>
      </w:r>
      <w:proofErr w:type="spellEnd"/>
      <w:r w:rsidRPr="00AB0EA5">
        <w:rPr>
          <w:rFonts w:ascii="Arial" w:hAnsi="Arial" w:cs="Arial"/>
          <w:sz w:val="22"/>
          <w:szCs w:val="22"/>
        </w:rPr>
        <w:t xml:space="preserve"> </w:t>
      </w:r>
      <w:proofErr w:type="spellStart"/>
      <w:r w:rsidRPr="00AB0EA5">
        <w:rPr>
          <w:rFonts w:ascii="Arial" w:hAnsi="Arial" w:cs="Arial"/>
          <w:sz w:val="22"/>
          <w:szCs w:val="22"/>
        </w:rPr>
        <w:t>Mulinzi</w:t>
      </w:r>
      <w:proofErr w:type="spellEnd"/>
      <w:r w:rsidRPr="00AB0EA5">
        <w:rPr>
          <w:rFonts w:ascii="Arial" w:hAnsi="Arial" w:cs="Arial"/>
          <w:sz w:val="22"/>
          <w:szCs w:val="22"/>
        </w:rPr>
        <w:t xml:space="preserve"> </w:t>
      </w:r>
      <w:proofErr w:type="spellStart"/>
      <w:r w:rsidRPr="00AB0EA5">
        <w:rPr>
          <w:rFonts w:ascii="Arial" w:hAnsi="Arial" w:cs="Arial"/>
          <w:sz w:val="22"/>
          <w:szCs w:val="22"/>
        </w:rPr>
        <w:t>programme</w:t>
      </w:r>
      <w:proofErr w:type="spellEnd"/>
      <w:r w:rsidRPr="00AB0EA5">
        <w:rPr>
          <w:rFonts w:ascii="Arial" w:hAnsi="Arial" w:cs="Arial"/>
          <w:sz w:val="22"/>
          <w:szCs w:val="22"/>
        </w:rPr>
        <w:t xml:space="preserve"> in </w:t>
      </w:r>
      <w:proofErr w:type="spellStart"/>
      <w:r w:rsidRPr="00AB0EA5">
        <w:rPr>
          <w:rFonts w:ascii="Arial" w:hAnsi="Arial" w:cs="Arial"/>
          <w:sz w:val="22"/>
          <w:szCs w:val="22"/>
        </w:rPr>
        <w:t>Nyaruguru</w:t>
      </w:r>
      <w:proofErr w:type="spellEnd"/>
      <w:r w:rsidRPr="00AB0EA5">
        <w:rPr>
          <w:rFonts w:ascii="Arial" w:hAnsi="Arial" w:cs="Arial"/>
          <w:sz w:val="22"/>
          <w:szCs w:val="22"/>
        </w:rPr>
        <w:t xml:space="preserve"> District, Rwanda.  The results obtained from the analysis with existing literature provide a comprehensive understanding of the challenges and opportunities affecting the academic outcomes of girls.</w:t>
      </w:r>
    </w:p>
    <w:p w14:paraId="149E8D22" w14:textId="77777777" w:rsidR="00E317DE" w:rsidRPr="00AB0EA5" w:rsidRDefault="00E317DE" w:rsidP="00E317DE">
      <w:pPr>
        <w:pStyle w:val="Body"/>
        <w:spacing w:before="120" w:after="120"/>
        <w:rPr>
          <w:rFonts w:ascii="Arial" w:hAnsi="Arial" w:cs="Arial"/>
          <w:sz w:val="22"/>
          <w:szCs w:val="22"/>
        </w:rPr>
      </w:pPr>
    </w:p>
    <w:p w14:paraId="0E5EE3F2" w14:textId="06E34C2D" w:rsidR="00E5404E" w:rsidRPr="00E317DE" w:rsidRDefault="00DB25F0" w:rsidP="00E317DE">
      <w:pPr>
        <w:pStyle w:val="Caption"/>
        <w:rPr>
          <w:sz w:val="18"/>
          <w:szCs w:val="18"/>
        </w:rPr>
      </w:pPr>
      <w:r>
        <w:rPr>
          <w:sz w:val="18"/>
          <w:szCs w:val="18"/>
        </w:rPr>
        <w:t>Table 1-</w:t>
      </w:r>
      <w:r w:rsidR="00E5404E" w:rsidRPr="00E317DE">
        <w:rPr>
          <w:sz w:val="18"/>
          <w:szCs w:val="18"/>
        </w:rPr>
        <w:t>The primary dependence of academic performance</w:t>
      </w:r>
    </w:p>
    <w:tbl>
      <w:tblPr>
        <w:tblW w:w="865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910"/>
        <w:gridCol w:w="1440"/>
        <w:gridCol w:w="1065"/>
        <w:gridCol w:w="1545"/>
        <w:gridCol w:w="750"/>
        <w:gridCol w:w="945"/>
      </w:tblGrid>
      <w:tr w:rsidR="00E5404E" w:rsidRPr="00AB0EA5" w14:paraId="4D82E2ED" w14:textId="77777777" w:rsidTr="00DD0E81">
        <w:trPr>
          <w:trHeight w:val="166"/>
        </w:trPr>
        <w:tc>
          <w:tcPr>
            <w:tcW w:w="2910" w:type="dxa"/>
            <w:vMerge w:val="restart"/>
            <w:tcBorders>
              <w:top w:val="single" w:sz="18" w:space="0" w:color="000000"/>
              <w:left w:val="nil"/>
              <w:bottom w:val="single" w:sz="18" w:space="0" w:color="000000"/>
              <w:right w:val="single" w:sz="18" w:space="0" w:color="000000"/>
            </w:tcBorders>
            <w:shd w:val="clear" w:color="auto" w:fill="auto"/>
            <w:tcMar>
              <w:top w:w="100" w:type="dxa"/>
              <w:left w:w="100" w:type="dxa"/>
              <w:bottom w:w="100" w:type="dxa"/>
              <w:right w:w="100" w:type="dxa"/>
            </w:tcMar>
          </w:tcPr>
          <w:p w14:paraId="695B689E" w14:textId="77777777" w:rsidR="00E5404E" w:rsidRPr="00E317DE" w:rsidRDefault="00E5404E" w:rsidP="00E317DE">
            <w:pPr>
              <w:pStyle w:val="NoSpacing"/>
              <w:rPr>
                <w:rFonts w:ascii="Arial" w:hAnsi="Arial"/>
                <w:sz w:val="18"/>
                <w:szCs w:val="18"/>
                <w:lang w:val="en-GB"/>
              </w:rPr>
            </w:pPr>
          </w:p>
          <w:p w14:paraId="72C96DF5"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Variables</w:t>
            </w:r>
          </w:p>
        </w:tc>
        <w:tc>
          <w:tcPr>
            <w:tcW w:w="1440" w:type="dxa"/>
            <w:tcBorders>
              <w:top w:val="single" w:sz="18" w:space="0" w:color="000000"/>
              <w:left w:val="nil"/>
              <w:bottom w:val="single" w:sz="18" w:space="0" w:color="000000"/>
              <w:right w:val="nil"/>
            </w:tcBorders>
            <w:shd w:val="clear" w:color="auto" w:fill="auto"/>
          </w:tcPr>
          <w:p w14:paraId="348C33CF" w14:textId="77777777" w:rsidR="00E5404E" w:rsidRPr="00E317DE" w:rsidRDefault="00E5404E" w:rsidP="00E317DE">
            <w:pPr>
              <w:pStyle w:val="NoSpacing"/>
              <w:rPr>
                <w:rFonts w:ascii="Arial" w:hAnsi="Arial"/>
                <w:b/>
                <w:sz w:val="18"/>
                <w:szCs w:val="18"/>
                <w:lang w:val="en-GB"/>
              </w:rPr>
            </w:pPr>
          </w:p>
        </w:tc>
        <w:tc>
          <w:tcPr>
            <w:tcW w:w="4305" w:type="dxa"/>
            <w:gridSpan w:val="4"/>
            <w:tcBorders>
              <w:top w:val="single" w:sz="18" w:space="0" w:color="000000"/>
              <w:left w:val="nil"/>
              <w:bottom w:val="single" w:sz="18" w:space="0" w:color="000000"/>
              <w:right w:val="nil"/>
            </w:tcBorders>
            <w:shd w:val="clear" w:color="auto" w:fill="auto"/>
          </w:tcPr>
          <w:p w14:paraId="01AC63F2"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Statistical Test</w:t>
            </w:r>
          </w:p>
        </w:tc>
      </w:tr>
      <w:tr w:rsidR="00E5404E" w:rsidRPr="00AB0EA5" w14:paraId="49827AA7" w14:textId="77777777" w:rsidTr="00DD0E81">
        <w:trPr>
          <w:trHeight w:val="20"/>
        </w:trPr>
        <w:tc>
          <w:tcPr>
            <w:tcW w:w="2910" w:type="dxa"/>
            <w:vMerge/>
            <w:tcBorders>
              <w:bottom w:val="single" w:sz="18" w:space="0" w:color="000000"/>
              <w:right w:val="single" w:sz="18" w:space="0" w:color="000000"/>
            </w:tcBorders>
            <w:shd w:val="clear" w:color="auto" w:fill="auto"/>
            <w:tcMar>
              <w:top w:w="100" w:type="dxa"/>
              <w:left w:w="100" w:type="dxa"/>
              <w:bottom w:w="100" w:type="dxa"/>
              <w:right w:w="100" w:type="dxa"/>
            </w:tcMar>
          </w:tcPr>
          <w:p w14:paraId="314877CA" w14:textId="77777777" w:rsidR="00E5404E" w:rsidRPr="00E317DE" w:rsidRDefault="00E5404E" w:rsidP="00E317DE">
            <w:pPr>
              <w:pStyle w:val="NoSpacing"/>
              <w:rPr>
                <w:rFonts w:ascii="Arial" w:hAnsi="Arial"/>
                <w:sz w:val="18"/>
                <w:szCs w:val="18"/>
                <w:lang w:val="en-GB"/>
              </w:rPr>
            </w:pPr>
          </w:p>
        </w:tc>
        <w:tc>
          <w:tcPr>
            <w:tcW w:w="1440" w:type="dxa"/>
            <w:tcBorders>
              <w:top w:val="nil"/>
              <w:left w:val="nil"/>
              <w:bottom w:val="single" w:sz="18" w:space="0" w:color="000000"/>
              <w:right w:val="nil"/>
            </w:tcBorders>
            <w:shd w:val="clear" w:color="auto" w:fill="auto"/>
          </w:tcPr>
          <w:p w14:paraId="44285B1F"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Mean Rank</w:t>
            </w:r>
          </w:p>
        </w:tc>
        <w:tc>
          <w:tcPr>
            <w:tcW w:w="1065" w:type="dxa"/>
            <w:tcBorders>
              <w:top w:val="nil"/>
              <w:left w:val="nil"/>
              <w:bottom w:val="single" w:sz="18" w:space="0" w:color="000000"/>
              <w:right w:val="nil"/>
            </w:tcBorders>
            <w:shd w:val="clear" w:color="auto" w:fill="auto"/>
          </w:tcPr>
          <w:p w14:paraId="5B3C8CD3"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Std</w:t>
            </w:r>
          </w:p>
        </w:tc>
        <w:tc>
          <w:tcPr>
            <w:tcW w:w="1545" w:type="dxa"/>
            <w:tcBorders>
              <w:top w:val="nil"/>
              <w:left w:val="nil"/>
              <w:bottom w:val="single" w:sz="18" w:space="0" w:color="000000"/>
              <w:right w:val="nil"/>
            </w:tcBorders>
            <w:shd w:val="clear" w:color="auto" w:fill="auto"/>
          </w:tcPr>
          <w:p w14:paraId="3CF36F51"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Chi-square</w:t>
            </w:r>
          </w:p>
        </w:tc>
        <w:tc>
          <w:tcPr>
            <w:tcW w:w="750" w:type="dxa"/>
            <w:tcBorders>
              <w:top w:val="nil"/>
              <w:left w:val="nil"/>
              <w:bottom w:val="single" w:sz="18" w:space="0" w:color="000000"/>
              <w:right w:val="nil"/>
            </w:tcBorders>
            <w:shd w:val="clear" w:color="auto" w:fill="auto"/>
          </w:tcPr>
          <w:p w14:paraId="62024925"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Df</w:t>
            </w:r>
          </w:p>
        </w:tc>
        <w:tc>
          <w:tcPr>
            <w:tcW w:w="945" w:type="dxa"/>
            <w:tcBorders>
              <w:top w:val="nil"/>
              <w:left w:val="nil"/>
              <w:bottom w:val="single" w:sz="18" w:space="0" w:color="000000"/>
              <w:right w:val="nil"/>
            </w:tcBorders>
            <w:shd w:val="clear" w:color="auto" w:fill="auto"/>
          </w:tcPr>
          <w:p w14:paraId="0CBCFEAA"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P</w:t>
            </w:r>
          </w:p>
        </w:tc>
      </w:tr>
      <w:tr w:rsidR="00E5404E" w:rsidRPr="00AB0EA5" w14:paraId="644304B7" w14:textId="77777777" w:rsidTr="00E317DE">
        <w:trPr>
          <w:trHeight w:val="224"/>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2DA829AB"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Qualification</w:t>
            </w:r>
          </w:p>
        </w:tc>
        <w:tc>
          <w:tcPr>
            <w:tcW w:w="1440" w:type="dxa"/>
            <w:tcBorders>
              <w:top w:val="nil"/>
              <w:left w:val="nil"/>
              <w:bottom w:val="nil"/>
              <w:right w:val="nil"/>
            </w:tcBorders>
            <w:shd w:val="clear" w:color="auto" w:fill="auto"/>
          </w:tcPr>
          <w:p w14:paraId="2753462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4.81</w:t>
            </w:r>
          </w:p>
        </w:tc>
        <w:tc>
          <w:tcPr>
            <w:tcW w:w="1065" w:type="dxa"/>
            <w:tcBorders>
              <w:top w:val="nil"/>
              <w:left w:val="nil"/>
              <w:bottom w:val="nil"/>
              <w:right w:val="nil"/>
            </w:tcBorders>
            <w:shd w:val="clear" w:color="auto" w:fill="auto"/>
          </w:tcPr>
          <w:p w14:paraId="40B75FD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0.381</w:t>
            </w:r>
          </w:p>
        </w:tc>
        <w:tc>
          <w:tcPr>
            <w:tcW w:w="1545" w:type="dxa"/>
            <w:tcBorders>
              <w:top w:val="nil"/>
              <w:left w:val="nil"/>
              <w:bottom w:val="nil"/>
              <w:right w:val="nil"/>
            </w:tcBorders>
            <w:shd w:val="clear" w:color="auto" w:fill="auto"/>
          </w:tcPr>
          <w:p w14:paraId="55E4D03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137.987</w:t>
            </w:r>
          </w:p>
        </w:tc>
        <w:tc>
          <w:tcPr>
            <w:tcW w:w="750" w:type="dxa"/>
            <w:tcBorders>
              <w:top w:val="nil"/>
              <w:left w:val="nil"/>
              <w:bottom w:val="nil"/>
              <w:right w:val="nil"/>
            </w:tcBorders>
            <w:shd w:val="clear" w:color="auto" w:fill="auto"/>
          </w:tcPr>
          <w:p w14:paraId="4614934A"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8</w:t>
            </w:r>
          </w:p>
        </w:tc>
        <w:tc>
          <w:tcPr>
            <w:tcW w:w="945" w:type="dxa"/>
            <w:tcBorders>
              <w:top w:val="nil"/>
              <w:left w:val="nil"/>
              <w:bottom w:val="nil"/>
              <w:right w:val="nil"/>
            </w:tcBorders>
            <w:shd w:val="clear" w:color="auto" w:fill="auto"/>
          </w:tcPr>
          <w:p w14:paraId="1E63586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0.000</w:t>
            </w:r>
          </w:p>
        </w:tc>
      </w:tr>
      <w:tr w:rsidR="00E5404E" w:rsidRPr="00AB0EA5" w14:paraId="24BEF353" w14:textId="77777777" w:rsidTr="00E317DE">
        <w:trPr>
          <w:trHeight w:val="71"/>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7A18BB24"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Training</w:t>
            </w:r>
          </w:p>
        </w:tc>
        <w:tc>
          <w:tcPr>
            <w:tcW w:w="1440" w:type="dxa"/>
            <w:tcBorders>
              <w:top w:val="nil"/>
              <w:left w:val="nil"/>
              <w:bottom w:val="nil"/>
              <w:right w:val="nil"/>
            </w:tcBorders>
            <w:shd w:val="clear" w:color="auto" w:fill="auto"/>
          </w:tcPr>
          <w:p w14:paraId="21D04C0A"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4.89</w:t>
            </w:r>
          </w:p>
        </w:tc>
        <w:tc>
          <w:tcPr>
            <w:tcW w:w="1065" w:type="dxa"/>
            <w:tcBorders>
              <w:top w:val="nil"/>
              <w:left w:val="nil"/>
              <w:bottom w:val="nil"/>
              <w:right w:val="nil"/>
            </w:tcBorders>
            <w:shd w:val="clear" w:color="auto" w:fill="auto"/>
          </w:tcPr>
          <w:p w14:paraId="4F01EE21"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0.395</w:t>
            </w:r>
          </w:p>
        </w:tc>
        <w:tc>
          <w:tcPr>
            <w:tcW w:w="1545" w:type="dxa"/>
            <w:tcBorders>
              <w:top w:val="nil"/>
              <w:left w:val="nil"/>
              <w:bottom w:val="nil"/>
              <w:right w:val="nil"/>
            </w:tcBorders>
            <w:shd w:val="clear" w:color="auto" w:fill="auto"/>
          </w:tcPr>
          <w:p w14:paraId="1819414E"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1BEB1498"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2481DB18" w14:textId="77777777" w:rsidR="00E5404E" w:rsidRPr="00E317DE" w:rsidRDefault="00E5404E" w:rsidP="00E317DE">
            <w:pPr>
              <w:pStyle w:val="NoSpacing"/>
              <w:rPr>
                <w:rFonts w:ascii="Arial" w:hAnsi="Arial"/>
                <w:sz w:val="18"/>
                <w:szCs w:val="18"/>
                <w:lang w:val="en-GB"/>
              </w:rPr>
            </w:pPr>
          </w:p>
        </w:tc>
      </w:tr>
      <w:tr w:rsidR="00E5404E" w:rsidRPr="00AB0EA5" w14:paraId="47F417BF"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4C897531"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Method of teaching</w:t>
            </w:r>
          </w:p>
        </w:tc>
        <w:tc>
          <w:tcPr>
            <w:tcW w:w="1440" w:type="dxa"/>
            <w:tcBorders>
              <w:top w:val="nil"/>
              <w:left w:val="nil"/>
              <w:bottom w:val="nil"/>
              <w:right w:val="nil"/>
            </w:tcBorders>
            <w:shd w:val="clear" w:color="auto" w:fill="auto"/>
          </w:tcPr>
          <w:p w14:paraId="5061C1ED"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4.34</w:t>
            </w:r>
          </w:p>
        </w:tc>
        <w:tc>
          <w:tcPr>
            <w:tcW w:w="1065" w:type="dxa"/>
            <w:tcBorders>
              <w:top w:val="nil"/>
              <w:left w:val="nil"/>
              <w:bottom w:val="nil"/>
              <w:right w:val="nil"/>
            </w:tcBorders>
            <w:shd w:val="clear" w:color="auto" w:fill="auto"/>
          </w:tcPr>
          <w:p w14:paraId="515974DE"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0.256</w:t>
            </w:r>
          </w:p>
        </w:tc>
        <w:tc>
          <w:tcPr>
            <w:tcW w:w="1545" w:type="dxa"/>
            <w:tcBorders>
              <w:top w:val="nil"/>
              <w:left w:val="nil"/>
              <w:bottom w:val="nil"/>
              <w:right w:val="nil"/>
            </w:tcBorders>
            <w:shd w:val="clear" w:color="auto" w:fill="auto"/>
          </w:tcPr>
          <w:p w14:paraId="6FE54555"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49A1C22B"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5DA2C1DD" w14:textId="77777777" w:rsidR="00E5404E" w:rsidRPr="00E317DE" w:rsidRDefault="00E5404E" w:rsidP="00E317DE">
            <w:pPr>
              <w:pStyle w:val="NoSpacing"/>
              <w:rPr>
                <w:rFonts w:ascii="Arial" w:hAnsi="Arial"/>
                <w:sz w:val="18"/>
                <w:szCs w:val="18"/>
                <w:lang w:val="en-GB"/>
              </w:rPr>
            </w:pPr>
          </w:p>
        </w:tc>
      </w:tr>
      <w:tr w:rsidR="00E5404E" w:rsidRPr="00AB0EA5" w14:paraId="09EBBD8C" w14:textId="77777777" w:rsidTr="00E317DE">
        <w:trPr>
          <w:trHeight w:val="260"/>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7A3FD9C4"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Motivation</w:t>
            </w:r>
          </w:p>
        </w:tc>
        <w:tc>
          <w:tcPr>
            <w:tcW w:w="1440" w:type="dxa"/>
            <w:tcBorders>
              <w:top w:val="nil"/>
              <w:left w:val="nil"/>
              <w:bottom w:val="nil"/>
              <w:right w:val="nil"/>
            </w:tcBorders>
            <w:shd w:val="clear" w:color="auto" w:fill="auto"/>
          </w:tcPr>
          <w:p w14:paraId="7E923D2B"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4.66</w:t>
            </w:r>
          </w:p>
        </w:tc>
        <w:tc>
          <w:tcPr>
            <w:tcW w:w="1065" w:type="dxa"/>
            <w:tcBorders>
              <w:top w:val="nil"/>
              <w:left w:val="nil"/>
              <w:bottom w:val="nil"/>
              <w:right w:val="nil"/>
            </w:tcBorders>
            <w:shd w:val="clear" w:color="auto" w:fill="auto"/>
          </w:tcPr>
          <w:p w14:paraId="4B419C52"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0.346</w:t>
            </w:r>
          </w:p>
        </w:tc>
        <w:tc>
          <w:tcPr>
            <w:tcW w:w="1545" w:type="dxa"/>
            <w:tcBorders>
              <w:top w:val="nil"/>
              <w:left w:val="nil"/>
              <w:bottom w:val="nil"/>
              <w:right w:val="nil"/>
            </w:tcBorders>
            <w:shd w:val="clear" w:color="auto" w:fill="auto"/>
          </w:tcPr>
          <w:p w14:paraId="2F16DFD0"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1B95093A"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3F8FC7AB" w14:textId="77777777" w:rsidR="00E5404E" w:rsidRPr="00E317DE" w:rsidRDefault="00E5404E" w:rsidP="00E317DE">
            <w:pPr>
              <w:pStyle w:val="NoSpacing"/>
              <w:rPr>
                <w:rFonts w:ascii="Arial" w:hAnsi="Arial"/>
                <w:sz w:val="18"/>
                <w:szCs w:val="18"/>
                <w:lang w:val="en-GB"/>
              </w:rPr>
            </w:pPr>
          </w:p>
        </w:tc>
      </w:tr>
      <w:tr w:rsidR="00E5404E" w:rsidRPr="00AB0EA5" w14:paraId="45FF6033"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33D34FD8"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Gender</w:t>
            </w:r>
          </w:p>
        </w:tc>
        <w:tc>
          <w:tcPr>
            <w:tcW w:w="1440" w:type="dxa"/>
            <w:tcBorders>
              <w:top w:val="nil"/>
              <w:left w:val="nil"/>
              <w:bottom w:val="nil"/>
              <w:right w:val="nil"/>
            </w:tcBorders>
            <w:shd w:val="clear" w:color="auto" w:fill="auto"/>
          </w:tcPr>
          <w:p w14:paraId="4CAADCD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4.50</w:t>
            </w:r>
          </w:p>
        </w:tc>
        <w:tc>
          <w:tcPr>
            <w:tcW w:w="1065" w:type="dxa"/>
            <w:tcBorders>
              <w:top w:val="nil"/>
              <w:left w:val="nil"/>
              <w:bottom w:val="nil"/>
              <w:right w:val="nil"/>
            </w:tcBorders>
            <w:shd w:val="clear" w:color="auto" w:fill="auto"/>
          </w:tcPr>
          <w:p w14:paraId="51E74055"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0.307</w:t>
            </w:r>
          </w:p>
        </w:tc>
        <w:tc>
          <w:tcPr>
            <w:tcW w:w="1545" w:type="dxa"/>
            <w:tcBorders>
              <w:top w:val="nil"/>
              <w:left w:val="nil"/>
              <w:bottom w:val="nil"/>
              <w:right w:val="nil"/>
            </w:tcBorders>
            <w:shd w:val="clear" w:color="auto" w:fill="auto"/>
          </w:tcPr>
          <w:p w14:paraId="2F9BCC01"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06EE1503"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76A8D4FA" w14:textId="77777777" w:rsidR="00E5404E" w:rsidRPr="00E317DE" w:rsidRDefault="00E5404E" w:rsidP="00E317DE">
            <w:pPr>
              <w:pStyle w:val="NoSpacing"/>
              <w:rPr>
                <w:rFonts w:ascii="Arial" w:hAnsi="Arial"/>
                <w:sz w:val="18"/>
                <w:szCs w:val="18"/>
                <w:lang w:val="en-GB"/>
              </w:rPr>
            </w:pPr>
          </w:p>
        </w:tc>
      </w:tr>
      <w:tr w:rsidR="00E5404E" w:rsidRPr="00AB0EA5" w14:paraId="6B050C94"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711A553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School infrastructure</w:t>
            </w:r>
          </w:p>
        </w:tc>
        <w:tc>
          <w:tcPr>
            <w:tcW w:w="1440" w:type="dxa"/>
            <w:tcBorders>
              <w:top w:val="nil"/>
              <w:left w:val="nil"/>
              <w:bottom w:val="nil"/>
              <w:right w:val="nil"/>
            </w:tcBorders>
            <w:shd w:val="clear" w:color="auto" w:fill="auto"/>
          </w:tcPr>
          <w:p w14:paraId="1A445D9A"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4.58</w:t>
            </w:r>
          </w:p>
        </w:tc>
        <w:tc>
          <w:tcPr>
            <w:tcW w:w="1065" w:type="dxa"/>
            <w:tcBorders>
              <w:top w:val="nil"/>
              <w:left w:val="nil"/>
              <w:bottom w:val="nil"/>
              <w:right w:val="nil"/>
            </w:tcBorders>
            <w:shd w:val="clear" w:color="auto" w:fill="auto"/>
          </w:tcPr>
          <w:p w14:paraId="4BC79404"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0.329</w:t>
            </w:r>
          </w:p>
        </w:tc>
        <w:tc>
          <w:tcPr>
            <w:tcW w:w="1545" w:type="dxa"/>
            <w:tcBorders>
              <w:top w:val="nil"/>
              <w:left w:val="nil"/>
              <w:bottom w:val="nil"/>
              <w:right w:val="nil"/>
            </w:tcBorders>
            <w:shd w:val="clear" w:color="auto" w:fill="auto"/>
          </w:tcPr>
          <w:p w14:paraId="42864AB3"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34EC886C"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713A7771" w14:textId="77777777" w:rsidR="00E5404E" w:rsidRPr="00E317DE" w:rsidRDefault="00E5404E" w:rsidP="00E317DE">
            <w:pPr>
              <w:pStyle w:val="NoSpacing"/>
              <w:rPr>
                <w:rFonts w:ascii="Arial" w:hAnsi="Arial"/>
                <w:sz w:val="18"/>
                <w:szCs w:val="18"/>
                <w:lang w:val="en-GB"/>
              </w:rPr>
            </w:pPr>
          </w:p>
        </w:tc>
      </w:tr>
      <w:tr w:rsidR="00E5404E" w:rsidRPr="00AB0EA5" w14:paraId="6A223940"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3BC08493"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Teacher attitude</w:t>
            </w:r>
          </w:p>
        </w:tc>
        <w:tc>
          <w:tcPr>
            <w:tcW w:w="1440" w:type="dxa"/>
            <w:tcBorders>
              <w:top w:val="nil"/>
              <w:left w:val="nil"/>
              <w:bottom w:val="nil"/>
              <w:right w:val="nil"/>
            </w:tcBorders>
            <w:shd w:val="clear" w:color="auto" w:fill="auto"/>
          </w:tcPr>
          <w:p w14:paraId="63AACA2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4.03</w:t>
            </w:r>
          </w:p>
        </w:tc>
        <w:tc>
          <w:tcPr>
            <w:tcW w:w="1065" w:type="dxa"/>
            <w:tcBorders>
              <w:top w:val="nil"/>
              <w:left w:val="nil"/>
              <w:bottom w:val="nil"/>
              <w:right w:val="nil"/>
            </w:tcBorders>
            <w:shd w:val="clear" w:color="auto" w:fill="auto"/>
          </w:tcPr>
          <w:p w14:paraId="2A1A105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0.000</w:t>
            </w:r>
          </w:p>
        </w:tc>
        <w:tc>
          <w:tcPr>
            <w:tcW w:w="1545" w:type="dxa"/>
            <w:tcBorders>
              <w:top w:val="nil"/>
              <w:left w:val="nil"/>
              <w:bottom w:val="nil"/>
              <w:right w:val="nil"/>
            </w:tcBorders>
            <w:shd w:val="clear" w:color="auto" w:fill="auto"/>
          </w:tcPr>
          <w:p w14:paraId="44F188BC"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011777CE"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7C5BD5B3" w14:textId="77777777" w:rsidR="00E5404E" w:rsidRPr="00E317DE" w:rsidRDefault="00E5404E" w:rsidP="00E317DE">
            <w:pPr>
              <w:pStyle w:val="NoSpacing"/>
              <w:rPr>
                <w:rFonts w:ascii="Arial" w:hAnsi="Arial"/>
                <w:sz w:val="18"/>
                <w:szCs w:val="18"/>
                <w:lang w:val="en-GB"/>
              </w:rPr>
            </w:pPr>
          </w:p>
        </w:tc>
      </w:tr>
    </w:tbl>
    <w:p w14:paraId="7B05056C" w14:textId="2C7531A5" w:rsidR="00E317DE" w:rsidRDefault="00E5404E" w:rsidP="00E317DE">
      <w:pPr>
        <w:pStyle w:val="Body"/>
        <w:spacing w:before="120" w:after="120"/>
        <w:rPr>
          <w:rFonts w:ascii="Arial" w:hAnsi="Arial" w:cs="Arial"/>
          <w:sz w:val="22"/>
          <w:szCs w:val="22"/>
        </w:rPr>
      </w:pPr>
      <w:r w:rsidRPr="00AB0EA5">
        <w:rPr>
          <w:rFonts w:ascii="Arial" w:hAnsi="Arial" w:cs="Arial"/>
          <w:sz w:val="22"/>
          <w:szCs w:val="22"/>
        </w:rPr>
        <w:t xml:space="preserve">The analysis demonstrated that teacher attitude was ranked as the most crucial factor affecting performance, emphasizing the significant influence of teachers on the educational outcomes of girls. Other critical factors included teaching methods, motivation, and school infrastructure. highlighting areas that might require less immediate intervention. These findings underscore the importance of enhancing teacher-related factors and improving school resources to foster better academic outcomes for girls. Teacher qualification is challenged by the suggestion of having the teachers with emotional supporting skills to support the girls. Beyond the experts of teachers in different domain, the emotions supporting skills is needed in school environment. </w:t>
      </w:r>
    </w:p>
    <w:p w14:paraId="4D26FA08" w14:textId="74A9B27B" w:rsidR="00E5404E" w:rsidRPr="00E317DE" w:rsidRDefault="00E5404E" w:rsidP="00E317DE">
      <w:pPr>
        <w:pStyle w:val="Body"/>
        <w:spacing w:before="120" w:after="120"/>
        <w:rPr>
          <w:rFonts w:ascii="Arial" w:hAnsi="Arial" w:cs="Arial"/>
          <w:sz w:val="22"/>
          <w:szCs w:val="22"/>
        </w:rPr>
      </w:pPr>
      <w:r w:rsidRPr="00AB0EA5">
        <w:rPr>
          <w:rFonts w:ascii="Arial" w:hAnsi="Arial" w:cs="Arial"/>
          <w:sz w:val="22"/>
          <w:szCs w:val="22"/>
        </w:rPr>
        <w:t xml:space="preserve">School is an environment that plays a pivotal role in determining students’ academic performance. In this study, teacher attitudes emerged as the most critical factor affecting academic performance. The girls who felt that are </w:t>
      </w:r>
      <w:proofErr w:type="gramStart"/>
      <w:r w:rsidRPr="00AB0EA5">
        <w:rPr>
          <w:rFonts w:ascii="Arial" w:hAnsi="Arial" w:cs="Arial"/>
          <w:sz w:val="22"/>
          <w:szCs w:val="22"/>
        </w:rPr>
        <w:t>considered  and</w:t>
      </w:r>
      <w:proofErr w:type="gramEnd"/>
      <w:r w:rsidRPr="00AB0EA5">
        <w:rPr>
          <w:rFonts w:ascii="Arial" w:hAnsi="Arial" w:cs="Arial"/>
          <w:sz w:val="22"/>
          <w:szCs w:val="22"/>
        </w:rPr>
        <w:t xml:space="preserve"> encouraged by their teachers performed better.</w:t>
      </w:r>
      <w:r w:rsidRPr="00E317DE">
        <w:rPr>
          <w:rFonts w:ascii="Arial" w:hAnsi="Arial" w:cs="Arial"/>
          <w:sz w:val="22"/>
          <w:szCs w:val="22"/>
        </w:rPr>
        <w:t xml:space="preserve"> Francis and Skelton (2005) Findings revealed that emotionally supportive environments, clear academic expectations, and positive peer dynamics significantly enhanced girls' motivation and performance.</w:t>
      </w:r>
    </w:p>
    <w:p w14:paraId="6B52EE67" w14:textId="77777777" w:rsidR="00E5404E" w:rsidRPr="00E317DE" w:rsidRDefault="00E5404E" w:rsidP="00E317DE">
      <w:pPr>
        <w:pStyle w:val="Body"/>
        <w:spacing w:before="120" w:after="120"/>
        <w:rPr>
          <w:rFonts w:ascii="Arial" w:hAnsi="Arial" w:cs="Arial"/>
          <w:sz w:val="22"/>
          <w:szCs w:val="22"/>
        </w:rPr>
      </w:pPr>
      <w:r w:rsidRPr="00E317DE">
        <w:rPr>
          <w:rFonts w:ascii="Arial" w:hAnsi="Arial" w:cs="Arial"/>
          <w:sz w:val="22"/>
          <w:szCs w:val="22"/>
        </w:rPr>
        <w:t>The school infrastructure, teaching methods were the points to look at while thinking about the academic performance of girls. Hall &amp; Adams (2017) found that the availability of extracurricular activities, a safe and welcoming physical environment, and strong emotional support from teachers were key factors that improved the academic performance of girls.</w:t>
      </w:r>
    </w:p>
    <w:p w14:paraId="6790DC07" w14:textId="77777777" w:rsidR="00E5404E" w:rsidRPr="00E317DE" w:rsidRDefault="00747334" w:rsidP="00E317DE">
      <w:pPr>
        <w:pStyle w:val="Body"/>
        <w:spacing w:before="120" w:after="120"/>
        <w:rPr>
          <w:rFonts w:ascii="Arial" w:hAnsi="Arial" w:cs="Arial"/>
          <w:sz w:val="22"/>
          <w:szCs w:val="22"/>
        </w:rPr>
      </w:pPr>
      <w:r w:rsidRPr="00E317DE">
        <w:rPr>
          <w:rFonts w:ascii="Arial" w:hAnsi="Arial" w:cs="Arial"/>
          <w:sz w:val="22"/>
          <w:szCs w:val="22"/>
        </w:rPr>
        <w:t>Briefly, the</w:t>
      </w:r>
      <w:r w:rsidR="00E5404E" w:rsidRPr="00E317DE">
        <w:rPr>
          <w:rFonts w:ascii="Arial" w:hAnsi="Arial" w:cs="Arial"/>
          <w:sz w:val="22"/>
          <w:szCs w:val="22"/>
        </w:rPr>
        <w:t xml:space="preserve"> emotional and social aspects of the school environment are crucial for the academic success of girls. Girls who had positive relationships with teachers, they felt safe at school and performed better. Schools should promote emotional support programs and peer mentorship to improve the academic performance of girls as suggested by Mugisha &amp; L. K. </w:t>
      </w:r>
      <w:proofErr w:type="spellStart"/>
      <w:r w:rsidR="00E5404E" w:rsidRPr="00E317DE">
        <w:rPr>
          <w:rFonts w:ascii="Arial" w:hAnsi="Arial" w:cs="Arial"/>
          <w:sz w:val="22"/>
          <w:szCs w:val="22"/>
        </w:rPr>
        <w:t>Twizeyimana</w:t>
      </w:r>
      <w:proofErr w:type="spellEnd"/>
      <w:r w:rsidR="00E5404E" w:rsidRPr="00E317DE">
        <w:rPr>
          <w:rFonts w:ascii="Arial" w:hAnsi="Arial" w:cs="Arial"/>
          <w:sz w:val="22"/>
          <w:szCs w:val="22"/>
        </w:rPr>
        <w:t xml:space="preserve"> (2023</w:t>
      </w:r>
      <w:proofErr w:type="gramStart"/>
      <w:r w:rsidR="00E5404E" w:rsidRPr="00E317DE">
        <w:rPr>
          <w:rFonts w:ascii="Arial" w:hAnsi="Arial" w:cs="Arial"/>
          <w:sz w:val="22"/>
          <w:szCs w:val="22"/>
        </w:rPr>
        <w:t>) .</w:t>
      </w:r>
      <w:proofErr w:type="gramEnd"/>
    </w:p>
    <w:p w14:paraId="3B55E710" w14:textId="77777777" w:rsidR="00E5404E" w:rsidRPr="00E317DE" w:rsidRDefault="00E5404E" w:rsidP="00E317DE">
      <w:pPr>
        <w:pStyle w:val="Body"/>
        <w:spacing w:before="120" w:after="120"/>
        <w:rPr>
          <w:rFonts w:ascii="Arial" w:hAnsi="Arial" w:cs="Arial"/>
          <w:sz w:val="22"/>
          <w:szCs w:val="22"/>
        </w:rPr>
      </w:pPr>
      <w:r w:rsidRPr="00E317DE">
        <w:rPr>
          <w:rFonts w:ascii="Arial" w:hAnsi="Arial" w:cs="Arial"/>
          <w:sz w:val="22"/>
          <w:szCs w:val="22"/>
        </w:rPr>
        <w:t xml:space="preserve">The bachelors’ holders are a crew of teachers in </w:t>
      </w:r>
      <w:proofErr w:type="spellStart"/>
      <w:r w:rsidRPr="00E317DE">
        <w:rPr>
          <w:rFonts w:ascii="Arial" w:hAnsi="Arial" w:cs="Arial"/>
          <w:sz w:val="22"/>
          <w:szCs w:val="22"/>
        </w:rPr>
        <w:t>Nyruguru</w:t>
      </w:r>
      <w:proofErr w:type="spellEnd"/>
      <w:r w:rsidRPr="00E317DE">
        <w:rPr>
          <w:rFonts w:ascii="Arial" w:hAnsi="Arial" w:cs="Arial"/>
          <w:sz w:val="22"/>
          <w:szCs w:val="22"/>
        </w:rPr>
        <w:t xml:space="preserve"> District as it was revealed by the study. And It did not be a point of discussion as the teacher’s recruitment process is clear.</w:t>
      </w:r>
    </w:p>
    <w:p w14:paraId="18435F7B" w14:textId="3800609F" w:rsidR="00E5404E" w:rsidRPr="00AB0EA5" w:rsidRDefault="00E5404E" w:rsidP="00E317DE">
      <w:pPr>
        <w:pStyle w:val="Body"/>
        <w:spacing w:before="120" w:after="120"/>
        <w:rPr>
          <w:rFonts w:ascii="Arial" w:hAnsi="Arial" w:cs="Arial"/>
          <w:sz w:val="22"/>
          <w:szCs w:val="22"/>
        </w:rPr>
      </w:pPr>
      <w:r w:rsidRPr="00E317DE">
        <w:rPr>
          <w:rFonts w:ascii="Arial" w:hAnsi="Arial" w:cs="Arial"/>
          <w:sz w:val="22"/>
          <w:szCs w:val="22"/>
        </w:rPr>
        <w:t xml:space="preserve">Almost scholars recommended the addition trainings to the teacher for instance </w:t>
      </w:r>
      <w:proofErr w:type="spellStart"/>
      <w:r w:rsidRPr="00E317DE">
        <w:rPr>
          <w:rFonts w:ascii="Arial" w:hAnsi="Arial" w:cs="Arial"/>
          <w:sz w:val="22"/>
          <w:szCs w:val="22"/>
        </w:rPr>
        <w:t>Kalkan</w:t>
      </w:r>
      <w:proofErr w:type="spellEnd"/>
      <w:r w:rsidRPr="00E317DE">
        <w:rPr>
          <w:rFonts w:ascii="Arial" w:hAnsi="Arial" w:cs="Arial"/>
          <w:sz w:val="22"/>
          <w:szCs w:val="22"/>
        </w:rPr>
        <w:t xml:space="preserve"> and </w:t>
      </w:r>
      <w:proofErr w:type="spellStart"/>
      <w:r w:rsidRPr="00E317DE">
        <w:rPr>
          <w:rFonts w:ascii="Arial" w:hAnsi="Arial" w:cs="Arial"/>
          <w:sz w:val="22"/>
          <w:szCs w:val="22"/>
        </w:rPr>
        <w:t>Dağlı</w:t>
      </w:r>
      <w:proofErr w:type="spellEnd"/>
      <w:r w:rsidRPr="00E317DE">
        <w:rPr>
          <w:rFonts w:ascii="Arial" w:hAnsi="Arial" w:cs="Arial"/>
          <w:sz w:val="22"/>
          <w:szCs w:val="22"/>
        </w:rPr>
        <w:t xml:space="preserve"> (2021) recommended the schools to invest in teacher training programs focused on emotional intelligence and student engagement support. In other words, the teachers are not familiarly with psychosocial support techniques.</w:t>
      </w:r>
    </w:p>
    <w:p w14:paraId="6BB2B08C" w14:textId="77777777" w:rsidR="00B01FCD" w:rsidRPr="00AB0EA5" w:rsidRDefault="00000F8F" w:rsidP="00E317DE">
      <w:pPr>
        <w:pStyle w:val="ConcHead"/>
        <w:spacing w:before="120" w:after="120"/>
        <w:jc w:val="both"/>
        <w:rPr>
          <w:rFonts w:ascii="Arial" w:hAnsi="Arial" w:cs="Arial"/>
          <w:szCs w:val="22"/>
        </w:rPr>
      </w:pPr>
      <w:r w:rsidRPr="00AB0EA5">
        <w:rPr>
          <w:rFonts w:ascii="Arial" w:hAnsi="Arial" w:cs="Arial"/>
          <w:szCs w:val="22"/>
        </w:rPr>
        <w:t xml:space="preserve">4. </w:t>
      </w:r>
      <w:r w:rsidR="00B01FCD" w:rsidRPr="00AB0EA5">
        <w:rPr>
          <w:rFonts w:ascii="Arial" w:hAnsi="Arial" w:cs="Arial"/>
          <w:szCs w:val="22"/>
        </w:rPr>
        <w:t>Conclusion</w:t>
      </w:r>
    </w:p>
    <w:p w14:paraId="412BD3E9" w14:textId="77777777" w:rsidR="00BB01D3" w:rsidRPr="00E317DE" w:rsidRDefault="00BB01D3" w:rsidP="00E317DE">
      <w:pPr>
        <w:pStyle w:val="Body"/>
        <w:spacing w:before="120" w:after="120"/>
        <w:rPr>
          <w:rFonts w:ascii="Arial" w:hAnsi="Arial" w:cs="Arial"/>
          <w:sz w:val="22"/>
          <w:szCs w:val="22"/>
        </w:rPr>
      </w:pPr>
      <w:r w:rsidRPr="00AB0EA5">
        <w:rPr>
          <w:rFonts w:ascii="Arial" w:hAnsi="Arial" w:cs="Arial"/>
          <w:sz w:val="22"/>
          <w:szCs w:val="22"/>
        </w:rPr>
        <w:t xml:space="preserve">To conclude, the research findings of the study on the impact of the school learning environment on the academic performance of girls, respondents reported that the qualification of teaching personnel with chi-square of 137.9 which is positive as more than 50% of teachers are bachelor degree holder. Teachers need the professional training specifically </w:t>
      </w:r>
      <w:r w:rsidRPr="00E317DE">
        <w:rPr>
          <w:rFonts w:ascii="Arial" w:hAnsi="Arial" w:cs="Arial"/>
          <w:sz w:val="22"/>
          <w:szCs w:val="22"/>
        </w:rPr>
        <w:t xml:space="preserve">on how to offer emotional support to girls as it is crucial for them. The teaching methods need an improvement, the girl’s sensitiveness needs to be incorporated in teaching methodology to help them feeling their value. It has been observed that supportive teacher-student relationships, the motivating environment brought the positive result from girls’ academic performance. The school infrastructure brought attention of </w:t>
      </w:r>
      <w:r w:rsidRPr="00E317DE">
        <w:rPr>
          <w:rFonts w:ascii="Arial" w:hAnsi="Arial" w:cs="Arial"/>
          <w:sz w:val="22"/>
          <w:szCs w:val="22"/>
        </w:rPr>
        <w:lastRenderedPageBreak/>
        <w:t xml:space="preserve">scholars as the factor influencing the academic performance of girls when the school is equipped with good infrastructure, the academic performance is high. The teachers’ attitude toward girls </w:t>
      </w:r>
      <w:r w:rsidRPr="00AB0EA5">
        <w:rPr>
          <w:rFonts w:ascii="Arial" w:hAnsi="Arial" w:cs="Arial"/>
          <w:sz w:val="22"/>
          <w:szCs w:val="22"/>
        </w:rPr>
        <w:t>was ranked as the most crucial factor affecting their performance.</w:t>
      </w:r>
      <w:r w:rsidRPr="00E317DE">
        <w:rPr>
          <w:rFonts w:ascii="Arial" w:hAnsi="Arial" w:cs="Arial"/>
          <w:sz w:val="22"/>
          <w:szCs w:val="22"/>
        </w:rPr>
        <w:t xml:space="preserve"> invest in professional development for teachers to foster positive relationships with students is needed for assisting the girls. </w:t>
      </w:r>
    </w:p>
    <w:p w14:paraId="496D5E98" w14:textId="77777777" w:rsidR="00BB01D3" w:rsidRPr="00E317DE" w:rsidRDefault="00BB01D3" w:rsidP="00E317DE">
      <w:pPr>
        <w:pStyle w:val="Body"/>
        <w:spacing w:before="120" w:after="120"/>
        <w:rPr>
          <w:rFonts w:ascii="Arial" w:hAnsi="Arial" w:cs="Arial"/>
          <w:sz w:val="22"/>
          <w:szCs w:val="22"/>
        </w:rPr>
      </w:pPr>
      <w:r w:rsidRPr="00E317DE">
        <w:rPr>
          <w:rFonts w:ascii="Arial" w:hAnsi="Arial" w:cs="Arial"/>
          <w:sz w:val="22"/>
          <w:szCs w:val="22"/>
        </w:rPr>
        <w:t xml:space="preserve">clear </w:t>
      </w:r>
      <w:proofErr w:type="spellStart"/>
      <w:r w:rsidRPr="00E317DE">
        <w:rPr>
          <w:rFonts w:ascii="Arial" w:hAnsi="Arial" w:cs="Arial"/>
          <w:sz w:val="22"/>
          <w:szCs w:val="22"/>
        </w:rPr>
        <w:t>behavioural</w:t>
      </w:r>
      <w:proofErr w:type="spellEnd"/>
      <w:r w:rsidRPr="00E317DE">
        <w:rPr>
          <w:rFonts w:ascii="Arial" w:hAnsi="Arial" w:cs="Arial"/>
          <w:sz w:val="22"/>
          <w:szCs w:val="22"/>
        </w:rPr>
        <w:t xml:space="preserve"> and academic expectations should be communicated to the students to maintain the learning objectives achieved.</w:t>
      </w:r>
    </w:p>
    <w:p w14:paraId="3DD65D91" w14:textId="1F0ED336" w:rsidR="00371FB6" w:rsidRPr="00E317DE" w:rsidRDefault="00BB01D3" w:rsidP="00E317DE">
      <w:pPr>
        <w:pStyle w:val="Body"/>
        <w:spacing w:before="120" w:after="120"/>
        <w:rPr>
          <w:rFonts w:ascii="Arial" w:hAnsi="Arial" w:cs="Arial"/>
          <w:sz w:val="22"/>
          <w:szCs w:val="22"/>
        </w:rPr>
      </w:pPr>
      <w:r w:rsidRPr="00E317DE">
        <w:rPr>
          <w:rFonts w:ascii="Arial" w:hAnsi="Arial" w:cs="Arial"/>
          <w:sz w:val="22"/>
          <w:szCs w:val="22"/>
        </w:rPr>
        <w:t>Mental health resources should also be integrated into the school environment to support students' emotional well-being</w:t>
      </w:r>
      <w:r w:rsidR="00E317DE">
        <w:rPr>
          <w:rFonts w:ascii="Arial" w:hAnsi="Arial" w:cs="Arial"/>
          <w:sz w:val="22"/>
          <w:szCs w:val="22"/>
        </w:rPr>
        <w:t>.</w:t>
      </w:r>
    </w:p>
    <w:p w14:paraId="6352921D" w14:textId="77777777" w:rsidR="007F68D1" w:rsidRDefault="007F68D1" w:rsidP="00441B6F">
      <w:pPr>
        <w:pStyle w:val="ReferHead"/>
        <w:spacing w:after="0"/>
        <w:jc w:val="both"/>
        <w:rPr>
          <w:rFonts w:ascii="Arial" w:hAnsi="Arial" w:cs="Arial"/>
          <w:szCs w:val="22"/>
        </w:rPr>
      </w:pPr>
    </w:p>
    <w:p w14:paraId="198AF8B6" w14:textId="77777777" w:rsidR="00B01FCD" w:rsidRPr="00AB0EA5" w:rsidRDefault="00B01FCD" w:rsidP="00441B6F">
      <w:pPr>
        <w:pStyle w:val="ReferHead"/>
        <w:spacing w:after="0"/>
        <w:jc w:val="both"/>
        <w:rPr>
          <w:rFonts w:ascii="Arial" w:hAnsi="Arial" w:cs="Arial"/>
          <w:szCs w:val="22"/>
        </w:rPr>
      </w:pPr>
      <w:r w:rsidRPr="00AB0EA5">
        <w:rPr>
          <w:rFonts w:ascii="Arial" w:hAnsi="Arial" w:cs="Arial"/>
          <w:szCs w:val="22"/>
        </w:rPr>
        <w:t>References</w:t>
      </w:r>
    </w:p>
    <w:p w14:paraId="03741B43" w14:textId="77777777" w:rsidR="00B61367" w:rsidRPr="00AB0EA5" w:rsidRDefault="00B61367" w:rsidP="00441B6F">
      <w:pPr>
        <w:pStyle w:val="ReferHead"/>
        <w:spacing w:after="0"/>
        <w:jc w:val="both"/>
        <w:rPr>
          <w:rFonts w:ascii="Arial" w:hAnsi="Arial" w:cs="Arial"/>
          <w:szCs w:val="22"/>
        </w:rPr>
      </w:pPr>
    </w:p>
    <w:p w14:paraId="18469536" w14:textId="77777777" w:rsidR="00B61367" w:rsidRPr="00E317DE" w:rsidRDefault="00B61367" w:rsidP="00E317DE">
      <w:pPr>
        <w:pStyle w:val="Bibliography"/>
        <w:spacing w:before="120" w:after="120" w:line="240" w:lineRule="auto"/>
        <w:ind w:left="720" w:hanging="720"/>
        <w:jc w:val="both"/>
        <w:rPr>
          <w:rFonts w:ascii="Abadi" w:hAnsi="Abadi"/>
          <w:sz w:val="20"/>
          <w:szCs w:val="20"/>
        </w:rPr>
      </w:pPr>
      <w:r w:rsidRPr="00E317DE">
        <w:rPr>
          <w:rFonts w:ascii="Abadi" w:hAnsi="Abadi"/>
          <w:sz w:val="20"/>
          <w:szCs w:val="20"/>
        </w:rPr>
        <w:t xml:space="preserve">Patel, R., &amp; Shah, S. (2018). Gender, education, and development: A critical analysis of sub-Saharan Africa. </w:t>
      </w:r>
      <w:r w:rsidRPr="00E317DE">
        <w:rPr>
          <w:rFonts w:ascii="Abadi" w:hAnsi="Abadi"/>
          <w:i/>
          <w:iCs/>
          <w:sz w:val="20"/>
          <w:szCs w:val="20"/>
        </w:rPr>
        <w:t>Journal of International Development, 30</w:t>
      </w:r>
      <w:r w:rsidRPr="00E317DE">
        <w:rPr>
          <w:rFonts w:ascii="Abadi" w:hAnsi="Abadi"/>
          <w:sz w:val="20"/>
          <w:szCs w:val="20"/>
        </w:rPr>
        <w:t>(4), 555–570.</w:t>
      </w:r>
    </w:p>
    <w:p w14:paraId="66D6F11C" w14:textId="77777777" w:rsidR="00B61367" w:rsidRPr="00E317DE" w:rsidRDefault="00B61367" w:rsidP="00E317DE">
      <w:pPr>
        <w:pStyle w:val="Bibliography"/>
        <w:spacing w:before="120" w:after="120" w:line="240" w:lineRule="auto"/>
        <w:ind w:left="720" w:hanging="720"/>
        <w:jc w:val="both"/>
        <w:rPr>
          <w:rFonts w:ascii="Abadi" w:hAnsi="Abadi"/>
          <w:sz w:val="20"/>
          <w:szCs w:val="20"/>
          <w:lang w:val="en-US"/>
        </w:rPr>
      </w:pPr>
      <w:r w:rsidRPr="00E317DE">
        <w:rPr>
          <w:rFonts w:ascii="Abadi" w:hAnsi="Abadi"/>
          <w:sz w:val="20"/>
          <w:szCs w:val="20"/>
          <w:lang w:val="en-US"/>
        </w:rPr>
        <w:t xml:space="preserve">Cooper, R. M., &amp; Green, S. K. (2020). The relationship between school support and academic attitudes of vulnerable girls in the UK. </w:t>
      </w:r>
      <w:r w:rsidRPr="00E317DE">
        <w:rPr>
          <w:rFonts w:ascii="Abadi" w:hAnsi="Abadi"/>
          <w:i/>
          <w:iCs/>
          <w:sz w:val="20"/>
          <w:szCs w:val="20"/>
          <w:lang w:val="en-US"/>
        </w:rPr>
        <w:t>British Educational Research Journal,</w:t>
      </w:r>
      <w:r w:rsidRPr="00E317DE">
        <w:rPr>
          <w:rFonts w:ascii="Abadi" w:hAnsi="Abadi"/>
          <w:sz w:val="20"/>
          <w:szCs w:val="20"/>
          <w:lang w:val="en-US"/>
        </w:rPr>
        <w:t xml:space="preserve"> 46(3), 477–490.</w:t>
      </w:r>
    </w:p>
    <w:p w14:paraId="5EECBDB9" w14:textId="77777777" w:rsidR="00B61367" w:rsidRPr="00E317DE" w:rsidRDefault="00B61367" w:rsidP="00E317DE">
      <w:pPr>
        <w:pStyle w:val="Bibliography"/>
        <w:spacing w:before="120" w:after="120" w:line="240" w:lineRule="auto"/>
        <w:ind w:left="720" w:hanging="720"/>
        <w:jc w:val="both"/>
        <w:rPr>
          <w:rFonts w:ascii="Abadi" w:hAnsi="Abadi"/>
          <w:sz w:val="20"/>
          <w:szCs w:val="20"/>
          <w:lang w:val="en-US"/>
        </w:rPr>
      </w:pPr>
      <w:r w:rsidRPr="00E317DE">
        <w:rPr>
          <w:rFonts w:ascii="Abadi" w:hAnsi="Abadi"/>
          <w:sz w:val="20"/>
          <w:szCs w:val="20"/>
          <w:lang w:val="en-US"/>
        </w:rPr>
        <w:t xml:space="preserve">Hall, P. R., &amp; Adams, C. M. (2017). Attitudes of vulnerable girls towards their academic performance: A study in Australia. </w:t>
      </w:r>
      <w:r w:rsidRPr="00E317DE">
        <w:rPr>
          <w:rFonts w:ascii="Abadi" w:hAnsi="Abadi"/>
          <w:i/>
          <w:iCs/>
          <w:sz w:val="20"/>
          <w:szCs w:val="20"/>
          <w:lang w:val="en-US"/>
        </w:rPr>
        <w:t>Australian Educational Researcher,</w:t>
      </w:r>
      <w:r w:rsidRPr="00E317DE">
        <w:rPr>
          <w:rFonts w:ascii="Abadi" w:hAnsi="Abadi"/>
          <w:sz w:val="20"/>
          <w:szCs w:val="20"/>
          <w:lang w:val="en-US"/>
        </w:rPr>
        <w:t xml:space="preserve"> 44(2), 203–215.</w:t>
      </w:r>
    </w:p>
    <w:p w14:paraId="3B375A65" w14:textId="77777777" w:rsidR="00B61367" w:rsidRPr="00E317DE" w:rsidRDefault="00B61367" w:rsidP="00E317DE">
      <w:pPr>
        <w:pStyle w:val="Bibliography"/>
        <w:spacing w:before="120" w:after="120" w:line="240" w:lineRule="auto"/>
        <w:ind w:left="720" w:hanging="720"/>
        <w:jc w:val="both"/>
        <w:rPr>
          <w:rFonts w:ascii="Abadi" w:hAnsi="Abadi"/>
          <w:sz w:val="20"/>
          <w:szCs w:val="20"/>
        </w:rPr>
      </w:pPr>
      <w:r w:rsidRPr="00E317DE">
        <w:rPr>
          <w:rFonts w:ascii="Abadi" w:hAnsi="Abadi"/>
          <w:sz w:val="20"/>
          <w:szCs w:val="20"/>
        </w:rPr>
        <w:t xml:space="preserve">Mugisha, J., &amp; </w:t>
      </w:r>
      <w:proofErr w:type="spellStart"/>
      <w:r w:rsidRPr="00E317DE">
        <w:rPr>
          <w:rFonts w:ascii="Abadi" w:hAnsi="Abadi"/>
          <w:sz w:val="20"/>
          <w:szCs w:val="20"/>
        </w:rPr>
        <w:t>Twizeyimana</w:t>
      </w:r>
      <w:proofErr w:type="spellEnd"/>
      <w:r w:rsidRPr="00E317DE">
        <w:rPr>
          <w:rFonts w:ascii="Abadi" w:hAnsi="Abadi"/>
          <w:sz w:val="20"/>
          <w:szCs w:val="20"/>
        </w:rPr>
        <w:t xml:space="preserve">, L. K. (2023). Teachers' roles in fostering inclusive education in Rwanda. </w:t>
      </w:r>
      <w:r w:rsidRPr="00E317DE">
        <w:rPr>
          <w:rFonts w:ascii="Abadi" w:hAnsi="Abadi"/>
          <w:i/>
          <w:iCs/>
          <w:sz w:val="20"/>
          <w:szCs w:val="20"/>
        </w:rPr>
        <w:t>Journal of Educational Research and Practice, 14</w:t>
      </w:r>
      <w:r w:rsidRPr="00E317DE">
        <w:rPr>
          <w:rFonts w:ascii="Abadi" w:hAnsi="Abadi"/>
          <w:sz w:val="20"/>
          <w:szCs w:val="20"/>
        </w:rPr>
        <w:t>(1), 101–114.</w:t>
      </w:r>
    </w:p>
    <w:p w14:paraId="559395A7" w14:textId="77777777" w:rsidR="00B61367" w:rsidRPr="00E317DE" w:rsidRDefault="00B61367" w:rsidP="00E317DE">
      <w:pPr>
        <w:pStyle w:val="Bibliography"/>
        <w:spacing w:before="120" w:after="120" w:line="240" w:lineRule="auto"/>
        <w:ind w:left="720" w:hanging="720"/>
        <w:jc w:val="both"/>
        <w:rPr>
          <w:rFonts w:ascii="Abadi" w:hAnsi="Abadi"/>
          <w:sz w:val="20"/>
          <w:szCs w:val="20"/>
        </w:rPr>
      </w:pPr>
      <w:r w:rsidRPr="00E317DE">
        <w:rPr>
          <w:rFonts w:ascii="Abadi" w:hAnsi="Abadi"/>
          <w:sz w:val="20"/>
          <w:szCs w:val="20"/>
        </w:rPr>
        <w:t xml:space="preserve">Bronfenbrenner, U. (1979). </w:t>
      </w:r>
      <w:r w:rsidRPr="00E317DE">
        <w:rPr>
          <w:rFonts w:ascii="Abadi" w:hAnsi="Abadi"/>
          <w:i/>
          <w:iCs/>
          <w:sz w:val="20"/>
          <w:szCs w:val="20"/>
        </w:rPr>
        <w:t>The ecology of human development: Experiments by nature and design</w:t>
      </w:r>
      <w:r w:rsidRPr="00E317DE">
        <w:rPr>
          <w:rFonts w:ascii="Abadi" w:hAnsi="Abadi"/>
          <w:sz w:val="20"/>
          <w:szCs w:val="20"/>
        </w:rPr>
        <w:t>. Harvard University Press.</w:t>
      </w:r>
    </w:p>
    <w:p w14:paraId="19E11404" w14:textId="77777777" w:rsidR="00B61367" w:rsidRPr="00E317DE" w:rsidRDefault="00B61367" w:rsidP="00E317DE">
      <w:pPr>
        <w:spacing w:before="120" w:after="120"/>
        <w:ind w:left="720" w:hanging="720"/>
        <w:jc w:val="both"/>
        <w:rPr>
          <w:rFonts w:ascii="Abadi" w:hAnsi="Abadi" w:cs="Arial"/>
        </w:rPr>
      </w:pPr>
      <w:r w:rsidRPr="00E317DE">
        <w:rPr>
          <w:rFonts w:ascii="Abadi" w:hAnsi="Abadi" w:cs="Arial"/>
        </w:rPr>
        <w:t xml:space="preserve">Allen, K.-A., Kern, M. L., Donohue, L., &amp; Waters, L. (2020). Fostering school belonging in secondary schools using a socio-ecological framework: A meta-analysis. </w:t>
      </w:r>
      <w:r w:rsidRPr="00E317DE">
        <w:rPr>
          <w:rFonts w:ascii="Abadi" w:hAnsi="Abadi" w:cs="Arial"/>
          <w:i/>
          <w:iCs/>
        </w:rPr>
        <w:t>Educational Psychology Review, 32</w:t>
      </w:r>
      <w:r w:rsidRPr="00E317DE">
        <w:rPr>
          <w:rFonts w:ascii="Abadi" w:hAnsi="Abadi" w:cs="Arial"/>
        </w:rPr>
        <w:t>, 663–689. https://doi.org/10.1007/s10648-019-09463-3</w:t>
      </w:r>
    </w:p>
    <w:p w14:paraId="6AC9A9F4" w14:textId="77777777" w:rsidR="00B61367" w:rsidRPr="00E317DE" w:rsidRDefault="00B61367" w:rsidP="00E317DE">
      <w:pPr>
        <w:spacing w:before="120" w:after="120"/>
        <w:ind w:left="720" w:hanging="720"/>
        <w:jc w:val="both"/>
        <w:rPr>
          <w:rFonts w:ascii="Abadi" w:hAnsi="Abadi" w:cs="Arial"/>
        </w:rPr>
      </w:pPr>
      <w:r w:rsidRPr="00E317DE">
        <w:rPr>
          <w:rFonts w:ascii="Abadi" w:hAnsi="Abadi" w:cs="Arial"/>
        </w:rPr>
        <w:t xml:space="preserve">BMC Public Health. (2024). Influences of school climate on emotional health and academic achievement in India: A systematic review. </w:t>
      </w:r>
      <w:r w:rsidRPr="00E317DE">
        <w:rPr>
          <w:rFonts w:ascii="Abadi" w:hAnsi="Abadi" w:cs="Arial"/>
          <w:i/>
          <w:iCs/>
        </w:rPr>
        <w:t>BMC Public Health, 24</w:t>
      </w:r>
      <w:r w:rsidRPr="00E317DE">
        <w:rPr>
          <w:rFonts w:ascii="Abadi" w:hAnsi="Abadi" w:cs="Arial"/>
        </w:rPr>
        <w:t>, Article 21268. https://doi.org/10.1186/s12889-024-21268-0</w:t>
      </w:r>
    </w:p>
    <w:p w14:paraId="5589E0F0" w14:textId="77777777" w:rsidR="00B61367" w:rsidRPr="00E317DE" w:rsidRDefault="00B61367" w:rsidP="00E317DE">
      <w:pPr>
        <w:pStyle w:val="Bibliography"/>
        <w:spacing w:before="120" w:after="120" w:line="240" w:lineRule="auto"/>
        <w:ind w:left="720" w:hanging="720"/>
        <w:jc w:val="both"/>
        <w:rPr>
          <w:rFonts w:ascii="Abadi" w:hAnsi="Abadi"/>
          <w:sz w:val="20"/>
          <w:szCs w:val="20"/>
          <w:lang w:val="en-US"/>
        </w:rPr>
      </w:pPr>
      <w:r w:rsidRPr="00E317DE">
        <w:rPr>
          <w:rFonts w:ascii="Abadi" w:hAnsi="Abadi"/>
          <w:sz w:val="20"/>
          <w:szCs w:val="20"/>
          <w:lang w:val="en-US"/>
        </w:rPr>
        <w:t xml:space="preserve">Cooper, R. M., &amp; Green, S. K. (2020). The relationship between school support and academic attitudes of vulnerable girls in the UK. </w:t>
      </w:r>
      <w:r w:rsidRPr="00E317DE">
        <w:rPr>
          <w:rFonts w:ascii="Abadi" w:hAnsi="Abadi"/>
          <w:i/>
          <w:iCs/>
          <w:sz w:val="20"/>
          <w:szCs w:val="20"/>
          <w:lang w:val="en-US"/>
        </w:rPr>
        <w:t>British Educational Research Journal,</w:t>
      </w:r>
      <w:r w:rsidRPr="00E317DE">
        <w:rPr>
          <w:rFonts w:ascii="Abadi" w:hAnsi="Abadi"/>
          <w:sz w:val="20"/>
          <w:szCs w:val="20"/>
          <w:lang w:val="en-US"/>
        </w:rPr>
        <w:t xml:space="preserve"> 46(3), 477–490.</w:t>
      </w:r>
    </w:p>
    <w:p w14:paraId="25873539" w14:textId="77777777" w:rsidR="00B61367" w:rsidRPr="00E317DE" w:rsidRDefault="00B61367" w:rsidP="00E317DE">
      <w:pPr>
        <w:spacing w:before="120" w:after="120"/>
        <w:ind w:left="720" w:hanging="720"/>
        <w:jc w:val="both"/>
        <w:rPr>
          <w:rFonts w:ascii="Abadi" w:hAnsi="Abadi" w:cs="Arial"/>
        </w:rPr>
      </w:pPr>
      <w:r w:rsidRPr="00E317DE">
        <w:rPr>
          <w:rFonts w:ascii="Abadi" w:hAnsi="Abadi" w:cs="Arial"/>
        </w:rPr>
        <w:t xml:space="preserve">Daily, S. M., Mann, M. J., &amp; </w:t>
      </w:r>
      <w:proofErr w:type="spellStart"/>
      <w:r w:rsidRPr="00E317DE">
        <w:rPr>
          <w:rFonts w:ascii="Abadi" w:hAnsi="Abadi" w:cs="Arial"/>
        </w:rPr>
        <w:t>Kristjansson</w:t>
      </w:r>
      <w:proofErr w:type="spellEnd"/>
      <w:r w:rsidRPr="00E317DE">
        <w:rPr>
          <w:rFonts w:ascii="Abadi" w:hAnsi="Abadi" w:cs="Arial"/>
        </w:rPr>
        <w:t xml:space="preserve">, A. L. (2019). School climate and academic achievement in middle and high school students. </w:t>
      </w:r>
      <w:r w:rsidRPr="00E317DE">
        <w:rPr>
          <w:rFonts w:ascii="Abadi" w:hAnsi="Abadi" w:cs="Arial"/>
          <w:i/>
          <w:iCs/>
        </w:rPr>
        <w:t>Journal of School Health, 89</w:t>
      </w:r>
      <w:r w:rsidRPr="00E317DE">
        <w:rPr>
          <w:rFonts w:ascii="Abadi" w:hAnsi="Abadi" w:cs="Arial"/>
        </w:rPr>
        <w:t xml:space="preserve">(3), 173–180. </w:t>
      </w:r>
      <w:hyperlink r:id="rId14" w:history="1">
        <w:r w:rsidRPr="00E317DE">
          <w:rPr>
            <w:rStyle w:val="Hyperlink"/>
            <w:rFonts w:ascii="Abadi" w:hAnsi="Abadi" w:cs="Arial"/>
          </w:rPr>
          <w:t>https://doi.org/10.1111/josh.12726</w:t>
        </w:r>
      </w:hyperlink>
    </w:p>
    <w:p w14:paraId="4F11A3F9" w14:textId="77777777" w:rsidR="00B61367" w:rsidRPr="00E317DE" w:rsidRDefault="00B61367" w:rsidP="00E317DE">
      <w:pPr>
        <w:spacing w:before="120" w:after="120"/>
        <w:ind w:left="720" w:hanging="720"/>
        <w:jc w:val="both"/>
        <w:rPr>
          <w:rFonts w:ascii="Abadi" w:hAnsi="Abadi" w:cs="Arial"/>
        </w:rPr>
      </w:pPr>
      <w:r w:rsidRPr="00E317DE">
        <w:rPr>
          <w:rFonts w:ascii="Abadi" w:hAnsi="Abadi" w:cs="Arial"/>
        </w:rPr>
        <w:t xml:space="preserve">ERIC. (2021). School climate and student engagement facets associated with improved achievement in Australia. </w:t>
      </w:r>
      <w:r w:rsidRPr="00E317DE">
        <w:rPr>
          <w:rFonts w:ascii="Abadi" w:hAnsi="Abadi" w:cs="Arial"/>
          <w:i/>
          <w:iCs/>
        </w:rPr>
        <w:t>Educational Research Easting, 63</w:t>
      </w:r>
      <w:r w:rsidRPr="00E317DE">
        <w:rPr>
          <w:rFonts w:ascii="Abadi" w:hAnsi="Abadi" w:cs="Arial"/>
        </w:rPr>
        <w:t>. Article EJ1417408. https://eric.ed.gov/?id=EJ1417408</w:t>
      </w:r>
    </w:p>
    <w:p w14:paraId="72CC603F" w14:textId="77777777" w:rsidR="00B61367" w:rsidRPr="00E317DE" w:rsidRDefault="00B61367" w:rsidP="00E317DE">
      <w:pPr>
        <w:spacing w:before="120" w:after="120"/>
        <w:ind w:left="720" w:hanging="720"/>
        <w:jc w:val="both"/>
        <w:rPr>
          <w:rFonts w:ascii="Abadi" w:hAnsi="Abadi" w:cs="Arial"/>
        </w:rPr>
      </w:pPr>
      <w:r w:rsidRPr="00E317DE">
        <w:rPr>
          <w:rFonts w:ascii="Abadi" w:hAnsi="Abadi" w:cs="Arial"/>
        </w:rPr>
        <w:t xml:space="preserve">Francis, B., &amp; Skelton, C. (2005). </w:t>
      </w:r>
      <w:r w:rsidRPr="00E317DE">
        <w:rPr>
          <w:rFonts w:ascii="Abadi" w:hAnsi="Abadi" w:cs="Arial"/>
          <w:i/>
          <w:iCs/>
        </w:rPr>
        <w:t>Reassessing gender and achievement: Questioning contemporary key debates.</w:t>
      </w:r>
      <w:r w:rsidRPr="00E317DE">
        <w:rPr>
          <w:rFonts w:ascii="Abadi" w:hAnsi="Abadi" w:cs="Arial"/>
        </w:rPr>
        <w:t xml:space="preserve"> Routledge. </w:t>
      </w:r>
      <w:hyperlink r:id="rId15" w:history="1">
        <w:r w:rsidRPr="00E317DE">
          <w:rPr>
            <w:rStyle w:val="Hyperlink"/>
            <w:rFonts w:ascii="Abadi" w:hAnsi="Abadi" w:cs="Arial"/>
          </w:rPr>
          <w:t>https://www.routledge.com/Reassessing-Gender-and-Achievement/Francis-Skelton/p/book/9780415314978</w:t>
        </w:r>
      </w:hyperlink>
    </w:p>
    <w:p w14:paraId="25953418" w14:textId="77777777" w:rsidR="00B61367" w:rsidRPr="00E317DE" w:rsidRDefault="00B61367" w:rsidP="00E317DE">
      <w:pPr>
        <w:pStyle w:val="Bibliography"/>
        <w:spacing w:before="120" w:after="120" w:line="240" w:lineRule="auto"/>
        <w:ind w:left="720" w:hanging="720"/>
        <w:jc w:val="both"/>
        <w:rPr>
          <w:rFonts w:ascii="Abadi" w:hAnsi="Abadi"/>
          <w:sz w:val="20"/>
          <w:szCs w:val="20"/>
          <w:lang w:val="en-US"/>
        </w:rPr>
      </w:pPr>
      <w:r w:rsidRPr="00E317DE">
        <w:rPr>
          <w:rFonts w:ascii="Abadi" w:hAnsi="Abadi"/>
          <w:sz w:val="20"/>
          <w:szCs w:val="20"/>
          <w:lang w:val="en-US"/>
        </w:rPr>
        <w:t xml:space="preserve">Hall, P. R., &amp; Adams, C. M. (2017). Attitudes of vulnerable girls towards their academic performance: A study in Australia. </w:t>
      </w:r>
      <w:r w:rsidRPr="00E317DE">
        <w:rPr>
          <w:rFonts w:ascii="Abadi" w:hAnsi="Abadi"/>
          <w:i/>
          <w:iCs/>
          <w:sz w:val="20"/>
          <w:szCs w:val="20"/>
          <w:lang w:val="en-US"/>
        </w:rPr>
        <w:t>Australian Educational Researcher,</w:t>
      </w:r>
      <w:r w:rsidRPr="00E317DE">
        <w:rPr>
          <w:rFonts w:ascii="Abadi" w:hAnsi="Abadi"/>
          <w:sz w:val="20"/>
          <w:szCs w:val="20"/>
          <w:lang w:val="en-US"/>
        </w:rPr>
        <w:t xml:space="preserve"> 44(2), 203–215.</w:t>
      </w:r>
    </w:p>
    <w:p w14:paraId="67FC4313" w14:textId="77777777" w:rsidR="00B61367" w:rsidRPr="00E317DE" w:rsidRDefault="00B61367" w:rsidP="00E317DE">
      <w:pPr>
        <w:spacing w:before="120" w:after="120"/>
        <w:ind w:left="720" w:hanging="720"/>
        <w:jc w:val="both"/>
        <w:rPr>
          <w:rFonts w:ascii="Abadi" w:hAnsi="Abadi" w:cs="Arial"/>
        </w:rPr>
      </w:pPr>
      <w:proofErr w:type="spellStart"/>
      <w:r w:rsidRPr="00E317DE">
        <w:rPr>
          <w:rFonts w:ascii="Abadi" w:hAnsi="Abadi" w:cs="Arial"/>
        </w:rPr>
        <w:t>Kalkan</w:t>
      </w:r>
      <w:proofErr w:type="spellEnd"/>
      <w:r w:rsidRPr="00E317DE">
        <w:rPr>
          <w:rFonts w:ascii="Abadi" w:hAnsi="Abadi" w:cs="Arial"/>
        </w:rPr>
        <w:t xml:space="preserve">, F., &amp; </w:t>
      </w:r>
      <w:proofErr w:type="spellStart"/>
      <w:r w:rsidRPr="00E317DE">
        <w:rPr>
          <w:rFonts w:ascii="Abadi" w:hAnsi="Abadi" w:cs="Arial"/>
        </w:rPr>
        <w:t>Da</w:t>
      </w:r>
      <w:r w:rsidRPr="00E317DE">
        <w:rPr>
          <w:rFonts w:ascii="Calibri" w:hAnsi="Calibri" w:cs="Calibri"/>
        </w:rPr>
        <w:t>ğ</w:t>
      </w:r>
      <w:r w:rsidRPr="00E317DE">
        <w:rPr>
          <w:rFonts w:ascii="Abadi" w:hAnsi="Abadi" w:cs="Arial"/>
        </w:rPr>
        <w:t>l</w:t>
      </w:r>
      <w:r w:rsidRPr="00E317DE">
        <w:rPr>
          <w:rFonts w:ascii="Calibri" w:hAnsi="Calibri" w:cs="Calibri"/>
        </w:rPr>
        <w:t>ı</w:t>
      </w:r>
      <w:proofErr w:type="spellEnd"/>
      <w:r w:rsidRPr="00E317DE">
        <w:rPr>
          <w:rFonts w:ascii="Abadi" w:hAnsi="Abadi" w:cs="Arial"/>
        </w:rPr>
        <w:t xml:space="preserve">, E. (2021). The relationships between school climate, school belonging, and school burnout in secondary school students. </w:t>
      </w:r>
      <w:r w:rsidRPr="00E317DE">
        <w:rPr>
          <w:rFonts w:ascii="Abadi" w:hAnsi="Abadi" w:cs="Arial"/>
          <w:i/>
          <w:iCs/>
        </w:rPr>
        <w:t>International Journal of Contemporary Educational Research, 8</w:t>
      </w:r>
      <w:r w:rsidRPr="00E317DE">
        <w:rPr>
          <w:rFonts w:ascii="Abadi" w:hAnsi="Abadi" w:cs="Arial"/>
        </w:rPr>
        <w:t>(4), 59–79. https://doi.org/10.33200/ijcer.878682</w:t>
      </w:r>
    </w:p>
    <w:p w14:paraId="53A61F3F" w14:textId="77777777" w:rsidR="00B61367" w:rsidRPr="00E317DE" w:rsidRDefault="00B61367" w:rsidP="00E317DE">
      <w:pPr>
        <w:pStyle w:val="Bibliography"/>
        <w:spacing w:before="120" w:after="120" w:line="240" w:lineRule="auto"/>
        <w:ind w:left="720" w:hanging="720"/>
        <w:jc w:val="both"/>
        <w:rPr>
          <w:rFonts w:ascii="Abadi" w:hAnsi="Abadi"/>
          <w:sz w:val="20"/>
          <w:szCs w:val="20"/>
        </w:rPr>
      </w:pPr>
      <w:r w:rsidRPr="00E317DE">
        <w:rPr>
          <w:rFonts w:ascii="Abadi" w:hAnsi="Abadi"/>
          <w:sz w:val="20"/>
          <w:szCs w:val="20"/>
        </w:rPr>
        <w:t xml:space="preserve">Mugisha, J., &amp; </w:t>
      </w:r>
      <w:proofErr w:type="spellStart"/>
      <w:r w:rsidRPr="00E317DE">
        <w:rPr>
          <w:rFonts w:ascii="Abadi" w:hAnsi="Abadi"/>
          <w:sz w:val="20"/>
          <w:szCs w:val="20"/>
        </w:rPr>
        <w:t>Twizeyimana</w:t>
      </w:r>
      <w:proofErr w:type="spellEnd"/>
      <w:r w:rsidRPr="00E317DE">
        <w:rPr>
          <w:rFonts w:ascii="Abadi" w:hAnsi="Abadi"/>
          <w:sz w:val="20"/>
          <w:szCs w:val="20"/>
        </w:rPr>
        <w:t xml:space="preserve">, L. K. (2023). Teachers' roles in fostering inclusive education in Rwanda. </w:t>
      </w:r>
      <w:r w:rsidRPr="00E317DE">
        <w:rPr>
          <w:rFonts w:ascii="Abadi" w:hAnsi="Abadi"/>
          <w:i/>
          <w:iCs/>
          <w:sz w:val="20"/>
          <w:szCs w:val="20"/>
        </w:rPr>
        <w:t>Journal of Educational Research and Practice, 14</w:t>
      </w:r>
      <w:r w:rsidRPr="00E317DE">
        <w:rPr>
          <w:rFonts w:ascii="Abadi" w:hAnsi="Abadi"/>
          <w:sz w:val="20"/>
          <w:szCs w:val="20"/>
        </w:rPr>
        <w:t>(1), 101–114.</w:t>
      </w:r>
    </w:p>
    <w:p w14:paraId="27098A95" w14:textId="77777777" w:rsidR="00B61367" w:rsidRPr="00E317DE" w:rsidRDefault="00B61367" w:rsidP="00E317DE">
      <w:pPr>
        <w:pStyle w:val="Bibliography"/>
        <w:spacing w:before="120" w:after="120" w:line="240" w:lineRule="auto"/>
        <w:ind w:left="720" w:hanging="720"/>
        <w:jc w:val="both"/>
        <w:rPr>
          <w:rFonts w:ascii="Abadi" w:hAnsi="Abadi"/>
          <w:sz w:val="20"/>
          <w:szCs w:val="20"/>
        </w:rPr>
      </w:pPr>
      <w:r w:rsidRPr="00E317DE">
        <w:rPr>
          <w:rFonts w:ascii="Abadi" w:hAnsi="Abadi"/>
          <w:sz w:val="20"/>
          <w:szCs w:val="20"/>
        </w:rPr>
        <w:t xml:space="preserve">Patel, R., &amp; Shah, S. (2018). Gender, education, and development: A critical analysis of sub-Saharan Africa. </w:t>
      </w:r>
      <w:r w:rsidRPr="00E317DE">
        <w:rPr>
          <w:rFonts w:ascii="Abadi" w:hAnsi="Abadi"/>
          <w:i/>
          <w:iCs/>
          <w:sz w:val="20"/>
          <w:szCs w:val="20"/>
        </w:rPr>
        <w:t>Journal of International Development, 30</w:t>
      </w:r>
      <w:r w:rsidRPr="00E317DE">
        <w:rPr>
          <w:rFonts w:ascii="Abadi" w:hAnsi="Abadi"/>
          <w:sz w:val="20"/>
          <w:szCs w:val="20"/>
        </w:rPr>
        <w:t>(4), 555–570.</w:t>
      </w:r>
    </w:p>
    <w:p w14:paraId="1F195FDF" w14:textId="2D7C8225" w:rsidR="00B01FCD" w:rsidRPr="00E317DE" w:rsidRDefault="00B01FCD" w:rsidP="00E317DE">
      <w:pPr>
        <w:spacing w:before="240" w:after="240"/>
        <w:jc w:val="both"/>
        <w:rPr>
          <w:rFonts w:ascii="Arial" w:hAnsi="Arial" w:cs="Arial"/>
          <w:bCs/>
          <w:sz w:val="22"/>
          <w:szCs w:val="22"/>
          <w:lang w:val="en-GB"/>
        </w:rPr>
      </w:pPr>
    </w:p>
    <w:sectPr w:rsidR="00B01FCD" w:rsidRPr="00E317DE" w:rsidSect="006B0AF2">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8520" w14:textId="77777777" w:rsidR="00454166" w:rsidRDefault="00454166" w:rsidP="00C37E61">
      <w:r>
        <w:separator/>
      </w:r>
    </w:p>
  </w:endnote>
  <w:endnote w:type="continuationSeparator" w:id="0">
    <w:p w14:paraId="13B9369F" w14:textId="77777777" w:rsidR="00454166" w:rsidRDefault="0045416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DE1E" w14:textId="77777777" w:rsidR="00CD6E7B" w:rsidRDefault="00CD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F965" w14:textId="77777777" w:rsidR="00CD6E7B" w:rsidRDefault="00CD6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FCCF" w14:textId="77777777" w:rsidR="009E048A" w:rsidRDefault="009E048A">
    <w:pPr>
      <w:pStyle w:val="Footer"/>
      <w:rPr>
        <w:rFonts w:ascii="Arial" w:hAnsi="Arial" w:cs="Arial"/>
        <w:sz w:val="16"/>
      </w:rPr>
    </w:pPr>
  </w:p>
  <w:p w14:paraId="1DA57F5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1132D41" w14:textId="77777777" w:rsidR="009E048A" w:rsidRDefault="009E048A">
    <w:pPr>
      <w:pStyle w:val="Footer"/>
      <w:rPr>
        <w:rFonts w:ascii="Arial" w:hAnsi="Arial" w:cs="Arial"/>
        <w:sz w:val="16"/>
      </w:rPr>
    </w:pPr>
  </w:p>
  <w:p w14:paraId="07BC121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B4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1697" w14:textId="77777777" w:rsidR="00454166" w:rsidRDefault="00454166" w:rsidP="00C37E61">
      <w:r>
        <w:separator/>
      </w:r>
    </w:p>
  </w:footnote>
  <w:footnote w:type="continuationSeparator" w:id="0">
    <w:p w14:paraId="6D5D57A0" w14:textId="77777777" w:rsidR="00454166" w:rsidRDefault="0045416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5A97" w14:textId="790978D5" w:rsidR="00CD6E7B" w:rsidRDefault="00CD6E7B">
    <w:pPr>
      <w:pStyle w:val="Header"/>
    </w:pPr>
    <w:r>
      <w:rPr>
        <w:noProof/>
      </w:rPr>
      <w:pict w14:anchorId="4324E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9866" w14:textId="274485DE" w:rsidR="00CD6E7B" w:rsidRDefault="00CD6E7B">
    <w:pPr>
      <w:pStyle w:val="Header"/>
    </w:pPr>
    <w:r>
      <w:rPr>
        <w:noProof/>
      </w:rPr>
      <w:pict w14:anchorId="29EDE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9701" w14:textId="5C4E913D" w:rsidR="00296529" w:rsidRPr="00296529" w:rsidRDefault="00CD6E7B" w:rsidP="00296529">
    <w:pPr>
      <w:ind w:left="2160"/>
      <w:jc w:val="center"/>
      <w:rPr>
        <w:rFonts w:ascii="Times New Roman" w:eastAsia="Calibri" w:hAnsi="Times New Roman"/>
        <w:i/>
        <w:sz w:val="18"/>
        <w:szCs w:val="22"/>
      </w:rPr>
    </w:pPr>
    <w:r>
      <w:rPr>
        <w:noProof/>
      </w:rPr>
      <w:pict w14:anchorId="60B00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A1BD0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DCBFA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B25AC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50E1E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F726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8AC0D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67D" w14:textId="64E5117C" w:rsidR="00CD6E7B" w:rsidRDefault="00CD6E7B">
    <w:pPr>
      <w:pStyle w:val="Header"/>
    </w:pPr>
    <w:r>
      <w:rPr>
        <w:noProof/>
      </w:rPr>
      <w:pict w14:anchorId="6BE25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88B0" w14:textId="4FEACA79" w:rsidR="00CD6E7B" w:rsidRDefault="00CD6E7B">
    <w:pPr>
      <w:pStyle w:val="Header"/>
    </w:pPr>
    <w:r>
      <w:rPr>
        <w:noProof/>
      </w:rPr>
      <w:pict w14:anchorId="405D2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754A" w14:textId="7E3A8765" w:rsidR="00CD6E7B" w:rsidRDefault="00CD6E7B">
    <w:pPr>
      <w:pStyle w:val="Header"/>
    </w:pPr>
    <w:r>
      <w:rPr>
        <w:noProof/>
      </w:rPr>
      <w:pict w14:anchorId="19D0E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50A0"/>
    <w:rsid w:val="000A47FA"/>
    <w:rsid w:val="000A65D3"/>
    <w:rsid w:val="000B1E33"/>
    <w:rsid w:val="000B725E"/>
    <w:rsid w:val="000D689F"/>
    <w:rsid w:val="000E7B7B"/>
    <w:rsid w:val="000E7D62"/>
    <w:rsid w:val="00103357"/>
    <w:rsid w:val="00123C9F"/>
    <w:rsid w:val="00126190"/>
    <w:rsid w:val="00130F17"/>
    <w:rsid w:val="001320BF"/>
    <w:rsid w:val="00150169"/>
    <w:rsid w:val="001532E7"/>
    <w:rsid w:val="00163BC4"/>
    <w:rsid w:val="001653F9"/>
    <w:rsid w:val="00191062"/>
    <w:rsid w:val="00192B72"/>
    <w:rsid w:val="001A29D8"/>
    <w:rsid w:val="001A5CAA"/>
    <w:rsid w:val="001A7CA8"/>
    <w:rsid w:val="001B0427"/>
    <w:rsid w:val="001C3DAF"/>
    <w:rsid w:val="001D3A51"/>
    <w:rsid w:val="001E10D2"/>
    <w:rsid w:val="001E25B4"/>
    <w:rsid w:val="001E44FE"/>
    <w:rsid w:val="00200093"/>
    <w:rsid w:val="00200595"/>
    <w:rsid w:val="002013B5"/>
    <w:rsid w:val="00204835"/>
    <w:rsid w:val="00220AAE"/>
    <w:rsid w:val="00231920"/>
    <w:rsid w:val="0023195C"/>
    <w:rsid w:val="0024282C"/>
    <w:rsid w:val="002460DC"/>
    <w:rsid w:val="00250985"/>
    <w:rsid w:val="002556F6"/>
    <w:rsid w:val="00283105"/>
    <w:rsid w:val="00283CF8"/>
    <w:rsid w:val="00284C4C"/>
    <w:rsid w:val="00287E68"/>
    <w:rsid w:val="00296529"/>
    <w:rsid w:val="002B27FB"/>
    <w:rsid w:val="002B685A"/>
    <w:rsid w:val="002C1A3C"/>
    <w:rsid w:val="002C57D2"/>
    <w:rsid w:val="002E0D56"/>
    <w:rsid w:val="00306919"/>
    <w:rsid w:val="00315186"/>
    <w:rsid w:val="0033343E"/>
    <w:rsid w:val="003512C2"/>
    <w:rsid w:val="00371FB6"/>
    <w:rsid w:val="003763C1"/>
    <w:rsid w:val="00376BBE"/>
    <w:rsid w:val="00384A77"/>
    <w:rsid w:val="0039224F"/>
    <w:rsid w:val="003A43A4"/>
    <w:rsid w:val="003A43EC"/>
    <w:rsid w:val="003A7E18"/>
    <w:rsid w:val="003C4C86"/>
    <w:rsid w:val="003C6258"/>
    <w:rsid w:val="003C6EA9"/>
    <w:rsid w:val="003E2904"/>
    <w:rsid w:val="00401927"/>
    <w:rsid w:val="0041027F"/>
    <w:rsid w:val="0041140B"/>
    <w:rsid w:val="00412475"/>
    <w:rsid w:val="00423789"/>
    <w:rsid w:val="004276A0"/>
    <w:rsid w:val="00440F43"/>
    <w:rsid w:val="00441B6F"/>
    <w:rsid w:val="00446221"/>
    <w:rsid w:val="00450E62"/>
    <w:rsid w:val="004539DB"/>
    <w:rsid w:val="00454166"/>
    <w:rsid w:val="00471A80"/>
    <w:rsid w:val="004D305E"/>
    <w:rsid w:val="004D4277"/>
    <w:rsid w:val="004F2BB4"/>
    <w:rsid w:val="00502516"/>
    <w:rsid w:val="00505F06"/>
    <w:rsid w:val="00506828"/>
    <w:rsid w:val="00527BFA"/>
    <w:rsid w:val="0053056E"/>
    <w:rsid w:val="005407F8"/>
    <w:rsid w:val="00543750"/>
    <w:rsid w:val="00547D08"/>
    <w:rsid w:val="00554FDA"/>
    <w:rsid w:val="00565CEB"/>
    <w:rsid w:val="005C784C"/>
    <w:rsid w:val="005D17F6"/>
    <w:rsid w:val="005E5539"/>
    <w:rsid w:val="006002BE"/>
    <w:rsid w:val="00602BF5"/>
    <w:rsid w:val="00617FDD"/>
    <w:rsid w:val="00633614"/>
    <w:rsid w:val="00633F68"/>
    <w:rsid w:val="00636EB2"/>
    <w:rsid w:val="006375B8"/>
    <w:rsid w:val="0066510A"/>
    <w:rsid w:val="00673F9F"/>
    <w:rsid w:val="006826BB"/>
    <w:rsid w:val="00686953"/>
    <w:rsid w:val="00687DEA"/>
    <w:rsid w:val="00687E67"/>
    <w:rsid w:val="006967F7"/>
    <w:rsid w:val="006A250C"/>
    <w:rsid w:val="006B0AF2"/>
    <w:rsid w:val="006B21D3"/>
    <w:rsid w:val="006B57D0"/>
    <w:rsid w:val="006D30FF"/>
    <w:rsid w:val="006D6940"/>
    <w:rsid w:val="006E6A69"/>
    <w:rsid w:val="006F11EC"/>
    <w:rsid w:val="0070082C"/>
    <w:rsid w:val="007369E6"/>
    <w:rsid w:val="00746E59"/>
    <w:rsid w:val="00747334"/>
    <w:rsid w:val="00754C9A"/>
    <w:rsid w:val="00755268"/>
    <w:rsid w:val="0075599A"/>
    <w:rsid w:val="00761D52"/>
    <w:rsid w:val="0077749E"/>
    <w:rsid w:val="0078275E"/>
    <w:rsid w:val="00790ADA"/>
    <w:rsid w:val="007D2288"/>
    <w:rsid w:val="007E088F"/>
    <w:rsid w:val="007F68D1"/>
    <w:rsid w:val="007F7B32"/>
    <w:rsid w:val="00804BC2"/>
    <w:rsid w:val="00804E5A"/>
    <w:rsid w:val="0081431A"/>
    <w:rsid w:val="008143C2"/>
    <w:rsid w:val="0083216F"/>
    <w:rsid w:val="00860000"/>
    <w:rsid w:val="00863BD3"/>
    <w:rsid w:val="008641ED"/>
    <w:rsid w:val="00866D66"/>
    <w:rsid w:val="008671C6"/>
    <w:rsid w:val="00871F90"/>
    <w:rsid w:val="00875803"/>
    <w:rsid w:val="00876709"/>
    <w:rsid w:val="008B459E"/>
    <w:rsid w:val="008E13AE"/>
    <w:rsid w:val="008E1506"/>
    <w:rsid w:val="008E710C"/>
    <w:rsid w:val="008E78DC"/>
    <w:rsid w:val="008F69D6"/>
    <w:rsid w:val="00902823"/>
    <w:rsid w:val="00915CA6"/>
    <w:rsid w:val="00915D95"/>
    <w:rsid w:val="00927834"/>
    <w:rsid w:val="009500A6"/>
    <w:rsid w:val="00956AFC"/>
    <w:rsid w:val="00957C18"/>
    <w:rsid w:val="009659BA"/>
    <w:rsid w:val="00983040"/>
    <w:rsid w:val="009B3FB9"/>
    <w:rsid w:val="009C2465"/>
    <w:rsid w:val="009C7B51"/>
    <w:rsid w:val="009D35A0"/>
    <w:rsid w:val="009D7EB7"/>
    <w:rsid w:val="009E048A"/>
    <w:rsid w:val="009E08E9"/>
    <w:rsid w:val="009E3DB9"/>
    <w:rsid w:val="009E6E35"/>
    <w:rsid w:val="009F0EDA"/>
    <w:rsid w:val="00A03B96"/>
    <w:rsid w:val="00A05B19"/>
    <w:rsid w:val="00A1134E"/>
    <w:rsid w:val="00A24E7E"/>
    <w:rsid w:val="00A258C3"/>
    <w:rsid w:val="00A347C0"/>
    <w:rsid w:val="00A41660"/>
    <w:rsid w:val="00A51431"/>
    <w:rsid w:val="00A539AD"/>
    <w:rsid w:val="00A92018"/>
    <w:rsid w:val="00A94063"/>
    <w:rsid w:val="00AA3B82"/>
    <w:rsid w:val="00AA6219"/>
    <w:rsid w:val="00AA74E0"/>
    <w:rsid w:val="00AB0EA5"/>
    <w:rsid w:val="00AB703F"/>
    <w:rsid w:val="00AC6BB8"/>
    <w:rsid w:val="00AE008F"/>
    <w:rsid w:val="00B01FCD"/>
    <w:rsid w:val="00B1776C"/>
    <w:rsid w:val="00B52583"/>
    <w:rsid w:val="00B52896"/>
    <w:rsid w:val="00B61367"/>
    <w:rsid w:val="00B91910"/>
    <w:rsid w:val="00B95236"/>
    <w:rsid w:val="00B96BD9"/>
    <w:rsid w:val="00BA1B01"/>
    <w:rsid w:val="00BA2641"/>
    <w:rsid w:val="00BB01D3"/>
    <w:rsid w:val="00BB22F5"/>
    <w:rsid w:val="00BB37AA"/>
    <w:rsid w:val="00BC53A0"/>
    <w:rsid w:val="00BE62AD"/>
    <w:rsid w:val="00BF121F"/>
    <w:rsid w:val="00BF1F80"/>
    <w:rsid w:val="00BF58C6"/>
    <w:rsid w:val="00C166EF"/>
    <w:rsid w:val="00C17EB0"/>
    <w:rsid w:val="00C27F5F"/>
    <w:rsid w:val="00C30A0F"/>
    <w:rsid w:val="00C37E61"/>
    <w:rsid w:val="00C41A07"/>
    <w:rsid w:val="00C70F1B"/>
    <w:rsid w:val="00C71A47"/>
    <w:rsid w:val="00C7464C"/>
    <w:rsid w:val="00C85588"/>
    <w:rsid w:val="00CD6755"/>
    <w:rsid w:val="00CD6856"/>
    <w:rsid w:val="00CD6E7B"/>
    <w:rsid w:val="00CE0089"/>
    <w:rsid w:val="00CE793C"/>
    <w:rsid w:val="00CF193C"/>
    <w:rsid w:val="00D173F1"/>
    <w:rsid w:val="00D24E89"/>
    <w:rsid w:val="00D36556"/>
    <w:rsid w:val="00D74CB0"/>
    <w:rsid w:val="00D7590F"/>
    <w:rsid w:val="00D8295D"/>
    <w:rsid w:val="00DB25F0"/>
    <w:rsid w:val="00DC2A65"/>
    <w:rsid w:val="00DE15F0"/>
    <w:rsid w:val="00DE5663"/>
    <w:rsid w:val="00DE78AA"/>
    <w:rsid w:val="00E053D0"/>
    <w:rsid w:val="00E15994"/>
    <w:rsid w:val="00E3114E"/>
    <w:rsid w:val="00E317DE"/>
    <w:rsid w:val="00E31A70"/>
    <w:rsid w:val="00E35B02"/>
    <w:rsid w:val="00E5404E"/>
    <w:rsid w:val="00E65284"/>
    <w:rsid w:val="00E66496"/>
    <w:rsid w:val="00E66B35"/>
    <w:rsid w:val="00E66E10"/>
    <w:rsid w:val="00E769F6"/>
    <w:rsid w:val="00E8407C"/>
    <w:rsid w:val="00E84F3C"/>
    <w:rsid w:val="00E9351D"/>
    <w:rsid w:val="00EA012C"/>
    <w:rsid w:val="00EA0BFA"/>
    <w:rsid w:val="00EC6A55"/>
    <w:rsid w:val="00ED0288"/>
    <w:rsid w:val="00EE52CB"/>
    <w:rsid w:val="00EF581D"/>
    <w:rsid w:val="00EF7FD8"/>
    <w:rsid w:val="00F06F59"/>
    <w:rsid w:val="00F125C2"/>
    <w:rsid w:val="00F17988"/>
    <w:rsid w:val="00F469F0"/>
    <w:rsid w:val="00F53273"/>
    <w:rsid w:val="00F67FAD"/>
    <w:rsid w:val="00F755E4"/>
    <w:rsid w:val="00F77D02"/>
    <w:rsid w:val="00F863D3"/>
    <w:rsid w:val="00FB3A86"/>
    <w:rsid w:val="00FD36C8"/>
    <w:rsid w:val="00FD4D2D"/>
    <w:rsid w:val="00FE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34C8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E5404E"/>
    <w:rPr>
      <w:rFonts w:eastAsia="Arial" w:cs="Arial"/>
      <w:sz w:val="24"/>
      <w:szCs w:val="22"/>
      <w:lang w:val="nl"/>
    </w:rPr>
  </w:style>
  <w:style w:type="paragraph" w:styleId="Caption">
    <w:name w:val="caption"/>
    <w:basedOn w:val="Normal"/>
    <w:next w:val="Normal"/>
    <w:uiPriority w:val="35"/>
    <w:unhideWhenUsed/>
    <w:qFormat/>
    <w:rsid w:val="00E5404E"/>
    <w:pPr>
      <w:spacing w:line="276" w:lineRule="auto"/>
    </w:pPr>
    <w:rPr>
      <w:rFonts w:ascii="Arial" w:eastAsia="Arial" w:hAnsi="Arial" w:cs="Arial"/>
      <w:b/>
      <w:bCs/>
      <w:lang w:val="en-GB"/>
    </w:rPr>
  </w:style>
  <w:style w:type="paragraph" w:styleId="Bibliography">
    <w:name w:val="Bibliography"/>
    <w:basedOn w:val="Normal"/>
    <w:next w:val="Normal"/>
    <w:uiPriority w:val="37"/>
    <w:unhideWhenUsed/>
    <w:rsid w:val="00B61367"/>
    <w:pPr>
      <w:spacing w:line="276" w:lineRule="auto"/>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25872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outledge.com/Reassessing-Gender-and-Achievement/Francis-Skelton/p/book/9780415314978"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josh.127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A337-9FB3-4C9D-B779-25028280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5</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20406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2025-06-20T10:34:00Z</dcterms:created>
  <dcterms:modified xsi:type="dcterms:W3CDTF">2025-06-23T08:13:00Z</dcterms:modified>
</cp:coreProperties>
</file>