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86717" w14:textId="42919A60" w:rsidR="00550A5B" w:rsidRPr="00550A5B" w:rsidRDefault="00550A5B">
      <w:pPr>
        <w:spacing w:line="276" w:lineRule="auto"/>
        <w:rPr>
          <w:rFonts w:ascii="Times New Roman" w:hAnsi="Times New Roman" w:cs="Times New Roman"/>
          <w:b/>
          <w:bCs/>
          <w:u w:val="single"/>
        </w:rPr>
      </w:pPr>
      <w:r w:rsidRPr="00550A5B">
        <w:rPr>
          <w:rFonts w:ascii="Times New Roman" w:hAnsi="Times New Roman" w:cs="Times New Roman"/>
          <w:b/>
          <w:bCs/>
          <w:u w:val="single"/>
        </w:rPr>
        <w:t>Original Research Article</w:t>
      </w:r>
    </w:p>
    <w:p w14:paraId="593E6C17" w14:textId="40713198" w:rsidR="00B9131A" w:rsidRDefault="00B6370D">
      <w:pPr>
        <w:spacing w:line="276" w:lineRule="auto"/>
        <w:rPr>
          <w:rFonts w:ascii="Times New Roman" w:hAnsi="Times New Roman" w:cs="Times New Roman"/>
          <w:b/>
          <w:bCs/>
        </w:rPr>
      </w:pPr>
      <w:r>
        <w:rPr>
          <w:rFonts w:ascii="Times New Roman" w:hAnsi="Times New Roman" w:cs="Times New Roman"/>
          <w:b/>
          <w:bCs/>
        </w:rPr>
        <w:t>Techno-Economic Evaluation of an Optimized Grid-Connected Solar Photo-Voltaic System for National Museum of Unity, Ibadan</w:t>
      </w:r>
    </w:p>
    <w:p w14:paraId="6342E6CD" w14:textId="77777777" w:rsidR="00B9131A" w:rsidRDefault="00B6370D">
      <w:pPr>
        <w:spacing w:line="276" w:lineRule="auto"/>
        <w:rPr>
          <w:rFonts w:ascii="Times New Roman" w:hAnsi="Times New Roman" w:cs="Times New Roman"/>
        </w:rPr>
      </w:pPr>
      <w:r>
        <w:rPr>
          <w:rFonts w:ascii="Times New Roman" w:hAnsi="Times New Roman" w:cs="Times New Roman"/>
        </w:rPr>
        <w:t>Abstract:</w:t>
      </w:r>
    </w:p>
    <w:p w14:paraId="189D2BEE"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A comprehensive viability assessment of a grid-connected PV system is essential to evaluate its technical, economic, and environmental benefits. Hybrid Optimization of Multiple Energy Recourses (HOMER) software has been </w:t>
      </w:r>
      <w:r>
        <w:rPr>
          <w:rFonts w:ascii="Times New Roman" w:hAnsi="Times New Roman" w:cs="Times New Roman"/>
        </w:rPr>
        <w:t xml:space="preserve">the commonly used tools for the design and analysis of this system, however, it fails to give in-depth analysis on the financial and emission analysis of the system, because it is designed to optimize and give technical report about the design. Hence this </w:t>
      </w:r>
      <w:r>
        <w:rPr>
          <w:rFonts w:ascii="Times New Roman" w:hAnsi="Times New Roman" w:cs="Times New Roman"/>
        </w:rPr>
        <w:t xml:space="preserve">research aims to carry out a detail techno-economic and environmental evaluation of a grid-connected PV system for National Museum of unity, Ibadan using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60AAFAB0" w14:textId="77777777" w:rsidR="00B9131A" w:rsidRDefault="00B6370D">
      <w:pPr>
        <w:spacing w:line="276" w:lineRule="auto"/>
        <w:jc w:val="both"/>
        <w:rPr>
          <w:rFonts w:ascii="Times New Roman" w:hAnsi="Times New Roman" w:cs="Times New Roman"/>
        </w:rPr>
      </w:pPr>
      <w:r>
        <w:rPr>
          <w:rFonts w:ascii="Times New Roman" w:hAnsi="Times New Roman" w:cs="Times New Roman"/>
        </w:rPr>
        <w:t>A feasibility study was conducted on the National Museum of unity Ibadan, taking i</w:t>
      </w:r>
      <w:r>
        <w:rPr>
          <w:rFonts w:ascii="Times New Roman" w:hAnsi="Times New Roman" w:cs="Times New Roman"/>
        </w:rPr>
        <w:t xml:space="preserve">nto consideration the energy demand of the museum and meteorological data such as solar irradiance, clearness index, and temperature. Mathematical model of the components of the grid connected renewable energy such as PV panel, battery and power converter </w:t>
      </w:r>
      <w:proofErr w:type="gramStart"/>
      <w:r>
        <w:rPr>
          <w:rFonts w:ascii="Times New Roman" w:hAnsi="Times New Roman" w:cs="Times New Roman"/>
        </w:rPr>
        <w:t>was</w:t>
      </w:r>
      <w:proofErr w:type="gramEnd"/>
      <w:r>
        <w:rPr>
          <w:rFonts w:ascii="Times New Roman" w:hAnsi="Times New Roman" w:cs="Times New Roman"/>
        </w:rPr>
        <w:t xml:space="preserve"> formulated and their optimal sizes were determined using HOMER software. The technical, economic and environmental viability of the optimized grid connected PV system were analyze</w:t>
      </w:r>
      <w:bookmarkStart w:id="0" w:name="_GoBack"/>
      <w:bookmarkEnd w:id="0"/>
      <w:r>
        <w:rPr>
          <w:rFonts w:ascii="Times New Roman" w:hAnsi="Times New Roman" w:cs="Times New Roman"/>
        </w:rPr>
        <w:t xml:space="preserve">d using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1A6018BE"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HOMER result shows that, considering the </w:t>
      </w:r>
      <w:r>
        <w:rPr>
          <w:rFonts w:ascii="Times New Roman" w:hAnsi="Times New Roman" w:cs="Times New Roman"/>
        </w:rPr>
        <w:t xml:space="preserve">space constrain and the required load by the proposed building, 44 pieces of solar panel of 550 watt, 8 pieces of 100 AH battery storage and 34 kVA power converter are needed to realize the developed power system. The </w:t>
      </w:r>
      <w:proofErr w:type="spellStart"/>
      <w:r>
        <w:rPr>
          <w:rFonts w:ascii="Times New Roman" w:hAnsi="Times New Roman" w:cs="Times New Roman"/>
        </w:rPr>
        <w:t>RETScreen</w:t>
      </w:r>
      <w:proofErr w:type="spellEnd"/>
      <w:r>
        <w:rPr>
          <w:rFonts w:ascii="Times New Roman" w:hAnsi="Times New Roman" w:cs="Times New Roman"/>
        </w:rPr>
        <w:t xml:space="preserve"> analysis reveal that the ini</w:t>
      </w:r>
      <w:r>
        <w:rPr>
          <w:rFonts w:ascii="Times New Roman" w:hAnsi="Times New Roman" w:cs="Times New Roman"/>
        </w:rPr>
        <w:t>tial capital cost of the designed system is NGN 16,223,297 and the total annual lifecycle savings is NGN 60,713,246.03. The equity payback period is estimated to be Nine months and twenty-five days while its net present value after 20 years is NGN 554,223,</w:t>
      </w:r>
      <w:r>
        <w:rPr>
          <w:rFonts w:ascii="Times New Roman" w:hAnsi="Times New Roman" w:cs="Times New Roman"/>
        </w:rPr>
        <w:t>639.10. Considering the greenhouse gases emission, 63.4% reduction was achieved with the developed system compared to using only the common electricity grid.</w:t>
      </w:r>
    </w:p>
    <w:p w14:paraId="73A1EC97" w14:textId="77777777" w:rsidR="00B9131A" w:rsidRDefault="00B6370D">
      <w:pPr>
        <w:spacing w:line="276" w:lineRule="auto"/>
        <w:jc w:val="both"/>
        <w:rPr>
          <w:rFonts w:ascii="Times New Roman" w:hAnsi="Times New Roman" w:cs="Times New Roman"/>
        </w:rPr>
      </w:pPr>
      <w:r>
        <w:rPr>
          <w:rFonts w:ascii="Times New Roman" w:hAnsi="Times New Roman" w:cs="Times New Roman"/>
        </w:rPr>
        <w:t>This research provides an optimal design of a grid connected PV system with a comprehensive techno</w:t>
      </w:r>
      <w:r>
        <w:rPr>
          <w:rFonts w:ascii="Times New Roman" w:hAnsi="Times New Roman" w:cs="Times New Roman"/>
        </w:rPr>
        <w:t xml:space="preserve">-economic and environmental viability assessment using HOMER and </w:t>
      </w:r>
      <w:proofErr w:type="spellStart"/>
      <w:r>
        <w:rPr>
          <w:rFonts w:ascii="Times New Roman" w:hAnsi="Times New Roman" w:cs="Times New Roman"/>
        </w:rPr>
        <w:t>RETScreen</w:t>
      </w:r>
      <w:proofErr w:type="spellEnd"/>
      <w:r>
        <w:rPr>
          <w:rFonts w:ascii="Times New Roman" w:hAnsi="Times New Roman" w:cs="Times New Roman"/>
        </w:rPr>
        <w:t xml:space="preserve"> software that will assist the management of the National Museum of unity Ibadan, in making an effective and sustainable decision regarding power system. In addition to this, the out</w:t>
      </w:r>
      <w:r>
        <w:rPr>
          <w:rFonts w:ascii="Times New Roman" w:hAnsi="Times New Roman" w:cs="Times New Roman"/>
        </w:rPr>
        <w:t>comes of this research proffer a means of relieving the grid through alternative power supply.</w:t>
      </w:r>
    </w:p>
    <w:p w14:paraId="25FE4635"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Keyword: HOMER, </w:t>
      </w:r>
      <w:proofErr w:type="spellStart"/>
      <w:r>
        <w:rPr>
          <w:rFonts w:ascii="Times New Roman" w:hAnsi="Times New Roman" w:cs="Times New Roman"/>
        </w:rPr>
        <w:t>RETScreen</w:t>
      </w:r>
      <w:proofErr w:type="spellEnd"/>
      <w:r>
        <w:rPr>
          <w:rFonts w:ascii="Times New Roman" w:hAnsi="Times New Roman" w:cs="Times New Roman"/>
        </w:rPr>
        <w:t>, Grid-connected PV, PV system, Alternative Power Supply.</w:t>
      </w:r>
    </w:p>
    <w:p w14:paraId="26D821B8" w14:textId="77777777" w:rsidR="00B9131A" w:rsidRDefault="00B6370D">
      <w:pPr>
        <w:spacing w:line="276" w:lineRule="auto"/>
        <w:rPr>
          <w:rFonts w:ascii="Times New Roman" w:hAnsi="Times New Roman" w:cs="Times New Roman"/>
        </w:rPr>
      </w:pPr>
      <w:r>
        <w:rPr>
          <w:rFonts w:ascii="Times New Roman" w:hAnsi="Times New Roman" w:cs="Times New Roman"/>
        </w:rPr>
        <w:t>Introduction:</w:t>
      </w:r>
    </w:p>
    <w:p w14:paraId="4C9247BD" w14:textId="77777777" w:rsidR="00B9131A" w:rsidRDefault="00B6370D">
      <w:pPr>
        <w:spacing w:line="276" w:lineRule="auto"/>
        <w:rPr>
          <w:rFonts w:ascii="Times New Roman" w:hAnsi="Times New Roman" w:cs="Times New Roman"/>
        </w:rPr>
      </w:pPr>
      <w:r>
        <w:rPr>
          <w:rFonts w:ascii="Times New Roman" w:hAnsi="Times New Roman" w:cs="Times New Roman"/>
        </w:rPr>
        <w:t>Renewable energy is energy derived from natural sources that are</w:t>
      </w:r>
      <w:r>
        <w:rPr>
          <w:rFonts w:ascii="Times New Roman" w:hAnsi="Times New Roman" w:cs="Times New Roman"/>
        </w:rPr>
        <w:t xml:space="preserve"> replenished at a higher rate than they are consumed. Sunlight and wind, for example, are such sources that are constantly being replenished. Renewable energy sources are abundant and all around us (Hassan et al., 2024). Fossil fuels - coal, oil and gas - </w:t>
      </w:r>
      <w:r>
        <w:rPr>
          <w:rFonts w:ascii="Times New Roman" w:hAnsi="Times New Roman" w:cs="Times New Roman"/>
        </w:rPr>
        <w:t xml:space="preserve">on the other hand, are non-renewable resources that take </w:t>
      </w:r>
      <w:r>
        <w:rPr>
          <w:rFonts w:ascii="Times New Roman" w:hAnsi="Times New Roman" w:cs="Times New Roman"/>
        </w:rPr>
        <w:lastRenderedPageBreak/>
        <w:t>hundreds of millions of years to form. Fossil fuels, when burned to produce energy, cause harmful greenhouse gas emissions, such as carbon dioxide. Generating renewable energy creates far lower emiss</w:t>
      </w:r>
      <w:r>
        <w:rPr>
          <w:rFonts w:ascii="Times New Roman" w:hAnsi="Times New Roman" w:cs="Times New Roman"/>
        </w:rPr>
        <w:t>ions than burning fossil fuels. Transitioning from fossil fuels, which currently account for the lion’s share of emissions, to renewable energy is key to addressing the climate crisis (Hassan et al., 2024).</w:t>
      </w:r>
    </w:p>
    <w:p w14:paraId="22D70AD5" w14:textId="77777777" w:rsidR="00B9131A" w:rsidRDefault="00B6370D">
      <w:pPr>
        <w:spacing w:line="276" w:lineRule="auto"/>
        <w:rPr>
          <w:rFonts w:ascii="Times New Roman" w:hAnsi="Times New Roman" w:cs="Times New Roman"/>
        </w:rPr>
      </w:pPr>
      <w:r>
        <w:rPr>
          <w:rFonts w:ascii="Times New Roman" w:hAnsi="Times New Roman" w:cs="Times New Roman"/>
        </w:rPr>
        <w:t>Solar energy is the most abundant of all energy r</w:t>
      </w:r>
      <w:r>
        <w:rPr>
          <w:rFonts w:ascii="Times New Roman" w:hAnsi="Times New Roman" w:cs="Times New Roman"/>
        </w:rPr>
        <w:t>esources, the solar energy intercepted by the Earth is about 10,000 times greater than humanity's energy consumption rate. Solar technologies can provide heat, cooling, natural lighting, electricity, and fuels for various applications (</w:t>
      </w:r>
      <w:proofErr w:type="spellStart"/>
      <w:r>
        <w:rPr>
          <w:rFonts w:ascii="Times New Roman" w:hAnsi="Times New Roman" w:cs="Times New Roman"/>
        </w:rPr>
        <w:t>Ukoba</w:t>
      </w:r>
      <w:proofErr w:type="spellEnd"/>
      <w:r>
        <w:rPr>
          <w:rFonts w:ascii="Times New Roman" w:hAnsi="Times New Roman" w:cs="Times New Roman"/>
        </w:rPr>
        <w:t xml:space="preserve"> et al., 2024).</w:t>
      </w:r>
      <w:r>
        <w:rPr>
          <w:rFonts w:ascii="Times New Roman" w:hAnsi="Times New Roman" w:cs="Times New Roman"/>
        </w:rPr>
        <w:t xml:space="preserve"> Other forms of renewable energies are Wind energy (Manwell et al., 2024), Geothermal energy (Liu et al., 2024), Hydropower energy (Gómez-Beas et al., 2024), Ocean energy (Hassan et al., 2024), and Bioenergy (</w:t>
      </w:r>
      <w:proofErr w:type="spellStart"/>
      <w:r>
        <w:rPr>
          <w:rFonts w:ascii="Times New Roman" w:hAnsi="Times New Roman" w:cs="Times New Roman"/>
        </w:rPr>
        <w:t>Malico</w:t>
      </w:r>
      <w:proofErr w:type="spellEnd"/>
      <w:r>
        <w:rPr>
          <w:rFonts w:ascii="Times New Roman" w:hAnsi="Times New Roman" w:cs="Times New Roman"/>
        </w:rPr>
        <w:t xml:space="preserve">, 2024). Solar energy system can be used </w:t>
      </w:r>
      <w:r>
        <w:rPr>
          <w:rFonts w:ascii="Times New Roman" w:hAnsi="Times New Roman" w:cs="Times New Roman"/>
        </w:rPr>
        <w:t>in two modes, these are off-grid and on-grid (or grid connected) mode.</w:t>
      </w:r>
    </w:p>
    <w:p w14:paraId="2EC759CF" w14:textId="77777777" w:rsidR="00B9131A" w:rsidRDefault="00B6370D">
      <w:pPr>
        <w:spacing w:line="276" w:lineRule="auto"/>
        <w:rPr>
          <w:rFonts w:ascii="Times New Roman" w:hAnsi="Times New Roman" w:cs="Times New Roman"/>
        </w:rPr>
      </w:pPr>
      <w:r>
        <w:rPr>
          <w:rFonts w:ascii="Times New Roman" w:hAnsi="Times New Roman" w:cs="Times New Roman"/>
        </w:rPr>
        <w:t xml:space="preserve">With a population exceeding 200 million and abundant natural resources, Nigeria holds significant potential for development. Nigeria was once anticipated to emerge as a global economic </w:t>
      </w:r>
      <w:r>
        <w:rPr>
          <w:rFonts w:ascii="Times New Roman" w:hAnsi="Times New Roman" w:cs="Times New Roman"/>
        </w:rPr>
        <w:t>powerhouse, alongside Mexico, Indonesia, and Turkey, collectively known as “MINT” (O’Neill, 2014). However, this potential has largely remained untapped. Currently, Nigeria faces challenges due to its heavy reliance on oil revenue, with 75% of its budget d</w:t>
      </w:r>
      <w:r>
        <w:rPr>
          <w:rFonts w:ascii="Times New Roman" w:hAnsi="Times New Roman" w:cs="Times New Roman"/>
        </w:rPr>
        <w:t>erived from oil (Obada et al., 2024), particularly struggling amid oil prices below US$100. Currently, Nigeria faces significant challenges in finding its place in the global economy, given its multifaceted problems and unsustainable reliance on a mono-eco</w:t>
      </w:r>
      <w:r>
        <w:rPr>
          <w:rFonts w:ascii="Times New Roman" w:hAnsi="Times New Roman" w:cs="Times New Roman"/>
        </w:rPr>
        <w:t>nomy. Energy availability is crucial and remains a critical constraint to economic development in Nigeria (</w:t>
      </w:r>
      <w:proofErr w:type="spellStart"/>
      <w:r>
        <w:rPr>
          <w:rFonts w:ascii="Times New Roman" w:hAnsi="Times New Roman" w:cs="Times New Roman"/>
        </w:rPr>
        <w:t>Chanchangi</w:t>
      </w:r>
      <w:proofErr w:type="spellEnd"/>
      <w:r>
        <w:rPr>
          <w:rFonts w:ascii="Times New Roman" w:hAnsi="Times New Roman" w:cs="Times New Roman"/>
        </w:rPr>
        <w:t xml:space="preserve"> et al., 2023). Nigeria possesses vast energy resources from both renewable and non-renewable sources. The primary energy source in the cou</w:t>
      </w:r>
      <w:r>
        <w:rPr>
          <w:rFonts w:ascii="Times New Roman" w:hAnsi="Times New Roman" w:cs="Times New Roman"/>
        </w:rPr>
        <w:t>ntry is fossil fuels, which is highly vulnerable to fuel price volatility, availability issues, and socio-political forces that can create insecurity (</w:t>
      </w:r>
      <w:proofErr w:type="spellStart"/>
      <w:r>
        <w:rPr>
          <w:rFonts w:ascii="Times New Roman" w:hAnsi="Times New Roman" w:cs="Times New Roman"/>
        </w:rPr>
        <w:t>Ogunbode</w:t>
      </w:r>
      <w:proofErr w:type="spellEnd"/>
      <w:r>
        <w:rPr>
          <w:rFonts w:ascii="Times New Roman" w:hAnsi="Times New Roman" w:cs="Times New Roman"/>
        </w:rPr>
        <w:t xml:space="preserve"> et al., 2023). Approximately 85% of electricity generation in Nigeria comes from natural gas (</w:t>
      </w:r>
      <w:proofErr w:type="spellStart"/>
      <w:r>
        <w:rPr>
          <w:rFonts w:ascii="Times New Roman" w:hAnsi="Times New Roman" w:cs="Times New Roman"/>
        </w:rPr>
        <w:t>Ed</w:t>
      </w:r>
      <w:r>
        <w:rPr>
          <w:rFonts w:ascii="Times New Roman" w:hAnsi="Times New Roman" w:cs="Times New Roman"/>
        </w:rPr>
        <w:t>omah</w:t>
      </w:r>
      <w:proofErr w:type="spellEnd"/>
      <w:r>
        <w:rPr>
          <w:rFonts w:ascii="Times New Roman" w:hAnsi="Times New Roman" w:cs="Times New Roman"/>
        </w:rPr>
        <w:t>, 2019), with the remainder sourced from hydropower (</w:t>
      </w:r>
      <w:proofErr w:type="spellStart"/>
      <w:r>
        <w:rPr>
          <w:rFonts w:ascii="Times New Roman" w:hAnsi="Times New Roman" w:cs="Times New Roman"/>
        </w:rPr>
        <w:t>Edomah</w:t>
      </w:r>
      <w:proofErr w:type="spellEnd"/>
      <w:r>
        <w:rPr>
          <w:rFonts w:ascii="Times New Roman" w:hAnsi="Times New Roman" w:cs="Times New Roman"/>
        </w:rPr>
        <w:t>, 2019).</w:t>
      </w:r>
    </w:p>
    <w:p w14:paraId="30CD182B" w14:textId="77777777" w:rsidR="00B9131A" w:rsidRDefault="00B6370D">
      <w:pPr>
        <w:spacing w:line="276" w:lineRule="auto"/>
        <w:rPr>
          <w:rFonts w:ascii="Times New Roman" w:hAnsi="Times New Roman" w:cs="Times New Roman"/>
        </w:rPr>
      </w:pPr>
      <w:r>
        <w:rPr>
          <w:rFonts w:ascii="Times New Roman" w:hAnsi="Times New Roman" w:cs="Times New Roman"/>
        </w:rPr>
        <w:t>Ibadan, situated in southwestern Nigeria, is a city known for its historical significance, cultural diversity and economic prominence in the region. As Nigeria’s third largest city and</w:t>
      </w:r>
      <w:r>
        <w:rPr>
          <w:rFonts w:ascii="Times New Roman" w:hAnsi="Times New Roman" w:cs="Times New Roman"/>
        </w:rPr>
        <w:t xml:space="preserve"> the capital of Oyo state, Ibadan has experienced rapid urbanization and population growth over the years presenting both opportunities and challenges for its development. Ibadan’s population has expanded significantly, with estimates suggesting it exceede</w:t>
      </w:r>
      <w:r>
        <w:rPr>
          <w:rFonts w:ascii="Times New Roman" w:hAnsi="Times New Roman" w:cs="Times New Roman"/>
        </w:rPr>
        <w:t xml:space="preserve">d three million residents by 2020 (Babalola, 2023). The city’s population growth has been attributed to factors such as rural-urban migration, economic opportunities and the city’s role as a regional hub for commerce and education. Economically, Ibadan is </w:t>
      </w:r>
      <w:r>
        <w:rPr>
          <w:rFonts w:ascii="Times New Roman" w:hAnsi="Times New Roman" w:cs="Times New Roman"/>
        </w:rPr>
        <w:t>a major center for trade, agriculture and education. The city’s economy is supported by diverse sectors including manufacturing, commerce and services (</w:t>
      </w:r>
      <w:proofErr w:type="spellStart"/>
      <w:r>
        <w:rPr>
          <w:rFonts w:ascii="Times New Roman" w:hAnsi="Times New Roman" w:cs="Times New Roman"/>
        </w:rPr>
        <w:t>Omotoye</w:t>
      </w:r>
      <w:proofErr w:type="spellEnd"/>
      <w:r>
        <w:rPr>
          <w:rFonts w:ascii="Times New Roman" w:hAnsi="Times New Roman" w:cs="Times New Roman"/>
        </w:rPr>
        <w:t xml:space="preserve"> and </w:t>
      </w:r>
      <w:proofErr w:type="spellStart"/>
      <w:r>
        <w:rPr>
          <w:rFonts w:ascii="Times New Roman" w:hAnsi="Times New Roman" w:cs="Times New Roman"/>
        </w:rPr>
        <w:t>Ukabuilu</w:t>
      </w:r>
      <w:proofErr w:type="spellEnd"/>
      <w:r>
        <w:rPr>
          <w:rFonts w:ascii="Times New Roman" w:hAnsi="Times New Roman" w:cs="Times New Roman"/>
        </w:rPr>
        <w:t xml:space="preserve">, 2023). </w:t>
      </w:r>
    </w:p>
    <w:p w14:paraId="4724E56A" w14:textId="77777777" w:rsidR="00B9131A" w:rsidRDefault="00B6370D">
      <w:pPr>
        <w:spacing w:line="276" w:lineRule="auto"/>
        <w:rPr>
          <w:rFonts w:ascii="Times New Roman" w:hAnsi="Times New Roman" w:cs="Times New Roman"/>
        </w:rPr>
      </w:pPr>
      <w:r>
        <w:rPr>
          <w:rFonts w:ascii="Times New Roman" w:hAnsi="Times New Roman" w:cs="Times New Roman"/>
        </w:rPr>
        <w:t>In spite of its economic importance, the city of Ibadan still faces challe</w:t>
      </w:r>
      <w:r>
        <w:rPr>
          <w:rFonts w:ascii="Times New Roman" w:hAnsi="Times New Roman" w:cs="Times New Roman"/>
        </w:rPr>
        <w:t xml:space="preserve">nges in infrastructure development, particularly in the area of public utilities. The city’s electric supply is often </w:t>
      </w:r>
      <w:r>
        <w:rPr>
          <w:rFonts w:ascii="Times New Roman" w:hAnsi="Times New Roman" w:cs="Times New Roman"/>
        </w:rPr>
        <w:lastRenderedPageBreak/>
        <w:t>unreliable, characterized by frequent power outages and inadequate coverage (</w:t>
      </w:r>
      <w:proofErr w:type="spellStart"/>
      <w:r>
        <w:rPr>
          <w:rFonts w:ascii="Times New Roman" w:hAnsi="Times New Roman" w:cs="Times New Roman"/>
        </w:rPr>
        <w:t>Ogunbode</w:t>
      </w:r>
      <w:proofErr w:type="spellEnd"/>
      <w:r>
        <w:rPr>
          <w:rFonts w:ascii="Times New Roman" w:hAnsi="Times New Roman" w:cs="Times New Roman"/>
        </w:rPr>
        <w:t xml:space="preserve"> et al., 2023). This unreliable electricity provision</w:t>
      </w:r>
      <w:r>
        <w:rPr>
          <w:rFonts w:ascii="Times New Roman" w:hAnsi="Times New Roman" w:cs="Times New Roman"/>
        </w:rPr>
        <w:t xml:space="preserve"> has significant impacts on residents, businesses and industries, hindering economic growth and development, and Ibadan national museum of unity is also not left out which is the study case in this research. At present, the museum only depends on the grid </w:t>
      </w:r>
      <w:r>
        <w:rPr>
          <w:rFonts w:ascii="Times New Roman" w:hAnsi="Times New Roman" w:cs="Times New Roman"/>
        </w:rPr>
        <w:t>and diesel generator only to meet its energy demand (</w:t>
      </w:r>
      <w:proofErr w:type="spellStart"/>
      <w:r>
        <w:rPr>
          <w:rFonts w:ascii="Times New Roman" w:hAnsi="Times New Roman" w:cs="Times New Roman"/>
        </w:rPr>
        <w:t>Fadayiro</w:t>
      </w:r>
      <w:proofErr w:type="spellEnd"/>
      <w:r>
        <w:rPr>
          <w:rFonts w:ascii="Times New Roman" w:hAnsi="Times New Roman" w:cs="Times New Roman"/>
        </w:rPr>
        <w:t>, 2022).</w:t>
      </w:r>
    </w:p>
    <w:p w14:paraId="6D81EB65" w14:textId="77777777" w:rsidR="00B9131A" w:rsidRDefault="00B6370D">
      <w:pPr>
        <w:spacing w:line="276" w:lineRule="auto"/>
        <w:rPr>
          <w:rFonts w:ascii="Times New Roman" w:hAnsi="Times New Roman" w:cs="Times New Roman"/>
        </w:rPr>
      </w:pPr>
      <w:r>
        <w:rPr>
          <w:rFonts w:ascii="Times New Roman" w:hAnsi="Times New Roman" w:cs="Times New Roman"/>
        </w:rPr>
        <w:t>Despite the museum’s reliance on a diesel generator to support the grid, this solution has several significant shortcomings. Diesel generators are expensive to maintain, requiring regula</w:t>
      </w:r>
      <w:r>
        <w:rPr>
          <w:rFonts w:ascii="Times New Roman" w:hAnsi="Times New Roman" w:cs="Times New Roman"/>
        </w:rPr>
        <w:t>r servicing such as oil changes and filter replacements. They also have a substantial environmental impact, releasing harmful emissions like nitrogen oxides (NO</w:t>
      </w:r>
      <w:r>
        <w:rPr>
          <w:rFonts w:ascii="Times New Roman" w:hAnsi="Times New Roman" w:cs="Times New Roman"/>
          <w:vertAlign w:val="subscript"/>
        </w:rPr>
        <w:t>x</w:t>
      </w:r>
      <w:r>
        <w:rPr>
          <w:rFonts w:ascii="Times New Roman" w:hAnsi="Times New Roman" w:cs="Times New Roman"/>
        </w:rPr>
        <w:t>), carbon-dioxide (CO</w:t>
      </w:r>
      <w:r>
        <w:rPr>
          <w:rFonts w:ascii="Times New Roman" w:hAnsi="Times New Roman" w:cs="Times New Roman"/>
          <w:vertAlign w:val="subscript"/>
        </w:rPr>
        <w:t>2</w:t>
      </w:r>
      <w:r>
        <w:rPr>
          <w:rFonts w:ascii="Times New Roman" w:hAnsi="Times New Roman" w:cs="Times New Roman"/>
        </w:rPr>
        <w:t>), and Sulphur-dioxide (SO2), which negatively affect the environment. Ad</w:t>
      </w:r>
      <w:r>
        <w:rPr>
          <w:rFonts w:ascii="Times New Roman" w:hAnsi="Times New Roman" w:cs="Times New Roman"/>
        </w:rPr>
        <w:t xml:space="preserve">ditionally, the noise pollution they produce is a major drawback, particularly in quiet areas. Considering these shortcomings, using diesel generator alongside the grid proves to be an inefficient solution. </w:t>
      </w:r>
    </w:p>
    <w:p w14:paraId="2C30845E" w14:textId="77777777" w:rsidR="00B9131A" w:rsidRDefault="00B6370D">
      <w:pPr>
        <w:spacing w:line="276" w:lineRule="auto"/>
        <w:rPr>
          <w:rFonts w:ascii="Times New Roman" w:hAnsi="Times New Roman" w:cs="Times New Roman"/>
        </w:rPr>
      </w:pPr>
      <w:r>
        <w:rPr>
          <w:rFonts w:ascii="Times New Roman" w:hAnsi="Times New Roman" w:cs="Times New Roman"/>
        </w:rPr>
        <w:t xml:space="preserve">In this case, renewable energy such as solar energy is a promising solution, but it is not efficient and reliable due to its intermittency. Therefore, this research proposes hybridizing a diesel generator with renewable energy and a battery storage system </w:t>
      </w:r>
      <w:r>
        <w:rPr>
          <w:rFonts w:ascii="Times New Roman" w:hAnsi="Times New Roman" w:cs="Times New Roman"/>
        </w:rPr>
        <w:t xml:space="preserve">to mitigate this problem. However, since we’re having more than two energy sources, it is essential to optimize their sizing. Several </w:t>
      </w:r>
      <w:proofErr w:type="spellStart"/>
      <w:r>
        <w:rPr>
          <w:rFonts w:ascii="Times New Roman" w:hAnsi="Times New Roman" w:cs="Times New Roman"/>
        </w:rPr>
        <w:t>optimiser</w:t>
      </w:r>
      <w:proofErr w:type="spellEnd"/>
      <w:r>
        <w:rPr>
          <w:rFonts w:ascii="Times New Roman" w:hAnsi="Times New Roman" w:cs="Times New Roman"/>
        </w:rPr>
        <w:t xml:space="preserve"> have been proposed but due to their shortcomings such as inability to optimally design the sizes of the componen</w:t>
      </w:r>
      <w:r>
        <w:rPr>
          <w:rFonts w:ascii="Times New Roman" w:hAnsi="Times New Roman" w:cs="Times New Roman"/>
        </w:rPr>
        <w:t>ts. Hence, a need for a better optimizer. Hybrid Optimization of Multiple Energy Resources (HOMER) is the common commercial software use for this purpose, however, the need to enhance a cost effective and efficient analysis is needed because of the cost im</w:t>
      </w:r>
      <w:r>
        <w:rPr>
          <w:rFonts w:ascii="Times New Roman" w:hAnsi="Times New Roman" w:cs="Times New Roman"/>
        </w:rPr>
        <w:t xml:space="preserve">plication and inefficiency of the previous solutions. </w:t>
      </w:r>
    </w:p>
    <w:p w14:paraId="5C52DB98" w14:textId="77777777" w:rsidR="00B9131A" w:rsidRDefault="00B6370D">
      <w:pPr>
        <w:spacing w:line="276" w:lineRule="auto"/>
        <w:rPr>
          <w:rFonts w:ascii="Times New Roman" w:hAnsi="Times New Roman" w:cs="Times New Roman"/>
        </w:rPr>
      </w:pPr>
      <w:proofErr w:type="spellStart"/>
      <w:r>
        <w:rPr>
          <w:rFonts w:ascii="Times New Roman" w:hAnsi="Times New Roman" w:cs="Times New Roman"/>
        </w:rPr>
        <w:t>RETScreen</w:t>
      </w:r>
      <w:proofErr w:type="spellEnd"/>
      <w:r>
        <w:rPr>
          <w:rFonts w:ascii="Times New Roman" w:hAnsi="Times New Roman" w:cs="Times New Roman"/>
        </w:rPr>
        <w:t xml:space="preserve"> is an innovative renewable energy software developed by the Canadian Government to support planning, education, and decision-making in renewable energy development and management (</w:t>
      </w:r>
      <w:proofErr w:type="spellStart"/>
      <w:r>
        <w:rPr>
          <w:rFonts w:ascii="Times New Roman" w:hAnsi="Times New Roman" w:cs="Times New Roman"/>
        </w:rPr>
        <w:t>Iweh</w:t>
      </w:r>
      <w:proofErr w:type="spellEnd"/>
      <w:r>
        <w:rPr>
          <w:rFonts w:ascii="Times New Roman" w:hAnsi="Times New Roman" w:cs="Times New Roman"/>
        </w:rPr>
        <w:t xml:space="preserve"> et al.</w:t>
      </w:r>
      <w:r>
        <w:rPr>
          <w:rFonts w:ascii="Times New Roman" w:hAnsi="Times New Roman" w:cs="Times New Roman"/>
        </w:rPr>
        <w:t xml:space="preserve">, 2023). The software is an intellectual property of a network of over 307 experts, including academia, government, and industry. In addition to the latest software version, </w:t>
      </w:r>
      <w:proofErr w:type="spellStart"/>
      <w:r>
        <w:rPr>
          <w:rFonts w:ascii="Times New Roman" w:hAnsi="Times New Roman" w:cs="Times New Roman"/>
        </w:rPr>
        <w:t>RETScreen</w:t>
      </w:r>
      <w:proofErr w:type="spellEnd"/>
      <w:r>
        <w:rPr>
          <w:rFonts w:ascii="Times New Roman" w:hAnsi="Times New Roman" w:cs="Times New Roman"/>
        </w:rPr>
        <w:t xml:space="preserve"> Expert is available in a free viewer mode (</w:t>
      </w:r>
      <w:proofErr w:type="spellStart"/>
      <w:r>
        <w:rPr>
          <w:rFonts w:ascii="Times New Roman" w:hAnsi="Times New Roman" w:cs="Times New Roman"/>
        </w:rPr>
        <w:t>Acakpovi</w:t>
      </w:r>
      <w:proofErr w:type="spellEnd"/>
      <w:r>
        <w:rPr>
          <w:rFonts w:ascii="Times New Roman" w:hAnsi="Times New Roman" w:cs="Times New Roman"/>
        </w:rPr>
        <w:t xml:space="preserve"> et al., 2015). </w:t>
      </w:r>
      <w:proofErr w:type="spellStart"/>
      <w:r>
        <w:rPr>
          <w:rFonts w:ascii="Times New Roman" w:hAnsi="Times New Roman" w:cs="Times New Roman"/>
        </w:rPr>
        <w:t>RETSc</w:t>
      </w:r>
      <w:r>
        <w:rPr>
          <w:rFonts w:ascii="Times New Roman" w:hAnsi="Times New Roman" w:cs="Times New Roman"/>
        </w:rPr>
        <w:t>reen's</w:t>
      </w:r>
      <w:proofErr w:type="spellEnd"/>
      <w:r>
        <w:rPr>
          <w:rFonts w:ascii="Times New Roman" w:hAnsi="Times New Roman" w:cs="Times New Roman"/>
        </w:rPr>
        <w:t xml:space="preserve"> unique features significantly reduce time and cost associated with identifying and evaluating potential energy issues and developments during planning, feasibility, implementation, and engineering stages. The </w:t>
      </w:r>
      <w:proofErr w:type="spellStart"/>
      <w:r>
        <w:rPr>
          <w:rFonts w:ascii="Times New Roman" w:hAnsi="Times New Roman" w:cs="Times New Roman"/>
        </w:rPr>
        <w:t>RETScreen</w:t>
      </w:r>
      <w:proofErr w:type="spellEnd"/>
      <w:r>
        <w:rPr>
          <w:rFonts w:ascii="Times New Roman" w:hAnsi="Times New Roman" w:cs="Times New Roman"/>
        </w:rPr>
        <w:t xml:space="preserve"> PV project model is widely use</w:t>
      </w:r>
      <w:r>
        <w:rPr>
          <w:rFonts w:ascii="Times New Roman" w:hAnsi="Times New Roman" w:cs="Times New Roman"/>
        </w:rPr>
        <w:t>d for calculating life-cycle costs, energy production, and greenhouse gas (GHG) reduction for three fundamental PV applications: water pumping, grid-connected (on-grid), and off-grid systems (</w:t>
      </w:r>
      <w:proofErr w:type="spellStart"/>
      <w:r>
        <w:rPr>
          <w:rFonts w:ascii="Times New Roman" w:hAnsi="Times New Roman" w:cs="Times New Roman"/>
        </w:rPr>
        <w:t>Paradongan</w:t>
      </w:r>
      <w:proofErr w:type="spellEnd"/>
      <w:r>
        <w:rPr>
          <w:rFonts w:ascii="Times New Roman" w:hAnsi="Times New Roman" w:cs="Times New Roman"/>
        </w:rPr>
        <w:t xml:space="preserve"> et al., 2024).</w:t>
      </w:r>
    </w:p>
    <w:p w14:paraId="71BF4110" w14:textId="77777777" w:rsidR="00B9131A" w:rsidRDefault="00B6370D">
      <w:pPr>
        <w:spacing w:line="276" w:lineRule="auto"/>
        <w:rPr>
          <w:rFonts w:ascii="Times New Roman" w:hAnsi="Times New Roman" w:cs="Times New Roman"/>
        </w:rPr>
      </w:pPr>
      <w:r>
        <w:rPr>
          <w:rFonts w:ascii="Times New Roman" w:hAnsi="Times New Roman" w:cs="Times New Roman"/>
        </w:rPr>
        <w:t>This work designed a grid connected PV</w:t>
      </w:r>
      <w:r>
        <w:rPr>
          <w:rFonts w:ascii="Times New Roman" w:hAnsi="Times New Roman" w:cs="Times New Roman"/>
        </w:rPr>
        <w:t xml:space="preserve"> system with battery storage to suppress the epileptic power supply of national museum of unity in Ibadan using </w:t>
      </w:r>
      <w:bookmarkStart w:id="1" w:name="_Hlk200380741"/>
      <w:r>
        <w:rPr>
          <w:rFonts w:ascii="Times New Roman" w:hAnsi="Times New Roman" w:cs="Times New Roman"/>
        </w:rPr>
        <w:t xml:space="preserve">HOMER software and </w:t>
      </w:r>
      <w:proofErr w:type="spellStart"/>
      <w:r>
        <w:rPr>
          <w:rFonts w:ascii="Times New Roman" w:hAnsi="Times New Roman" w:cs="Times New Roman"/>
        </w:rPr>
        <w:t>and</w:t>
      </w:r>
      <w:proofErr w:type="spellEnd"/>
      <w:r>
        <w:rPr>
          <w:rFonts w:ascii="Times New Roman" w:hAnsi="Times New Roman" w:cs="Times New Roman"/>
        </w:rPr>
        <w:t xml:space="preserve"> analyze its techno-economic and environmental benefits using </w:t>
      </w:r>
      <w:proofErr w:type="spellStart"/>
      <w:r>
        <w:rPr>
          <w:rFonts w:ascii="Times New Roman" w:hAnsi="Times New Roman" w:cs="Times New Roman"/>
        </w:rPr>
        <w:t>Retscreen</w:t>
      </w:r>
      <w:proofErr w:type="spellEnd"/>
      <w:r>
        <w:rPr>
          <w:rFonts w:ascii="Times New Roman" w:hAnsi="Times New Roman" w:cs="Times New Roman"/>
        </w:rPr>
        <w:t xml:space="preserve"> software</w:t>
      </w:r>
      <w:bookmarkEnd w:id="1"/>
      <w:r>
        <w:rPr>
          <w:rFonts w:ascii="Times New Roman" w:hAnsi="Times New Roman" w:cs="Times New Roman"/>
        </w:rPr>
        <w:t>.</w:t>
      </w:r>
    </w:p>
    <w:p w14:paraId="513003C3" w14:textId="77777777" w:rsidR="00B9131A" w:rsidRDefault="00B6370D">
      <w:pPr>
        <w:spacing w:line="276" w:lineRule="auto"/>
        <w:rPr>
          <w:rFonts w:ascii="Times New Roman" w:hAnsi="Times New Roman" w:cs="Times New Roman"/>
          <w:b/>
          <w:bCs/>
        </w:rPr>
      </w:pPr>
      <w:r>
        <w:rPr>
          <w:rFonts w:ascii="Times New Roman" w:hAnsi="Times New Roman" w:cs="Times New Roman"/>
          <w:b/>
          <w:bCs/>
        </w:rPr>
        <w:t>2.  Literature Review</w:t>
      </w:r>
    </w:p>
    <w:p w14:paraId="3A0D40E8" w14:textId="77777777" w:rsidR="00B9131A" w:rsidRDefault="00B6370D">
      <w:pPr>
        <w:spacing w:line="276" w:lineRule="auto"/>
        <w:rPr>
          <w:rFonts w:ascii="Times New Roman" w:hAnsi="Times New Roman" w:cs="Times New Roman"/>
        </w:rPr>
      </w:pPr>
      <w:r>
        <w:rPr>
          <w:rFonts w:ascii="Times New Roman" w:hAnsi="Times New Roman" w:cs="Times New Roman"/>
        </w:rPr>
        <w:lastRenderedPageBreak/>
        <w:t>Many works had bee</w:t>
      </w:r>
      <w:r>
        <w:rPr>
          <w:rFonts w:ascii="Times New Roman" w:hAnsi="Times New Roman" w:cs="Times New Roman"/>
        </w:rPr>
        <w:t xml:space="preserve">n proposed on the optimal design of grid-connected PV system. </w:t>
      </w:r>
      <w:proofErr w:type="spellStart"/>
      <w:r>
        <w:rPr>
          <w:rFonts w:ascii="Times New Roman" w:hAnsi="Times New Roman" w:cs="Times New Roman"/>
        </w:rPr>
        <w:t>Jamalaiah</w:t>
      </w:r>
      <w:proofErr w:type="spellEnd"/>
      <w:r>
        <w:rPr>
          <w:rFonts w:ascii="Times New Roman" w:hAnsi="Times New Roman" w:cs="Times New Roman"/>
        </w:rPr>
        <w:t xml:space="preserve"> et al. (2017) conducted research aimed at optimizing the operation of a PV-FC system with a storage device under DC grid-connected mode, presenting simulation results. While numerous t</w:t>
      </w:r>
      <w:r>
        <w:rPr>
          <w:rFonts w:ascii="Times New Roman" w:hAnsi="Times New Roman" w:cs="Times New Roman"/>
        </w:rPr>
        <w:t xml:space="preserve">echniques for system sizing exist, many are complex to design and optimize, often yielding inaccurate simulation outcomes. The study utilized HOMER software for simulating and analyzing hybrid systems, simplifying the evaluation of designs. </w:t>
      </w:r>
    </w:p>
    <w:p w14:paraId="297FE1CB" w14:textId="77777777" w:rsidR="00B9131A" w:rsidRDefault="00B6370D">
      <w:pPr>
        <w:spacing w:line="276" w:lineRule="auto"/>
        <w:rPr>
          <w:rFonts w:ascii="Times New Roman" w:hAnsi="Times New Roman" w:cs="Times New Roman"/>
        </w:rPr>
      </w:pPr>
      <w:r>
        <w:rPr>
          <w:rFonts w:ascii="Times New Roman" w:hAnsi="Times New Roman" w:cs="Times New Roman"/>
        </w:rPr>
        <w:t xml:space="preserve">Al Garni et </w:t>
      </w:r>
      <w:r>
        <w:rPr>
          <w:rFonts w:ascii="Times New Roman" w:hAnsi="Times New Roman" w:cs="Times New Roman"/>
        </w:rPr>
        <w:t>al. (2018) investigated the optimal design and analysis of grid-connected photovoltaic (PV) systems under various tracking systems using HOMER software. The study considered PV tracking configurations such as horizontal-axis (monthly adjustment, weekly adj</w:t>
      </w:r>
      <w:r>
        <w:rPr>
          <w:rFonts w:ascii="Times New Roman" w:hAnsi="Times New Roman" w:cs="Times New Roman"/>
        </w:rPr>
        <w:t>ustment, daily adjustment, continuous adjustment), vertical-axis (continuous adjustment), and two-axis tracking.</w:t>
      </w:r>
    </w:p>
    <w:p w14:paraId="2A05F699" w14:textId="77777777" w:rsidR="00B9131A" w:rsidRDefault="00B6370D">
      <w:pPr>
        <w:spacing w:line="276" w:lineRule="auto"/>
        <w:rPr>
          <w:rFonts w:ascii="Times New Roman" w:hAnsi="Times New Roman" w:cs="Times New Roman"/>
        </w:rPr>
      </w:pPr>
      <w:proofErr w:type="spellStart"/>
      <w:r>
        <w:rPr>
          <w:rFonts w:ascii="Times New Roman" w:hAnsi="Times New Roman" w:cs="Times New Roman"/>
        </w:rPr>
        <w:t>Movahediyan</w:t>
      </w:r>
      <w:proofErr w:type="spellEnd"/>
      <w:r>
        <w:rPr>
          <w:rFonts w:ascii="Times New Roman" w:hAnsi="Times New Roman" w:cs="Times New Roman"/>
        </w:rPr>
        <w:t xml:space="preserve"> and </w:t>
      </w:r>
      <w:proofErr w:type="spellStart"/>
      <w:r>
        <w:rPr>
          <w:rFonts w:ascii="Times New Roman" w:hAnsi="Times New Roman" w:cs="Times New Roman"/>
        </w:rPr>
        <w:t>Askarzadeh</w:t>
      </w:r>
      <w:proofErr w:type="spellEnd"/>
      <w:r>
        <w:rPr>
          <w:rFonts w:ascii="Times New Roman" w:hAnsi="Times New Roman" w:cs="Times New Roman"/>
        </w:rPr>
        <w:t xml:space="preserve"> (2018) proposed a multi-objective optimization framework to design a PV/DG power generation system for an isolated c</w:t>
      </w:r>
      <w:r>
        <w:rPr>
          <w:rFonts w:ascii="Times New Roman" w:hAnsi="Times New Roman" w:cs="Times New Roman"/>
        </w:rPr>
        <w:t xml:space="preserve">ommunity in the presence of operating reserve. Operating reserve is the safety margin to ensure the system reliability despite variability in load and PV power supply. Total net present cost (TNPC), CO2 emission and loss of power supply probability (LPSP) </w:t>
      </w:r>
      <w:r>
        <w:rPr>
          <w:rFonts w:ascii="Times New Roman" w:hAnsi="Times New Roman" w:cs="Times New Roman"/>
        </w:rPr>
        <w:t>were considered as the objectives function. The objectives were solved using a meta-heuristic method, crow search algorithm (CSA). Simulated results show that by considering operating reserve, the size (correspondingly the cost) of the system increases sig</w:t>
      </w:r>
      <w:r>
        <w:rPr>
          <w:rFonts w:ascii="Times New Roman" w:hAnsi="Times New Roman" w:cs="Times New Roman"/>
        </w:rPr>
        <w:t>nificantly.</w:t>
      </w:r>
    </w:p>
    <w:p w14:paraId="41D21ADB" w14:textId="77777777" w:rsidR="00B9131A" w:rsidRDefault="00B6370D">
      <w:pPr>
        <w:spacing w:line="276" w:lineRule="auto"/>
        <w:rPr>
          <w:rFonts w:ascii="Times New Roman" w:hAnsi="Times New Roman" w:cs="Times New Roman"/>
        </w:rPr>
      </w:pPr>
      <w:r>
        <w:rPr>
          <w:rFonts w:ascii="Times New Roman" w:hAnsi="Times New Roman" w:cs="Times New Roman"/>
        </w:rPr>
        <w:t>Alabi et al. (2019) investigated the feasibility of deploying stand-alone solar PV systems without storage to meet the daytime energy needs of the Canaan-land community. They analyzed the community's load profile using consumption data and desi</w:t>
      </w:r>
      <w:r>
        <w:rPr>
          <w:rFonts w:ascii="Times New Roman" w:hAnsi="Times New Roman" w:cs="Times New Roman"/>
        </w:rPr>
        <w:t>gned solar power plants based on this analysis. Simulations were conducted with PV Syst 6.43 software, and the design results were evaluated. The study found that the solar power plant could meet the community's daytime load from 10:30 am to 4:30 pm daily,</w:t>
      </w:r>
      <w:r>
        <w:rPr>
          <w:rFonts w:ascii="Times New Roman" w:hAnsi="Times New Roman" w:cs="Times New Roman"/>
        </w:rPr>
        <w:t xml:space="preserve"> effectively covering both the peak load of 5.16 MW and the base load of 0.78 MW.</w:t>
      </w:r>
    </w:p>
    <w:p w14:paraId="345D2424" w14:textId="77777777" w:rsidR="00B9131A" w:rsidRDefault="00B6370D">
      <w:pPr>
        <w:spacing w:line="276" w:lineRule="auto"/>
        <w:rPr>
          <w:rFonts w:ascii="Times New Roman" w:hAnsi="Times New Roman" w:cs="Times New Roman"/>
        </w:rPr>
      </w:pPr>
      <w:proofErr w:type="spellStart"/>
      <w:r>
        <w:rPr>
          <w:rFonts w:ascii="Times New Roman" w:hAnsi="Times New Roman" w:cs="Times New Roman"/>
        </w:rPr>
        <w:t>Achirgbenda</w:t>
      </w:r>
      <w:proofErr w:type="spellEnd"/>
      <w:r>
        <w:rPr>
          <w:rFonts w:ascii="Times New Roman" w:hAnsi="Times New Roman" w:cs="Times New Roman"/>
        </w:rPr>
        <w:t xml:space="preserve"> et al. (2020) conducted a study to assess the feasibility of providing power to a remote hospital in </w:t>
      </w:r>
      <w:proofErr w:type="spellStart"/>
      <w:r>
        <w:rPr>
          <w:rFonts w:ascii="Times New Roman" w:hAnsi="Times New Roman" w:cs="Times New Roman"/>
        </w:rPr>
        <w:t>Vandeikya</w:t>
      </w:r>
      <w:proofErr w:type="spellEnd"/>
      <w:r>
        <w:rPr>
          <w:rFonts w:ascii="Times New Roman" w:hAnsi="Times New Roman" w:cs="Times New Roman"/>
        </w:rPr>
        <w:t xml:space="preserve"> local government area of Benue State, which current</w:t>
      </w:r>
      <w:r>
        <w:rPr>
          <w:rFonts w:ascii="Times New Roman" w:hAnsi="Times New Roman" w:cs="Times New Roman"/>
        </w:rPr>
        <w:t>ly relies solely on a diesel generator. They measured the hospital's average hourly electrical load demand using a digital Owl meter (CM 199) in the power house.</w:t>
      </w:r>
    </w:p>
    <w:p w14:paraId="74405816" w14:textId="77777777" w:rsidR="00B9131A" w:rsidRDefault="00B6370D">
      <w:pPr>
        <w:spacing w:line="276" w:lineRule="auto"/>
        <w:rPr>
          <w:rFonts w:ascii="Times New Roman" w:hAnsi="Times New Roman" w:cs="Times New Roman"/>
        </w:rPr>
      </w:pPr>
      <w:r>
        <w:rPr>
          <w:rFonts w:ascii="Times New Roman" w:hAnsi="Times New Roman" w:cs="Times New Roman"/>
        </w:rPr>
        <w:t>Baba et al. (2020) examined the design, evaluation, and techno-economic feasibility of supplyi</w:t>
      </w:r>
      <w:r>
        <w:rPr>
          <w:rFonts w:ascii="Times New Roman" w:hAnsi="Times New Roman" w:cs="Times New Roman"/>
        </w:rPr>
        <w:t xml:space="preserve">ng electricity to the rural community of </w:t>
      </w:r>
      <w:proofErr w:type="spellStart"/>
      <w:r>
        <w:rPr>
          <w:rFonts w:ascii="Times New Roman" w:hAnsi="Times New Roman" w:cs="Times New Roman"/>
        </w:rPr>
        <w:t>Dilchidama</w:t>
      </w:r>
      <w:proofErr w:type="spellEnd"/>
      <w:r>
        <w:rPr>
          <w:rFonts w:ascii="Times New Roman" w:hAnsi="Times New Roman" w:cs="Times New Roman"/>
        </w:rPr>
        <w:t xml:space="preserve"> in Nigeria using renewable energy sources. The study considered a total of 77 households, one primary school, one primary health center, and four shops, with an estimated total load of 306 kWh/day. They c</w:t>
      </w:r>
      <w:r>
        <w:rPr>
          <w:rFonts w:ascii="Times New Roman" w:hAnsi="Times New Roman" w:cs="Times New Roman"/>
        </w:rPr>
        <w:t xml:space="preserve">ompared the design and feasibility of renewable energy resources with the option of extending the national grid to the area, using HOMER and </w:t>
      </w:r>
      <w:proofErr w:type="spellStart"/>
      <w:r>
        <w:rPr>
          <w:rFonts w:ascii="Times New Roman" w:hAnsi="Times New Roman" w:cs="Times New Roman"/>
        </w:rPr>
        <w:t>RETScreen</w:t>
      </w:r>
      <w:proofErr w:type="spellEnd"/>
      <w:r>
        <w:rPr>
          <w:rFonts w:ascii="Times New Roman" w:hAnsi="Times New Roman" w:cs="Times New Roman"/>
        </w:rPr>
        <w:t xml:space="preserve"> tools. The findings revealed that extending the grid is significantly more cost-effective than implementi</w:t>
      </w:r>
      <w:r>
        <w:rPr>
          <w:rFonts w:ascii="Times New Roman" w:hAnsi="Times New Roman" w:cs="Times New Roman"/>
        </w:rPr>
        <w:t xml:space="preserve">ng a solar photovoltaic system for distances up </w:t>
      </w:r>
      <w:r>
        <w:rPr>
          <w:rFonts w:ascii="Times New Roman" w:hAnsi="Times New Roman" w:cs="Times New Roman"/>
        </w:rPr>
        <w:lastRenderedPageBreak/>
        <w:t xml:space="preserve">to 9.9 km. Though their work focused on the rural electrification, its outcome establishes the feasibility of using both HOMER and </w:t>
      </w:r>
      <w:proofErr w:type="spellStart"/>
      <w:r>
        <w:rPr>
          <w:rFonts w:ascii="Times New Roman" w:hAnsi="Times New Roman" w:cs="Times New Roman"/>
        </w:rPr>
        <w:t>RETScreen</w:t>
      </w:r>
      <w:proofErr w:type="spellEnd"/>
      <w:r>
        <w:rPr>
          <w:rFonts w:ascii="Times New Roman" w:hAnsi="Times New Roman" w:cs="Times New Roman"/>
        </w:rPr>
        <w:t xml:space="preserve"> tools together. </w:t>
      </w:r>
    </w:p>
    <w:p w14:paraId="63802A1E" w14:textId="77777777" w:rsidR="00B9131A" w:rsidRDefault="00B6370D">
      <w:pPr>
        <w:spacing w:line="276" w:lineRule="auto"/>
        <w:rPr>
          <w:rFonts w:ascii="Times New Roman" w:hAnsi="Times New Roman" w:cs="Times New Roman"/>
        </w:rPr>
      </w:pPr>
      <w:r>
        <w:rPr>
          <w:rFonts w:ascii="Times New Roman" w:hAnsi="Times New Roman" w:cs="Times New Roman"/>
          <w:color w:val="222222"/>
          <w:shd w:val="clear" w:color="auto" w:fill="FFFFFF"/>
        </w:rPr>
        <w:t>Malwa and Khan, (2020)</w:t>
      </w:r>
      <w:r>
        <w:rPr>
          <w:rFonts w:ascii="Times New Roman" w:hAnsi="Times New Roman" w:cs="Times New Roman"/>
        </w:rPr>
        <w:t xml:space="preserve"> designed an optimized Hybri</w:t>
      </w:r>
      <w:r>
        <w:rPr>
          <w:rFonts w:ascii="Times New Roman" w:hAnsi="Times New Roman" w:cs="Times New Roman"/>
        </w:rPr>
        <w:t xml:space="preserve">d Energy System for an </w:t>
      </w:r>
      <w:proofErr w:type="gramStart"/>
      <w:r>
        <w:rPr>
          <w:rFonts w:ascii="Times New Roman" w:hAnsi="Times New Roman" w:cs="Times New Roman"/>
        </w:rPr>
        <w:t>Off Grid</w:t>
      </w:r>
      <w:proofErr w:type="gramEnd"/>
      <w:r>
        <w:rPr>
          <w:rFonts w:ascii="Times New Roman" w:hAnsi="Times New Roman" w:cs="Times New Roman"/>
        </w:rPr>
        <w:t xml:space="preserve"> Area of Bangladesh using HOMER software. </w:t>
      </w:r>
      <w:proofErr w:type="spellStart"/>
      <w:r>
        <w:rPr>
          <w:rFonts w:ascii="Times New Roman" w:hAnsi="Times New Roman" w:cs="Times New Roman"/>
        </w:rPr>
        <w:t>RETScreen</w:t>
      </w:r>
      <w:proofErr w:type="spellEnd"/>
      <w:r>
        <w:rPr>
          <w:rFonts w:ascii="Times New Roman" w:hAnsi="Times New Roman" w:cs="Times New Roman"/>
        </w:rPr>
        <w:t xml:space="preserve"> was used to validate the HOMER software result where COE was completely commensurate. The two software were used for the design and simulation of their Hybrid system and the</w:t>
      </w:r>
      <w:r>
        <w:rPr>
          <w:rFonts w:ascii="Times New Roman" w:hAnsi="Times New Roman" w:cs="Times New Roman"/>
        </w:rPr>
        <w:t xml:space="preserve">ir results were compared to know the one with highest energy production and cost. In contrast to this, the proposed methodology of this study aimed not to compare the performance of the optimizer, but to complement their performance.  </w:t>
      </w:r>
    </w:p>
    <w:p w14:paraId="46DCB0EB" w14:textId="77777777" w:rsidR="00B9131A" w:rsidRDefault="00B6370D">
      <w:pPr>
        <w:spacing w:line="276" w:lineRule="auto"/>
        <w:rPr>
          <w:rFonts w:ascii="Times New Roman" w:hAnsi="Times New Roman" w:cs="Times New Roman"/>
        </w:rPr>
      </w:pPr>
      <w:r>
        <w:rPr>
          <w:rFonts w:ascii="Times New Roman" w:hAnsi="Times New Roman" w:cs="Times New Roman"/>
        </w:rPr>
        <w:t>Li and Wu, (2020) co</w:t>
      </w:r>
      <w:r>
        <w:rPr>
          <w:rFonts w:ascii="Times New Roman" w:hAnsi="Times New Roman" w:cs="Times New Roman"/>
        </w:rPr>
        <w:t>nducted research on optimizing photovoltaic (PV) systems with battery energy storage systems (BESS) using real-world data. Their study aimed to determine the optimal size of PV panels, the optimal capacity of BESS, and the best scheduling for BESS charging</w:t>
      </w:r>
      <w:r>
        <w:rPr>
          <w:rFonts w:ascii="Times New Roman" w:hAnsi="Times New Roman" w:cs="Times New Roman"/>
        </w:rPr>
        <w:t xml:space="preserve"> and discharging to minimize long-term overall costs, including both utility bills and the PV system expenses. The optimization considered numerous parameters such as energy usage, energy cost, weather, geographic location, inflation, and the cost, efficie</w:t>
      </w:r>
      <w:r>
        <w:rPr>
          <w:rFonts w:ascii="Times New Roman" w:hAnsi="Times New Roman" w:cs="Times New Roman"/>
        </w:rPr>
        <w:t>ncy, and aging effects of solar panels and BESS. To account for long-term impacts like aging, inflation, and discounted economic returns, the problem was formulated as a mixed integer nonlinear programming (MINLP) problem over a time horizon covering the e</w:t>
      </w:r>
      <w:r>
        <w:rPr>
          <w:rFonts w:ascii="Times New Roman" w:hAnsi="Times New Roman" w:cs="Times New Roman"/>
        </w:rPr>
        <w:t>ntire life cycles of the solar panels and BESS, which can span ten years or more. However, the study focused on the cost minimization, not minding the technical and environment benefits of the system considered.</w:t>
      </w:r>
    </w:p>
    <w:p w14:paraId="1B7BF00E" w14:textId="77777777" w:rsidR="00B9131A" w:rsidRDefault="00B6370D">
      <w:pPr>
        <w:spacing w:line="276" w:lineRule="auto"/>
        <w:rPr>
          <w:rFonts w:ascii="Times New Roman" w:hAnsi="Times New Roman" w:cs="Times New Roman"/>
        </w:rPr>
      </w:pPr>
      <w:r>
        <w:rPr>
          <w:rFonts w:ascii="Times New Roman" w:hAnsi="Times New Roman" w:cs="Times New Roman"/>
        </w:rPr>
        <w:t>Wilson et al. (2021) researched a sustainabl</w:t>
      </w:r>
      <w:r>
        <w:rPr>
          <w:rFonts w:ascii="Times New Roman" w:hAnsi="Times New Roman" w:cs="Times New Roman"/>
        </w:rPr>
        <w:t xml:space="preserve">e approach to electricity generation for telecommunication industries in Port Harcourt by optimizing a hybrid wind-photovoltaic renewable energy system. They performed a sensitivity analysis of the optimized hybrid system model and compared various energy </w:t>
      </w:r>
      <w:r>
        <w:rPr>
          <w:rFonts w:ascii="Times New Roman" w:hAnsi="Times New Roman" w:cs="Times New Roman"/>
        </w:rPr>
        <w:t>schemes with fossil generation systems in terms of energy production cost, based on Net Present Value (NPV). The HOMER software was used to simulate different scenarios. The comparative cost analysis revealed that the NPV, annualized cost, levelized cost o</w:t>
      </w:r>
      <w:r>
        <w:rPr>
          <w:rFonts w:ascii="Times New Roman" w:hAnsi="Times New Roman" w:cs="Times New Roman"/>
        </w:rPr>
        <w:t xml:space="preserve">f energy (LCOE), and operating cost per year are lower for the PV generator network compared to the grid generator network. This study demonstrated a cost advantage of solar energy in enhancing power supply in Nigeria. </w:t>
      </w:r>
    </w:p>
    <w:p w14:paraId="7CB503E7" w14:textId="77777777" w:rsidR="00B9131A" w:rsidRDefault="00B6370D">
      <w:pPr>
        <w:spacing w:line="276" w:lineRule="auto"/>
        <w:rPr>
          <w:rFonts w:ascii="Times New Roman" w:hAnsi="Times New Roman" w:cs="Times New Roman"/>
        </w:rPr>
      </w:pPr>
      <w:r>
        <w:rPr>
          <w:rFonts w:ascii="Times New Roman" w:hAnsi="Times New Roman" w:cs="Times New Roman"/>
        </w:rPr>
        <w:t>Hassan et al. (2022) examined the im</w:t>
      </w:r>
      <w:r>
        <w:rPr>
          <w:rFonts w:ascii="Times New Roman" w:hAnsi="Times New Roman" w:cs="Times New Roman"/>
        </w:rPr>
        <w:t xml:space="preserve">pact of establishing reliable, clean, and cost-effective solar PV systems, financial constraints, and CO2 emissions on stand-alone (SA) and grid-supplemented (GS) solar PV systems across multiple seasons. The research utilized established hardware models, </w:t>
      </w:r>
      <w:r>
        <w:rPr>
          <w:rFonts w:ascii="Times New Roman" w:hAnsi="Times New Roman" w:cs="Times New Roman"/>
        </w:rPr>
        <w:t>detailed power management strategies, realistic Australian grid tariffs, and Genetic Algorithms to minimize the Cost of Energy (COE) while considering Loss of Power Supply Probability (LPSP) and financial constraints. The findings showed that the grid-supp</w:t>
      </w:r>
      <w:r>
        <w:rPr>
          <w:rFonts w:ascii="Times New Roman" w:hAnsi="Times New Roman" w:cs="Times New Roman"/>
        </w:rPr>
        <w:t xml:space="preserve">lemented system had a 30% lower COE compared to the stand-alone system at baseline but resulted in 17% higher life cycle emissions (LCE, kgCO2-eq/kWh). The result presented justify the usage of the grid connected mode. </w:t>
      </w:r>
    </w:p>
    <w:p w14:paraId="4763A54F" w14:textId="77777777" w:rsidR="00B9131A" w:rsidRDefault="00B6370D">
      <w:pPr>
        <w:spacing w:line="276" w:lineRule="auto"/>
        <w:rPr>
          <w:rFonts w:ascii="Times New Roman" w:hAnsi="Times New Roman" w:cs="Times New Roman"/>
        </w:rPr>
      </w:pPr>
      <w:r>
        <w:rPr>
          <w:rFonts w:ascii="Times New Roman" w:hAnsi="Times New Roman" w:cs="Times New Roman"/>
        </w:rPr>
        <w:lastRenderedPageBreak/>
        <w:t>Babatunde et al. (2022). analyzed th</w:t>
      </w:r>
      <w:r>
        <w:rPr>
          <w:rFonts w:ascii="Times New Roman" w:hAnsi="Times New Roman" w:cs="Times New Roman"/>
        </w:rPr>
        <w:t>e adoption of an off-grid HPS for a high-rise building owned by a public institution in Nigeria. The analysis was based on the comparison between the use of a single criterion and multiple criteria in the selection of the most feasible energy system. Their</w:t>
      </w:r>
      <w:r>
        <w:rPr>
          <w:rFonts w:ascii="Times New Roman" w:hAnsi="Times New Roman" w:cs="Times New Roman"/>
        </w:rPr>
        <w:t xml:space="preserve"> HPS comprised of a wind turbine, DG, PV, and battery storage system. HOMER software was used to design the HPS for a case study (based on a single criterion-total net present cost), while Evaluation Based on Distance from Average Solution (EDAS) method wa</w:t>
      </w:r>
      <w:r>
        <w:rPr>
          <w:rFonts w:ascii="Times New Roman" w:hAnsi="Times New Roman" w:cs="Times New Roman"/>
        </w:rPr>
        <w:t xml:space="preserve">s used to evaluate the effect of choosing an optimal system based on multiple criteria. The outcome of their study shows that it would be economical to power the entire university using HPS. </w:t>
      </w:r>
    </w:p>
    <w:p w14:paraId="54C9B338" w14:textId="77777777" w:rsidR="00B9131A" w:rsidRDefault="00B6370D">
      <w:pPr>
        <w:spacing w:line="276" w:lineRule="auto"/>
        <w:rPr>
          <w:rFonts w:ascii="Times New Roman" w:hAnsi="Times New Roman" w:cs="Times New Roman"/>
        </w:rPr>
      </w:pPr>
      <w:r>
        <w:rPr>
          <w:rFonts w:ascii="Times New Roman" w:hAnsi="Times New Roman" w:cs="Times New Roman"/>
        </w:rPr>
        <w:t>Issa et al., (2023) analyzed the grid-connected PV/Diesel/Batter</w:t>
      </w:r>
      <w:r>
        <w:rPr>
          <w:rFonts w:ascii="Times New Roman" w:hAnsi="Times New Roman" w:cs="Times New Roman"/>
        </w:rPr>
        <w:t>y Storage systems with the use of HOMER Pro software. The work optimally sized and incorporated PV system into an existing unreliable grid-connected commercial load for Mount Olive food processing. The study focused on providing a reliable electricity supp</w:t>
      </w:r>
      <w:r>
        <w:rPr>
          <w:rFonts w:ascii="Times New Roman" w:hAnsi="Times New Roman" w:cs="Times New Roman"/>
        </w:rPr>
        <w:t>ly which is cost-effective and environmentally friendly. The results showed that Grid/PV/BSS are technically, economically and environmentally feasible. However, performances of the system under a dynamic load such as the type of load consumption of public</w:t>
      </w:r>
      <w:r>
        <w:rPr>
          <w:rFonts w:ascii="Times New Roman" w:hAnsi="Times New Roman" w:cs="Times New Roman"/>
        </w:rPr>
        <w:t xml:space="preserve"> places was not explored.  </w:t>
      </w:r>
    </w:p>
    <w:p w14:paraId="58ED5E48" w14:textId="77777777" w:rsidR="00B9131A" w:rsidRDefault="00B6370D">
      <w:pPr>
        <w:spacing w:line="276" w:lineRule="auto"/>
        <w:rPr>
          <w:rFonts w:ascii="Times New Roman" w:hAnsi="Times New Roman" w:cs="Times New Roman"/>
          <w:color w:val="1F1F1F"/>
        </w:rPr>
      </w:pPr>
      <w:proofErr w:type="spellStart"/>
      <w:r>
        <w:rPr>
          <w:rFonts w:ascii="Times New Roman" w:hAnsi="Times New Roman" w:cs="Times New Roman"/>
          <w:color w:val="222222"/>
          <w:shd w:val="clear" w:color="auto" w:fill="FFFFFF"/>
        </w:rPr>
        <w:t>Rifansyah</w:t>
      </w:r>
      <w:proofErr w:type="spellEnd"/>
      <w:r>
        <w:rPr>
          <w:rFonts w:ascii="Times New Roman" w:hAnsi="Times New Roman" w:cs="Times New Roman"/>
          <w:color w:val="222222"/>
          <w:shd w:val="clear" w:color="auto" w:fill="FFFFFF"/>
        </w:rPr>
        <w:t xml:space="preserve"> and Hakam</w:t>
      </w:r>
      <w:r>
        <w:rPr>
          <w:rFonts w:ascii="Times New Roman" w:hAnsi="Times New Roman" w:cs="Times New Roman"/>
          <w:color w:val="1F1F1F"/>
        </w:rPr>
        <w:t xml:space="preserve"> (2024) evaluated the Techno-Economic Feasibility of Indonesia's </w:t>
      </w:r>
      <w:proofErr w:type="spellStart"/>
      <w:r>
        <w:rPr>
          <w:rFonts w:ascii="Times New Roman" w:hAnsi="Times New Roman" w:cs="Times New Roman"/>
          <w:color w:val="1F1F1F"/>
        </w:rPr>
        <w:t>Cirata</w:t>
      </w:r>
      <w:proofErr w:type="spellEnd"/>
      <w:r>
        <w:rPr>
          <w:rFonts w:ascii="Times New Roman" w:hAnsi="Times New Roman" w:cs="Times New Roman"/>
          <w:color w:val="1F1F1F"/>
        </w:rPr>
        <w:t xml:space="preserve"> 145 MW floating solar PV project by employing </w:t>
      </w:r>
      <w:proofErr w:type="spellStart"/>
      <w:r>
        <w:rPr>
          <w:rFonts w:ascii="Times New Roman" w:hAnsi="Times New Roman" w:cs="Times New Roman"/>
          <w:color w:val="1F1F1F"/>
        </w:rPr>
        <w:t>RETScreen</w:t>
      </w:r>
      <w:proofErr w:type="spellEnd"/>
      <w:r>
        <w:rPr>
          <w:rFonts w:ascii="Times New Roman" w:hAnsi="Times New Roman" w:cs="Times New Roman"/>
          <w:color w:val="1F1F1F"/>
        </w:rPr>
        <w:t xml:space="preserve"> technology. The objective was to improve the long-term financial stability, decre</w:t>
      </w:r>
      <w:r>
        <w:rPr>
          <w:rFonts w:ascii="Times New Roman" w:hAnsi="Times New Roman" w:cs="Times New Roman"/>
          <w:color w:val="1F1F1F"/>
        </w:rPr>
        <w:t xml:space="preserve">ase greenhouse gas emissions, and suggest viable choices for improvement. Three scenarios that involved alterations in carbon emissions, energy pricing, and loan interest rates that demonstrated different levels of project feasibility were considered. The </w:t>
      </w:r>
      <w:r>
        <w:rPr>
          <w:rFonts w:ascii="Times New Roman" w:hAnsi="Times New Roman" w:cs="Times New Roman"/>
          <w:color w:val="1F1F1F"/>
        </w:rPr>
        <w:t xml:space="preserve">outcome of the study gave useful insights into doing techno-economic feasibility assessments using </w:t>
      </w:r>
      <w:proofErr w:type="spellStart"/>
      <w:r>
        <w:rPr>
          <w:rFonts w:ascii="Times New Roman" w:hAnsi="Times New Roman" w:cs="Times New Roman"/>
          <w:color w:val="1F1F1F"/>
        </w:rPr>
        <w:t>RETScreen</w:t>
      </w:r>
      <w:proofErr w:type="spellEnd"/>
      <w:r>
        <w:rPr>
          <w:rFonts w:ascii="Times New Roman" w:hAnsi="Times New Roman" w:cs="Times New Roman"/>
          <w:color w:val="1F1F1F"/>
        </w:rPr>
        <w:t xml:space="preserve"> for floating photovoltaic (PV) systems. It also demonstrated how modifying parameters can effectively mitigate project risks. However, the work did</w:t>
      </w:r>
      <w:r>
        <w:rPr>
          <w:rFonts w:ascii="Times New Roman" w:hAnsi="Times New Roman" w:cs="Times New Roman"/>
          <w:color w:val="1F1F1F"/>
        </w:rPr>
        <w:t xml:space="preserve"> not consider the optimal design of the system, but a certain value (145 MW) was taken to be the size of the project. This is the major </w:t>
      </w:r>
      <w:proofErr w:type="spellStart"/>
      <w:r>
        <w:rPr>
          <w:rFonts w:ascii="Times New Roman" w:hAnsi="Times New Roman" w:cs="Times New Roman"/>
          <w:color w:val="1F1F1F"/>
        </w:rPr>
        <w:t>draw back</w:t>
      </w:r>
      <w:proofErr w:type="spellEnd"/>
      <w:r>
        <w:rPr>
          <w:rFonts w:ascii="Times New Roman" w:hAnsi="Times New Roman" w:cs="Times New Roman"/>
          <w:color w:val="1F1F1F"/>
        </w:rPr>
        <w:t xml:space="preserve"> of the </w:t>
      </w:r>
      <w:proofErr w:type="spellStart"/>
      <w:r>
        <w:rPr>
          <w:rFonts w:ascii="Times New Roman" w:hAnsi="Times New Roman" w:cs="Times New Roman"/>
          <w:color w:val="1F1F1F"/>
        </w:rPr>
        <w:t>RETScreen</w:t>
      </w:r>
      <w:proofErr w:type="spellEnd"/>
      <w:r>
        <w:rPr>
          <w:rFonts w:ascii="Times New Roman" w:hAnsi="Times New Roman" w:cs="Times New Roman"/>
          <w:color w:val="1F1F1F"/>
        </w:rPr>
        <w:t xml:space="preserve"> software, it </w:t>
      </w:r>
      <w:proofErr w:type="spellStart"/>
      <w:r>
        <w:rPr>
          <w:rFonts w:ascii="Times New Roman" w:hAnsi="Times New Roman" w:cs="Times New Roman"/>
          <w:color w:val="1F1F1F"/>
        </w:rPr>
        <w:t>can not</w:t>
      </w:r>
      <w:proofErr w:type="spellEnd"/>
      <w:r>
        <w:rPr>
          <w:rFonts w:ascii="Times New Roman" w:hAnsi="Times New Roman" w:cs="Times New Roman"/>
          <w:color w:val="1F1F1F"/>
        </w:rPr>
        <w:t xml:space="preserve"> be used to optimally size the capacity of the system unlike HOMER softwa</w:t>
      </w:r>
      <w:r>
        <w:rPr>
          <w:rFonts w:ascii="Times New Roman" w:hAnsi="Times New Roman" w:cs="Times New Roman"/>
          <w:color w:val="1F1F1F"/>
        </w:rPr>
        <w:t>re. Despite this shortcoming, its effectiveness in evaluating the Techno-Economic and environmental viability of the designed renewable energy system has been proven by many researchers (</w:t>
      </w:r>
      <w:r>
        <w:rPr>
          <w:rFonts w:ascii="Times New Roman" w:hAnsi="Times New Roman" w:cs="Times New Roman"/>
          <w:color w:val="222222"/>
          <w:shd w:val="clear" w:color="auto" w:fill="FFFFFF"/>
        </w:rPr>
        <w:t xml:space="preserve">Asamoah et al., 2023; </w:t>
      </w:r>
      <w:proofErr w:type="spellStart"/>
      <w:r>
        <w:rPr>
          <w:rFonts w:ascii="Times New Roman" w:hAnsi="Times New Roman" w:cs="Times New Roman"/>
          <w:color w:val="222222"/>
          <w:shd w:val="clear" w:color="auto" w:fill="FFFFFF"/>
        </w:rPr>
        <w:t>Oyedokun</w:t>
      </w:r>
      <w:proofErr w:type="spellEnd"/>
      <w:r>
        <w:rPr>
          <w:rFonts w:ascii="Times New Roman" w:hAnsi="Times New Roman" w:cs="Times New Roman"/>
          <w:color w:val="222222"/>
          <w:shd w:val="clear" w:color="auto" w:fill="FFFFFF"/>
        </w:rPr>
        <w:t xml:space="preserve"> et al., 2023; </w:t>
      </w:r>
      <w:proofErr w:type="spellStart"/>
      <w:r>
        <w:rPr>
          <w:rFonts w:ascii="Times New Roman" w:hAnsi="Times New Roman" w:cs="Times New Roman"/>
          <w:color w:val="222222"/>
          <w:shd w:val="clear" w:color="auto" w:fill="FFFFFF"/>
        </w:rPr>
        <w:t>Rifansyah</w:t>
      </w:r>
      <w:proofErr w:type="spellEnd"/>
      <w:r>
        <w:rPr>
          <w:rFonts w:ascii="Times New Roman" w:hAnsi="Times New Roman" w:cs="Times New Roman"/>
          <w:color w:val="222222"/>
          <w:shd w:val="clear" w:color="auto" w:fill="FFFFFF"/>
        </w:rPr>
        <w:t xml:space="preserve"> and Hakam</w:t>
      </w:r>
      <w:r>
        <w:rPr>
          <w:rFonts w:ascii="Times New Roman" w:hAnsi="Times New Roman" w:cs="Times New Roman"/>
          <w:color w:val="1F1F1F"/>
        </w:rPr>
        <w:t xml:space="preserve"> 2024</w:t>
      </w:r>
      <w:r>
        <w:rPr>
          <w:rFonts w:ascii="Times New Roman" w:hAnsi="Times New Roman" w:cs="Times New Roman"/>
          <w:color w:val="1F1F1F"/>
        </w:rPr>
        <w:t xml:space="preserve">; </w:t>
      </w:r>
      <w:proofErr w:type="spellStart"/>
      <w:r>
        <w:rPr>
          <w:rFonts w:ascii="Times New Roman" w:hAnsi="Times New Roman" w:cs="Times New Roman"/>
          <w:color w:val="222222"/>
          <w:shd w:val="clear" w:color="auto" w:fill="FFFFFF"/>
        </w:rPr>
        <w:t>Paradongan</w:t>
      </w:r>
      <w:proofErr w:type="spellEnd"/>
      <w:r>
        <w:rPr>
          <w:rFonts w:ascii="Times New Roman" w:hAnsi="Times New Roman" w:cs="Times New Roman"/>
          <w:color w:val="222222"/>
          <w:shd w:val="clear" w:color="auto" w:fill="FFFFFF"/>
        </w:rPr>
        <w:t xml:space="preserve"> et al., 2024</w:t>
      </w:r>
      <w:r>
        <w:rPr>
          <w:rFonts w:ascii="Times New Roman" w:hAnsi="Times New Roman" w:cs="Times New Roman"/>
          <w:color w:val="1F1F1F"/>
        </w:rPr>
        <w:t xml:space="preserve">). </w:t>
      </w:r>
    </w:p>
    <w:p w14:paraId="2546E26D" w14:textId="77777777" w:rsidR="00B9131A" w:rsidRDefault="00B6370D">
      <w:pPr>
        <w:spacing w:line="276" w:lineRule="auto"/>
        <w:rPr>
          <w:rFonts w:ascii="Times New Roman" w:hAnsi="Times New Roman" w:cs="Times New Roman"/>
          <w:color w:val="000000"/>
          <w:spacing w:val="5"/>
          <w:shd w:val="clear" w:color="auto" w:fill="FFFFFF"/>
        </w:rPr>
      </w:pPr>
      <w:r>
        <w:rPr>
          <w:rFonts w:ascii="Times New Roman" w:hAnsi="Times New Roman" w:cs="Times New Roman"/>
          <w:color w:val="222222"/>
          <w:shd w:val="clear" w:color="auto" w:fill="FFFFFF"/>
        </w:rPr>
        <w:t xml:space="preserve">Singh and </w:t>
      </w:r>
      <w:proofErr w:type="spellStart"/>
      <w:r>
        <w:rPr>
          <w:rFonts w:ascii="Times New Roman" w:hAnsi="Times New Roman" w:cs="Times New Roman"/>
          <w:color w:val="222222"/>
          <w:shd w:val="clear" w:color="auto" w:fill="FFFFFF"/>
        </w:rPr>
        <w:t>Channi</w:t>
      </w:r>
      <w:proofErr w:type="spellEnd"/>
      <w:r>
        <w:rPr>
          <w:rFonts w:ascii="Times New Roman" w:hAnsi="Times New Roman" w:cs="Times New Roman"/>
          <w:color w:val="000000"/>
          <w:spacing w:val="5"/>
          <w:shd w:val="clear" w:color="auto" w:fill="FFFFFF"/>
        </w:rPr>
        <w:t xml:space="preserve"> (2025) used the </w:t>
      </w:r>
      <w:proofErr w:type="spellStart"/>
      <w:r>
        <w:rPr>
          <w:rFonts w:ascii="Times New Roman" w:hAnsi="Times New Roman" w:cs="Times New Roman"/>
          <w:color w:val="000000"/>
          <w:spacing w:val="5"/>
          <w:shd w:val="clear" w:color="auto" w:fill="FFFFFF"/>
        </w:rPr>
        <w:t>RETscreen</w:t>
      </w:r>
      <w:proofErr w:type="spellEnd"/>
      <w:r>
        <w:rPr>
          <w:rFonts w:ascii="Times New Roman" w:hAnsi="Times New Roman" w:cs="Times New Roman"/>
          <w:color w:val="000000"/>
          <w:spacing w:val="5"/>
          <w:shd w:val="clear" w:color="auto" w:fill="FFFFFF"/>
        </w:rPr>
        <w:t xml:space="preserve"> software to analyze the potential of solar energy utilization and promote energy-efficient practices in educational institutions. The Key factors considered include system efficiency (</w:t>
      </w:r>
      <w:r>
        <w:rPr>
          <w:rFonts w:ascii="Times New Roman" w:hAnsi="Times New Roman" w:cs="Times New Roman"/>
          <w:color w:val="000000"/>
          <w:spacing w:val="5"/>
          <w:shd w:val="clear" w:color="auto" w:fill="FFFFFF"/>
        </w:rPr>
        <w:t>90%), insolation (5.5 kWh/m</w:t>
      </w:r>
      <w:r>
        <w:rPr>
          <w:rFonts w:ascii="Times New Roman" w:hAnsi="Times New Roman" w:cs="Times New Roman"/>
          <w:color w:val="000000"/>
          <w:spacing w:val="5"/>
          <w:shd w:val="clear" w:color="auto" w:fill="FFFFFF"/>
          <w:vertAlign w:val="superscript"/>
        </w:rPr>
        <w:t>2</w:t>
      </w:r>
      <w:r>
        <w:rPr>
          <w:rFonts w:ascii="Times New Roman" w:hAnsi="Times New Roman" w:cs="Times New Roman"/>
          <w:color w:val="000000"/>
          <w:spacing w:val="5"/>
          <w:shd w:val="clear" w:color="auto" w:fill="FFFFFF"/>
        </w:rPr>
        <w:t xml:space="preserve">/day), and shading effects. The results of the </w:t>
      </w:r>
      <w:proofErr w:type="spellStart"/>
      <w:r>
        <w:rPr>
          <w:rFonts w:ascii="Times New Roman" w:hAnsi="Times New Roman" w:cs="Times New Roman"/>
          <w:color w:val="000000"/>
          <w:spacing w:val="5"/>
          <w:shd w:val="clear" w:color="auto" w:fill="FFFFFF"/>
        </w:rPr>
        <w:t>RETscreen</w:t>
      </w:r>
      <w:proofErr w:type="spellEnd"/>
      <w:r>
        <w:rPr>
          <w:rFonts w:ascii="Times New Roman" w:hAnsi="Times New Roman" w:cs="Times New Roman"/>
          <w:color w:val="000000"/>
          <w:spacing w:val="5"/>
          <w:shd w:val="clear" w:color="auto" w:fill="FFFFFF"/>
        </w:rPr>
        <w:t xml:space="preserve"> analysis revealed that the rooftop PV system on Block-B4 has the remarkable capacity to generate 9,801 kWh of clean energy, underscoring the feasibility of solar energy in</w:t>
      </w:r>
      <w:r>
        <w:rPr>
          <w:rFonts w:ascii="Times New Roman" w:hAnsi="Times New Roman" w:cs="Times New Roman"/>
          <w:color w:val="000000"/>
          <w:spacing w:val="5"/>
          <w:shd w:val="clear" w:color="auto" w:fill="FFFFFF"/>
        </w:rPr>
        <w:t xml:space="preserve">tegration in an educational setting. This work demonstrates the performance of the </w:t>
      </w:r>
      <w:proofErr w:type="spellStart"/>
      <w:r>
        <w:rPr>
          <w:rFonts w:ascii="Times New Roman" w:hAnsi="Times New Roman" w:cs="Times New Roman"/>
          <w:color w:val="000000"/>
          <w:spacing w:val="5"/>
          <w:shd w:val="clear" w:color="auto" w:fill="FFFFFF"/>
        </w:rPr>
        <w:t>RETscreen</w:t>
      </w:r>
      <w:proofErr w:type="spellEnd"/>
      <w:r>
        <w:rPr>
          <w:rFonts w:ascii="Times New Roman" w:hAnsi="Times New Roman" w:cs="Times New Roman"/>
          <w:color w:val="000000"/>
          <w:spacing w:val="5"/>
          <w:shd w:val="clear" w:color="auto" w:fill="FFFFFF"/>
        </w:rPr>
        <w:t xml:space="preserve"> software in exploring the energy feasibility, however, its potential in financial and environmental analysis was not considered.    </w:t>
      </w:r>
    </w:p>
    <w:p w14:paraId="2B692326" w14:textId="77777777" w:rsidR="00B9131A" w:rsidRDefault="00B6370D">
      <w:pPr>
        <w:spacing w:line="276" w:lineRule="auto"/>
        <w:rPr>
          <w:rFonts w:ascii="Times New Roman" w:hAnsi="Times New Roman" w:cs="Times New Roman"/>
        </w:rPr>
      </w:pPr>
      <w:r>
        <w:rPr>
          <w:rFonts w:ascii="Times New Roman" w:hAnsi="Times New Roman" w:cs="Times New Roman"/>
        </w:rPr>
        <w:lastRenderedPageBreak/>
        <w:t>Based on the literature review</w:t>
      </w:r>
      <w:r>
        <w:rPr>
          <w:rFonts w:ascii="Times New Roman" w:hAnsi="Times New Roman" w:cs="Times New Roman"/>
        </w:rPr>
        <w:t>ed, various approaches have been explored to address the issue of irregular electricity supply. While diesel generators have been commonly used, they come with significant drawbacks. On the other hand, renewable energy is seen as a necessary solution, desp</w:t>
      </w:r>
      <w:r>
        <w:rPr>
          <w:rFonts w:ascii="Times New Roman" w:hAnsi="Times New Roman" w:cs="Times New Roman"/>
        </w:rPr>
        <w:t>ite its intermittency issues. This is where battery storage systems (BSS) play a crucial role. Although several researchers have worked on optimizing and sizing solar PV/BSS systems, accurate results have often been elusive, leading to potential oversizing</w:t>
      </w:r>
      <w:r>
        <w:rPr>
          <w:rFonts w:ascii="Times New Roman" w:hAnsi="Times New Roman" w:cs="Times New Roman"/>
        </w:rPr>
        <w:t xml:space="preserve"> or under sizing of components and compromising cost-effectiveness and performance. To address this challenge, the HOMER and </w:t>
      </w:r>
      <w:proofErr w:type="spellStart"/>
      <w:r>
        <w:rPr>
          <w:rFonts w:ascii="Times New Roman" w:hAnsi="Times New Roman" w:cs="Times New Roman"/>
        </w:rPr>
        <w:t>RETScreen</w:t>
      </w:r>
      <w:proofErr w:type="spellEnd"/>
      <w:r>
        <w:rPr>
          <w:rFonts w:ascii="Times New Roman" w:hAnsi="Times New Roman" w:cs="Times New Roman"/>
        </w:rPr>
        <w:t xml:space="preserve"> </w:t>
      </w:r>
      <w:proofErr w:type="spellStart"/>
      <w:r>
        <w:rPr>
          <w:rFonts w:ascii="Times New Roman" w:hAnsi="Times New Roman" w:cs="Times New Roman"/>
        </w:rPr>
        <w:t>softwares</w:t>
      </w:r>
      <w:proofErr w:type="spellEnd"/>
      <w:r>
        <w:rPr>
          <w:rFonts w:ascii="Times New Roman" w:hAnsi="Times New Roman" w:cs="Times New Roman"/>
        </w:rPr>
        <w:t xml:space="preserve"> were employed in this study. HOMER software was used to design the optimized grid connected PV system and the </w:t>
      </w:r>
      <w:proofErr w:type="spellStart"/>
      <w:r>
        <w:rPr>
          <w:rFonts w:ascii="Times New Roman" w:hAnsi="Times New Roman" w:cs="Times New Roman"/>
        </w:rPr>
        <w:t>R</w:t>
      </w:r>
      <w:r>
        <w:rPr>
          <w:rFonts w:ascii="Times New Roman" w:hAnsi="Times New Roman" w:cs="Times New Roman"/>
        </w:rPr>
        <w:t>ETScreen</w:t>
      </w:r>
      <w:proofErr w:type="spellEnd"/>
      <w:r>
        <w:rPr>
          <w:rFonts w:ascii="Times New Roman" w:hAnsi="Times New Roman" w:cs="Times New Roman"/>
        </w:rPr>
        <w:t xml:space="preserve"> software, known for its comprehensive database and detailed cost, financial risk, and emission analyses, was used to evaluate and analyze the optimized grid connected PV system. </w:t>
      </w:r>
    </w:p>
    <w:p w14:paraId="7B764171" w14:textId="77777777" w:rsidR="00B9131A" w:rsidRDefault="00B6370D">
      <w:pPr>
        <w:spacing w:line="276" w:lineRule="auto"/>
        <w:rPr>
          <w:rFonts w:ascii="Times New Roman" w:hAnsi="Times New Roman" w:cs="Times New Roman"/>
        </w:rPr>
      </w:pPr>
      <w:r>
        <w:rPr>
          <w:rFonts w:ascii="Times New Roman" w:hAnsi="Times New Roman" w:cs="Times New Roman"/>
        </w:rPr>
        <w:t>Notably, this approach has not been previously applied in the locati</w:t>
      </w:r>
      <w:r>
        <w:rPr>
          <w:rFonts w:ascii="Times New Roman" w:hAnsi="Times New Roman" w:cs="Times New Roman"/>
        </w:rPr>
        <w:t>on considered in this research, recognizing that different locations yield different outcomes in renewable energy utilization.</w:t>
      </w:r>
    </w:p>
    <w:p w14:paraId="02B987B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 Methodology</w:t>
      </w:r>
    </w:p>
    <w:p w14:paraId="22971353" w14:textId="77777777" w:rsidR="00B9131A" w:rsidRDefault="00B6370D">
      <w:pPr>
        <w:spacing w:line="276" w:lineRule="auto"/>
        <w:rPr>
          <w:rFonts w:ascii="Times New Roman" w:hAnsi="Times New Roman" w:cs="Times New Roman"/>
        </w:rPr>
      </w:pPr>
      <w:r>
        <w:rPr>
          <w:rFonts w:ascii="Times New Roman" w:hAnsi="Times New Roman" w:cs="Times New Roman"/>
        </w:rPr>
        <w:t>This research focused on the optimal design of solar photovoltaic system and battery storage system for an on-grid</w:t>
      </w:r>
      <w:r>
        <w:rPr>
          <w:rFonts w:ascii="Times New Roman" w:hAnsi="Times New Roman" w:cs="Times New Roman"/>
        </w:rPr>
        <w:t xml:space="preserve"> connection of National Museum of Unity Ibadan, Ibadan, Oyo State, considering the net present cost, system reliability and cost of energy as the objective functions. The block diagram of the proposed grid-connected PV system is presented in Figure 1.</w:t>
      </w:r>
    </w:p>
    <w:p w14:paraId="18CD2D53" w14:textId="77777777" w:rsidR="00B9131A" w:rsidRDefault="00225C4F">
      <w:pPr>
        <w:spacing w:after="0" w:line="276" w:lineRule="auto"/>
        <w:rPr>
          <w:rFonts w:ascii="Times New Roman" w:hAnsi="Times New Roman" w:cs="Times New Roman"/>
        </w:rPr>
      </w:pPr>
      <w:r>
        <w:rPr>
          <w:rFonts w:ascii="Times New Roman" w:hAnsi="Times New Roman" w:cs="Times New Roman"/>
        </w:rPr>
        <w:pict w14:anchorId="0A8B0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363.95pt;height:241.75pt;visibility:visible;mso-wrap-distance-left:0;mso-wrap-distance-right:0">
            <v:imagedata r:id="rId7" o:title="" embosscolor="white"/>
          </v:shape>
        </w:pict>
      </w:r>
    </w:p>
    <w:p w14:paraId="12508F4A" w14:textId="77777777" w:rsidR="00B9131A" w:rsidRDefault="00B6370D">
      <w:pPr>
        <w:spacing w:after="0" w:line="276" w:lineRule="auto"/>
        <w:rPr>
          <w:rFonts w:ascii="Times New Roman" w:hAnsi="Times New Roman" w:cs="Times New Roman"/>
        </w:rPr>
      </w:pPr>
      <w:r>
        <w:rPr>
          <w:rFonts w:ascii="Times New Roman" w:hAnsi="Times New Roman" w:cs="Times New Roman"/>
        </w:rPr>
        <w:t>Fi</w:t>
      </w:r>
      <w:r>
        <w:rPr>
          <w:rFonts w:ascii="Times New Roman" w:hAnsi="Times New Roman" w:cs="Times New Roman"/>
        </w:rPr>
        <w:t>gure 1: Block Diagram of the Proposed Grid-Connected PV system</w:t>
      </w:r>
    </w:p>
    <w:p w14:paraId="3795BDF5" w14:textId="77777777" w:rsidR="00B9131A" w:rsidRDefault="00B6370D">
      <w:pPr>
        <w:spacing w:after="0" w:line="276" w:lineRule="auto"/>
        <w:rPr>
          <w:rFonts w:ascii="Times New Roman" w:hAnsi="Times New Roman" w:cs="Times New Roman"/>
          <w:b/>
          <w:bCs/>
        </w:rPr>
      </w:pPr>
      <w:r>
        <w:rPr>
          <w:rFonts w:ascii="Times New Roman" w:hAnsi="Times New Roman" w:cs="Times New Roman"/>
          <w:b/>
          <w:bCs/>
        </w:rPr>
        <w:t>3.1</w:t>
      </w:r>
      <w:r>
        <w:rPr>
          <w:rFonts w:ascii="Times New Roman" w:hAnsi="Times New Roman" w:cs="Times New Roman"/>
          <w:b/>
          <w:bCs/>
        </w:rPr>
        <w:tab/>
        <w:t>Feasibility Study</w:t>
      </w:r>
    </w:p>
    <w:p w14:paraId="06A5431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feasibility study was carried on the National Museum of Unity (NMU) located Off </w:t>
      </w:r>
      <w:proofErr w:type="spellStart"/>
      <w:r>
        <w:rPr>
          <w:rFonts w:ascii="Times New Roman" w:hAnsi="Times New Roman" w:cs="Times New Roman"/>
        </w:rPr>
        <w:t>Aleshinloye</w:t>
      </w:r>
      <w:proofErr w:type="spellEnd"/>
      <w:r>
        <w:rPr>
          <w:rFonts w:ascii="Times New Roman" w:hAnsi="Times New Roman" w:cs="Times New Roman"/>
        </w:rPr>
        <w:t xml:space="preserve"> Street, opposite Dominion Plaza, Ibadan 200263, Oyo, Nigeria (7°20.3'N, 3°5</w:t>
      </w:r>
      <w:r>
        <w:rPr>
          <w:rFonts w:ascii="Times New Roman" w:hAnsi="Times New Roman" w:cs="Times New Roman"/>
        </w:rPr>
        <w:t xml:space="preserve">3.0'E) to evaluate how feasible it is to implement the designed grid-connected PV system. This </w:t>
      </w:r>
      <w:r>
        <w:rPr>
          <w:rFonts w:ascii="Times New Roman" w:hAnsi="Times New Roman" w:cs="Times New Roman"/>
        </w:rPr>
        <w:lastRenderedPageBreak/>
        <w:t>assessment was carried out by examining the energy demand of the museum and meteorological data such as solar irradiance, clearness index, and temperature. The l</w:t>
      </w:r>
      <w:r>
        <w:rPr>
          <w:rFonts w:ascii="Times New Roman" w:hAnsi="Times New Roman" w:cs="Times New Roman"/>
        </w:rPr>
        <w:t xml:space="preserve">ocation of NMU’s building in the world map is presented in the Figure 2. </w:t>
      </w:r>
    </w:p>
    <w:p w14:paraId="0D0A753D" w14:textId="77777777" w:rsidR="00B9131A" w:rsidRDefault="00B9131A">
      <w:pPr>
        <w:spacing w:after="0" w:line="276" w:lineRule="auto"/>
        <w:jc w:val="both"/>
        <w:rPr>
          <w:rFonts w:ascii="Times New Roman" w:hAnsi="Times New Roman" w:cs="Times New Roman"/>
        </w:rPr>
      </w:pPr>
    </w:p>
    <w:p w14:paraId="6540500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inline distT="0" distB="0" distL="0" distR="0" wp14:anchorId="13C3BC2C" wp14:editId="57169476">
            <wp:extent cx="3994926" cy="2162175"/>
            <wp:effectExtent l="0" t="0" r="571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3994926" cy="2162175"/>
                    </a:xfrm>
                    <a:prstGeom prst="rect">
                      <a:avLst/>
                    </a:prstGeom>
                  </pic:spPr>
                </pic:pic>
              </a:graphicData>
            </a:graphic>
          </wp:inline>
        </w:drawing>
      </w:r>
    </w:p>
    <w:p w14:paraId="6F4AA5C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Figure 2: Topographic view of the National Museum of Unity, </w:t>
      </w:r>
      <w:proofErr w:type="spellStart"/>
      <w:r>
        <w:rPr>
          <w:rFonts w:ascii="Times New Roman" w:eastAsia="Times New Roman" w:hAnsi="Times New Roman" w:cs="Times New Roman"/>
          <w:kern w:val="0"/>
          <w14:ligatures w14:val="none"/>
        </w:rPr>
        <w:t>Aleshinloye</w:t>
      </w:r>
      <w:proofErr w:type="spellEnd"/>
      <w:r>
        <w:rPr>
          <w:rFonts w:ascii="Times New Roman" w:eastAsia="Times New Roman" w:hAnsi="Times New Roman" w:cs="Times New Roman"/>
          <w:kern w:val="0"/>
          <w14:ligatures w14:val="none"/>
        </w:rPr>
        <w:t>.</w:t>
      </w:r>
    </w:p>
    <w:p w14:paraId="1DC5EA6E" w14:textId="77777777" w:rsidR="00B9131A" w:rsidRDefault="00B9131A">
      <w:pPr>
        <w:spacing w:after="0" w:line="276" w:lineRule="auto"/>
        <w:jc w:val="both"/>
        <w:rPr>
          <w:rFonts w:ascii="Times New Roman" w:hAnsi="Times New Roman" w:cs="Times New Roman"/>
        </w:rPr>
      </w:pPr>
    </w:p>
    <w:p w14:paraId="4CBF479D" w14:textId="77777777" w:rsidR="00B9131A" w:rsidRDefault="00B6370D">
      <w:pPr>
        <w:spacing w:after="0" w:line="276" w:lineRule="auto"/>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Data Collection</w:t>
      </w:r>
    </w:p>
    <w:p w14:paraId="612B411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Meteorological data, including solar irradiance, clearness index, and temperature for</w:t>
      </w:r>
      <w:r>
        <w:rPr>
          <w:rFonts w:ascii="Times New Roman" w:hAnsi="Times New Roman" w:cs="Times New Roman"/>
        </w:rPr>
        <w:t xml:space="preserve"> the proposed site, was collected from the National Aeronautics and Space Administration (NASA). Additionally, a load evaluation of the proposed site was conducted to optimize the PV system and battery storage system using HOMER. NASA's earth science progr</w:t>
      </w:r>
      <w:r>
        <w:rPr>
          <w:rFonts w:ascii="Times New Roman" w:hAnsi="Times New Roman" w:cs="Times New Roman"/>
        </w:rPr>
        <w:t>am aims to observe, understand, and model the earth’s system to track changes, predict future alterations and understand their implications for life on earth.</w:t>
      </w:r>
    </w:p>
    <w:p w14:paraId="536C7D72" w14:textId="77777777" w:rsidR="00B9131A" w:rsidRDefault="00B9131A">
      <w:pPr>
        <w:spacing w:after="0" w:line="276" w:lineRule="auto"/>
        <w:rPr>
          <w:rFonts w:ascii="Times New Roman" w:hAnsi="Times New Roman" w:cs="Times New Roman"/>
        </w:rPr>
      </w:pPr>
    </w:p>
    <w:p w14:paraId="04156EC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t>Modelling of Grid Connected Renewable Energy</w:t>
      </w:r>
    </w:p>
    <w:p w14:paraId="4548C05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mathematical model of the renewable energy </w:t>
      </w:r>
      <w:r>
        <w:rPr>
          <w:rFonts w:ascii="Times New Roman" w:hAnsi="Times New Roman" w:cs="Times New Roman"/>
        </w:rPr>
        <w:t>systems, such as solar PV system, battery storage system, and power converter are presented in this section. The model   encompasses detailed sub-models for each component, using mathematical equations to describe their performance and interactions (</w:t>
      </w:r>
      <w:proofErr w:type="spellStart"/>
      <w:r>
        <w:rPr>
          <w:rFonts w:ascii="Times New Roman" w:eastAsia="Times New Roman" w:hAnsi="Times New Roman" w:cs="Times New Roman"/>
          <w:kern w:val="0"/>
          <w14:ligatures w14:val="none"/>
        </w:rPr>
        <w:t>Potrč</w:t>
      </w:r>
      <w:proofErr w:type="spellEnd"/>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 The solar PV model calculates energy generation based on factors like solar irradiance and temperature. The battery storage model simulates energy storage and release, accounting for charge and discharge cycles. The power converter model ens</w:t>
      </w:r>
      <w:r>
        <w:rPr>
          <w:rFonts w:ascii="Times New Roman" w:hAnsi="Times New Roman" w:cs="Times New Roman"/>
        </w:rPr>
        <w:t>ures efficient energy conversion and management between the PV system, battery, and the grid. By integrating these models, the comprehensive mathematical model allows for the analysis and optimization of the entire system, facilitating efficient, reliable,</w:t>
      </w:r>
      <w:r>
        <w:rPr>
          <w:rFonts w:ascii="Times New Roman" w:hAnsi="Times New Roman" w:cs="Times New Roman"/>
        </w:rPr>
        <w:t xml:space="preserve"> and sustainable energy integration into the grid (</w:t>
      </w:r>
      <w:proofErr w:type="spellStart"/>
      <w:r>
        <w:rPr>
          <w:rFonts w:ascii="Times New Roman" w:eastAsia="Times New Roman" w:hAnsi="Times New Roman" w:cs="Times New Roman"/>
          <w:kern w:val="0"/>
          <w14:ligatures w14:val="none"/>
        </w:rPr>
        <w:t>Albogamy</w:t>
      </w:r>
      <w:proofErr w:type="spellEnd"/>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2022</w:t>
      </w:r>
      <w:r>
        <w:rPr>
          <w:rFonts w:ascii="Times New Roman" w:hAnsi="Times New Roman" w:cs="Times New Roman"/>
        </w:rPr>
        <w:t>).</w:t>
      </w:r>
    </w:p>
    <w:p w14:paraId="1308560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3.3.1</w:t>
      </w:r>
      <w:r>
        <w:rPr>
          <w:rFonts w:ascii="Times New Roman" w:hAnsi="Times New Roman" w:cs="Times New Roman"/>
          <w:b/>
          <w:bCs/>
        </w:rPr>
        <w:tab/>
        <w:t>Modelling of PV panel</w:t>
      </w:r>
    </w:p>
    <w:p w14:paraId="41D809E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The design parameters and the technical specifications of the photovoltaic system was considered in this study. These include the power generation facto</w:t>
      </w:r>
      <w:r>
        <w:rPr>
          <w:rFonts w:ascii="Times New Roman" w:hAnsi="Times New Roman" w:cs="Times New Roman"/>
        </w:rPr>
        <w:t>r, energy demand, solar PV energy required, PV module sizing, power converter sizing and the battery sizing (</w:t>
      </w:r>
      <w:r>
        <w:rPr>
          <w:rFonts w:ascii="Times New Roman" w:eastAsia="Times New Roman" w:hAnsi="Times New Roman" w:cs="Times New Roman"/>
          <w:kern w:val="0"/>
          <w14:ligatures w14:val="none"/>
        </w:rPr>
        <w:t xml:space="preserve">Khan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2023</w:t>
      </w:r>
      <w:r>
        <w:rPr>
          <w:rFonts w:ascii="Times New Roman" w:hAnsi="Times New Roman" w:cs="Times New Roman"/>
        </w:rPr>
        <w:t xml:space="preserve">). </w:t>
      </w:r>
    </w:p>
    <w:p w14:paraId="1800BCD6"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lastRenderedPageBreak/>
        <w:t>Panel generating factor:</w:t>
      </w:r>
    </w:p>
    <w:p w14:paraId="6F591004"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Panel generation factor (PGF) is an important factor considered in sizing of solar photovoltaic techn</w:t>
      </w:r>
      <w:r>
        <w:rPr>
          <w:rFonts w:ascii="Times New Roman" w:hAnsi="Times New Roman" w:cs="Times New Roman"/>
        </w:rPr>
        <w:t xml:space="preserve">ology. It is based on the total watt peak rating of the system. The PGF is calculated as presented in Equation 1 (Huy </w:t>
      </w:r>
      <w:r>
        <w:rPr>
          <w:rFonts w:ascii="Times New Roman" w:hAnsi="Times New Roman" w:cs="Times New Roman"/>
          <w:i/>
          <w:iCs/>
        </w:rPr>
        <w:t>et al</w:t>
      </w:r>
      <w:r>
        <w:rPr>
          <w:rFonts w:ascii="Times New Roman" w:hAnsi="Times New Roman" w:cs="Times New Roman"/>
        </w:rPr>
        <w:t>., 2020).</w:t>
      </w:r>
    </w:p>
    <w:p w14:paraId="46C8651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1485" w:dyaOrig="600" w14:anchorId="184A60B7">
          <v:shape id="1030" o:spid="_x0000_i1026" type="#_x0000_t75" style="width:74pt;height:30.4pt;visibility:visible;mso-wrap-distance-left:0;mso-wrap-distance-right:0" o:ole="">
            <v:imagedata r:id="rId9" o:title="" embosscolor="white"/>
          </v:shape>
          <o:OLEObject Type="Embed" ProgID="Equation.DSMT4" ShapeID="1030" DrawAspect="Content" ObjectID="_1812455275" r:id="rId1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1</w:t>
      </w:r>
    </w:p>
    <w:p w14:paraId="10DACBB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where </w:t>
      </w:r>
      <w:r>
        <w:rPr>
          <w:rFonts w:ascii="Times New Roman" w:hAnsi="Times New Roman" w:cs="Times New Roman"/>
          <w:i/>
          <w:iCs/>
        </w:rPr>
        <w:t>G</w:t>
      </w:r>
      <w:r>
        <w:rPr>
          <w:rFonts w:ascii="Times New Roman" w:hAnsi="Times New Roman" w:cs="Times New Roman"/>
        </w:rPr>
        <w:t xml:space="preserve"> is the solar irradiance, </w:t>
      </w:r>
      <w:r>
        <w:rPr>
          <w:rFonts w:ascii="Times New Roman" w:hAnsi="Times New Roman" w:cs="Times New Roman"/>
          <w:position w:val="-12"/>
        </w:rPr>
        <w:object w:dxaOrig="615" w:dyaOrig="375" w14:anchorId="786D0AE5">
          <v:shape id="1032" o:spid="_x0000_i1027" type="#_x0000_t75" style="width:30.4pt;height:19.15pt;visibility:visible;mso-wrap-distance-left:0;mso-wrap-distance-right:0" o:ole="">
            <v:imagedata r:id="rId11" o:title="" embosscolor="white"/>
          </v:shape>
          <o:OLEObject Type="Embed" ProgID="Equation.DSMT4" ShapeID="1032" DrawAspect="Content" ObjectID="_1812455276" r:id="rId12"/>
        </w:object>
      </w:r>
      <w:r>
        <w:rPr>
          <w:rFonts w:ascii="Times New Roman" w:hAnsi="Times New Roman" w:cs="Times New Roman"/>
        </w:rPr>
        <w:t xml:space="preserve"> is the sunshine hours, and </w:t>
      </w:r>
      <w:r>
        <w:rPr>
          <w:rFonts w:ascii="Times New Roman" w:hAnsi="Times New Roman" w:cs="Times New Roman"/>
          <w:position w:val="-12"/>
        </w:rPr>
        <w:object w:dxaOrig="525" w:dyaOrig="375" w14:anchorId="0A47D8CC">
          <v:shape id="1034" o:spid="_x0000_i1028" type="#_x0000_t75" style="width:27.1pt;height:19.15pt;visibility:visible;mso-wrap-distance-left:0;mso-wrap-distance-right:0" o:ole="">
            <v:imagedata r:id="rId13" o:title="" embosscolor="white"/>
          </v:shape>
          <o:OLEObject Type="Embed" ProgID="Equation.DSMT4" ShapeID="1034" DrawAspect="Content" ObjectID="_1812455277" r:id="rId14"/>
        </w:object>
      </w:r>
      <w:r>
        <w:rPr>
          <w:rFonts w:ascii="Times New Roman" w:hAnsi="Times New Roman" w:cs="Times New Roman"/>
        </w:rPr>
        <w:t xml:space="preserve"> is the solar irradiance at standard test condition.</w:t>
      </w:r>
    </w:p>
    <w:p w14:paraId="34C70E31"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t>Solar PV energy required</w:t>
      </w:r>
    </w:p>
    <w:p w14:paraId="5378434B"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In designing a solar PV system, the first step is to calculate the total power and energy consumpti</w:t>
      </w:r>
      <w:r>
        <w:rPr>
          <w:rFonts w:ascii="Times New Roman" w:hAnsi="Times New Roman" w:cs="Times New Roman"/>
        </w:rPr>
        <w:t>on of all loads that were supplied by the system for each appliance and sum it up to have the total energy demand for the project. The energy that must be generated by the PV module is the total Watt-hour per-day needed from the PV modules and it is calcul</w:t>
      </w:r>
      <w:r>
        <w:rPr>
          <w:rFonts w:ascii="Times New Roman" w:hAnsi="Times New Roman" w:cs="Times New Roman"/>
        </w:rPr>
        <w:t>ated by multiplying the peak energy requirement which is the total Watt-hour per-day for the museum by the energy lost in the system.</w:t>
      </w:r>
    </w:p>
    <w:p w14:paraId="47BA77C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605" w:dyaOrig="375" w14:anchorId="0154C947">
          <v:shape id="1036" o:spid="_x0000_i1029" type="#_x0000_t75" style="width:80.6pt;height:19.15pt;visibility:visible;mso-wrap-distance-left:0;mso-wrap-distance-right:0" o:ole="">
            <v:imagedata r:id="rId15" o:title="" embosscolor="white"/>
          </v:shape>
          <o:OLEObject Type="Embed" ProgID="Equation.DSMT4" ShapeID="1036" DrawAspect="Content" ObjectID="_1812455278" r:id="rId1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2</w:t>
      </w:r>
    </w:p>
    <w:p w14:paraId="5790E2F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6C60960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330" w:dyaOrig="330" w14:anchorId="2CBA60FE">
          <v:shape id="1038" o:spid="_x0000_i1030" type="#_x0000_t75" style="width:17.15pt;height:17.15pt;visibility:visible;mso-wrap-distance-left:0;mso-wrap-distance-right:0" o:ole="">
            <v:imagedata r:id="rId17" o:title="" embosscolor="white"/>
          </v:shape>
          <o:OLEObject Type="Embed" ProgID="Equation.DSMT4" ShapeID="1038" DrawAspect="Content" ObjectID="_1812455279" r:id="rId18"/>
        </w:object>
      </w:r>
      <w:r>
        <w:rPr>
          <w:rFonts w:ascii="Times New Roman" w:hAnsi="Times New Roman" w:cs="Times New Roman"/>
        </w:rPr>
        <w:t xml:space="preserve"> is Energy required from PV modules, </w:t>
      </w:r>
      <w:r>
        <w:rPr>
          <w:rFonts w:ascii="Times New Roman" w:hAnsi="Times New Roman" w:cs="Times New Roman"/>
          <w:position w:val="-14"/>
        </w:rPr>
        <w:object w:dxaOrig="375" w:dyaOrig="345" w14:anchorId="0527AC99">
          <v:shape id="1040" o:spid="_x0000_i1031" type="#_x0000_t75" style="width:19.15pt;height:17.15pt;visibility:visible;mso-wrap-distance-left:0;mso-wrap-distance-right:0" o:ole="">
            <v:imagedata r:id="rId19" o:title="" embosscolor="white"/>
          </v:shape>
          <o:OLEObject Type="Embed" ProgID="Equation.DSMT4" ShapeID="1040" DrawAspect="Content" ObjectID="_1812455280" r:id="rId20"/>
        </w:object>
      </w:r>
      <w:r>
        <w:rPr>
          <w:rFonts w:ascii="Times New Roman" w:hAnsi="Times New Roman" w:cs="Times New Roman"/>
        </w:rPr>
        <w:t xml:space="preserve">is Peak energy requirement, and </w:t>
      </w:r>
      <w:r>
        <w:rPr>
          <w:rFonts w:ascii="Times New Roman" w:hAnsi="Times New Roman" w:cs="Times New Roman"/>
          <w:position w:val="-12"/>
        </w:rPr>
        <w:object w:dxaOrig="405" w:dyaOrig="345" w14:anchorId="5E150AA9">
          <v:shape id="1042" o:spid="_x0000_i1032" type="#_x0000_t75" style="width:20.5pt;height:17.15pt;visibility:visible;mso-wrap-distance-left:0;mso-wrap-distance-right:0" o:ole="">
            <v:imagedata r:id="rId21" o:title="" embosscolor="white"/>
          </v:shape>
          <o:OLEObject Type="Embed" ProgID="Equation.DSMT4" ShapeID="1042" DrawAspect="Content" ObjectID="_1812455281" r:id="rId22"/>
        </w:object>
      </w:r>
      <w:r>
        <w:rPr>
          <w:rFonts w:ascii="Times New Roman" w:hAnsi="Times New Roman" w:cs="Times New Roman"/>
        </w:rPr>
        <w:t xml:space="preserve"> is the Energy lost in the system.</w:t>
      </w:r>
    </w:p>
    <w:p w14:paraId="5068FC30"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t>PV Module Sizing</w:t>
      </w:r>
    </w:p>
    <w:p w14:paraId="669F8F55"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To calculate the size of the photovoltaic modules that is required, the first thing to estimate is the total Watt-peak rati</w:t>
      </w:r>
      <w:r>
        <w:rPr>
          <w:rFonts w:ascii="Times New Roman" w:hAnsi="Times New Roman" w:cs="Times New Roman"/>
        </w:rPr>
        <w:t>ng needed for the PV modules which is given by using the formular shown in equation (3).</w:t>
      </w:r>
    </w:p>
    <w:p w14:paraId="124A9E2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770" w:dyaOrig="675" w14:anchorId="6846E9DE">
          <v:shape id="1044" o:spid="_x0000_i1033" type="#_x0000_t75" style="width:238.45pt;height:34.35pt;visibility:visible;mso-wrap-distance-left:0;mso-wrap-distance-right:0" o:ole="">
            <v:imagedata r:id="rId23" o:title="" embosscolor="white"/>
          </v:shape>
          <o:OLEObject Type="Embed" ProgID="Equation.DSMT4" ShapeID="1044" DrawAspect="Content" ObjectID="_1812455282" r:id="rId2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w:t>
      </w:r>
    </w:p>
    <w:p w14:paraId="53A2E635"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This was then followed by calculating the PV module size which is the ratio of the total watt peak rating to the PV output power rati</w:t>
      </w:r>
      <w:r>
        <w:rPr>
          <w:rFonts w:ascii="Times New Roman" w:hAnsi="Times New Roman" w:cs="Times New Roman"/>
        </w:rPr>
        <w:t>ng as shown in the formular below.</w:t>
      </w:r>
    </w:p>
    <w:p w14:paraId="2B66727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4005" w:dyaOrig="675" w14:anchorId="0386E489">
          <v:shape id="1046" o:spid="_x0000_i1034" type="#_x0000_t75" style="width:200.8pt;height:34.35pt;visibility:visible;mso-wrap-distance-left:0;mso-wrap-distance-right:0" o:ole="">
            <v:imagedata r:id="rId25" o:title="" embosscolor="white"/>
          </v:shape>
          <o:OLEObject Type="Embed" ProgID="Equation.DSMT4" ShapeID="1046" DrawAspect="Content" ObjectID="_1812455283" r:id="rId2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14:paraId="1443338D"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In a photovoltaic (PV) system, there are several PV modules. As depicted in Figure 3(</w:t>
      </w:r>
      <w:proofErr w:type="spellStart"/>
      <w:r>
        <w:rPr>
          <w:rFonts w:ascii="Times New Roman" w:hAnsi="Times New Roman" w:cs="Times New Roman"/>
        </w:rPr>
        <w:t>i</w:t>
      </w:r>
      <w:proofErr w:type="spellEnd"/>
      <w:r>
        <w:rPr>
          <w:rFonts w:ascii="Times New Roman" w:hAnsi="Times New Roman" w:cs="Times New Roman"/>
        </w:rPr>
        <w:t xml:space="preserve">), the PV module with a single diode is taken into consideration. Short circuit and open </w:t>
      </w:r>
      <w:r>
        <w:rPr>
          <w:rFonts w:ascii="Times New Roman" w:hAnsi="Times New Roman" w:cs="Times New Roman"/>
        </w:rPr>
        <w:t>circuit are roughly equivalent to low series resistance and large shunt resistance. Figure 3(ii) illustrates a simplified circuit of a photo voltaic module. The performance of a solar PV panel can be described by several key equations:</w:t>
      </w:r>
    </w:p>
    <w:p w14:paraId="711D71A6" w14:textId="77777777" w:rsidR="00B9131A" w:rsidRDefault="00B6370D">
      <w:pPr>
        <w:spacing w:after="0"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68FA0B0C" wp14:editId="5B86BCCD">
            <wp:extent cx="5201376" cy="2019582"/>
            <wp:effectExtent l="0" t="0" r="0" b="0"/>
            <wp:docPr id="10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27" cstate="print"/>
                    <a:srcRect/>
                    <a:stretch/>
                  </pic:blipFill>
                  <pic:spPr>
                    <a:xfrm>
                      <a:off x="0" y="0"/>
                      <a:ext cx="5201376" cy="2019582"/>
                    </a:xfrm>
                    <a:prstGeom prst="rect">
                      <a:avLst/>
                    </a:prstGeom>
                  </pic:spPr>
                </pic:pic>
              </a:graphicData>
            </a:graphic>
          </wp:inline>
        </w:drawing>
      </w:r>
    </w:p>
    <w:p w14:paraId="119DEDCF" w14:textId="77777777" w:rsidR="00B9131A" w:rsidRDefault="00B6370D">
      <w:pPr>
        <w:spacing w:after="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roofErr w:type="spellStart"/>
      <w:r>
        <w:rPr>
          <w:rFonts w:ascii="Times New Roman" w:hAnsi="Times New Roman" w:cs="Times New Roman"/>
        </w:rPr>
        <w:t>i</w:t>
      </w:r>
      <w:proofErr w:type="spellEnd"/>
      <w:r>
        <w:rPr>
          <w:rFonts w:ascii="Times New Roman" w:hAnsi="Times New Roman" w:cs="Times New Roman"/>
        </w:rPr>
        <w:t>)</w:t>
      </w:r>
    </w:p>
    <w:p w14:paraId="72B8E574" w14:textId="77777777" w:rsidR="00B9131A" w:rsidRDefault="00B6370D">
      <w:pPr>
        <w:spacing w:after="0" w:line="276" w:lineRule="auto"/>
        <w:rPr>
          <w:rFonts w:ascii="Times New Roman" w:hAnsi="Times New Roman" w:cs="Times New Roman"/>
        </w:rPr>
      </w:pPr>
      <w:r>
        <w:rPr>
          <w:rFonts w:ascii="Times New Roman" w:hAnsi="Times New Roman" w:cs="Times New Roman"/>
          <w:noProof/>
        </w:rPr>
        <w:drawing>
          <wp:inline distT="0" distB="0" distL="0" distR="0" wp14:anchorId="5B05DE76" wp14:editId="0B34347B">
            <wp:extent cx="5276850" cy="1907294"/>
            <wp:effectExtent l="0" t="0" r="0" b="0"/>
            <wp:docPr id="10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8" cstate="print"/>
                    <a:srcRect/>
                    <a:stretch/>
                  </pic:blipFill>
                  <pic:spPr>
                    <a:xfrm>
                      <a:off x="0" y="0"/>
                      <a:ext cx="5276850" cy="1907294"/>
                    </a:xfrm>
                    <a:prstGeom prst="rect">
                      <a:avLst/>
                    </a:prstGeom>
                  </pic:spPr>
                </pic:pic>
              </a:graphicData>
            </a:graphic>
          </wp:inline>
        </w:drawing>
      </w:r>
    </w:p>
    <w:p w14:paraId="3A478961"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noProof/>
        </w:rPr>
        <w:t>(ii)</w:t>
      </w:r>
    </w:p>
    <w:p w14:paraId="656E19FD"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t>F</w:t>
      </w:r>
      <w:r>
        <w:rPr>
          <w:rFonts w:ascii="Times New Roman" w:hAnsi="Times New Roman" w:cs="Times New Roman"/>
        </w:rPr>
        <w:t>igure 3: Single diode model of PV modules (</w:t>
      </w:r>
      <w:proofErr w:type="spellStart"/>
      <w:r>
        <w:rPr>
          <w:rFonts w:ascii="Times New Roman" w:hAnsi="Times New Roman" w:cs="Times New Roman"/>
        </w:rPr>
        <w:t>i</w:t>
      </w:r>
      <w:proofErr w:type="spellEnd"/>
      <w:r>
        <w:rPr>
          <w:rFonts w:ascii="Times New Roman" w:hAnsi="Times New Roman" w:cs="Times New Roman"/>
        </w:rPr>
        <w:t>) equivalent circuit (ii) simplified circuit</w:t>
      </w:r>
    </w:p>
    <w:p w14:paraId="4BE7F140"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t xml:space="preserve">Source: </w:t>
      </w:r>
      <w:r>
        <w:rPr>
          <w:rFonts w:ascii="Times New Roman" w:eastAsia="Times New Roman" w:hAnsi="Times New Roman" w:cs="Times New Roman"/>
          <w:kern w:val="0"/>
          <w14:ligatures w14:val="none"/>
        </w:rPr>
        <w:t xml:space="preserve">Prakash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w:t>
      </w:r>
    </w:p>
    <w:p w14:paraId="1C1F0523" w14:textId="77777777" w:rsidR="00B9131A" w:rsidRDefault="00B9131A">
      <w:pPr>
        <w:spacing w:line="276" w:lineRule="auto"/>
        <w:rPr>
          <w:rFonts w:ascii="Times New Roman" w:hAnsi="Times New Roman" w:cs="Times New Roman"/>
        </w:rPr>
      </w:pPr>
    </w:p>
    <w:p w14:paraId="6D14BDDE"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Photocurrent (</w:t>
      </w:r>
      <w:proofErr w:type="spellStart"/>
      <w:r>
        <w:rPr>
          <w:rFonts w:ascii="Times New Roman" w:hAnsi="Times New Roman" w:cs="Times New Roman"/>
        </w:rPr>
        <w:t>I</w:t>
      </w:r>
      <w:r>
        <w:rPr>
          <w:rFonts w:ascii="Times New Roman" w:hAnsi="Times New Roman" w:cs="Times New Roman"/>
          <w:vertAlign w:val="subscript"/>
        </w:rPr>
        <w:t>ph</w:t>
      </w:r>
      <w:proofErr w:type="spellEnd"/>
      <w:r>
        <w:rPr>
          <w:rFonts w:ascii="Times New Roman" w:hAnsi="Times New Roman" w:cs="Times New Roman"/>
        </w:rPr>
        <w:t>)</w:t>
      </w:r>
    </w:p>
    <w:p w14:paraId="4FC4E9A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photocurrent (</w:t>
      </w:r>
      <w:proofErr w:type="spellStart"/>
      <w:r>
        <w:rPr>
          <w:rFonts w:ascii="Times New Roman" w:hAnsi="Times New Roman" w:cs="Times New Roman"/>
        </w:rPr>
        <w:t>I</w:t>
      </w:r>
      <w:r>
        <w:rPr>
          <w:rFonts w:ascii="Times New Roman" w:hAnsi="Times New Roman" w:cs="Times New Roman"/>
          <w:vertAlign w:val="subscript"/>
        </w:rPr>
        <w:t>ph</w:t>
      </w:r>
      <w:proofErr w:type="spellEnd"/>
      <w:r>
        <w:rPr>
          <w:rFonts w:ascii="Times New Roman" w:hAnsi="Times New Roman" w:cs="Times New Roman"/>
        </w:rPr>
        <w:t>) of a PV module can be expressed using equation (5).</w:t>
      </w:r>
    </w:p>
    <w:p w14:paraId="50449D2F" w14:textId="77777777" w:rsidR="00B9131A" w:rsidRDefault="00B6370D">
      <w:pPr>
        <w:spacing w:after="0" w:line="276" w:lineRule="auto"/>
        <w:ind w:firstLine="424"/>
        <w:jc w:val="both"/>
        <w:rPr>
          <w:rFonts w:ascii="Times New Roman" w:hAnsi="Times New Roman" w:cs="Times New Roman"/>
        </w:rPr>
      </w:pPr>
      <w:r>
        <w:rPr>
          <w:rFonts w:ascii="Times New Roman" w:hAnsi="Times New Roman" w:cs="Times New Roman"/>
          <w:position w:val="-32"/>
        </w:rPr>
        <w:object w:dxaOrig="2970" w:dyaOrig="720" w14:anchorId="6CCDFD77">
          <v:shape id="1050" o:spid="_x0000_i1035" type="#_x0000_t75" style="width:148.6pt;height:36.35pt;visibility:visible;mso-wrap-distance-left:0;mso-wrap-distance-right:0" o:ole="">
            <v:imagedata r:id="rId29" o:title="" embosscolor="white"/>
          </v:shape>
          <o:OLEObject Type="Embed" ProgID="Equation.DSMT4" ShapeID="1050" DrawAspect="Content" ObjectID="_1812455284" r:id="rId3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w:t>
      </w:r>
    </w:p>
    <w:p w14:paraId="734EF50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r>
        <w:rPr>
          <w:rFonts w:ascii="Times New Roman" w:hAnsi="Times New Roman" w:cs="Times New Roman"/>
        </w:rPr>
        <w:t>:</w:t>
      </w:r>
    </w:p>
    <w:p w14:paraId="371B0F6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00" w:dyaOrig="390" w14:anchorId="3581B392">
          <v:shape id="1052" o:spid="_x0000_i1036" type="#_x0000_t75" style="width:30.4pt;height:19.15pt;visibility:visible;mso-wrap-distance-left:0;mso-wrap-distance-right:0" o:ole="">
            <v:imagedata r:id="rId31" o:title="" embosscolor="white"/>
          </v:shape>
          <o:OLEObject Type="Embed" ProgID="Equation.DSMT4" ShapeID="1052" DrawAspect="Content" ObjectID="_1812455285" r:id="rId32"/>
        </w:object>
      </w:r>
      <w:r>
        <w:rPr>
          <w:rFonts w:ascii="Times New Roman" w:hAnsi="Times New Roman" w:cs="Times New Roman"/>
        </w:rPr>
        <w:t xml:space="preserve">is the reference photocurrent at standard test conditions (STC), </w:t>
      </w:r>
      <w:r>
        <w:rPr>
          <w:rStyle w:val="mord"/>
          <w:rFonts w:ascii="Times New Roman" w:hAnsi="Times New Roman" w:cs="Times New Roman"/>
        </w:rPr>
        <w:t>α</w:t>
      </w:r>
      <w:r>
        <w:rPr>
          <w:rFonts w:ascii="Times New Roman" w:hAnsi="Times New Roman" w:cs="Times New Roman"/>
        </w:rPr>
        <w:t xml:space="preserve"> is the temperature coefficient of the photocurrent, </w:t>
      </w:r>
      <w:r>
        <w:rPr>
          <w:rStyle w:val="mord"/>
          <w:rFonts w:ascii="Times New Roman" w:hAnsi="Times New Roman" w:cs="Times New Roman"/>
        </w:rPr>
        <w:t>T</w:t>
      </w:r>
      <w:r>
        <w:rPr>
          <w:rFonts w:ascii="Times New Roman" w:hAnsi="Times New Roman" w:cs="Times New Roman"/>
        </w:rPr>
        <w:t xml:space="preserve"> is the current temperature of the PV panel,</w:t>
      </w:r>
      <w:r>
        <w:rPr>
          <w:rFonts w:ascii="Times New Roman" w:hAnsi="Times New Roman" w:cs="Times New Roman"/>
          <w:position w:val="-14"/>
        </w:rPr>
        <w:object w:dxaOrig="390" w:dyaOrig="390" w14:anchorId="4BD2ACE6">
          <v:shape id="1054" o:spid="_x0000_i1037" type="#_x0000_t75" style="width:19.15pt;height:19.15pt;visibility:visible;mso-wrap-distance-left:0;mso-wrap-distance-right:0" o:ole="">
            <v:imagedata r:id="rId33" o:title="" embosscolor="white"/>
          </v:shape>
          <o:OLEObject Type="Embed" ProgID="Equation.DSMT4" ShapeID="1054" DrawAspect="Content" ObjectID="_1812455286" r:id="rId34"/>
        </w:object>
      </w:r>
      <w:r>
        <w:rPr>
          <w:rFonts w:ascii="Times New Roman" w:hAnsi="Times New Roman" w:cs="Times New Roman"/>
        </w:rPr>
        <w:t xml:space="preserve">is the reference temperature at STC (usually 25°C), G is the current solar irradiance on the panel, </w:t>
      </w:r>
      <w:r>
        <w:rPr>
          <w:rFonts w:ascii="Times New Roman" w:hAnsi="Times New Roman" w:cs="Times New Roman"/>
          <w:position w:val="-14"/>
        </w:rPr>
        <w:object w:dxaOrig="390" w:dyaOrig="390" w14:anchorId="6C3FCA9E">
          <v:shape id="1056" o:spid="_x0000_i1038" type="#_x0000_t75" style="width:19.15pt;height:19.15pt;visibility:visible;mso-wrap-distance-left:0;mso-wrap-distance-right:0" o:ole="">
            <v:imagedata r:id="rId35" o:title="" embosscolor="white"/>
          </v:shape>
          <o:OLEObject Type="Embed" ProgID="Equation.DSMT4" ShapeID="1056" DrawAspect="Content" ObjectID="_1812455287" r:id="rId36"/>
        </w:object>
      </w:r>
      <w:r>
        <w:rPr>
          <w:rFonts w:ascii="Times New Roman" w:hAnsi="Times New Roman" w:cs="Times New Roman"/>
        </w:rPr>
        <w:t xml:space="preserve"> is the reference solar irradiance (1000 W/m² at STC) (</w:t>
      </w:r>
      <w:proofErr w:type="spellStart"/>
      <w:r>
        <w:rPr>
          <w:rFonts w:ascii="Times New Roman" w:eastAsia="Times New Roman" w:hAnsi="Times New Roman" w:cs="Times New Roman"/>
          <w:kern w:val="0"/>
          <w14:ligatures w14:val="none"/>
        </w:rPr>
        <w:t>Ghribi</w:t>
      </w:r>
      <w:proofErr w:type="spellEnd"/>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2024</w:t>
      </w:r>
      <w:r>
        <w:rPr>
          <w:rFonts w:ascii="Times New Roman" w:hAnsi="Times New Roman" w:cs="Times New Roman"/>
        </w:rPr>
        <w:t>).</w:t>
      </w:r>
    </w:p>
    <w:p w14:paraId="242A674A"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Reverse Saturation Current (I</w:t>
      </w:r>
      <w:r>
        <w:rPr>
          <w:rFonts w:ascii="Times New Roman" w:hAnsi="Times New Roman" w:cs="Times New Roman"/>
          <w:vertAlign w:val="subscript"/>
        </w:rPr>
        <w:t>0</w:t>
      </w:r>
      <w:r>
        <w:rPr>
          <w:rFonts w:ascii="Times New Roman" w:hAnsi="Times New Roman" w:cs="Times New Roman"/>
        </w:rPr>
        <w:t>):</w:t>
      </w:r>
    </w:p>
    <w:p w14:paraId="09C9544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reverse current </w:t>
      </w:r>
      <w:r>
        <w:rPr>
          <w:rFonts w:ascii="Times New Roman" w:hAnsi="Times New Roman" w:cs="Times New Roman"/>
        </w:rPr>
        <w:t>can be expressed as given in equation (6).</w:t>
      </w:r>
    </w:p>
    <w:p w14:paraId="0BB406B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3720" w:dyaOrig="870" w14:anchorId="664D1225">
          <v:shape id="1058" o:spid="_x0000_i1039" type="#_x0000_t75" style="width:185.6pt;height:44.25pt;visibility:visible;mso-wrap-distance-left:0;mso-wrap-distance-right:0" o:ole="">
            <v:imagedata r:id="rId37" o:title="" embosscolor="white"/>
          </v:shape>
          <o:OLEObject Type="Embed" ProgID="Equation.DSMT4" ShapeID="1058" DrawAspect="Content" ObjectID="_1812455288" r:id="rId3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6</w:t>
      </w:r>
    </w:p>
    <w:p w14:paraId="147132F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lastRenderedPageBreak/>
        <w:t>where:</w:t>
      </w:r>
    </w:p>
    <w:p w14:paraId="55BC8A2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465" w:dyaOrig="390" w14:anchorId="35BE144C">
          <v:shape id="1060" o:spid="_x0000_i1040" type="#_x0000_t75" style="width:22.45pt;height:19.15pt;visibility:visible;mso-wrap-distance-left:0;mso-wrap-distance-right:0" o:ole="">
            <v:imagedata r:id="rId39" o:title="" embosscolor="white"/>
          </v:shape>
          <o:OLEObject Type="Embed" ProgID="Equation.DSMT4" ShapeID="1060" DrawAspect="Content" ObjectID="_1812455289" r:id="rId40"/>
        </w:object>
      </w:r>
      <w:r>
        <w:rPr>
          <w:rFonts w:ascii="Times New Roman" w:hAnsi="Times New Roman" w:cs="Times New Roman"/>
        </w:rPr>
        <w:t>​</w:t>
      </w:r>
      <w:r>
        <w:rPr>
          <w:rFonts w:ascii="Times New Roman" w:hAnsi="Times New Roman" w:cs="Times New Roman"/>
        </w:rPr>
        <w:t xml:space="preserve"> is the reverse saturation current at STC, q is the charge of an electron (1.602 x 10⁻¹⁹ C), </w:t>
      </w:r>
      <w:proofErr w:type="spellStart"/>
      <w:r>
        <w:rPr>
          <w:rFonts w:ascii="Times New Roman" w:hAnsi="Times New Roman" w:cs="Times New Roman"/>
        </w:rPr>
        <w:t>E</w:t>
      </w:r>
      <w:r>
        <w:rPr>
          <w:rFonts w:ascii="Times New Roman" w:hAnsi="Times New Roman" w:cs="Times New Roman"/>
          <w:vertAlign w:val="subscript"/>
        </w:rPr>
        <w:t>g</w:t>
      </w:r>
      <w:proofErr w:type="spellEnd"/>
      <w:r>
        <w:rPr>
          <w:rFonts w:ascii="Times New Roman" w:hAnsi="Times New Roman" w:cs="Times New Roman"/>
        </w:rPr>
        <w:t xml:space="preserve"> is the bandgap energy of the semicondu</w:t>
      </w:r>
      <w:r>
        <w:rPr>
          <w:rFonts w:ascii="Times New Roman" w:hAnsi="Times New Roman" w:cs="Times New Roman"/>
        </w:rPr>
        <w:t>ctor, k is the Boltzmann constant (1.381 x 10⁻²³ J/K).</w:t>
      </w:r>
    </w:p>
    <w:p w14:paraId="3D0C5634"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Output Current (I) and Voltage (V):</w:t>
      </w:r>
    </w:p>
    <w:p w14:paraId="1D53DB8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By substituting the saturated and reverse current, the output voltage and current of a typical PV module can be expressed as given in Equation (7).</w:t>
      </w:r>
    </w:p>
    <w:p w14:paraId="3519FE0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170" w:dyaOrig="720" w14:anchorId="581D6EF1">
          <v:shape id="1062" o:spid="_x0000_i1041" type="#_x0000_t75" style="width:208.75pt;height:36.35pt;visibility:visible;mso-wrap-distance-left:0;mso-wrap-distance-right:0" o:ole="">
            <v:imagedata r:id="rId41" o:title="" embosscolor="white"/>
          </v:shape>
          <o:OLEObject Type="Embed" ProgID="Equation.DSMT4" ShapeID="1062" DrawAspect="Content" ObjectID="_1812455290" r:id="rId4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7</w:t>
      </w:r>
    </w:p>
    <w:p w14:paraId="4132EB3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5975ADC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s</w:t>
      </w:r>
      <w:r>
        <w:rPr>
          <w:rFonts w:ascii="Times New Roman" w:hAnsi="Times New Roman" w:cs="Times New Roman"/>
        </w:rPr>
        <w:t xml:space="preserve"> is the series resistance, </w:t>
      </w:r>
      <w:proofErr w:type="spellStart"/>
      <w:r>
        <w:rPr>
          <w:rFonts w:ascii="Times New Roman" w:hAnsi="Times New Roman" w:cs="Times New Roman"/>
        </w:rPr>
        <w:t>R</w:t>
      </w:r>
      <w:r>
        <w:rPr>
          <w:rFonts w:ascii="Times New Roman" w:hAnsi="Times New Roman" w:cs="Times New Roman"/>
          <w:vertAlign w:val="subscript"/>
        </w:rPr>
        <w:t>sh</w:t>
      </w:r>
      <w:proofErr w:type="spellEnd"/>
      <w:r>
        <w:rPr>
          <w:rFonts w:ascii="Times New Roman" w:hAnsi="Times New Roman" w:cs="Times New Roman"/>
        </w:rPr>
        <w:t>​</w:t>
      </w:r>
      <w:r>
        <w:rPr>
          <w:rFonts w:ascii="Times New Roman" w:hAnsi="Times New Roman" w:cs="Times New Roman"/>
        </w:rPr>
        <w:t xml:space="preserve"> is the shunt resistance, n is the ideality factor of the diode.</w:t>
      </w:r>
    </w:p>
    <w:p w14:paraId="1298E2F2"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Power Output (P):</w:t>
      </w:r>
    </w:p>
    <w:p w14:paraId="0E47191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output power of a PV module can be modelled using the output voltage and current as s</w:t>
      </w:r>
      <w:r>
        <w:rPr>
          <w:rFonts w:ascii="Times New Roman" w:hAnsi="Times New Roman" w:cs="Times New Roman"/>
        </w:rPr>
        <w:t>hown in Equation (8).</w:t>
      </w:r>
    </w:p>
    <w:p w14:paraId="589B0DA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720" w:dyaOrig="255" w14:anchorId="7C35EA64">
          <v:shape id="1064" o:spid="_x0000_i1042" type="#_x0000_t75" style="width:36.35pt;height:13.2pt;visibility:visible;mso-wrap-distance-left:0;mso-wrap-distance-right:0" o:ole="">
            <v:imagedata r:id="rId43" o:title="" embosscolor="white"/>
          </v:shape>
          <o:OLEObject Type="Embed" ProgID="Equation.DSMT4" ShapeID="1064" DrawAspect="Content" ObjectID="_1812455291" r:id="rId4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8</w:t>
      </w:r>
    </w:p>
    <w:p w14:paraId="4F68A321" w14:textId="77777777" w:rsidR="00B9131A" w:rsidRDefault="00B6370D">
      <w:pPr>
        <w:pStyle w:val="ListParagraph"/>
        <w:numPr>
          <w:ilvl w:val="2"/>
          <w:numId w:val="10"/>
        </w:numPr>
        <w:spacing w:after="0" w:line="276" w:lineRule="auto"/>
        <w:jc w:val="both"/>
        <w:rPr>
          <w:rFonts w:ascii="Times New Roman" w:hAnsi="Times New Roman" w:cs="Times New Roman"/>
          <w:b/>
          <w:bCs/>
        </w:rPr>
      </w:pPr>
      <w:r>
        <w:rPr>
          <w:rFonts w:ascii="Times New Roman" w:hAnsi="Times New Roman" w:cs="Times New Roman"/>
          <w:b/>
          <w:bCs/>
        </w:rPr>
        <w:t xml:space="preserve">Modelling of battery storage </w:t>
      </w:r>
    </w:p>
    <w:p w14:paraId="7C46F76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battery storage system was modeled to simulate charge and discharge cycles. The State of Charge (SoC) of the battery can be modelled using the equation (9) (</w:t>
      </w:r>
      <w:r>
        <w:rPr>
          <w:rFonts w:ascii="Times New Roman" w:eastAsia="Times New Roman" w:hAnsi="Times New Roman" w:cs="Times New Roman"/>
          <w:kern w:val="0"/>
          <w14:ligatures w14:val="none"/>
        </w:rPr>
        <w:t xml:space="preserve">Mesbahi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xml:space="preserve"> 2020</w:t>
      </w:r>
      <w:r>
        <w:rPr>
          <w:rFonts w:ascii="Times New Roman" w:hAnsi="Times New Roman" w:cs="Times New Roman"/>
        </w:rPr>
        <w:t>):</w:t>
      </w:r>
    </w:p>
    <w:p w14:paraId="498F645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5385" w:dyaOrig="690" w14:anchorId="3B6DEC2C">
          <v:shape id="1066" o:spid="_x0000_i1043" type="#_x0000_t75" style="width:268.85pt;height:34.35pt;visibility:visible;mso-wrap-distance-left:0;mso-wrap-distance-right:0" o:ole="">
            <v:imagedata r:id="rId45" o:title="" embosscolor="white"/>
          </v:shape>
          <o:OLEObject Type="Embed" ProgID="Equation.DSMT4" ShapeID="1066" DrawAspect="Content" ObjectID="_1812455292" r:id="rId46"/>
        </w:objec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9</w:t>
      </w:r>
    </w:p>
    <w:p w14:paraId="1D096A1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0D380AA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00" w:dyaOrig="390" w14:anchorId="030A38EB">
          <v:shape id="1068" o:spid="_x0000_i1044" type="#_x0000_t75" style="width:30.4pt;height:19.15pt;visibility:visible;mso-wrap-distance-left:0;mso-wrap-distance-right:0" o:ole="">
            <v:imagedata r:id="rId47" o:title="" embosscolor="white"/>
          </v:shape>
          <o:OLEObject Type="Embed" ProgID="Equation.DSMT4" ShapeID="1068" DrawAspect="Content" ObjectID="_1812455293" r:id="rId48"/>
        </w:object>
      </w:r>
      <w:r>
        <w:rPr>
          <w:rFonts w:ascii="Times New Roman" w:hAnsi="Times New Roman" w:cs="Times New Roman"/>
        </w:rPr>
        <w:t xml:space="preserve">and </w:t>
      </w:r>
      <w:r>
        <w:rPr>
          <w:rFonts w:ascii="Times New Roman" w:hAnsi="Times New Roman" w:cs="Times New Roman"/>
          <w:position w:val="-14"/>
        </w:rPr>
        <w:object w:dxaOrig="765" w:dyaOrig="390" w14:anchorId="3A36362F">
          <v:shape id="1070" o:spid="_x0000_i1045" type="#_x0000_t75" style="width:37.65pt;height:19.15pt;visibility:visible;mso-wrap-distance-left:0;mso-wrap-distance-right:0" o:ole="">
            <v:imagedata r:id="rId49" o:title="" embosscolor="white"/>
          </v:shape>
          <o:OLEObject Type="Embed" ProgID="Equation.DSMT4" ShapeID="1070" DrawAspect="Content" ObjectID="_1812455294" r:id="rId50"/>
        </w:object>
      </w:r>
      <w:r>
        <w:rPr>
          <w:rFonts w:ascii="Times New Roman" w:hAnsi="Times New Roman" w:cs="Times New Roman"/>
        </w:rPr>
        <w:t xml:space="preserve">are the charging and discharging efficiencies, </w:t>
      </w:r>
      <w:r>
        <w:rPr>
          <w:rFonts w:ascii="Times New Roman" w:hAnsi="Times New Roman" w:cs="Times New Roman"/>
          <w:position w:val="-14"/>
        </w:rPr>
        <w:object w:dxaOrig="840" w:dyaOrig="390" w14:anchorId="4CC9865D">
          <v:shape id="1072" o:spid="_x0000_i1046" type="#_x0000_t75" style="width:41.6pt;height:19.15pt;visibility:visible;mso-wrap-distance-left:0;mso-wrap-distance-right:0" o:ole="">
            <v:imagedata r:id="rId51" o:title="" embosscolor="white"/>
          </v:shape>
          <o:OLEObject Type="Embed" ProgID="Equation.DSMT4" ShapeID="1072" DrawAspect="Content" ObjectID="_1812455295" r:id="rId52"/>
        </w:object>
      </w:r>
      <w:r>
        <w:rPr>
          <w:rFonts w:ascii="Times New Roman" w:hAnsi="Times New Roman" w:cs="Times New Roman"/>
        </w:rPr>
        <w:t xml:space="preserve">and </w:t>
      </w:r>
      <w:r>
        <w:rPr>
          <w:rFonts w:ascii="Times New Roman" w:hAnsi="Times New Roman" w:cs="Times New Roman"/>
          <w:position w:val="-14"/>
        </w:rPr>
        <w:object w:dxaOrig="1050" w:dyaOrig="390" w14:anchorId="6A346DBB">
          <v:shape id="1074" o:spid="_x0000_i1047" type="#_x0000_t75" style="width:52.85pt;height:19.15pt;visibility:visible;mso-wrap-distance-left:0;mso-wrap-distance-right:0" o:ole="">
            <v:imagedata r:id="rId53" o:title="" embosscolor="white"/>
          </v:shape>
          <o:OLEObject Type="Embed" ProgID="Equation.DSMT4" ShapeID="1074" DrawAspect="Content" ObjectID="_1812455296" r:id="rId54"/>
        </w:object>
      </w:r>
      <w:r>
        <w:rPr>
          <w:rFonts w:ascii="Times New Roman" w:hAnsi="Times New Roman" w:cs="Times New Roman"/>
        </w:rPr>
        <w:t xml:space="preserve"> are the charging and dis</w:t>
      </w:r>
      <w:r>
        <w:rPr>
          <w:rFonts w:ascii="Times New Roman" w:hAnsi="Times New Roman" w:cs="Times New Roman"/>
        </w:rPr>
        <w:t xml:space="preserve">charging power at time t, </w:t>
      </w:r>
      <w:r>
        <w:rPr>
          <w:rFonts w:ascii="Times New Roman" w:hAnsi="Times New Roman" w:cs="Times New Roman"/>
          <w:position w:val="-12"/>
        </w:rPr>
        <w:object w:dxaOrig="390" w:dyaOrig="390" w14:anchorId="786297DD">
          <v:shape id="1076" o:spid="_x0000_i1048" type="#_x0000_t75" style="width:19.15pt;height:19.15pt;visibility:visible;mso-wrap-distance-left:0;mso-wrap-distance-right:0" o:ole="">
            <v:imagedata r:id="rId55" o:title="" embosscolor="white"/>
          </v:shape>
          <o:OLEObject Type="Embed" ProgID="Equation.DSMT4" ShapeID="1076" DrawAspect="Content" ObjectID="_1812455297" r:id="rId56"/>
        </w:object>
      </w:r>
      <w:r>
        <w:rPr>
          <w:rFonts w:ascii="Times New Roman" w:hAnsi="Times New Roman" w:cs="Times New Roman"/>
        </w:rPr>
        <w:t xml:space="preserve">is the battery capacity, </w:t>
      </w:r>
    </w:p>
    <w:p w14:paraId="39FDDD7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instantaneous power of the battery storage (</w:t>
      </w:r>
      <w:proofErr w:type="spellStart"/>
      <w:r>
        <w:rPr>
          <w:rFonts w:ascii="Times New Roman" w:hAnsi="Times New Roman" w:cs="Times New Roman"/>
          <w:i/>
          <w:iCs/>
        </w:rPr>
        <w:t>P</w:t>
      </w:r>
      <w:r>
        <w:rPr>
          <w:rFonts w:ascii="Times New Roman" w:hAnsi="Times New Roman" w:cs="Times New Roman"/>
          <w:i/>
          <w:iCs/>
          <w:vertAlign w:val="subscript"/>
        </w:rPr>
        <w:t>bat</w:t>
      </w:r>
      <w:proofErr w:type="spellEnd"/>
      <w:r>
        <w:rPr>
          <w:rFonts w:ascii="Times New Roman" w:hAnsi="Times New Roman" w:cs="Times New Roman"/>
        </w:rPr>
        <w:t xml:space="preserve">) can be expressed as given in Equation (10). </w:t>
      </w:r>
    </w:p>
    <w:p w14:paraId="5B2629E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2820" w:dyaOrig="390" w14:anchorId="7968FFEE">
          <v:shape id="1078" o:spid="_x0000_i1049" type="#_x0000_t75" style="width:140.7pt;height:19.15pt;visibility:visible;mso-wrap-distance-left:0;mso-wrap-distance-right:0" o:ole="">
            <v:imagedata r:id="rId57" o:title="" embosscolor="white"/>
          </v:shape>
          <o:OLEObject Type="Embed" ProgID="Equation.DSMT4" ShapeID="1078" DrawAspect="Content" ObjectID="_1812455298" r:id="rId5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10</w:t>
      </w:r>
    </w:p>
    <w:p w14:paraId="6222263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For solar energy project, the battery that is specifically designed for a low energy level discharge is recommended (Dai </w:t>
      </w:r>
      <w:r>
        <w:rPr>
          <w:rFonts w:ascii="Times New Roman" w:hAnsi="Times New Roman" w:cs="Times New Roman"/>
          <w:i/>
          <w:iCs/>
        </w:rPr>
        <w:t>et al</w:t>
      </w:r>
      <w:r>
        <w:rPr>
          <w:rFonts w:ascii="Times New Roman" w:hAnsi="Times New Roman" w:cs="Times New Roman"/>
        </w:rPr>
        <w:t>., 2021). This energy storage system is sized to store sufficient energy that will operate the buildings or appliances when the po</w:t>
      </w:r>
      <w:r>
        <w:rPr>
          <w:rFonts w:ascii="Times New Roman" w:hAnsi="Times New Roman" w:cs="Times New Roman"/>
        </w:rPr>
        <w:t>wer supply from the solar photovoltaic system and the grid is not available. The Ampere-hour capacity (</w:t>
      </w:r>
      <w:r>
        <w:rPr>
          <w:rFonts w:ascii="Times New Roman" w:hAnsi="Times New Roman" w:cs="Times New Roman"/>
          <w:i/>
          <w:iCs/>
        </w:rPr>
        <w:t>CB</w:t>
      </w:r>
      <w:r>
        <w:rPr>
          <w:rFonts w:ascii="Times New Roman" w:hAnsi="Times New Roman" w:cs="Times New Roman"/>
        </w:rPr>
        <w:t>) of the battery storage for the museum is calculated using Equation (11) (</w:t>
      </w:r>
      <w:proofErr w:type="spellStart"/>
      <w:r>
        <w:rPr>
          <w:rFonts w:ascii="Times New Roman" w:hAnsi="Times New Roman" w:cs="Times New Roman"/>
        </w:rPr>
        <w:t>Soomar</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w:t>
      </w:r>
    </w:p>
    <w:p w14:paraId="5320AE4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1815" w:dyaOrig="660" w14:anchorId="4C2F3709">
          <v:shape id="1080" o:spid="_x0000_i1050" type="#_x0000_t75" style="width:91.15pt;height:33.05pt;visibility:visible;mso-wrap-distance-left:0;mso-wrap-distance-right:0" o:ole="">
            <v:imagedata r:id="rId59" o:title="" embosscolor="white"/>
          </v:shape>
          <o:OLEObject Type="Embed" ProgID="Equation.DSMT4" ShapeID="1080" DrawAspect="Content" ObjectID="_1812455299" r:id="rId6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11 </w:t>
      </w:r>
    </w:p>
    <w:p w14:paraId="27CB7AC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r>
        <w:rPr>
          <w:rFonts w:ascii="Times New Roman" w:hAnsi="Times New Roman" w:cs="Times New Roman"/>
        </w:rPr>
        <w:t xml:space="preserve"> </w:t>
      </w:r>
      <w:r>
        <w:rPr>
          <w:rFonts w:ascii="Times New Roman" w:hAnsi="Times New Roman" w:cs="Times New Roman"/>
          <w:position w:val="-14"/>
        </w:rPr>
        <w:object w:dxaOrig="450" w:dyaOrig="390" w14:anchorId="4A5F2B90">
          <v:shape id="1082" o:spid="_x0000_i1051" type="#_x0000_t75" style="width:22.45pt;height:19.15pt;visibility:visible;mso-wrap-distance-left:0;mso-wrap-distance-right:0" o:ole="">
            <v:imagedata r:id="rId61" o:title="" embosscolor="white"/>
          </v:shape>
          <o:OLEObject Type="Embed" ProgID="Equation.DSMT4" ShapeID="1082" DrawAspect="Content" ObjectID="_1812455300" r:id="rId62"/>
        </w:object>
      </w:r>
      <w:r>
        <w:rPr>
          <w:rFonts w:ascii="Times New Roman" w:hAnsi="Times New Roman" w:cs="Times New Roman"/>
        </w:rPr>
        <w:t xml:space="preserve">is daily power consumption, </w:t>
      </w:r>
      <w:r>
        <w:rPr>
          <w:rFonts w:ascii="Times New Roman" w:hAnsi="Times New Roman" w:cs="Times New Roman"/>
          <w:position w:val="-4"/>
        </w:rPr>
        <w:object w:dxaOrig="255" w:dyaOrig="255" w14:anchorId="4016FE3E">
          <v:shape id="1084" o:spid="_x0000_i1052" type="#_x0000_t75" style="width:13.2pt;height:13.2pt;visibility:visible;mso-wrap-distance-left:0;mso-wrap-distance-right:0" o:ole="">
            <v:imagedata r:id="rId63" o:title="" embosscolor="white"/>
          </v:shape>
          <o:OLEObject Type="Embed" ProgID="Equation.DSMT4" ShapeID="1084" DrawAspect="Content" ObjectID="_1812455301" r:id="rId64"/>
        </w:object>
      </w:r>
      <w:r>
        <w:rPr>
          <w:rFonts w:ascii="Times New Roman" w:hAnsi="Times New Roman" w:cs="Times New Roman"/>
        </w:rPr>
        <w:t xml:space="preserve"> is days of autonomy, </w:t>
      </w:r>
      <w:r>
        <w:rPr>
          <w:rFonts w:ascii="Times New Roman" w:hAnsi="Times New Roman" w:cs="Times New Roman"/>
          <w:position w:val="-12"/>
        </w:rPr>
        <w:object w:dxaOrig="390" w:dyaOrig="390" w14:anchorId="4D245C93">
          <v:shape id="1086" o:spid="_x0000_i1053" type="#_x0000_t75" style="width:19.15pt;height:19.15pt;visibility:visible;mso-wrap-distance-left:0;mso-wrap-distance-right:0" o:ole="">
            <v:imagedata r:id="rId65" o:title="" embosscolor="white"/>
          </v:shape>
          <o:OLEObject Type="Embed" ProgID="Equation.DSMT4" ShapeID="1086" DrawAspect="Content" ObjectID="_1812455302" r:id="rId66"/>
        </w:object>
      </w:r>
      <w:r>
        <w:rPr>
          <w:rFonts w:ascii="Times New Roman" w:hAnsi="Times New Roman" w:cs="Times New Roman"/>
        </w:rPr>
        <w:t xml:space="preserve">is battery efficiency, </w:t>
      </w:r>
      <w:r>
        <w:rPr>
          <w:rFonts w:ascii="Times New Roman" w:hAnsi="Times New Roman" w:cs="Times New Roman"/>
          <w:position w:val="-12"/>
        </w:rPr>
        <w:object w:dxaOrig="330" w:dyaOrig="390" w14:anchorId="07005B42">
          <v:shape id="1088" o:spid="_x0000_i1054" type="#_x0000_t75" style="width:17.15pt;height:19.15pt;visibility:visible;mso-wrap-distance-left:0;mso-wrap-distance-right:0" o:ole="">
            <v:imagedata r:id="rId67" o:title="" embosscolor="white"/>
          </v:shape>
          <o:OLEObject Type="Embed" ProgID="Equation.DSMT4" ShapeID="1088" DrawAspect="Content" ObjectID="_1812455303" r:id="rId68"/>
        </w:object>
      </w:r>
      <w:r>
        <w:rPr>
          <w:rFonts w:ascii="Times New Roman" w:hAnsi="Times New Roman" w:cs="Times New Roman"/>
        </w:rPr>
        <w:t xml:space="preserve">is depth of discharge, and </w:t>
      </w:r>
      <w:r>
        <w:rPr>
          <w:rFonts w:ascii="Times New Roman" w:hAnsi="Times New Roman" w:cs="Times New Roman"/>
          <w:position w:val="-12"/>
        </w:rPr>
        <w:object w:dxaOrig="390" w:dyaOrig="390" w14:anchorId="33B99D03">
          <v:shape id="1090" o:spid="_x0000_i1055" type="#_x0000_t75" style="width:19.15pt;height:19.15pt;visibility:visible;mso-wrap-distance-left:0;mso-wrap-distance-right:0" o:ole="">
            <v:imagedata r:id="rId69" o:title="" embosscolor="white"/>
          </v:shape>
          <o:OLEObject Type="Embed" ProgID="Equation.DSMT4" ShapeID="1090" DrawAspect="Content" ObjectID="_1812455304" r:id="rId70"/>
        </w:object>
      </w:r>
      <w:r>
        <w:rPr>
          <w:rFonts w:ascii="Times New Roman" w:hAnsi="Times New Roman" w:cs="Times New Roman"/>
        </w:rPr>
        <w:t>is battery nominal voltag</w:t>
      </w:r>
      <w:r>
        <w:rPr>
          <w:rFonts w:ascii="Times New Roman" w:hAnsi="Times New Roman" w:cs="Times New Roman"/>
        </w:rPr>
        <w:t xml:space="preserve">e </w:t>
      </w:r>
    </w:p>
    <w:p w14:paraId="443287C6"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3.3.3</w:t>
      </w:r>
      <w:r>
        <w:rPr>
          <w:rFonts w:ascii="Times New Roman" w:hAnsi="Times New Roman" w:cs="Times New Roman"/>
          <w:b/>
          <w:bCs/>
        </w:rPr>
        <w:tab/>
        <w:t xml:space="preserve">Modelling of power converter </w:t>
      </w:r>
    </w:p>
    <w:p w14:paraId="618FA27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power converter ensures efficient energy conversion and management. The power converter proposed in this study is bidirectional in operation as it can work as a rectifier when the battery is </w:t>
      </w:r>
      <w:r>
        <w:rPr>
          <w:rFonts w:ascii="Times New Roman" w:hAnsi="Times New Roman" w:cs="Times New Roman"/>
        </w:rPr>
        <w:lastRenderedPageBreak/>
        <w:t xml:space="preserve">needed to be charged </w:t>
      </w:r>
      <w:r>
        <w:rPr>
          <w:rFonts w:ascii="Times New Roman" w:hAnsi="Times New Roman" w:cs="Times New Roman"/>
        </w:rPr>
        <w:t>and also act as an inverter to supply the AC load. The output power of a converter is expressed as given in Equation 12 (</w:t>
      </w:r>
      <w:r>
        <w:rPr>
          <w:rFonts w:ascii="Times New Roman" w:eastAsia="Times New Roman" w:hAnsi="Times New Roman" w:cs="Times New Roman"/>
          <w:kern w:val="0"/>
          <w14:ligatures w14:val="none"/>
        </w:rPr>
        <w:t xml:space="preserve">İnci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 xml:space="preserve">).   </w:t>
      </w:r>
    </w:p>
    <w:p w14:paraId="5E5808B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1335" w:dyaOrig="390" w14:anchorId="72C9521B">
          <v:shape id="1092" o:spid="_x0000_i1056" type="#_x0000_t75" style="width:66.7pt;height:19.15pt;visibility:visible;mso-wrap-distance-left:0;mso-wrap-distance-right:0" o:ole="">
            <v:imagedata r:id="rId71" o:title="" embosscolor="white"/>
          </v:shape>
          <o:OLEObject Type="Embed" ProgID="Equation.DSMT4" ShapeID="1092" DrawAspect="Content" ObjectID="_1812455305" r:id="rId7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12</w:t>
      </w:r>
    </w:p>
    <w:p w14:paraId="725346B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r>
        <w:rPr>
          <w:rFonts w:ascii="Times New Roman" w:hAnsi="Times New Roman" w:cs="Times New Roman"/>
          <w:position w:val="-12"/>
        </w:rPr>
        <w:object w:dxaOrig="390" w:dyaOrig="390" w14:anchorId="305FC3BB">
          <v:shape id="1094" o:spid="_x0000_i1057" type="#_x0000_t75" style="width:19.15pt;height:19.15pt;visibility:visible;mso-wrap-distance-left:0;mso-wrap-distance-right:0" o:ole="">
            <v:imagedata r:id="rId73" o:title="" embosscolor="white"/>
          </v:shape>
          <o:OLEObject Type="Embed" ProgID="Equation.DSMT4" ShapeID="1094" DrawAspect="Content" ObjectID="_1812455306" r:id="rId74"/>
        </w:object>
      </w:r>
      <w:r>
        <w:rPr>
          <w:rFonts w:ascii="Times New Roman" w:hAnsi="Times New Roman" w:cs="Times New Roman"/>
        </w:rPr>
        <w:t>​</w:t>
      </w:r>
      <w:r>
        <w:rPr>
          <w:rFonts w:ascii="Times New Roman" w:hAnsi="Times New Roman" w:cs="Times New Roman"/>
        </w:rPr>
        <w:t xml:space="preserve"> is the output power from the co</w:t>
      </w:r>
      <w:r>
        <w:rPr>
          <w:rFonts w:ascii="Times New Roman" w:hAnsi="Times New Roman" w:cs="Times New Roman"/>
        </w:rPr>
        <w:t xml:space="preserve">nverter, </w:t>
      </w:r>
      <w:r>
        <w:rPr>
          <w:rFonts w:ascii="Times New Roman" w:hAnsi="Times New Roman" w:cs="Times New Roman"/>
          <w:position w:val="-12"/>
        </w:rPr>
        <w:object w:dxaOrig="300" w:dyaOrig="390" w14:anchorId="64E4A264">
          <v:shape id="1096" o:spid="_x0000_i1058" type="#_x0000_t75" style="width:15.2pt;height:19.15pt;visibility:visible;mso-wrap-distance-left:0;mso-wrap-distance-right:0" o:ole="">
            <v:imagedata r:id="rId75" o:title="" embosscolor="white"/>
          </v:shape>
          <o:OLEObject Type="Embed" ProgID="Equation.DSMT4" ShapeID="1096" DrawAspect="Content" ObjectID="_1812455307" r:id="rId76"/>
        </w:object>
      </w:r>
      <w:r>
        <w:rPr>
          <w:rFonts w:ascii="Times New Roman" w:hAnsi="Times New Roman" w:cs="Times New Roman"/>
        </w:rPr>
        <w:t>​</w:t>
      </w:r>
      <w:r>
        <w:rPr>
          <w:rFonts w:ascii="Times New Roman" w:hAnsi="Times New Roman" w:cs="Times New Roman"/>
        </w:rPr>
        <w:t xml:space="preserve"> is the input power to the converter, </w:t>
      </w:r>
      <w:r>
        <w:rPr>
          <w:rFonts w:ascii="Times New Roman" w:hAnsi="Times New Roman" w:cs="Times New Roman"/>
          <w:position w:val="-12"/>
        </w:rPr>
        <w:object w:dxaOrig="450" w:dyaOrig="390" w14:anchorId="3236BEC8">
          <v:shape id="1098" o:spid="_x0000_i1059" type="#_x0000_t75" style="width:22.45pt;height:19.15pt;visibility:visible;mso-wrap-distance-left:0;mso-wrap-distance-right:0" o:ole="">
            <v:imagedata r:id="rId77" o:title="" embosscolor="white"/>
          </v:shape>
          <o:OLEObject Type="Embed" ProgID="Equation.DSMT4" ShapeID="1098" DrawAspect="Content" ObjectID="_1812455308" r:id="rId78"/>
        </w:object>
      </w:r>
      <w:r>
        <w:rPr>
          <w:rFonts w:ascii="Times New Roman" w:hAnsi="Times New Roman" w:cs="Times New Roman"/>
        </w:rPr>
        <w:t>​</w:t>
      </w:r>
      <w:r>
        <w:rPr>
          <w:rFonts w:ascii="Times New Roman" w:hAnsi="Times New Roman" w:cs="Times New Roman"/>
        </w:rPr>
        <w:t xml:space="preserve"> is the converter efficiency.</w:t>
      </w:r>
    </w:p>
    <w:p w14:paraId="7FCDE74C"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t>Optimization model</w:t>
      </w:r>
    </w:p>
    <w:p w14:paraId="192F4D9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default optimization model of the HOMER software is the minimization of the Net Present Cost (NPC)</w:t>
      </w:r>
      <w:r>
        <w:rPr>
          <w:rFonts w:ascii="Times New Roman" w:hAnsi="Times New Roman" w:cs="Times New Roman"/>
        </w:rPr>
        <w:t xml:space="preserve"> of any proposed system. The net present cost was used to optimize the design parameters of the system in a way that the electricity demand was met with minimum cost. The mathematical optimization model used in this study is given in Equation 13:</w:t>
      </w:r>
    </w:p>
    <w:p w14:paraId="46C1556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position w:val="-14"/>
        </w:rPr>
        <w:object w:dxaOrig="1770" w:dyaOrig="405" w14:anchorId="7941BA12">
          <v:shape id="1100" o:spid="_x0000_i1060" type="#_x0000_t75" style="width:89.15pt;height:20.5pt;visibility:visible;mso-wrap-distance-left:0;mso-wrap-distance-right:0" o:ole="">
            <v:imagedata r:id="rId79" o:title="" embosscolor="white"/>
          </v:shape>
          <o:OLEObject Type="Embed" ProgID="Equation.DSMT4" ShapeID="1100" DrawAspect="Content" ObjectID="_1812455309" r:id="rId8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13</w:t>
      </w:r>
    </w:p>
    <w:p w14:paraId="01F53FCF"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Utilizing the discount rate, the total NPC condenses all project-related costs and revenues into a single lump sum while bringing all future cash flows back to the present. The NPC comprises the price of start</w:t>
      </w:r>
      <w:r>
        <w:rPr>
          <w:rFonts w:ascii="Times New Roman" w:eastAsia="Times New Roman" w:hAnsi="Times New Roman" w:cs="Times New Roman"/>
          <w:kern w:val="0"/>
          <w14:ligatures w14:val="none"/>
        </w:rPr>
        <w:t>ing a project, replacing parts, maintaining it, and purchasing fuel. It also covers other costs such as fines for harmful emissions and the price of buying energy from the grid. NPC also includes the proceeds from selling electricity to the grid and any sa</w:t>
      </w:r>
      <w:r>
        <w:rPr>
          <w:rFonts w:ascii="Times New Roman" w:eastAsia="Times New Roman" w:hAnsi="Times New Roman" w:cs="Times New Roman"/>
          <w:kern w:val="0"/>
          <w14:ligatures w14:val="none"/>
        </w:rPr>
        <w:t xml:space="preserve">lvage value realized at the end of the lifespan of the project (HOMER Documentation; </w:t>
      </w:r>
      <w:proofErr w:type="spellStart"/>
      <w:r>
        <w:rPr>
          <w:rFonts w:ascii="Times New Roman" w:hAnsi="Times New Roman" w:cs="Times New Roman"/>
        </w:rPr>
        <w:t>Firincă</w:t>
      </w:r>
      <w:proofErr w:type="spellEnd"/>
      <w:r>
        <w:rPr>
          <w:rFonts w:ascii="Times New Roman" w:hAnsi="Times New Roman" w:cs="Times New Roman"/>
        </w:rPr>
        <w:t xml:space="preserve"> </w:t>
      </w:r>
      <w:r>
        <w:rPr>
          <w:rFonts w:ascii="Times New Roman" w:hAnsi="Times New Roman" w:cs="Times New Roman"/>
          <w:i/>
        </w:rPr>
        <w:t xml:space="preserve">et al., </w:t>
      </w:r>
      <w:r>
        <w:rPr>
          <w:rFonts w:ascii="Times New Roman" w:hAnsi="Times New Roman" w:cs="Times New Roman"/>
        </w:rPr>
        <w:t>2015</w:t>
      </w:r>
      <w:r>
        <w:rPr>
          <w:rFonts w:ascii="Times New Roman" w:eastAsia="Times New Roman" w:hAnsi="Times New Roman" w:cs="Times New Roman"/>
          <w:kern w:val="0"/>
          <w14:ligatures w14:val="none"/>
        </w:rPr>
        <w:t>). The following Equations express NPC.</w:t>
      </w:r>
    </w:p>
    <w:p w14:paraId="389DAC4F"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position w:val="-32"/>
        </w:rPr>
        <w:object w:dxaOrig="1875" w:dyaOrig="735" w14:anchorId="698C4650">
          <v:shape id="1102" o:spid="_x0000_i1061" type="#_x0000_t75" style="width:93.8pt;height:36.35pt;visibility:visible;mso-wrap-distance-left:0;mso-wrap-distance-right:0" o:ole="">
            <v:imagedata r:id="rId81" o:title="" embosscolor="white"/>
          </v:shape>
          <o:OLEObject Type="Embed" ProgID="Equation.DSMT4" ShapeID="1102" DrawAspect="Content" ObjectID="_1812455310" r:id="rId8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14</w:t>
      </w:r>
    </w:p>
    <w:p w14:paraId="13E830D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4"/>
        </w:rPr>
        <w:object w:dxaOrig="735" w:dyaOrig="390" w14:anchorId="45725BFB">
          <v:shape id="1104" o:spid="_x0000_i1062" type="#_x0000_t75" style="width:36.35pt;height:19.15pt;visibility:visible;mso-wrap-distance-left:0;mso-wrap-distance-right:0" o:ole="">
            <v:imagedata r:id="rId83" o:title="" embosscolor="white"/>
          </v:shape>
          <o:OLEObject Type="Embed" ProgID="Equation.DSMT4" ShapeID="1104" DrawAspect="Content" ObjectID="_1812455311" r:id="rId84"/>
        </w:object>
      </w:r>
      <w:r>
        <w:rPr>
          <w:rFonts w:ascii="Times New Roman" w:hAnsi="Times New Roman" w:cs="Times New Roman"/>
        </w:rPr>
        <w:t xml:space="preserve"> is the total annualized cost, </w:t>
      </w:r>
      <w:r>
        <w:rPr>
          <w:rFonts w:ascii="Times New Roman" w:hAnsi="Times New Roman" w:cs="Times New Roman"/>
          <w:i/>
          <w:iCs/>
        </w:rPr>
        <w:t>CRF</w:t>
      </w:r>
      <w:r>
        <w:rPr>
          <w:rFonts w:ascii="Times New Roman" w:hAnsi="Times New Roman" w:cs="Times New Roman"/>
        </w:rPr>
        <w:t xml:space="preserve"> is the capital recovery factor, </w:t>
      </w:r>
      <w:proofErr w:type="spellStart"/>
      <w:r>
        <w:rPr>
          <w:rFonts w:ascii="Times New Roman" w:hAnsi="Times New Roman" w:cs="Times New Roman"/>
          <w:i/>
          <w:iCs/>
        </w:rPr>
        <w:t>i</w:t>
      </w:r>
      <w:proofErr w:type="spellEnd"/>
      <w:r>
        <w:rPr>
          <w:rFonts w:ascii="Times New Roman" w:hAnsi="Times New Roman" w:cs="Times New Roman"/>
        </w:rPr>
        <w:t xml:space="preserve"> denote the real interest rate, and N is the project lifetime.</w:t>
      </w:r>
    </w:p>
    <w:p w14:paraId="4DA56B7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CRF</w:t>
      </w:r>
      <w:r>
        <w:rPr>
          <w:rFonts w:ascii="Times New Roman" w:hAnsi="Times New Roman" w:cs="Times New Roman"/>
        </w:rPr>
        <w:t xml:space="preserve"> is estimated by Equation 15:</w:t>
      </w:r>
    </w:p>
    <w:p w14:paraId="5E17734A"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position w:val="-36"/>
        </w:rPr>
        <w:object w:dxaOrig="2310" w:dyaOrig="840" w14:anchorId="4F3F7BC2">
          <v:shape id="1106" o:spid="_x0000_i1063" type="#_x0000_t75" style="width:116.25pt;height:41.6pt;visibility:visible;mso-wrap-distance-left:0;mso-wrap-distance-right:0" o:ole="">
            <v:imagedata r:id="rId85" o:title="" embosscolor="white"/>
          </v:shape>
          <o:OLEObject Type="Embed" ProgID="Equation.DSMT4" ShapeID="1106" DrawAspect="Content" ObjectID="_1812455312" r:id="rId8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15</w:t>
      </w:r>
    </w:p>
    <w:p w14:paraId="44AEC249" w14:textId="77777777" w:rsidR="00B9131A" w:rsidRDefault="00B6370D">
      <w:pPr>
        <w:spacing w:before="100" w:beforeAutospacing="1"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objective function above was subjec</w:t>
      </w:r>
      <w:r>
        <w:rPr>
          <w:rFonts w:ascii="Times New Roman" w:eastAsia="Times New Roman" w:hAnsi="Times New Roman" w:cs="Times New Roman"/>
          <w:kern w:val="0"/>
          <w14:ligatures w14:val="none"/>
        </w:rPr>
        <w:t>ted to the following equality and inequality constraints.</w:t>
      </w:r>
    </w:p>
    <w:p w14:paraId="7F6053A4" w14:textId="77777777" w:rsidR="00B9131A" w:rsidRDefault="00B6370D">
      <w:pPr>
        <w:pStyle w:val="ListParagraph"/>
        <w:numPr>
          <w:ilvl w:val="0"/>
          <w:numId w:val="5"/>
        </w:numPr>
        <w:spacing w:before="100" w:beforeAutospacing="1" w:after="0" w:line="276" w:lineRule="auto"/>
        <w:rPr>
          <w:rFonts w:ascii="Times New Roman" w:eastAsia="Times New Roman" w:hAnsi="Times New Roman" w:cs="Times New Roman"/>
        </w:rPr>
      </w:pPr>
      <w:r>
        <w:rPr>
          <w:rFonts w:ascii="Times New Roman" w:eastAsia="Times New Roman" w:hAnsi="Times New Roman" w:cs="Times New Roman"/>
        </w:rPr>
        <w:t>Equality constraint:</w:t>
      </w:r>
    </w:p>
    <w:p w14:paraId="2D75B4B6" w14:textId="77777777" w:rsidR="00B9131A" w:rsidRDefault="00B6370D">
      <w:pPr>
        <w:spacing w:after="0" w:line="276"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total power production from the proposed system must be equal to algebraic sum of the power from the grid, PV and the battery to enhance power balance as expressed in </w:t>
      </w:r>
      <w:r>
        <w:rPr>
          <w:rFonts w:ascii="Times New Roman" w:eastAsia="Times New Roman" w:hAnsi="Times New Roman" w:cs="Times New Roman"/>
          <w:kern w:val="0"/>
          <w14:ligatures w14:val="none"/>
        </w:rPr>
        <w:t>equation (16):</w:t>
      </w:r>
    </w:p>
    <w:p w14:paraId="17A286F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350" w:dyaOrig="390" w14:anchorId="517B9792">
          <v:shape id="1108" o:spid="_x0000_i1064" type="#_x0000_t75" style="width:218pt;height:19.15pt;visibility:visible;mso-wrap-distance-left:0;mso-wrap-distance-right:0" o:ole="">
            <v:imagedata r:id="rId87" o:title="" embosscolor="white"/>
          </v:shape>
          <o:OLEObject Type="Embed" ProgID="Equation.DSMT4" ShapeID="1108" DrawAspect="Content" ObjectID="_1812455313" r:id="rId88"/>
        </w:objec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16</w:t>
      </w:r>
    </w:p>
    <w:p w14:paraId="51201A8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2"/>
        </w:rPr>
        <w:object w:dxaOrig="720" w:dyaOrig="390" w14:anchorId="0D728A91">
          <v:shape id="1110" o:spid="_x0000_i1065" type="#_x0000_t75" style="width:36.35pt;height:19.15pt;visibility:visible;mso-wrap-distance-left:0;mso-wrap-distance-right:0" o:ole="">
            <v:imagedata r:id="rId89" o:title="" embosscolor="white"/>
          </v:shape>
          <o:OLEObject Type="Embed" ProgID="Equation.DSMT4" ShapeID="1110" DrawAspect="Content" ObjectID="_1812455314" r:id="rId90"/>
        </w:object>
      </w:r>
      <w:r>
        <w:rPr>
          <w:rFonts w:ascii="Times New Roman" w:hAnsi="Times New Roman" w:cs="Times New Roman"/>
        </w:rPr>
        <w:t xml:space="preserve"> is the power demand at time t, </w:t>
      </w:r>
      <w:r>
        <w:rPr>
          <w:rFonts w:ascii="Times New Roman" w:hAnsi="Times New Roman" w:cs="Times New Roman"/>
          <w:position w:val="-12"/>
        </w:rPr>
        <w:object w:dxaOrig="675" w:dyaOrig="390" w14:anchorId="7E3A9DEF">
          <v:shape id="1112" o:spid="_x0000_i1066" type="#_x0000_t75" style="width:34.35pt;height:19.15pt;visibility:visible;mso-wrap-distance-left:0;mso-wrap-distance-right:0" o:ole="">
            <v:imagedata r:id="rId91" o:title="" embosscolor="white"/>
          </v:shape>
          <o:OLEObject Type="Embed" ProgID="Equation.DSMT4" ShapeID="1112" DrawAspect="Content" ObjectID="_1812455315" r:id="rId92"/>
        </w:object>
      </w:r>
      <w:r>
        <w:rPr>
          <w:rFonts w:ascii="Times New Roman" w:hAnsi="Times New Roman" w:cs="Times New Roman"/>
        </w:rPr>
        <w:t xml:space="preserve">is the power generated by the PV system, </w:t>
      </w:r>
      <w:r>
        <w:rPr>
          <w:rFonts w:ascii="Times New Roman" w:hAnsi="Times New Roman" w:cs="Times New Roman"/>
          <w:position w:val="-14"/>
        </w:rPr>
        <w:object w:dxaOrig="720" w:dyaOrig="390" w14:anchorId="29C9E20C">
          <v:shape id="1114" o:spid="_x0000_i1067" type="#_x0000_t75" style="width:36.35pt;height:19.15pt;visibility:visible;mso-wrap-distance-left:0;mso-wrap-distance-right:0" o:ole="">
            <v:imagedata r:id="rId93" o:title="" embosscolor="white"/>
          </v:shape>
          <o:OLEObject Type="Embed" ProgID="Equation.DSMT4" ShapeID="1114" DrawAspect="Content" ObjectID="_1812455316" r:id="rId94"/>
        </w:object>
      </w:r>
      <w:r>
        <w:rPr>
          <w:rFonts w:ascii="Times New Roman" w:hAnsi="Times New Roman" w:cs="Times New Roman"/>
        </w:rPr>
        <w:t xml:space="preserve">is the power exchanged with the grid, </w:t>
      </w:r>
      <w:r>
        <w:rPr>
          <w:rFonts w:ascii="Times New Roman" w:hAnsi="Times New Roman" w:cs="Times New Roman"/>
          <w:position w:val="-14"/>
        </w:rPr>
        <w:object w:dxaOrig="1050" w:dyaOrig="390" w14:anchorId="40F1A287">
          <v:shape id="1116" o:spid="_x0000_i1068" type="#_x0000_t75" style="width:52.85pt;height:19.15pt;visibility:visible;mso-wrap-distance-left:0;mso-wrap-distance-right:0" o:ole="">
            <v:imagedata r:id="rId95" o:title="" embosscolor="white"/>
          </v:shape>
          <o:OLEObject Type="Embed" ProgID="Equation.DSMT4" ShapeID="1116" DrawAspect="Content" ObjectID="_1812455317" r:id="rId96"/>
        </w:object>
      </w:r>
      <w:r>
        <w:rPr>
          <w:rFonts w:ascii="Times New Roman" w:hAnsi="Times New Roman" w:cs="Times New Roman"/>
        </w:rPr>
        <w:t xml:space="preserve"> is the power loss in the converter.</w:t>
      </w:r>
    </w:p>
    <w:p w14:paraId="57A594DD" w14:textId="77777777" w:rsidR="00B9131A" w:rsidRDefault="00B6370D">
      <w:pPr>
        <w:pStyle w:val="ListParagraph"/>
        <w:numPr>
          <w:ilvl w:val="0"/>
          <w:numId w:val="5"/>
        </w:numPr>
        <w:spacing w:before="100" w:beforeAutospacing="1" w:after="0" w:line="276" w:lineRule="auto"/>
        <w:rPr>
          <w:rFonts w:ascii="Times New Roman" w:eastAsia="Times New Roman" w:hAnsi="Times New Roman" w:cs="Times New Roman"/>
        </w:rPr>
      </w:pPr>
      <w:r>
        <w:rPr>
          <w:rFonts w:ascii="Times New Roman" w:eastAsia="Times New Roman" w:hAnsi="Times New Roman" w:cs="Times New Roman"/>
        </w:rPr>
        <w:t>Inequality Constraints:</w:t>
      </w:r>
    </w:p>
    <w:p w14:paraId="064CBF8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3180" w:dyaOrig="390" w14:anchorId="10F4E96A">
          <v:shape id="1118" o:spid="_x0000_i1069" type="#_x0000_t75" style="width:159.2pt;height:19.15pt;visibility:visible;mso-wrap-distance-left:0;mso-wrap-distance-right:0" o:ole="">
            <v:imagedata r:id="rId97" o:title="" embosscolor="white"/>
          </v:shape>
          <o:OLEObject Type="Embed" ProgID="Equation.DSMT4" ShapeID="1118" DrawAspect="Content" ObjectID="_1812455318" r:id="rId9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17</w:t>
      </w:r>
    </w:p>
    <w:p w14:paraId="495B437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2490" w:dyaOrig="390" w14:anchorId="1EAB4F37">
          <v:shape id="1120" o:spid="_x0000_i1070" type="#_x0000_t75" style="width:124.85pt;height:19.15pt;visibility:visible;mso-wrap-distance-left:0;mso-wrap-distance-right:0" o:ole="">
            <v:imagedata r:id="rId99" o:title="" embosscolor="white"/>
          </v:shape>
          <o:OLEObject Type="Embed" ProgID="Equation.DSMT4" ShapeID="1120" DrawAspect="Content" ObjectID="_1812455319" r:id="rId100"/>
        </w:object>
      </w:r>
      <w:r>
        <w:rPr>
          <w:rFonts w:ascii="Times New Roman" w:hAnsi="Times New Roman" w:cs="Times New Roman"/>
        </w:rPr>
        <w:tab/>
        <w:t xml:space="preserve">     </w:t>
      </w:r>
      <w:r>
        <w:rPr>
          <w:rFonts w:ascii="Times New Roman" w:hAnsi="Times New Roman" w:cs="Times New Roman"/>
        </w:rPr>
        <w:tab/>
        <w:t xml:space="preserve">                                                                       18</w:t>
      </w:r>
    </w:p>
    <w:p w14:paraId="4D387F1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470" w:dyaOrig="390" w14:anchorId="2D0AC44D">
          <v:shape id="1122" o:spid="_x0000_i1071" type="#_x0000_t75" style="width:74pt;height:19.15pt;visibility:visible;mso-wrap-distance-left:0;mso-wrap-distance-right:0" o:ole="">
            <v:imagedata r:id="rId101" o:title="" embosscolor="white"/>
          </v:shape>
          <o:OLEObject Type="Embed" ProgID="Equation.DSMT4" ShapeID="1122" DrawAspect="Content" ObjectID="_1812455320" r:id="rId10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19</w:t>
      </w:r>
    </w:p>
    <w:p w14:paraId="0B70015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635" w:dyaOrig="390" w14:anchorId="11199737">
          <v:shape id="1124" o:spid="_x0000_i1072" type="#_x0000_t75" style="width:81.9pt;height:19.15pt;visibility:visible;mso-wrap-distance-left:0;mso-wrap-distance-right:0" o:ole="">
            <v:imagedata r:id="rId103" o:title="" embosscolor="white"/>
          </v:shape>
          <o:OLEObject Type="Embed" ProgID="Equation.DSMT4" ShapeID="1124" DrawAspect="Content" ObjectID="_1812455321" r:id="rId10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20</w:t>
      </w:r>
    </w:p>
    <w:p w14:paraId="62F0A06D" w14:textId="77777777" w:rsidR="00B9131A" w:rsidRDefault="00B6370D">
      <w:pPr>
        <w:spacing w:after="0" w:line="276" w:lineRule="auto"/>
        <w:jc w:val="both"/>
        <w:rPr>
          <w:rFonts w:ascii="Times New Roman" w:hAnsi="Times New Roman" w:cs="Times New Roman"/>
        </w:rPr>
      </w:pPr>
      <w:bookmarkStart w:id="2" w:name="_Hlk161141336"/>
      <w:r>
        <w:rPr>
          <w:rFonts w:ascii="Times New Roman" w:hAnsi="Times New Roman" w:cs="Times New Roman"/>
          <w:b/>
          <w:bCs/>
        </w:rPr>
        <w:t>3.5</w:t>
      </w:r>
      <w:r>
        <w:rPr>
          <w:rFonts w:ascii="Times New Roman" w:hAnsi="Times New Roman" w:cs="Times New Roman"/>
          <w:b/>
          <w:bCs/>
        </w:rPr>
        <w:tab/>
        <w:t>Application of HOMER Software for the Optimization of the Grid Connected PV System.</w:t>
      </w:r>
    </w:p>
    <w:p w14:paraId="4447616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t>HOMER pro analysis tool (Version 3.14.2)</w:t>
      </w:r>
      <w:bookmarkEnd w:id="2"/>
      <w:r>
        <w:rPr>
          <w:rFonts w:ascii="Times New Roman" w:hAnsi="Times New Roman" w:cs="Times New Roman"/>
        </w:rPr>
        <w:t xml:space="preserve"> was used to implement the model and simulate a grid connected PV system for the proposed location to evaluate the best design option</w:t>
      </w:r>
      <w:r>
        <w:rPr>
          <w:rFonts w:ascii="Times New Roman" w:eastAsia="Times New Roman" w:hAnsi="Times New Roman" w:cs="Times New Roman"/>
          <w:kern w:val="0"/>
          <w14:ligatures w14:val="none"/>
        </w:rPr>
        <w:t>. The flowchart for the HOMER simulation is presented in Figure 4. Been a commercial software, the modelling of all the com</w:t>
      </w:r>
      <w:r>
        <w:rPr>
          <w:rFonts w:ascii="Times New Roman" w:eastAsia="Times New Roman" w:hAnsi="Times New Roman" w:cs="Times New Roman"/>
          <w:kern w:val="0"/>
          <w14:ligatures w14:val="none"/>
        </w:rPr>
        <w:t xml:space="preserve">ponents have been implemented, what is left for the users is to apply them. The procedural steps in using HOMER for the design of the proposed system is outline below: </w:t>
      </w:r>
    </w:p>
    <w:p w14:paraId="01712E53"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Step 1: Open the HOMER software and start the new design by inputting the title of the </w:t>
      </w:r>
      <w:r>
        <w:rPr>
          <w:rFonts w:ascii="Times New Roman" w:eastAsia="Times New Roman" w:hAnsi="Times New Roman" w:cs="Times New Roman"/>
          <w:kern w:val="0"/>
          <w14:ligatures w14:val="none"/>
        </w:rPr>
        <w:t>project, project location and description.</w:t>
      </w:r>
    </w:p>
    <w:p w14:paraId="6E0AE191"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2: Enter the project location on the location search box to access the meteorological data needed for the project. The location can be searched either by name or latitude and longitude.</w:t>
      </w:r>
    </w:p>
    <w:p w14:paraId="327C7974"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3: Download the m</w:t>
      </w:r>
      <w:r>
        <w:rPr>
          <w:rFonts w:ascii="Times New Roman" w:eastAsia="Times New Roman" w:hAnsi="Times New Roman" w:cs="Times New Roman"/>
          <w:kern w:val="0"/>
          <w14:ligatures w14:val="none"/>
        </w:rPr>
        <w:t xml:space="preserve">eteorological data such as hourly solar irradiance and temperature of the project location by clicking on the resources icon on the topmost part of the displayed location map resulted from location search. </w:t>
      </w:r>
    </w:p>
    <w:p w14:paraId="6C4C2D3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4: Input the project lifespan and economic d</w:t>
      </w:r>
      <w:r>
        <w:rPr>
          <w:rFonts w:ascii="Times New Roman" w:eastAsia="Times New Roman" w:hAnsi="Times New Roman" w:cs="Times New Roman"/>
          <w:kern w:val="0"/>
          <w14:ligatures w14:val="none"/>
        </w:rPr>
        <w:t>ata such as discount rate and inflation rate.</w:t>
      </w:r>
    </w:p>
    <w:p w14:paraId="41702552"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5: Add the hourly load demand by inputting the estimated load to the load column in kilowatt (kW).</w:t>
      </w:r>
    </w:p>
    <w:p w14:paraId="0654A26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6: Select the energy sources and other components of the proposed system such as power converter, bat</w:t>
      </w:r>
      <w:r>
        <w:rPr>
          <w:rFonts w:ascii="Times New Roman" w:eastAsia="Times New Roman" w:hAnsi="Times New Roman" w:cs="Times New Roman"/>
          <w:kern w:val="0"/>
          <w14:ligatures w14:val="none"/>
        </w:rPr>
        <w:t>tery and dispatch controller.</w:t>
      </w:r>
    </w:p>
    <w:p w14:paraId="77E79E5C"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lastRenderedPageBreak/>
        <w:pict w14:anchorId="1DCAD945">
          <v:shape id="1126" o:spid="_x0000_i1073" type="#_x0000_t75" style="width:236.5pt;height:399.65pt;visibility:visible;mso-wrap-distance-left:0;mso-wrap-distance-right:0">
            <v:imagedata r:id="rId105" o:title="" embosscolor="white"/>
          </v:shape>
        </w:pict>
      </w:r>
    </w:p>
    <w:p w14:paraId="0BB3382B"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t>Figure 4: Flow Chart of the HOMER Software</w:t>
      </w:r>
    </w:p>
    <w:p w14:paraId="757E9020"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7: Enter the economic parameters and technical specification of the selected components.</w:t>
      </w:r>
    </w:p>
    <w:p w14:paraId="136C18E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Step 8: Optimize the sizes of the main components of the proposed grid connected PV </w:t>
      </w:r>
      <w:r>
        <w:rPr>
          <w:rFonts w:ascii="Times New Roman" w:eastAsia="Times New Roman" w:hAnsi="Times New Roman" w:cs="Times New Roman"/>
          <w:kern w:val="0"/>
          <w14:ligatures w14:val="none"/>
        </w:rPr>
        <w:t>system such as PV panels, battery, converter and grid by clicking the ‘calculate’ icon. By clicking the calculate icon, HOMER software will optimize the system design by sizing the components using the objective function and constrains presented in Equatio</w:t>
      </w:r>
      <w:r>
        <w:rPr>
          <w:rFonts w:ascii="Times New Roman" w:eastAsia="Times New Roman" w:hAnsi="Times New Roman" w:cs="Times New Roman"/>
          <w:kern w:val="0"/>
          <w14:ligatures w14:val="none"/>
        </w:rPr>
        <w:t>n 14-20.</w:t>
      </w:r>
    </w:p>
    <w:p w14:paraId="35044AB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9:</w:t>
      </w:r>
      <w:r>
        <w:rPr>
          <w:rFonts w:ascii="Times New Roman" w:eastAsia="Times New Roman" w:hAnsi="Times New Roman" w:cs="Times New Roman"/>
          <w:kern w:val="0"/>
          <w14:ligatures w14:val="none"/>
        </w:rPr>
        <w:tab/>
        <w:t>Display the optimal sizes of the system components</w:t>
      </w:r>
    </w:p>
    <w:p w14:paraId="00B3C89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10: Stop</w:t>
      </w:r>
    </w:p>
    <w:p w14:paraId="0C232ED6" w14:textId="77777777" w:rsidR="00B9131A" w:rsidRDefault="00B6370D">
      <w:pPr>
        <w:spacing w:after="0" w:line="276" w:lineRule="auto"/>
        <w:ind w:firstLine="720"/>
        <w:jc w:val="center"/>
        <w:rPr>
          <w:rFonts w:ascii="Times New Roman" w:hAnsi="Times New Roman" w:cs="Times New Roman"/>
        </w:rPr>
      </w:pPr>
      <w:r>
        <w:rPr>
          <w:rFonts w:ascii="Times New Roman" w:hAnsi="Times New Roman" w:cs="Times New Roman"/>
        </w:rPr>
        <w:lastRenderedPageBreak/>
        <w:pict w14:anchorId="09FE0011">
          <v:shape id="1128" o:spid="_x0000_i1074" type="#_x0000_t75" style="width:346.15pt;height:365.3pt;visibility:visible;mso-wrap-distance-left:0;mso-wrap-distance-right:0">
            <v:imagedata r:id="rId106" o:title="" embosscolor="white"/>
          </v:shape>
        </w:pict>
      </w:r>
    </w:p>
    <w:p w14:paraId="3CC88363" w14:textId="77777777" w:rsidR="00B9131A" w:rsidRDefault="00B6370D">
      <w:pPr>
        <w:spacing w:after="0" w:line="276" w:lineRule="auto"/>
        <w:ind w:firstLine="720"/>
        <w:jc w:val="center"/>
        <w:rPr>
          <w:rFonts w:ascii="Times New Roman" w:hAnsi="Times New Roman" w:cs="Times New Roman"/>
        </w:rPr>
      </w:pPr>
      <w:r>
        <w:rPr>
          <w:rFonts w:ascii="Times New Roman" w:hAnsi="Times New Roman" w:cs="Times New Roman"/>
        </w:rPr>
        <w:t xml:space="preserve">Figure 5: Flow chart of the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7365426B"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w:t>
      </w:r>
      <w:r>
        <w:rPr>
          <w:rFonts w:ascii="Times New Roman" w:hAnsi="Times New Roman" w:cs="Times New Roman"/>
          <w:b/>
          <w:bCs/>
        </w:rPr>
        <w:tab/>
        <w:t xml:space="preserve">Analysis of the </w:t>
      </w:r>
      <w:proofErr w:type="spellStart"/>
      <w:r>
        <w:rPr>
          <w:rFonts w:ascii="Times New Roman" w:hAnsi="Times New Roman" w:cs="Times New Roman"/>
          <w:b/>
          <w:bCs/>
        </w:rPr>
        <w:t>RETScreen</w:t>
      </w:r>
      <w:proofErr w:type="spellEnd"/>
      <w:r>
        <w:rPr>
          <w:rFonts w:ascii="Times New Roman" w:hAnsi="Times New Roman" w:cs="Times New Roman"/>
          <w:b/>
          <w:bCs/>
        </w:rPr>
        <w:t xml:space="preserve"> Software for Techno-economic and environmental viability of the designed system </w:t>
      </w:r>
    </w:p>
    <w:p w14:paraId="0EB1F61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step-by-st</w:t>
      </w:r>
      <w:r>
        <w:rPr>
          <w:rFonts w:ascii="Times New Roman" w:hAnsi="Times New Roman" w:cs="Times New Roman"/>
        </w:rPr>
        <w:t xml:space="preserve">ep approach for using </w:t>
      </w:r>
      <w:proofErr w:type="spellStart"/>
      <w:r>
        <w:rPr>
          <w:rFonts w:ascii="Times New Roman" w:hAnsi="Times New Roman" w:cs="Times New Roman"/>
        </w:rPr>
        <w:t>RETScreen</w:t>
      </w:r>
      <w:proofErr w:type="spellEnd"/>
      <w:r>
        <w:rPr>
          <w:rFonts w:ascii="Times New Roman" w:hAnsi="Times New Roman" w:cs="Times New Roman"/>
        </w:rPr>
        <w:t xml:space="preserve"> to evaluate the techno-economic and environmental feasibility of renewable energy projects involves a systematic approach, this approach is summarized in Figure 5 and explained in the following subsections.</w:t>
      </w:r>
    </w:p>
    <w:p w14:paraId="5C3B7819"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3.6.1</w:t>
      </w:r>
      <w:r>
        <w:rPr>
          <w:rFonts w:ascii="Times New Roman" w:hAnsi="Times New Roman" w:cs="Times New Roman"/>
          <w:b/>
          <w:bCs/>
        </w:rPr>
        <w:tab/>
        <w:t>Project set</w:t>
      </w:r>
      <w:r>
        <w:rPr>
          <w:rFonts w:ascii="Times New Roman" w:hAnsi="Times New Roman" w:cs="Times New Roman"/>
          <w:b/>
          <w:bCs/>
        </w:rPr>
        <w:t>up</w:t>
      </w:r>
    </w:p>
    <w:p w14:paraId="707B2E7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initial phase of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setting up the project. This includes selecting the type of renewable energy project, such as solar PV, wind, or hydro, and defining the geographic location of the project site.</w:t>
      </w:r>
      <w:r>
        <w:rPr>
          <w:rFonts w:ascii="Times New Roman" w:hAnsi="Times New Roman" w:cs="Times New Roman"/>
        </w:rPr>
        <w:t xml:space="preserve"> This location data is crucial as </w:t>
      </w:r>
      <w:proofErr w:type="spellStart"/>
      <w:r>
        <w:rPr>
          <w:rFonts w:ascii="Times New Roman" w:hAnsi="Times New Roman" w:cs="Times New Roman"/>
        </w:rPr>
        <w:t>RETScreen</w:t>
      </w:r>
      <w:proofErr w:type="spellEnd"/>
      <w:r>
        <w:rPr>
          <w:rFonts w:ascii="Times New Roman" w:hAnsi="Times New Roman" w:cs="Times New Roman"/>
        </w:rPr>
        <w:t xml:space="preserve"> uses it to gather relevant climate data (</w:t>
      </w:r>
      <w:r>
        <w:rPr>
          <w:rFonts w:ascii="Times New Roman" w:eastAsia="Times New Roman" w:hAnsi="Times New Roman" w:cs="Times New Roman"/>
          <w:kern w:val="0"/>
          <w14:ligatures w14:val="none"/>
        </w:rPr>
        <w:t>Malik, 2021</w:t>
      </w:r>
      <w:r>
        <w:rPr>
          <w:rFonts w:ascii="Times New Roman" w:hAnsi="Times New Roman" w:cs="Times New Roman"/>
        </w:rPr>
        <w:t>). Additionally, it is essential to decide on the type of analysis being conducted, whether it is an energy analysis, feasibility study, or performance analysis</w:t>
      </w:r>
      <w:r>
        <w:rPr>
          <w:rFonts w:ascii="Times New Roman" w:hAnsi="Times New Roman" w:cs="Times New Roman"/>
        </w:rPr>
        <w:t>.</w:t>
      </w:r>
    </w:p>
    <w:p w14:paraId="40B1C3AD"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3.6.2</w:t>
      </w:r>
      <w:r>
        <w:rPr>
          <w:rFonts w:ascii="Times New Roman" w:hAnsi="Times New Roman" w:cs="Times New Roman"/>
          <w:b/>
          <w:bCs/>
        </w:rPr>
        <w:tab/>
        <w:t xml:space="preserve"> Data input</w:t>
      </w:r>
    </w:p>
    <w:p w14:paraId="7EAC8BD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next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data input. This includes retrieving climate data such as solar irradiance, temperature, and wind speed. This information was obtained from </w:t>
      </w:r>
      <w:proofErr w:type="spellStart"/>
      <w:r>
        <w:rPr>
          <w:rFonts w:ascii="Times New Roman" w:hAnsi="Times New Roman" w:cs="Times New Roman"/>
        </w:rPr>
        <w:t>RETScreen’s</w:t>
      </w:r>
      <w:proofErr w:type="spellEnd"/>
      <w:r>
        <w:rPr>
          <w:rFonts w:ascii="Times New Roman" w:hAnsi="Times New Roman" w:cs="Times New Roman"/>
        </w:rPr>
        <w:t xml:space="preserve"> built-in da</w:t>
      </w:r>
      <w:r>
        <w:rPr>
          <w:rFonts w:ascii="Times New Roman" w:hAnsi="Times New Roman" w:cs="Times New Roman"/>
        </w:rPr>
        <w:t xml:space="preserve">tabase or input manually if specific data is </w:t>
      </w:r>
      <w:r>
        <w:rPr>
          <w:rFonts w:ascii="Times New Roman" w:hAnsi="Times New Roman" w:cs="Times New Roman"/>
        </w:rPr>
        <w:lastRenderedPageBreak/>
        <w:t xml:space="preserve">available (Owolabi </w:t>
      </w:r>
      <w:r>
        <w:rPr>
          <w:rFonts w:ascii="Times New Roman" w:hAnsi="Times New Roman" w:cs="Times New Roman"/>
          <w:i/>
          <w:iCs/>
        </w:rPr>
        <w:t>et al</w:t>
      </w:r>
      <w:r>
        <w:rPr>
          <w:rFonts w:ascii="Times New Roman" w:hAnsi="Times New Roman" w:cs="Times New Roman"/>
        </w:rPr>
        <w:t>., 2020). Accurate climate data is essential for modeling and predicting the energy production capabilities of the renewable energy system under consideration. Also, it is important to define the load profile for the project site. This involves detailing t</w:t>
      </w:r>
      <w:r>
        <w:rPr>
          <w:rFonts w:ascii="Times New Roman" w:hAnsi="Times New Roman" w:cs="Times New Roman"/>
        </w:rPr>
        <w:t xml:space="preserve">he energy consumption patterns, </w:t>
      </w:r>
      <w:proofErr w:type="gramStart"/>
      <w:r>
        <w:rPr>
          <w:rFonts w:ascii="Times New Roman" w:hAnsi="Times New Roman" w:cs="Times New Roman"/>
        </w:rPr>
        <w:t>taking into account</w:t>
      </w:r>
      <w:proofErr w:type="gramEnd"/>
      <w:r>
        <w:rPr>
          <w:rFonts w:ascii="Times New Roman" w:hAnsi="Times New Roman" w:cs="Times New Roman"/>
        </w:rPr>
        <w:t xml:space="preserve"> daily and seasonal variations. </w:t>
      </w:r>
    </w:p>
    <w:p w14:paraId="3C7E1964"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3.6.3</w:t>
      </w:r>
      <w:r>
        <w:rPr>
          <w:rFonts w:ascii="Times New Roman" w:hAnsi="Times New Roman" w:cs="Times New Roman"/>
          <w:b/>
          <w:bCs/>
        </w:rPr>
        <w:tab/>
        <w:t>Energy production modeling</w:t>
      </w:r>
    </w:p>
    <w:p w14:paraId="4CA0DA1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next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after inputting data involves energy production modeling. This phase requir</w:t>
      </w:r>
      <w:r>
        <w:rPr>
          <w:rFonts w:ascii="Times New Roman" w:hAnsi="Times New Roman" w:cs="Times New Roman"/>
        </w:rPr>
        <w:t>es inputting the technical specifications of the renewable energy system components, including details such as the type of PV modules, inverter   efficiency, and wind turbine models. Accurate specification input is essential for simulating the system's per</w:t>
      </w:r>
      <w:r>
        <w:rPr>
          <w:rFonts w:ascii="Times New Roman" w:hAnsi="Times New Roman" w:cs="Times New Roman"/>
        </w:rPr>
        <w:t>formance under real-world conditions. Following the input of system specifications, the configuration of the system must be set up. This includes determining the number of PV panels, their orientation, tilt angle, and the overall layout of the array. Prope</w:t>
      </w:r>
      <w:r>
        <w:rPr>
          <w:rFonts w:ascii="Times New Roman" w:hAnsi="Times New Roman" w:cs="Times New Roman"/>
        </w:rPr>
        <w:t>r system configuration is critical to maximize energy capture and efficiency (</w:t>
      </w:r>
      <w:r>
        <w:rPr>
          <w:rFonts w:ascii="Times New Roman" w:eastAsia="Times New Roman" w:hAnsi="Times New Roman" w:cs="Times New Roman"/>
          <w:kern w:val="0"/>
          <w14:ligatures w14:val="none"/>
        </w:rPr>
        <w:t xml:space="preserve">González-González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2022</w:t>
      </w:r>
      <w:r>
        <w:rPr>
          <w:rFonts w:ascii="Times New Roman" w:hAnsi="Times New Roman" w:cs="Times New Roman"/>
        </w:rPr>
        <w:t xml:space="preserve">).  </w:t>
      </w:r>
    </w:p>
    <w:p w14:paraId="51DB3FC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It is necessary to enter performance parameters, which account for factors such as derating, shading losses, and overall system efficiency. The</w:t>
      </w:r>
      <w:r>
        <w:rPr>
          <w:rFonts w:ascii="Times New Roman" w:hAnsi="Times New Roman" w:cs="Times New Roman"/>
        </w:rPr>
        <w:t>se parameters help refine the model to reflect the actual performance of the system, taking into consideration potential inefficiencies and environmental impacts. Accurate energy production modeling is fundamental for predicting the system's output and ens</w:t>
      </w:r>
      <w:r>
        <w:rPr>
          <w:rFonts w:ascii="Times New Roman" w:hAnsi="Times New Roman" w:cs="Times New Roman"/>
        </w:rPr>
        <w:t>uring it meets the energy needs of the site.</w:t>
      </w:r>
    </w:p>
    <w:p w14:paraId="632AA19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3.6.4</w:t>
      </w:r>
      <w:r>
        <w:rPr>
          <w:rFonts w:ascii="Times New Roman" w:hAnsi="Times New Roman" w:cs="Times New Roman"/>
          <w:b/>
          <w:bCs/>
        </w:rPr>
        <w:tab/>
        <w:t>Financial analysis</w:t>
      </w:r>
    </w:p>
    <w:p w14:paraId="7584FD3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financial analysis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several critical steps. First, input the capital costs, operational and maintenance costs, and any </w:t>
      </w:r>
      <w:r>
        <w:rPr>
          <w:rFonts w:ascii="Times New Roman" w:hAnsi="Times New Roman" w:cs="Times New Roman"/>
        </w:rPr>
        <w:t>other relevant financial data. This comprehensive cost data is essential for assessing the financial feasibility of the project and estimating the total investment required (</w:t>
      </w:r>
      <w:r>
        <w:rPr>
          <w:rFonts w:ascii="Times New Roman" w:eastAsia="Times New Roman" w:hAnsi="Times New Roman" w:cs="Times New Roman"/>
          <w:kern w:val="0"/>
          <w14:ligatures w14:val="none"/>
        </w:rPr>
        <w:t xml:space="preserve">Asamoah </w:t>
      </w:r>
      <w:r>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2023</w:t>
      </w:r>
      <w:r>
        <w:rPr>
          <w:rFonts w:ascii="Times New Roman" w:hAnsi="Times New Roman" w:cs="Times New Roman"/>
        </w:rPr>
        <w:t>). Next, incorporate any available incentives, rebates, or fee</w:t>
      </w:r>
      <w:r>
        <w:rPr>
          <w:rFonts w:ascii="Times New Roman" w:hAnsi="Times New Roman" w:cs="Times New Roman"/>
        </w:rPr>
        <w:t>d-in tariffs. These financial incentives can significantly impact the overall economics of the project by reducing upfront costs or providing ongoing financial benefits, thereby enhancing the project's viability and attractiveness.</w:t>
      </w:r>
    </w:p>
    <w:p w14:paraId="09F2C9A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Additionally, define the</w:t>
      </w:r>
      <w:r>
        <w:rPr>
          <w:rFonts w:ascii="Times New Roman" w:hAnsi="Times New Roman" w:cs="Times New Roman"/>
        </w:rPr>
        <w:t xml:space="preserve"> economic parameters such as the discount rate, inflation rate, project lifetime, and financing structure. These parameters are crucial for calculating key financial metrics, including the net present value (NPV), internal rate of return (IRR), and payback</w:t>
      </w:r>
      <w:r>
        <w:rPr>
          <w:rFonts w:ascii="Times New Roman" w:hAnsi="Times New Roman" w:cs="Times New Roman"/>
        </w:rPr>
        <w:t xml:space="preserve"> period. </w:t>
      </w:r>
    </w:p>
    <w:p w14:paraId="422FA938" w14:textId="77777777" w:rsidR="00B9131A" w:rsidRDefault="00B6370D">
      <w:pPr>
        <w:pStyle w:val="ListParagraph"/>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Net Present Value </w:t>
      </w:r>
    </w:p>
    <w:p w14:paraId="397BAC1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A project's net present value, or NPV, was the total value of all future cash flows discounted at the discount rate and expressed in current currency. It was computed by applying the following formula to all cash flows that nee</w:t>
      </w:r>
      <w:r>
        <w:rPr>
          <w:rFonts w:ascii="Times New Roman" w:hAnsi="Times New Roman" w:cs="Times New Roman"/>
        </w:rPr>
        <w:t xml:space="preserve">d to be discounted (RICEDC, 2005; Nguyen </w:t>
      </w:r>
      <w:r>
        <w:rPr>
          <w:rFonts w:ascii="Times New Roman" w:hAnsi="Times New Roman" w:cs="Times New Roman"/>
          <w:i/>
          <w:iCs/>
        </w:rPr>
        <w:t>et al</w:t>
      </w:r>
      <w:r>
        <w:rPr>
          <w:rFonts w:ascii="Times New Roman" w:hAnsi="Times New Roman" w:cs="Times New Roman"/>
        </w:rPr>
        <w:t>., 2021):</w:t>
      </w:r>
    </w:p>
    <w:p w14:paraId="5886245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1770" w:dyaOrig="765" w14:anchorId="7055310A">
          <v:shape id="1130" o:spid="_x0000_i1075" type="#_x0000_t75" style="width:89.15pt;height:37.65pt;visibility:visible;mso-wrap-distance-left:0;mso-wrap-distance-right:0" o:ole="">
            <v:imagedata r:id="rId107" o:title="" embosscolor="white"/>
          </v:shape>
          <o:OLEObject Type="Embed" ProgID="Equation.DSMT4" ShapeID="1130" DrawAspect="Content" ObjectID="_1812455322" r:id="rId10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21</w:t>
      </w:r>
    </w:p>
    <w:p w14:paraId="2D2D98C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N is the project life in years, </w:t>
      </w:r>
      <w:r>
        <w:rPr>
          <w:rFonts w:ascii="Times New Roman" w:hAnsi="Times New Roman" w:cs="Times New Roman"/>
          <w:i/>
          <w:iCs/>
        </w:rPr>
        <w:t>r</w:t>
      </w:r>
      <w:r>
        <w:rPr>
          <w:rFonts w:ascii="Times New Roman" w:hAnsi="Times New Roman" w:cs="Times New Roman"/>
        </w:rPr>
        <w:t xml:space="preserve"> is the interest rate, and </w:t>
      </w:r>
      <w:r>
        <w:rPr>
          <w:rFonts w:ascii="Times New Roman" w:hAnsi="Times New Roman" w:cs="Times New Roman"/>
          <w:position w:val="-12"/>
        </w:rPr>
        <w:object w:dxaOrig="300" w:dyaOrig="420" w14:anchorId="0F473490">
          <v:shape id="1132" o:spid="_x0000_i1076" type="#_x0000_t75" style="width:15.2pt;height:20.5pt;visibility:visible;mso-wrap-distance-left:0;mso-wrap-distance-right:0" o:ole="">
            <v:imagedata r:id="rId109" o:title="" embosscolor="white"/>
          </v:shape>
          <o:OLEObject Type="Embed" ProgID="Equation.DSMT4" ShapeID="1132" DrawAspect="Content" ObjectID="_1812455323" r:id="rId110"/>
        </w:object>
      </w:r>
      <w:r>
        <w:rPr>
          <w:rFonts w:ascii="Times New Roman" w:hAnsi="Times New Roman" w:cs="Times New Roman"/>
        </w:rPr>
        <w:t xml:space="preserve"> is the after-tax cash flow in year </w:t>
      </w:r>
      <w:r>
        <w:rPr>
          <w:rFonts w:ascii="Times New Roman" w:hAnsi="Times New Roman" w:cs="Times New Roman"/>
          <w:i/>
          <w:iCs/>
        </w:rPr>
        <w:t>n</w:t>
      </w:r>
      <w:r>
        <w:rPr>
          <w:rFonts w:ascii="Times New Roman" w:hAnsi="Times New Roman" w:cs="Times New Roman"/>
        </w:rPr>
        <w:t xml:space="preserve"> which can be calculate</w:t>
      </w:r>
      <w:r>
        <w:rPr>
          <w:rFonts w:ascii="Times New Roman" w:hAnsi="Times New Roman" w:cs="Times New Roman"/>
        </w:rPr>
        <w:t>d as follows:</w:t>
      </w:r>
    </w:p>
    <w:p w14:paraId="494A6BA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1215" w:dyaOrig="420" w14:anchorId="39B82964">
          <v:shape id="1134" o:spid="_x0000_i1077" type="#_x0000_t75" style="width:60.1pt;height:20.5pt;visibility:visible;mso-wrap-distance-left:0;mso-wrap-distance-right:0" o:ole="">
            <v:imagedata r:id="rId111" o:title="" embosscolor="white"/>
          </v:shape>
          <o:OLEObject Type="Embed" ProgID="Equation.DSMT4" ShapeID="1134" DrawAspect="Content" ObjectID="_1812455324" r:id="rId11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22</w:t>
      </w:r>
    </w:p>
    <w:p w14:paraId="47108DF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i/>
          <w:iCs/>
        </w:rPr>
        <w:t>C</w:t>
      </w:r>
      <w:r>
        <w:rPr>
          <w:rFonts w:ascii="Times New Roman" w:hAnsi="Times New Roman" w:cs="Times New Roman"/>
          <w:i/>
          <w:iCs/>
          <w:vertAlign w:val="subscript"/>
        </w:rPr>
        <w:t>n</w:t>
      </w:r>
      <w:r>
        <w:rPr>
          <w:rFonts w:ascii="Times New Roman" w:hAnsi="Times New Roman" w:cs="Times New Roman"/>
        </w:rPr>
        <w:t xml:space="preserve"> is net cash flow and </w:t>
      </w:r>
      <w:r>
        <w:rPr>
          <w:rFonts w:ascii="Times New Roman" w:hAnsi="Times New Roman" w:cs="Times New Roman"/>
          <w:i/>
          <w:iCs/>
        </w:rPr>
        <w:t>T</w:t>
      </w:r>
      <w:r>
        <w:rPr>
          <w:rFonts w:ascii="Times New Roman" w:hAnsi="Times New Roman" w:cs="Times New Roman"/>
          <w:i/>
          <w:iCs/>
          <w:vertAlign w:val="subscript"/>
        </w:rPr>
        <w:t>n</w:t>
      </w:r>
      <w:r>
        <w:rPr>
          <w:rFonts w:ascii="Times New Roman" w:hAnsi="Times New Roman" w:cs="Times New Roman"/>
        </w:rPr>
        <w:t xml:space="preserve"> is the yearly taxes. These can be calculated using Equation 3.21 and 3.22 respectively. </w:t>
      </w:r>
    </w:p>
    <w:p w14:paraId="6123A56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635" w:dyaOrig="390" w14:anchorId="6918BA31">
          <v:shape id="1136" o:spid="_x0000_i1078" type="#_x0000_t75" style="width:81.9pt;height:19.15pt;visibility:visible;mso-wrap-distance-left:0;mso-wrap-distance-right:0" o:ole="">
            <v:imagedata r:id="rId113" o:title="" embosscolor="white"/>
          </v:shape>
          <o:OLEObject Type="Embed" ProgID="Equation.DSMT4" ShapeID="1136" DrawAspect="Content" ObjectID="_1812455325" r:id="rId11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23</w:t>
      </w:r>
    </w:p>
    <w:p w14:paraId="2F8C7A38" w14:textId="77777777" w:rsidR="00B9131A" w:rsidRDefault="00B6370D">
      <w:pPr>
        <w:spacing w:after="0" w:line="276" w:lineRule="auto"/>
        <w:jc w:val="both"/>
        <w:rPr>
          <w:rFonts w:ascii="Times New Roman" w:hAnsi="Times New Roman" w:cs="Times New Roman"/>
        </w:rPr>
      </w:pPr>
      <w:proofErr w:type="spellStart"/>
      <w:proofErr w:type="gramStart"/>
      <w:r>
        <w:rPr>
          <w:rFonts w:ascii="Times New Roman" w:hAnsi="Times New Roman" w:cs="Times New Roman"/>
          <w:i/>
          <w:iCs/>
        </w:rPr>
        <w:t>C</w:t>
      </w:r>
      <w:r>
        <w:rPr>
          <w:rFonts w:ascii="Times New Roman" w:hAnsi="Times New Roman" w:cs="Times New Roman"/>
          <w:i/>
          <w:iCs/>
          <w:vertAlign w:val="subscript"/>
        </w:rPr>
        <w:t>in,n</w:t>
      </w:r>
      <w:proofErr w:type="spellEnd"/>
      <w:proofErr w:type="gramEnd"/>
      <w:r>
        <w:rPr>
          <w:rFonts w:ascii="Times New Roman" w:hAnsi="Times New Roman" w:cs="Times New Roman"/>
        </w:rPr>
        <w:t xml:space="preserve"> and </w:t>
      </w:r>
      <w:proofErr w:type="spellStart"/>
      <w:r>
        <w:rPr>
          <w:rFonts w:ascii="Times New Roman" w:hAnsi="Times New Roman" w:cs="Times New Roman"/>
          <w:i/>
          <w:iCs/>
        </w:rPr>
        <w:t>C</w:t>
      </w:r>
      <w:r>
        <w:rPr>
          <w:rFonts w:ascii="Times New Roman" w:hAnsi="Times New Roman" w:cs="Times New Roman"/>
          <w:i/>
          <w:iCs/>
          <w:vertAlign w:val="subscript"/>
        </w:rPr>
        <w:t>out,n</w:t>
      </w:r>
      <w:proofErr w:type="spellEnd"/>
      <w:r>
        <w:rPr>
          <w:rFonts w:ascii="Times New Roman" w:hAnsi="Times New Roman" w:cs="Times New Roman"/>
        </w:rPr>
        <w:t xml:space="preserve"> are the pre-tax cash inflow and outflow respectively, these can be calculated using Equations 24 and 25.</w:t>
      </w:r>
    </w:p>
    <w:p w14:paraId="3B39731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840" w:dyaOrig="480" w14:anchorId="74ABD3F9">
          <v:shape id="1138" o:spid="_x0000_i1079" type="#_x0000_t75" style="width:341.5pt;height:24.45pt;visibility:visible;mso-wrap-distance-left:0;mso-wrap-distance-right:0" o:ole="">
            <v:imagedata r:id="rId115" o:title="" embosscolor="white"/>
          </v:shape>
          <o:OLEObject Type="Embed" ProgID="Equation.DSMT4" ShapeID="1138" DrawAspect="Content" ObjectID="_1812455326" r:id="rId116"/>
        </w:object>
      </w:r>
      <w:r>
        <w:rPr>
          <w:rFonts w:ascii="Times New Roman" w:hAnsi="Times New Roman" w:cs="Times New Roman"/>
        </w:rPr>
        <w:t xml:space="preserve">                 24</w:t>
      </w:r>
    </w:p>
    <w:p w14:paraId="2601DEE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n</w:t>
      </w:r>
      <w:r>
        <w:rPr>
          <w:rFonts w:ascii="Times New Roman" w:hAnsi="Times New Roman" w:cs="Times New Roman"/>
        </w:rPr>
        <w:t xml:space="preserve"> is the year, </w:t>
      </w:r>
      <w:r>
        <w:rPr>
          <w:rFonts w:ascii="Times New Roman" w:hAnsi="Times New Roman" w:cs="Times New Roman"/>
          <w:i/>
          <w:iCs/>
        </w:rPr>
        <w:t>C</w:t>
      </w:r>
      <w:r>
        <w:rPr>
          <w:rFonts w:ascii="Times New Roman" w:hAnsi="Times New Roman" w:cs="Times New Roman"/>
          <w:i/>
          <w:iCs/>
          <w:vertAlign w:val="subscript"/>
        </w:rPr>
        <w:t>ener</w:t>
      </w:r>
      <w:r>
        <w:rPr>
          <w:rFonts w:ascii="Times New Roman" w:hAnsi="Times New Roman" w:cs="Times New Roman"/>
        </w:rPr>
        <w:t xml:space="preserve"> is the annual energy savings or income, </w:t>
      </w:r>
      <w:proofErr w:type="spellStart"/>
      <w:r>
        <w:rPr>
          <w:rFonts w:ascii="Times New Roman" w:hAnsi="Times New Roman" w:cs="Times New Roman"/>
          <w:i/>
          <w:iCs/>
        </w:rPr>
        <w:t>C</w:t>
      </w:r>
      <w:r>
        <w:rPr>
          <w:rFonts w:ascii="Times New Roman" w:hAnsi="Times New Roman" w:cs="Times New Roman"/>
          <w:i/>
          <w:iCs/>
          <w:vertAlign w:val="subscript"/>
        </w:rPr>
        <w:t>capa</w:t>
      </w:r>
      <w:proofErr w:type="spellEnd"/>
      <w:r>
        <w:rPr>
          <w:rFonts w:ascii="Times New Roman" w:hAnsi="Times New Roman" w:cs="Times New Roman"/>
        </w:rPr>
        <w:t xml:space="preserve"> is the annual capacity savings </w:t>
      </w:r>
      <w:r>
        <w:rPr>
          <w:rFonts w:ascii="Times New Roman" w:hAnsi="Times New Roman" w:cs="Times New Roman"/>
        </w:rPr>
        <w:t xml:space="preserve">or income, </w:t>
      </w:r>
      <w:r>
        <w:rPr>
          <w:rFonts w:ascii="Times New Roman" w:hAnsi="Times New Roman" w:cs="Times New Roman"/>
          <w:i/>
          <w:iCs/>
        </w:rPr>
        <w:t>C</w:t>
      </w:r>
      <w:r>
        <w:rPr>
          <w:rFonts w:ascii="Times New Roman" w:hAnsi="Times New Roman" w:cs="Times New Roman"/>
          <w:i/>
          <w:iCs/>
          <w:vertAlign w:val="subscript"/>
        </w:rPr>
        <w:t>RE</w:t>
      </w:r>
      <w:r>
        <w:rPr>
          <w:rFonts w:ascii="Times New Roman" w:hAnsi="Times New Roman" w:cs="Times New Roman"/>
        </w:rPr>
        <w:t xml:space="preserve"> is the annual renewable energy </w:t>
      </w:r>
      <w:r>
        <w:rPr>
          <w:rFonts w:ascii="Times New Roman" w:hAnsi="Times New Roman" w:cs="Times New Roman"/>
          <w:i/>
          <w:iCs/>
        </w:rPr>
        <w:t>(RE)</w:t>
      </w:r>
      <w:r>
        <w:rPr>
          <w:rFonts w:ascii="Times New Roman" w:hAnsi="Times New Roman" w:cs="Times New Roman"/>
        </w:rPr>
        <w:t xml:space="preserve"> production credit income, </w:t>
      </w:r>
      <w:r>
        <w:rPr>
          <w:rFonts w:ascii="Times New Roman" w:hAnsi="Times New Roman" w:cs="Times New Roman"/>
          <w:position w:val="-12"/>
        </w:rPr>
        <w:object w:dxaOrig="330" w:dyaOrig="390" w14:anchorId="7EEFE00E">
          <v:shape id="1140" o:spid="_x0000_i1080" type="#_x0000_t75" style="width:17.15pt;height:19.15pt;visibility:visible;mso-wrap-distance-left:0;mso-wrap-distance-right:0" o:ole="">
            <v:imagedata r:id="rId117" o:title="" embosscolor="white"/>
          </v:shape>
          <o:OLEObject Type="Embed" ProgID="Equation.DSMT4" ShapeID="1140" DrawAspect="Content" ObjectID="_1812455327" r:id="rId118"/>
        </w:object>
      </w:r>
      <w:r>
        <w:rPr>
          <w:rFonts w:ascii="Times New Roman" w:hAnsi="Times New Roman" w:cs="Times New Roman"/>
        </w:rPr>
        <w:t xml:space="preserve"> the RE credit escalation rate, </w:t>
      </w:r>
      <w:r>
        <w:rPr>
          <w:rFonts w:ascii="Times New Roman" w:hAnsi="Times New Roman" w:cs="Times New Roman"/>
          <w:i/>
          <w:iCs/>
        </w:rPr>
        <w:t>C</w:t>
      </w:r>
      <w:r>
        <w:rPr>
          <w:rFonts w:ascii="Times New Roman" w:hAnsi="Times New Roman" w:cs="Times New Roman"/>
          <w:i/>
          <w:iCs/>
          <w:vertAlign w:val="subscript"/>
        </w:rPr>
        <w:t>GHG</w:t>
      </w:r>
      <w:r>
        <w:rPr>
          <w:rFonts w:ascii="Times New Roman" w:hAnsi="Times New Roman" w:cs="Times New Roman"/>
        </w:rPr>
        <w:t xml:space="preserve"> is the GHG reduction income, </w:t>
      </w:r>
      <w:r>
        <w:rPr>
          <w:rFonts w:ascii="Times New Roman" w:hAnsi="Times New Roman" w:cs="Times New Roman"/>
          <w:position w:val="-12"/>
        </w:rPr>
        <w:object w:dxaOrig="450" w:dyaOrig="390" w14:anchorId="537368CE">
          <v:shape id="1142" o:spid="_x0000_i1081" type="#_x0000_t75" style="width:22.45pt;height:19.15pt;visibility:visible;mso-wrap-distance-left:0;mso-wrap-distance-right:0" o:ole="">
            <v:imagedata r:id="rId119" o:title="" embosscolor="white"/>
          </v:shape>
          <o:OLEObject Type="Embed" ProgID="Equation.DSMT4" ShapeID="1142" DrawAspect="Content" ObjectID="_1812455328" r:id="rId120"/>
        </w:object>
      </w:r>
      <w:r>
        <w:rPr>
          <w:rFonts w:ascii="Times New Roman" w:hAnsi="Times New Roman" w:cs="Times New Roman"/>
        </w:rPr>
        <w:t xml:space="preserve"> is the GHG credit escalation rate.</w:t>
      </w:r>
    </w:p>
    <w:p w14:paraId="30D1F73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5535" w:dyaOrig="465" w14:anchorId="0D887A16">
          <v:shape id="1144" o:spid="_x0000_i1082" type="#_x0000_t75" style="width:276.1pt;height:22.45pt;visibility:visible;mso-wrap-distance-left:0;mso-wrap-distance-right:0" o:ole="">
            <v:imagedata r:id="rId121" o:title="" embosscolor="white"/>
          </v:shape>
          <o:OLEObject Type="Embed" ProgID="Equation.DSMT4" ShapeID="1144" DrawAspect="Content" ObjectID="_1812455329" r:id="rId122"/>
        </w:objec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25</w:t>
      </w:r>
    </w:p>
    <w:p w14:paraId="020535D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C</w:t>
      </w:r>
      <w:r>
        <w:rPr>
          <w:rFonts w:ascii="Times New Roman" w:hAnsi="Times New Roman" w:cs="Times New Roman"/>
          <w:i/>
          <w:iCs/>
          <w:vertAlign w:val="subscript"/>
        </w:rPr>
        <w:t>O&amp;M</w:t>
      </w:r>
      <w:r>
        <w:rPr>
          <w:rFonts w:ascii="Times New Roman" w:hAnsi="Times New Roman" w:cs="Times New Roman"/>
        </w:rPr>
        <w:t xml:space="preserve"> is the yearly operation and maintenance costs incurred by the clean energy project, </w:t>
      </w:r>
      <w:r>
        <w:rPr>
          <w:rFonts w:ascii="Times New Roman" w:hAnsi="Times New Roman" w:cs="Times New Roman"/>
          <w:position w:val="-12"/>
        </w:rPr>
        <w:object w:dxaOrig="190" w:dyaOrig="394" w14:anchorId="47C049E6">
          <v:shape id="1146" o:spid="_x0000_i1083" type="#_x0000_t75" style="width:9.9pt;height:19.15pt;visibility:visible;mso-wrap-distance-left:0;mso-wrap-distance-right:0" o:ole="">
            <v:imagedata r:id="rId123" o:title="" embosscolor="white"/>
          </v:shape>
          <o:OLEObject Type="Embed" ProgID="Equation.DSMT4" ShapeID="1146" DrawAspect="Content" ObjectID="_1812455330" r:id="rId124"/>
        </w:object>
      </w:r>
      <w:r>
        <w:rPr>
          <w:rFonts w:ascii="Times New Roman" w:hAnsi="Times New Roman" w:cs="Times New Roman"/>
        </w:rPr>
        <w:t xml:space="preserve"> is the inflation rate, </w:t>
      </w:r>
      <w:r>
        <w:rPr>
          <w:rFonts w:ascii="Times New Roman" w:hAnsi="Times New Roman" w:cs="Times New Roman"/>
          <w:position w:val="-14"/>
        </w:rPr>
        <w:object w:dxaOrig="462" w:dyaOrig="394" w14:anchorId="36DFE754">
          <v:shape id="1148" o:spid="_x0000_i1084" type="#_x0000_t75" style="width:22.45pt;height:19.15pt;visibility:visible;mso-wrap-distance-left:0;mso-wrap-distance-right:0" o:ole="">
            <v:imagedata r:id="rId125" o:title="" embosscolor="white"/>
          </v:shape>
          <o:OLEObject Type="Embed" ProgID="Equation.DSMT4" ShapeID="1148" DrawAspect="Content" ObjectID="_1812455331" r:id="rId126"/>
        </w:object>
      </w:r>
      <w:r>
        <w:rPr>
          <w:rFonts w:ascii="Times New Roman" w:hAnsi="Times New Roman" w:cs="Times New Roman"/>
        </w:rPr>
        <w:t xml:space="preserve"> is the annual cost of fuel or electricity, </w:t>
      </w:r>
      <w:r>
        <w:rPr>
          <w:rFonts w:ascii="Times New Roman" w:hAnsi="Times New Roman" w:cs="Times New Roman"/>
          <w:position w:val="-12"/>
        </w:rPr>
        <w:object w:dxaOrig="231" w:dyaOrig="394" w14:anchorId="46BA5523">
          <v:shape id="1150" o:spid="_x0000_i1085" type="#_x0000_t75" style="width:11.9pt;height:19.15pt;visibility:visible;mso-wrap-distance-left:0;mso-wrap-distance-right:0" o:ole="">
            <v:imagedata r:id="rId127" o:title="" embosscolor="white"/>
          </v:shape>
          <o:OLEObject Type="Embed" ProgID="Equation.DSMT4" ShapeID="1150" DrawAspect="Content" ObjectID="_1812455332" r:id="rId128"/>
        </w:object>
      </w:r>
      <w:r>
        <w:rPr>
          <w:rFonts w:ascii="Times New Roman" w:hAnsi="Times New Roman" w:cs="Times New Roman"/>
        </w:rPr>
        <w:t xml:space="preserve"> is the energy cost escalation rate, </w:t>
      </w:r>
      <w:r>
        <w:rPr>
          <w:rFonts w:ascii="Times New Roman" w:hAnsi="Times New Roman" w:cs="Times New Roman"/>
          <w:i/>
          <w:iCs/>
        </w:rPr>
        <w:t>D</w:t>
      </w:r>
      <w:r>
        <w:rPr>
          <w:rFonts w:ascii="Times New Roman" w:hAnsi="Times New Roman" w:cs="Times New Roman"/>
        </w:rPr>
        <w:t xml:space="preserve"> is the annual debt payment, and </w:t>
      </w:r>
      <w:proofErr w:type="spellStart"/>
      <w:r>
        <w:rPr>
          <w:rFonts w:ascii="Times New Roman" w:hAnsi="Times New Roman" w:cs="Times New Roman"/>
          <w:i/>
          <w:iCs/>
        </w:rPr>
        <w:t>C</w:t>
      </w:r>
      <w:r>
        <w:rPr>
          <w:rFonts w:ascii="Times New Roman" w:hAnsi="Times New Roman" w:cs="Times New Roman"/>
          <w:i/>
          <w:iCs/>
          <w:vertAlign w:val="subscript"/>
        </w:rPr>
        <w:t>per</w:t>
      </w:r>
      <w:proofErr w:type="spellEnd"/>
      <w:r>
        <w:rPr>
          <w:rFonts w:ascii="Times New Roman" w:hAnsi="Times New Roman" w:cs="Times New Roman"/>
        </w:rPr>
        <w:t xml:space="preserve"> is the periodic costs or credits incurred by the system.</w:t>
      </w:r>
    </w:p>
    <w:p w14:paraId="1CEF82E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In terms of Internal Rate of Return (IRR), NPV is expressed as shown in equation (26):</w:t>
      </w:r>
    </w:p>
    <w:p w14:paraId="2B7D8CD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1929" w:dyaOrig="598" w14:anchorId="7560EE76">
          <v:shape id="1152" o:spid="_x0000_i1086" type="#_x0000_t75" style="width:96.45pt;height:30.4pt;visibility:visible;mso-wrap-distance-left:0;mso-wrap-distance-right:0" o:ole="">
            <v:imagedata r:id="rId129" o:title="" embosscolor="white"/>
          </v:shape>
          <o:OLEObject Type="Embed" ProgID="Equation.DSMT4" ShapeID="1152" DrawAspect="Content" ObjectID="_1812455333" r:id="rId13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26</w:t>
      </w:r>
    </w:p>
    <w:p w14:paraId="0A9027E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internal rate of return </w:t>
      </w:r>
      <w:r>
        <w:rPr>
          <w:rFonts w:ascii="Times New Roman" w:hAnsi="Times New Roman" w:cs="Times New Roman"/>
          <w:i/>
          <w:iCs/>
        </w:rPr>
        <w:t>IRR</w:t>
      </w:r>
      <w:r>
        <w:rPr>
          <w:rFonts w:ascii="Times New Roman" w:hAnsi="Times New Roman" w:cs="Times New Roman"/>
        </w:rPr>
        <w:t xml:space="preserve"> is the discount rate that causes the Net Present Value (NPV) of the project to be zero (Huang </w:t>
      </w:r>
      <w:r>
        <w:rPr>
          <w:rFonts w:ascii="Times New Roman" w:hAnsi="Times New Roman" w:cs="Times New Roman"/>
          <w:i/>
          <w:iCs/>
        </w:rPr>
        <w:t>et al</w:t>
      </w:r>
      <w:r>
        <w:rPr>
          <w:rFonts w:ascii="Times New Roman" w:hAnsi="Times New Roman" w:cs="Times New Roman"/>
        </w:rPr>
        <w:t xml:space="preserve">., 2022). </w:t>
      </w:r>
    </w:p>
    <w:p w14:paraId="5757E465"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Annual Life Cycle Saving</w:t>
      </w:r>
    </w:p>
    <w:p w14:paraId="61E1CCDB" w14:textId="77777777" w:rsidR="00B9131A" w:rsidRDefault="00B6370D">
      <w:pPr>
        <w:spacing w:after="0" w:line="276" w:lineRule="auto"/>
        <w:ind w:firstLine="450"/>
        <w:jc w:val="both"/>
        <w:rPr>
          <w:rFonts w:ascii="Times New Roman" w:hAnsi="Times New Roman" w:cs="Times New Roman"/>
        </w:rPr>
      </w:pPr>
      <w:r>
        <w:rPr>
          <w:rFonts w:ascii="Times New Roman" w:hAnsi="Times New Roman" w:cs="Times New Roman"/>
        </w:rPr>
        <w:t xml:space="preserve">The annual life cycle savings ALCS is the </w:t>
      </w:r>
      <w:proofErr w:type="spellStart"/>
      <w:r>
        <w:rPr>
          <w:rFonts w:ascii="Times New Roman" w:hAnsi="Times New Roman" w:cs="Times New Roman"/>
        </w:rPr>
        <w:t>levelised</w:t>
      </w:r>
      <w:proofErr w:type="spellEnd"/>
      <w:r>
        <w:rPr>
          <w:rFonts w:ascii="Times New Roman" w:hAnsi="Times New Roman" w:cs="Times New Roman"/>
        </w:rPr>
        <w:t xml:space="preserve"> </w:t>
      </w:r>
      <w:r>
        <w:rPr>
          <w:rFonts w:ascii="Times New Roman" w:hAnsi="Times New Roman" w:cs="Times New Roman"/>
        </w:rPr>
        <w:t>nominal yearly savings having exactly the same life and net present value as the project. It is calculated using the equation (27):</w:t>
      </w:r>
    </w:p>
    <w:p w14:paraId="2E7CE96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78"/>
        </w:rPr>
        <w:object w:dxaOrig="2160" w:dyaOrig="761" w14:anchorId="22A92166">
          <v:shape id="1154" o:spid="_x0000_i1087" type="#_x0000_t75" style="width:108.35pt;height:37.65pt;visibility:visible;mso-wrap-distance-left:0;mso-wrap-distance-right:0" o:ole="">
            <v:imagedata r:id="rId131" o:title="" embosscolor="white"/>
          </v:shape>
          <o:OLEObject Type="Embed" ProgID="Equation.DSMT4" ShapeID="1154" DrawAspect="Content" ObjectID="_1812455334" r:id="rId132"/>
        </w:objec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27</w:t>
      </w:r>
    </w:p>
    <w:p w14:paraId="09136B04"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Payback Period</w:t>
      </w:r>
    </w:p>
    <w:p w14:paraId="48FD3452" w14:textId="77777777" w:rsidR="00B9131A" w:rsidRDefault="00B6370D">
      <w:pPr>
        <w:spacing w:after="0" w:line="276" w:lineRule="auto"/>
        <w:ind w:firstLine="450"/>
        <w:jc w:val="both"/>
        <w:rPr>
          <w:rFonts w:ascii="Times New Roman" w:hAnsi="Times New Roman" w:cs="Times New Roman"/>
        </w:rPr>
      </w:pPr>
      <w:r>
        <w:rPr>
          <w:rFonts w:ascii="Times New Roman" w:hAnsi="Times New Roman" w:cs="Times New Roman"/>
        </w:rPr>
        <w:t xml:space="preserve">The time it takes for the cash flow (not including debt </w:t>
      </w:r>
      <w:r>
        <w:rPr>
          <w:rFonts w:ascii="Times New Roman" w:hAnsi="Times New Roman" w:cs="Times New Roman"/>
        </w:rPr>
        <w:t>payments) to match the entire investment (which is equal to the total of the debt and equity) is known as the simple payback period (SP). This can be estimated as given in the Equation 28:</w:t>
      </w:r>
    </w:p>
    <w:p w14:paraId="34CD0CA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4768" w:dyaOrig="720" w14:anchorId="4D731BB2">
          <v:shape id="1156" o:spid="_x0000_i1088" type="#_x0000_t75" style="width:238.45pt;height:36.35pt;visibility:visible;mso-wrap-distance-left:0;mso-wrap-distance-right:0" o:ole="">
            <v:imagedata r:id="rId133" o:title="" embosscolor="white"/>
          </v:shape>
          <o:OLEObject Type="Embed" ProgID="Equation.DSMT4" ShapeID="1156" DrawAspect="Content" ObjectID="_1812455335" r:id="rId13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28</w:t>
      </w:r>
    </w:p>
    <w:p w14:paraId="396B147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C</w:t>
      </w:r>
      <w:r>
        <w:rPr>
          <w:rFonts w:ascii="Times New Roman" w:hAnsi="Times New Roman" w:cs="Times New Roman"/>
        </w:rPr>
        <w:t xml:space="preserve"> is the total initial cost of the project, </w:t>
      </w:r>
      <w:r>
        <w:rPr>
          <w:rFonts w:ascii="Times New Roman" w:hAnsi="Times New Roman" w:cs="Times New Roman"/>
          <w:i/>
          <w:iCs/>
        </w:rPr>
        <w:t>IG</w:t>
      </w:r>
      <w:r>
        <w:rPr>
          <w:rFonts w:ascii="Times New Roman" w:hAnsi="Times New Roman" w:cs="Times New Roman"/>
        </w:rPr>
        <w:t xml:space="preserve"> is the incentives and grant.</w:t>
      </w:r>
    </w:p>
    <w:p w14:paraId="5BFE1DF5"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Benefit-Cost Ratio</w:t>
      </w:r>
    </w:p>
    <w:p w14:paraId="3ED02755" w14:textId="77777777" w:rsidR="00B9131A" w:rsidRDefault="00B6370D">
      <w:pPr>
        <w:spacing w:after="0" w:line="276" w:lineRule="auto"/>
        <w:ind w:firstLine="360"/>
        <w:jc w:val="both"/>
        <w:rPr>
          <w:rFonts w:ascii="Times New Roman" w:hAnsi="Times New Roman" w:cs="Times New Roman"/>
        </w:rPr>
      </w:pPr>
      <w:r>
        <w:rPr>
          <w:rFonts w:ascii="Times New Roman" w:hAnsi="Times New Roman" w:cs="Times New Roman"/>
        </w:rPr>
        <w:t>The benefit-cost ratio, B-C, is an expression of the relative profitability of the project. It is calculated as a ratio of the present value of annual revenues (i</w:t>
      </w:r>
      <w:r>
        <w:rPr>
          <w:rFonts w:ascii="Times New Roman" w:hAnsi="Times New Roman" w:cs="Times New Roman"/>
        </w:rPr>
        <w:t>ncome and/or savings) to the project equity as presented in Equation 29:</w:t>
      </w:r>
    </w:p>
    <w:p w14:paraId="5281ADD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2432" w:dyaOrig="842" w14:anchorId="53FA6D1B">
          <v:shape id="1158" o:spid="_x0000_i1089" type="#_x0000_t75" style="width:121.55pt;height:41.6pt;visibility:visible;mso-wrap-distance-left:0;mso-wrap-distance-right:0" o:ole="">
            <v:imagedata r:id="rId135" o:title="" embosscolor="white"/>
          </v:shape>
          <o:OLEObject Type="Embed" ProgID="Equation.DSMT4" ShapeID="1158" DrawAspect="Content" ObjectID="_1812455336" r:id="rId13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29</w:t>
      </w:r>
    </w:p>
    <w:p w14:paraId="53F7C3C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2"/>
        </w:rPr>
        <w:object w:dxaOrig="299" w:dyaOrig="394" w14:anchorId="49387ECC">
          <v:shape id="1160" o:spid="_x0000_i1090" type="#_x0000_t75" style="width:15.2pt;height:19.15pt;visibility:visible;mso-wrap-distance-left:0;mso-wrap-distance-right:0" o:ole="">
            <v:imagedata r:id="rId137" o:title="" embosscolor="white"/>
          </v:shape>
          <o:OLEObject Type="Embed" ProgID="Equation.DSMT4" ShapeID="1160" DrawAspect="Content" ObjectID="_1812455337" r:id="rId138"/>
        </w:object>
      </w:r>
      <w:r>
        <w:rPr>
          <w:rFonts w:ascii="Times New Roman" w:hAnsi="Times New Roman" w:cs="Times New Roman"/>
        </w:rPr>
        <w:t xml:space="preserve"> is the debt </w:t>
      </w:r>
      <w:proofErr w:type="gramStart"/>
      <w:r>
        <w:rPr>
          <w:rFonts w:ascii="Times New Roman" w:hAnsi="Times New Roman" w:cs="Times New Roman"/>
        </w:rPr>
        <w:t>ratio.</w:t>
      </w:r>
      <w:proofErr w:type="gramEnd"/>
    </w:p>
    <w:p w14:paraId="631EE151"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Accurate economic parameters ensure a realistic financial analysis, allowing for a </w:t>
      </w:r>
      <w:r>
        <w:rPr>
          <w:rFonts w:ascii="Times New Roman" w:hAnsi="Times New Roman" w:cs="Times New Roman"/>
        </w:rPr>
        <w:t>better understanding of the project's long-term financial performance and sustainability.</w:t>
      </w:r>
    </w:p>
    <w:p w14:paraId="32B6BE76"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3.6.5</w:t>
      </w:r>
      <w:r>
        <w:rPr>
          <w:rFonts w:ascii="Times New Roman" w:hAnsi="Times New Roman" w:cs="Times New Roman"/>
          <w:b/>
          <w:bCs/>
        </w:rPr>
        <w:tab/>
        <w:t>Emissions analysis</w:t>
      </w:r>
    </w:p>
    <w:p w14:paraId="27B58D22"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The environmental analysis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a comprehensive emissions analysis. This begins wi</w:t>
      </w:r>
      <w:r>
        <w:rPr>
          <w:rFonts w:ascii="Times New Roman" w:hAnsi="Times New Roman" w:cs="Times New Roman"/>
        </w:rPr>
        <w:t>th defining the baseline scenario, which establishes the current energy source and its associated emissions. The baseline scenario serves as a reference point against which the emission reductions from the renewable energy project was measured (RICEDC, 200</w:t>
      </w:r>
      <w:r>
        <w:rPr>
          <w:rFonts w:ascii="Times New Roman" w:hAnsi="Times New Roman" w:cs="Times New Roman"/>
        </w:rPr>
        <w:t>5). Following the establishment of the baseline scenario, emission factors must be input or default values can be used for both the baseline and the project scenarios. These emission factors quantify the amount of greenhouse gases emitted per unit of energ</w:t>
      </w:r>
      <w:r>
        <w:rPr>
          <w:rFonts w:ascii="Times New Roman" w:hAnsi="Times New Roman" w:cs="Times New Roman"/>
        </w:rPr>
        <w:t>y produced or consumed. Accurate emission factors are crucial for evaluating the environmental impact of the renewable energy project and determining its contribution to reducing greenhouse gas emissions. This thorough emissions analysis is essential for u</w:t>
      </w:r>
      <w:r>
        <w:rPr>
          <w:rFonts w:ascii="Times New Roman" w:hAnsi="Times New Roman" w:cs="Times New Roman"/>
        </w:rPr>
        <w:t xml:space="preserve">nderstanding the environmental benefits of the renewable energy project, providing a clear comparison between the current energy system and the proposed renewable solution. For a single fuel type or source, the GHG emission factor (e) can be calculated as </w:t>
      </w:r>
      <w:r>
        <w:rPr>
          <w:rFonts w:ascii="Times New Roman" w:hAnsi="Times New Roman" w:cs="Times New Roman"/>
        </w:rPr>
        <w:t>given in Equation 30 (RICEDC, 2005):</w:t>
      </w:r>
    </w:p>
    <w:p w14:paraId="7AF42A2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28"/>
        </w:rPr>
        <w:object w:dxaOrig="4619" w:dyaOrig="679" w14:anchorId="176537B8">
          <v:shape id="1162" o:spid="_x0000_i1091" type="#_x0000_t75" style="width:231.2pt;height:34.35pt;visibility:visible;mso-wrap-distance-left:0;mso-wrap-distance-right:0" o:ole="">
            <v:imagedata r:id="rId139" o:title="" embosscolor="white"/>
          </v:shape>
          <o:OLEObject Type="Embed" ProgID="Equation.DSMT4" ShapeID="1162" DrawAspect="Content" ObjectID="_1812455338" r:id="rId14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30</w:t>
      </w:r>
    </w:p>
    <w:p w14:paraId="04018A4A"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3.6.6</w:t>
      </w:r>
      <w:r>
        <w:rPr>
          <w:rFonts w:ascii="Times New Roman" w:hAnsi="Times New Roman" w:cs="Times New Roman"/>
          <w:b/>
          <w:bCs/>
        </w:rPr>
        <w:tab/>
        <w:t>Output and reporting</w:t>
      </w:r>
    </w:p>
    <w:p w14:paraId="4A22D8E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reporting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generating several critical reports. This includes producing an energy</w:t>
      </w:r>
      <w:r>
        <w:rPr>
          <w:rFonts w:ascii="Times New Roman" w:hAnsi="Times New Roman" w:cs="Times New Roman"/>
        </w:rPr>
        <w:t xml:space="preserve"> production report that details the expected energy output, with both monthly and annual projections. Additionally, a financial analysis report is created, which includes key metrics such as Net Present Value (NPV), Internal Rate of Return (IRR), payback p</w:t>
      </w:r>
      <w:r>
        <w:rPr>
          <w:rFonts w:ascii="Times New Roman" w:hAnsi="Times New Roman" w:cs="Times New Roman"/>
        </w:rPr>
        <w:t>eriod, and cash flow (</w:t>
      </w:r>
      <w:r>
        <w:rPr>
          <w:rFonts w:ascii="Times New Roman" w:eastAsia="Times New Roman" w:hAnsi="Times New Roman" w:cs="Times New Roman"/>
          <w:kern w:val="0"/>
          <w14:ligatures w14:val="none"/>
        </w:rPr>
        <w:t xml:space="preserve">Saur and </w:t>
      </w:r>
      <w:proofErr w:type="spellStart"/>
      <w:r>
        <w:rPr>
          <w:rFonts w:ascii="Times New Roman" w:eastAsia="Times New Roman" w:hAnsi="Times New Roman" w:cs="Times New Roman"/>
          <w:kern w:val="0"/>
          <w14:ligatures w14:val="none"/>
        </w:rPr>
        <w:t>Meschan</w:t>
      </w:r>
      <w:proofErr w:type="spellEnd"/>
      <w:r>
        <w:rPr>
          <w:rFonts w:ascii="Times New Roman" w:eastAsia="Times New Roman" w:hAnsi="Times New Roman" w:cs="Times New Roman"/>
          <w:kern w:val="0"/>
          <w14:ligatures w14:val="none"/>
        </w:rPr>
        <w:t xml:space="preserve"> 2022</w:t>
      </w:r>
      <w:r>
        <w:rPr>
          <w:rFonts w:ascii="Times New Roman" w:hAnsi="Times New Roman" w:cs="Times New Roman"/>
        </w:rPr>
        <w:t>). Also, an emissions report is generated to quantify greenhouse gas emission reductions by comparing the renewable energy project scenario with the established baseline. These comprehensive reports provide valuab</w:t>
      </w:r>
      <w:r>
        <w:rPr>
          <w:rFonts w:ascii="Times New Roman" w:hAnsi="Times New Roman" w:cs="Times New Roman"/>
        </w:rPr>
        <w:t>le insights into the project's performance, financial viability, and environmental impact, facilitating informed decision-making and strategic planning.</w:t>
      </w:r>
    </w:p>
    <w:p w14:paraId="35E6F8B8" w14:textId="77777777" w:rsidR="00B9131A" w:rsidRDefault="00B9131A">
      <w:pPr>
        <w:spacing w:after="0" w:line="276" w:lineRule="auto"/>
        <w:jc w:val="both"/>
        <w:rPr>
          <w:rFonts w:ascii="Times New Roman" w:hAnsi="Times New Roman" w:cs="Times New Roman"/>
        </w:rPr>
      </w:pPr>
    </w:p>
    <w:p w14:paraId="78E08188" w14:textId="77777777" w:rsidR="00B9131A" w:rsidRDefault="00B6370D">
      <w:pPr>
        <w:spacing w:line="276" w:lineRule="auto"/>
        <w:rPr>
          <w:rFonts w:ascii="Times New Roman" w:hAnsi="Times New Roman" w:cs="Times New Roman"/>
          <w:b/>
          <w:bCs/>
        </w:rPr>
      </w:pPr>
      <w:r>
        <w:rPr>
          <w:rFonts w:ascii="Times New Roman" w:hAnsi="Times New Roman" w:cs="Times New Roman"/>
          <w:b/>
          <w:bCs/>
        </w:rPr>
        <w:t>4.0</w:t>
      </w:r>
      <w:r>
        <w:rPr>
          <w:rFonts w:ascii="Times New Roman" w:hAnsi="Times New Roman" w:cs="Times New Roman"/>
          <w:b/>
          <w:bCs/>
        </w:rPr>
        <w:tab/>
        <w:t>Result and Discussions</w:t>
      </w:r>
    </w:p>
    <w:p w14:paraId="57D644AD" w14:textId="77777777" w:rsidR="00B9131A" w:rsidRDefault="00B6370D">
      <w:pPr>
        <w:spacing w:line="276" w:lineRule="auto"/>
        <w:rPr>
          <w:rFonts w:ascii="Times New Roman" w:hAnsi="Times New Roman" w:cs="Times New Roman"/>
        </w:rPr>
      </w:pPr>
      <w:r>
        <w:rPr>
          <w:rFonts w:ascii="Times New Roman" w:hAnsi="Times New Roman" w:cs="Times New Roman"/>
        </w:rPr>
        <w:t>The simulation results are presented, analyzed and discussed in this sectio</w:t>
      </w:r>
      <w:r>
        <w:rPr>
          <w:rFonts w:ascii="Times New Roman" w:hAnsi="Times New Roman" w:cs="Times New Roman"/>
        </w:rPr>
        <w:t>n.</w:t>
      </w:r>
    </w:p>
    <w:p w14:paraId="52158DDE"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4.1</w:t>
      </w:r>
      <w:r>
        <w:rPr>
          <w:rFonts w:ascii="Times New Roman" w:hAnsi="Times New Roman" w:cs="Times New Roman"/>
          <w:b/>
          <w:bCs/>
        </w:rPr>
        <w:tab/>
        <w:t>Feasibility Assessment Results</w:t>
      </w:r>
    </w:p>
    <w:p w14:paraId="1FF0628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hourly load demand of the museum under consideration, as presented in Figure 6a revealed that the load pattern of the building depicts a typical commercial load, that always has its peak during the day and off pick during the night, in the case of this</w:t>
      </w:r>
      <w:r>
        <w:rPr>
          <w:rFonts w:ascii="Times New Roman" w:hAnsi="Times New Roman" w:cs="Times New Roman"/>
        </w:rPr>
        <w:t xml:space="preserve"> building, all the electrical gadgets </w:t>
      </w:r>
      <w:r>
        <w:rPr>
          <w:rFonts w:ascii="Times New Roman" w:hAnsi="Times New Roman" w:cs="Times New Roman"/>
        </w:rPr>
        <w:lastRenderedPageBreak/>
        <w:t>are always switched off during the off period which starts from 5pm-9am. The load pattern of this building also revealed the good energy policy been enforced by the management to ensure that electricity is properly con</w:t>
      </w:r>
      <w:r>
        <w:rPr>
          <w:rFonts w:ascii="Times New Roman" w:hAnsi="Times New Roman" w:cs="Times New Roman"/>
        </w:rPr>
        <w:t xml:space="preserve">served, used only when needed and off when not in used. Figure 6b and 6c show the seasonal and hourly load profile of the building respectively. </w:t>
      </w:r>
    </w:p>
    <w:p w14:paraId="63FFB51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21175EFE" wp14:editId="18A40540">
            <wp:extent cx="4572000" cy="2495550"/>
            <wp:effectExtent l="0" t="0" r="0" b="0"/>
            <wp:docPr id="11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3D254F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w:t>
      </w:r>
    </w:p>
    <w:p w14:paraId="1711A6DA"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object w:dxaOrig="9781" w:dyaOrig="3000" w14:anchorId="676A2CF5">
          <v:shape id="1166" o:spid="_x0000_i1092" type="#_x0000_t75" style="width:415.5pt;height:128.15pt;visibility:visible;mso-wrap-distance-left:0;mso-wrap-distance-right:0" o:ole="">
            <v:imagedata r:id="rId142" o:title="" embosscolor="white"/>
          </v:shape>
          <o:OLEObject Type="Embed" ProgID="Excel.Sheet.8" ShapeID="1166" DrawAspect="Content" ObjectID="_1812455339" r:id="rId143"/>
        </w:object>
      </w:r>
    </w:p>
    <w:p w14:paraId="1B3AB1FE"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w:t>
      </w:r>
    </w:p>
    <w:p w14:paraId="35CB2AFA"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inline distT="0" distB="0" distL="0" distR="0" wp14:anchorId="6F4BA27F" wp14:editId="43A5C6C4">
            <wp:extent cx="5274945" cy="1092835"/>
            <wp:effectExtent l="0" t="0" r="1905" b="0"/>
            <wp:docPr id="11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1"/>
                    <pic:cNvPicPr/>
                  </pic:nvPicPr>
                  <pic:blipFill>
                    <a:blip r:embed="rId144" cstate="print"/>
                    <a:srcRect/>
                    <a:stretch/>
                  </pic:blipFill>
                  <pic:spPr>
                    <a:xfrm>
                      <a:off x="0" y="0"/>
                      <a:ext cx="5274945" cy="1092835"/>
                    </a:xfrm>
                    <a:prstGeom prst="rect">
                      <a:avLst/>
                    </a:prstGeom>
                  </pic:spPr>
                </pic:pic>
              </a:graphicData>
            </a:graphic>
          </wp:inline>
        </w:drawing>
      </w:r>
    </w:p>
    <w:p w14:paraId="4E3C7A28"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w:t>
      </w:r>
    </w:p>
    <w:p w14:paraId="0127395C"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6: (a) Hourly Load Demand Profile of the NMU</w:t>
      </w:r>
    </w:p>
    <w:p w14:paraId="58D03651"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 Seasonal Loa</w:t>
      </w:r>
      <w:r>
        <w:rPr>
          <w:rFonts w:ascii="Times New Roman" w:eastAsia="Times New Roman" w:hAnsi="Times New Roman" w:cs="Times New Roman"/>
          <w:kern w:val="0"/>
          <w14:ligatures w14:val="none"/>
        </w:rPr>
        <w:t>d Demand Profile of the NMU</w:t>
      </w:r>
    </w:p>
    <w:p w14:paraId="46C0AE99"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 Yealy Load Demand Profile of the NMU</w:t>
      </w:r>
    </w:p>
    <w:p w14:paraId="68F6FB79"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lastRenderedPageBreak/>
        <w:t>Considering the solar irradiance as presented in Figure 7, its role in a grid-connected solar system is important especially in assessing the system's energy production, efficiency, and o</w:t>
      </w:r>
      <w:r>
        <w:rPr>
          <w:rFonts w:ascii="Times New Roman" w:hAnsi="Times New Roman" w:cs="Times New Roman"/>
        </w:rPr>
        <w:t xml:space="preserve">verall functionality. Photovoltaic (PV) system output is directly impacted by solar irradiance, which is the power of solar energy received per unit area (measured in W/m²). </w:t>
      </w:r>
      <w:r>
        <w:rPr>
          <w:rFonts w:ascii="Times New Roman" w:eastAsia="Times New Roman" w:hAnsi="Times New Roman" w:cs="Times New Roman"/>
          <w:kern w:val="0"/>
          <w14:ligatures w14:val="none"/>
        </w:rPr>
        <w:t>The irradiance data for a particular site is essential for the design of the solar</w:t>
      </w:r>
      <w:r>
        <w:rPr>
          <w:rFonts w:ascii="Times New Roman" w:eastAsia="Times New Roman" w:hAnsi="Times New Roman" w:cs="Times New Roman"/>
          <w:kern w:val="0"/>
          <w14:ligatures w14:val="none"/>
        </w:rPr>
        <w:t xml:space="preserve"> array as areas with elevated average irradiation will generate increased energy output. Considering its pattern in relative to the load demand, it can be observed that the two have similar pattern, which shows that the PV production mostly occur when the </w:t>
      </w:r>
      <w:r>
        <w:rPr>
          <w:rFonts w:ascii="Times New Roman" w:eastAsia="Times New Roman" w:hAnsi="Times New Roman" w:cs="Times New Roman"/>
          <w:kern w:val="0"/>
          <w14:ligatures w14:val="none"/>
        </w:rPr>
        <w:t xml:space="preserve">energy is needed. The irradiance of the proposed location shows the applicability of PV system. </w:t>
      </w:r>
    </w:p>
    <w:p w14:paraId="661A2D4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49C724F2" wp14:editId="77E12649">
            <wp:extent cx="4219575" cy="2305050"/>
            <wp:effectExtent l="0" t="0" r="0" b="0"/>
            <wp:docPr id="11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547818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7: Hourly Solar Irradiance of the NMU</w:t>
      </w:r>
    </w:p>
    <w:p w14:paraId="7340696F" w14:textId="77777777" w:rsidR="00B9131A" w:rsidRDefault="00B6370D">
      <w:pPr>
        <w:spacing w:after="0" w:line="276"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8 and 9 show the clearness index and the temperature of the location. Clearness index and temperature are</w:t>
      </w:r>
      <w:r>
        <w:rPr>
          <w:rFonts w:ascii="Times New Roman" w:eastAsia="Times New Roman" w:hAnsi="Times New Roman" w:cs="Times New Roman"/>
          <w:kern w:val="0"/>
          <w14:ligatures w14:val="none"/>
        </w:rPr>
        <w:t xml:space="preserve"> two other factors that affects the PV power production and also have influence on the load consumption pattern. these values showed that the proposed PV solution will be efficient in that location. The available space on the roof of the proposed building </w:t>
      </w:r>
      <w:r>
        <w:rPr>
          <w:rFonts w:ascii="Times New Roman" w:eastAsia="Times New Roman" w:hAnsi="Times New Roman" w:cs="Times New Roman"/>
          <w:kern w:val="0"/>
          <w14:ligatures w14:val="none"/>
        </w:rPr>
        <w:t>for the installation of PV was estimated to be 232.25 m</w:t>
      </w:r>
      <w:r>
        <w:rPr>
          <w:rFonts w:ascii="Times New Roman" w:eastAsia="Times New Roman" w:hAnsi="Times New Roman" w:cs="Times New Roman"/>
          <w:kern w:val="0"/>
          <w:vertAlign w:val="superscript"/>
          <w14:ligatures w14:val="none"/>
        </w:rPr>
        <w:t>2</w:t>
      </w:r>
      <w:r>
        <w:rPr>
          <w:rFonts w:ascii="Times New Roman" w:eastAsia="Times New Roman" w:hAnsi="Times New Roman" w:cs="Times New Roman"/>
          <w:kern w:val="0"/>
          <w14:ligatures w14:val="none"/>
        </w:rPr>
        <w:t xml:space="preserve">, this revealed that the substantial amount of PV panels can be installed on the building roof. </w:t>
      </w:r>
    </w:p>
    <w:p w14:paraId="0919C848"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  </w:t>
      </w:r>
    </w:p>
    <w:p w14:paraId="3D25167F"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1386BE93" wp14:editId="3349D137">
            <wp:extent cx="4019550" cy="1981200"/>
            <wp:effectExtent l="0" t="0" r="0" b="0"/>
            <wp:docPr id="117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2DCE3A5"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Figure 8: Hourly Clearness Index of the NMU</w:t>
      </w:r>
    </w:p>
    <w:p w14:paraId="7F162527"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31EBED38" wp14:editId="42F846B3">
            <wp:extent cx="4572000" cy="2743200"/>
            <wp:effectExtent l="0" t="0" r="0" b="0"/>
            <wp:docPr id="11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F9C3ECF"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9: Hourly Temperature profile of the NMU</w:t>
      </w:r>
    </w:p>
    <w:p w14:paraId="78224591"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4.2</w:t>
      </w:r>
      <w:r>
        <w:rPr>
          <w:rFonts w:ascii="Times New Roman" w:hAnsi="Times New Roman" w:cs="Times New Roman"/>
          <w:b/>
          <w:bCs/>
        </w:rPr>
        <w:tab/>
      </w:r>
      <w:r>
        <w:rPr>
          <w:rFonts w:ascii="Times New Roman" w:hAnsi="Times New Roman" w:cs="Times New Roman"/>
          <w:b/>
          <w:bCs/>
        </w:rPr>
        <w:t>Optimized Grid connected PV System</w:t>
      </w:r>
    </w:p>
    <w:p w14:paraId="55D3B89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main components of the grid connected PV system such as PV panel, battery storage, and power converter, were sized to optimized the system with respect to the defined objective function using HOMER software. The HOMER</w:t>
      </w:r>
      <w:r>
        <w:rPr>
          <w:rFonts w:ascii="Times New Roman" w:hAnsi="Times New Roman" w:cs="Times New Roman"/>
        </w:rPr>
        <w:t xml:space="preserve"> software, version 3.14.2 (Pro Edition) was used to determine the feasible sizes of the components of the system to enhance a cost-effective power system that satisfy the set constrains. The simulation results in terms of sizes of the main components of th</w:t>
      </w:r>
      <w:r>
        <w:rPr>
          <w:rFonts w:ascii="Times New Roman" w:hAnsi="Times New Roman" w:cs="Times New Roman"/>
        </w:rPr>
        <w:t>e proposed system is presented in Table 1. The results show that, considering the space constrain and the required load by the proposed building, 116 solar panel of 215 watt, 8 strings of 100 AH battery storage and 32.7 kW power converter (equivalent to 34</w:t>
      </w:r>
      <w:r>
        <w:rPr>
          <w:rFonts w:ascii="Times New Roman" w:hAnsi="Times New Roman" w:cs="Times New Roman"/>
        </w:rPr>
        <w:t xml:space="preserve"> KVA) are needed to realize the intending optimized power system.</w:t>
      </w:r>
    </w:p>
    <w:p w14:paraId="365E89CC" w14:textId="77777777" w:rsidR="00B9131A" w:rsidRDefault="00B9131A">
      <w:pPr>
        <w:spacing w:after="0" w:line="276" w:lineRule="auto"/>
        <w:jc w:val="both"/>
        <w:rPr>
          <w:rFonts w:ascii="Times New Roman" w:hAnsi="Times New Roman" w:cs="Times New Roman"/>
        </w:rPr>
      </w:pPr>
    </w:p>
    <w:p w14:paraId="63D92F5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1: Optimal Sizes of the Main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966"/>
        <w:gridCol w:w="1575"/>
      </w:tblGrid>
      <w:tr w:rsidR="00B9131A" w14:paraId="5C055F56" w14:textId="77777777">
        <w:tc>
          <w:tcPr>
            <w:tcW w:w="2982" w:type="dxa"/>
            <w:tcBorders>
              <w:top w:val="single" w:sz="4" w:space="0" w:color="auto"/>
              <w:bottom w:val="single" w:sz="4" w:space="0" w:color="auto"/>
            </w:tcBorders>
          </w:tcPr>
          <w:p w14:paraId="1DFB4EAB"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Component</w:t>
            </w:r>
          </w:p>
        </w:tc>
        <w:tc>
          <w:tcPr>
            <w:tcW w:w="3966" w:type="dxa"/>
            <w:tcBorders>
              <w:top w:val="single" w:sz="4" w:space="0" w:color="auto"/>
              <w:bottom w:val="single" w:sz="4" w:space="0" w:color="auto"/>
            </w:tcBorders>
          </w:tcPr>
          <w:p w14:paraId="4D05B2F6"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Specification</w:t>
            </w:r>
          </w:p>
        </w:tc>
        <w:tc>
          <w:tcPr>
            <w:tcW w:w="1575" w:type="dxa"/>
            <w:tcBorders>
              <w:top w:val="single" w:sz="4" w:space="0" w:color="auto"/>
              <w:bottom w:val="single" w:sz="4" w:space="0" w:color="auto"/>
            </w:tcBorders>
          </w:tcPr>
          <w:p w14:paraId="6EAF7416"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Quantity</w:t>
            </w:r>
          </w:p>
        </w:tc>
      </w:tr>
      <w:tr w:rsidR="00B9131A" w14:paraId="73645BE6" w14:textId="77777777">
        <w:tc>
          <w:tcPr>
            <w:tcW w:w="2982" w:type="dxa"/>
            <w:tcBorders>
              <w:top w:val="single" w:sz="4" w:space="0" w:color="auto"/>
            </w:tcBorders>
          </w:tcPr>
          <w:p w14:paraId="55273D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Solar PV Panel</w:t>
            </w:r>
          </w:p>
        </w:tc>
        <w:tc>
          <w:tcPr>
            <w:tcW w:w="3966" w:type="dxa"/>
            <w:tcBorders>
              <w:top w:val="single" w:sz="4" w:space="0" w:color="auto"/>
            </w:tcBorders>
          </w:tcPr>
          <w:p w14:paraId="5D5F3C7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Sunpower215PL-SUNP-SNR-215 (215 W)</w:t>
            </w:r>
          </w:p>
        </w:tc>
        <w:tc>
          <w:tcPr>
            <w:tcW w:w="1575" w:type="dxa"/>
            <w:tcBorders>
              <w:top w:val="single" w:sz="4" w:space="0" w:color="auto"/>
            </w:tcBorders>
          </w:tcPr>
          <w:p w14:paraId="299FD2BD"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B9131A" w14:paraId="0E452EF8" w14:textId="77777777">
        <w:tc>
          <w:tcPr>
            <w:tcW w:w="2982" w:type="dxa"/>
          </w:tcPr>
          <w:p w14:paraId="6C266C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Battery</w:t>
            </w:r>
          </w:p>
        </w:tc>
        <w:tc>
          <w:tcPr>
            <w:tcW w:w="3966" w:type="dxa"/>
          </w:tcPr>
          <w:p w14:paraId="190D404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Generic 1kW Lead Acid</w:t>
            </w:r>
          </w:p>
        </w:tc>
        <w:tc>
          <w:tcPr>
            <w:tcW w:w="1575" w:type="dxa"/>
          </w:tcPr>
          <w:p w14:paraId="2C673411"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9131A" w14:paraId="715DA3D4" w14:textId="77777777">
        <w:tc>
          <w:tcPr>
            <w:tcW w:w="2982" w:type="dxa"/>
            <w:tcBorders>
              <w:bottom w:val="single" w:sz="4" w:space="0" w:color="auto"/>
            </w:tcBorders>
          </w:tcPr>
          <w:p w14:paraId="0F279BD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Power Converter</w:t>
            </w:r>
          </w:p>
        </w:tc>
        <w:tc>
          <w:tcPr>
            <w:tcW w:w="3966" w:type="dxa"/>
            <w:tcBorders>
              <w:bottom w:val="single" w:sz="4" w:space="0" w:color="auto"/>
            </w:tcBorders>
          </w:tcPr>
          <w:p w14:paraId="7D914B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Generic system converter (34 kVA)</w:t>
            </w:r>
          </w:p>
        </w:tc>
        <w:tc>
          <w:tcPr>
            <w:tcW w:w="1575" w:type="dxa"/>
            <w:tcBorders>
              <w:bottom w:val="single" w:sz="4" w:space="0" w:color="auto"/>
            </w:tcBorders>
          </w:tcPr>
          <w:p w14:paraId="4A09B47B"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062F15B" w14:textId="77777777" w:rsidR="00B9131A" w:rsidRDefault="00B9131A">
      <w:pPr>
        <w:spacing w:line="276" w:lineRule="auto"/>
        <w:rPr>
          <w:rFonts w:ascii="Times New Roman" w:hAnsi="Times New Roman" w:cs="Times New Roman"/>
        </w:rPr>
      </w:pPr>
    </w:p>
    <w:p w14:paraId="5ED1F4EB" w14:textId="77777777" w:rsidR="00B9131A" w:rsidRDefault="00B6370D">
      <w:pPr>
        <w:spacing w:line="276" w:lineRule="auto"/>
        <w:jc w:val="both"/>
        <w:rPr>
          <w:rFonts w:ascii="Times New Roman" w:hAnsi="Times New Roman" w:cs="Times New Roman"/>
        </w:rPr>
      </w:pPr>
      <w:r>
        <w:rPr>
          <w:rFonts w:ascii="Times New Roman" w:hAnsi="Times New Roman" w:cs="Times New Roman"/>
        </w:rPr>
        <w:t>The PV output power is presented in Figure 10. the simulation report revealed that PV operate for 4,313 hours per year and the load evaluation report revealed that the office opens 2,555 hours per year which is below t</w:t>
      </w:r>
      <w:r>
        <w:rPr>
          <w:rFonts w:ascii="Times New Roman" w:hAnsi="Times New Roman" w:cs="Times New Roman"/>
        </w:rPr>
        <w:t xml:space="preserve">he working period of the PV; this shows that PV produced beyond what is need, making it possible to transact with grid so that the surplus power can be used by the grid and </w:t>
      </w:r>
      <w:r>
        <w:rPr>
          <w:rFonts w:ascii="Times New Roman" w:hAnsi="Times New Roman" w:cs="Times New Roman"/>
        </w:rPr>
        <w:lastRenderedPageBreak/>
        <w:t xml:space="preserve">give income in return. The total annual production by the PV panels is </w:t>
      </w:r>
      <w:r>
        <w:rPr>
          <w:rFonts w:ascii="Times New Roman" w:eastAsia="Times New Roman" w:hAnsi="Times New Roman" w:cs="Times New Roman"/>
          <w:kern w:val="0"/>
          <w14:ligatures w14:val="none"/>
        </w:rPr>
        <w:t>35,754</w:t>
      </w:r>
      <w:r>
        <w:rPr>
          <w:rFonts w:ascii="Times New Roman" w:hAnsi="Times New Roman" w:cs="Times New Roman"/>
        </w:rPr>
        <w:t xml:space="preserve"> </w:t>
      </w:r>
      <w:proofErr w:type="spellStart"/>
      <w:r>
        <w:rPr>
          <w:rFonts w:ascii="Times New Roman" w:hAnsi="Times New Roman" w:cs="Times New Roman"/>
        </w:rPr>
        <w:t>kWhr</w:t>
      </w:r>
      <w:proofErr w:type="spellEnd"/>
      <w:r>
        <w:rPr>
          <w:rFonts w:ascii="Times New Roman" w:hAnsi="Times New Roman" w:cs="Times New Roman"/>
        </w:rPr>
        <w:t>/</w:t>
      </w:r>
      <w:proofErr w:type="spellStart"/>
      <w:r>
        <w:rPr>
          <w:rFonts w:ascii="Times New Roman" w:hAnsi="Times New Roman" w:cs="Times New Roman"/>
        </w:rPr>
        <w:t>yr</w:t>
      </w:r>
      <w:proofErr w:type="spellEnd"/>
      <w:r>
        <w:rPr>
          <w:rFonts w:ascii="Times New Roman" w:hAnsi="Times New Roman" w:cs="Times New Roman"/>
        </w:rPr>
        <w:t xml:space="preserve">; this generated power was used to meet the electricity demand of the building, and the remaining deficit or surplus energy was exchanged with the grid, the battery is only needed when the grid is not available or accessible.  </w:t>
      </w:r>
    </w:p>
    <w:p w14:paraId="37ADB270" w14:textId="77777777" w:rsidR="00B9131A" w:rsidRDefault="00B6370D">
      <w:pPr>
        <w:spacing w:line="276" w:lineRule="auto"/>
        <w:rPr>
          <w:rFonts w:ascii="Times New Roman" w:hAnsi="Times New Roman" w:cs="Times New Roman"/>
        </w:rPr>
      </w:pPr>
      <w:r>
        <w:rPr>
          <w:rFonts w:ascii="Times New Roman" w:hAnsi="Times New Roman" w:cs="Times New Roman"/>
          <w:noProof/>
        </w:rPr>
        <w:object w:dxaOrig="11789" w:dyaOrig="4436" w14:anchorId="49BD1433">
          <v:shape id="1174" o:spid="_x0000_i1093" type="#_x0000_t75" style="width:406.25pt;height:109.65pt;visibility:visible;mso-wrap-distance-left:0;mso-wrap-distance-right:0" o:ole="">
            <v:fill rotate="t"/>
            <v:imagedata r:id="rId148" o:title="" croptop="20741f" cropbottom="4881f" cropleft="2840f" cropright="8616f" embosscolor="white"/>
          </v:shape>
          <o:OLEObject Type="Embed" ProgID="Excel.Sheet.8" ShapeID="1174" DrawAspect="Content" ObjectID="_1812455340" r:id="rId149"/>
        </w:object>
      </w:r>
    </w:p>
    <w:p w14:paraId="1DA34F14"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10: PV output power</w:t>
      </w:r>
    </w:p>
    <w:p w14:paraId="1D1D6452"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As presented in Table 2, the annual energy purchased from the grid is 995,555 </w:t>
      </w:r>
      <w:proofErr w:type="spellStart"/>
      <w:r>
        <w:rPr>
          <w:rFonts w:ascii="Times New Roman" w:hAnsi="Times New Roman" w:cs="Times New Roman"/>
        </w:rPr>
        <w:t>kWhr</w:t>
      </w:r>
      <w:proofErr w:type="spellEnd"/>
      <w:r>
        <w:rPr>
          <w:rFonts w:ascii="Times New Roman" w:hAnsi="Times New Roman" w:cs="Times New Roman"/>
        </w:rPr>
        <w:t xml:space="preserve">, and the yearly energy sold to the grid is </w:t>
      </w:r>
      <w:r>
        <w:rPr>
          <w:rFonts w:ascii="Times New Roman" w:eastAsia="Times New Roman" w:hAnsi="Times New Roman" w:cs="Times New Roman"/>
          <w:kern w:val="0"/>
          <w14:ligatures w14:val="none"/>
        </w:rPr>
        <w:t>26,938</w:t>
      </w:r>
      <w:r>
        <w:rPr>
          <w:rFonts w:ascii="Times New Roman" w:hAnsi="Times New Roman" w:cs="Times New Roman"/>
        </w:rPr>
        <w:t xml:space="preserve"> </w:t>
      </w:r>
      <w:proofErr w:type="spellStart"/>
      <w:r>
        <w:rPr>
          <w:rFonts w:ascii="Times New Roman" w:hAnsi="Times New Roman" w:cs="Times New Roman"/>
        </w:rPr>
        <w:t>kWhr</w:t>
      </w:r>
      <w:proofErr w:type="spellEnd"/>
      <w:r>
        <w:rPr>
          <w:rFonts w:ascii="Times New Roman" w:hAnsi="Times New Roman" w:cs="Times New Roman"/>
        </w:rPr>
        <w:t>. Figure 11 and 12 present the energy purchased from the grid and the energy sold to the gri</w:t>
      </w:r>
      <w:r>
        <w:rPr>
          <w:rFonts w:ascii="Times New Roman" w:hAnsi="Times New Roman" w:cs="Times New Roman"/>
        </w:rPr>
        <w:t>d. This revealed that all the loads were met, and the excess energy was sold to the grid to supply the other users who might need electricity to reduce the load on the grid.</w:t>
      </w:r>
    </w:p>
    <w:p w14:paraId="0B9E5E2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t>Table 2: Energy Transaction for the Designed Grid Connected PV System</w:t>
      </w:r>
    </w:p>
    <w:tbl>
      <w:tblPr>
        <w:tblStyle w:val="TableGrid"/>
        <w:tblW w:w="85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250"/>
        <w:gridCol w:w="1530"/>
        <w:gridCol w:w="2160"/>
        <w:gridCol w:w="1350"/>
      </w:tblGrid>
      <w:tr w:rsidR="00B9131A" w14:paraId="0A95529B" w14:textId="77777777">
        <w:tc>
          <w:tcPr>
            <w:tcW w:w="1278" w:type="dxa"/>
            <w:tcBorders>
              <w:top w:val="single" w:sz="4" w:space="0" w:color="auto"/>
              <w:bottom w:val="single" w:sz="4" w:space="0" w:color="auto"/>
            </w:tcBorders>
          </w:tcPr>
          <w:p w14:paraId="558ED92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Month</w:t>
            </w:r>
          </w:p>
        </w:tc>
        <w:tc>
          <w:tcPr>
            <w:tcW w:w="2250" w:type="dxa"/>
            <w:tcBorders>
              <w:top w:val="single" w:sz="4" w:space="0" w:color="auto"/>
              <w:bottom w:val="single" w:sz="4" w:space="0" w:color="auto"/>
            </w:tcBorders>
          </w:tcPr>
          <w:p w14:paraId="642CB47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Energy</w:t>
            </w:r>
            <w:r>
              <w:rPr>
                <w:rFonts w:ascii="Times New Roman" w:hAnsi="Times New Roman" w:cs="Times New Roman"/>
                <w:sz w:val="24"/>
                <w:szCs w:val="24"/>
              </w:rPr>
              <w:t xml:space="preserve"> Purchased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1530" w:type="dxa"/>
            <w:tcBorders>
              <w:top w:val="single" w:sz="4" w:space="0" w:color="auto"/>
              <w:bottom w:val="single" w:sz="4" w:space="0" w:color="auto"/>
            </w:tcBorders>
          </w:tcPr>
          <w:p w14:paraId="2213D4C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Energy Sold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2160" w:type="dxa"/>
            <w:tcBorders>
              <w:top w:val="single" w:sz="4" w:space="0" w:color="auto"/>
              <w:bottom w:val="single" w:sz="4" w:space="0" w:color="auto"/>
            </w:tcBorders>
          </w:tcPr>
          <w:p w14:paraId="6DD7B6A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Energy Purchased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1350" w:type="dxa"/>
            <w:tcBorders>
              <w:top w:val="single" w:sz="4" w:space="0" w:color="auto"/>
              <w:bottom w:val="single" w:sz="4" w:space="0" w:color="auto"/>
            </w:tcBorders>
          </w:tcPr>
          <w:p w14:paraId="078814D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Peak Load (kW)</w:t>
            </w:r>
          </w:p>
        </w:tc>
      </w:tr>
      <w:tr w:rsidR="00B9131A" w14:paraId="6E3115B5" w14:textId="77777777">
        <w:tc>
          <w:tcPr>
            <w:tcW w:w="1278" w:type="dxa"/>
            <w:tcBorders>
              <w:top w:val="single" w:sz="4" w:space="0" w:color="auto"/>
            </w:tcBorders>
          </w:tcPr>
          <w:p w14:paraId="1D8EC2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January</w:t>
            </w:r>
          </w:p>
        </w:tc>
        <w:tc>
          <w:tcPr>
            <w:tcW w:w="2250" w:type="dxa"/>
            <w:tcBorders>
              <w:top w:val="single" w:sz="4" w:space="0" w:color="auto"/>
            </w:tcBorders>
          </w:tcPr>
          <w:p w14:paraId="08C879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1,918</w:t>
            </w:r>
          </w:p>
        </w:tc>
        <w:tc>
          <w:tcPr>
            <w:tcW w:w="1530" w:type="dxa"/>
            <w:tcBorders>
              <w:top w:val="single" w:sz="4" w:space="0" w:color="auto"/>
            </w:tcBorders>
          </w:tcPr>
          <w:p w14:paraId="0DDE65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1,004</w:t>
            </w:r>
          </w:p>
        </w:tc>
        <w:tc>
          <w:tcPr>
            <w:tcW w:w="2160" w:type="dxa"/>
            <w:tcBorders>
              <w:top w:val="single" w:sz="4" w:space="0" w:color="auto"/>
            </w:tcBorders>
          </w:tcPr>
          <w:p w14:paraId="27D7A78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914</w:t>
            </w:r>
          </w:p>
        </w:tc>
        <w:tc>
          <w:tcPr>
            <w:tcW w:w="1350" w:type="dxa"/>
            <w:tcBorders>
              <w:top w:val="single" w:sz="4" w:space="0" w:color="auto"/>
            </w:tcBorders>
          </w:tcPr>
          <w:p w14:paraId="1742869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34153AFA" w14:textId="77777777">
        <w:tc>
          <w:tcPr>
            <w:tcW w:w="1278" w:type="dxa"/>
          </w:tcPr>
          <w:p w14:paraId="6C1AA0F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February</w:t>
            </w:r>
          </w:p>
        </w:tc>
        <w:tc>
          <w:tcPr>
            <w:tcW w:w="2250" w:type="dxa"/>
          </w:tcPr>
          <w:p w14:paraId="549DDFE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1,701</w:t>
            </w:r>
          </w:p>
        </w:tc>
        <w:tc>
          <w:tcPr>
            <w:tcW w:w="1530" w:type="dxa"/>
          </w:tcPr>
          <w:p w14:paraId="47A34F0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882</w:t>
            </w:r>
          </w:p>
        </w:tc>
        <w:tc>
          <w:tcPr>
            <w:tcW w:w="2160" w:type="dxa"/>
          </w:tcPr>
          <w:p w14:paraId="5F1A81A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819</w:t>
            </w:r>
          </w:p>
        </w:tc>
        <w:tc>
          <w:tcPr>
            <w:tcW w:w="1350" w:type="dxa"/>
          </w:tcPr>
          <w:p w14:paraId="16ED990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763FFFC2" w14:textId="77777777">
        <w:tc>
          <w:tcPr>
            <w:tcW w:w="1278" w:type="dxa"/>
          </w:tcPr>
          <w:p w14:paraId="2D84459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March</w:t>
            </w:r>
          </w:p>
        </w:tc>
        <w:tc>
          <w:tcPr>
            <w:tcW w:w="2250" w:type="dxa"/>
          </w:tcPr>
          <w:p w14:paraId="466E713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2,082</w:t>
            </w:r>
          </w:p>
        </w:tc>
        <w:tc>
          <w:tcPr>
            <w:tcW w:w="1530" w:type="dxa"/>
          </w:tcPr>
          <w:p w14:paraId="15FB4AF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966</w:t>
            </w:r>
          </w:p>
        </w:tc>
        <w:tc>
          <w:tcPr>
            <w:tcW w:w="2160" w:type="dxa"/>
          </w:tcPr>
          <w:p w14:paraId="6478A2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1,116</w:t>
            </w:r>
          </w:p>
        </w:tc>
        <w:tc>
          <w:tcPr>
            <w:tcW w:w="1350" w:type="dxa"/>
          </w:tcPr>
          <w:p w14:paraId="02F46E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435917F5" w14:textId="77777777">
        <w:tc>
          <w:tcPr>
            <w:tcW w:w="1278" w:type="dxa"/>
          </w:tcPr>
          <w:p w14:paraId="1043BE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2250" w:type="dxa"/>
          </w:tcPr>
          <w:p w14:paraId="11FC6D1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2,112</w:t>
            </w:r>
          </w:p>
        </w:tc>
        <w:tc>
          <w:tcPr>
            <w:tcW w:w="1530" w:type="dxa"/>
          </w:tcPr>
          <w:p w14:paraId="1BF2977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854</w:t>
            </w:r>
          </w:p>
        </w:tc>
        <w:tc>
          <w:tcPr>
            <w:tcW w:w="2160" w:type="dxa"/>
          </w:tcPr>
          <w:p w14:paraId="44A8ED2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1,258</w:t>
            </w:r>
          </w:p>
        </w:tc>
        <w:tc>
          <w:tcPr>
            <w:tcW w:w="1350" w:type="dxa"/>
          </w:tcPr>
          <w:p w14:paraId="1F9F75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9131A" w14:paraId="0F8C1D3F" w14:textId="77777777">
        <w:tc>
          <w:tcPr>
            <w:tcW w:w="1278" w:type="dxa"/>
          </w:tcPr>
          <w:p w14:paraId="4BF8F55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May</w:t>
            </w:r>
          </w:p>
        </w:tc>
        <w:tc>
          <w:tcPr>
            <w:tcW w:w="2250" w:type="dxa"/>
          </w:tcPr>
          <w:p w14:paraId="28E99E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2,295</w:t>
            </w:r>
          </w:p>
        </w:tc>
        <w:tc>
          <w:tcPr>
            <w:tcW w:w="1530" w:type="dxa"/>
          </w:tcPr>
          <w:p w14:paraId="257AB9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854</w:t>
            </w:r>
          </w:p>
        </w:tc>
        <w:tc>
          <w:tcPr>
            <w:tcW w:w="2160" w:type="dxa"/>
          </w:tcPr>
          <w:p w14:paraId="702E609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1,442</w:t>
            </w:r>
          </w:p>
        </w:tc>
        <w:tc>
          <w:tcPr>
            <w:tcW w:w="1350" w:type="dxa"/>
          </w:tcPr>
          <w:p w14:paraId="3E3B99E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797FE90A" w14:textId="77777777">
        <w:tc>
          <w:tcPr>
            <w:tcW w:w="1278" w:type="dxa"/>
          </w:tcPr>
          <w:p w14:paraId="0D4AA3B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June</w:t>
            </w:r>
          </w:p>
        </w:tc>
        <w:tc>
          <w:tcPr>
            <w:tcW w:w="2250" w:type="dxa"/>
          </w:tcPr>
          <w:p w14:paraId="0376CB2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2,436</w:t>
            </w:r>
          </w:p>
        </w:tc>
        <w:tc>
          <w:tcPr>
            <w:tcW w:w="1530" w:type="dxa"/>
          </w:tcPr>
          <w:p w14:paraId="7F5BF7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704</w:t>
            </w:r>
          </w:p>
        </w:tc>
        <w:tc>
          <w:tcPr>
            <w:tcW w:w="2160" w:type="dxa"/>
          </w:tcPr>
          <w:p w14:paraId="0645DC4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1,731</w:t>
            </w:r>
          </w:p>
        </w:tc>
        <w:tc>
          <w:tcPr>
            <w:tcW w:w="1350" w:type="dxa"/>
          </w:tcPr>
          <w:p w14:paraId="411FBC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6A024328" w14:textId="77777777">
        <w:tc>
          <w:tcPr>
            <w:tcW w:w="1278" w:type="dxa"/>
          </w:tcPr>
          <w:p w14:paraId="3B1C1C4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July</w:t>
            </w:r>
          </w:p>
        </w:tc>
        <w:tc>
          <w:tcPr>
            <w:tcW w:w="2250" w:type="dxa"/>
          </w:tcPr>
          <w:p w14:paraId="407646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2,665</w:t>
            </w:r>
          </w:p>
        </w:tc>
        <w:tc>
          <w:tcPr>
            <w:tcW w:w="1530" w:type="dxa"/>
          </w:tcPr>
          <w:p w14:paraId="14712F3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632</w:t>
            </w:r>
          </w:p>
        </w:tc>
        <w:tc>
          <w:tcPr>
            <w:tcW w:w="2160" w:type="dxa"/>
          </w:tcPr>
          <w:p w14:paraId="552DD6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2,033</w:t>
            </w:r>
          </w:p>
        </w:tc>
        <w:tc>
          <w:tcPr>
            <w:tcW w:w="1350" w:type="dxa"/>
          </w:tcPr>
          <w:p w14:paraId="5A8CE38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0F9B9B53" w14:textId="77777777">
        <w:tc>
          <w:tcPr>
            <w:tcW w:w="1278" w:type="dxa"/>
          </w:tcPr>
          <w:p w14:paraId="73D7327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August</w:t>
            </w:r>
          </w:p>
        </w:tc>
        <w:tc>
          <w:tcPr>
            <w:tcW w:w="2250" w:type="dxa"/>
          </w:tcPr>
          <w:p w14:paraId="21B6FBE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2,798</w:t>
            </w:r>
          </w:p>
        </w:tc>
        <w:tc>
          <w:tcPr>
            <w:tcW w:w="1530" w:type="dxa"/>
          </w:tcPr>
          <w:p w14:paraId="03E9D7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618</w:t>
            </w:r>
          </w:p>
        </w:tc>
        <w:tc>
          <w:tcPr>
            <w:tcW w:w="2160" w:type="dxa"/>
          </w:tcPr>
          <w:p w14:paraId="3CEC18A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2,179</w:t>
            </w:r>
          </w:p>
        </w:tc>
        <w:tc>
          <w:tcPr>
            <w:tcW w:w="1350" w:type="dxa"/>
          </w:tcPr>
          <w:p w14:paraId="487A1C4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9131A" w14:paraId="7ECF4574" w14:textId="77777777">
        <w:tc>
          <w:tcPr>
            <w:tcW w:w="1278" w:type="dxa"/>
          </w:tcPr>
          <w:p w14:paraId="5FA2763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2250" w:type="dxa"/>
          </w:tcPr>
          <w:p w14:paraId="769E55F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2,553</w:t>
            </w:r>
          </w:p>
        </w:tc>
        <w:tc>
          <w:tcPr>
            <w:tcW w:w="1530" w:type="dxa"/>
          </w:tcPr>
          <w:p w14:paraId="3354450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661</w:t>
            </w:r>
          </w:p>
        </w:tc>
        <w:tc>
          <w:tcPr>
            <w:tcW w:w="2160" w:type="dxa"/>
          </w:tcPr>
          <w:p w14:paraId="42E94A8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1,892</w:t>
            </w:r>
          </w:p>
        </w:tc>
        <w:tc>
          <w:tcPr>
            <w:tcW w:w="1350" w:type="dxa"/>
          </w:tcPr>
          <w:p w14:paraId="0ADDEC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28</w:t>
            </w:r>
          </w:p>
        </w:tc>
      </w:tr>
      <w:tr w:rsidR="00B9131A" w14:paraId="25B56B97" w14:textId="77777777">
        <w:tc>
          <w:tcPr>
            <w:tcW w:w="1278" w:type="dxa"/>
          </w:tcPr>
          <w:p w14:paraId="70A861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October</w:t>
            </w:r>
          </w:p>
        </w:tc>
        <w:tc>
          <w:tcPr>
            <w:tcW w:w="2250" w:type="dxa"/>
          </w:tcPr>
          <w:p w14:paraId="06B4877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2,349</w:t>
            </w:r>
          </w:p>
        </w:tc>
        <w:tc>
          <w:tcPr>
            <w:tcW w:w="1530" w:type="dxa"/>
          </w:tcPr>
          <w:p w14:paraId="56BCCCB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801</w:t>
            </w:r>
          </w:p>
        </w:tc>
        <w:tc>
          <w:tcPr>
            <w:tcW w:w="2160" w:type="dxa"/>
          </w:tcPr>
          <w:p w14:paraId="2405AFE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1,548</w:t>
            </w:r>
          </w:p>
        </w:tc>
        <w:tc>
          <w:tcPr>
            <w:tcW w:w="1350" w:type="dxa"/>
          </w:tcPr>
          <w:p w14:paraId="093A89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9131A" w14:paraId="7D807D5C" w14:textId="77777777">
        <w:tc>
          <w:tcPr>
            <w:tcW w:w="1278" w:type="dxa"/>
          </w:tcPr>
          <w:p w14:paraId="3BED446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2250" w:type="dxa"/>
          </w:tcPr>
          <w:p w14:paraId="1866781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2,059</w:t>
            </w:r>
          </w:p>
        </w:tc>
        <w:tc>
          <w:tcPr>
            <w:tcW w:w="1530" w:type="dxa"/>
          </w:tcPr>
          <w:p w14:paraId="2E18EAA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872</w:t>
            </w:r>
          </w:p>
        </w:tc>
        <w:tc>
          <w:tcPr>
            <w:tcW w:w="2160" w:type="dxa"/>
          </w:tcPr>
          <w:p w14:paraId="0CF0127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1,187</w:t>
            </w:r>
          </w:p>
        </w:tc>
        <w:tc>
          <w:tcPr>
            <w:tcW w:w="1350" w:type="dxa"/>
          </w:tcPr>
          <w:p w14:paraId="71023A3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4C3CE706" w14:textId="77777777">
        <w:tc>
          <w:tcPr>
            <w:tcW w:w="1278" w:type="dxa"/>
          </w:tcPr>
          <w:p w14:paraId="45563EE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December</w:t>
            </w:r>
          </w:p>
        </w:tc>
        <w:tc>
          <w:tcPr>
            <w:tcW w:w="2250" w:type="dxa"/>
          </w:tcPr>
          <w:p w14:paraId="18B860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1,972</w:t>
            </w:r>
          </w:p>
        </w:tc>
        <w:tc>
          <w:tcPr>
            <w:tcW w:w="1530" w:type="dxa"/>
          </w:tcPr>
          <w:p w14:paraId="7461226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956</w:t>
            </w:r>
          </w:p>
        </w:tc>
        <w:tc>
          <w:tcPr>
            <w:tcW w:w="2160" w:type="dxa"/>
          </w:tcPr>
          <w:p w14:paraId="4D7303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1,015</w:t>
            </w:r>
          </w:p>
        </w:tc>
        <w:tc>
          <w:tcPr>
            <w:tcW w:w="1350" w:type="dxa"/>
          </w:tcPr>
          <w:p w14:paraId="50684C1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9131A" w14:paraId="6AFC226F" w14:textId="77777777">
        <w:tc>
          <w:tcPr>
            <w:tcW w:w="1278" w:type="dxa"/>
          </w:tcPr>
          <w:p w14:paraId="5777BF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Annual</w:t>
            </w:r>
          </w:p>
        </w:tc>
        <w:tc>
          <w:tcPr>
            <w:tcW w:w="2250" w:type="dxa"/>
          </w:tcPr>
          <w:p w14:paraId="280D8C4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26,938</w:t>
            </w:r>
          </w:p>
        </w:tc>
        <w:tc>
          <w:tcPr>
            <w:tcW w:w="1530" w:type="dxa"/>
          </w:tcPr>
          <w:p w14:paraId="2ACB563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9,804</w:t>
            </w:r>
          </w:p>
        </w:tc>
        <w:tc>
          <w:tcPr>
            <w:tcW w:w="2160" w:type="dxa"/>
          </w:tcPr>
          <w:p w14:paraId="55B6337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17,134</w:t>
            </w:r>
          </w:p>
        </w:tc>
        <w:tc>
          <w:tcPr>
            <w:tcW w:w="1350" w:type="dxa"/>
          </w:tcPr>
          <w:p w14:paraId="49E180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65C1F6FB" w14:textId="77777777" w:rsidR="00B9131A" w:rsidRDefault="00B6370D">
      <w:pPr>
        <w:spacing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75BCB3D4" wp14:editId="634BBAE8">
            <wp:extent cx="5274945" cy="1993900"/>
            <wp:effectExtent l="0" t="0" r="1905" b="6350"/>
            <wp:docPr id="11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1"/>
                    <pic:cNvPicPr/>
                  </pic:nvPicPr>
                  <pic:blipFill>
                    <a:blip r:embed="rId150" cstate="print"/>
                    <a:srcRect/>
                    <a:stretch/>
                  </pic:blipFill>
                  <pic:spPr>
                    <a:xfrm>
                      <a:off x="0" y="0"/>
                      <a:ext cx="5274945" cy="1993900"/>
                    </a:xfrm>
                    <a:prstGeom prst="rect">
                      <a:avLst/>
                    </a:prstGeom>
                  </pic:spPr>
                </pic:pic>
              </a:graphicData>
            </a:graphic>
          </wp:inline>
        </w:drawing>
      </w:r>
    </w:p>
    <w:p w14:paraId="5D2CE25C"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11: Grid Energy Purchases</w:t>
      </w:r>
    </w:p>
    <w:p w14:paraId="1DF4C1D5"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6B4E4FE3" wp14:editId="365BB01A">
            <wp:extent cx="5274945" cy="1969770"/>
            <wp:effectExtent l="0" t="0" r="1905" b="0"/>
            <wp:docPr id="11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
                    <pic:cNvPicPr/>
                  </pic:nvPicPr>
                  <pic:blipFill>
                    <a:blip r:embed="rId151" cstate="print"/>
                    <a:srcRect/>
                    <a:stretch/>
                  </pic:blipFill>
                  <pic:spPr>
                    <a:xfrm>
                      <a:off x="0" y="0"/>
                      <a:ext cx="5274945" cy="1969770"/>
                    </a:xfrm>
                    <a:prstGeom prst="rect">
                      <a:avLst/>
                    </a:prstGeom>
                  </pic:spPr>
                </pic:pic>
              </a:graphicData>
            </a:graphic>
          </wp:inline>
        </w:drawing>
      </w:r>
    </w:p>
    <w:p w14:paraId="51BCDD1F"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12: Energy sold to the Grid</w:t>
      </w:r>
    </w:p>
    <w:p w14:paraId="557BD8CF" w14:textId="77777777" w:rsidR="00B9131A" w:rsidRDefault="00B6370D">
      <w:pPr>
        <w:spacing w:line="276" w:lineRule="auto"/>
        <w:jc w:val="both"/>
        <w:rPr>
          <w:rFonts w:ascii="Times New Roman" w:hAnsi="Times New Roman" w:cs="Times New Roman"/>
        </w:rPr>
      </w:pPr>
      <w:r>
        <w:rPr>
          <w:rFonts w:ascii="Times New Roman" w:hAnsi="Times New Roman" w:cs="Times New Roman"/>
        </w:rPr>
        <w:t>Figure 13 presents the electric production from the grid and the PV, revealing that the demand is shared between the grid and PV. Though a battery was included in this design, the system analysis revealed that (as shown in Figure 13) the effect of energy s</w:t>
      </w:r>
      <w:r>
        <w:rPr>
          <w:rFonts w:ascii="Times New Roman" w:hAnsi="Times New Roman" w:cs="Times New Roman"/>
        </w:rPr>
        <w:t xml:space="preserve">torage on the grid-connected PV system is insignificant, this was confirmed by removing the grid from the design during simulation and it was discovered that 103,928 strings of 2.8 </w:t>
      </w:r>
      <w:proofErr w:type="spellStart"/>
      <w:r>
        <w:rPr>
          <w:rFonts w:ascii="Times New Roman" w:hAnsi="Times New Roman" w:cs="Times New Roman"/>
        </w:rPr>
        <w:t>kWhr</w:t>
      </w:r>
      <w:proofErr w:type="spellEnd"/>
      <w:r>
        <w:rPr>
          <w:rFonts w:ascii="Times New Roman" w:hAnsi="Times New Roman" w:cs="Times New Roman"/>
        </w:rPr>
        <w:t xml:space="preserve"> of battery will be needed to enhance a feasible design; this confirmed</w:t>
      </w:r>
      <w:r>
        <w:rPr>
          <w:rFonts w:ascii="Times New Roman" w:hAnsi="Times New Roman" w:cs="Times New Roman"/>
        </w:rPr>
        <w:t xml:space="preserve"> that the battery had a great significant effect only on an off-grid PV system. However, this is basically on the assumption that the grid is always available for energy transaction because HOMER assumed that the grid is always accessible, which is not tru</w:t>
      </w:r>
      <w:r>
        <w:rPr>
          <w:rFonts w:ascii="Times New Roman" w:hAnsi="Times New Roman" w:cs="Times New Roman"/>
        </w:rPr>
        <w:t>e for the proposed location, meanwhile, the essence of this design is to mitigate the effects of epileptic supply of electricity from the grid. To address this, the upper limit of the battery was raised to eight (8) to cater for unfavorable weather conditi</w:t>
      </w:r>
      <w:r>
        <w:rPr>
          <w:rFonts w:ascii="Times New Roman" w:hAnsi="Times New Roman" w:cs="Times New Roman"/>
        </w:rPr>
        <w:t xml:space="preserve">on. </w:t>
      </w:r>
      <w:bookmarkStart w:id="3" w:name="_Toc167313977"/>
      <w:bookmarkStart w:id="4" w:name="_Toc167373525"/>
    </w:p>
    <w:bookmarkEnd w:id="3"/>
    <w:bookmarkEnd w:id="4"/>
    <w:p w14:paraId="0B396248"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767F9A00" wp14:editId="1843F9EC">
            <wp:extent cx="5000625" cy="2628900"/>
            <wp:effectExtent l="0" t="0" r="0" b="0"/>
            <wp:docPr id="11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37C18E8"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13: The monthly electric production</w:t>
      </w:r>
    </w:p>
    <w:p w14:paraId="3AD45153"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w:t>
      </w:r>
      <w:r>
        <w:rPr>
          <w:rFonts w:ascii="Times New Roman" w:hAnsi="Times New Roman" w:cs="Times New Roman"/>
          <w:b/>
          <w:bCs/>
        </w:rPr>
        <w:tab/>
        <w:t>Comprehensive Analysis of the proposed system</w:t>
      </w:r>
    </w:p>
    <w:p w14:paraId="7E40BD35"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optimized design from the HOMER software was fed as input to </w:t>
      </w:r>
      <w:proofErr w:type="spellStart"/>
      <w:r>
        <w:rPr>
          <w:rFonts w:ascii="Times New Roman" w:hAnsi="Times New Roman" w:cs="Times New Roman"/>
        </w:rPr>
        <w:t>RETscreen</w:t>
      </w:r>
      <w:proofErr w:type="spellEnd"/>
      <w:r>
        <w:rPr>
          <w:rFonts w:ascii="Times New Roman" w:hAnsi="Times New Roman" w:cs="Times New Roman"/>
        </w:rPr>
        <w:t xml:space="preserve"> for comprehensive analysis in terms of its technical, financial and environmental</w:t>
      </w:r>
      <w:r>
        <w:rPr>
          <w:rFonts w:ascii="Times New Roman" w:hAnsi="Times New Roman" w:cs="Times New Roman"/>
        </w:rPr>
        <w:t xml:space="preserve"> benefits.</w:t>
      </w:r>
    </w:p>
    <w:p w14:paraId="14A79537"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4.3.1</w:t>
      </w:r>
      <w:r>
        <w:rPr>
          <w:rFonts w:ascii="Times New Roman" w:hAnsi="Times New Roman" w:cs="Times New Roman"/>
          <w:b/>
          <w:bCs/>
        </w:rPr>
        <w:tab/>
        <w:t>Financial analysis</w:t>
      </w:r>
    </w:p>
    <w:p w14:paraId="7C14154D"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One of the primary benefits of using the </w:t>
      </w:r>
      <w:proofErr w:type="spellStart"/>
      <w:r>
        <w:rPr>
          <w:rFonts w:ascii="Times New Roman" w:hAnsi="Times New Roman" w:cs="Times New Roman"/>
        </w:rPr>
        <w:t>RETScreen</w:t>
      </w:r>
      <w:proofErr w:type="spellEnd"/>
      <w:r>
        <w:rPr>
          <w:rFonts w:ascii="Times New Roman" w:hAnsi="Times New Roman" w:cs="Times New Roman"/>
        </w:rPr>
        <w:t xml:space="preserve"> software is that it facilitates the project evaluation process for decision-makers. It allows the project decision-maker to consider various financial parameters with re</w:t>
      </w:r>
      <w:r>
        <w:rPr>
          <w:rFonts w:ascii="Times New Roman" w:hAnsi="Times New Roman" w:cs="Times New Roman"/>
        </w:rPr>
        <w:t>lative ease. For the proposed design, the financial parameter used are presented in Table 3. These parameters were chosen based on the current situation of the country, for instant, the interest rate was chosen to be 34.2% which is the current inflation ra</w:t>
      </w:r>
      <w:r>
        <w:rPr>
          <w:rFonts w:ascii="Times New Roman" w:hAnsi="Times New Roman" w:cs="Times New Roman"/>
        </w:rPr>
        <w:t>te as reported by the Central Bank of Nigeria (CBN). It is worth noting that all the prices used in this study were valued in Niara (NGN) to capture the analysis that is consistent with the Nigerian economy since the proposed building is situated in Nigeri</w:t>
      </w:r>
      <w:r>
        <w:rPr>
          <w:rFonts w:ascii="Times New Roman" w:hAnsi="Times New Roman" w:cs="Times New Roman"/>
        </w:rPr>
        <w:t xml:space="preserve">a.  </w:t>
      </w:r>
    </w:p>
    <w:p w14:paraId="29821F43"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Following the simulation report, the total initial cost for this design is NGN 16,223,297. The total initial costs represent the total incremental investment that must be made to bring the proposed system on line, before it begins to generate savings </w:t>
      </w:r>
      <w:r>
        <w:rPr>
          <w:rFonts w:ascii="Times New Roman" w:hAnsi="Times New Roman" w:cs="Times New Roman"/>
        </w:rPr>
        <w:t xml:space="preserve">and/or revenue. The total initial cost is the summation of all the costs of the components used in the proposed grid connected PV system, this includes the cost of the PV panels, battery, and power converter with their installation cost. </w:t>
      </w:r>
    </w:p>
    <w:p w14:paraId="7FF62394"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total annual </w:t>
      </w:r>
      <w:r>
        <w:rPr>
          <w:rFonts w:ascii="Times New Roman" w:hAnsi="Times New Roman" w:cs="Times New Roman"/>
        </w:rPr>
        <w:t xml:space="preserve">cost for this proposed system is NGN 5,185,835 which comprises the operation and maintenance cost (NGN 43,645), grid services bill (NGN 3,525,307) and debt repayments (NGN 1,616,883). </w:t>
      </w:r>
      <w:proofErr w:type="spellStart"/>
      <w:r>
        <w:rPr>
          <w:rFonts w:ascii="Times New Roman" w:hAnsi="Times New Roman" w:cs="Times New Roman"/>
        </w:rPr>
        <w:t>RETScreen</w:t>
      </w:r>
      <w:proofErr w:type="spellEnd"/>
      <w:r>
        <w:rPr>
          <w:rFonts w:ascii="Times New Roman" w:hAnsi="Times New Roman" w:cs="Times New Roman"/>
        </w:rPr>
        <w:t xml:space="preserve"> analysis considers the startup cost as a loan borrowed for an </w:t>
      </w:r>
      <w:r>
        <w:rPr>
          <w:rFonts w:ascii="Times New Roman" w:hAnsi="Times New Roman" w:cs="Times New Roman"/>
        </w:rPr>
        <w:t xml:space="preserve">investment and it is needed to be repaid within </w:t>
      </w:r>
    </w:p>
    <w:p w14:paraId="20BFE79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3: Financial Parameters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B9131A" w14:paraId="0D323F7A" w14:textId="77777777">
        <w:tc>
          <w:tcPr>
            <w:tcW w:w="4261" w:type="dxa"/>
            <w:tcBorders>
              <w:top w:val="single" w:sz="4" w:space="0" w:color="auto"/>
              <w:bottom w:val="single" w:sz="4" w:space="0" w:color="auto"/>
            </w:tcBorders>
          </w:tcPr>
          <w:p w14:paraId="7D246B6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Parameters </w:t>
            </w:r>
          </w:p>
        </w:tc>
        <w:tc>
          <w:tcPr>
            <w:tcW w:w="4262" w:type="dxa"/>
            <w:tcBorders>
              <w:top w:val="single" w:sz="4" w:space="0" w:color="auto"/>
              <w:bottom w:val="single" w:sz="4" w:space="0" w:color="auto"/>
            </w:tcBorders>
          </w:tcPr>
          <w:p w14:paraId="7938A5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Values</w:t>
            </w:r>
          </w:p>
        </w:tc>
      </w:tr>
      <w:tr w:rsidR="00B9131A" w14:paraId="36F3B9FB" w14:textId="77777777">
        <w:tc>
          <w:tcPr>
            <w:tcW w:w="4261" w:type="dxa"/>
            <w:tcBorders>
              <w:top w:val="single" w:sz="4" w:space="0" w:color="auto"/>
            </w:tcBorders>
          </w:tcPr>
          <w:p w14:paraId="5BB9D74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Fuel cost escalation rate </w:t>
            </w:r>
          </w:p>
        </w:tc>
        <w:tc>
          <w:tcPr>
            <w:tcW w:w="4262" w:type="dxa"/>
            <w:tcBorders>
              <w:top w:val="single" w:sz="4" w:space="0" w:color="auto"/>
            </w:tcBorders>
          </w:tcPr>
          <w:p w14:paraId="038596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3AC2E538" w14:textId="77777777">
        <w:tc>
          <w:tcPr>
            <w:tcW w:w="4261" w:type="dxa"/>
          </w:tcPr>
          <w:p w14:paraId="3F32A14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Inflation rate</w:t>
            </w:r>
          </w:p>
        </w:tc>
        <w:tc>
          <w:tcPr>
            <w:tcW w:w="4262" w:type="dxa"/>
          </w:tcPr>
          <w:p w14:paraId="1463265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34.2%</w:t>
            </w:r>
          </w:p>
        </w:tc>
      </w:tr>
      <w:tr w:rsidR="00B9131A" w14:paraId="168E3EF1" w14:textId="77777777">
        <w:tc>
          <w:tcPr>
            <w:tcW w:w="4261" w:type="dxa"/>
          </w:tcPr>
          <w:p w14:paraId="61E07A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Discount rate</w:t>
            </w:r>
          </w:p>
        </w:tc>
        <w:tc>
          <w:tcPr>
            <w:tcW w:w="4262" w:type="dxa"/>
          </w:tcPr>
          <w:p w14:paraId="7BD0DBD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B9131A" w14:paraId="48861100" w14:textId="77777777">
        <w:tc>
          <w:tcPr>
            <w:tcW w:w="4261" w:type="dxa"/>
          </w:tcPr>
          <w:p w14:paraId="6A115ED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Reinvestment rate</w:t>
            </w:r>
          </w:p>
        </w:tc>
        <w:tc>
          <w:tcPr>
            <w:tcW w:w="4262" w:type="dxa"/>
          </w:tcPr>
          <w:p w14:paraId="376F6BC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B9131A" w14:paraId="229FD8C2" w14:textId="77777777">
        <w:tc>
          <w:tcPr>
            <w:tcW w:w="4261" w:type="dxa"/>
          </w:tcPr>
          <w:p w14:paraId="5A46FB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Project life</w:t>
            </w:r>
          </w:p>
        </w:tc>
        <w:tc>
          <w:tcPr>
            <w:tcW w:w="4262" w:type="dxa"/>
          </w:tcPr>
          <w:p w14:paraId="7037AAC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r>
      <w:tr w:rsidR="00B9131A" w14:paraId="21199696" w14:textId="77777777">
        <w:tc>
          <w:tcPr>
            <w:tcW w:w="4261" w:type="dxa"/>
          </w:tcPr>
          <w:p w14:paraId="694B482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ratio</w:t>
            </w:r>
          </w:p>
        </w:tc>
        <w:tc>
          <w:tcPr>
            <w:tcW w:w="4262" w:type="dxa"/>
          </w:tcPr>
          <w:p w14:paraId="081B79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w:t>
            </w:r>
          </w:p>
        </w:tc>
      </w:tr>
      <w:tr w:rsidR="00B9131A" w14:paraId="1FAF0B40" w14:textId="77777777">
        <w:tc>
          <w:tcPr>
            <w:tcW w:w="4261" w:type="dxa"/>
          </w:tcPr>
          <w:p w14:paraId="6DB2ACF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Debt </w:t>
            </w:r>
            <w:r>
              <w:rPr>
                <w:rFonts w:ascii="Times New Roman" w:hAnsi="Times New Roman" w:cs="Times New Roman"/>
                <w:sz w:val="24"/>
                <w:szCs w:val="24"/>
              </w:rPr>
              <w:t>interest rate</w:t>
            </w:r>
          </w:p>
        </w:tc>
        <w:tc>
          <w:tcPr>
            <w:tcW w:w="4262" w:type="dxa"/>
          </w:tcPr>
          <w:p w14:paraId="7AA179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r>
      <w:tr w:rsidR="00B9131A" w14:paraId="1B63697A" w14:textId="77777777">
        <w:tc>
          <w:tcPr>
            <w:tcW w:w="4261" w:type="dxa"/>
          </w:tcPr>
          <w:p w14:paraId="194F4A0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payment</w:t>
            </w:r>
          </w:p>
        </w:tc>
        <w:tc>
          <w:tcPr>
            <w:tcW w:w="4262" w:type="dxa"/>
          </w:tcPr>
          <w:p w14:paraId="11D7B5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r>
    </w:tbl>
    <w:p w14:paraId="4FD23D0B" w14:textId="77777777" w:rsidR="00B9131A" w:rsidRDefault="00B9131A">
      <w:pPr>
        <w:spacing w:line="276" w:lineRule="auto"/>
        <w:rPr>
          <w:rFonts w:ascii="Times New Roman" w:hAnsi="Times New Roman" w:cs="Times New Roman"/>
        </w:rPr>
      </w:pPr>
    </w:p>
    <w:p w14:paraId="4F7CB306" w14:textId="77777777" w:rsidR="00B9131A" w:rsidRDefault="00B6370D">
      <w:pPr>
        <w:spacing w:line="276" w:lineRule="auto"/>
        <w:jc w:val="both"/>
        <w:rPr>
          <w:rFonts w:ascii="Times New Roman" w:hAnsi="Times New Roman" w:cs="Times New Roman"/>
        </w:rPr>
      </w:pPr>
      <w:r>
        <w:rPr>
          <w:rFonts w:ascii="Times New Roman" w:hAnsi="Times New Roman" w:cs="Times New Roman"/>
        </w:rPr>
        <w:t>the stipulated year which is considered in this study as 10 years. With relative to current electricity price in Nigeria (which is NGN 209 for band A users), the annual cost savings offer by this proposed system is NGN 9</w:t>
      </w:r>
      <w:r>
        <w:rPr>
          <w:rFonts w:ascii="Times New Roman" w:hAnsi="Times New Roman" w:cs="Times New Roman"/>
        </w:rPr>
        <w:t xml:space="preserve">,642,827. These savings could have been higher than these suppose there is an official penalty rate for Green House Gases (GHG) emission because this designed PV system was able to reduce the GHG significantly. </w:t>
      </w:r>
    </w:p>
    <w:p w14:paraId="7DECD9D2"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yearly cash flow of the proposed system </w:t>
      </w:r>
      <w:r>
        <w:rPr>
          <w:rFonts w:ascii="Times New Roman" w:hAnsi="Times New Roman" w:cs="Times New Roman"/>
        </w:rPr>
        <w:t xml:space="preserve">is presented in Table 4. The net cash flow is the yearly net flows of cash for the project; this represents the estimated sum of cash that will be paid or received each year during the entire life of the project. The negative sign on the Table 4 indicates </w:t>
      </w:r>
      <w:r>
        <w:rPr>
          <w:rFonts w:ascii="Times New Roman" w:hAnsi="Times New Roman" w:cs="Times New Roman"/>
        </w:rPr>
        <w:t>the initial capital of the designed system. The net cash flow as presented in Figure 14 revealed a drop down in the cash flow at year 6, 12, 13, and 18; these are the years when the battery and the inverters were replaced. the cash flow describes a substan</w:t>
      </w:r>
      <w:r>
        <w:rPr>
          <w:rFonts w:ascii="Times New Roman" w:hAnsi="Times New Roman" w:cs="Times New Roman"/>
        </w:rPr>
        <w:t>tial increase in inflow as the project lifetime increases. Considering the cumulative cash flow presented in Figure 15, which represent the net cash flows accumulated from year 0, the proposed grid connected PV system can be considered as a wealth accumula</w:t>
      </w:r>
      <w:r>
        <w:rPr>
          <w:rFonts w:ascii="Times New Roman" w:hAnsi="Times New Roman" w:cs="Times New Roman"/>
        </w:rPr>
        <w:t xml:space="preserve">ting investment as each year drops a substantial monetary value. </w:t>
      </w:r>
    </w:p>
    <w:p w14:paraId="026D5C0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4: Yearly Cash Flow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10"/>
        <w:gridCol w:w="3195"/>
      </w:tblGrid>
      <w:tr w:rsidR="00B9131A" w14:paraId="612042A6" w14:textId="77777777">
        <w:tc>
          <w:tcPr>
            <w:tcW w:w="2718" w:type="dxa"/>
            <w:tcBorders>
              <w:top w:val="single" w:sz="4" w:space="0" w:color="auto"/>
              <w:bottom w:val="single" w:sz="4" w:space="0" w:color="auto"/>
            </w:tcBorders>
          </w:tcPr>
          <w:p w14:paraId="3870536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Year</w:t>
            </w:r>
          </w:p>
        </w:tc>
        <w:tc>
          <w:tcPr>
            <w:tcW w:w="2610" w:type="dxa"/>
            <w:tcBorders>
              <w:top w:val="single" w:sz="4" w:space="0" w:color="auto"/>
              <w:bottom w:val="single" w:sz="4" w:space="0" w:color="auto"/>
            </w:tcBorders>
          </w:tcPr>
          <w:p w14:paraId="483D897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cash flow (NGN)</w:t>
            </w:r>
          </w:p>
        </w:tc>
        <w:tc>
          <w:tcPr>
            <w:tcW w:w="3195" w:type="dxa"/>
            <w:tcBorders>
              <w:top w:val="single" w:sz="4" w:space="0" w:color="auto"/>
              <w:bottom w:val="single" w:sz="4" w:space="0" w:color="auto"/>
            </w:tcBorders>
          </w:tcPr>
          <w:p w14:paraId="7BCF774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Cumulative Cash Flow (NGN)</w:t>
            </w:r>
          </w:p>
        </w:tc>
      </w:tr>
      <w:tr w:rsidR="00B9131A" w14:paraId="785D2ED8" w14:textId="77777777">
        <w:tc>
          <w:tcPr>
            <w:tcW w:w="2718" w:type="dxa"/>
            <w:tcBorders>
              <w:top w:val="single" w:sz="4" w:space="0" w:color="auto"/>
            </w:tcBorders>
          </w:tcPr>
          <w:p w14:paraId="2DA9C2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2610" w:type="dxa"/>
            <w:tcBorders>
              <w:top w:val="single" w:sz="4" w:space="0" w:color="auto"/>
            </w:tcBorders>
          </w:tcPr>
          <w:p w14:paraId="6492E88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-4866989.10</w:t>
            </w:r>
          </w:p>
        </w:tc>
        <w:tc>
          <w:tcPr>
            <w:tcW w:w="3195" w:type="dxa"/>
            <w:tcBorders>
              <w:top w:val="single" w:sz="4" w:space="0" w:color="auto"/>
            </w:tcBorders>
          </w:tcPr>
          <w:p w14:paraId="72EFE6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-4866989.10</w:t>
            </w:r>
          </w:p>
        </w:tc>
      </w:tr>
      <w:tr w:rsidR="00B9131A" w14:paraId="2174C121" w14:textId="77777777">
        <w:tc>
          <w:tcPr>
            <w:tcW w:w="2718" w:type="dxa"/>
          </w:tcPr>
          <w:p w14:paraId="29DB1C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10" w:type="dxa"/>
          </w:tcPr>
          <w:p w14:paraId="55D44F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5971445.84</w:t>
            </w:r>
          </w:p>
        </w:tc>
        <w:tc>
          <w:tcPr>
            <w:tcW w:w="3195" w:type="dxa"/>
          </w:tcPr>
          <w:p w14:paraId="4CF300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1104456.74</w:t>
            </w:r>
          </w:p>
        </w:tc>
      </w:tr>
      <w:tr w:rsidR="00B9131A" w14:paraId="137E3FFC" w14:textId="77777777">
        <w:tc>
          <w:tcPr>
            <w:tcW w:w="2718" w:type="dxa"/>
          </w:tcPr>
          <w:p w14:paraId="1721D4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10" w:type="dxa"/>
          </w:tcPr>
          <w:p w14:paraId="07D7624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7863139.41</w:t>
            </w:r>
          </w:p>
        </w:tc>
        <w:tc>
          <w:tcPr>
            <w:tcW w:w="3195" w:type="dxa"/>
          </w:tcPr>
          <w:p w14:paraId="6CE11F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8967596.15</w:t>
            </w:r>
          </w:p>
        </w:tc>
      </w:tr>
      <w:tr w:rsidR="00B9131A" w14:paraId="76074138" w14:textId="77777777">
        <w:tc>
          <w:tcPr>
            <w:tcW w:w="2718" w:type="dxa"/>
          </w:tcPr>
          <w:p w14:paraId="6D69556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10" w:type="dxa"/>
          </w:tcPr>
          <w:p w14:paraId="7CFD31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10225913.47</w:t>
            </w:r>
          </w:p>
        </w:tc>
        <w:tc>
          <w:tcPr>
            <w:tcW w:w="3195" w:type="dxa"/>
          </w:tcPr>
          <w:p w14:paraId="186F045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19193509.62</w:t>
            </w:r>
          </w:p>
        </w:tc>
      </w:tr>
      <w:tr w:rsidR="00B9131A" w14:paraId="04BE33D2" w14:textId="77777777">
        <w:tc>
          <w:tcPr>
            <w:tcW w:w="2718" w:type="dxa"/>
          </w:tcPr>
          <w:p w14:paraId="0F5DEE9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10" w:type="dxa"/>
          </w:tcPr>
          <w:p w14:paraId="2196EA6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13176907.87</w:t>
            </w:r>
          </w:p>
        </w:tc>
        <w:tc>
          <w:tcPr>
            <w:tcW w:w="3195" w:type="dxa"/>
          </w:tcPr>
          <w:p w14:paraId="35AB39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32370417.49</w:t>
            </w:r>
          </w:p>
        </w:tc>
      </w:tr>
      <w:tr w:rsidR="00B9131A" w14:paraId="18CC1CA8" w14:textId="77777777">
        <w:tc>
          <w:tcPr>
            <w:tcW w:w="2718" w:type="dxa"/>
          </w:tcPr>
          <w:p w14:paraId="0FD6AE0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10" w:type="dxa"/>
          </w:tcPr>
          <w:p w14:paraId="39DFC3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16862331.89</w:t>
            </w:r>
          </w:p>
        </w:tc>
        <w:tc>
          <w:tcPr>
            <w:tcW w:w="3195" w:type="dxa"/>
          </w:tcPr>
          <w:p w14:paraId="58498DA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49232749.38</w:t>
            </w:r>
          </w:p>
        </w:tc>
      </w:tr>
      <w:tr w:rsidR="00B9131A" w14:paraId="34DBC554" w14:textId="77777777">
        <w:tc>
          <w:tcPr>
            <w:tcW w:w="2718" w:type="dxa"/>
          </w:tcPr>
          <w:p w14:paraId="69741C7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10" w:type="dxa"/>
          </w:tcPr>
          <w:p w14:paraId="2674ED5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13053077.68</w:t>
            </w:r>
          </w:p>
        </w:tc>
        <w:tc>
          <w:tcPr>
            <w:tcW w:w="3195" w:type="dxa"/>
          </w:tcPr>
          <w:p w14:paraId="6EC273A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62285827.06</w:t>
            </w:r>
          </w:p>
        </w:tc>
      </w:tr>
      <w:tr w:rsidR="00B9131A" w14:paraId="5AA882F8" w14:textId="77777777">
        <w:tc>
          <w:tcPr>
            <w:tcW w:w="2718" w:type="dxa"/>
          </w:tcPr>
          <w:p w14:paraId="6E2E04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10" w:type="dxa"/>
          </w:tcPr>
          <w:p w14:paraId="766F8C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27211587.87</w:t>
            </w:r>
          </w:p>
        </w:tc>
        <w:tc>
          <w:tcPr>
            <w:tcW w:w="3195" w:type="dxa"/>
          </w:tcPr>
          <w:p w14:paraId="30662BB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89497414.93</w:t>
            </w:r>
          </w:p>
        </w:tc>
      </w:tr>
      <w:tr w:rsidR="00B9131A" w14:paraId="2DD49503" w14:textId="77777777">
        <w:tc>
          <w:tcPr>
            <w:tcW w:w="2718" w:type="dxa"/>
          </w:tcPr>
          <w:p w14:paraId="0DB53C5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10" w:type="dxa"/>
          </w:tcPr>
          <w:p w14:paraId="7CD96E3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34387228.77</w:t>
            </w:r>
          </w:p>
        </w:tc>
        <w:tc>
          <w:tcPr>
            <w:tcW w:w="3195" w:type="dxa"/>
          </w:tcPr>
          <w:p w14:paraId="3C65F0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123884643.7</w:t>
            </w:r>
          </w:p>
        </w:tc>
      </w:tr>
      <w:tr w:rsidR="00B9131A" w14:paraId="7E21D39F" w14:textId="77777777">
        <w:tc>
          <w:tcPr>
            <w:tcW w:w="2718" w:type="dxa"/>
          </w:tcPr>
          <w:p w14:paraId="4F655D1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10" w:type="dxa"/>
          </w:tcPr>
          <w:p w14:paraId="7EB052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43346014.85</w:t>
            </w:r>
          </w:p>
        </w:tc>
        <w:tc>
          <w:tcPr>
            <w:tcW w:w="3195" w:type="dxa"/>
          </w:tcPr>
          <w:p w14:paraId="4D4F815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167230658.55</w:t>
            </w:r>
          </w:p>
        </w:tc>
      </w:tr>
      <w:tr w:rsidR="00B9131A" w14:paraId="22F75BE3" w14:textId="77777777">
        <w:tc>
          <w:tcPr>
            <w:tcW w:w="2718" w:type="dxa"/>
          </w:tcPr>
          <w:p w14:paraId="72C085F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10" w:type="dxa"/>
          </w:tcPr>
          <w:p w14:paraId="5EE0B48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54530050.75</w:t>
            </w:r>
          </w:p>
        </w:tc>
        <w:tc>
          <w:tcPr>
            <w:tcW w:w="3195" w:type="dxa"/>
          </w:tcPr>
          <w:p w14:paraId="6D7B018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221760709.3</w:t>
            </w:r>
          </w:p>
        </w:tc>
      </w:tr>
      <w:tr w:rsidR="00B9131A" w14:paraId="13552BFD" w14:textId="77777777">
        <w:tc>
          <w:tcPr>
            <w:tcW w:w="2718" w:type="dxa"/>
          </w:tcPr>
          <w:p w14:paraId="068CC90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610" w:type="dxa"/>
          </w:tcPr>
          <w:p w14:paraId="6209599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70107590.92</w:t>
            </w:r>
          </w:p>
        </w:tc>
        <w:tc>
          <w:tcPr>
            <w:tcW w:w="3195" w:type="dxa"/>
          </w:tcPr>
          <w:p w14:paraId="1BBF420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291868300.22</w:t>
            </w:r>
          </w:p>
        </w:tc>
      </w:tr>
      <w:tr w:rsidR="00B9131A" w14:paraId="1C17C806" w14:textId="77777777">
        <w:tc>
          <w:tcPr>
            <w:tcW w:w="2718" w:type="dxa"/>
          </w:tcPr>
          <w:p w14:paraId="45853EC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610" w:type="dxa"/>
          </w:tcPr>
          <w:p w14:paraId="23C66F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38397199.91</w:t>
            </w:r>
          </w:p>
        </w:tc>
        <w:tc>
          <w:tcPr>
            <w:tcW w:w="3195" w:type="dxa"/>
          </w:tcPr>
          <w:p w14:paraId="0EB04A1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330265500.13</w:t>
            </w:r>
          </w:p>
        </w:tc>
      </w:tr>
      <w:tr w:rsidR="00B9131A" w14:paraId="19F64C12" w14:textId="77777777">
        <w:tc>
          <w:tcPr>
            <w:tcW w:w="2718" w:type="dxa"/>
          </w:tcPr>
          <w:p w14:paraId="57615C5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610" w:type="dxa"/>
          </w:tcPr>
          <w:p w14:paraId="4D1FED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34409753.89</w:t>
            </w:r>
          </w:p>
        </w:tc>
        <w:tc>
          <w:tcPr>
            <w:tcW w:w="3195" w:type="dxa"/>
          </w:tcPr>
          <w:p w14:paraId="5CED62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364675254.02</w:t>
            </w:r>
          </w:p>
        </w:tc>
      </w:tr>
      <w:tr w:rsidR="00B9131A" w14:paraId="25F9E0D0" w14:textId="77777777">
        <w:tc>
          <w:tcPr>
            <w:tcW w:w="2718" w:type="dxa"/>
          </w:tcPr>
          <w:p w14:paraId="18D1003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610" w:type="dxa"/>
          </w:tcPr>
          <w:p w14:paraId="250228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136414236.6</w:t>
            </w:r>
          </w:p>
        </w:tc>
        <w:tc>
          <w:tcPr>
            <w:tcW w:w="3195" w:type="dxa"/>
          </w:tcPr>
          <w:p w14:paraId="5ECE28A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501089490.62</w:t>
            </w:r>
          </w:p>
        </w:tc>
      </w:tr>
      <w:tr w:rsidR="00B9131A" w14:paraId="7F421D64" w14:textId="77777777">
        <w:tc>
          <w:tcPr>
            <w:tcW w:w="2718" w:type="dxa"/>
          </w:tcPr>
          <w:p w14:paraId="7E325F1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610" w:type="dxa"/>
          </w:tcPr>
          <w:p w14:paraId="6D777CF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170271045.53</w:t>
            </w:r>
          </w:p>
        </w:tc>
        <w:tc>
          <w:tcPr>
            <w:tcW w:w="3195" w:type="dxa"/>
          </w:tcPr>
          <w:p w14:paraId="1C0177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671360536.15</w:t>
            </w:r>
          </w:p>
        </w:tc>
      </w:tr>
      <w:tr w:rsidR="00B9131A" w14:paraId="46B2BB6D" w14:textId="77777777">
        <w:tc>
          <w:tcPr>
            <w:tcW w:w="2718" w:type="dxa"/>
          </w:tcPr>
          <w:p w14:paraId="266E917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610" w:type="dxa"/>
          </w:tcPr>
          <w:p w14:paraId="7ACE8FA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212507668.12</w:t>
            </w:r>
          </w:p>
        </w:tc>
        <w:tc>
          <w:tcPr>
            <w:tcW w:w="3195" w:type="dxa"/>
          </w:tcPr>
          <w:p w14:paraId="616A510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883868204.26</w:t>
            </w:r>
          </w:p>
        </w:tc>
      </w:tr>
      <w:tr w:rsidR="00B9131A" w14:paraId="4A5DAF62" w14:textId="77777777">
        <w:tc>
          <w:tcPr>
            <w:tcW w:w="2718" w:type="dxa"/>
          </w:tcPr>
          <w:p w14:paraId="51CD2E8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610" w:type="dxa"/>
          </w:tcPr>
          <w:p w14:paraId="477F84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265190196.88</w:t>
            </w:r>
          </w:p>
        </w:tc>
        <w:tc>
          <w:tcPr>
            <w:tcW w:w="3195" w:type="dxa"/>
          </w:tcPr>
          <w:p w14:paraId="020D114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1149058401.14</w:t>
            </w:r>
          </w:p>
        </w:tc>
      </w:tr>
      <w:tr w:rsidR="00B9131A" w14:paraId="4CC3737E" w14:textId="77777777">
        <w:tc>
          <w:tcPr>
            <w:tcW w:w="2718" w:type="dxa"/>
          </w:tcPr>
          <w:p w14:paraId="071E187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610" w:type="dxa"/>
          </w:tcPr>
          <w:p w14:paraId="289DAA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43874273.72</w:t>
            </w:r>
          </w:p>
        </w:tc>
        <w:tc>
          <w:tcPr>
            <w:tcW w:w="3195" w:type="dxa"/>
          </w:tcPr>
          <w:p w14:paraId="43A5DAB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1192932674.87</w:t>
            </w:r>
          </w:p>
        </w:tc>
      </w:tr>
      <w:tr w:rsidR="00B9131A" w14:paraId="1B530FAC" w14:textId="77777777">
        <w:tc>
          <w:tcPr>
            <w:tcW w:w="2718" w:type="dxa"/>
          </w:tcPr>
          <w:p w14:paraId="013295A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610" w:type="dxa"/>
          </w:tcPr>
          <w:p w14:paraId="0CA3B1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412813894.06</w:t>
            </w:r>
          </w:p>
        </w:tc>
        <w:tc>
          <w:tcPr>
            <w:tcW w:w="3195" w:type="dxa"/>
          </w:tcPr>
          <w:p w14:paraId="7EEB135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1605746568.93</w:t>
            </w:r>
          </w:p>
        </w:tc>
      </w:tr>
      <w:tr w:rsidR="00B9131A" w14:paraId="318834FF" w14:textId="77777777">
        <w:tc>
          <w:tcPr>
            <w:tcW w:w="2718" w:type="dxa"/>
          </w:tcPr>
          <w:p w14:paraId="5C8D07C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610" w:type="dxa"/>
          </w:tcPr>
          <w:p w14:paraId="29707CB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514943328.39</w:t>
            </w:r>
          </w:p>
        </w:tc>
        <w:tc>
          <w:tcPr>
            <w:tcW w:w="3195" w:type="dxa"/>
          </w:tcPr>
          <w:p w14:paraId="5B6E4CE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2120689897.32</w:t>
            </w:r>
          </w:p>
        </w:tc>
      </w:tr>
    </w:tbl>
    <w:p w14:paraId="5165EBA2" w14:textId="77777777" w:rsidR="00B9131A" w:rsidRDefault="00B9131A">
      <w:pPr>
        <w:spacing w:line="276" w:lineRule="auto"/>
        <w:jc w:val="both"/>
        <w:rPr>
          <w:rFonts w:ascii="Times New Roman" w:hAnsi="Times New Roman" w:cs="Times New Roman"/>
        </w:rPr>
      </w:pPr>
    </w:p>
    <w:p w14:paraId="4E0D8D41"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114300" distR="114300" wp14:anchorId="02D79965" wp14:editId="2424762F">
            <wp:extent cx="4343400" cy="2771775"/>
            <wp:effectExtent l="0" t="0" r="0" b="0"/>
            <wp:docPr id="11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8F0C390"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14: Net Cash Flow of the Proposed Design</w:t>
      </w:r>
    </w:p>
    <w:p w14:paraId="478B5A0E"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114300" distR="114300" wp14:anchorId="25D6AF49" wp14:editId="380F5591">
            <wp:extent cx="4229100" cy="2495550"/>
            <wp:effectExtent l="0" t="0" r="0" b="0"/>
            <wp:docPr id="118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80AB6E8" w14:textId="77777777" w:rsidR="00B9131A" w:rsidRDefault="00B6370D">
      <w:pPr>
        <w:spacing w:line="276" w:lineRule="auto"/>
        <w:ind w:firstLine="720"/>
        <w:jc w:val="center"/>
        <w:rPr>
          <w:rFonts w:ascii="Times New Roman" w:hAnsi="Times New Roman" w:cs="Times New Roman"/>
        </w:rPr>
      </w:pPr>
      <w:r>
        <w:rPr>
          <w:rFonts w:ascii="Times New Roman" w:hAnsi="Times New Roman" w:cs="Times New Roman"/>
        </w:rPr>
        <w:t>Figure 15: Cumulative Cash Flow of the Proposed Design</w:t>
      </w:r>
    </w:p>
    <w:p w14:paraId="5E17CABB" w14:textId="77777777" w:rsidR="00B9131A" w:rsidRDefault="00B6370D">
      <w:pPr>
        <w:spacing w:line="276" w:lineRule="auto"/>
        <w:jc w:val="both"/>
        <w:rPr>
          <w:rFonts w:ascii="Times New Roman" w:hAnsi="Times New Roman" w:cs="Times New Roman"/>
        </w:rPr>
      </w:pPr>
      <w:r>
        <w:rPr>
          <w:rFonts w:ascii="Times New Roman" w:hAnsi="Times New Roman" w:cs="Times New Roman"/>
        </w:rPr>
        <w:lastRenderedPageBreak/>
        <w:t>Table 5 presents the financial viability of the proposed design with various financial indicators. The Net Present Value (NPV) of the</w:t>
      </w:r>
      <w:r>
        <w:rPr>
          <w:rFonts w:ascii="Times New Roman" w:hAnsi="Times New Roman" w:cs="Times New Roman"/>
        </w:rPr>
        <w:t xml:space="preserve"> project, which is the value of all future cash flows, discounted at the discount rate, in today's currency is NGN 554,223,639.10. as presented in the Table 5, the annual life cycle savings of this project is calculated to be NGN 60,713,246.03 and the simp</w:t>
      </w:r>
      <w:r>
        <w:rPr>
          <w:rFonts w:ascii="Times New Roman" w:hAnsi="Times New Roman" w:cs="Times New Roman"/>
        </w:rPr>
        <w:t xml:space="preserve">le payback period of the project is 2.7 years. By implication, it is expedient of this system to recoup its own initial cost, out of the revenue or savings it generates in two (2) years, eight (8) months and twelve (12) days. Meanwhile, the Equity payback </w:t>
      </w:r>
      <w:r>
        <w:rPr>
          <w:rFonts w:ascii="Times New Roman" w:hAnsi="Times New Roman" w:cs="Times New Roman"/>
        </w:rPr>
        <w:t xml:space="preserve">period is 0.82 year; this implies that when this project is executed, it will take approximately ten (10) months </w:t>
      </w:r>
    </w:p>
    <w:p w14:paraId="51C949B7" w14:textId="77777777" w:rsidR="00B9131A" w:rsidRDefault="00B9131A">
      <w:pPr>
        <w:spacing w:after="0" w:line="276" w:lineRule="auto"/>
        <w:jc w:val="both"/>
        <w:rPr>
          <w:rFonts w:ascii="Times New Roman" w:hAnsi="Times New Roman" w:cs="Times New Roman"/>
        </w:rPr>
      </w:pPr>
    </w:p>
    <w:p w14:paraId="321DCCE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5: Financial Viability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240"/>
      </w:tblGrid>
      <w:tr w:rsidR="00B9131A" w14:paraId="4972D876" w14:textId="77777777">
        <w:tc>
          <w:tcPr>
            <w:tcW w:w="4248" w:type="dxa"/>
            <w:tcBorders>
              <w:top w:val="single" w:sz="4" w:space="0" w:color="auto"/>
              <w:bottom w:val="single" w:sz="4" w:space="0" w:color="auto"/>
            </w:tcBorders>
          </w:tcPr>
          <w:p w14:paraId="3C4A37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3240" w:type="dxa"/>
            <w:tcBorders>
              <w:top w:val="single" w:sz="4" w:space="0" w:color="auto"/>
              <w:bottom w:val="single" w:sz="4" w:space="0" w:color="auto"/>
            </w:tcBorders>
          </w:tcPr>
          <w:p w14:paraId="064969F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Values</w:t>
            </w:r>
          </w:p>
        </w:tc>
      </w:tr>
      <w:tr w:rsidR="00B9131A" w14:paraId="583C467F" w14:textId="77777777">
        <w:tc>
          <w:tcPr>
            <w:tcW w:w="4248" w:type="dxa"/>
            <w:tcBorders>
              <w:top w:val="single" w:sz="4" w:space="0" w:color="auto"/>
            </w:tcBorders>
          </w:tcPr>
          <w:p w14:paraId="55E6F5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Internal Rate of Return on Equity</w:t>
            </w:r>
          </w:p>
        </w:tc>
        <w:tc>
          <w:tcPr>
            <w:tcW w:w="3240" w:type="dxa"/>
            <w:tcBorders>
              <w:top w:val="single" w:sz="4" w:space="0" w:color="auto"/>
            </w:tcBorders>
          </w:tcPr>
          <w:p w14:paraId="1860E4F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152%</w:t>
            </w:r>
          </w:p>
        </w:tc>
      </w:tr>
      <w:tr w:rsidR="00B9131A" w14:paraId="447111B3" w14:textId="77777777">
        <w:tc>
          <w:tcPr>
            <w:tcW w:w="4248" w:type="dxa"/>
          </w:tcPr>
          <w:p w14:paraId="1B69588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Internal Rate of Return on </w:t>
            </w:r>
            <w:r>
              <w:rPr>
                <w:rFonts w:ascii="Times New Roman" w:hAnsi="Times New Roman" w:cs="Times New Roman"/>
                <w:sz w:val="24"/>
                <w:szCs w:val="24"/>
              </w:rPr>
              <w:t>Asset</w:t>
            </w:r>
          </w:p>
        </w:tc>
        <w:tc>
          <w:tcPr>
            <w:tcW w:w="3240" w:type="dxa"/>
          </w:tcPr>
          <w:p w14:paraId="3375ACC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63.7%</w:t>
            </w:r>
          </w:p>
        </w:tc>
      </w:tr>
      <w:tr w:rsidR="00B9131A" w14:paraId="280C62C9" w14:textId="77777777">
        <w:tc>
          <w:tcPr>
            <w:tcW w:w="4248" w:type="dxa"/>
          </w:tcPr>
          <w:p w14:paraId="40C0D29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Simple Payback Period</w:t>
            </w:r>
          </w:p>
        </w:tc>
        <w:tc>
          <w:tcPr>
            <w:tcW w:w="3240" w:type="dxa"/>
          </w:tcPr>
          <w:p w14:paraId="405C17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 years</w:t>
            </w:r>
          </w:p>
        </w:tc>
      </w:tr>
      <w:tr w:rsidR="00B9131A" w14:paraId="740955C0" w14:textId="77777777">
        <w:tc>
          <w:tcPr>
            <w:tcW w:w="4248" w:type="dxa"/>
          </w:tcPr>
          <w:p w14:paraId="7E36894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Equity Payback</w:t>
            </w:r>
          </w:p>
        </w:tc>
        <w:tc>
          <w:tcPr>
            <w:tcW w:w="3240" w:type="dxa"/>
          </w:tcPr>
          <w:p w14:paraId="0D3CE42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0.82</w:t>
            </w:r>
          </w:p>
        </w:tc>
      </w:tr>
      <w:tr w:rsidR="00B9131A" w14:paraId="4AC066CC" w14:textId="77777777">
        <w:tc>
          <w:tcPr>
            <w:tcW w:w="4248" w:type="dxa"/>
          </w:tcPr>
          <w:p w14:paraId="252B9FB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Present Value</w:t>
            </w:r>
          </w:p>
        </w:tc>
        <w:tc>
          <w:tcPr>
            <w:tcW w:w="3240" w:type="dxa"/>
          </w:tcPr>
          <w:p w14:paraId="1599DD0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NGN 554223639.10</w:t>
            </w:r>
          </w:p>
        </w:tc>
      </w:tr>
      <w:tr w:rsidR="00B9131A" w14:paraId="61BB09B5" w14:textId="77777777">
        <w:tc>
          <w:tcPr>
            <w:tcW w:w="4248" w:type="dxa"/>
          </w:tcPr>
          <w:p w14:paraId="52348E7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Annual Life cycle saving</w:t>
            </w:r>
          </w:p>
        </w:tc>
        <w:tc>
          <w:tcPr>
            <w:tcW w:w="3240" w:type="dxa"/>
          </w:tcPr>
          <w:p w14:paraId="454ACD8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NGN 60713246.03 per year</w:t>
            </w:r>
          </w:p>
        </w:tc>
      </w:tr>
      <w:tr w:rsidR="00B9131A" w14:paraId="151CEB56" w14:textId="77777777">
        <w:tc>
          <w:tcPr>
            <w:tcW w:w="4248" w:type="dxa"/>
          </w:tcPr>
          <w:p w14:paraId="5F704CE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Benefit-Cost (B-C) ratio</w:t>
            </w:r>
          </w:p>
        </w:tc>
        <w:tc>
          <w:tcPr>
            <w:tcW w:w="3240" w:type="dxa"/>
          </w:tcPr>
          <w:p w14:paraId="7243263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115</w:t>
            </w:r>
          </w:p>
        </w:tc>
      </w:tr>
    </w:tbl>
    <w:p w14:paraId="117D0B4D" w14:textId="77777777" w:rsidR="00B9131A" w:rsidRDefault="00B9131A">
      <w:pPr>
        <w:spacing w:line="276" w:lineRule="auto"/>
        <w:rPr>
          <w:rFonts w:ascii="Times New Roman" w:hAnsi="Times New Roman" w:cs="Times New Roman"/>
        </w:rPr>
      </w:pPr>
    </w:p>
    <w:p w14:paraId="05274046" w14:textId="77777777" w:rsidR="00B9131A" w:rsidRDefault="00B6370D">
      <w:pPr>
        <w:spacing w:line="276" w:lineRule="auto"/>
        <w:jc w:val="both"/>
        <w:rPr>
          <w:rFonts w:ascii="Times New Roman" w:hAnsi="Times New Roman" w:cs="Times New Roman"/>
        </w:rPr>
      </w:pPr>
      <w:r>
        <w:rPr>
          <w:rFonts w:ascii="Times New Roman" w:hAnsi="Times New Roman" w:cs="Times New Roman"/>
        </w:rPr>
        <w:t>and twenty-five (25) days for the owner of the facility to recover its own initial investment (equity) out of the project cash flows generated. The net Benefit-Cost (B-C) ratio, which is the ratio of the net benefits to costs of the project is evaluated to</w:t>
      </w:r>
      <w:r>
        <w:rPr>
          <w:rFonts w:ascii="Times New Roman" w:hAnsi="Times New Roman" w:cs="Times New Roman"/>
        </w:rPr>
        <w:t xml:space="preserve"> be 115. According to </w:t>
      </w:r>
      <w:proofErr w:type="spellStart"/>
      <w:r>
        <w:rPr>
          <w:rFonts w:ascii="Times New Roman" w:hAnsi="Times New Roman" w:cs="Times New Roman"/>
        </w:rPr>
        <w:t>RETScreen</w:t>
      </w:r>
      <w:proofErr w:type="spellEnd"/>
      <w:r>
        <w:rPr>
          <w:rFonts w:ascii="Times New Roman" w:hAnsi="Times New Roman" w:cs="Times New Roman"/>
        </w:rPr>
        <w:t xml:space="preserve"> software inbuilt documentation ratios greater than one (1) are indicative of profitable projects. </w:t>
      </w:r>
    </w:p>
    <w:p w14:paraId="4DD972DA"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Conclusively, the key financial indicator examined in this analysis revealed that the proposed grid connected PV system if </w:t>
      </w:r>
      <w:r>
        <w:rPr>
          <w:rFonts w:ascii="Times New Roman" w:hAnsi="Times New Roman" w:cs="Times New Roman"/>
        </w:rPr>
        <w:t>implemented will yield a great financial benefit within a short period of time.</w:t>
      </w:r>
    </w:p>
    <w:p w14:paraId="2A180298"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4.3.2</w:t>
      </w:r>
      <w:r>
        <w:rPr>
          <w:rFonts w:ascii="Times New Roman" w:hAnsi="Times New Roman" w:cs="Times New Roman"/>
          <w:b/>
          <w:bCs/>
        </w:rPr>
        <w:tab/>
        <w:t>Emission analysis</w:t>
      </w:r>
    </w:p>
    <w:p w14:paraId="76283C2F"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Emission analysis is considered in this study to evaluate the environmental impact of the proposed system. it covers the investigation on the amount of </w:t>
      </w:r>
      <w:r>
        <w:rPr>
          <w:rFonts w:ascii="Times New Roman" w:hAnsi="Times New Roman" w:cs="Times New Roman"/>
        </w:rPr>
        <w:t>GHG emitted throughout the lifetime. Though conventional diesel or gasoline generator was not considered as part of the components of the designed grid connected PV system, yet, been connected to the system make it contribute to the GHG emission, since the</w:t>
      </w:r>
      <w:r>
        <w:rPr>
          <w:rFonts w:ascii="Times New Roman" w:hAnsi="Times New Roman" w:cs="Times New Roman"/>
        </w:rPr>
        <w:t xml:space="preserve"> major source of grid electricity in Nigeria are coal and natural gas whose consumption is directly proportional to the amount of GHG emission. Using only the grid to meet the load demand of the proposed location, the GHG emission estimated using </w:t>
      </w:r>
      <w:proofErr w:type="spellStart"/>
      <w:r>
        <w:rPr>
          <w:rFonts w:ascii="Times New Roman" w:hAnsi="Times New Roman" w:cs="Times New Roman"/>
        </w:rPr>
        <w:t>RETScreen</w:t>
      </w:r>
      <w:proofErr w:type="spellEnd"/>
      <w:r>
        <w:rPr>
          <w:rFonts w:ascii="Times New Roman" w:hAnsi="Times New Roman" w:cs="Times New Roman"/>
        </w:rPr>
        <w:t xml:space="preserve"> is 21,771.24 kg/yr. However, when the proposed system was considered, the estimated GHG emission is 7,959.17 kg/yr, this implies that 63.4% GHG reduction was achieved when the proposed grid connected PV system was used. </w:t>
      </w:r>
    </w:p>
    <w:p w14:paraId="0099D568" w14:textId="77777777" w:rsidR="00B9131A" w:rsidRDefault="00B6370D">
      <w:pPr>
        <w:spacing w:line="276" w:lineRule="auto"/>
        <w:jc w:val="both"/>
        <w:rPr>
          <w:rFonts w:ascii="Times New Roman" w:hAnsi="Times New Roman" w:cs="Times New Roman"/>
        </w:rPr>
      </w:pPr>
      <w:r>
        <w:rPr>
          <w:rFonts w:ascii="Times New Roman" w:hAnsi="Times New Roman" w:cs="Times New Roman"/>
        </w:rPr>
        <w:lastRenderedPageBreak/>
        <w:t xml:space="preserve">The reduction in GHG was as a </w:t>
      </w:r>
      <w:r>
        <w:rPr>
          <w:rFonts w:ascii="Times New Roman" w:hAnsi="Times New Roman" w:cs="Times New Roman"/>
        </w:rPr>
        <w:t>result of PV penetration that resulted to less dependent on the grid. It can be concluded from this result that considering the PV integration to the grid can significantly reduce the GHG emission and in return attain a safer and healthy environment. A sig</w:t>
      </w:r>
      <w:r>
        <w:rPr>
          <w:rFonts w:ascii="Times New Roman" w:hAnsi="Times New Roman" w:cs="Times New Roman"/>
        </w:rPr>
        <w:t>nificant reduction can be seen from Figure 16. that presents the impact of the proposed system on GHG emission, tCO</w:t>
      </w:r>
      <w:r>
        <w:rPr>
          <w:rFonts w:ascii="Times New Roman" w:hAnsi="Times New Roman" w:cs="Times New Roman"/>
          <w:vertAlign w:val="subscript"/>
        </w:rPr>
        <w:t xml:space="preserve">2 </w:t>
      </w:r>
      <w:r>
        <w:rPr>
          <w:rFonts w:ascii="Times New Roman" w:hAnsi="Times New Roman" w:cs="Times New Roman"/>
        </w:rPr>
        <w:t xml:space="preserve">used on this figure implies </w:t>
      </w:r>
      <w:proofErr w:type="spellStart"/>
      <w:r>
        <w:rPr>
          <w:rFonts w:ascii="Times New Roman" w:hAnsi="Times New Roman" w:cs="Times New Roman"/>
        </w:rPr>
        <w:t>tonnes</w:t>
      </w:r>
      <w:proofErr w:type="spellEnd"/>
      <w:r>
        <w:rPr>
          <w:rFonts w:ascii="Times New Roman" w:hAnsi="Times New Roman" w:cs="Times New Roman"/>
        </w:rPr>
        <w:t xml:space="preserve"> of CO</w:t>
      </w:r>
      <w:r>
        <w:rPr>
          <w:rFonts w:ascii="Times New Roman" w:hAnsi="Times New Roman" w:cs="Times New Roman"/>
          <w:vertAlign w:val="subscript"/>
        </w:rPr>
        <w:t>2</w:t>
      </w:r>
      <w:r>
        <w:rPr>
          <w:rFonts w:ascii="Times New Roman" w:hAnsi="Times New Roman" w:cs="Times New Roman"/>
        </w:rPr>
        <w:t xml:space="preserve"> emissions.</w:t>
      </w:r>
    </w:p>
    <w:p w14:paraId="289CB3D9"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object w:dxaOrig="7711" w:dyaOrig="3150" w14:anchorId="3F52718B">
          <v:shape id="1183" o:spid="_x0000_i1094" type="#_x0000_t75" style="width:385.1pt;height:156.55pt;visibility:visible;mso-wrap-distance-left:0;mso-wrap-distance-right:0" o:ole="">
            <v:imagedata r:id="rId155" o:title="" embosscolor="white"/>
          </v:shape>
          <o:OLEObject Type="Embed" ProgID="Excel.Sheet.8" ShapeID="1183" DrawAspect="Content" ObjectID="_1812455341" r:id="rId156"/>
        </w:object>
      </w:r>
    </w:p>
    <w:p w14:paraId="1EAC6719"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16: GHG emission of the base case and proposed case</w:t>
      </w:r>
    </w:p>
    <w:p w14:paraId="56FBF233"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.3.3</w:t>
      </w:r>
      <w:r>
        <w:rPr>
          <w:rFonts w:ascii="Times New Roman" w:hAnsi="Times New Roman" w:cs="Times New Roman"/>
          <w:b/>
          <w:bCs/>
        </w:rPr>
        <w:tab/>
        <w:t xml:space="preserve">Sensitivity and risk analysis  </w:t>
      </w:r>
    </w:p>
    <w:p w14:paraId="1A8774FF" w14:textId="77777777" w:rsidR="00B9131A" w:rsidRDefault="00B6370D">
      <w:pPr>
        <w:spacing w:line="276" w:lineRule="auto"/>
        <w:jc w:val="both"/>
        <w:rPr>
          <w:rFonts w:ascii="Times New Roman" w:hAnsi="Times New Roman" w:cs="Times New Roman"/>
        </w:rPr>
      </w:pPr>
      <w:r>
        <w:rPr>
          <w:rFonts w:ascii="Times New Roman" w:hAnsi="Times New Roman" w:cs="Times New Roman"/>
        </w:rPr>
        <w:t>Sensitivity and Risk Analysis is carried out in this study to estimate the sensitivity of important financial indicators in relation to key technical and financial parameters. Sensitivity analysis was conducted on the N</w:t>
      </w:r>
      <w:r>
        <w:rPr>
          <w:rFonts w:ascii="Times New Roman" w:hAnsi="Times New Roman" w:cs="Times New Roman"/>
        </w:rPr>
        <w:t>PV and the equity payback period of the proposed design to investigate on how they vary with respect to grid electricity cost (</w:t>
      </w:r>
      <w:proofErr w:type="spellStart"/>
      <w:r>
        <w:rPr>
          <w:rFonts w:ascii="Times New Roman" w:hAnsi="Times New Roman" w:cs="Times New Roman"/>
        </w:rPr>
        <w:t>know</w:t>
      </w:r>
      <w:proofErr w:type="spellEnd"/>
      <w:r>
        <w:rPr>
          <w:rFonts w:ascii="Times New Roman" w:hAnsi="Times New Roman" w:cs="Times New Roman"/>
        </w:rPr>
        <w:t xml:space="preserve"> by </w:t>
      </w:r>
      <w:proofErr w:type="spellStart"/>
      <w:r>
        <w:rPr>
          <w:rFonts w:ascii="Times New Roman" w:hAnsi="Times New Roman" w:cs="Times New Roman"/>
        </w:rPr>
        <w:t>RETScreen</w:t>
      </w:r>
      <w:proofErr w:type="spellEnd"/>
      <w:r>
        <w:rPr>
          <w:rFonts w:ascii="Times New Roman" w:hAnsi="Times New Roman" w:cs="Times New Roman"/>
        </w:rPr>
        <w:t xml:space="preserve"> as fuel cost-proposed case) and the project initial cost. The report for this analysis is presented in Table 6.</w:t>
      </w:r>
      <w:r>
        <w:rPr>
          <w:rFonts w:ascii="Times New Roman" w:hAnsi="Times New Roman" w:cs="Times New Roman"/>
        </w:rPr>
        <w:t xml:space="preserve"> From the report, it can be seen that there is an indirect correlation between the NPV, fuel cost-proposed case and the initial cost. As the values of fuel cost-proposed case and the initial cost change, the value of NPV also changes, this implies that, wh</w:t>
      </w:r>
      <w:r>
        <w:rPr>
          <w:rFonts w:ascii="Times New Roman" w:hAnsi="Times New Roman" w:cs="Times New Roman"/>
        </w:rPr>
        <w:t>en the electricity cost from the grid increases, and the initial cost of the proposed system increases as well, the NPV will be decreased. However, when the grid cost increases and there is a decrease in initial capital cost, the NPV of the proposed design</w:t>
      </w:r>
      <w:r>
        <w:rPr>
          <w:rFonts w:ascii="Times New Roman" w:hAnsi="Times New Roman" w:cs="Times New Roman"/>
        </w:rPr>
        <w:t xml:space="preserve"> will be increased substantially.</w:t>
      </w:r>
    </w:p>
    <w:p w14:paraId="59A009FD"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 6: Sensitivity Analysis Report</w:t>
      </w:r>
    </w:p>
    <w:tbl>
      <w:tblPr>
        <w:tblStyle w:val="TableGrid"/>
        <w:tblW w:w="936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654"/>
        <w:gridCol w:w="1586"/>
        <w:gridCol w:w="1530"/>
        <w:gridCol w:w="1530"/>
        <w:gridCol w:w="1530"/>
      </w:tblGrid>
      <w:tr w:rsidR="00B9131A" w14:paraId="466D4AA8" w14:textId="77777777">
        <w:tc>
          <w:tcPr>
            <w:tcW w:w="9360" w:type="dxa"/>
            <w:gridSpan w:val="6"/>
            <w:tcBorders>
              <w:top w:val="single" w:sz="4" w:space="0" w:color="auto"/>
              <w:bottom w:val="single" w:sz="4" w:space="0" w:color="auto"/>
            </w:tcBorders>
          </w:tcPr>
          <w:p w14:paraId="6BAC2751"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Net Present Value</w:t>
            </w:r>
          </w:p>
        </w:tc>
      </w:tr>
      <w:tr w:rsidR="00B9131A" w14:paraId="2430C5C8" w14:textId="77777777">
        <w:tc>
          <w:tcPr>
            <w:tcW w:w="1530" w:type="dxa"/>
            <w:vMerge w:val="restart"/>
            <w:tcBorders>
              <w:top w:val="single" w:sz="4" w:space="0" w:color="auto"/>
            </w:tcBorders>
          </w:tcPr>
          <w:p w14:paraId="69D5EF2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7830" w:type="dxa"/>
            <w:gridSpan w:val="5"/>
            <w:tcBorders>
              <w:top w:val="single" w:sz="4" w:space="0" w:color="auto"/>
            </w:tcBorders>
          </w:tcPr>
          <w:p w14:paraId="4F44F9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r>
      <w:tr w:rsidR="00B9131A" w14:paraId="6A2A664C" w14:textId="77777777">
        <w:tc>
          <w:tcPr>
            <w:tcW w:w="1530" w:type="dxa"/>
            <w:vMerge/>
          </w:tcPr>
          <w:p w14:paraId="7E2050FC" w14:textId="77777777" w:rsidR="00B9131A" w:rsidRDefault="00B9131A">
            <w:pPr>
              <w:spacing w:line="276" w:lineRule="auto"/>
              <w:jc w:val="both"/>
              <w:rPr>
                <w:rFonts w:ascii="Times New Roman" w:hAnsi="Times New Roman" w:cs="Times New Roman"/>
                <w:sz w:val="24"/>
                <w:szCs w:val="24"/>
              </w:rPr>
            </w:pPr>
          </w:p>
        </w:tc>
        <w:tc>
          <w:tcPr>
            <w:tcW w:w="1654" w:type="dxa"/>
          </w:tcPr>
          <w:p w14:paraId="38CFD0C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p w14:paraId="178843A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586" w:type="dxa"/>
          </w:tcPr>
          <w:p w14:paraId="6198E2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14195384.88</w:t>
            </w:r>
          </w:p>
          <w:p w14:paraId="4144402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725D17E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p w14:paraId="786A60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(0.00%)</w:t>
            </w:r>
          </w:p>
        </w:tc>
        <w:tc>
          <w:tcPr>
            <w:tcW w:w="1530" w:type="dxa"/>
          </w:tcPr>
          <w:p w14:paraId="2412F2C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18251209.13</w:t>
            </w:r>
          </w:p>
          <w:p w14:paraId="05F9675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4BFDFEF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 (25%)</w:t>
            </w:r>
          </w:p>
        </w:tc>
      </w:tr>
      <w:tr w:rsidR="00B9131A" w14:paraId="08B420EA" w14:textId="77777777">
        <w:tc>
          <w:tcPr>
            <w:tcW w:w="1530" w:type="dxa"/>
          </w:tcPr>
          <w:p w14:paraId="77A3706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2643980.16</w:t>
            </w:r>
          </w:p>
          <w:p w14:paraId="541B6CB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3B259D5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657709921.48</w:t>
            </w:r>
          </w:p>
        </w:tc>
        <w:tc>
          <w:tcPr>
            <w:tcW w:w="1586" w:type="dxa"/>
          </w:tcPr>
          <w:p w14:paraId="2D11E0A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655804472.84</w:t>
            </w:r>
          </w:p>
        </w:tc>
        <w:tc>
          <w:tcPr>
            <w:tcW w:w="1530" w:type="dxa"/>
          </w:tcPr>
          <w:p w14:paraId="21E557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653899024.19</w:t>
            </w:r>
          </w:p>
        </w:tc>
        <w:tc>
          <w:tcPr>
            <w:tcW w:w="1530" w:type="dxa"/>
          </w:tcPr>
          <w:p w14:paraId="76566B8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651993575.54</w:t>
            </w:r>
          </w:p>
        </w:tc>
        <w:tc>
          <w:tcPr>
            <w:tcW w:w="1530" w:type="dxa"/>
          </w:tcPr>
          <w:p w14:paraId="6C68B9F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650088126.89</w:t>
            </w:r>
          </w:p>
        </w:tc>
      </w:tr>
      <w:tr w:rsidR="00B9131A" w14:paraId="4501988D" w14:textId="77777777">
        <w:tc>
          <w:tcPr>
            <w:tcW w:w="1530" w:type="dxa"/>
          </w:tcPr>
          <w:p w14:paraId="015F6A2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3084643.52</w:t>
            </w:r>
          </w:p>
          <w:p w14:paraId="447930E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78556DE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607872228.94</w:t>
            </w:r>
          </w:p>
        </w:tc>
        <w:tc>
          <w:tcPr>
            <w:tcW w:w="1586" w:type="dxa"/>
          </w:tcPr>
          <w:p w14:paraId="0066ECE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605966780.29</w:t>
            </w:r>
          </w:p>
        </w:tc>
        <w:tc>
          <w:tcPr>
            <w:tcW w:w="1530" w:type="dxa"/>
          </w:tcPr>
          <w:p w14:paraId="079AF8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604061331.65</w:t>
            </w:r>
          </w:p>
        </w:tc>
        <w:tc>
          <w:tcPr>
            <w:tcW w:w="1530" w:type="dxa"/>
          </w:tcPr>
          <w:p w14:paraId="5F3311D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602155882.10</w:t>
            </w:r>
          </w:p>
        </w:tc>
        <w:tc>
          <w:tcPr>
            <w:tcW w:w="1530" w:type="dxa"/>
          </w:tcPr>
          <w:p w14:paraId="45400B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600250434.35</w:t>
            </w:r>
          </w:p>
        </w:tc>
      </w:tr>
      <w:tr w:rsidR="00B9131A" w14:paraId="336EEA1A" w14:textId="77777777">
        <w:tc>
          <w:tcPr>
            <w:tcW w:w="1530" w:type="dxa"/>
          </w:tcPr>
          <w:p w14:paraId="69462CE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3525306.88</w:t>
            </w:r>
          </w:p>
          <w:p w14:paraId="4436091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54" w:type="dxa"/>
          </w:tcPr>
          <w:p w14:paraId="6807896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558034536.40</w:t>
            </w:r>
          </w:p>
        </w:tc>
        <w:tc>
          <w:tcPr>
            <w:tcW w:w="1586" w:type="dxa"/>
          </w:tcPr>
          <w:p w14:paraId="042F0A4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556129087.75</w:t>
            </w:r>
          </w:p>
        </w:tc>
        <w:tc>
          <w:tcPr>
            <w:tcW w:w="1530" w:type="dxa"/>
          </w:tcPr>
          <w:p w14:paraId="1BAA7281"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554223639.10</w:t>
            </w:r>
          </w:p>
        </w:tc>
        <w:tc>
          <w:tcPr>
            <w:tcW w:w="1530" w:type="dxa"/>
          </w:tcPr>
          <w:p w14:paraId="74F78C7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552318190.46</w:t>
            </w:r>
          </w:p>
        </w:tc>
        <w:tc>
          <w:tcPr>
            <w:tcW w:w="1530" w:type="dxa"/>
          </w:tcPr>
          <w:p w14:paraId="57D5782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550412741.80</w:t>
            </w:r>
          </w:p>
        </w:tc>
      </w:tr>
      <w:tr w:rsidR="00B9131A" w14:paraId="55AF0276" w14:textId="77777777">
        <w:tc>
          <w:tcPr>
            <w:tcW w:w="1530" w:type="dxa"/>
          </w:tcPr>
          <w:p w14:paraId="4117A5F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3965970.24</w:t>
            </w:r>
          </w:p>
          <w:p w14:paraId="4345AE6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63403A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508196843.86</w:t>
            </w:r>
          </w:p>
        </w:tc>
        <w:tc>
          <w:tcPr>
            <w:tcW w:w="1586" w:type="dxa"/>
          </w:tcPr>
          <w:p w14:paraId="3201B00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506291395.21</w:t>
            </w:r>
          </w:p>
        </w:tc>
        <w:tc>
          <w:tcPr>
            <w:tcW w:w="1530" w:type="dxa"/>
          </w:tcPr>
          <w:p w14:paraId="05CA689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504385946.56</w:t>
            </w:r>
          </w:p>
        </w:tc>
        <w:tc>
          <w:tcPr>
            <w:tcW w:w="1530" w:type="dxa"/>
          </w:tcPr>
          <w:p w14:paraId="411C1CB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502480497.91</w:t>
            </w:r>
          </w:p>
        </w:tc>
        <w:tc>
          <w:tcPr>
            <w:tcW w:w="1530" w:type="dxa"/>
          </w:tcPr>
          <w:p w14:paraId="6E873F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500575049.26</w:t>
            </w:r>
          </w:p>
        </w:tc>
      </w:tr>
      <w:tr w:rsidR="00B9131A" w14:paraId="342EE002" w14:textId="77777777">
        <w:tc>
          <w:tcPr>
            <w:tcW w:w="1530" w:type="dxa"/>
          </w:tcPr>
          <w:p w14:paraId="35FE47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p w14:paraId="76FE63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18425F6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458359151.32</w:t>
            </w:r>
          </w:p>
        </w:tc>
        <w:tc>
          <w:tcPr>
            <w:tcW w:w="1586" w:type="dxa"/>
          </w:tcPr>
          <w:p w14:paraId="4553BD6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456453702.67</w:t>
            </w:r>
          </w:p>
        </w:tc>
        <w:tc>
          <w:tcPr>
            <w:tcW w:w="1530" w:type="dxa"/>
          </w:tcPr>
          <w:p w14:paraId="3894F1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454548254.02</w:t>
            </w:r>
          </w:p>
        </w:tc>
        <w:tc>
          <w:tcPr>
            <w:tcW w:w="1530" w:type="dxa"/>
          </w:tcPr>
          <w:p w14:paraId="4500BAD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452642805.37</w:t>
            </w:r>
          </w:p>
        </w:tc>
        <w:tc>
          <w:tcPr>
            <w:tcW w:w="1530" w:type="dxa"/>
          </w:tcPr>
          <w:p w14:paraId="480CF5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450737356.72</w:t>
            </w:r>
          </w:p>
        </w:tc>
      </w:tr>
      <w:tr w:rsidR="00B9131A" w14:paraId="18000BBD" w14:textId="77777777">
        <w:tc>
          <w:tcPr>
            <w:tcW w:w="9360" w:type="dxa"/>
            <w:gridSpan w:val="6"/>
          </w:tcPr>
          <w:p w14:paraId="05548F09"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Equity Payback Period</w:t>
            </w:r>
          </w:p>
        </w:tc>
      </w:tr>
      <w:tr w:rsidR="00B9131A" w14:paraId="1C1992C7" w14:textId="77777777">
        <w:tc>
          <w:tcPr>
            <w:tcW w:w="1530" w:type="dxa"/>
            <w:vMerge w:val="restart"/>
          </w:tcPr>
          <w:p w14:paraId="54CEFF5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7830" w:type="dxa"/>
            <w:gridSpan w:val="5"/>
          </w:tcPr>
          <w:p w14:paraId="24278B5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r>
      <w:tr w:rsidR="00B9131A" w14:paraId="247068D7" w14:textId="77777777">
        <w:tc>
          <w:tcPr>
            <w:tcW w:w="1530" w:type="dxa"/>
            <w:vMerge/>
          </w:tcPr>
          <w:p w14:paraId="1C208DAC" w14:textId="77777777" w:rsidR="00B9131A" w:rsidRDefault="00B9131A">
            <w:pPr>
              <w:spacing w:line="276" w:lineRule="auto"/>
              <w:jc w:val="both"/>
              <w:rPr>
                <w:rFonts w:ascii="Times New Roman" w:hAnsi="Times New Roman" w:cs="Times New Roman"/>
                <w:sz w:val="24"/>
                <w:szCs w:val="24"/>
              </w:rPr>
            </w:pPr>
          </w:p>
        </w:tc>
        <w:tc>
          <w:tcPr>
            <w:tcW w:w="1654" w:type="dxa"/>
          </w:tcPr>
          <w:p w14:paraId="27E7CDD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p w14:paraId="02D14A9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586" w:type="dxa"/>
          </w:tcPr>
          <w:p w14:paraId="32282CC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14195384.88(-12.5%)</w:t>
            </w:r>
          </w:p>
        </w:tc>
        <w:tc>
          <w:tcPr>
            <w:tcW w:w="1530" w:type="dxa"/>
          </w:tcPr>
          <w:p w14:paraId="4A4A63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p w14:paraId="22CC800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(0.00%)</w:t>
            </w:r>
          </w:p>
        </w:tc>
        <w:tc>
          <w:tcPr>
            <w:tcW w:w="1530" w:type="dxa"/>
          </w:tcPr>
          <w:p w14:paraId="1A57967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18251209.13</w:t>
            </w:r>
          </w:p>
          <w:p w14:paraId="2D33D62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38AB73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20279121.25(25%)</w:t>
            </w:r>
          </w:p>
        </w:tc>
      </w:tr>
      <w:tr w:rsidR="00B9131A" w14:paraId="6DD96DF7" w14:textId="77777777">
        <w:tc>
          <w:tcPr>
            <w:tcW w:w="1530" w:type="dxa"/>
          </w:tcPr>
          <w:p w14:paraId="0772C1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2643980.16</w:t>
            </w:r>
          </w:p>
          <w:p w14:paraId="587F745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2C9FBB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0.4882</w:t>
            </w:r>
          </w:p>
        </w:tc>
        <w:tc>
          <w:tcPr>
            <w:tcW w:w="1586" w:type="dxa"/>
          </w:tcPr>
          <w:p w14:paraId="06DD5BD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0.5854</w:t>
            </w:r>
          </w:p>
        </w:tc>
        <w:tc>
          <w:tcPr>
            <w:tcW w:w="1530" w:type="dxa"/>
          </w:tcPr>
          <w:p w14:paraId="7518DF1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0.6881</w:t>
            </w:r>
          </w:p>
        </w:tc>
        <w:tc>
          <w:tcPr>
            <w:tcW w:w="1530" w:type="dxa"/>
          </w:tcPr>
          <w:p w14:paraId="5633074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0.7969</w:t>
            </w:r>
          </w:p>
        </w:tc>
        <w:tc>
          <w:tcPr>
            <w:tcW w:w="1530" w:type="dxa"/>
          </w:tcPr>
          <w:p w14:paraId="7EAA7F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0.9123</w:t>
            </w:r>
          </w:p>
        </w:tc>
      </w:tr>
      <w:tr w:rsidR="00B9131A" w14:paraId="4DDEBF50" w14:textId="77777777">
        <w:tc>
          <w:tcPr>
            <w:tcW w:w="1530" w:type="dxa"/>
          </w:tcPr>
          <w:p w14:paraId="495C7EF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3084643.52</w:t>
            </w:r>
          </w:p>
          <w:p w14:paraId="7C7F82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42B6A32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0.5270</w:t>
            </w:r>
          </w:p>
        </w:tc>
        <w:tc>
          <w:tcPr>
            <w:tcW w:w="1586" w:type="dxa"/>
          </w:tcPr>
          <w:p w14:paraId="739D1D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0.6333</w:t>
            </w:r>
          </w:p>
        </w:tc>
        <w:tc>
          <w:tcPr>
            <w:tcW w:w="1530" w:type="dxa"/>
          </w:tcPr>
          <w:p w14:paraId="6D7623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0.7462</w:t>
            </w:r>
          </w:p>
        </w:tc>
        <w:tc>
          <w:tcPr>
            <w:tcW w:w="1530" w:type="dxa"/>
          </w:tcPr>
          <w:p w14:paraId="682FE2F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0.8663</w:t>
            </w:r>
          </w:p>
        </w:tc>
        <w:tc>
          <w:tcPr>
            <w:tcW w:w="1530" w:type="dxa"/>
          </w:tcPr>
          <w:p w14:paraId="1023F0E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0.9944</w:t>
            </w:r>
          </w:p>
        </w:tc>
      </w:tr>
      <w:tr w:rsidR="00B9131A" w14:paraId="54F0B59C" w14:textId="77777777">
        <w:tc>
          <w:tcPr>
            <w:tcW w:w="1530" w:type="dxa"/>
          </w:tcPr>
          <w:p w14:paraId="755E4C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3525306.88</w:t>
            </w:r>
          </w:p>
          <w:p w14:paraId="3DAEC44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54" w:type="dxa"/>
          </w:tcPr>
          <w:p w14:paraId="74ABF6E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0.5725</w:t>
            </w:r>
          </w:p>
        </w:tc>
        <w:tc>
          <w:tcPr>
            <w:tcW w:w="1586" w:type="dxa"/>
          </w:tcPr>
          <w:p w14:paraId="042C27C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0.6898</w:t>
            </w:r>
          </w:p>
        </w:tc>
        <w:tc>
          <w:tcPr>
            <w:tcW w:w="1530" w:type="dxa"/>
          </w:tcPr>
          <w:p w14:paraId="2CFFD7B0"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0.8150</w:t>
            </w:r>
          </w:p>
        </w:tc>
        <w:tc>
          <w:tcPr>
            <w:tcW w:w="1530" w:type="dxa"/>
          </w:tcPr>
          <w:p w14:paraId="6E024A3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0.949</w:t>
            </w:r>
          </w:p>
        </w:tc>
        <w:tc>
          <w:tcPr>
            <w:tcW w:w="1530" w:type="dxa"/>
          </w:tcPr>
          <w:p w14:paraId="68E5DA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1.0692</w:t>
            </w:r>
          </w:p>
        </w:tc>
      </w:tr>
      <w:tr w:rsidR="00B9131A" w14:paraId="4A4DD564" w14:textId="77777777">
        <w:tc>
          <w:tcPr>
            <w:tcW w:w="1530" w:type="dxa"/>
          </w:tcPr>
          <w:p w14:paraId="31740EC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3965970.24</w:t>
            </w:r>
          </w:p>
          <w:p w14:paraId="4C6761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35020B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0.6267</w:t>
            </w:r>
          </w:p>
        </w:tc>
        <w:tc>
          <w:tcPr>
            <w:tcW w:w="1586" w:type="dxa"/>
          </w:tcPr>
          <w:p w14:paraId="2A8501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0.7574</w:t>
            </w:r>
          </w:p>
        </w:tc>
        <w:tc>
          <w:tcPr>
            <w:tcW w:w="1530" w:type="dxa"/>
          </w:tcPr>
          <w:p w14:paraId="4B8E8F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0.8979</w:t>
            </w:r>
          </w:p>
        </w:tc>
        <w:tc>
          <w:tcPr>
            <w:tcW w:w="1530" w:type="dxa"/>
          </w:tcPr>
          <w:p w14:paraId="37232C3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1.0368</w:t>
            </w:r>
          </w:p>
        </w:tc>
        <w:tc>
          <w:tcPr>
            <w:tcW w:w="1530" w:type="dxa"/>
          </w:tcPr>
          <w:p w14:paraId="5B64EFB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1.1576</w:t>
            </w:r>
          </w:p>
        </w:tc>
      </w:tr>
      <w:tr w:rsidR="00B9131A" w14:paraId="503BF98B" w14:textId="77777777">
        <w:tc>
          <w:tcPr>
            <w:tcW w:w="1530" w:type="dxa"/>
            <w:tcBorders>
              <w:bottom w:val="single" w:sz="4" w:space="0" w:color="auto"/>
            </w:tcBorders>
          </w:tcPr>
          <w:p w14:paraId="27002B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p w14:paraId="4C9F31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Borders>
              <w:bottom w:val="single" w:sz="4" w:space="0" w:color="auto"/>
            </w:tcBorders>
          </w:tcPr>
          <w:p w14:paraId="124727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0.6921</w:t>
            </w:r>
          </w:p>
        </w:tc>
        <w:tc>
          <w:tcPr>
            <w:tcW w:w="1586" w:type="dxa"/>
            <w:tcBorders>
              <w:bottom w:val="single" w:sz="4" w:space="0" w:color="auto"/>
            </w:tcBorders>
          </w:tcPr>
          <w:p w14:paraId="4EB598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0.8396</w:t>
            </w:r>
          </w:p>
        </w:tc>
        <w:tc>
          <w:tcPr>
            <w:tcW w:w="1530" w:type="dxa"/>
            <w:tcBorders>
              <w:bottom w:val="single" w:sz="4" w:space="0" w:color="auto"/>
            </w:tcBorders>
          </w:tcPr>
          <w:p w14:paraId="27B49D1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0.9994</w:t>
            </w:r>
          </w:p>
        </w:tc>
        <w:tc>
          <w:tcPr>
            <w:tcW w:w="1530" w:type="dxa"/>
            <w:tcBorders>
              <w:bottom w:val="single" w:sz="4" w:space="0" w:color="auto"/>
            </w:tcBorders>
          </w:tcPr>
          <w:p w14:paraId="56FB24F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1.1285</w:t>
            </w:r>
          </w:p>
        </w:tc>
        <w:tc>
          <w:tcPr>
            <w:tcW w:w="1530" w:type="dxa"/>
            <w:tcBorders>
              <w:bottom w:val="single" w:sz="4" w:space="0" w:color="auto"/>
            </w:tcBorders>
          </w:tcPr>
          <w:p w14:paraId="7BC5041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1.2661</w:t>
            </w:r>
          </w:p>
        </w:tc>
      </w:tr>
    </w:tbl>
    <w:p w14:paraId="27E13312" w14:textId="77777777" w:rsidR="00B9131A" w:rsidRDefault="00B9131A">
      <w:pPr>
        <w:spacing w:line="276" w:lineRule="auto"/>
        <w:rPr>
          <w:rFonts w:ascii="Times New Roman" w:hAnsi="Times New Roman" w:cs="Times New Roman"/>
        </w:rPr>
      </w:pPr>
    </w:p>
    <w:p w14:paraId="057110C2"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Hence, the overall variation in both fuel cost-proposed case and the initial cost reveals that the NPV of the designed grid connected PV is still on the high side </w:t>
      </w:r>
      <w:r>
        <w:rPr>
          <w:rFonts w:ascii="Times New Roman" w:hAnsi="Times New Roman" w:cs="Times New Roman"/>
        </w:rPr>
        <w:t>with the lowest value of NGN 450,737,356.72 when the inflation occurs on the key parameters. Considering the response of equity pay back to this variation, the payback period of the project was elongated when the fuel cost-proposed case and the initial cos</w:t>
      </w:r>
      <w:r>
        <w:rPr>
          <w:rFonts w:ascii="Times New Roman" w:hAnsi="Times New Roman" w:cs="Times New Roman"/>
        </w:rPr>
        <w:t>t are increased. However, the period was shortened when their costs are decreased.</w:t>
      </w:r>
    </w:p>
    <w:p w14:paraId="5D9CA66F" w14:textId="77777777" w:rsidR="00B9131A" w:rsidRDefault="00B6370D">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Risk analysis was conducted on the NPV and the equity payback period to evaluate the impact of uncertainty associated with the key input parameters such as initial cost, ope</w:t>
      </w:r>
      <w:r>
        <w:rPr>
          <w:rFonts w:ascii="Times New Roman" w:hAnsi="Times New Roman" w:cs="Times New Roman"/>
        </w:rPr>
        <w:t xml:space="preserve">ration and maintenance cost (O&amp;M), fuel cost-proposed case, fuel cost-base case, debt ratio, debt interest rate and debt term. This analysis was performed on the </w:t>
      </w:r>
      <w:proofErr w:type="spellStart"/>
      <w:r>
        <w:rPr>
          <w:rFonts w:ascii="Times New Roman" w:hAnsi="Times New Roman" w:cs="Times New Roman"/>
        </w:rPr>
        <w:t>RETScreen</w:t>
      </w:r>
      <w:proofErr w:type="spellEnd"/>
      <w:r>
        <w:rPr>
          <w:rFonts w:ascii="Times New Roman" w:hAnsi="Times New Roman" w:cs="Times New Roman"/>
        </w:rPr>
        <w:t xml:space="preserve"> using Monte Carlo simulation that includes 500 possible combination of input variabl</w:t>
      </w:r>
      <w:r>
        <w:rPr>
          <w:rFonts w:ascii="Times New Roman" w:hAnsi="Times New Roman" w:cs="Times New Roman"/>
        </w:rPr>
        <w:t xml:space="preserve">es resulting to 500 values of NPV and equity payback period. The outcome of this analysis was summarized in Table 7. With the risk level of 10%, the analysis revealed that, </w:t>
      </w:r>
      <w:r>
        <w:rPr>
          <w:rFonts w:ascii="Times New Roman" w:eastAsia="Times New Roman" w:hAnsi="Times New Roman" w:cs="Times New Roman"/>
          <w:kern w:val="0"/>
          <w14:ligatures w14:val="none"/>
        </w:rPr>
        <w:t xml:space="preserve">the minimum within level of confidence for NPV is NGN 402,022,920.05, which is the </w:t>
      </w:r>
      <w:r>
        <w:rPr>
          <w:rFonts w:ascii="Times New Roman" w:eastAsia="Times New Roman" w:hAnsi="Times New Roman" w:cs="Times New Roman"/>
          <w:kern w:val="0"/>
          <w14:ligatures w14:val="none"/>
        </w:rPr>
        <w:t>lower bound of the confidence interval that the NPV most likely falls within. The maximum level was estimated to be NGN 695,441,930.34. The relative impact of input parameters on this variable estimated by standard deviation is presented in Figure 17. By i</w:t>
      </w:r>
      <w:r>
        <w:rPr>
          <w:rFonts w:ascii="Times New Roman" w:eastAsia="Times New Roman" w:hAnsi="Times New Roman" w:cs="Times New Roman"/>
          <w:kern w:val="0"/>
          <w14:ligatures w14:val="none"/>
        </w:rPr>
        <w:t xml:space="preserve">mplication, it can be stated here that, with the price fluctuation in Nigeria, the confidence level of </w:t>
      </w:r>
      <w:r>
        <w:rPr>
          <w:rFonts w:ascii="Times New Roman" w:eastAsia="Times New Roman" w:hAnsi="Times New Roman" w:cs="Times New Roman"/>
          <w:kern w:val="0"/>
          <w14:ligatures w14:val="none"/>
        </w:rPr>
        <w:lastRenderedPageBreak/>
        <w:t xml:space="preserve">the NPV for this project is high, this is an eye opener for the investors justifying the profitability of this project with minimized risk level. </w:t>
      </w:r>
    </w:p>
    <w:p w14:paraId="5DA9E6D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t>7: Risk Analysis Report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356"/>
        <w:gridCol w:w="1620"/>
        <w:gridCol w:w="1620"/>
      </w:tblGrid>
      <w:tr w:rsidR="00B9131A" w14:paraId="278D0F0E" w14:textId="77777777">
        <w:tc>
          <w:tcPr>
            <w:tcW w:w="3348" w:type="dxa"/>
            <w:tcBorders>
              <w:top w:val="single" w:sz="4" w:space="0" w:color="auto"/>
              <w:bottom w:val="single" w:sz="4" w:space="0" w:color="auto"/>
            </w:tcBorders>
          </w:tcPr>
          <w:p w14:paraId="5A0A6D6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Parameter</w:t>
            </w:r>
          </w:p>
        </w:tc>
        <w:tc>
          <w:tcPr>
            <w:tcW w:w="996" w:type="dxa"/>
            <w:tcBorders>
              <w:top w:val="single" w:sz="4" w:space="0" w:color="auto"/>
              <w:bottom w:val="single" w:sz="4" w:space="0" w:color="auto"/>
            </w:tcBorders>
          </w:tcPr>
          <w:p w14:paraId="5D13B5F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w:t>
            </w:r>
          </w:p>
        </w:tc>
        <w:tc>
          <w:tcPr>
            <w:tcW w:w="1620" w:type="dxa"/>
            <w:tcBorders>
              <w:top w:val="single" w:sz="4" w:space="0" w:color="auto"/>
              <w:bottom w:val="single" w:sz="4" w:space="0" w:color="auto"/>
            </w:tcBorders>
          </w:tcPr>
          <w:p w14:paraId="5838FC1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Minimum</w:t>
            </w:r>
          </w:p>
        </w:tc>
        <w:tc>
          <w:tcPr>
            <w:tcW w:w="1620" w:type="dxa"/>
            <w:tcBorders>
              <w:top w:val="single" w:sz="4" w:space="0" w:color="auto"/>
              <w:bottom w:val="single" w:sz="4" w:space="0" w:color="auto"/>
            </w:tcBorders>
          </w:tcPr>
          <w:p w14:paraId="1D2B775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Maximum</w:t>
            </w:r>
          </w:p>
        </w:tc>
      </w:tr>
      <w:tr w:rsidR="00B9131A" w14:paraId="26EF3D6B" w14:textId="77777777">
        <w:tc>
          <w:tcPr>
            <w:tcW w:w="3348" w:type="dxa"/>
            <w:tcBorders>
              <w:top w:val="single" w:sz="4" w:space="0" w:color="auto"/>
            </w:tcBorders>
          </w:tcPr>
          <w:p w14:paraId="698761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c>
          <w:tcPr>
            <w:tcW w:w="996" w:type="dxa"/>
            <w:tcBorders>
              <w:top w:val="single" w:sz="4" w:space="0" w:color="auto"/>
            </w:tcBorders>
          </w:tcPr>
          <w:p w14:paraId="09B46E6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tc>
        <w:tc>
          <w:tcPr>
            <w:tcW w:w="1620" w:type="dxa"/>
            <w:tcBorders>
              <w:top w:val="single" w:sz="4" w:space="0" w:color="auto"/>
            </w:tcBorders>
          </w:tcPr>
          <w:p w14:paraId="69FC256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tc>
        <w:tc>
          <w:tcPr>
            <w:tcW w:w="1620" w:type="dxa"/>
            <w:tcBorders>
              <w:top w:val="single" w:sz="4" w:space="0" w:color="auto"/>
            </w:tcBorders>
          </w:tcPr>
          <w:p w14:paraId="0933E5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w:t>
            </w:r>
          </w:p>
        </w:tc>
      </w:tr>
      <w:tr w:rsidR="00B9131A" w14:paraId="6E099138" w14:textId="77777777">
        <w:tc>
          <w:tcPr>
            <w:tcW w:w="3348" w:type="dxa"/>
          </w:tcPr>
          <w:p w14:paraId="4313F1E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O&amp;M (NGN)</w:t>
            </w:r>
          </w:p>
        </w:tc>
        <w:tc>
          <w:tcPr>
            <w:tcW w:w="996" w:type="dxa"/>
          </w:tcPr>
          <w:p w14:paraId="6F35434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43645</w:t>
            </w:r>
          </w:p>
        </w:tc>
        <w:tc>
          <w:tcPr>
            <w:tcW w:w="1620" w:type="dxa"/>
          </w:tcPr>
          <w:p w14:paraId="6962D2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32733.75</w:t>
            </w:r>
          </w:p>
        </w:tc>
        <w:tc>
          <w:tcPr>
            <w:tcW w:w="1620" w:type="dxa"/>
          </w:tcPr>
          <w:p w14:paraId="0F2DE0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54556.25</w:t>
            </w:r>
          </w:p>
        </w:tc>
      </w:tr>
      <w:tr w:rsidR="00B9131A" w14:paraId="763F91D2" w14:textId="77777777">
        <w:tc>
          <w:tcPr>
            <w:tcW w:w="3348" w:type="dxa"/>
          </w:tcPr>
          <w:p w14:paraId="0014F69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996" w:type="dxa"/>
          </w:tcPr>
          <w:p w14:paraId="3F4428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3525306.88</w:t>
            </w:r>
          </w:p>
        </w:tc>
        <w:tc>
          <w:tcPr>
            <w:tcW w:w="1620" w:type="dxa"/>
          </w:tcPr>
          <w:p w14:paraId="34C5A70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2643980.1594</w:t>
            </w:r>
          </w:p>
        </w:tc>
        <w:tc>
          <w:tcPr>
            <w:tcW w:w="1620" w:type="dxa"/>
          </w:tcPr>
          <w:p w14:paraId="1DA5A1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tc>
      </w:tr>
      <w:tr w:rsidR="00B9131A" w14:paraId="6E6FB6E3" w14:textId="77777777">
        <w:tc>
          <w:tcPr>
            <w:tcW w:w="3348" w:type="dxa"/>
          </w:tcPr>
          <w:p w14:paraId="7FCA0CC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cost-base case (NGN)</w:t>
            </w:r>
          </w:p>
        </w:tc>
        <w:tc>
          <w:tcPr>
            <w:tcW w:w="996" w:type="dxa"/>
          </w:tcPr>
          <w:p w14:paraId="05588F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9642827.03</w:t>
            </w:r>
          </w:p>
        </w:tc>
        <w:tc>
          <w:tcPr>
            <w:tcW w:w="1620" w:type="dxa"/>
          </w:tcPr>
          <w:p w14:paraId="317A62D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7232120.2748</w:t>
            </w:r>
          </w:p>
        </w:tc>
        <w:tc>
          <w:tcPr>
            <w:tcW w:w="1620" w:type="dxa"/>
          </w:tcPr>
          <w:p w14:paraId="3F2E4DE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12053533.80</w:t>
            </w:r>
          </w:p>
        </w:tc>
      </w:tr>
      <w:tr w:rsidR="00B9131A" w14:paraId="13B4D12F" w14:textId="77777777">
        <w:tc>
          <w:tcPr>
            <w:tcW w:w="3348" w:type="dxa"/>
          </w:tcPr>
          <w:p w14:paraId="4EC81B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Debit rate (%)</w:t>
            </w:r>
          </w:p>
        </w:tc>
        <w:tc>
          <w:tcPr>
            <w:tcW w:w="996" w:type="dxa"/>
          </w:tcPr>
          <w:p w14:paraId="6DC4790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620" w:type="dxa"/>
          </w:tcPr>
          <w:p w14:paraId="2562FCE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52.50</w:t>
            </w:r>
          </w:p>
        </w:tc>
        <w:tc>
          <w:tcPr>
            <w:tcW w:w="1620" w:type="dxa"/>
          </w:tcPr>
          <w:p w14:paraId="618DB0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87.50</w:t>
            </w:r>
          </w:p>
        </w:tc>
      </w:tr>
      <w:tr w:rsidR="00B9131A" w14:paraId="0C316A10" w14:textId="77777777">
        <w:tc>
          <w:tcPr>
            <w:tcW w:w="3348" w:type="dxa"/>
          </w:tcPr>
          <w:p w14:paraId="1AC9BE4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Debit interest rate (%)</w:t>
            </w:r>
          </w:p>
        </w:tc>
        <w:tc>
          <w:tcPr>
            <w:tcW w:w="996" w:type="dxa"/>
          </w:tcPr>
          <w:p w14:paraId="4895B19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620" w:type="dxa"/>
          </w:tcPr>
          <w:p w14:paraId="31C9C03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5.25</w:t>
            </w:r>
          </w:p>
        </w:tc>
        <w:tc>
          <w:tcPr>
            <w:tcW w:w="1620" w:type="dxa"/>
          </w:tcPr>
          <w:p w14:paraId="23E1100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8.75</w:t>
            </w:r>
          </w:p>
        </w:tc>
      </w:tr>
      <w:tr w:rsidR="00B9131A" w14:paraId="72E77F73" w14:textId="77777777">
        <w:tc>
          <w:tcPr>
            <w:tcW w:w="3348" w:type="dxa"/>
          </w:tcPr>
          <w:p w14:paraId="5EBEA9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term (year)</w:t>
            </w:r>
          </w:p>
        </w:tc>
        <w:tc>
          <w:tcPr>
            <w:tcW w:w="996" w:type="dxa"/>
          </w:tcPr>
          <w:p w14:paraId="536BFF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620" w:type="dxa"/>
          </w:tcPr>
          <w:p w14:paraId="713AA1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7.50</w:t>
            </w:r>
          </w:p>
        </w:tc>
        <w:tc>
          <w:tcPr>
            <w:tcW w:w="1620" w:type="dxa"/>
          </w:tcPr>
          <w:p w14:paraId="715C09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12.50</w:t>
            </w:r>
          </w:p>
        </w:tc>
      </w:tr>
    </w:tbl>
    <w:p w14:paraId="36114A27" w14:textId="77777777" w:rsidR="00B9131A" w:rsidRDefault="00B9131A">
      <w:pPr>
        <w:spacing w:line="276" w:lineRule="auto"/>
        <w:jc w:val="both"/>
        <w:rPr>
          <w:rFonts w:ascii="Times New Roman" w:hAnsi="Times New Roman" w:cs="Times New Roman"/>
        </w:rPr>
      </w:pPr>
    </w:p>
    <w:p w14:paraId="505678E2" w14:textId="77777777" w:rsidR="00B9131A" w:rsidRDefault="00B9131A">
      <w:pPr>
        <w:spacing w:line="276" w:lineRule="auto"/>
        <w:jc w:val="both"/>
        <w:rPr>
          <w:rFonts w:ascii="Times New Roman" w:hAnsi="Times New Roman" w:cs="Times New Roman"/>
        </w:rPr>
      </w:pPr>
    </w:p>
    <w:p w14:paraId="20685137"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58DAC17A" wp14:editId="5B3D594F">
            <wp:extent cx="5274945" cy="2017395"/>
            <wp:effectExtent l="0" t="0" r="1905" b="1905"/>
            <wp:docPr id="1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1"/>
                    <pic:cNvPicPr/>
                  </pic:nvPicPr>
                  <pic:blipFill>
                    <a:blip r:embed="rId157" cstate="print"/>
                    <a:srcRect/>
                    <a:stretch/>
                  </pic:blipFill>
                  <pic:spPr>
                    <a:xfrm>
                      <a:off x="0" y="0"/>
                      <a:ext cx="5274945" cy="2017395"/>
                    </a:xfrm>
                    <a:prstGeom prst="rect">
                      <a:avLst/>
                    </a:prstGeom>
                  </pic:spPr>
                </pic:pic>
              </a:graphicData>
            </a:graphic>
          </wp:inline>
        </w:drawing>
      </w:r>
    </w:p>
    <w:p w14:paraId="5D008006"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rPr>
        <w:t xml:space="preserve">Figure 17: </w:t>
      </w:r>
      <w:r>
        <w:rPr>
          <w:rFonts w:ascii="Times New Roman" w:eastAsia="Times New Roman" w:hAnsi="Times New Roman" w:cs="Times New Roman"/>
          <w:kern w:val="0"/>
          <w14:ligatures w14:val="none"/>
        </w:rPr>
        <w:t>Relative Impact of Parameters on the NPV</w:t>
      </w:r>
    </w:p>
    <w:p w14:paraId="773C463C" w14:textId="77777777" w:rsidR="00B9131A" w:rsidRDefault="00B6370D">
      <w:pPr>
        <w:spacing w:line="276" w:lineRule="auto"/>
        <w:jc w:val="both"/>
        <w:rPr>
          <w:rFonts w:ascii="Times New Roman" w:hAnsi="Times New Roman" w:cs="Times New Roman"/>
        </w:rPr>
      </w:pPr>
      <w:r>
        <w:rPr>
          <w:rFonts w:ascii="Times New Roman" w:eastAsia="Times New Roman" w:hAnsi="Times New Roman" w:cs="Times New Roman"/>
          <w:kern w:val="0"/>
          <w14:ligatures w14:val="none"/>
        </w:rPr>
        <w:t xml:space="preserve">Furthermore, the risk analysis as conducted on the equity payback period of the designed grid connected PV system revealed the </w:t>
      </w:r>
      <w:proofErr w:type="spellStart"/>
      <w:r>
        <w:rPr>
          <w:rFonts w:ascii="Times New Roman" w:eastAsia="Times New Roman" w:hAnsi="Times New Roman" w:cs="Times New Roman"/>
          <w:kern w:val="0"/>
          <w14:ligatures w14:val="none"/>
        </w:rPr>
        <w:t>the</w:t>
      </w:r>
      <w:proofErr w:type="spellEnd"/>
      <w:r>
        <w:rPr>
          <w:rFonts w:ascii="Times New Roman" w:eastAsia="Times New Roman" w:hAnsi="Times New Roman" w:cs="Times New Roman"/>
          <w:kern w:val="0"/>
          <w14:ligatures w14:val="none"/>
        </w:rPr>
        <w:t xml:space="preserve"> minimum and maximum within level of confidence of 0.56 year and 0.84 year respectively with median of 0.84 year. Figure 18 pr</w:t>
      </w:r>
      <w:r>
        <w:rPr>
          <w:rFonts w:ascii="Times New Roman" w:eastAsia="Times New Roman" w:hAnsi="Times New Roman" w:cs="Times New Roman"/>
          <w:kern w:val="0"/>
          <w14:ligatures w14:val="none"/>
        </w:rPr>
        <w:t>esents the relative impact of parameters considered on the payback period. Hence, it is clearly proven that apart from the part that the proposed design is profitable, it also has short equity payback period that is less than a year.</w:t>
      </w:r>
    </w:p>
    <w:p w14:paraId="5E5F66C1"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B980C6E" wp14:editId="7321C4E7">
            <wp:extent cx="5274945" cy="1913889"/>
            <wp:effectExtent l="0" t="0" r="1905" b="0"/>
            <wp:docPr id="1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1"/>
                    <pic:cNvPicPr/>
                  </pic:nvPicPr>
                  <pic:blipFill>
                    <a:blip r:embed="rId158" cstate="print"/>
                    <a:srcRect/>
                    <a:stretch/>
                  </pic:blipFill>
                  <pic:spPr>
                    <a:xfrm>
                      <a:off x="0" y="0"/>
                      <a:ext cx="5274945" cy="1913889"/>
                    </a:xfrm>
                    <a:prstGeom prst="rect">
                      <a:avLst/>
                    </a:prstGeom>
                  </pic:spPr>
                </pic:pic>
              </a:graphicData>
            </a:graphic>
          </wp:inline>
        </w:drawing>
      </w:r>
    </w:p>
    <w:p w14:paraId="0CF5D6CE"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 xml:space="preserve">Figure 18: </w:t>
      </w:r>
      <w:r>
        <w:rPr>
          <w:rFonts w:ascii="Times New Roman" w:eastAsia="Times New Roman" w:hAnsi="Times New Roman" w:cs="Times New Roman"/>
          <w:kern w:val="0"/>
          <w14:ligatures w14:val="none"/>
        </w:rPr>
        <w:t xml:space="preserve">Relative </w:t>
      </w:r>
      <w:r>
        <w:rPr>
          <w:rFonts w:ascii="Times New Roman" w:eastAsia="Times New Roman" w:hAnsi="Times New Roman" w:cs="Times New Roman"/>
          <w:kern w:val="0"/>
          <w14:ligatures w14:val="none"/>
        </w:rPr>
        <w:t>Impact of Parameters on the Equity Payback Period</w:t>
      </w:r>
    </w:p>
    <w:p w14:paraId="4E3E4466" w14:textId="77777777" w:rsidR="00B9131A" w:rsidRDefault="00B6370D">
      <w:pPr>
        <w:spacing w:line="276" w:lineRule="auto"/>
        <w:rPr>
          <w:rFonts w:ascii="Times New Roman" w:hAnsi="Times New Roman" w:cs="Times New Roman"/>
        </w:rPr>
      </w:pPr>
      <w:r>
        <w:rPr>
          <w:rFonts w:ascii="Times New Roman" w:hAnsi="Times New Roman" w:cs="Times New Roman"/>
        </w:rPr>
        <w:t>Conclusion:</w:t>
      </w:r>
    </w:p>
    <w:p w14:paraId="45D2D34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design and evaluation of the techno-economic and environmental benefits of an optimized grid-connected PV system were carried out in this study using HOMER and </w:t>
      </w:r>
      <w:proofErr w:type="spellStart"/>
      <w:r>
        <w:rPr>
          <w:rFonts w:ascii="Times New Roman" w:hAnsi="Times New Roman" w:cs="Times New Roman"/>
        </w:rPr>
        <w:t>RETScreen</w:t>
      </w:r>
      <w:proofErr w:type="spellEnd"/>
      <w:r>
        <w:rPr>
          <w:rFonts w:ascii="Times New Roman" w:hAnsi="Times New Roman" w:cs="Times New Roman"/>
        </w:rPr>
        <w:t xml:space="preserve"> software to improve epileptic power supply of National Museum of Unity, located at </w:t>
      </w:r>
      <w:proofErr w:type="spellStart"/>
      <w:r>
        <w:rPr>
          <w:rFonts w:ascii="Times New Roman" w:hAnsi="Times New Roman" w:cs="Times New Roman"/>
        </w:rPr>
        <w:t>Aleshinloye</w:t>
      </w:r>
      <w:proofErr w:type="spellEnd"/>
      <w:r>
        <w:rPr>
          <w:rFonts w:ascii="Times New Roman" w:hAnsi="Times New Roman" w:cs="Times New Roman"/>
        </w:rPr>
        <w:t xml:space="preserve">, Ibadan, Nigeria. The following conclusions were drawn from the outcome of this study: </w:t>
      </w:r>
    </w:p>
    <w:p w14:paraId="4400E712" w14:textId="77777777"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The feasibility study of the proposed museum was conducted by evaluating</w:t>
      </w:r>
      <w:r>
        <w:rPr>
          <w:rFonts w:ascii="Times New Roman" w:hAnsi="Times New Roman" w:cs="Times New Roman"/>
        </w:rPr>
        <w:t xml:space="preserve"> the load demand and also considering the abundance of the weather resources of the location. The outcome of this evaluation revealed that the solar irradiance of the location is high close to 1000 watt-</w:t>
      </w:r>
      <w:proofErr w:type="spellStart"/>
      <w:r>
        <w:rPr>
          <w:rFonts w:ascii="Times New Roman" w:hAnsi="Times New Roman" w:cs="Times New Roman"/>
        </w:rPr>
        <w:t>hr</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 xml:space="preserve"> which is the irradiance at standard test condit</w:t>
      </w:r>
      <w:r>
        <w:rPr>
          <w:rFonts w:ascii="Times New Roman" w:hAnsi="Times New Roman" w:cs="Times New Roman"/>
        </w:rPr>
        <w:t>ion. Not only this, the irradiance hourly profile has a similar pattern with the load demand profile of the building. These validate the applicability of PV system in the proposed location.</w:t>
      </w:r>
    </w:p>
    <w:p w14:paraId="71AD7CEC" w14:textId="77777777"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HOMER software was used to determine the optimal sizes of the mode</w:t>
      </w:r>
      <w:r>
        <w:rPr>
          <w:rFonts w:ascii="Times New Roman" w:hAnsi="Times New Roman" w:cs="Times New Roman"/>
        </w:rPr>
        <w:t>led components. The outcome of HOMER simulation shows the optimal size of PV, battery and power converter that can offer the intended technical, economic and environmental benefits. The simulation showed that battery storage system in insignificant in a gr</w:t>
      </w:r>
      <w:r>
        <w:rPr>
          <w:rFonts w:ascii="Times New Roman" w:hAnsi="Times New Roman" w:cs="Times New Roman"/>
        </w:rPr>
        <w:t xml:space="preserve">id connected PV system where the grid is always available and accessible, but where the grid is not always available, a battery storage plays a vital role. </w:t>
      </w:r>
    </w:p>
    <w:p w14:paraId="279E4C58" w14:textId="77777777"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RETScreen</w:t>
      </w:r>
      <w:proofErr w:type="spellEnd"/>
      <w:r>
        <w:rPr>
          <w:rFonts w:ascii="Times New Roman" w:hAnsi="Times New Roman" w:cs="Times New Roman"/>
        </w:rPr>
        <w:t xml:space="preserve"> software was used to analysis the technical, economic and environmental viability of the HOMER-optimized grid connected power system and the comprehensive results showed that the proposed system, if implemented can offer a very huge return within a short </w:t>
      </w:r>
      <w:r>
        <w:rPr>
          <w:rFonts w:ascii="Times New Roman" w:hAnsi="Times New Roman" w:cs="Times New Roman"/>
        </w:rPr>
        <w:t>period of time. Furthermore, the proposed grid connected PV system reduce the greenhouse gases (GHG) emission of the grid by 63.4% when compared to using only grid supplied electricity, this implies that the implementation of this project will not only pro</w:t>
      </w:r>
      <w:r>
        <w:rPr>
          <w:rFonts w:ascii="Times New Roman" w:hAnsi="Times New Roman" w:cs="Times New Roman"/>
        </w:rPr>
        <w:t>ffer financial benefit, but will also reduce the emission of GHG and promote a healthy and safer environment.</w:t>
      </w:r>
    </w:p>
    <w:p w14:paraId="2116F641" w14:textId="2A8E6120" w:rsidR="00577277" w:rsidRDefault="00B6370D">
      <w:pPr>
        <w:spacing w:line="276" w:lineRule="auto"/>
        <w:rPr>
          <w:rFonts w:ascii="Times New Roman" w:hAnsi="Times New Roman" w:cs="Times New Roman"/>
        </w:rPr>
      </w:pPr>
      <w:r>
        <w:rPr>
          <w:rFonts w:ascii="Times New Roman" w:hAnsi="Times New Roman" w:cs="Times New Roman"/>
        </w:rPr>
        <w:t>The implementation of this research is strongly recommended to the Federal Government of Nigeria and other stake holders of National Museum of Uni</w:t>
      </w:r>
      <w:r>
        <w:rPr>
          <w:rFonts w:ascii="Times New Roman" w:hAnsi="Times New Roman" w:cs="Times New Roman"/>
        </w:rPr>
        <w:t xml:space="preserve">ty (NMU), Ibadan. Although the </w:t>
      </w:r>
      <w:r>
        <w:rPr>
          <w:rFonts w:ascii="Times New Roman" w:hAnsi="Times New Roman" w:cs="Times New Roman"/>
        </w:rPr>
        <w:lastRenderedPageBreak/>
        <w:t>work proposed NMU at Ibadan, other tourist and public centers can consider the implementation of this research.</w:t>
      </w:r>
    </w:p>
    <w:p w14:paraId="78D6877F" w14:textId="77777777" w:rsidR="00B9131A" w:rsidRDefault="00B6370D">
      <w:pPr>
        <w:spacing w:line="276" w:lineRule="auto"/>
        <w:rPr>
          <w:rFonts w:ascii="Times New Roman" w:hAnsi="Times New Roman" w:cs="Times New Roman"/>
        </w:rPr>
      </w:pPr>
      <w:r>
        <w:rPr>
          <w:rFonts w:ascii="Times New Roman" w:hAnsi="Times New Roman" w:cs="Times New Roman"/>
        </w:rPr>
        <w:t>References</w:t>
      </w:r>
    </w:p>
    <w:p w14:paraId="59190D58"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Acakpovi</w:t>
      </w:r>
      <w:proofErr w:type="spellEnd"/>
      <w:r>
        <w:rPr>
          <w:rFonts w:ascii="Times New Roman" w:hAnsi="Times New Roman" w:cs="Times New Roman"/>
        </w:rPr>
        <w:t xml:space="preserve"> A, Hagan E ben and </w:t>
      </w:r>
      <w:proofErr w:type="spellStart"/>
      <w:r>
        <w:rPr>
          <w:rFonts w:ascii="Times New Roman" w:hAnsi="Times New Roman" w:cs="Times New Roman"/>
        </w:rPr>
        <w:t>Fifatin</w:t>
      </w:r>
      <w:proofErr w:type="spellEnd"/>
      <w:r>
        <w:rPr>
          <w:rFonts w:ascii="Times New Roman" w:hAnsi="Times New Roman" w:cs="Times New Roman"/>
        </w:rPr>
        <w:t xml:space="preserve"> F X 2015 Cost Optimization of an Electrical Energy Supply from a Hybrid Solar, </w:t>
      </w:r>
      <w:r>
        <w:rPr>
          <w:rFonts w:ascii="Times New Roman" w:hAnsi="Times New Roman" w:cs="Times New Roman"/>
          <w:i/>
        </w:rPr>
        <w:t>Wind an</w:t>
      </w:r>
      <w:r>
        <w:rPr>
          <w:rFonts w:ascii="Times New Roman" w:hAnsi="Times New Roman" w:cs="Times New Roman"/>
          <w:i/>
        </w:rPr>
        <w:t xml:space="preserve">d Hydropower Plant International Journal of Computer Applications </w:t>
      </w:r>
      <w:r>
        <w:rPr>
          <w:rFonts w:ascii="Times New Roman" w:hAnsi="Times New Roman" w:cs="Times New Roman"/>
        </w:rPr>
        <w:t>114 975–8887.</w:t>
      </w:r>
    </w:p>
    <w:p w14:paraId="3121CCB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Achirgbenda</w:t>
      </w:r>
      <w:proofErr w:type="spellEnd"/>
      <w:r>
        <w:rPr>
          <w:rFonts w:ascii="Times New Roman" w:hAnsi="Times New Roman" w:cs="Times New Roman"/>
        </w:rPr>
        <w:t xml:space="preserve">, V. T., </w:t>
      </w:r>
      <w:proofErr w:type="spellStart"/>
      <w:r>
        <w:rPr>
          <w:rFonts w:ascii="Times New Roman" w:hAnsi="Times New Roman" w:cs="Times New Roman"/>
        </w:rPr>
        <w:t>Kuhe</w:t>
      </w:r>
      <w:proofErr w:type="spellEnd"/>
      <w:r>
        <w:rPr>
          <w:rFonts w:ascii="Times New Roman" w:hAnsi="Times New Roman" w:cs="Times New Roman"/>
        </w:rPr>
        <w:t>, A., and Okoli, K. (2020). Techno-economic feasibility assessment of a solar-biomass-diesel energy system for a remote rural health facility in Nigeria</w:t>
      </w:r>
      <w:r>
        <w:rPr>
          <w:rFonts w:ascii="Times New Roman" w:hAnsi="Times New Roman" w:cs="Times New Roman"/>
        </w:rPr>
        <w:t>. Energy Sources, Part A: Recovery, Utilization, and Environmental Effects, 1-18.</w:t>
      </w:r>
    </w:p>
    <w:p w14:paraId="78B6BFC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Al Garni, H. Z., Awasthi, A., and Ramli, M. A. (2018). Optimal design and analysis of grid-connected photovoltaic under different tracking systems using HOMER. </w:t>
      </w:r>
      <w:r>
        <w:rPr>
          <w:rFonts w:ascii="Times New Roman" w:hAnsi="Times New Roman" w:cs="Times New Roman"/>
          <w:i/>
        </w:rPr>
        <w:t>Energy convers</w:t>
      </w:r>
      <w:r>
        <w:rPr>
          <w:rFonts w:ascii="Times New Roman" w:hAnsi="Times New Roman" w:cs="Times New Roman"/>
          <w:i/>
        </w:rPr>
        <w:t>ion and management</w:t>
      </w:r>
      <w:r>
        <w:rPr>
          <w:rFonts w:ascii="Times New Roman" w:hAnsi="Times New Roman" w:cs="Times New Roman"/>
        </w:rPr>
        <w:t>, 155: 42-57.</w:t>
      </w:r>
    </w:p>
    <w:p w14:paraId="15E8EDF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Alabi, A. A., </w:t>
      </w:r>
      <w:proofErr w:type="spellStart"/>
      <w:r>
        <w:rPr>
          <w:rFonts w:ascii="Times New Roman" w:hAnsi="Times New Roman" w:cs="Times New Roman"/>
        </w:rPr>
        <w:t>Adoghe</w:t>
      </w:r>
      <w:proofErr w:type="spellEnd"/>
      <w:r>
        <w:rPr>
          <w:rFonts w:ascii="Times New Roman" w:hAnsi="Times New Roman" w:cs="Times New Roman"/>
        </w:rPr>
        <w:t xml:space="preserve">, A. U., Ogunleye, O. G., and </w:t>
      </w:r>
      <w:proofErr w:type="spellStart"/>
      <w:r>
        <w:rPr>
          <w:rFonts w:ascii="Times New Roman" w:hAnsi="Times New Roman" w:cs="Times New Roman"/>
        </w:rPr>
        <w:t>Awosope</w:t>
      </w:r>
      <w:proofErr w:type="spellEnd"/>
      <w:r>
        <w:rPr>
          <w:rFonts w:ascii="Times New Roman" w:hAnsi="Times New Roman" w:cs="Times New Roman"/>
        </w:rPr>
        <w:t xml:space="preserve">, C. O. (2019). Development and sizing of a grid-connected solar PV power plant for </w:t>
      </w:r>
      <w:proofErr w:type="spellStart"/>
      <w:r>
        <w:rPr>
          <w:rFonts w:ascii="Times New Roman" w:hAnsi="Times New Roman" w:cs="Times New Roman"/>
        </w:rPr>
        <w:t>Canaanland</w:t>
      </w:r>
      <w:proofErr w:type="spellEnd"/>
      <w:r>
        <w:rPr>
          <w:rFonts w:ascii="Times New Roman" w:hAnsi="Times New Roman" w:cs="Times New Roman"/>
        </w:rPr>
        <w:t xml:space="preserve"> community. </w:t>
      </w:r>
      <w:r>
        <w:rPr>
          <w:rFonts w:ascii="Times New Roman" w:hAnsi="Times New Roman" w:cs="Times New Roman"/>
          <w:i/>
        </w:rPr>
        <w:t>Int. J. Appl. Power Eng. IJAPE</w:t>
      </w:r>
      <w:r>
        <w:rPr>
          <w:rFonts w:ascii="Times New Roman" w:hAnsi="Times New Roman" w:cs="Times New Roman"/>
        </w:rPr>
        <w:t>, 8(1), 69.</w:t>
      </w:r>
    </w:p>
    <w:p w14:paraId="23FE1C7C"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Albogamy</w:t>
      </w:r>
      <w:proofErr w:type="spellEnd"/>
      <w:r>
        <w:rPr>
          <w:rFonts w:ascii="Times New Roman" w:hAnsi="Times New Roman" w:cs="Times New Roman"/>
        </w:rPr>
        <w:t>, F. R., Pa</w:t>
      </w:r>
      <w:r>
        <w:rPr>
          <w:rFonts w:ascii="Times New Roman" w:hAnsi="Times New Roman" w:cs="Times New Roman"/>
        </w:rPr>
        <w:t xml:space="preserve">racha, M. Y. I., Hafeez, G., Khan, I., </w:t>
      </w:r>
      <w:proofErr w:type="spellStart"/>
      <w:r>
        <w:rPr>
          <w:rFonts w:ascii="Times New Roman" w:hAnsi="Times New Roman" w:cs="Times New Roman"/>
        </w:rPr>
        <w:t>Murawwat</w:t>
      </w:r>
      <w:proofErr w:type="spellEnd"/>
      <w:r>
        <w:rPr>
          <w:rFonts w:ascii="Times New Roman" w:hAnsi="Times New Roman" w:cs="Times New Roman"/>
        </w:rPr>
        <w:t xml:space="preserve">, S., Rukh, G., and Khan, M. U. A. (2022). Real-time scheduling for optimal energy optimization in smart grid integrated with renewable energy sources. </w:t>
      </w:r>
      <w:r>
        <w:rPr>
          <w:rFonts w:ascii="Times New Roman" w:hAnsi="Times New Roman" w:cs="Times New Roman"/>
          <w:i/>
        </w:rPr>
        <w:t>IEEE Access</w:t>
      </w:r>
      <w:r>
        <w:rPr>
          <w:rFonts w:ascii="Times New Roman" w:hAnsi="Times New Roman" w:cs="Times New Roman"/>
        </w:rPr>
        <w:t>, 10, 35498-35520.</w:t>
      </w:r>
    </w:p>
    <w:p w14:paraId="66978F45"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Asamoah, S. S., </w:t>
      </w:r>
      <w:proofErr w:type="spellStart"/>
      <w:r>
        <w:rPr>
          <w:rFonts w:ascii="Times New Roman" w:hAnsi="Times New Roman" w:cs="Times New Roman"/>
        </w:rPr>
        <w:t>Parbey</w:t>
      </w:r>
      <w:proofErr w:type="spellEnd"/>
      <w:r>
        <w:rPr>
          <w:rFonts w:ascii="Times New Roman" w:hAnsi="Times New Roman" w:cs="Times New Roman"/>
        </w:rPr>
        <w:t>, J.,</w:t>
      </w:r>
      <w:r>
        <w:rPr>
          <w:rFonts w:ascii="Times New Roman" w:hAnsi="Times New Roman" w:cs="Times New Roman"/>
        </w:rPr>
        <w:t xml:space="preserve"> Yankey, I. K., and Awuah, A. (2023). Techno-economic assessment of a central grid-connected wind farm in Ghana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proofErr w:type="spellStart"/>
      <w:r>
        <w:rPr>
          <w:rFonts w:ascii="Times New Roman" w:hAnsi="Times New Roman" w:cs="Times New Roman"/>
        </w:rPr>
        <w:t>Heliyon</w:t>
      </w:r>
      <w:proofErr w:type="spellEnd"/>
      <w:r>
        <w:rPr>
          <w:rFonts w:ascii="Times New Roman" w:hAnsi="Times New Roman" w:cs="Times New Roman"/>
        </w:rPr>
        <w:t>, 9(1).</w:t>
      </w:r>
    </w:p>
    <w:p w14:paraId="5F603C2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color w:val="222222"/>
          <w:shd w:val="clear" w:color="auto" w:fill="FFFFFF"/>
        </w:rPr>
        <w:t xml:space="preserve">Asamoah, S. S., </w:t>
      </w:r>
      <w:proofErr w:type="spellStart"/>
      <w:r>
        <w:rPr>
          <w:rFonts w:ascii="Times New Roman" w:hAnsi="Times New Roman" w:cs="Times New Roman"/>
          <w:color w:val="222222"/>
          <w:shd w:val="clear" w:color="auto" w:fill="FFFFFF"/>
        </w:rPr>
        <w:t>Parbey</w:t>
      </w:r>
      <w:proofErr w:type="spellEnd"/>
      <w:r>
        <w:rPr>
          <w:rFonts w:ascii="Times New Roman" w:hAnsi="Times New Roman" w:cs="Times New Roman"/>
          <w:color w:val="222222"/>
          <w:shd w:val="clear" w:color="auto" w:fill="FFFFFF"/>
        </w:rPr>
        <w:t>, J., Yankey, I. K., and Awuah, A. (2023). Techno-economic assessment of a central</w:t>
      </w:r>
      <w:r>
        <w:rPr>
          <w:rFonts w:ascii="Times New Roman" w:hAnsi="Times New Roman" w:cs="Times New Roman"/>
          <w:color w:val="222222"/>
          <w:shd w:val="clear" w:color="auto" w:fill="FFFFFF"/>
        </w:rPr>
        <w:t xml:space="preserve"> grid-connected wind farm in Ghana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Expert. </w:t>
      </w:r>
      <w:proofErr w:type="spellStart"/>
      <w:r>
        <w:rPr>
          <w:rFonts w:ascii="Times New Roman" w:hAnsi="Times New Roman" w:cs="Times New Roman"/>
          <w:i/>
          <w:iCs/>
          <w:color w:val="222222"/>
          <w:shd w:val="clear" w:color="auto" w:fill="FFFFFF"/>
        </w:rPr>
        <w:t>Heliyon</w:t>
      </w:r>
      <w:proofErr w:type="spellEnd"/>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9</w:t>
      </w:r>
      <w:r>
        <w:rPr>
          <w:rFonts w:ascii="Times New Roman" w:hAnsi="Times New Roman" w:cs="Times New Roman"/>
          <w:color w:val="222222"/>
          <w:shd w:val="clear" w:color="auto" w:fill="FFFFFF"/>
        </w:rPr>
        <w:t>(1).</w:t>
      </w:r>
    </w:p>
    <w:p w14:paraId="09F1A30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Baba, A. A., Rahman, M. M., Saat, A., and Wahid, M. A. (2020). Electrification through Renewable Resources in a Rural Area in Nigeria: Design, Optimization and </w:t>
      </w:r>
      <w:proofErr w:type="spellStart"/>
      <w:r>
        <w:rPr>
          <w:rFonts w:ascii="Times New Roman" w:hAnsi="Times New Roman" w:cs="Times New Roman"/>
        </w:rPr>
        <w:t>echno</w:t>
      </w:r>
      <w:proofErr w:type="spellEnd"/>
      <w:r>
        <w:rPr>
          <w:rFonts w:ascii="Times New Roman" w:hAnsi="Times New Roman" w:cs="Times New Roman"/>
        </w:rPr>
        <w:t>-Economic Evalua</w:t>
      </w:r>
      <w:r>
        <w:rPr>
          <w:rFonts w:ascii="Times New Roman" w:hAnsi="Times New Roman" w:cs="Times New Roman"/>
        </w:rPr>
        <w:t>tion.</w:t>
      </w:r>
    </w:p>
    <w:p w14:paraId="16090A9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Babalola, A. O. (2023). Estimation of total GHG related emissions during the construction of a 3-bedroom bungalow in Nigeria.</w:t>
      </w:r>
    </w:p>
    <w:p w14:paraId="73E8B0D3"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Babatunde, O., </w:t>
      </w:r>
      <w:proofErr w:type="spellStart"/>
      <w:r>
        <w:rPr>
          <w:rFonts w:ascii="Times New Roman" w:hAnsi="Times New Roman" w:cs="Times New Roman"/>
        </w:rPr>
        <w:t>Denwigwe</w:t>
      </w:r>
      <w:proofErr w:type="spellEnd"/>
      <w:r>
        <w:rPr>
          <w:rFonts w:ascii="Times New Roman" w:hAnsi="Times New Roman" w:cs="Times New Roman"/>
        </w:rPr>
        <w:t xml:space="preserve">, I., </w:t>
      </w:r>
      <w:proofErr w:type="spellStart"/>
      <w:r>
        <w:rPr>
          <w:rFonts w:ascii="Times New Roman" w:hAnsi="Times New Roman" w:cs="Times New Roman"/>
        </w:rPr>
        <w:t>Oyebode</w:t>
      </w:r>
      <w:proofErr w:type="spellEnd"/>
      <w:r>
        <w:rPr>
          <w:rFonts w:ascii="Times New Roman" w:hAnsi="Times New Roman" w:cs="Times New Roman"/>
        </w:rPr>
        <w:t xml:space="preserve">, O., </w:t>
      </w:r>
      <w:proofErr w:type="spellStart"/>
      <w:r>
        <w:rPr>
          <w:rFonts w:ascii="Times New Roman" w:hAnsi="Times New Roman" w:cs="Times New Roman"/>
        </w:rPr>
        <w:t>Ighravwe</w:t>
      </w:r>
      <w:proofErr w:type="spellEnd"/>
      <w:r>
        <w:rPr>
          <w:rFonts w:ascii="Times New Roman" w:hAnsi="Times New Roman" w:cs="Times New Roman"/>
        </w:rPr>
        <w:t xml:space="preserve">, D., </w:t>
      </w:r>
      <w:proofErr w:type="spellStart"/>
      <w:r>
        <w:rPr>
          <w:rFonts w:ascii="Times New Roman" w:hAnsi="Times New Roman" w:cs="Times New Roman"/>
        </w:rPr>
        <w:t>Ohiaeri</w:t>
      </w:r>
      <w:proofErr w:type="spellEnd"/>
      <w:r>
        <w:rPr>
          <w:rFonts w:ascii="Times New Roman" w:hAnsi="Times New Roman" w:cs="Times New Roman"/>
        </w:rPr>
        <w:t>, A. and Babatunde, D. (2022). Assessing the use of hybrid re</w:t>
      </w:r>
      <w:r>
        <w:rPr>
          <w:rFonts w:ascii="Times New Roman" w:hAnsi="Times New Roman" w:cs="Times New Roman"/>
        </w:rPr>
        <w:t xml:space="preserve">newable energy system with battery storage for power generation in a University in Nigeria. </w:t>
      </w:r>
      <w:r>
        <w:rPr>
          <w:rFonts w:ascii="Times New Roman" w:hAnsi="Times New Roman" w:cs="Times New Roman"/>
          <w:i/>
        </w:rPr>
        <w:t>Environmental Science and Pollution Research</w:t>
      </w:r>
      <w:r>
        <w:rPr>
          <w:rFonts w:ascii="Times New Roman" w:hAnsi="Times New Roman" w:cs="Times New Roman"/>
        </w:rPr>
        <w:t xml:space="preserve"> (2022) 29:4291–4310. https://doi.org/10.1007/s11356-021-15151-3</w:t>
      </w:r>
    </w:p>
    <w:p w14:paraId="40D48AA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Chaurasia, R., Gairola, S., and Pal, Y. (2022). Technic</w:t>
      </w:r>
      <w:r>
        <w:rPr>
          <w:rFonts w:ascii="Times New Roman" w:hAnsi="Times New Roman" w:cs="Times New Roman"/>
        </w:rPr>
        <w:t xml:space="preserve">al, economic feasibility and sensitivity analysis of solar photovoltaic/battery energy storage off‐grid integrated renewable energy system. </w:t>
      </w:r>
      <w:r>
        <w:rPr>
          <w:rFonts w:ascii="Times New Roman" w:hAnsi="Times New Roman" w:cs="Times New Roman"/>
          <w:i/>
        </w:rPr>
        <w:t>Energy Storage,</w:t>
      </w:r>
      <w:r>
        <w:rPr>
          <w:rFonts w:ascii="Times New Roman" w:hAnsi="Times New Roman" w:cs="Times New Roman"/>
        </w:rPr>
        <w:t xml:space="preserve"> 4(1), e283.</w:t>
      </w:r>
    </w:p>
    <w:p w14:paraId="34D8408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Dai, H., Jiang, B., Hu, X., Lin, X., Wei, X., and Pecht, M. (2021). Advanced battery management strategies for a sustainable energy future: Multilayer design concepts and research trends. </w:t>
      </w:r>
      <w:r>
        <w:rPr>
          <w:rFonts w:ascii="Times New Roman" w:hAnsi="Times New Roman" w:cs="Times New Roman"/>
          <w:i/>
        </w:rPr>
        <w:t>Renewable and Sustainable Energy Reviews,</w:t>
      </w:r>
      <w:r>
        <w:rPr>
          <w:rFonts w:ascii="Times New Roman" w:hAnsi="Times New Roman" w:cs="Times New Roman"/>
        </w:rPr>
        <w:t xml:space="preserve"> 138, 110480.</w:t>
      </w:r>
    </w:p>
    <w:p w14:paraId="67311BD1"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Edomah</w:t>
      </w:r>
      <w:proofErr w:type="spellEnd"/>
      <w:r>
        <w:rPr>
          <w:rFonts w:ascii="Times New Roman" w:hAnsi="Times New Roman" w:cs="Times New Roman"/>
        </w:rPr>
        <w:t>, N. (2</w:t>
      </w:r>
      <w:r>
        <w:rPr>
          <w:rFonts w:ascii="Times New Roman" w:hAnsi="Times New Roman" w:cs="Times New Roman"/>
        </w:rPr>
        <w:t xml:space="preserve">019). Governing sustainable industrial energy use: Energy transitions in Nigeria's manufacturing sector. </w:t>
      </w:r>
      <w:r>
        <w:rPr>
          <w:rFonts w:ascii="Times New Roman" w:hAnsi="Times New Roman" w:cs="Times New Roman"/>
          <w:i/>
        </w:rPr>
        <w:t>Journal of Cleaner Production</w:t>
      </w:r>
      <w:r>
        <w:rPr>
          <w:rFonts w:ascii="Times New Roman" w:hAnsi="Times New Roman" w:cs="Times New Roman"/>
        </w:rPr>
        <w:t>, 210, 620-629.</w:t>
      </w:r>
    </w:p>
    <w:p w14:paraId="6204FC69"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Fadayiro</w:t>
      </w:r>
      <w:proofErr w:type="spellEnd"/>
      <w:r>
        <w:rPr>
          <w:rFonts w:ascii="Times New Roman" w:hAnsi="Times New Roman" w:cs="Times New Roman"/>
        </w:rPr>
        <w:t>, A. A. (2022, September). Evaluation of Building Materials Using Energy Efficiency Criteria in Se</w:t>
      </w:r>
      <w:r>
        <w:rPr>
          <w:rFonts w:ascii="Times New Roman" w:hAnsi="Times New Roman" w:cs="Times New Roman"/>
        </w:rPr>
        <w:t>lected Museums in South-West Nigeria. In IOP Conference Series: Earth and Environmental Science (Vol. 1054, No. 1, p. 012019). IOP Publishing.</w:t>
      </w:r>
    </w:p>
    <w:p w14:paraId="74544007" w14:textId="77777777" w:rsidR="00B9131A" w:rsidRDefault="00B6370D">
      <w:pPr>
        <w:spacing w:before="240" w:line="276" w:lineRule="auto"/>
        <w:ind w:left="900" w:hanging="900"/>
        <w:jc w:val="both"/>
        <w:rPr>
          <w:rFonts w:ascii="Times New Roman" w:hAnsi="Times New Roman" w:cs="Times New Roman"/>
        </w:rPr>
      </w:pPr>
      <w:proofErr w:type="spellStart"/>
      <w:proofErr w:type="gramStart"/>
      <w:r>
        <w:rPr>
          <w:rFonts w:ascii="Times New Roman" w:hAnsi="Times New Roman" w:cs="Times New Roman"/>
        </w:rPr>
        <w:t>Firincă</w:t>
      </w:r>
      <w:proofErr w:type="spellEnd"/>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S.</w:t>
      </w:r>
      <w:proofErr w:type="gramEnd"/>
      <w:r>
        <w:rPr>
          <w:rFonts w:ascii="Times New Roman" w:hAnsi="Times New Roman" w:cs="Times New Roman"/>
        </w:rPr>
        <w:t xml:space="preserve"> D. and dan, M., I., (2015). Simulation of the System with Renewable Energy Source using HOMER Softwa</w:t>
      </w:r>
      <w:r>
        <w:rPr>
          <w:rFonts w:ascii="Times New Roman" w:hAnsi="Times New Roman" w:cs="Times New Roman"/>
        </w:rPr>
        <w:t>re. Journal of Sustainable, pp. 1-5.</w:t>
      </w:r>
    </w:p>
    <w:p w14:paraId="5F293E5C"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Ghribi</w:t>
      </w:r>
      <w:proofErr w:type="spellEnd"/>
      <w:r>
        <w:rPr>
          <w:rFonts w:ascii="Times New Roman" w:hAnsi="Times New Roman" w:cs="Times New Roman"/>
        </w:rPr>
        <w:t xml:space="preserve">, M. E. B., Garcia-Gutierrez, L., </w:t>
      </w:r>
      <w:proofErr w:type="spellStart"/>
      <w:r>
        <w:rPr>
          <w:rFonts w:ascii="Times New Roman" w:hAnsi="Times New Roman" w:cs="Times New Roman"/>
        </w:rPr>
        <w:t>Ternifi</w:t>
      </w:r>
      <w:proofErr w:type="spellEnd"/>
      <w:r>
        <w:rPr>
          <w:rFonts w:ascii="Times New Roman" w:hAnsi="Times New Roman" w:cs="Times New Roman"/>
        </w:rPr>
        <w:t xml:space="preserve">, Z. E. T., Zheng, Z., Bachir, G., and </w:t>
      </w:r>
      <w:proofErr w:type="spellStart"/>
      <w:r>
        <w:rPr>
          <w:rFonts w:ascii="Times New Roman" w:hAnsi="Times New Roman" w:cs="Times New Roman"/>
        </w:rPr>
        <w:t>Aillerie</w:t>
      </w:r>
      <w:proofErr w:type="spellEnd"/>
      <w:r>
        <w:rPr>
          <w:rFonts w:ascii="Times New Roman" w:hAnsi="Times New Roman" w:cs="Times New Roman"/>
        </w:rPr>
        <w:t xml:space="preserve">, M. (2024). Tracking the maximum power point of solar panels through direct estimation of optimum voltage with temperature. </w:t>
      </w:r>
      <w:r>
        <w:rPr>
          <w:rFonts w:ascii="Times New Roman" w:hAnsi="Times New Roman" w:cs="Times New Roman"/>
          <w:i/>
        </w:rPr>
        <w:t xml:space="preserve">Clean Energy, </w:t>
      </w:r>
      <w:r>
        <w:rPr>
          <w:rFonts w:ascii="Times New Roman" w:hAnsi="Times New Roman" w:cs="Times New Roman"/>
        </w:rPr>
        <w:t>zkae044.</w:t>
      </w:r>
    </w:p>
    <w:p w14:paraId="4C4A25F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Gómez-Beas, R., Contreras, E., Polo, M. J., and Aguilar, C. (2024). Stochastic Flow Analysis for Optimization of the Operationality in Run-of-River Hydroelectric Plants in Mountain Areas. </w:t>
      </w:r>
      <w:r>
        <w:rPr>
          <w:rFonts w:ascii="Times New Roman" w:hAnsi="Times New Roman" w:cs="Times New Roman"/>
          <w:i/>
        </w:rPr>
        <w:t>Energies,</w:t>
      </w:r>
      <w:r>
        <w:rPr>
          <w:rFonts w:ascii="Times New Roman" w:hAnsi="Times New Roman" w:cs="Times New Roman"/>
        </w:rPr>
        <w:t xml:space="preserve"> 17(7), 1705.</w:t>
      </w:r>
    </w:p>
    <w:p w14:paraId="539F46B3"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González-González, E., Martín-Jiménez, J., Sánchez-Aparicio, M., Del Pozo, S., and </w:t>
      </w:r>
      <w:proofErr w:type="spellStart"/>
      <w:r>
        <w:rPr>
          <w:rFonts w:ascii="Times New Roman" w:hAnsi="Times New Roman" w:cs="Times New Roman"/>
        </w:rPr>
        <w:t>Lagüela</w:t>
      </w:r>
      <w:proofErr w:type="spellEnd"/>
      <w:r>
        <w:rPr>
          <w:rFonts w:ascii="Times New Roman" w:hAnsi="Times New Roman" w:cs="Times New Roman"/>
        </w:rPr>
        <w:t xml:space="preserve">, S. (2022). Evaluating the standards for solar PV installations in the Iberian Peninsula: Analysis of tilt angles and determination of solar climate zones. </w:t>
      </w:r>
      <w:r>
        <w:rPr>
          <w:rFonts w:ascii="Times New Roman" w:hAnsi="Times New Roman" w:cs="Times New Roman"/>
          <w:i/>
        </w:rPr>
        <w:t>Sustainab</w:t>
      </w:r>
      <w:r>
        <w:rPr>
          <w:rFonts w:ascii="Times New Roman" w:hAnsi="Times New Roman" w:cs="Times New Roman"/>
          <w:i/>
        </w:rPr>
        <w:t>le Energy Technologies and Assessments</w:t>
      </w:r>
      <w:r>
        <w:rPr>
          <w:rFonts w:ascii="Times New Roman" w:hAnsi="Times New Roman" w:cs="Times New Roman"/>
        </w:rPr>
        <w:t>, 49, 101684.</w:t>
      </w:r>
    </w:p>
    <w:p w14:paraId="2068364B"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Hassan, A., Al-</w:t>
      </w:r>
      <w:proofErr w:type="spellStart"/>
      <w:r>
        <w:rPr>
          <w:rFonts w:ascii="Times New Roman" w:hAnsi="Times New Roman" w:cs="Times New Roman"/>
        </w:rPr>
        <w:t>Abdeli</w:t>
      </w:r>
      <w:proofErr w:type="spellEnd"/>
      <w:r>
        <w:rPr>
          <w:rFonts w:ascii="Times New Roman" w:hAnsi="Times New Roman" w:cs="Times New Roman"/>
        </w:rPr>
        <w:t>, Y. M., Masek, M., and Bass, O. (2022). Optimal sizing and energy scheduling of grid-supplemented solar PV systems with battery storage: Sensitivity of reliability and financial cons</w:t>
      </w:r>
      <w:r>
        <w:rPr>
          <w:rFonts w:ascii="Times New Roman" w:hAnsi="Times New Roman" w:cs="Times New Roman"/>
        </w:rPr>
        <w:t xml:space="preserve">traints. </w:t>
      </w:r>
      <w:r>
        <w:rPr>
          <w:rFonts w:ascii="Times New Roman" w:hAnsi="Times New Roman" w:cs="Times New Roman"/>
          <w:i/>
        </w:rPr>
        <w:t>Energy</w:t>
      </w:r>
      <w:r>
        <w:rPr>
          <w:rFonts w:ascii="Times New Roman" w:hAnsi="Times New Roman" w:cs="Times New Roman"/>
        </w:rPr>
        <w:t>, 238, 121780.</w:t>
      </w:r>
    </w:p>
    <w:p w14:paraId="58F798F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Hassan, Q., Hsu, C. Y., </w:t>
      </w:r>
      <w:proofErr w:type="spellStart"/>
      <w:r>
        <w:rPr>
          <w:rFonts w:ascii="Times New Roman" w:hAnsi="Times New Roman" w:cs="Times New Roman"/>
        </w:rPr>
        <w:t>Mounich</w:t>
      </w:r>
      <w:proofErr w:type="spellEnd"/>
      <w:r>
        <w:rPr>
          <w:rFonts w:ascii="Times New Roman" w:hAnsi="Times New Roman" w:cs="Times New Roman"/>
        </w:rPr>
        <w:t xml:space="preserve">, K., </w:t>
      </w:r>
      <w:proofErr w:type="spellStart"/>
      <w:r>
        <w:rPr>
          <w:rFonts w:ascii="Times New Roman" w:hAnsi="Times New Roman" w:cs="Times New Roman"/>
        </w:rPr>
        <w:t>Algburi</w:t>
      </w:r>
      <w:proofErr w:type="spellEnd"/>
      <w:r>
        <w:rPr>
          <w:rFonts w:ascii="Times New Roman" w:hAnsi="Times New Roman" w:cs="Times New Roman"/>
        </w:rPr>
        <w:t xml:space="preserve">, S., </w:t>
      </w:r>
      <w:proofErr w:type="spellStart"/>
      <w:r>
        <w:rPr>
          <w:rFonts w:ascii="Times New Roman" w:hAnsi="Times New Roman" w:cs="Times New Roman"/>
        </w:rPr>
        <w:t>Jaszczur</w:t>
      </w:r>
      <w:proofErr w:type="spellEnd"/>
      <w:r>
        <w:rPr>
          <w:rFonts w:ascii="Times New Roman" w:hAnsi="Times New Roman" w:cs="Times New Roman"/>
        </w:rPr>
        <w:t xml:space="preserve">, M., </w:t>
      </w:r>
      <w:proofErr w:type="spellStart"/>
      <w:r>
        <w:rPr>
          <w:rFonts w:ascii="Times New Roman" w:hAnsi="Times New Roman" w:cs="Times New Roman"/>
        </w:rPr>
        <w:t>Telba</w:t>
      </w:r>
      <w:proofErr w:type="spellEnd"/>
      <w:r>
        <w:rPr>
          <w:rFonts w:ascii="Times New Roman" w:hAnsi="Times New Roman" w:cs="Times New Roman"/>
        </w:rPr>
        <w:t>, A. A., ... and Barakat, M. (2024). Enhancing smart grid integrated renewable distributed generation capacities: Implications for sustainable energy transfo</w:t>
      </w:r>
      <w:r>
        <w:rPr>
          <w:rFonts w:ascii="Times New Roman" w:hAnsi="Times New Roman" w:cs="Times New Roman"/>
        </w:rPr>
        <w:t xml:space="preserve">rmation. </w:t>
      </w:r>
      <w:r>
        <w:rPr>
          <w:rFonts w:ascii="Times New Roman" w:hAnsi="Times New Roman" w:cs="Times New Roman"/>
          <w:i/>
        </w:rPr>
        <w:t xml:space="preserve">Sustainable Energy Technologies and Assessments, </w:t>
      </w:r>
      <w:r>
        <w:rPr>
          <w:rFonts w:ascii="Times New Roman" w:hAnsi="Times New Roman" w:cs="Times New Roman"/>
        </w:rPr>
        <w:t>66, 103793.</w:t>
      </w:r>
    </w:p>
    <w:p w14:paraId="2DB4EF2A"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Huang, J., Tong, J., Wang, P., and Zheng, X. (2022, March). Application and Comparison of NPV and IRR Methods in the Company Investment Decision. In 2022 7th International </w:t>
      </w:r>
      <w:r>
        <w:rPr>
          <w:rFonts w:ascii="Times New Roman" w:hAnsi="Times New Roman" w:cs="Times New Roman"/>
        </w:rPr>
        <w:lastRenderedPageBreak/>
        <w:t xml:space="preserve">Conference on </w:t>
      </w:r>
      <w:r>
        <w:rPr>
          <w:rFonts w:ascii="Times New Roman" w:hAnsi="Times New Roman" w:cs="Times New Roman"/>
        </w:rPr>
        <w:t>Financial Innovation and Economic Development (ICFIED 2022) (71-78). Atlantis Press.</w:t>
      </w:r>
    </w:p>
    <w:p w14:paraId="1147DC2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Huy, P. D., </w:t>
      </w:r>
      <w:proofErr w:type="spellStart"/>
      <w:r>
        <w:rPr>
          <w:rFonts w:ascii="Times New Roman" w:hAnsi="Times New Roman" w:cs="Times New Roman"/>
        </w:rPr>
        <w:t>Ramachandaramurthy</w:t>
      </w:r>
      <w:proofErr w:type="spellEnd"/>
      <w:r>
        <w:rPr>
          <w:rFonts w:ascii="Times New Roman" w:hAnsi="Times New Roman" w:cs="Times New Roman"/>
        </w:rPr>
        <w:t>, V. K., Yong, J. Y., Tan, K. M., and Ekanayake, J. B. (2020). Optimal placement, sizing and power factor of distributed generation: A compre</w:t>
      </w:r>
      <w:r>
        <w:rPr>
          <w:rFonts w:ascii="Times New Roman" w:hAnsi="Times New Roman" w:cs="Times New Roman"/>
        </w:rPr>
        <w:t xml:space="preserve">hensive study spanning from the planning stage to the operation stage. </w:t>
      </w:r>
      <w:r>
        <w:rPr>
          <w:rFonts w:ascii="Times New Roman" w:hAnsi="Times New Roman" w:cs="Times New Roman"/>
          <w:i/>
        </w:rPr>
        <w:t>Energy,</w:t>
      </w:r>
      <w:r>
        <w:rPr>
          <w:rFonts w:ascii="Times New Roman" w:hAnsi="Times New Roman" w:cs="Times New Roman"/>
        </w:rPr>
        <w:t xml:space="preserve"> 195, 117011</w:t>
      </w:r>
    </w:p>
    <w:p w14:paraId="0CD578FF"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İnci, M., Büyük, M., Demir, M. H., and </w:t>
      </w:r>
      <w:proofErr w:type="spellStart"/>
      <w:r>
        <w:rPr>
          <w:rFonts w:ascii="Times New Roman" w:hAnsi="Times New Roman" w:cs="Times New Roman"/>
        </w:rPr>
        <w:t>İlbey</w:t>
      </w:r>
      <w:proofErr w:type="spellEnd"/>
      <w:r>
        <w:rPr>
          <w:rFonts w:ascii="Times New Roman" w:hAnsi="Times New Roman" w:cs="Times New Roman"/>
        </w:rPr>
        <w:t>, G. (2021). A review and research on fuel cell electric vehicles: Topologies, power electronic converters, energy manage</w:t>
      </w:r>
      <w:r>
        <w:rPr>
          <w:rFonts w:ascii="Times New Roman" w:hAnsi="Times New Roman" w:cs="Times New Roman"/>
        </w:rPr>
        <w:t xml:space="preserve">ment methods, technical challenges, marketing and future aspects. </w:t>
      </w:r>
      <w:r>
        <w:rPr>
          <w:rFonts w:ascii="Times New Roman" w:hAnsi="Times New Roman" w:cs="Times New Roman"/>
          <w:i/>
        </w:rPr>
        <w:t>Renewable and Sustainable Energy Reviews</w:t>
      </w:r>
      <w:r>
        <w:rPr>
          <w:rFonts w:ascii="Times New Roman" w:hAnsi="Times New Roman" w:cs="Times New Roman"/>
        </w:rPr>
        <w:t>, 137, 110648.</w:t>
      </w:r>
    </w:p>
    <w:p w14:paraId="748F8448"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Issa A.O., Abdullateef A.I., Sulaiman A., Issa A.Y., Salami M.J.E., </w:t>
      </w:r>
      <w:proofErr w:type="spellStart"/>
      <w:r>
        <w:rPr>
          <w:rFonts w:ascii="Times New Roman" w:hAnsi="Times New Roman" w:cs="Times New Roman"/>
        </w:rPr>
        <w:t>Onasanya</w:t>
      </w:r>
      <w:proofErr w:type="spellEnd"/>
      <w:r>
        <w:rPr>
          <w:rFonts w:ascii="Times New Roman" w:hAnsi="Times New Roman" w:cs="Times New Roman"/>
        </w:rPr>
        <w:t xml:space="preserve"> M.A., (2023). “Optimal sizing of photovoltaic system for g</w:t>
      </w:r>
      <w:r>
        <w:rPr>
          <w:rFonts w:ascii="Times New Roman" w:hAnsi="Times New Roman" w:cs="Times New Roman"/>
        </w:rPr>
        <w:t xml:space="preserve">rid-tied consumer considering the economic perspective: A case study of commercial load Ilorin, Nigeria.” </w:t>
      </w:r>
      <w:r>
        <w:rPr>
          <w:rFonts w:ascii="Times New Roman" w:hAnsi="Times New Roman" w:cs="Times New Roman"/>
          <w:i/>
        </w:rPr>
        <w:t>Iranian Journal of Electrical and Electronic Engineering</w:t>
      </w:r>
      <w:r>
        <w:rPr>
          <w:rFonts w:ascii="Times New Roman" w:hAnsi="Times New Roman" w:cs="Times New Roman"/>
        </w:rPr>
        <w:t xml:space="preserve"> 19 (3), </w:t>
      </w:r>
    </w:p>
    <w:p w14:paraId="40D2C07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Iweh</w:t>
      </w:r>
      <w:proofErr w:type="spellEnd"/>
      <w:r>
        <w:rPr>
          <w:rFonts w:ascii="Times New Roman" w:hAnsi="Times New Roman" w:cs="Times New Roman"/>
        </w:rPr>
        <w:t xml:space="preserve">, C. D., Gyamfi, S., Tanyi, E., and </w:t>
      </w:r>
      <w:proofErr w:type="spellStart"/>
      <w:r>
        <w:rPr>
          <w:rFonts w:ascii="Times New Roman" w:hAnsi="Times New Roman" w:cs="Times New Roman"/>
        </w:rPr>
        <w:t>Effah-Donyina</w:t>
      </w:r>
      <w:proofErr w:type="spellEnd"/>
      <w:r>
        <w:rPr>
          <w:rFonts w:ascii="Times New Roman" w:hAnsi="Times New Roman" w:cs="Times New Roman"/>
        </w:rPr>
        <w:t>, E. (2023). Economic viability</w:t>
      </w:r>
      <w:r>
        <w:rPr>
          <w:rFonts w:ascii="Times New Roman" w:hAnsi="Times New Roman" w:cs="Times New Roman"/>
        </w:rPr>
        <w:t xml:space="preserve"> and environmental sustainability of a grid-connected solar PV plant in </w:t>
      </w:r>
      <w:proofErr w:type="spellStart"/>
      <w:r>
        <w:rPr>
          <w:rFonts w:ascii="Times New Roman" w:hAnsi="Times New Roman" w:cs="Times New Roman"/>
        </w:rPr>
        <w:t>Yaounde</w:t>
      </w:r>
      <w:proofErr w:type="spellEnd"/>
      <w:r>
        <w:rPr>
          <w:rFonts w:ascii="Times New Roman" w:hAnsi="Times New Roman" w:cs="Times New Roman"/>
        </w:rPr>
        <w:t xml:space="preserve">-Cameroon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r>
        <w:rPr>
          <w:rFonts w:ascii="Times New Roman" w:hAnsi="Times New Roman" w:cs="Times New Roman"/>
          <w:i/>
        </w:rPr>
        <w:t>Cogent Engineering,</w:t>
      </w:r>
      <w:r>
        <w:rPr>
          <w:rFonts w:ascii="Times New Roman" w:hAnsi="Times New Roman" w:cs="Times New Roman"/>
        </w:rPr>
        <w:t xml:space="preserve"> 10(1), 2185946.</w:t>
      </w:r>
    </w:p>
    <w:p w14:paraId="702E1D8B"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Jamalaiah</w:t>
      </w:r>
      <w:proofErr w:type="spellEnd"/>
      <w:r>
        <w:rPr>
          <w:rFonts w:ascii="Times New Roman" w:hAnsi="Times New Roman" w:cs="Times New Roman"/>
        </w:rPr>
        <w:t>, A., Raju, C. P., and Srinivasarao, R. (2017, March). Optimization and operation of a renewable e</w:t>
      </w:r>
      <w:r>
        <w:rPr>
          <w:rFonts w:ascii="Times New Roman" w:hAnsi="Times New Roman" w:cs="Times New Roman"/>
        </w:rPr>
        <w:t xml:space="preserve">nergy based </w:t>
      </w:r>
      <w:proofErr w:type="spellStart"/>
      <w:r>
        <w:rPr>
          <w:rFonts w:ascii="Times New Roman" w:hAnsi="Times New Roman" w:cs="Times New Roman"/>
        </w:rPr>
        <w:t>pv</w:t>
      </w:r>
      <w:proofErr w:type="spellEnd"/>
      <w:r>
        <w:rPr>
          <w:rFonts w:ascii="Times New Roman" w:hAnsi="Times New Roman" w:cs="Times New Roman"/>
        </w:rPr>
        <w:t>-fc-micro grid using homer. In 2017 International Conference on Inventive Communication and Computational Technologies (ICICCT) (pp. 450-455). IEEE.</w:t>
      </w:r>
    </w:p>
    <w:p w14:paraId="343063EB"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Khan, S. U. D., </w:t>
      </w:r>
      <w:proofErr w:type="spellStart"/>
      <w:r>
        <w:rPr>
          <w:rFonts w:ascii="Times New Roman" w:hAnsi="Times New Roman" w:cs="Times New Roman"/>
        </w:rPr>
        <w:t>Wazeer</w:t>
      </w:r>
      <w:proofErr w:type="spellEnd"/>
      <w:r>
        <w:rPr>
          <w:rFonts w:ascii="Times New Roman" w:hAnsi="Times New Roman" w:cs="Times New Roman"/>
        </w:rPr>
        <w:t xml:space="preserve">, I., and Almutairi, Z. (2023). Comparative Analysis of SAM and </w:t>
      </w:r>
      <w:proofErr w:type="spellStart"/>
      <w:r>
        <w:rPr>
          <w:rFonts w:ascii="Times New Roman" w:hAnsi="Times New Roman" w:cs="Times New Roman"/>
        </w:rPr>
        <w:t>RETScre</w:t>
      </w:r>
      <w:r>
        <w:rPr>
          <w:rFonts w:ascii="Times New Roman" w:hAnsi="Times New Roman" w:cs="Times New Roman"/>
        </w:rPr>
        <w:t>en</w:t>
      </w:r>
      <w:proofErr w:type="spellEnd"/>
      <w:r>
        <w:rPr>
          <w:rFonts w:ascii="Times New Roman" w:hAnsi="Times New Roman" w:cs="Times New Roman"/>
        </w:rPr>
        <w:t xml:space="preserve"> Tools for the Case Study of 600 kW Solar PV System Installation in Riyadh, Saudi Arabia. </w:t>
      </w:r>
      <w:r>
        <w:rPr>
          <w:rFonts w:ascii="Times New Roman" w:hAnsi="Times New Roman" w:cs="Times New Roman"/>
          <w:i/>
        </w:rPr>
        <w:t>Sustainability,</w:t>
      </w:r>
      <w:r>
        <w:rPr>
          <w:rFonts w:ascii="Times New Roman" w:hAnsi="Times New Roman" w:cs="Times New Roman"/>
        </w:rPr>
        <w:t xml:space="preserve"> 15(6), 5381</w:t>
      </w:r>
    </w:p>
    <w:p w14:paraId="3F76031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Li, Y., and Wu, J. (2020). Optimum integration of solar energy with battery energy storage systems. IEEE Transactions on Engineering Man</w:t>
      </w:r>
      <w:r>
        <w:rPr>
          <w:rFonts w:ascii="Times New Roman" w:hAnsi="Times New Roman" w:cs="Times New Roman"/>
        </w:rPr>
        <w:t>agement, 69(3), 697-707.</w:t>
      </w:r>
    </w:p>
    <w:p w14:paraId="2D625A16"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Liu, J., Shao, C., Yang, B., Ngata, M. R., </w:t>
      </w:r>
      <w:proofErr w:type="spellStart"/>
      <w:r>
        <w:rPr>
          <w:rFonts w:ascii="Times New Roman" w:hAnsi="Times New Roman" w:cs="Times New Roman"/>
        </w:rPr>
        <w:t>Mwangomba</w:t>
      </w:r>
      <w:proofErr w:type="spellEnd"/>
      <w:r>
        <w:rPr>
          <w:rFonts w:ascii="Times New Roman" w:hAnsi="Times New Roman" w:cs="Times New Roman"/>
        </w:rPr>
        <w:t xml:space="preserve">, M., Josephat, S., and Aminu, M. D. (2024). Advances in enhanced geothermal systems: Integrating laboratory, numerical and field insights. </w:t>
      </w:r>
      <w:r>
        <w:rPr>
          <w:rFonts w:ascii="Times New Roman" w:hAnsi="Times New Roman" w:cs="Times New Roman"/>
          <w:i/>
        </w:rPr>
        <w:t>Applied Thermal Engineering</w:t>
      </w:r>
      <w:r>
        <w:rPr>
          <w:rFonts w:ascii="Times New Roman" w:hAnsi="Times New Roman" w:cs="Times New Roman"/>
        </w:rPr>
        <w:t>, 249, 12335</w:t>
      </w:r>
      <w:r>
        <w:rPr>
          <w:rFonts w:ascii="Times New Roman" w:hAnsi="Times New Roman" w:cs="Times New Roman"/>
        </w:rPr>
        <w:t>0.</w:t>
      </w:r>
    </w:p>
    <w:p w14:paraId="3126BCB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Malico</w:t>
      </w:r>
      <w:proofErr w:type="spellEnd"/>
      <w:r>
        <w:rPr>
          <w:rFonts w:ascii="Times New Roman" w:hAnsi="Times New Roman" w:cs="Times New Roman"/>
        </w:rPr>
        <w:t>, I. (2024). Biomass for Domestic Heat. Forest Bioenergy: From Wood Production to Energy Use, 209-233.Elliot, L., 2014. Mint condition: countries tipped as the next economic powerhouses. [Online] Available at. https://www.theguardian.com/business/</w:t>
      </w:r>
      <w:r>
        <w:rPr>
          <w:rFonts w:ascii="Times New Roman" w:hAnsi="Times New Roman" w:cs="Times New Roman"/>
        </w:rPr>
        <w:t>2014/jan/09/mintcondition-countries-tipped-economic-powerhouses, Accessed date: 7 June 2017 Accessed.</w:t>
      </w:r>
    </w:p>
    <w:p w14:paraId="362246D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 xml:space="preserve">Malik, A. (2021). Assessing the cost feasibility of solar projects in Canada using the </w:t>
      </w:r>
      <w:proofErr w:type="spellStart"/>
      <w:r>
        <w:rPr>
          <w:rFonts w:ascii="Times New Roman" w:hAnsi="Times New Roman" w:cs="Times New Roman"/>
        </w:rPr>
        <w:t>RETScreen</w:t>
      </w:r>
      <w:proofErr w:type="spellEnd"/>
      <w:r>
        <w:rPr>
          <w:rFonts w:ascii="Times New Roman" w:hAnsi="Times New Roman" w:cs="Times New Roman"/>
        </w:rPr>
        <w:t xml:space="preserve"> Expert software (Doctoral dissertation, Faculty of Enviro</w:t>
      </w:r>
      <w:r>
        <w:rPr>
          <w:rFonts w:ascii="Times New Roman" w:hAnsi="Times New Roman" w:cs="Times New Roman"/>
        </w:rPr>
        <w:t>nmental and Urban Change in partial fulfilment of the requirements for the degree of Master of Environmental Studies, York University, Toronto).</w:t>
      </w:r>
    </w:p>
    <w:p w14:paraId="5C0587B1"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color w:val="222222"/>
          <w:shd w:val="clear" w:color="auto" w:fill="FFFFFF"/>
        </w:rPr>
        <w:t>Malwa, R., and Khan, Z. R. (2020, December). Design and Optimization of Hybrid Energy System for an Off-Grid Ar</w:t>
      </w:r>
      <w:r>
        <w:rPr>
          <w:rFonts w:ascii="Times New Roman" w:hAnsi="Times New Roman" w:cs="Times New Roman"/>
          <w:color w:val="222222"/>
          <w:shd w:val="clear" w:color="auto" w:fill="FFFFFF"/>
        </w:rPr>
        <w:t xml:space="preserve">ea of Bangladesh by using HOMER and Validation by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In </w:t>
      </w:r>
      <w:r>
        <w:rPr>
          <w:rFonts w:ascii="Times New Roman" w:hAnsi="Times New Roman" w:cs="Times New Roman"/>
          <w:i/>
          <w:iCs/>
          <w:color w:val="222222"/>
          <w:shd w:val="clear" w:color="auto" w:fill="FFFFFF"/>
        </w:rPr>
        <w:t>Proceedings of the International Conference on Mechanical, Industrial and Energy Engineering, Khulna, Bangladesh</w:t>
      </w:r>
      <w:r>
        <w:rPr>
          <w:rFonts w:ascii="Times New Roman" w:hAnsi="Times New Roman" w:cs="Times New Roman"/>
          <w:color w:val="222222"/>
          <w:shd w:val="clear" w:color="auto" w:fill="FFFFFF"/>
        </w:rPr>
        <w:t> (pp. 19-21).</w:t>
      </w:r>
    </w:p>
    <w:p w14:paraId="5B33715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Manwell, J. F., </w:t>
      </w:r>
      <w:proofErr w:type="spellStart"/>
      <w:r>
        <w:rPr>
          <w:rFonts w:ascii="Times New Roman" w:hAnsi="Times New Roman" w:cs="Times New Roman"/>
        </w:rPr>
        <w:t>Branlard</w:t>
      </w:r>
      <w:proofErr w:type="spellEnd"/>
      <w:r>
        <w:rPr>
          <w:rFonts w:ascii="Times New Roman" w:hAnsi="Times New Roman" w:cs="Times New Roman"/>
        </w:rPr>
        <w:t xml:space="preserve">, E., McGowan, J. G., and Ram, B. (2024). </w:t>
      </w:r>
      <w:r>
        <w:rPr>
          <w:rFonts w:ascii="Times New Roman" w:hAnsi="Times New Roman" w:cs="Times New Roman"/>
        </w:rPr>
        <w:t>Wind Energy Explained: On Land and Offshore. John Wiley and Sons.</w:t>
      </w:r>
    </w:p>
    <w:p w14:paraId="5F90AB04"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Mesbahi, T., Bartholomeüs, P., </w:t>
      </w:r>
      <w:proofErr w:type="spellStart"/>
      <w:r>
        <w:rPr>
          <w:rFonts w:ascii="Times New Roman" w:hAnsi="Times New Roman" w:cs="Times New Roman"/>
        </w:rPr>
        <w:t>Rizoug</w:t>
      </w:r>
      <w:proofErr w:type="spellEnd"/>
      <w:r>
        <w:rPr>
          <w:rFonts w:ascii="Times New Roman" w:hAnsi="Times New Roman" w:cs="Times New Roman"/>
        </w:rPr>
        <w:t xml:space="preserve">, N., </w:t>
      </w:r>
      <w:proofErr w:type="spellStart"/>
      <w:r>
        <w:rPr>
          <w:rFonts w:ascii="Times New Roman" w:hAnsi="Times New Roman" w:cs="Times New Roman"/>
        </w:rPr>
        <w:t>Sadoun</w:t>
      </w:r>
      <w:proofErr w:type="spellEnd"/>
      <w:r>
        <w:rPr>
          <w:rFonts w:ascii="Times New Roman" w:hAnsi="Times New Roman" w:cs="Times New Roman"/>
        </w:rPr>
        <w:t xml:space="preserve">, R., </w:t>
      </w:r>
      <w:proofErr w:type="spellStart"/>
      <w:r>
        <w:rPr>
          <w:rFonts w:ascii="Times New Roman" w:hAnsi="Times New Roman" w:cs="Times New Roman"/>
        </w:rPr>
        <w:t>Khenfri</w:t>
      </w:r>
      <w:proofErr w:type="spellEnd"/>
      <w:r>
        <w:rPr>
          <w:rFonts w:ascii="Times New Roman" w:hAnsi="Times New Roman" w:cs="Times New Roman"/>
        </w:rPr>
        <w:t>, F., and Le Moigne, P. (2020). Advanced model of hybrid energy storage system integrating lithium-ion battery and supercapacito</w:t>
      </w:r>
      <w:r>
        <w:rPr>
          <w:rFonts w:ascii="Times New Roman" w:hAnsi="Times New Roman" w:cs="Times New Roman"/>
        </w:rPr>
        <w:t>r for electric vehicle applications. IEEE transactions on industrial electronics, 68(5), 3962-3972.</w:t>
      </w:r>
    </w:p>
    <w:p w14:paraId="4BFD9510"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Movahediyan</w:t>
      </w:r>
      <w:proofErr w:type="spellEnd"/>
      <w:r>
        <w:rPr>
          <w:rFonts w:ascii="Times New Roman" w:hAnsi="Times New Roman" w:cs="Times New Roman"/>
        </w:rPr>
        <w:t xml:space="preserve">, Z. and </w:t>
      </w:r>
      <w:proofErr w:type="spellStart"/>
      <w:r>
        <w:rPr>
          <w:rFonts w:ascii="Times New Roman" w:hAnsi="Times New Roman" w:cs="Times New Roman"/>
        </w:rPr>
        <w:t>Askarzadeh</w:t>
      </w:r>
      <w:proofErr w:type="spellEnd"/>
      <w:r>
        <w:rPr>
          <w:rFonts w:ascii="Times New Roman" w:hAnsi="Times New Roman" w:cs="Times New Roman"/>
        </w:rPr>
        <w:t>, A. (2018). Multi-objective optimization framework of a photovoltaic-diesel generator hybrid energy system considering operat</w:t>
      </w:r>
      <w:r>
        <w:rPr>
          <w:rFonts w:ascii="Times New Roman" w:hAnsi="Times New Roman" w:cs="Times New Roman"/>
        </w:rPr>
        <w:t xml:space="preserve">ing reserve. </w:t>
      </w:r>
      <w:r>
        <w:rPr>
          <w:rFonts w:ascii="Times New Roman" w:hAnsi="Times New Roman" w:cs="Times New Roman"/>
          <w:i/>
        </w:rPr>
        <w:t>Sustainable Cities and Society</w:t>
      </w:r>
      <w:r>
        <w:rPr>
          <w:rFonts w:ascii="Times New Roman" w:hAnsi="Times New Roman" w:cs="Times New Roman"/>
        </w:rPr>
        <w:t xml:space="preserve"> 41 (2018) 1–12. </w:t>
      </w:r>
    </w:p>
    <w:p w14:paraId="5A4C7422"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Nguyen, N., Almarri, K., and </w:t>
      </w:r>
      <w:proofErr w:type="spellStart"/>
      <w:r>
        <w:rPr>
          <w:rFonts w:ascii="Times New Roman" w:hAnsi="Times New Roman" w:cs="Times New Roman"/>
        </w:rPr>
        <w:t>Boussabaine</w:t>
      </w:r>
      <w:proofErr w:type="spellEnd"/>
      <w:r>
        <w:rPr>
          <w:rFonts w:ascii="Times New Roman" w:hAnsi="Times New Roman" w:cs="Times New Roman"/>
        </w:rPr>
        <w:t xml:space="preserve">, H. (2021). A risk-adjusted decoupled-net-present-value model to determine the optimal concession period of BOT projects. </w:t>
      </w:r>
      <w:r>
        <w:rPr>
          <w:rFonts w:ascii="Times New Roman" w:hAnsi="Times New Roman" w:cs="Times New Roman"/>
          <w:i/>
        </w:rPr>
        <w:t>Built environment project and as</w:t>
      </w:r>
      <w:r>
        <w:rPr>
          <w:rFonts w:ascii="Times New Roman" w:hAnsi="Times New Roman" w:cs="Times New Roman"/>
          <w:i/>
        </w:rPr>
        <w:t>set management,</w:t>
      </w:r>
      <w:r>
        <w:rPr>
          <w:rFonts w:ascii="Times New Roman" w:hAnsi="Times New Roman" w:cs="Times New Roman"/>
        </w:rPr>
        <w:t xml:space="preserve"> 11(1): 4-21.</w:t>
      </w:r>
    </w:p>
    <w:p w14:paraId="421016B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O’Neill, J. (2014). The MINT Countries: Next Economic Giants. BBC News Online, 6.  </w:t>
      </w:r>
    </w:p>
    <w:p w14:paraId="7E444690"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Obada, D. O., Muhammad, M., Tajiri, S. B., </w:t>
      </w:r>
      <w:proofErr w:type="spellStart"/>
      <w:r>
        <w:rPr>
          <w:rFonts w:ascii="Times New Roman" w:hAnsi="Times New Roman" w:cs="Times New Roman"/>
        </w:rPr>
        <w:t>Kekung</w:t>
      </w:r>
      <w:proofErr w:type="spellEnd"/>
      <w:r>
        <w:rPr>
          <w:rFonts w:ascii="Times New Roman" w:hAnsi="Times New Roman" w:cs="Times New Roman"/>
        </w:rPr>
        <w:t xml:space="preserve">, M. O., </w:t>
      </w:r>
      <w:proofErr w:type="spellStart"/>
      <w:r>
        <w:rPr>
          <w:rFonts w:ascii="Times New Roman" w:hAnsi="Times New Roman" w:cs="Times New Roman"/>
        </w:rPr>
        <w:t>Abolade</w:t>
      </w:r>
      <w:proofErr w:type="spellEnd"/>
      <w:r>
        <w:rPr>
          <w:rFonts w:ascii="Times New Roman" w:hAnsi="Times New Roman" w:cs="Times New Roman"/>
        </w:rPr>
        <w:t xml:space="preserve">, S. A., Akinpelu, S. B., and Akande, A. (2024). A review of renewable energy </w:t>
      </w:r>
      <w:r>
        <w:rPr>
          <w:rFonts w:ascii="Times New Roman" w:hAnsi="Times New Roman" w:cs="Times New Roman"/>
        </w:rPr>
        <w:t xml:space="preserve">resources in Nigeria for climate change mitigation. </w:t>
      </w:r>
      <w:r>
        <w:rPr>
          <w:rFonts w:ascii="Times New Roman" w:hAnsi="Times New Roman" w:cs="Times New Roman"/>
          <w:i/>
        </w:rPr>
        <w:t>Case Studies in Chemical and Environmental Engineering</w:t>
      </w:r>
      <w:r>
        <w:rPr>
          <w:rFonts w:ascii="Times New Roman" w:hAnsi="Times New Roman" w:cs="Times New Roman"/>
        </w:rPr>
        <w:t>, 9, 100669.</w:t>
      </w:r>
    </w:p>
    <w:p w14:paraId="1C540B9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Ogunbode</w:t>
      </w:r>
      <w:proofErr w:type="spellEnd"/>
      <w:r>
        <w:rPr>
          <w:rFonts w:ascii="Times New Roman" w:hAnsi="Times New Roman" w:cs="Times New Roman"/>
        </w:rPr>
        <w:t xml:space="preserve">, T. O., </w:t>
      </w:r>
      <w:proofErr w:type="spellStart"/>
      <w:r>
        <w:rPr>
          <w:rFonts w:ascii="Times New Roman" w:hAnsi="Times New Roman" w:cs="Times New Roman"/>
        </w:rPr>
        <w:t>Jazat</w:t>
      </w:r>
      <w:proofErr w:type="spellEnd"/>
      <w:r>
        <w:rPr>
          <w:rFonts w:ascii="Times New Roman" w:hAnsi="Times New Roman" w:cs="Times New Roman"/>
        </w:rPr>
        <w:t xml:space="preserve">, J. P., and Akande, J. A. (2023). Potency of some economic variables affecting environmental quality in Nigeria. </w:t>
      </w:r>
      <w:r>
        <w:rPr>
          <w:rFonts w:ascii="Times New Roman" w:hAnsi="Times New Roman" w:cs="Times New Roman"/>
          <w:i/>
        </w:rPr>
        <w:t>Scientific Reports,</w:t>
      </w:r>
      <w:r>
        <w:rPr>
          <w:rFonts w:ascii="Times New Roman" w:hAnsi="Times New Roman" w:cs="Times New Roman"/>
        </w:rPr>
        <w:t xml:space="preserve"> 13(1), 10490.</w:t>
      </w:r>
    </w:p>
    <w:p w14:paraId="5F4D23FA"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Ogunbode</w:t>
      </w:r>
      <w:proofErr w:type="spellEnd"/>
      <w:r>
        <w:rPr>
          <w:rFonts w:ascii="Times New Roman" w:hAnsi="Times New Roman" w:cs="Times New Roman"/>
        </w:rPr>
        <w:t xml:space="preserve">, T. O., </w:t>
      </w:r>
      <w:proofErr w:type="spellStart"/>
      <w:r>
        <w:rPr>
          <w:rFonts w:ascii="Times New Roman" w:hAnsi="Times New Roman" w:cs="Times New Roman"/>
        </w:rPr>
        <w:t>Jazat</w:t>
      </w:r>
      <w:proofErr w:type="spellEnd"/>
      <w:r>
        <w:rPr>
          <w:rFonts w:ascii="Times New Roman" w:hAnsi="Times New Roman" w:cs="Times New Roman"/>
        </w:rPr>
        <w:t xml:space="preserve">, J. P., and Akande, J. A. (2023). Potency of some economic variables affecting environmental quality in Nigeria. </w:t>
      </w:r>
      <w:r>
        <w:rPr>
          <w:rFonts w:ascii="Times New Roman" w:hAnsi="Times New Roman" w:cs="Times New Roman"/>
          <w:i/>
        </w:rPr>
        <w:t>Scientific Reports,</w:t>
      </w:r>
      <w:r>
        <w:rPr>
          <w:rFonts w:ascii="Times New Roman" w:hAnsi="Times New Roman" w:cs="Times New Roman"/>
        </w:rPr>
        <w:t xml:space="preserve"> 13(1), 10490.</w:t>
      </w:r>
    </w:p>
    <w:p w14:paraId="2D6A0749"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Omotoye</w:t>
      </w:r>
      <w:proofErr w:type="spellEnd"/>
      <w:r>
        <w:rPr>
          <w:rFonts w:ascii="Times New Roman" w:hAnsi="Times New Roman" w:cs="Times New Roman"/>
        </w:rPr>
        <w:t xml:space="preserve">, A. A. C., And </w:t>
      </w:r>
      <w:proofErr w:type="spellStart"/>
      <w:r>
        <w:rPr>
          <w:rFonts w:ascii="Times New Roman" w:hAnsi="Times New Roman" w:cs="Times New Roman"/>
        </w:rPr>
        <w:t>Ukabuilu</w:t>
      </w:r>
      <w:proofErr w:type="spellEnd"/>
      <w:r>
        <w:rPr>
          <w:rFonts w:ascii="Times New Roman" w:hAnsi="Times New Roman" w:cs="Times New Roman"/>
        </w:rPr>
        <w:t xml:space="preserve">, E. (2023). Sustainable Tourism and Promotion </w:t>
      </w:r>
      <w:proofErr w:type="spellStart"/>
      <w:r>
        <w:rPr>
          <w:rFonts w:ascii="Times New Roman" w:hAnsi="Times New Roman" w:cs="Times New Roman"/>
        </w:rPr>
        <w:t>af</w:t>
      </w:r>
      <w:proofErr w:type="spellEnd"/>
      <w:r>
        <w:rPr>
          <w:rFonts w:ascii="Times New Roman" w:hAnsi="Times New Roman" w:cs="Times New Roman"/>
        </w:rPr>
        <w:t xml:space="preserve"> Cultural Festival in Ibadan, Oyo State. </w:t>
      </w:r>
      <w:r>
        <w:rPr>
          <w:rFonts w:ascii="Times New Roman" w:hAnsi="Times New Roman" w:cs="Times New Roman"/>
          <w:i/>
        </w:rPr>
        <w:t xml:space="preserve">Emerald International Journal of Scientific and </w:t>
      </w:r>
      <w:proofErr w:type="spellStart"/>
      <w:r>
        <w:rPr>
          <w:rFonts w:ascii="Times New Roman" w:hAnsi="Times New Roman" w:cs="Times New Roman"/>
          <w:i/>
        </w:rPr>
        <w:t>Contemporay</w:t>
      </w:r>
      <w:proofErr w:type="spellEnd"/>
      <w:r>
        <w:rPr>
          <w:rFonts w:ascii="Times New Roman" w:hAnsi="Times New Roman" w:cs="Times New Roman"/>
          <w:i/>
        </w:rPr>
        <w:t xml:space="preserve"> Studies,</w:t>
      </w:r>
      <w:r>
        <w:rPr>
          <w:rFonts w:ascii="Times New Roman" w:hAnsi="Times New Roman" w:cs="Times New Roman"/>
        </w:rPr>
        <w:t xml:space="preserve"> 5(1), 22-46.</w:t>
      </w:r>
    </w:p>
    <w:p w14:paraId="57A650B6"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 xml:space="preserve">Owolabi, A. B., </w:t>
      </w:r>
      <w:proofErr w:type="spellStart"/>
      <w:r>
        <w:rPr>
          <w:rFonts w:ascii="Times New Roman" w:hAnsi="Times New Roman" w:cs="Times New Roman"/>
        </w:rPr>
        <w:t>Nsafon</w:t>
      </w:r>
      <w:proofErr w:type="spellEnd"/>
      <w:r>
        <w:rPr>
          <w:rFonts w:ascii="Times New Roman" w:hAnsi="Times New Roman" w:cs="Times New Roman"/>
        </w:rPr>
        <w:t>, B. E. K., Roh, J. W., Suh, D., and Huh, J. S. (2020). Measur</w:t>
      </w:r>
      <w:r>
        <w:rPr>
          <w:rFonts w:ascii="Times New Roman" w:hAnsi="Times New Roman" w:cs="Times New Roman"/>
        </w:rPr>
        <w:t xml:space="preserve">ement and verification analysis on the energy performance of a retrofit residential building after energy efficiency measures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r>
        <w:rPr>
          <w:rFonts w:ascii="Times New Roman" w:hAnsi="Times New Roman" w:cs="Times New Roman"/>
          <w:i/>
        </w:rPr>
        <w:t>Alexandria Engineering Journal,</w:t>
      </w:r>
      <w:r>
        <w:rPr>
          <w:rFonts w:ascii="Times New Roman" w:hAnsi="Times New Roman" w:cs="Times New Roman"/>
        </w:rPr>
        <w:t xml:space="preserve"> 59(6), 4643-4657.</w:t>
      </w:r>
    </w:p>
    <w:p w14:paraId="2273441D"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Oyedokun</w:t>
      </w:r>
      <w:proofErr w:type="spellEnd"/>
      <w:r>
        <w:rPr>
          <w:rFonts w:ascii="Times New Roman" w:hAnsi="Times New Roman" w:cs="Times New Roman"/>
          <w:color w:val="222222"/>
          <w:shd w:val="clear" w:color="auto" w:fill="FFFFFF"/>
        </w:rPr>
        <w:t xml:space="preserve">, J. A., </w:t>
      </w:r>
      <w:proofErr w:type="spellStart"/>
      <w:r>
        <w:rPr>
          <w:rFonts w:ascii="Times New Roman" w:hAnsi="Times New Roman" w:cs="Times New Roman"/>
          <w:color w:val="222222"/>
          <w:shd w:val="clear" w:color="auto" w:fill="FFFFFF"/>
        </w:rPr>
        <w:t>Fasina</w:t>
      </w:r>
      <w:proofErr w:type="spellEnd"/>
      <w:r>
        <w:rPr>
          <w:rFonts w:ascii="Times New Roman" w:hAnsi="Times New Roman" w:cs="Times New Roman"/>
          <w:color w:val="222222"/>
          <w:shd w:val="clear" w:color="auto" w:fill="FFFFFF"/>
        </w:rPr>
        <w:t>, E. T., and Adebanji, B. (2023).</w:t>
      </w:r>
      <w:r>
        <w:rPr>
          <w:rFonts w:ascii="Times New Roman" w:hAnsi="Times New Roman" w:cs="Times New Roman"/>
          <w:color w:val="222222"/>
          <w:shd w:val="clear" w:color="auto" w:fill="FFFFFF"/>
        </w:rPr>
        <w:t xml:space="preserve"> Design and Viability Assessment of Grid-Integrated Solar PV System for Electric Power Supply Enhancement: A Case Study of </w:t>
      </w:r>
      <w:proofErr w:type="spellStart"/>
      <w:r>
        <w:rPr>
          <w:rFonts w:ascii="Times New Roman" w:hAnsi="Times New Roman" w:cs="Times New Roman"/>
          <w:color w:val="222222"/>
          <w:shd w:val="clear" w:color="auto" w:fill="FFFFFF"/>
        </w:rPr>
        <w:t>Idofian</w:t>
      </w:r>
      <w:proofErr w:type="spellEnd"/>
      <w:r>
        <w:rPr>
          <w:rFonts w:ascii="Times New Roman" w:hAnsi="Times New Roman" w:cs="Times New Roman"/>
          <w:color w:val="222222"/>
          <w:shd w:val="clear" w:color="auto" w:fill="FFFFFF"/>
        </w:rPr>
        <w:t>, Nigeria. </w:t>
      </w:r>
      <w:r>
        <w:rPr>
          <w:rFonts w:ascii="Times New Roman" w:hAnsi="Times New Roman" w:cs="Times New Roman"/>
          <w:i/>
          <w:iCs/>
          <w:color w:val="222222"/>
          <w:shd w:val="clear" w:color="auto" w:fill="FFFFFF"/>
        </w:rPr>
        <w:t>European Journal of Electrical Engineering and Computer Science</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(3), 30-34.</w:t>
      </w:r>
    </w:p>
    <w:p w14:paraId="3B08D8E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Paradongan</w:t>
      </w:r>
      <w:proofErr w:type="spellEnd"/>
      <w:r>
        <w:rPr>
          <w:rFonts w:ascii="Times New Roman" w:hAnsi="Times New Roman" w:cs="Times New Roman"/>
          <w:color w:val="222222"/>
          <w:shd w:val="clear" w:color="auto" w:fill="FFFFFF"/>
        </w:rPr>
        <w:t xml:space="preserve">, H. T., Hakam, D. F., </w:t>
      </w:r>
      <w:proofErr w:type="spellStart"/>
      <w:r>
        <w:rPr>
          <w:rFonts w:ascii="Times New Roman" w:hAnsi="Times New Roman" w:cs="Times New Roman"/>
          <w:color w:val="222222"/>
          <w:shd w:val="clear" w:color="auto" w:fill="FFFFFF"/>
        </w:rPr>
        <w:t>Wiry</w:t>
      </w:r>
      <w:r>
        <w:rPr>
          <w:rFonts w:ascii="Times New Roman" w:hAnsi="Times New Roman" w:cs="Times New Roman"/>
          <w:color w:val="222222"/>
          <w:shd w:val="clear" w:color="auto" w:fill="FFFFFF"/>
        </w:rPr>
        <w:t>ono</w:t>
      </w:r>
      <w:proofErr w:type="spellEnd"/>
      <w:r>
        <w:rPr>
          <w:rFonts w:ascii="Times New Roman" w:hAnsi="Times New Roman" w:cs="Times New Roman"/>
          <w:color w:val="222222"/>
          <w:shd w:val="clear" w:color="auto" w:fill="FFFFFF"/>
        </w:rPr>
        <w:t xml:space="preserve">, S. K., </w:t>
      </w:r>
      <w:proofErr w:type="spellStart"/>
      <w:r>
        <w:rPr>
          <w:rFonts w:ascii="Times New Roman" w:hAnsi="Times New Roman" w:cs="Times New Roman"/>
          <w:color w:val="222222"/>
          <w:shd w:val="clear" w:color="auto" w:fill="FFFFFF"/>
        </w:rPr>
        <w:t>Prahastono</w:t>
      </w:r>
      <w:proofErr w:type="spellEnd"/>
      <w:r>
        <w:rPr>
          <w:rFonts w:ascii="Times New Roman" w:hAnsi="Times New Roman" w:cs="Times New Roman"/>
          <w:color w:val="222222"/>
          <w:shd w:val="clear" w:color="auto" w:fill="FFFFFF"/>
        </w:rPr>
        <w:t xml:space="preserve">, I., Aditya, I. A., </w:t>
      </w:r>
      <w:proofErr w:type="spellStart"/>
      <w:r>
        <w:rPr>
          <w:rFonts w:ascii="Times New Roman" w:hAnsi="Times New Roman" w:cs="Times New Roman"/>
          <w:color w:val="222222"/>
          <w:shd w:val="clear" w:color="auto" w:fill="FFFFFF"/>
        </w:rPr>
        <w:t>Banjarnahor</w:t>
      </w:r>
      <w:proofErr w:type="spellEnd"/>
      <w:r>
        <w:rPr>
          <w:rFonts w:ascii="Times New Roman" w:hAnsi="Times New Roman" w:cs="Times New Roman"/>
          <w:color w:val="222222"/>
          <w:shd w:val="clear" w:color="auto" w:fill="FFFFFF"/>
        </w:rPr>
        <w:t xml:space="preserve">, K. M., ... and </w:t>
      </w:r>
      <w:proofErr w:type="spellStart"/>
      <w:r>
        <w:rPr>
          <w:rFonts w:ascii="Times New Roman" w:hAnsi="Times New Roman" w:cs="Times New Roman"/>
          <w:color w:val="222222"/>
          <w:shd w:val="clear" w:color="auto" w:fill="FFFFFF"/>
        </w:rPr>
        <w:t>Asekomeh</w:t>
      </w:r>
      <w:proofErr w:type="spellEnd"/>
      <w:r>
        <w:rPr>
          <w:rFonts w:ascii="Times New Roman" w:hAnsi="Times New Roman" w:cs="Times New Roman"/>
          <w:color w:val="222222"/>
          <w:shd w:val="clear" w:color="auto" w:fill="FFFFFF"/>
        </w:rPr>
        <w:t xml:space="preserve">, A. (2024). Techno-economic feasibility study of solar photovoltaic power plant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xml:space="preserve"> to achieve Indonesia energy transition. </w:t>
      </w:r>
      <w:proofErr w:type="spellStart"/>
      <w:r>
        <w:rPr>
          <w:rFonts w:ascii="Times New Roman" w:hAnsi="Times New Roman" w:cs="Times New Roman"/>
          <w:i/>
          <w:iCs/>
          <w:color w:val="222222"/>
          <w:shd w:val="clear" w:color="auto" w:fill="FFFFFF"/>
        </w:rPr>
        <w:t>Heliyon</w:t>
      </w:r>
      <w:proofErr w:type="spellEnd"/>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10</w:t>
      </w:r>
      <w:r>
        <w:rPr>
          <w:rFonts w:ascii="Times New Roman" w:hAnsi="Times New Roman" w:cs="Times New Roman"/>
          <w:color w:val="222222"/>
          <w:shd w:val="clear" w:color="auto" w:fill="FFFFFF"/>
        </w:rPr>
        <w:t>(7).</w:t>
      </w:r>
    </w:p>
    <w:p w14:paraId="5D7559D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Potrč</w:t>
      </w:r>
      <w:proofErr w:type="spellEnd"/>
      <w:r>
        <w:rPr>
          <w:rFonts w:ascii="Times New Roman" w:hAnsi="Times New Roman" w:cs="Times New Roman"/>
        </w:rPr>
        <w:t>, S., Čuček, L., Ma</w:t>
      </w:r>
      <w:r>
        <w:rPr>
          <w:rFonts w:ascii="Times New Roman" w:hAnsi="Times New Roman" w:cs="Times New Roman"/>
        </w:rPr>
        <w:t xml:space="preserve">rtin, M., and Kravanja, Z. (2021). Sustainable renewable energy supply networks optimization–The gradual transition to a renewable energy system within the European Union by 2050. </w:t>
      </w:r>
      <w:r>
        <w:rPr>
          <w:rFonts w:ascii="Times New Roman" w:hAnsi="Times New Roman" w:cs="Times New Roman"/>
          <w:i/>
        </w:rPr>
        <w:t>Renewable and Sustainable Energy Reviews</w:t>
      </w:r>
      <w:r>
        <w:rPr>
          <w:rFonts w:ascii="Times New Roman" w:hAnsi="Times New Roman" w:cs="Times New Roman"/>
        </w:rPr>
        <w:t>, 146, 111186.</w:t>
      </w:r>
    </w:p>
    <w:p w14:paraId="7A03D9ED"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Prakash, S. B., Singh</w:t>
      </w:r>
      <w:r>
        <w:rPr>
          <w:rFonts w:ascii="Times New Roman" w:hAnsi="Times New Roman" w:cs="Times New Roman"/>
        </w:rPr>
        <w:t xml:space="preserve">, G., and Singh, S. (2021). Modeling and performance analysis of simplified two-diode model of photovoltaic cells. </w:t>
      </w:r>
      <w:r>
        <w:rPr>
          <w:rFonts w:ascii="Times New Roman" w:hAnsi="Times New Roman" w:cs="Times New Roman"/>
          <w:i/>
        </w:rPr>
        <w:t>Frontiers in Physics</w:t>
      </w:r>
      <w:r>
        <w:rPr>
          <w:rFonts w:ascii="Times New Roman" w:hAnsi="Times New Roman" w:cs="Times New Roman"/>
        </w:rPr>
        <w:t>, 9, 690588.</w:t>
      </w:r>
    </w:p>
    <w:p w14:paraId="00CC56FB"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RETScreen</w:t>
      </w:r>
      <w:proofErr w:type="spellEnd"/>
      <w:r>
        <w:rPr>
          <w:rFonts w:ascii="Times New Roman" w:hAnsi="Times New Roman" w:cs="Times New Roman"/>
        </w:rPr>
        <w:t xml:space="preserve"> International Clean Energy Decision Support Centre (RICEDC).  (2005). Clean Energy Project Analysi</w:t>
      </w:r>
      <w:r>
        <w:rPr>
          <w:rFonts w:ascii="Times New Roman" w:hAnsi="Times New Roman" w:cs="Times New Roman"/>
        </w:rPr>
        <w:t xml:space="preserve">s: </w:t>
      </w:r>
      <w:proofErr w:type="spellStart"/>
      <w:r>
        <w:rPr>
          <w:rFonts w:ascii="Times New Roman" w:hAnsi="Times New Roman" w:cs="Times New Roman"/>
        </w:rPr>
        <w:t>Retscreen</w:t>
      </w:r>
      <w:proofErr w:type="spellEnd"/>
      <w:r>
        <w:rPr>
          <w:rFonts w:ascii="Times New Roman" w:hAnsi="Times New Roman" w:cs="Times New Roman"/>
        </w:rPr>
        <w:t xml:space="preserve"> Engineering and Cases Textbook 3rd Edition, Minister of Natural Resources Canada 2001-2005, ISBN: 0-662-39191-8 Catalogue no.: M39-112/2005E-PDF.</w:t>
      </w:r>
    </w:p>
    <w:p w14:paraId="3A3194A7"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Rifansyah</w:t>
      </w:r>
      <w:proofErr w:type="spellEnd"/>
      <w:r>
        <w:rPr>
          <w:rFonts w:ascii="Times New Roman" w:hAnsi="Times New Roman" w:cs="Times New Roman"/>
          <w:color w:val="222222"/>
          <w:shd w:val="clear" w:color="auto" w:fill="FFFFFF"/>
        </w:rPr>
        <w:t>, M., and Hakam, D. F. (2024). Techno economic study of floating solar photovoltaic proj</w:t>
      </w:r>
      <w:r>
        <w:rPr>
          <w:rFonts w:ascii="Times New Roman" w:hAnsi="Times New Roman" w:cs="Times New Roman"/>
          <w:color w:val="222222"/>
          <w:shd w:val="clear" w:color="auto" w:fill="FFFFFF"/>
        </w:rPr>
        <w:t xml:space="preserve">ect in Indonesia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Cleaner Energy Systems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9</w:t>
      </w:r>
      <w:r>
        <w:rPr>
          <w:rFonts w:ascii="Times New Roman" w:hAnsi="Times New Roman" w:cs="Times New Roman"/>
          <w:color w:val="222222"/>
          <w:shd w:val="clear" w:color="auto" w:fill="FFFFFF"/>
        </w:rPr>
        <w:t>, 100155.</w:t>
      </w:r>
    </w:p>
    <w:p w14:paraId="1B20B0B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Saur, M. V., and </w:t>
      </w:r>
      <w:proofErr w:type="spellStart"/>
      <w:r>
        <w:rPr>
          <w:rFonts w:ascii="Times New Roman" w:hAnsi="Times New Roman" w:cs="Times New Roman"/>
        </w:rPr>
        <w:t>Meschan</w:t>
      </w:r>
      <w:proofErr w:type="spellEnd"/>
      <w:r>
        <w:rPr>
          <w:rFonts w:ascii="Times New Roman" w:hAnsi="Times New Roman" w:cs="Times New Roman"/>
        </w:rPr>
        <w:t xml:space="preserve">, E. (2022). How do enterprises in the production sector use the Net Present Value method when conducting project appraisal? (Master's thesis, </w:t>
      </w:r>
      <w:proofErr w:type="spellStart"/>
      <w:r>
        <w:rPr>
          <w:rFonts w:ascii="Times New Roman" w:hAnsi="Times New Roman" w:cs="Times New Roman"/>
        </w:rPr>
        <w:t>Handelshøyskolen</w:t>
      </w:r>
      <w:proofErr w:type="spellEnd"/>
      <w:r>
        <w:rPr>
          <w:rFonts w:ascii="Times New Roman" w:hAnsi="Times New Roman" w:cs="Times New Roman"/>
        </w:rPr>
        <w:t xml:space="preserve"> BI)</w:t>
      </w:r>
      <w:r>
        <w:rPr>
          <w:rFonts w:ascii="Times New Roman" w:hAnsi="Times New Roman" w:cs="Times New Roman"/>
        </w:rPr>
        <w:t>.</w:t>
      </w:r>
    </w:p>
    <w:p w14:paraId="50287748"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color w:val="222222"/>
          <w:shd w:val="clear" w:color="auto" w:fill="FFFFFF"/>
        </w:rPr>
        <w:t xml:space="preserve">Singh, P., and </w:t>
      </w:r>
      <w:proofErr w:type="spellStart"/>
      <w:r>
        <w:rPr>
          <w:rFonts w:ascii="Times New Roman" w:hAnsi="Times New Roman" w:cs="Times New Roman"/>
          <w:color w:val="222222"/>
          <w:shd w:val="clear" w:color="auto" w:fill="FFFFFF"/>
        </w:rPr>
        <w:t>Channi</w:t>
      </w:r>
      <w:proofErr w:type="spellEnd"/>
      <w:r>
        <w:rPr>
          <w:rFonts w:ascii="Times New Roman" w:hAnsi="Times New Roman" w:cs="Times New Roman"/>
          <w:color w:val="222222"/>
          <w:shd w:val="clear" w:color="auto" w:fill="FFFFFF"/>
        </w:rPr>
        <w:t xml:space="preserve">, H. K. (2025). Comparative feasibility analysis of PV plant with energy effective measures in Chandigarh University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In </w:t>
      </w:r>
      <w:r>
        <w:rPr>
          <w:rFonts w:ascii="Times New Roman" w:hAnsi="Times New Roman" w:cs="Times New Roman"/>
          <w:i/>
          <w:iCs/>
          <w:color w:val="222222"/>
          <w:shd w:val="clear" w:color="auto" w:fill="FFFFFF"/>
        </w:rPr>
        <w:t>Mechatronics</w:t>
      </w:r>
      <w:r>
        <w:rPr>
          <w:rFonts w:ascii="Times New Roman" w:hAnsi="Times New Roman" w:cs="Times New Roman"/>
          <w:color w:val="222222"/>
          <w:shd w:val="clear" w:color="auto" w:fill="FFFFFF"/>
        </w:rPr>
        <w:t> (pp. 141-163). CRC Press.</w:t>
      </w:r>
    </w:p>
    <w:p w14:paraId="3B74E956"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Soomar</w:t>
      </w:r>
      <w:proofErr w:type="spellEnd"/>
      <w:r>
        <w:rPr>
          <w:rFonts w:ascii="Times New Roman" w:hAnsi="Times New Roman" w:cs="Times New Roman"/>
        </w:rPr>
        <w:t xml:space="preserve">, A. M., Hakeem, A., Messaoudi, M., </w:t>
      </w:r>
      <w:proofErr w:type="spellStart"/>
      <w:r>
        <w:rPr>
          <w:rFonts w:ascii="Times New Roman" w:hAnsi="Times New Roman" w:cs="Times New Roman"/>
        </w:rPr>
        <w:t>Musznicki</w:t>
      </w:r>
      <w:proofErr w:type="spellEnd"/>
      <w:r>
        <w:rPr>
          <w:rFonts w:ascii="Times New Roman" w:hAnsi="Times New Roman" w:cs="Times New Roman"/>
        </w:rPr>
        <w:t xml:space="preserve">, P., </w:t>
      </w:r>
      <w:r>
        <w:rPr>
          <w:rFonts w:ascii="Times New Roman" w:hAnsi="Times New Roman" w:cs="Times New Roman"/>
        </w:rPr>
        <w:t xml:space="preserve">Iqbal, A., and Czapp, S. (2022). Solar photovoltaic energy optimization and challenges. </w:t>
      </w:r>
      <w:r>
        <w:rPr>
          <w:rFonts w:ascii="Times New Roman" w:hAnsi="Times New Roman" w:cs="Times New Roman"/>
          <w:i/>
        </w:rPr>
        <w:t xml:space="preserve">Frontiers in Energy Research, </w:t>
      </w:r>
      <w:r>
        <w:rPr>
          <w:rFonts w:ascii="Times New Roman" w:hAnsi="Times New Roman" w:cs="Times New Roman"/>
        </w:rPr>
        <w:t>10, 879985.</w:t>
      </w:r>
    </w:p>
    <w:p w14:paraId="0F285C77"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Ukoba</w:t>
      </w:r>
      <w:proofErr w:type="spellEnd"/>
      <w:r>
        <w:rPr>
          <w:rFonts w:ascii="Times New Roman" w:hAnsi="Times New Roman" w:cs="Times New Roman"/>
        </w:rPr>
        <w:t xml:space="preserve">, K., Yoro, K. O., </w:t>
      </w:r>
      <w:proofErr w:type="spellStart"/>
      <w:r>
        <w:rPr>
          <w:rFonts w:ascii="Times New Roman" w:hAnsi="Times New Roman" w:cs="Times New Roman"/>
        </w:rPr>
        <w:t>Eterigho-Ikelegbe</w:t>
      </w:r>
      <w:proofErr w:type="spellEnd"/>
      <w:r>
        <w:rPr>
          <w:rFonts w:ascii="Times New Roman" w:hAnsi="Times New Roman" w:cs="Times New Roman"/>
        </w:rPr>
        <w:t xml:space="preserve">, O., </w:t>
      </w:r>
      <w:proofErr w:type="spellStart"/>
      <w:r>
        <w:rPr>
          <w:rFonts w:ascii="Times New Roman" w:hAnsi="Times New Roman" w:cs="Times New Roman"/>
        </w:rPr>
        <w:t>Ibegbulam</w:t>
      </w:r>
      <w:proofErr w:type="spellEnd"/>
      <w:r>
        <w:rPr>
          <w:rFonts w:ascii="Times New Roman" w:hAnsi="Times New Roman" w:cs="Times New Roman"/>
        </w:rPr>
        <w:t>, C., and Jen, T. C. (2024). Adaptation of solar power in the Global s</w:t>
      </w:r>
      <w:r>
        <w:rPr>
          <w:rFonts w:ascii="Times New Roman" w:hAnsi="Times New Roman" w:cs="Times New Roman"/>
        </w:rPr>
        <w:t xml:space="preserve">outh: Prospects, challenges and opportunities. </w:t>
      </w:r>
      <w:proofErr w:type="spellStart"/>
      <w:r>
        <w:rPr>
          <w:rFonts w:ascii="Times New Roman" w:hAnsi="Times New Roman" w:cs="Times New Roman"/>
        </w:rPr>
        <w:t>Heliyon</w:t>
      </w:r>
      <w:proofErr w:type="spellEnd"/>
    </w:p>
    <w:p w14:paraId="1A6FFB01"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 xml:space="preserve">Wilson, E. P., </w:t>
      </w:r>
      <w:proofErr w:type="spellStart"/>
      <w:r>
        <w:rPr>
          <w:rFonts w:ascii="Times New Roman" w:hAnsi="Times New Roman" w:cs="Times New Roman"/>
        </w:rPr>
        <w:t>Idoniboyeobu</w:t>
      </w:r>
      <w:proofErr w:type="spellEnd"/>
      <w:r>
        <w:rPr>
          <w:rFonts w:ascii="Times New Roman" w:hAnsi="Times New Roman" w:cs="Times New Roman"/>
        </w:rPr>
        <w:t xml:space="preserve">, D. C., and </w:t>
      </w:r>
      <w:proofErr w:type="spellStart"/>
      <w:r>
        <w:rPr>
          <w:rFonts w:ascii="Times New Roman" w:hAnsi="Times New Roman" w:cs="Times New Roman"/>
        </w:rPr>
        <w:t>Ahiakwo</w:t>
      </w:r>
      <w:proofErr w:type="spellEnd"/>
      <w:r>
        <w:rPr>
          <w:rFonts w:ascii="Times New Roman" w:hAnsi="Times New Roman" w:cs="Times New Roman"/>
        </w:rPr>
        <w:t xml:space="preserve">, C. O. (2021). Optimization of Wind/Photovoltaic Hybrid Renewable Energy Systems for Telecommunication Networks in Nigeria. </w:t>
      </w:r>
      <w:r>
        <w:rPr>
          <w:rFonts w:ascii="Times New Roman" w:hAnsi="Times New Roman" w:cs="Times New Roman"/>
          <w:i/>
        </w:rPr>
        <w:t>Global Journals of Research i</w:t>
      </w:r>
      <w:r>
        <w:rPr>
          <w:rFonts w:ascii="Times New Roman" w:hAnsi="Times New Roman" w:cs="Times New Roman"/>
          <w:i/>
        </w:rPr>
        <w:t>n Engineering,</w:t>
      </w:r>
      <w:r>
        <w:rPr>
          <w:rFonts w:ascii="Times New Roman" w:hAnsi="Times New Roman" w:cs="Times New Roman"/>
        </w:rPr>
        <w:t xml:space="preserve"> 21(F1), 75-88.</w:t>
      </w:r>
    </w:p>
    <w:p w14:paraId="54FD0A90" w14:textId="77777777" w:rsidR="00B9131A" w:rsidRDefault="00B9131A">
      <w:pPr>
        <w:spacing w:line="276" w:lineRule="auto"/>
        <w:rPr>
          <w:rFonts w:ascii="Times New Roman" w:hAnsi="Times New Roman" w:cs="Times New Roman"/>
        </w:rPr>
      </w:pPr>
    </w:p>
    <w:sectPr w:rsidR="00B9131A">
      <w:headerReference w:type="even" r:id="rId159"/>
      <w:headerReference w:type="default" r:id="rId160"/>
      <w:footerReference w:type="even" r:id="rId161"/>
      <w:footerReference w:type="default" r:id="rId162"/>
      <w:headerReference w:type="first" r:id="rId163"/>
      <w:footerReference w:type="first" r:id="rId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D03D4" w14:textId="77777777" w:rsidR="00B6370D" w:rsidRDefault="00B6370D" w:rsidP="00D7500A">
      <w:pPr>
        <w:spacing w:after="0" w:line="240" w:lineRule="auto"/>
      </w:pPr>
      <w:r>
        <w:separator/>
      </w:r>
    </w:p>
  </w:endnote>
  <w:endnote w:type="continuationSeparator" w:id="0">
    <w:p w14:paraId="46616AA5" w14:textId="77777777" w:rsidR="00B6370D" w:rsidRDefault="00B6370D" w:rsidP="00D75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EC31" w14:textId="77777777" w:rsidR="00D7500A" w:rsidRDefault="00D75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30953" w14:textId="77777777" w:rsidR="00D7500A" w:rsidRDefault="00D75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7AE53" w14:textId="77777777" w:rsidR="00D7500A" w:rsidRDefault="00D75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DEADD" w14:textId="77777777" w:rsidR="00B6370D" w:rsidRDefault="00B6370D" w:rsidP="00D7500A">
      <w:pPr>
        <w:spacing w:after="0" w:line="240" w:lineRule="auto"/>
      </w:pPr>
      <w:r>
        <w:separator/>
      </w:r>
    </w:p>
  </w:footnote>
  <w:footnote w:type="continuationSeparator" w:id="0">
    <w:p w14:paraId="7B80D5E4" w14:textId="77777777" w:rsidR="00B6370D" w:rsidRDefault="00B6370D" w:rsidP="00D75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535E" w14:textId="3BCD7179" w:rsidR="00D7500A" w:rsidRDefault="00D7500A">
    <w:pPr>
      <w:pStyle w:val="Header"/>
    </w:pPr>
    <w:r>
      <w:rPr>
        <w:noProof/>
      </w:rPr>
      <w:pict w14:anchorId="1ED3B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7229" w14:textId="2DA67336" w:rsidR="00D7500A" w:rsidRDefault="00D7500A">
    <w:pPr>
      <w:pStyle w:val="Header"/>
    </w:pPr>
    <w:r>
      <w:rPr>
        <w:noProof/>
      </w:rPr>
      <w:pict w14:anchorId="10FBF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E4A4" w14:textId="65C787D8" w:rsidR="00D7500A" w:rsidRDefault="00D7500A">
    <w:pPr>
      <w:pStyle w:val="Header"/>
    </w:pPr>
    <w:r>
      <w:rPr>
        <w:noProof/>
      </w:rPr>
      <w:pict w14:anchorId="3D4D9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BC6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multilevel"/>
    <w:tmpl w:val="3C74A74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multilevel"/>
    <w:tmpl w:val="40A8C19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04"/>
    <w:multiLevelType w:val="hybridMultilevel"/>
    <w:tmpl w:val="68DC3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4798004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2A382B12"/>
    <w:lvl w:ilvl="0" w:tplc="01A092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8F829F6"/>
    <w:lvl w:ilvl="0" w:tplc="DC90F9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E9805EA0"/>
    <w:lvl w:ilvl="0" w:tplc="293675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20E0A01E"/>
    <w:lvl w:ilvl="0" w:tplc="F026A4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3E3EE0"/>
    <w:multiLevelType w:val="multilevel"/>
    <w:tmpl w:val="DFDCAAE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3"/>
  </w:num>
  <w:num w:numId="4">
    <w:abstractNumId w:val="4"/>
  </w:num>
  <w:num w:numId="5">
    <w:abstractNumId w:val="0"/>
  </w:num>
  <w:num w:numId="6">
    <w:abstractNumId w:val="8"/>
  </w:num>
  <w:num w:numId="7">
    <w:abstractNumId w:val="5"/>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2NjM1NTI3MTA3MbZU0lEKTi0uzszPAykwrAUA+hOtdiwAAAA="/>
  </w:docVars>
  <w:rsids>
    <w:rsidRoot w:val="00B9131A"/>
    <w:rsid w:val="00194807"/>
    <w:rsid w:val="001B155D"/>
    <w:rsid w:val="00225C4F"/>
    <w:rsid w:val="00395FD9"/>
    <w:rsid w:val="004945C6"/>
    <w:rsid w:val="00550A5B"/>
    <w:rsid w:val="0056696C"/>
    <w:rsid w:val="00577277"/>
    <w:rsid w:val="005900DC"/>
    <w:rsid w:val="00B6370D"/>
    <w:rsid w:val="00B9131A"/>
    <w:rsid w:val="00BF0839"/>
    <w:rsid w:val="00D7500A"/>
    <w:rsid w:val="00DD38C0"/>
    <w:rsid w:val="00FD20BE"/>
    <w:rsid w:val="00FD5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7CE54"/>
  <w15:docId w15:val="{347800B4-4EA6-4B45-BF84-608843D0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customStyle="1" w:styleId="mord">
    <w:name w:val="mord"/>
    <w:basedOn w:val="DefaultParagraphFont"/>
  </w:style>
  <w:style w:type="table" w:styleId="TableGrid">
    <w:name w:val="Table Grid"/>
    <w:basedOn w:val="TableNormal"/>
    <w:uiPriority w:val="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ArialMT" w:hAnsi="ArialMT" w:hint="default"/>
      <w:b w:val="0"/>
      <w:bCs w:val="0"/>
      <w:i w:val="0"/>
      <w:iCs w:val="0"/>
      <w:color w:val="000000"/>
      <w:sz w:val="20"/>
      <w:szCs w:val="20"/>
    </w:rPr>
  </w:style>
  <w:style w:type="character" w:styleId="Hyperlink">
    <w:name w:val="Hyperlink"/>
    <w:basedOn w:val="DefaultParagraphFont"/>
    <w:uiPriority w:val="99"/>
    <w:unhideWhenUsed/>
    <w:rsid w:val="001B155D"/>
    <w:rPr>
      <w:color w:val="0563C1" w:themeColor="hyperlink"/>
      <w:u w:val="single"/>
    </w:rPr>
  </w:style>
  <w:style w:type="character" w:styleId="UnresolvedMention">
    <w:name w:val="Unresolved Mention"/>
    <w:basedOn w:val="DefaultParagraphFont"/>
    <w:uiPriority w:val="99"/>
    <w:semiHidden/>
    <w:unhideWhenUsed/>
    <w:rsid w:val="001B155D"/>
    <w:rPr>
      <w:color w:val="605E5C"/>
      <w:shd w:val="clear" w:color="auto" w:fill="E1DFDD"/>
    </w:rPr>
  </w:style>
  <w:style w:type="paragraph" w:styleId="Header">
    <w:name w:val="header"/>
    <w:basedOn w:val="Normal"/>
    <w:link w:val="HeaderChar"/>
    <w:uiPriority w:val="99"/>
    <w:unhideWhenUsed/>
    <w:rsid w:val="00D75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00A"/>
  </w:style>
  <w:style w:type="paragraph" w:styleId="Footer">
    <w:name w:val="footer"/>
    <w:basedOn w:val="Normal"/>
    <w:link w:val="FooterChar"/>
    <w:uiPriority w:val="99"/>
    <w:unhideWhenUsed/>
    <w:rsid w:val="00D75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oleObject" Target="embeddings/oleObject63.bin"/><Relationship Id="rId159" Type="http://schemas.openxmlformats.org/officeDocument/2006/relationships/header" Target="header1.xml"/><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oleObject" Target="embeddings/Microsoft_Excel_97-2003_Worksheet1.xls"/><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header" Target="header2.xml"/><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image" Target="media/image70.wmf"/><Relationship Id="rId85" Type="http://schemas.openxmlformats.org/officeDocument/2006/relationships/image" Target="media/image42.wmf"/><Relationship Id="rId150" Type="http://schemas.openxmlformats.org/officeDocument/2006/relationships/image" Target="media/image74.png"/><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3.bin"/><Relationship Id="rId140" Type="http://schemas.openxmlformats.org/officeDocument/2006/relationships/oleObject" Target="embeddings/oleObject64.bin"/><Relationship Id="rId145" Type="http://schemas.openxmlformats.org/officeDocument/2006/relationships/chart" Target="charts/chart2.xml"/><Relationship Id="rId161" Type="http://schemas.openxmlformats.org/officeDocument/2006/relationships/footer" Target="footer1.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image" Target="media/image13.png"/><Relationship Id="rId49" Type="http://schemas.openxmlformats.org/officeDocument/2006/relationships/image" Target="media/image24.wmf"/><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5.png"/><Relationship Id="rId156" Type="http://schemas.openxmlformats.org/officeDocument/2006/relationships/oleObject" Target="embeddings/Microsoft_Excel_97-2003_Worksheet2.xls"/><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chart" Target="charts/chart1.xml"/><Relationship Id="rId146" Type="http://schemas.openxmlformats.org/officeDocument/2006/relationships/chart" Target="charts/chart3.xml"/><Relationship Id="rId7" Type="http://schemas.openxmlformats.org/officeDocument/2006/relationships/image" Target="media/image1.emf"/><Relationship Id="rId71" Type="http://schemas.openxmlformats.org/officeDocument/2006/relationships/image" Target="media/image35.wmf"/><Relationship Id="rId92" Type="http://schemas.openxmlformats.org/officeDocument/2006/relationships/oleObject" Target="embeddings/oleObject41.bin"/><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image" Target="media/image77.png"/><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chart" Target="charts/chart5.xml"/><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image" Target="media/image52.emf"/><Relationship Id="rId126" Type="http://schemas.openxmlformats.org/officeDocument/2006/relationships/oleObject" Target="embeddings/oleObject57.bin"/><Relationship Id="rId147" Type="http://schemas.openxmlformats.org/officeDocument/2006/relationships/chart" Target="charts/chart4.xml"/><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image" Target="media/image61.wmf"/><Relationship Id="rId142" Type="http://schemas.openxmlformats.org/officeDocument/2006/relationships/image" Target="media/image71.png"/><Relationship Id="rId163"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image" Target="media/image78.png"/><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image" Target="media/image56.wmf"/><Relationship Id="rId132" Type="http://schemas.openxmlformats.org/officeDocument/2006/relationships/oleObject" Target="embeddings/oleObject60.bin"/><Relationship Id="rId153" Type="http://schemas.openxmlformats.org/officeDocument/2006/relationships/chart" Target="charts/chart6.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3.emf"/><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oleObject" Target="embeddings/Microsoft_Excel_97-2003_Worksheet.xls"/><Relationship Id="rId148" Type="http://schemas.openxmlformats.org/officeDocument/2006/relationships/image" Target="media/image73.emf"/><Relationship Id="rId16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chart" Target="charts/chart7.xml"/><Relationship Id="rId16" Type="http://schemas.openxmlformats.org/officeDocument/2006/relationships/oleObject" Target="embeddings/oleObject4.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2.wmf"/><Relationship Id="rId144" Type="http://schemas.openxmlformats.org/officeDocument/2006/relationships/image" Target="media/image72.png"/><Relationship Id="rId90" Type="http://schemas.openxmlformats.org/officeDocument/2006/relationships/oleObject" Target="embeddings/oleObject40.bin"/><Relationship Id="rId165" Type="http://schemas.openxmlformats.org/officeDocument/2006/relationships/fontTable" Target="fontTable.xml"/><Relationship Id="rId27" Type="http://schemas.openxmlformats.org/officeDocument/2006/relationships/image" Target="media/image12.png"/><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image" Target="media/image57.wmf"/><Relationship Id="rId134" Type="http://schemas.openxmlformats.org/officeDocument/2006/relationships/oleObject" Target="embeddings/oleObject61.bin"/><Relationship Id="rId80" Type="http://schemas.openxmlformats.org/officeDocument/2006/relationships/oleObject" Target="embeddings/oleObject35.bin"/><Relationship Id="rId155" Type="http://schemas.openxmlformats.org/officeDocument/2006/relationships/image" Target="media/image7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C:/Users/Oluwa-Sheyi/Desktop/Year%202024%20Project/Mrs%20Aremu/PLOT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C:/Users/Oluwa-Sheyi/Desktop/Year%202024%20Project/Mrs%20Aremu/PLO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Sheet1!$A$1:$A$24</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Sheet1!$B$1:$B$24</c:f>
              <c:numCache>
                <c:formatCode>General</c:formatCode>
                <c:ptCount val="24"/>
                <c:pt idx="0">
                  <c:v>0</c:v>
                </c:pt>
                <c:pt idx="1">
                  <c:v>0</c:v>
                </c:pt>
                <c:pt idx="2">
                  <c:v>0</c:v>
                </c:pt>
                <c:pt idx="3">
                  <c:v>0</c:v>
                </c:pt>
                <c:pt idx="4">
                  <c:v>0</c:v>
                </c:pt>
                <c:pt idx="5">
                  <c:v>0</c:v>
                </c:pt>
                <c:pt idx="6">
                  <c:v>0</c:v>
                </c:pt>
                <c:pt idx="7">
                  <c:v>0</c:v>
                </c:pt>
                <c:pt idx="8">
                  <c:v>0</c:v>
                </c:pt>
                <c:pt idx="9">
                  <c:v>3.22</c:v>
                </c:pt>
                <c:pt idx="10">
                  <c:v>24.271000000000001</c:v>
                </c:pt>
                <c:pt idx="11">
                  <c:v>24.271000000000001</c:v>
                </c:pt>
                <c:pt idx="12">
                  <c:v>27.071000000000002</c:v>
                </c:pt>
                <c:pt idx="13">
                  <c:v>27.071000000000002</c:v>
                </c:pt>
                <c:pt idx="14">
                  <c:v>27.071000000000002</c:v>
                </c:pt>
                <c:pt idx="15">
                  <c:v>6.02</c:v>
                </c:pt>
                <c:pt idx="16">
                  <c:v>0</c:v>
                </c:pt>
                <c:pt idx="17">
                  <c:v>0</c:v>
                </c:pt>
                <c:pt idx="18">
                  <c:v>0</c:v>
                </c:pt>
                <c:pt idx="19">
                  <c:v>0</c:v>
                </c:pt>
                <c:pt idx="20">
                  <c:v>0</c:v>
                </c:pt>
                <c:pt idx="21">
                  <c:v>0</c:v>
                </c:pt>
                <c:pt idx="22">
                  <c:v>0</c:v>
                </c:pt>
                <c:pt idx="23">
                  <c:v>0</c:v>
                </c:pt>
              </c:numCache>
            </c:numRef>
          </c:yVal>
          <c:smooth val="0"/>
          <c:extLst>
            <c:ext xmlns:c16="http://schemas.microsoft.com/office/drawing/2014/chart" uri="{C3380CC4-5D6E-409C-BE32-E72D297353CC}">
              <c16:uniqueId val="{00000000-B63E-4E61-B3E2-F04D57515B1D}"/>
            </c:ext>
          </c:extLst>
        </c:ser>
        <c:dLbls>
          <c:showLegendKey val="0"/>
          <c:showVal val="0"/>
          <c:showCatName val="0"/>
          <c:showSerName val="0"/>
          <c:showPercent val="0"/>
          <c:showBubbleSize val="0"/>
        </c:dLbls>
        <c:axId val="855679392"/>
        <c:axId val="436325496"/>
      </c:scatterChart>
      <c:valAx>
        <c:axId val="85567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325496"/>
        <c:crosses val="autoZero"/>
        <c:crossBetween val="midCat"/>
      </c:valAx>
      <c:valAx>
        <c:axId val="436325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79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numRef>
              <c:f>Sheet1!$K$2:$K$25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Sheet1!$L$2:$L$25</c:f>
              <c:numCache>
                <c:formatCode>General</c:formatCode>
                <c:ptCount val="24"/>
                <c:pt idx="0">
                  <c:v>0</c:v>
                </c:pt>
                <c:pt idx="1">
                  <c:v>0</c:v>
                </c:pt>
                <c:pt idx="2">
                  <c:v>0</c:v>
                </c:pt>
                <c:pt idx="3">
                  <c:v>0</c:v>
                </c:pt>
                <c:pt idx="4">
                  <c:v>0</c:v>
                </c:pt>
                <c:pt idx="5">
                  <c:v>11.66</c:v>
                </c:pt>
                <c:pt idx="6">
                  <c:v>134.66</c:v>
                </c:pt>
                <c:pt idx="7">
                  <c:v>349.84</c:v>
                </c:pt>
                <c:pt idx="8">
                  <c:v>568.19000000000005</c:v>
                </c:pt>
                <c:pt idx="9">
                  <c:v>747.47</c:v>
                </c:pt>
                <c:pt idx="10">
                  <c:v>850.44</c:v>
                </c:pt>
                <c:pt idx="11">
                  <c:v>878.35</c:v>
                </c:pt>
                <c:pt idx="12">
                  <c:v>860.4</c:v>
                </c:pt>
                <c:pt idx="13">
                  <c:v>622.61</c:v>
                </c:pt>
                <c:pt idx="14">
                  <c:v>552.19000000000005</c:v>
                </c:pt>
                <c:pt idx="15">
                  <c:v>398.03</c:v>
                </c:pt>
                <c:pt idx="16">
                  <c:v>222.53</c:v>
                </c:pt>
                <c:pt idx="17">
                  <c:v>46.25</c:v>
                </c:pt>
                <c:pt idx="18">
                  <c:v>0</c:v>
                </c:pt>
                <c:pt idx="19">
                  <c:v>0</c:v>
                </c:pt>
                <c:pt idx="20">
                  <c:v>0</c:v>
                </c:pt>
                <c:pt idx="21">
                  <c:v>0</c:v>
                </c:pt>
                <c:pt idx="22">
                  <c:v>0</c:v>
                </c:pt>
                <c:pt idx="23">
                  <c:v>0</c:v>
                </c:pt>
              </c:numCache>
            </c:numRef>
          </c:val>
          <c:extLst>
            <c:ext xmlns:c16="http://schemas.microsoft.com/office/drawing/2014/chart" uri="{C3380CC4-5D6E-409C-BE32-E72D297353CC}">
              <c16:uniqueId val="{00000000-8FC7-404F-BA54-DDAF60C35BEC}"/>
            </c:ext>
          </c:extLst>
        </c:ser>
        <c:dLbls>
          <c:showLegendKey val="0"/>
          <c:showVal val="0"/>
          <c:showCatName val="0"/>
          <c:showSerName val="0"/>
          <c:showPercent val="0"/>
          <c:showBubbleSize val="0"/>
        </c:dLbls>
        <c:gapWidth val="219"/>
        <c:overlap val="-27"/>
        <c:axId val="436323144"/>
        <c:axId val="528537504"/>
      </c:barChart>
      <c:catAx>
        <c:axId val="436323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37504"/>
        <c:crosses val="autoZero"/>
        <c:auto val="1"/>
        <c:lblAlgn val="ctr"/>
        <c:lblOffset val="100"/>
        <c:noMultiLvlLbl val="0"/>
      </c:catAx>
      <c:valAx>
        <c:axId val="528537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Solar Irradiance (Watt-hr/m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32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Sheet1!$Q$2:$Q$25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Sheet1!$R$2:$R$25</c:f>
              <c:numCache>
                <c:formatCode>General</c:formatCode>
                <c:ptCount val="24"/>
                <c:pt idx="0">
                  <c:v>0</c:v>
                </c:pt>
                <c:pt idx="1">
                  <c:v>0</c:v>
                </c:pt>
                <c:pt idx="2">
                  <c:v>0</c:v>
                </c:pt>
                <c:pt idx="3">
                  <c:v>0</c:v>
                </c:pt>
                <c:pt idx="4">
                  <c:v>0</c:v>
                </c:pt>
                <c:pt idx="5">
                  <c:v>0.33</c:v>
                </c:pt>
                <c:pt idx="6">
                  <c:v>0.44</c:v>
                </c:pt>
                <c:pt idx="7">
                  <c:v>0.57999999999999996</c:v>
                </c:pt>
                <c:pt idx="8">
                  <c:v>0.66</c:v>
                </c:pt>
                <c:pt idx="9">
                  <c:v>0.7</c:v>
                </c:pt>
                <c:pt idx="10">
                  <c:v>0.7</c:v>
                </c:pt>
                <c:pt idx="11">
                  <c:v>0.69</c:v>
                </c:pt>
                <c:pt idx="12">
                  <c:v>0.69</c:v>
                </c:pt>
                <c:pt idx="13">
                  <c:v>0.54</c:v>
                </c:pt>
                <c:pt idx="14">
                  <c:v>0.56999999999999995</c:v>
                </c:pt>
                <c:pt idx="15">
                  <c:v>0.54</c:v>
                </c:pt>
                <c:pt idx="16">
                  <c:v>0.49</c:v>
                </c:pt>
                <c:pt idx="17">
                  <c:v>0.33</c:v>
                </c:pt>
                <c:pt idx="18">
                  <c:v>0</c:v>
                </c:pt>
                <c:pt idx="19">
                  <c:v>0</c:v>
                </c:pt>
                <c:pt idx="20">
                  <c:v>0</c:v>
                </c:pt>
                <c:pt idx="21">
                  <c:v>0</c:v>
                </c:pt>
                <c:pt idx="22">
                  <c:v>0</c:v>
                </c:pt>
                <c:pt idx="23">
                  <c:v>0</c:v>
                </c:pt>
              </c:numCache>
            </c:numRef>
          </c:val>
          <c:extLst>
            <c:ext xmlns:c16="http://schemas.microsoft.com/office/drawing/2014/chart" uri="{C3380CC4-5D6E-409C-BE32-E72D297353CC}">
              <c16:uniqueId val="{00000000-2AF8-40F0-9973-39A68E95147C}"/>
            </c:ext>
          </c:extLst>
        </c:ser>
        <c:dLbls>
          <c:showLegendKey val="0"/>
          <c:showVal val="0"/>
          <c:showCatName val="0"/>
          <c:showSerName val="0"/>
          <c:showPercent val="0"/>
          <c:showBubbleSize val="0"/>
        </c:dLbls>
        <c:gapWidth val="219"/>
        <c:overlap val="-27"/>
        <c:axId val="700177936"/>
        <c:axId val="700174016"/>
      </c:barChart>
      <c:catAx>
        <c:axId val="70017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74016"/>
        <c:crosses val="autoZero"/>
        <c:auto val="1"/>
        <c:lblAlgn val="ctr"/>
        <c:lblOffset val="100"/>
        <c:noMultiLvlLbl val="0"/>
      </c:catAx>
      <c:valAx>
        <c:axId val="700174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Clearness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7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numRef>
              <c:f>Sheet1!$Y$2:$Y$25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Sheet1!$Z$2:$Z$25</c:f>
              <c:numCache>
                <c:formatCode>General</c:formatCode>
                <c:ptCount val="24"/>
                <c:pt idx="0">
                  <c:v>24.34</c:v>
                </c:pt>
                <c:pt idx="1">
                  <c:v>24.23</c:v>
                </c:pt>
                <c:pt idx="2">
                  <c:v>24.13</c:v>
                </c:pt>
                <c:pt idx="3">
                  <c:v>24.08</c:v>
                </c:pt>
                <c:pt idx="4">
                  <c:v>24.01</c:v>
                </c:pt>
                <c:pt idx="5">
                  <c:v>24.01</c:v>
                </c:pt>
                <c:pt idx="6">
                  <c:v>25.12</c:v>
                </c:pt>
                <c:pt idx="7">
                  <c:v>26.05</c:v>
                </c:pt>
                <c:pt idx="8">
                  <c:v>27.07</c:v>
                </c:pt>
                <c:pt idx="9">
                  <c:v>28.23</c:v>
                </c:pt>
                <c:pt idx="10">
                  <c:v>29.21</c:v>
                </c:pt>
                <c:pt idx="11">
                  <c:v>29.84</c:v>
                </c:pt>
                <c:pt idx="12">
                  <c:v>30.19</c:v>
                </c:pt>
                <c:pt idx="13">
                  <c:v>30.27</c:v>
                </c:pt>
                <c:pt idx="14">
                  <c:v>30.15</c:v>
                </c:pt>
                <c:pt idx="15">
                  <c:v>29.78</c:v>
                </c:pt>
                <c:pt idx="16">
                  <c:v>29.21</c:v>
                </c:pt>
                <c:pt idx="17">
                  <c:v>27.98</c:v>
                </c:pt>
                <c:pt idx="18">
                  <c:v>26.52</c:v>
                </c:pt>
                <c:pt idx="19">
                  <c:v>26.03</c:v>
                </c:pt>
                <c:pt idx="20">
                  <c:v>25.64</c:v>
                </c:pt>
                <c:pt idx="21">
                  <c:v>25.33</c:v>
                </c:pt>
                <c:pt idx="22">
                  <c:v>25.08</c:v>
                </c:pt>
                <c:pt idx="23">
                  <c:v>24.89</c:v>
                </c:pt>
              </c:numCache>
            </c:numRef>
          </c:val>
          <c:extLst>
            <c:ext xmlns:c16="http://schemas.microsoft.com/office/drawing/2014/chart" uri="{C3380CC4-5D6E-409C-BE32-E72D297353CC}">
              <c16:uniqueId val="{00000000-7A77-412C-8EEF-CAD4CA9860F9}"/>
            </c:ext>
          </c:extLst>
        </c:ser>
        <c:dLbls>
          <c:showLegendKey val="0"/>
          <c:showVal val="0"/>
          <c:showCatName val="0"/>
          <c:showSerName val="0"/>
          <c:showPercent val="0"/>
          <c:showBubbleSize val="0"/>
        </c:dLbls>
        <c:gapWidth val="219"/>
        <c:overlap val="-27"/>
        <c:axId val="519327016"/>
        <c:axId val="519321136"/>
      </c:barChart>
      <c:catAx>
        <c:axId val="519327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21136"/>
        <c:crosses val="autoZero"/>
        <c:auto val="1"/>
        <c:lblAlgn val="ctr"/>
        <c:lblOffset val="100"/>
        <c:noMultiLvlLbl val="0"/>
      </c:catAx>
      <c:valAx>
        <c:axId val="519321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2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stacked"/>
        <c:varyColors val="1"/>
        <c:ser>
          <c:idx val="0"/>
          <c:order val="0"/>
          <c:tx>
            <c:v>Grid</c:v>
          </c:tx>
          <c:spPr>
            <a:solidFill>
              <a:srgbClr val="6A3D9A"/>
            </a:solidFill>
          </c:spPr>
          <c:invertIfNegative val="1"/>
          <c:cat>
            <c:strLit>
              <c:ptCount val="12"/>
              <c:pt idx="0">
                <c:v>Jan</c:v>
              </c:pt>
              <c:pt idx="1">
                <c:v>Feb</c:v>
              </c:pt>
              <c:pt idx="2">
                <c:v>Mar</c:v>
              </c:pt>
              <c:pt idx="3">
                <c:v>Apr</c:v>
              </c:pt>
              <c:pt idx="4">
                <c:v>May</c:v>
              </c:pt>
              <c:pt idx="5">
                <c:v>Jun</c:v>
              </c:pt>
              <c:pt idx="6">
                <c:v>Jul</c:v>
              </c:pt>
              <c:pt idx="7">
                <c:v>Aug</c:v>
              </c:pt>
              <c:pt idx="8">
                <c:v>Sep</c:v>
              </c:pt>
              <c:pt idx="9">
                <c:v>Oct</c:v>
              </c:pt>
              <c:pt idx="10">
                <c:v>Nov</c:v>
              </c:pt>
              <c:pt idx="11">
                <c:v>Dec</c:v>
              </c:pt>
            </c:strLit>
          </c:cat>
          <c:val>
            <c:numLit>
              <c:formatCode>General</c:formatCode>
              <c:ptCount val="12"/>
              <c:pt idx="0">
                <c:v>1.9178452560000001</c:v>
              </c:pt>
              <c:pt idx="1">
                <c:v>1.7006223359999999</c:v>
              </c:pt>
              <c:pt idx="2">
                <c:v>2.0817492</c:v>
              </c:pt>
              <c:pt idx="3">
                <c:v>2.1120832799999998</c:v>
              </c:pt>
              <c:pt idx="4">
                <c:v>2.2951946159999999</c:v>
              </c:pt>
              <c:pt idx="5">
                <c:v>2.4356181600000002</c:v>
              </c:pt>
              <c:pt idx="6">
                <c:v>2.6646166560000002</c:v>
              </c:pt>
              <c:pt idx="7">
                <c:v>2.7975359759999998</c:v>
              </c:pt>
              <c:pt idx="8">
                <c:v>2.5531207199999999</c:v>
              </c:pt>
              <c:pt idx="9">
                <c:v>2.348864544</c:v>
              </c:pt>
              <c:pt idx="10">
                <c:v>2.0590516800000001</c:v>
              </c:pt>
              <c:pt idx="11">
                <c:v>1.9717011840000001</c:v>
              </c:pt>
            </c:numLit>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A51-447A-8A27-C0C59D129390}"/>
            </c:ext>
          </c:extLst>
        </c:ser>
        <c:ser>
          <c:idx val="1"/>
          <c:order val="1"/>
          <c:tx>
            <c:v>Sun215</c:v>
          </c:tx>
          <c:spPr>
            <a:solidFill>
              <a:srgbClr val="A6CEE3"/>
            </a:solidFill>
          </c:spPr>
          <c:invertIfNegative val="1"/>
          <c:cat>
            <c:strLit>
              <c:ptCount val="12"/>
              <c:pt idx="0">
                <c:v>Jan</c:v>
              </c:pt>
              <c:pt idx="1">
                <c:v>Feb</c:v>
              </c:pt>
              <c:pt idx="2">
                <c:v>Mar</c:v>
              </c:pt>
              <c:pt idx="3">
                <c:v>Apr</c:v>
              </c:pt>
              <c:pt idx="4">
                <c:v>May</c:v>
              </c:pt>
              <c:pt idx="5">
                <c:v>Jun</c:v>
              </c:pt>
              <c:pt idx="6">
                <c:v>Jul</c:v>
              </c:pt>
              <c:pt idx="7">
                <c:v>Aug</c:v>
              </c:pt>
              <c:pt idx="8">
                <c:v>Sep</c:v>
              </c:pt>
              <c:pt idx="9">
                <c:v>Oct</c:v>
              </c:pt>
              <c:pt idx="10">
                <c:v>Nov</c:v>
              </c:pt>
              <c:pt idx="11">
                <c:v>Dec</c:v>
              </c:pt>
            </c:strLit>
          </c:cat>
          <c:val>
            <c:numLit>
              <c:formatCode>General</c:formatCode>
              <c:ptCount val="12"/>
              <c:pt idx="0">
                <c:v>3.5677203120000001</c:v>
              </c:pt>
              <c:pt idx="1">
                <c:v>3.237978912</c:v>
              </c:pt>
              <c:pt idx="2">
                <c:v>3.454761768</c:v>
              </c:pt>
              <c:pt idx="3">
                <c:v>3.1121812800000002</c:v>
              </c:pt>
              <c:pt idx="4">
                <c:v>3.0103750319999998</c:v>
              </c:pt>
              <c:pt idx="5">
                <c:v>2.62375128</c:v>
              </c:pt>
              <c:pt idx="6">
                <c:v>2.4017190479999999</c:v>
              </c:pt>
              <c:pt idx="7">
                <c:v>2.3099213519999999</c:v>
              </c:pt>
              <c:pt idx="8">
                <c:v>2.45259144</c:v>
              </c:pt>
              <c:pt idx="9">
                <c:v>2.942740224</c:v>
              </c:pt>
              <c:pt idx="10">
                <c:v>3.15299664</c:v>
              </c:pt>
              <c:pt idx="11">
                <c:v>3.4870193760000001</c:v>
              </c:pt>
            </c:numLit>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A51-447A-8A27-C0C59D129390}"/>
            </c:ext>
          </c:extLst>
        </c:ser>
        <c:dLbls>
          <c:showLegendKey val="0"/>
          <c:showVal val="0"/>
          <c:showCatName val="0"/>
          <c:showSerName val="0"/>
          <c:showPercent val="0"/>
          <c:showBubbleSize val="0"/>
        </c:dLbls>
        <c:gapWidth val="55"/>
        <c:overlap val="100"/>
        <c:axId val="436322360"/>
        <c:axId val="436323928"/>
      </c:barChart>
      <c:catAx>
        <c:axId val="436322360"/>
        <c:scaling>
          <c:orientation val="minMax"/>
        </c:scaling>
        <c:delete val="0"/>
        <c:axPos val="b"/>
        <c:title>
          <c:tx>
            <c:rich>
              <a:bodyPr/>
              <a:lstStyle/>
              <a:p>
                <a:pPr>
                  <a:defRPr/>
                </a:pPr>
                <a:r>
                  <a:rPr lang="en-US"/>
                  <a:t>Period</a:t>
                </a:r>
                <a:r>
                  <a:rPr lang="en-US" baseline="0"/>
                  <a:t> (Hr)</a:t>
                </a:r>
                <a:endParaRPr lang="en-US"/>
              </a:p>
            </c:rich>
          </c:tx>
          <c:overlay val="0"/>
        </c:title>
        <c:numFmt formatCode="General" sourceLinked="0"/>
        <c:majorTickMark val="out"/>
        <c:minorTickMark val="none"/>
        <c:tickLblPos val="nextTo"/>
        <c:spPr>
          <a:ln>
            <a:solidFill>
              <a:srgbClr val="000000"/>
            </a:solidFill>
            <a:round/>
          </a:ln>
        </c:spPr>
        <c:crossAx val="436323928"/>
        <c:crossesAt val="0"/>
        <c:auto val="1"/>
        <c:lblAlgn val="ctr"/>
        <c:lblOffset val="100"/>
        <c:noMultiLvlLbl val="1"/>
      </c:catAx>
      <c:valAx>
        <c:axId val="436323928"/>
        <c:scaling>
          <c:orientation val="minMax"/>
          <c:max val="6"/>
          <c:min val="0"/>
        </c:scaling>
        <c:delete val="0"/>
        <c:axPos val="l"/>
        <c:title>
          <c:tx>
            <c:rich>
              <a:bodyPr/>
              <a:lstStyle/>
              <a:p>
                <a:pPr>
                  <a:defRPr/>
                </a:pPr>
                <a:r>
                  <a:rPr lang="en-US" sz="1000"/>
                  <a:t>Energy Production (MWhr)</a:t>
                </a:r>
              </a:p>
            </c:rich>
          </c:tx>
          <c:overlay val="0"/>
        </c:title>
        <c:numFmt formatCode="#,##0;\-#,##0" sourceLinked="0"/>
        <c:majorTickMark val="out"/>
        <c:minorTickMark val="none"/>
        <c:tickLblPos val="nextTo"/>
        <c:spPr>
          <a:ln>
            <a:solidFill>
              <a:srgbClr val="000000"/>
            </a:solidFill>
            <a:round/>
          </a:ln>
        </c:spPr>
        <c:crossAx val="436322360"/>
        <c:crosses val="autoZero"/>
        <c:crossBetween val="between"/>
        <c:majorUnit val="1"/>
      </c:valAx>
    </c:plotArea>
    <c:legend>
      <c:legendPos val="r"/>
      <c:layout>
        <c:manualLayout>
          <c:xMode val="edge"/>
          <c:yMode val="edge"/>
          <c:x val="0.40955698719478245"/>
          <c:y val="8.4938757655293087E-2"/>
          <c:w val="0.10707324572543882"/>
          <c:h val="0.14351518560179977"/>
        </c:manualLayout>
      </c:layout>
      <c:overlay val="0"/>
    </c:legend>
    <c:plotVisOnly val="1"/>
    <c:dispBlanksAs val="zero"/>
    <c:showDLblsOverMax val="1"/>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Sheet1!$AI$4</c:f>
              <c:strCache>
                <c:ptCount val="1"/>
                <c:pt idx="0">
                  <c:v>Net cash flow (NGN)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Sheet1!$AH$5:$AH$25</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Sheet1!$AI$5:$AI$25</c:f>
              <c:numCache>
                <c:formatCode>General</c:formatCode>
                <c:ptCount val="21"/>
                <c:pt idx="0">
                  <c:v>-4866989.0999999996</c:v>
                </c:pt>
                <c:pt idx="1">
                  <c:v>5971445.8399999999</c:v>
                </c:pt>
                <c:pt idx="2">
                  <c:v>7863139.4100000001</c:v>
                </c:pt>
                <c:pt idx="3">
                  <c:v>10225913.470000001</c:v>
                </c:pt>
                <c:pt idx="4">
                  <c:v>13176907.869999999</c:v>
                </c:pt>
                <c:pt idx="5">
                  <c:v>16862331.890000001</c:v>
                </c:pt>
                <c:pt idx="6">
                  <c:v>13053077.68</c:v>
                </c:pt>
                <c:pt idx="7">
                  <c:v>27211587.870000001</c:v>
                </c:pt>
                <c:pt idx="8">
                  <c:v>34387228.770000003</c:v>
                </c:pt>
                <c:pt idx="9">
                  <c:v>43346014.850000001</c:v>
                </c:pt>
                <c:pt idx="10">
                  <c:v>54530050.75</c:v>
                </c:pt>
                <c:pt idx="11">
                  <c:v>70107590.920000002</c:v>
                </c:pt>
                <c:pt idx="12">
                  <c:v>38397199.909999996</c:v>
                </c:pt>
                <c:pt idx="13">
                  <c:v>34409753.890000001</c:v>
                </c:pt>
                <c:pt idx="14">
                  <c:v>136414236.59999999</c:v>
                </c:pt>
                <c:pt idx="15">
                  <c:v>170271045.53</c:v>
                </c:pt>
                <c:pt idx="16">
                  <c:v>212507668.12</c:v>
                </c:pt>
                <c:pt idx="17">
                  <c:v>265190196.88</c:v>
                </c:pt>
                <c:pt idx="18">
                  <c:v>43874273.719999999</c:v>
                </c:pt>
                <c:pt idx="19">
                  <c:v>412813894.06</c:v>
                </c:pt>
                <c:pt idx="20">
                  <c:v>514943328.38999999</c:v>
                </c:pt>
              </c:numCache>
            </c:numRef>
          </c:val>
          <c:extLst>
            <c:ext xmlns:c16="http://schemas.microsoft.com/office/drawing/2014/chart" uri="{C3380CC4-5D6E-409C-BE32-E72D297353CC}">
              <c16:uniqueId val="{00000000-819B-4A3C-86BE-1787EF46B176}"/>
            </c:ext>
          </c:extLst>
        </c:ser>
        <c:dLbls>
          <c:showLegendKey val="0"/>
          <c:showVal val="0"/>
          <c:showCatName val="0"/>
          <c:showSerName val="0"/>
          <c:showPercent val="0"/>
          <c:showBubbleSize val="0"/>
        </c:dLbls>
        <c:gapWidth val="100"/>
        <c:overlap val="-24"/>
        <c:axId val="459932128"/>
        <c:axId val="520011888"/>
      </c:barChart>
      <c:catAx>
        <c:axId val="4599321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0011888"/>
        <c:crosses val="autoZero"/>
        <c:auto val="1"/>
        <c:lblAlgn val="ctr"/>
        <c:lblOffset val="100"/>
        <c:noMultiLvlLbl val="0"/>
      </c:catAx>
      <c:valAx>
        <c:axId val="5200118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Net cash flow (NGN)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993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val>
            <c:numRef>
              <c:f>Sheet1!$AX$5:$AX$25</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val>
          <c:extLst>
            <c:ext xmlns:c16="http://schemas.microsoft.com/office/drawing/2014/chart" uri="{C3380CC4-5D6E-409C-BE32-E72D297353CC}">
              <c16:uniqueId val="{00000000-4E4E-48D1-96C4-F7E20B0CBD32}"/>
            </c:ext>
          </c:extLst>
        </c:ser>
        <c:ser>
          <c:idx val="1"/>
          <c:order val="1"/>
          <c:spPr>
            <a:solidFill>
              <a:schemeClr val="accent2"/>
            </a:solidFill>
            <a:ln>
              <a:noFill/>
            </a:ln>
            <a:effectLst/>
          </c:spPr>
          <c:val>
            <c:numRef>
              <c:f>Sheet1!$AY$5:$AY$25</c:f>
              <c:numCache>
                <c:formatCode>General</c:formatCode>
                <c:ptCount val="21"/>
                <c:pt idx="0">
                  <c:v>-4.8669890999999996</c:v>
                </c:pt>
                <c:pt idx="1">
                  <c:v>1.1044560000000001</c:v>
                </c:pt>
                <c:pt idx="2">
                  <c:v>8.9675960000000003</c:v>
                </c:pt>
                <c:pt idx="3">
                  <c:v>19.193508999999999</c:v>
                </c:pt>
                <c:pt idx="4">
                  <c:v>32.370417000000003</c:v>
                </c:pt>
                <c:pt idx="5">
                  <c:v>49.232748999999998</c:v>
                </c:pt>
                <c:pt idx="6">
                  <c:v>62.285826999999998</c:v>
                </c:pt>
                <c:pt idx="7">
                  <c:v>89.497414930000005</c:v>
                </c:pt>
                <c:pt idx="8">
                  <c:v>123.8846437</c:v>
                </c:pt>
                <c:pt idx="9">
                  <c:v>167.23065854999999</c:v>
                </c:pt>
                <c:pt idx="10">
                  <c:v>221.7607093</c:v>
                </c:pt>
                <c:pt idx="11">
                  <c:v>291.86830021999998</c:v>
                </c:pt>
                <c:pt idx="12">
                  <c:v>330.26550013000002</c:v>
                </c:pt>
                <c:pt idx="13">
                  <c:v>364.67525402000001</c:v>
                </c:pt>
                <c:pt idx="14">
                  <c:v>501.08949061999999</c:v>
                </c:pt>
                <c:pt idx="15">
                  <c:v>671.36053615000003</c:v>
                </c:pt>
                <c:pt idx="16">
                  <c:v>883.86820425999997</c:v>
                </c:pt>
                <c:pt idx="17">
                  <c:v>1149.0584011399999</c:v>
                </c:pt>
                <c:pt idx="18">
                  <c:v>1192.93267487</c:v>
                </c:pt>
                <c:pt idx="19">
                  <c:v>1605.74656893</c:v>
                </c:pt>
                <c:pt idx="20">
                  <c:v>2120.68989732</c:v>
                </c:pt>
              </c:numCache>
            </c:numRef>
          </c:val>
          <c:extLst>
            <c:ext xmlns:c16="http://schemas.microsoft.com/office/drawing/2014/chart" uri="{C3380CC4-5D6E-409C-BE32-E72D297353CC}">
              <c16:uniqueId val="{00000001-4E4E-48D1-96C4-F7E20B0CBD32}"/>
            </c:ext>
          </c:extLst>
        </c:ser>
        <c:dLbls>
          <c:showLegendKey val="0"/>
          <c:showVal val="0"/>
          <c:showCatName val="0"/>
          <c:showSerName val="0"/>
          <c:showPercent val="0"/>
          <c:showBubbleSize val="0"/>
        </c:dLbls>
        <c:axId val="855678608"/>
        <c:axId val="855680960"/>
      </c:areaChart>
      <c:catAx>
        <c:axId val="85567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80960"/>
        <c:crosses val="autoZero"/>
        <c:auto val="1"/>
        <c:lblAlgn val="ctr"/>
        <c:lblOffset val="100"/>
        <c:noMultiLvlLbl val="0"/>
      </c:catAx>
      <c:valAx>
        <c:axId val="85568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Cumulative Cash Flow (MNGN)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78608"/>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11209</Words>
  <Characters>63897</Characters>
  <Application>Microsoft Office Word</Application>
  <DocSecurity>0</DocSecurity>
  <Lines>532</Lines>
  <Paragraphs>149</Paragraphs>
  <ScaleCrop>false</ScaleCrop>
  <Company/>
  <LinksUpToDate>false</LinksUpToDate>
  <CharactersWithSpaces>74957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Oluwaseyi Adebiyi</dc:creator>
  <cp:lastModifiedBy>SDI 1084</cp:lastModifiedBy>
  <cp:revision>47</cp:revision>
  <dcterms:created xsi:type="dcterms:W3CDTF">2025-06-14T08:30:00Z</dcterms:created>
  <dcterms:modified xsi:type="dcterms:W3CDTF">2025-06-26T09:29:00Z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991dcb6b94ea4b81a7ef4162c7b32661</vt:lpwstr>
  </property>
</Properties>
</file>