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240E" w:rsidRDefault="0001240E" w:rsidP="0001240E">
      <w:pPr>
        <w:jc w:val="right"/>
        <w:rPr>
          <w:rFonts w:ascii="Arial" w:hAnsi="Arial" w:cs="Arial"/>
          <w:b/>
          <w:i/>
          <w:sz w:val="36"/>
          <w:szCs w:val="36"/>
          <w:u w:val="single"/>
        </w:rPr>
      </w:pPr>
      <w:r w:rsidRPr="0001240E">
        <w:rPr>
          <w:rFonts w:ascii="Arial" w:hAnsi="Arial" w:cs="Arial"/>
          <w:b/>
          <w:i/>
          <w:sz w:val="36"/>
          <w:szCs w:val="36"/>
          <w:u w:val="single"/>
        </w:rPr>
        <w:t xml:space="preserve">Review Article </w:t>
      </w:r>
    </w:p>
    <w:p w:rsidR="00AC7984" w:rsidRPr="0001240E" w:rsidRDefault="00AC7984" w:rsidP="0001240E">
      <w:pPr>
        <w:jc w:val="right"/>
        <w:rPr>
          <w:rFonts w:ascii="Arial" w:hAnsi="Arial" w:cs="Arial"/>
          <w:b/>
          <w:i/>
          <w:sz w:val="36"/>
          <w:szCs w:val="36"/>
          <w:u w:val="single"/>
        </w:rPr>
      </w:pPr>
    </w:p>
    <w:p w:rsidR="00DE0535" w:rsidRDefault="00DE0535" w:rsidP="00DE0535">
      <w:pPr>
        <w:jc w:val="both"/>
        <w:rPr>
          <w:rFonts w:ascii="Arial" w:hAnsi="Arial" w:cs="Arial"/>
          <w:b/>
          <w:sz w:val="36"/>
          <w:szCs w:val="36"/>
        </w:rPr>
      </w:pPr>
      <w:r w:rsidRPr="00274DE4">
        <w:rPr>
          <w:rFonts w:ascii="Arial" w:hAnsi="Arial" w:cs="Arial"/>
          <w:b/>
          <w:sz w:val="36"/>
          <w:szCs w:val="36"/>
        </w:rPr>
        <w:t>Literature review on the decomposition kinetics of lignocellulosic biomass for efficient energy recovery</w:t>
      </w:r>
    </w:p>
    <w:p w:rsidR="00B70F61" w:rsidRPr="00274DE4" w:rsidRDefault="00B70F61" w:rsidP="00DE0535">
      <w:pPr>
        <w:jc w:val="both"/>
        <w:rPr>
          <w:rFonts w:ascii="Arial" w:hAnsi="Arial" w:cs="Arial"/>
          <w:b/>
          <w:sz w:val="36"/>
          <w:szCs w:val="36"/>
        </w:rPr>
      </w:pPr>
    </w:p>
    <w:p w:rsidR="0001240E" w:rsidRPr="00274DE4" w:rsidRDefault="0001240E" w:rsidP="00DE0535">
      <w:pPr>
        <w:jc w:val="both"/>
        <w:rPr>
          <w:rFonts w:ascii="Arial" w:hAnsi="Arial" w:cs="Arial"/>
        </w:rPr>
      </w:pPr>
    </w:p>
    <w:p w:rsidR="00B70F61" w:rsidRDefault="00B70F61" w:rsidP="00441B6F">
      <w:pPr>
        <w:pStyle w:val="Copyright"/>
        <w:spacing w:after="0" w:line="240" w:lineRule="auto"/>
        <w:jc w:val="both"/>
        <w:rPr>
          <w:rFonts w:ascii="Arial" w:hAnsi="Arial" w:cs="Arial"/>
        </w:rPr>
      </w:pPr>
    </w:p>
    <w:p w:rsidR="00B70F61" w:rsidRPr="00FB3A86" w:rsidRDefault="00B70F61" w:rsidP="00441B6F">
      <w:pPr>
        <w:pStyle w:val="Copyright"/>
        <w:spacing w:after="0" w:line="240" w:lineRule="auto"/>
        <w:jc w:val="both"/>
        <w:rPr>
          <w:rFonts w:ascii="Arial" w:hAnsi="Arial" w:cs="Arial"/>
        </w:rPr>
        <w:sectPr w:rsidR="00B70F61" w:rsidRPr="00FB3A86" w:rsidSect="00D6282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0F7A63">
        <w:rPr>
          <w:rFonts w:ascii="Arial" w:hAnsi="Arial" w:cs="Arial"/>
        </w:rPr>
        <w:t xml:space="preserve"> </w:t>
      </w:r>
    </w:p>
    <w:p w:rsidR="00E76D84" w:rsidRPr="00E76D84" w:rsidRDefault="00E76D84" w:rsidP="00E76D84">
      <w:pPr>
        <w:jc w:val="both"/>
        <w:rPr>
          <w:rFonts w:ascii="Arial" w:hAnsi="Arial" w:cs="Arial"/>
          <w:sz w:val="22"/>
          <w:szCs w:val="22"/>
        </w:rPr>
      </w:pPr>
      <w:r w:rsidRPr="00E76D84">
        <w:rPr>
          <w:rFonts w:ascii="Arial" w:hAnsi="Arial" w:cs="Arial"/>
          <w:sz w:val="22"/>
          <w:szCs w:val="22"/>
        </w:rPr>
        <w:t xml:space="preserve">This work provides a synthesis of research conducted over the last ten years on the thermal decomposition kinetics of biomass residues, with the aim of their energy recovery. Many researchers have explored this topic, highlighting the importance of thermogravimetric analysis as a key step in obtaining essential information for the determination of kinetic parameters. Two main approaches have been adopted for this determination: the model-free method, known as </w:t>
      </w:r>
      <w:proofErr w:type="spellStart"/>
      <w:r w:rsidRPr="00E76D84">
        <w:rPr>
          <w:rFonts w:ascii="Arial" w:hAnsi="Arial" w:cs="Arial"/>
          <w:sz w:val="22"/>
          <w:szCs w:val="22"/>
        </w:rPr>
        <w:t>isoconversional</w:t>
      </w:r>
      <w:proofErr w:type="spellEnd"/>
      <w:r w:rsidRPr="00E76D84">
        <w:rPr>
          <w:rFonts w:ascii="Arial" w:hAnsi="Arial" w:cs="Arial"/>
          <w:sz w:val="22"/>
          <w:szCs w:val="22"/>
        </w:rPr>
        <w:t>, and the method based on a predefined kinetic model. The inherent complexity of thermal decomposition kinetics means that some previous works have limitations, particularly in the accuracy of the models or the interpretation of the results. These shortcomings highlight the need to improve current methods to fill the gaps in this field of research. Thus, this work proposes a series of perspectives to guide future research and improve the efficiency and accuracy of kinetic studies. These perspectives include the development of new models more representative of complex mechanisms, the improvement of experimental techniques, and the integration of advanced technologies for better data analysis.</w:t>
      </w:r>
    </w:p>
    <w:p w:rsidR="00505F06" w:rsidRDefault="00E76D84" w:rsidP="00E76D84">
      <w:pPr>
        <w:tabs>
          <w:tab w:val="left" w:pos="1623"/>
        </w:tabs>
        <w:jc w:val="both"/>
        <w:rPr>
          <w:rFonts w:ascii="Arial" w:hAnsi="Arial" w:cs="Arial"/>
          <w:sz w:val="22"/>
          <w:szCs w:val="22"/>
        </w:rPr>
      </w:pPr>
      <w:r w:rsidRPr="00E76D84">
        <w:rPr>
          <w:rFonts w:ascii="Arial" w:hAnsi="Arial" w:cs="Arial"/>
          <w:b/>
          <w:i/>
          <w:sz w:val="22"/>
          <w:szCs w:val="22"/>
        </w:rPr>
        <w:t xml:space="preserve">Keywords: </w:t>
      </w:r>
      <w:r w:rsidRPr="00E76D84">
        <w:rPr>
          <w:rFonts w:ascii="Arial" w:hAnsi="Arial" w:cs="Arial"/>
          <w:sz w:val="22"/>
          <w:szCs w:val="22"/>
        </w:rPr>
        <w:t>thermogravimetric analysis, model-free method, thermal decomposition, biomass</w:t>
      </w:r>
    </w:p>
    <w:p w:rsidR="00E76D84" w:rsidRPr="00E76D84" w:rsidRDefault="00E76D84" w:rsidP="00E76D84">
      <w:pPr>
        <w:tabs>
          <w:tab w:val="left" w:pos="1623"/>
        </w:tabs>
        <w:jc w:val="both"/>
        <w:rPr>
          <w:rFonts w:ascii="Arial" w:hAnsi="Arial" w:cs="Arial"/>
          <w:sz w:val="22"/>
          <w:szCs w:val="22"/>
        </w:rPr>
      </w:pPr>
    </w:p>
    <w:p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B63709">
        <w:rPr>
          <w:rFonts w:ascii="Arial" w:hAnsi="Arial" w:cs="Arial"/>
        </w:rPr>
        <w:t xml:space="preserve"> </w:t>
      </w:r>
    </w:p>
    <w:p w:rsidR="003F6197" w:rsidRDefault="000F30F8" w:rsidP="003F6197">
      <w:pPr>
        <w:jc w:val="both"/>
        <w:rPr>
          <w:rFonts w:ascii="Arial" w:hAnsi="Arial" w:cs="Arial"/>
          <w:szCs w:val="24"/>
        </w:rPr>
      </w:pPr>
      <w:r w:rsidRPr="000F30F8">
        <w:rPr>
          <w:rFonts w:ascii="Arial" w:hAnsi="Arial" w:cs="Arial"/>
          <w:szCs w:val="24"/>
        </w:rPr>
        <w:t>Benin, a West African country, is distinguished by relatively low energy consumption, with excessive and unsustainable use of biomass as an energy source</w:t>
      </w:r>
      <w:r w:rsidR="00F6794F">
        <w:rPr>
          <w:rFonts w:ascii="Arial" w:hAnsi="Arial" w:cs="Arial"/>
          <w:szCs w:val="24"/>
        </w:rPr>
        <w:t xml:space="preserve"> </w:t>
      </w:r>
      <w:r w:rsidRPr="000F30F8">
        <w:rPr>
          <w:rFonts w:ascii="Arial" w:hAnsi="Arial" w:cs="Arial"/>
          <w:szCs w:val="24"/>
        </w:rPr>
        <w:fldChar w:fldCharType="begin"/>
      </w:r>
      <w:r w:rsidR="007819CF">
        <w:rPr>
          <w:rFonts w:ascii="Arial" w:hAnsi="Arial" w:cs="Arial"/>
          <w:szCs w:val="24"/>
        </w:rPr>
        <w:instrText xml:space="preserve"> ADDIN ZOTERO_ITEM CSL_CITATION {"citationID":"z7CdWuis","properties":{"formattedCitation":"[1]","plainCitation":"[1]","noteIndex":0},"citationItems":[{"id":"KL15DYhl/4QfegbhP","uris":["http://zotero.org/users/local/V8e1vJQi/items/ILVGXKH9"],"itemData":{"id":138,"type":"article-journal","language":"fr","source":"Zotero","title":"Plan stratégique du ministère de l’énergie 2020-2024"}}],"schema":"https://github.com/citation-style-language/schema/raw/master/csl-citation.json"} </w:instrText>
      </w:r>
      <w:r w:rsidRPr="000F30F8">
        <w:rPr>
          <w:rFonts w:ascii="Arial" w:hAnsi="Arial" w:cs="Arial"/>
          <w:szCs w:val="24"/>
        </w:rPr>
        <w:fldChar w:fldCharType="separate"/>
      </w:r>
      <w:r w:rsidRPr="000F30F8">
        <w:rPr>
          <w:rFonts w:ascii="Arial" w:hAnsi="Arial" w:cs="Arial"/>
        </w:rPr>
        <w:t>[1]</w:t>
      </w:r>
      <w:r w:rsidRPr="000F30F8">
        <w:rPr>
          <w:rFonts w:ascii="Arial" w:hAnsi="Arial" w:cs="Arial"/>
          <w:szCs w:val="24"/>
        </w:rPr>
        <w:fldChar w:fldCharType="end"/>
      </w:r>
      <w:r w:rsidRPr="000F30F8">
        <w:rPr>
          <w:rFonts w:ascii="Arial" w:hAnsi="Arial" w:cs="Arial"/>
          <w:szCs w:val="24"/>
        </w:rPr>
        <w:t xml:space="preserve">. According to research by SIE Benin (Energy Information System of Benin), the country's total energy consumption in 2022 amounts to 1,479,940.92 MWh, 95.42% of which comes from biomass. The average daily consumption of firewood is 3.36 kg per household in urban areas and 6.02 kg per household in rural areas according to SIE. In 2022, agriculture represents approximately 22.8% of GDP and employs 60% of Benin's working population. The country has considerable potential for agricultural and household waste (293 </w:t>
      </w:r>
      <w:proofErr w:type="spellStart"/>
      <w:r w:rsidRPr="000F30F8">
        <w:rPr>
          <w:rFonts w:ascii="Arial" w:hAnsi="Arial" w:cs="Arial"/>
          <w:szCs w:val="24"/>
        </w:rPr>
        <w:t>Kt</w:t>
      </w:r>
      <w:proofErr w:type="spellEnd"/>
      <w:r w:rsidRPr="000F30F8">
        <w:rPr>
          <w:rFonts w:ascii="Arial" w:hAnsi="Arial" w:cs="Arial"/>
          <w:szCs w:val="24"/>
        </w:rPr>
        <w:t xml:space="preserve"> of agricultural residues according to SIE Benin 2021) which could be transformed into </w:t>
      </w:r>
      <w:proofErr w:type="spellStart"/>
      <w:proofErr w:type="gramStart"/>
      <w:r w:rsidRPr="000F30F8">
        <w:rPr>
          <w:rFonts w:ascii="Arial" w:hAnsi="Arial" w:cs="Arial"/>
          <w:szCs w:val="24"/>
        </w:rPr>
        <w:t>energy.</w:t>
      </w:r>
      <w:r w:rsidRPr="000F30F8">
        <w:rPr>
          <w:rFonts w:ascii="Arial" w:hAnsi="Arial" w:cs="Arial"/>
          <w:szCs w:val="24"/>
          <w:lang w:eastAsia="fr-FR"/>
        </w:rPr>
        <w:t>Energy</w:t>
      </w:r>
      <w:proofErr w:type="spellEnd"/>
      <w:proofErr w:type="gramEnd"/>
      <w:r w:rsidRPr="000F30F8">
        <w:rPr>
          <w:rFonts w:ascii="Arial" w:hAnsi="Arial" w:cs="Arial"/>
          <w:szCs w:val="24"/>
          <w:lang w:eastAsia="fr-FR"/>
        </w:rPr>
        <w:t xml:space="preserve"> recovery from biomass waste has become a major challenge in the current context of transition towards renewable and sustainable energy sources. These residues, from agriculture, forestry or the agri-food industry, represent an abundant and underexploited resource which, if properly managed, could significantly contribute to reducing dependence on fossil fuels and mitigating greenhouse gas emissions</w:t>
      </w:r>
      <w:r w:rsidR="00F6794F">
        <w:rPr>
          <w:rFonts w:ascii="Arial" w:hAnsi="Arial" w:cs="Arial"/>
          <w:szCs w:val="24"/>
          <w:lang w:eastAsia="fr-FR"/>
        </w:rPr>
        <w:t xml:space="preserve"> </w:t>
      </w:r>
      <w:r w:rsidRPr="000F30F8">
        <w:rPr>
          <w:rFonts w:ascii="Arial" w:hAnsi="Arial" w:cs="Arial"/>
          <w:szCs w:val="24"/>
          <w:lang w:eastAsia="fr-FR"/>
        </w:rPr>
        <w:fldChar w:fldCharType="begin"/>
      </w:r>
      <w:r w:rsidR="007819CF">
        <w:rPr>
          <w:rFonts w:ascii="Arial" w:hAnsi="Arial" w:cs="Arial"/>
          <w:szCs w:val="24"/>
          <w:lang w:eastAsia="fr-FR"/>
        </w:rPr>
        <w:instrText xml:space="preserve"> ADDIN ZOTERO_ITEM CSL_CITATION {"citationID":"Ruy7hCAv","properties":{"formattedCitation":"[2]","plainCitation":"[2]","noteIndex":0},"citationItems":[{"id":"KL15DYhl/QJK7mZFo","uris":["http://zotero.org/users/local/V8e1vJQi/items/I8JJAQRP"],"itemData":{"id":146,"type":"document","abstract":"Le Programme des Nations Unies pour le Développement (PNUD) en collaboration avec la Direction Générale de l’Energie a sollicité l’expertise d’un consultant individuel pour identifier et caractériser le potentiel national en sources d’énergies renouvelables en vue de stimuler le développement des zones rurales. Le présent rapport vient compléter les connaissances des uns et des autres sur la disponibilité des sources d’énergies renouvelables dans les huit zones agro écologiques que compte le Bénin. Les zones agro écologiques ont été choisies pour servir d’espaces de regroupement et de comparaison de la disponibilité des sources d’énergies renouvelables, car ces zones constituent des pôles de développement et les localités qui s’y trouvent sont régies par les mêmes conditions écologiques. Le Bénin a réalisé plusieurs projets de valorisation des sources d’énergies renouvelables par le passé, mais seulement quelques uns sont encore fonctionnels à ce jour. Les causes de ces échecs sont à chercher dans la conception et/ou la gestion de ces projets. Chaque zone agro écologique a ses spécificités et les sources d’énergie ont été évaluées en fonction de ces dernières. De cette évaluation on peut retenir que la zone agro écologique 7 qui couvre la zone côtière et les vallées du fleuve Ouémé et du lac Ahémé est surtout prédisposée à recevoir des éoliennes, car les vitesses des vents à 60 m d’altitude sont estimées dans le cadre de cette étude à environ 11,50 m/s. Avant la mise en valeur de cette source d’énergie, il est recommandé de faire une campagne de mesures des vents à cette hauteur, car cette valeur n’est que le fruit d’une extrapolation. Les zones agro écologiques n° 1 et 2 sont recommandées pour la valorisation de la biomasse, car elles ont un grand potentiel en résidus agricoles ; ainsi il parait nécessaire de faire une étude approfondie avant d’implanter n’importe quel projet pour la valorisation de cette source d’énergie. Ces zones offrent de même de grands atouts pour la production de biocombustibles gazeux (biogaz domestique) et le développement de biocombustibles liquides (bioéthanol, biodiesel). L’irradiation moyenne de 3,9 kWh/m².j au sud et 6,2 kwh/m².j au nord sur toute l’année constitue un potentiel énergétique solaire qui peut être valorisée dans toutes les zones agro écologiques du pays. Les mécanismes de financement adaptés sont proposés pour chaque zone agro écologique. A cet effet, il est proposé des mécanismes de financement avec ou sans l’intervention de l’état. Les sources d’énergie ont été catégorisées par priorité en fonction de leur potentiel. Les résultats sont mentionnés dans la figure n° 27. La valorisation des sources d’énergies renouvelables a des contraintes techniques liées à la méconnaissance du gisement, des contraintes liées au manque de formation et d’information, des contraintes institutionnelles et réglementaires et des contraintes économiques et financières. Pour une mise en valeur durable et efficace des sources d’énergies renouvelables disponibles dans chaque zone agro écologique, il est recommandé qu’une loi sur les énergies renouvelables soient adoptée par l’Assemblée Nationale.","language":"fr","title":"Projet développer le Bénin à partir des sources d’énergies renouvelables : Identification et cartographie des potentialités et sources d’énergie renouvelables assorties des possibilités d’exploitation, rapport final, PNUD","author":[{"family":"YATOPA","given":"ADRIEN BIO"},{"family":"SAKARIYOU","given":"MAHMAN"},{"family":"KOFFI","given":"ABBLE"}]}}],"schema":"https://github.com/citation-style-language/schema/raw/master/csl-citation.json"} </w:instrText>
      </w:r>
      <w:r w:rsidRPr="000F30F8">
        <w:rPr>
          <w:rFonts w:ascii="Arial" w:hAnsi="Arial" w:cs="Arial"/>
          <w:szCs w:val="24"/>
          <w:lang w:eastAsia="fr-FR"/>
        </w:rPr>
        <w:fldChar w:fldCharType="separate"/>
      </w:r>
      <w:r w:rsidRPr="000F30F8">
        <w:rPr>
          <w:rFonts w:ascii="Arial" w:hAnsi="Arial" w:cs="Arial"/>
        </w:rPr>
        <w:t>[2]</w:t>
      </w:r>
      <w:r w:rsidRPr="000F30F8">
        <w:rPr>
          <w:rFonts w:ascii="Arial" w:hAnsi="Arial" w:cs="Arial"/>
          <w:szCs w:val="24"/>
          <w:lang w:eastAsia="fr-FR"/>
        </w:rPr>
        <w:fldChar w:fldCharType="end"/>
      </w:r>
      <w:r w:rsidR="00F6794F">
        <w:rPr>
          <w:rFonts w:ascii="Arial" w:hAnsi="Arial" w:cs="Arial"/>
          <w:szCs w:val="24"/>
          <w:lang w:eastAsia="fr-FR"/>
        </w:rPr>
        <w:t xml:space="preserve">. </w:t>
      </w:r>
      <w:r w:rsidRPr="000F30F8">
        <w:rPr>
          <w:rFonts w:ascii="Arial" w:hAnsi="Arial" w:cs="Arial"/>
          <w:szCs w:val="24"/>
          <w:lang w:eastAsia="fr-FR"/>
        </w:rPr>
        <w:t>In most of our countries, this energy recovery from residues is often poorly designed, which prevents the maximum energy from being extracted and thus hinders the development of this renewable energy sector.</w:t>
      </w:r>
      <w:r w:rsidR="003F6197">
        <w:rPr>
          <w:rFonts w:ascii="Arial" w:hAnsi="Arial" w:cs="Arial"/>
          <w:szCs w:val="24"/>
        </w:rPr>
        <w:t xml:space="preserve"> </w:t>
      </w:r>
    </w:p>
    <w:p w:rsidR="000F30F8" w:rsidRPr="000F30F8" w:rsidRDefault="000F30F8" w:rsidP="003F6197">
      <w:pPr>
        <w:jc w:val="both"/>
        <w:rPr>
          <w:rFonts w:ascii="Arial" w:hAnsi="Arial" w:cs="Arial"/>
          <w:szCs w:val="24"/>
        </w:rPr>
      </w:pPr>
      <w:r w:rsidRPr="000F30F8">
        <w:rPr>
          <w:rFonts w:ascii="Arial" w:hAnsi="Arial" w:cs="Arial"/>
          <w:szCs w:val="24"/>
          <w:lang w:eastAsia="fr-FR"/>
        </w:rPr>
        <w:t xml:space="preserve">One of the key steps in the energy recovery of biomass is understanding the mechanisms of its thermal decomposition. This decomposition, or pyrolysis, is a complex process influenced by many factors, such as the chemical composition of the biomass, temperature conditions, </w:t>
      </w:r>
      <w:r w:rsidRPr="000F30F8">
        <w:rPr>
          <w:rFonts w:ascii="Arial" w:hAnsi="Arial" w:cs="Arial"/>
          <w:szCs w:val="24"/>
          <w:lang w:eastAsia="fr-FR"/>
        </w:rPr>
        <w:lastRenderedPageBreak/>
        <w:t>and the possible presence of catalysts</w:t>
      </w:r>
      <w:r w:rsidR="00682F75">
        <w:rPr>
          <w:rFonts w:ascii="Arial" w:hAnsi="Arial" w:cs="Arial"/>
          <w:szCs w:val="24"/>
          <w:lang w:eastAsia="fr-FR"/>
        </w:rPr>
        <w:t xml:space="preserve"> </w:t>
      </w:r>
      <w:r w:rsidRPr="000F30F8">
        <w:rPr>
          <w:rFonts w:ascii="Arial" w:hAnsi="Arial" w:cs="Arial"/>
          <w:szCs w:val="24"/>
          <w:lang w:eastAsia="fr-FR"/>
        </w:rPr>
        <w:fldChar w:fldCharType="begin"/>
      </w:r>
      <w:r w:rsidR="007819CF">
        <w:rPr>
          <w:rFonts w:ascii="Arial" w:hAnsi="Arial" w:cs="Arial"/>
          <w:szCs w:val="24"/>
          <w:lang w:eastAsia="fr-FR"/>
        </w:rPr>
        <w:instrText xml:space="preserve"> ADDIN ZOTERO_ITEM CSL_CITATION {"citationID":"AEm11nOs","properties":{"formattedCitation":"[3]","plainCitation":"[3]","noteIndex":0},"citationItems":[{"id":"KL15DYhl/9JmOaka0","uris":["http://zotero.org/users/local/V8e1vJQi/items/MM8J7C55"],"itemData":{"id":140,"type":"article-journal","abstract":"The thermogravimetric analysis of the samples was carried out by using apparatus SETSYS -1750 CS Evol. (TG-DTA 1600°C) with helium like inert gas, followed determination of the physico-chemical properties according to French standards' into force. The results show that the two types of biomass tested show strong volatile matter rates: respectively of 70.6 % and 85.05 %. The rice balls, have also a strong rate of ash (18.31 %) against 1.8 % with the corn raids. If the corn raids offer a strong convertion rate 93.78 %, such is not the case of the rice balls which post of them only 63.03 % with 800°C at the speed of heating of 20°C/min. In the same way, the total kinetic parameters (energy of activation and constant speed) of the two types of biomass were evaluated, for pellets about 2 mm of diameter with respectively 4813.5 J/mol, 0.0702 min -1 for the rice balls and 4476.7 J/mol, 0.0671 min -1 for the corn raids.","language":"fr","source":"Zotero","title":"Détermination des paramètres cinétiques globaux de la conversion thermochimique des rafles de maïs et balles de riz du Bénin","author":[{"family":"Adamon","given":"David G F"},{"family":"Fagbemi","given":"Latif"},{"family":"Bensakhria","given":"Ammar"}],"issued":{"date-parts":[["2015"]]}}}],"schema":"https://github.com/citation-style-language/schema/raw/master/csl-citation.json"} </w:instrText>
      </w:r>
      <w:r w:rsidRPr="000F30F8">
        <w:rPr>
          <w:rFonts w:ascii="Arial" w:hAnsi="Arial" w:cs="Arial"/>
          <w:szCs w:val="24"/>
          <w:lang w:eastAsia="fr-FR"/>
        </w:rPr>
        <w:fldChar w:fldCharType="separate"/>
      </w:r>
      <w:r w:rsidRPr="000F30F8">
        <w:rPr>
          <w:rFonts w:ascii="Arial" w:hAnsi="Arial" w:cs="Arial"/>
        </w:rPr>
        <w:t>[3]</w:t>
      </w:r>
      <w:r w:rsidRPr="000F30F8">
        <w:rPr>
          <w:rFonts w:ascii="Arial" w:hAnsi="Arial" w:cs="Arial"/>
          <w:szCs w:val="24"/>
          <w:lang w:eastAsia="fr-FR"/>
        </w:rPr>
        <w:fldChar w:fldCharType="end"/>
      </w:r>
      <w:r w:rsidR="00682F75">
        <w:rPr>
          <w:rFonts w:ascii="Arial" w:hAnsi="Arial" w:cs="Arial"/>
          <w:szCs w:val="24"/>
          <w:lang w:eastAsia="fr-FR"/>
        </w:rPr>
        <w:t xml:space="preserve">. </w:t>
      </w:r>
      <w:r w:rsidRPr="000F30F8">
        <w:rPr>
          <w:rFonts w:ascii="Arial" w:hAnsi="Arial" w:cs="Arial"/>
          <w:szCs w:val="24"/>
          <w:lang w:eastAsia="fr-FR"/>
        </w:rPr>
        <w:t>Thermal decomposition kinetics, which describes the rate at which biomass decomposes under the influence of heat, is essential for optimizing energy conversion processes, whether for the production of biochar, biogas or bio-oils</w:t>
      </w:r>
      <w:r w:rsidR="00F6794F">
        <w:rPr>
          <w:rFonts w:ascii="Arial" w:hAnsi="Arial" w:cs="Arial"/>
          <w:szCs w:val="24"/>
          <w:lang w:eastAsia="fr-FR"/>
        </w:rPr>
        <w:t xml:space="preserve"> </w:t>
      </w:r>
      <w:r w:rsidRPr="000F30F8">
        <w:rPr>
          <w:rFonts w:ascii="Arial" w:hAnsi="Arial" w:cs="Arial"/>
          <w:szCs w:val="24"/>
          <w:lang w:eastAsia="fr-FR"/>
        </w:rPr>
        <w:fldChar w:fldCharType="begin"/>
      </w:r>
      <w:r w:rsidR="007819CF">
        <w:rPr>
          <w:rFonts w:ascii="Arial" w:hAnsi="Arial" w:cs="Arial"/>
          <w:szCs w:val="24"/>
          <w:lang w:eastAsia="fr-FR"/>
        </w:rPr>
        <w:instrText xml:space="preserve"> ADDIN ZOTERO_ITEM CSL_CITATION {"citationID":"6TBze2nj","properties":{"formattedCitation":"[4]","plainCitation":"[4]","noteIndex":0},"citationItems":[{"id":"KL15DYhl/DySmF2QD","uris":["http://zotero.org/users/local/V8e1vJQi/items/XH873SCW"],"itemData":{"id":102,"type":"article-journal","abstract":"The gasification tests in this study were carried out using an instrumented installation equipped with a fixed bed reactor using carbon dioxide and water steam, as reagents. In this study, we considered the stepped gasification process. In addition, the ten-year resource availability study allowed us to select two agricultural residues, taking into account their availability over time, the absence of nutritional conflict and their physicochemical characteristics ... At the end of this study, two agricultural residues were selected : rice husks and corn cobs. The pyrolysis of these two biomasses was carried out in a muffle furnace at a temperature of 450 °C for a residence time of 45 minutes. A mathematical model based on the Newton method has been proposed to estimate the coke yield of rice husk and corn cobs as a function of temperature, for a fixed residence time. We also carried out a physicochemical characterization of these two agricultural residues as well as their pyrolysis cokes. Several pyrolysis tests have also been carried out in ATG in order to determine the real order of the decomposition reactions by pyrolysis, of these two biomasses, as a function of temperature. For the gasification tests, they were carried out on the pyrolysis coke of the two retained biomasses, using an installation equipped with a fixed-bed reactor on the one hand, and by thermogravimetric analysis of another hand. Several kinetic models (VRM, SCM and RPM) were used to model the gasification reaction kinetics of rice husk and corn cobs with carbon dioxide and water steam. It appears that the RPM model is the most suitable of the three models studied to best simulate the gasification reaction of char from rice husk and corn cobs under the operating conditions studied in this study. Thus, the activation energies obtained are respectively 165.8 kJ/mol and 152.9 kJ/mol with carbon dioxide and water steam for rice husk while the exponential factor varies from 2595.4 s-1 to 3473.4 s-1 with respective values of the structural parameter Ψ = 3.8 for the Boudouard reaction and Ψ = 2.16 for the water steam gasification. However, the activation energies obtained for corn cobs are 114.4 kJ/mol and 105.5kJ/mol respectively with carbon dioxide and water steam while the exponential factor varies from 13.9 s-1 to 18.3 s-1 with respective values of the structural parameter Ψ = 12.3 for the Boudouard reaction and Ψ = 8.68 for the water steam gasification.","language":"fr","source":"Zotero","title":"Modélisation de la cinétique de gazéification étagée  de la biomasse tropicale : cas des balles de riz et des  rafles de maïs","author":[{"family":"Adamon","given":"Farid","suffix":"Gildas David"}]}}],"schema":"https://github.com/citation-style-language/schema/raw/master/csl-citation.json"} </w:instrText>
      </w:r>
      <w:r w:rsidRPr="000F30F8">
        <w:rPr>
          <w:rFonts w:ascii="Arial" w:hAnsi="Arial" w:cs="Arial"/>
          <w:szCs w:val="24"/>
          <w:lang w:eastAsia="fr-FR"/>
        </w:rPr>
        <w:fldChar w:fldCharType="separate"/>
      </w:r>
      <w:r w:rsidRPr="000F30F8">
        <w:rPr>
          <w:rFonts w:ascii="Arial" w:hAnsi="Arial" w:cs="Arial"/>
        </w:rPr>
        <w:t>[4]</w:t>
      </w:r>
      <w:r w:rsidRPr="000F30F8">
        <w:rPr>
          <w:rFonts w:ascii="Arial" w:hAnsi="Arial" w:cs="Arial"/>
          <w:szCs w:val="24"/>
          <w:lang w:eastAsia="fr-FR"/>
        </w:rPr>
        <w:fldChar w:fldCharType="end"/>
      </w:r>
      <w:r w:rsidRPr="000F30F8">
        <w:rPr>
          <w:rFonts w:ascii="Arial" w:hAnsi="Arial" w:cs="Arial"/>
          <w:szCs w:val="24"/>
          <w:lang w:eastAsia="fr-FR"/>
        </w:rPr>
        <w:t>.</w:t>
      </w:r>
    </w:p>
    <w:p w:rsidR="000F30F8" w:rsidRPr="000F30F8" w:rsidRDefault="000F30F8" w:rsidP="000F30F8">
      <w:pPr>
        <w:jc w:val="both"/>
        <w:rPr>
          <w:rFonts w:ascii="Arial" w:hAnsi="Arial" w:cs="Arial"/>
          <w:szCs w:val="24"/>
          <w:lang w:eastAsia="fr-FR"/>
        </w:rPr>
      </w:pPr>
      <w:r w:rsidRPr="000F30F8">
        <w:rPr>
          <w:rFonts w:ascii="Arial" w:hAnsi="Arial" w:cs="Arial"/>
          <w:szCs w:val="24"/>
          <w:lang w:eastAsia="fr-FR"/>
        </w:rPr>
        <w:t xml:space="preserve">Over the last decade, numerous studies have been conducted to elucidate the thermal decomposition kinetics of biomass residues, mainly using two approaches: </w:t>
      </w:r>
      <w:proofErr w:type="spellStart"/>
      <w:r w:rsidRPr="000F30F8">
        <w:rPr>
          <w:rFonts w:ascii="Arial" w:hAnsi="Arial" w:cs="Arial"/>
          <w:szCs w:val="24"/>
          <w:lang w:eastAsia="fr-FR"/>
        </w:rPr>
        <w:t>isoconversional</w:t>
      </w:r>
      <w:proofErr w:type="spellEnd"/>
      <w:r w:rsidRPr="000F30F8">
        <w:rPr>
          <w:rFonts w:ascii="Arial" w:hAnsi="Arial" w:cs="Arial"/>
          <w:szCs w:val="24"/>
          <w:lang w:eastAsia="fr-FR"/>
        </w:rPr>
        <w:t xml:space="preserve"> methods, which do not require a prior model, and methods based on </w:t>
      </w:r>
      <w:r w:rsidRPr="00682F75">
        <w:rPr>
          <w:rFonts w:ascii="Arial" w:hAnsi="Arial" w:cs="Arial"/>
          <w:szCs w:val="24"/>
          <w:lang w:eastAsia="fr-FR"/>
        </w:rPr>
        <w:t>specific kinetic</w:t>
      </w:r>
      <w:r w:rsidRPr="000F30F8">
        <w:rPr>
          <w:rFonts w:ascii="Arial" w:hAnsi="Arial" w:cs="Arial"/>
          <w:szCs w:val="24"/>
          <w:lang w:eastAsia="fr-FR"/>
        </w:rPr>
        <w:t xml:space="preserve"> models</w:t>
      </w:r>
      <w:r w:rsidR="00F6794F">
        <w:rPr>
          <w:rFonts w:ascii="Arial" w:hAnsi="Arial" w:cs="Arial"/>
          <w:szCs w:val="24"/>
          <w:lang w:eastAsia="fr-FR"/>
        </w:rPr>
        <w:t xml:space="preserve"> </w:t>
      </w:r>
      <w:r w:rsidRPr="000F30F8">
        <w:rPr>
          <w:rFonts w:ascii="Arial" w:hAnsi="Arial" w:cs="Arial"/>
          <w:szCs w:val="24"/>
          <w:lang w:eastAsia="fr-FR"/>
        </w:rPr>
        <w:fldChar w:fldCharType="begin"/>
      </w:r>
      <w:r w:rsidR="007819CF">
        <w:rPr>
          <w:rFonts w:ascii="Arial" w:hAnsi="Arial" w:cs="Arial"/>
          <w:szCs w:val="24"/>
          <w:lang w:eastAsia="fr-FR"/>
        </w:rPr>
        <w:instrText xml:space="preserve"> ADDIN ZOTERO_ITEM CSL_CITATION {"citationID":"50ljxMYV","properties":{"formattedCitation":"[5]","plainCitation":"[5]","noteIndex":0},"citationItems":[{"id":"KL15DYhl/P6QoxvFr","uris":["http://zotero.org/users/local/V8e1vJQi/items/C3W2NLFE"],"itemData":{"id":70,"type":"article-journal","abstract":"Pyrolysis kinetics of pine wood, rice husk and bamboo (Bambusa chungii) were studied via thermogravimetric analysis technique under low heating rates. The result of model-free procedure showed that the lignocellulosic pyrolysis according to one-step reaction model is dominated by the diffusion effects. However, the complex features of variations are caused by the mechanism changes, which are hard to be determined. The distributed activation energy model (DAEM) kinetic results indicated that the activation energy distribution for pseudo components follows the orders of: E0(lignin) &gt; E0(cellulose) &gt; E0(hemicelluloses), r(lignin) &gt; r(hemicelluloses) &gt; r(cellulose). The Fraser–Suzuki deconvolution ﬁts better with the experimental data than DAEM. The pyrolysis mechanism of pseudo components after deconvolutions follows the theoretical models: third order model f(a) = (1 À a)3 for hemicelluloses and lignin, random scission model f(a) = 2(a1/2 À a) for cellulose. The apparent activation energy for pseudo hemicelluloses is 162.84 ± 26.45 kJ/mol for pine wood, 168.63 ± 28.47 kJ/mol for rice husk and 154.55 ± 26.49 kJ/mol for bamboo, respectively. The Ea value increases with the conversion with little deviation to its mean value. Similar Ea vs. a dependencies also are observed for pseudo celluloses, which has Ea of 188.14 ± 24.42 kJ/mol for pine wood, 206.71 ± 24.88 kJ/mol for rice husk and 190.45 ± 23.79 kJ/mol for bamboo, respectively.","container-title":"Energy Conversion and Management","DOI":"10.1016/j.enconman.2016.03.058","ISSN":"01968904","journalAbbreviation":"Energy Conversion and Management","language":"en","page":"1-11","source":"DOI.org (Crossref)","title":"Thermogravimetric kinetics of lignocellulosic biomass slow pyrolysis using distributed activation energy model, Fraser–Suzuki deconvolution, and iso-conversional method","volume":"118","author":[{"family":"Hu","given":"Mian"},{"family":"Chen","given":"Zhihua"},{"family":"Wang","given":"Shengkai"},{"family":"Guo","given":"Dabin"},{"family":"Ma","given":"Caifeng"},{"family":"Zhou","given":"Yan"},{"family":"Chen","given":"Jian"},{"family":"Laghari","given":"Mahmood"},{"family":"Fazal","given":"Saima"},{"family":"Xiao","given":"Bo"},{"family":"Zhang","given":"Beiping"},{"family":"Ma","given":"Shu"}],"issued":{"date-parts":[["2016",6]]}}}],"schema":"https://github.com/citation-style-language/schema/raw/master/csl-citation.json"} </w:instrText>
      </w:r>
      <w:r w:rsidRPr="000F30F8">
        <w:rPr>
          <w:rFonts w:ascii="Arial" w:hAnsi="Arial" w:cs="Arial"/>
          <w:szCs w:val="24"/>
          <w:lang w:eastAsia="fr-FR"/>
        </w:rPr>
        <w:fldChar w:fldCharType="separate"/>
      </w:r>
      <w:r w:rsidRPr="000F30F8">
        <w:rPr>
          <w:rFonts w:ascii="Arial" w:hAnsi="Arial" w:cs="Arial"/>
        </w:rPr>
        <w:t>[5]</w:t>
      </w:r>
      <w:r w:rsidRPr="000F30F8">
        <w:rPr>
          <w:rFonts w:ascii="Arial" w:hAnsi="Arial" w:cs="Arial"/>
          <w:szCs w:val="24"/>
          <w:lang w:eastAsia="fr-FR"/>
        </w:rPr>
        <w:fldChar w:fldCharType="end"/>
      </w:r>
      <w:r w:rsidR="00F6794F">
        <w:rPr>
          <w:rFonts w:ascii="Arial" w:hAnsi="Arial" w:cs="Arial"/>
          <w:szCs w:val="24"/>
          <w:lang w:eastAsia="fr-FR"/>
        </w:rPr>
        <w:t>.</w:t>
      </w:r>
      <w:r w:rsidRPr="000F30F8">
        <w:rPr>
          <w:rFonts w:ascii="Arial" w:hAnsi="Arial" w:cs="Arial"/>
          <w:szCs w:val="24"/>
          <w:lang w:eastAsia="fr-FR"/>
        </w:rPr>
        <w:t>This research has enabled significant advances, but has also highlighted challenges and gaps, particularly with regard to the accuracy of models and the interpretation of experimental data.</w:t>
      </w:r>
    </w:p>
    <w:p w:rsidR="000F30F8" w:rsidRDefault="000F30F8" w:rsidP="000F30F8">
      <w:pPr>
        <w:jc w:val="both"/>
        <w:rPr>
          <w:rFonts w:ascii="Arial" w:hAnsi="Arial" w:cs="Arial"/>
          <w:szCs w:val="24"/>
          <w:lang w:eastAsia="fr-FR"/>
        </w:rPr>
      </w:pPr>
      <w:r w:rsidRPr="000F30F8">
        <w:rPr>
          <w:rFonts w:ascii="Arial" w:hAnsi="Arial" w:cs="Arial"/>
          <w:szCs w:val="24"/>
          <w:lang w:eastAsia="fr-FR"/>
        </w:rPr>
        <w:t>In this context, this review aims to review recent work on the thermal decomposition kinetics of biomass residues, highlighting the methods used, the results obtained, as well as the limitations and research perspectives. By providing an overview of current advances and challenges, this article aims to contribute to improving knowledge and practices in this crucial field for the development of renewable energies.</w:t>
      </w:r>
    </w:p>
    <w:p w:rsidR="00C14910" w:rsidRPr="00FA1AF8" w:rsidRDefault="00C14910" w:rsidP="00FA1AF8">
      <w:pPr>
        <w:pStyle w:val="ListParagraph"/>
        <w:numPr>
          <w:ilvl w:val="0"/>
          <w:numId w:val="41"/>
        </w:numPr>
        <w:jc w:val="both"/>
        <w:rPr>
          <w:rFonts w:ascii="Arial" w:hAnsi="Arial" w:cs="Arial"/>
          <w:b/>
          <w:i/>
        </w:rPr>
      </w:pPr>
      <w:proofErr w:type="spellStart"/>
      <w:r w:rsidRPr="00FA1AF8">
        <w:rPr>
          <w:rFonts w:ascii="Arial" w:hAnsi="Arial" w:cs="Arial"/>
          <w:b/>
          <w:i/>
        </w:rPr>
        <w:t>Recent</w:t>
      </w:r>
      <w:proofErr w:type="spellEnd"/>
      <w:r w:rsidRPr="00FA1AF8">
        <w:rPr>
          <w:rFonts w:ascii="Arial" w:hAnsi="Arial" w:cs="Arial"/>
          <w:b/>
          <w:i/>
        </w:rPr>
        <w:t xml:space="preserve"> </w:t>
      </w:r>
      <w:proofErr w:type="spellStart"/>
      <w:r w:rsidRPr="00FA1AF8">
        <w:rPr>
          <w:rFonts w:ascii="Arial" w:hAnsi="Arial" w:cs="Arial"/>
          <w:b/>
          <w:i/>
        </w:rPr>
        <w:t>work</w:t>
      </w:r>
      <w:proofErr w:type="spellEnd"/>
      <w:r w:rsidRPr="00FA1AF8">
        <w:rPr>
          <w:rFonts w:ascii="Arial" w:hAnsi="Arial" w:cs="Arial"/>
          <w:b/>
          <w:i/>
        </w:rPr>
        <w:t xml:space="preserve"> on the </w:t>
      </w:r>
      <w:proofErr w:type="spellStart"/>
      <w:r w:rsidRPr="00FA1AF8">
        <w:rPr>
          <w:rFonts w:ascii="Arial" w:hAnsi="Arial" w:cs="Arial"/>
          <w:b/>
          <w:i/>
        </w:rPr>
        <w:t>kinetics</w:t>
      </w:r>
      <w:proofErr w:type="spellEnd"/>
      <w:r w:rsidRPr="00FA1AF8">
        <w:rPr>
          <w:rFonts w:ascii="Arial" w:hAnsi="Arial" w:cs="Arial"/>
          <w:b/>
          <w:i/>
        </w:rPr>
        <w:t xml:space="preserve"> of thermal </w:t>
      </w:r>
      <w:proofErr w:type="spellStart"/>
      <w:r w:rsidRPr="00FA1AF8">
        <w:rPr>
          <w:rFonts w:ascii="Arial" w:hAnsi="Arial" w:cs="Arial"/>
          <w:b/>
          <w:i/>
        </w:rPr>
        <w:t>decomposition</w:t>
      </w:r>
      <w:proofErr w:type="spellEnd"/>
      <w:r w:rsidRPr="00FA1AF8">
        <w:rPr>
          <w:rFonts w:ascii="Arial" w:hAnsi="Arial" w:cs="Arial"/>
          <w:b/>
          <w:i/>
        </w:rPr>
        <w:t xml:space="preserve"> of </w:t>
      </w:r>
      <w:proofErr w:type="spellStart"/>
      <w:r w:rsidRPr="00FA1AF8">
        <w:rPr>
          <w:rFonts w:ascii="Arial" w:hAnsi="Arial" w:cs="Arial"/>
          <w:b/>
          <w:i/>
        </w:rPr>
        <w:t>biomass</w:t>
      </w:r>
      <w:proofErr w:type="spellEnd"/>
      <w:r w:rsidRPr="00FA1AF8">
        <w:rPr>
          <w:rFonts w:ascii="Arial" w:hAnsi="Arial" w:cs="Arial"/>
          <w:b/>
          <w:i/>
        </w:rPr>
        <w:t xml:space="preserve"> </w:t>
      </w:r>
      <w:proofErr w:type="spellStart"/>
      <w:r w:rsidRPr="00FA1AF8">
        <w:rPr>
          <w:rFonts w:ascii="Arial" w:hAnsi="Arial" w:cs="Arial"/>
          <w:b/>
          <w:i/>
        </w:rPr>
        <w:t>residues</w:t>
      </w:r>
      <w:proofErr w:type="spellEnd"/>
    </w:p>
    <w:p w:rsidR="00C14910" w:rsidRPr="00C14910" w:rsidRDefault="00C14910" w:rsidP="00C14910">
      <w:pPr>
        <w:tabs>
          <w:tab w:val="left" w:pos="4047"/>
        </w:tabs>
        <w:jc w:val="both"/>
        <w:rPr>
          <w:rFonts w:ascii="Arial" w:hAnsi="Arial" w:cs="Arial"/>
        </w:rPr>
      </w:pPr>
      <w:r w:rsidRPr="00C14910">
        <w:rPr>
          <w:rFonts w:ascii="Arial" w:hAnsi="Arial" w:cs="Arial"/>
        </w:rPr>
        <w:t>Energy recovery from lignocellulosic biomass and agricultural residues primarily involves thermal processes such as pyrolysis and combustion. Several studies have explored the thermal characteristics, decomposition kinetics, and performance of briquettes derived from these biomasses. This literature review aims to present a synthesis of the results of this research, focusing on methodological approaches, results obtained, and implications for optimized energy recovery.</w:t>
      </w:r>
    </w:p>
    <w:p w:rsidR="00C14910" w:rsidRPr="00FA1AF8" w:rsidRDefault="00C14910" w:rsidP="00FA1AF8">
      <w:pPr>
        <w:pStyle w:val="ListParagraph"/>
        <w:numPr>
          <w:ilvl w:val="1"/>
          <w:numId w:val="41"/>
        </w:numPr>
        <w:tabs>
          <w:tab w:val="left" w:pos="4047"/>
        </w:tabs>
        <w:jc w:val="both"/>
        <w:rPr>
          <w:rFonts w:ascii="Arial" w:hAnsi="Arial" w:cs="Arial"/>
          <w:b/>
          <w:i/>
        </w:rPr>
      </w:pPr>
      <w:r w:rsidRPr="00FA1AF8">
        <w:rPr>
          <w:rFonts w:ascii="Arial" w:hAnsi="Arial" w:cs="Arial"/>
          <w:b/>
          <w:i/>
        </w:rPr>
        <w:t xml:space="preserve">Thermal </w:t>
      </w:r>
      <w:proofErr w:type="spellStart"/>
      <w:r w:rsidRPr="00FA1AF8">
        <w:rPr>
          <w:rFonts w:ascii="Arial" w:hAnsi="Arial" w:cs="Arial"/>
          <w:b/>
          <w:i/>
        </w:rPr>
        <w:t>decomposition</w:t>
      </w:r>
      <w:proofErr w:type="spellEnd"/>
      <w:r w:rsidRPr="00FA1AF8">
        <w:rPr>
          <w:rFonts w:ascii="Arial" w:hAnsi="Arial" w:cs="Arial"/>
          <w:b/>
          <w:i/>
        </w:rPr>
        <w:t xml:space="preserve"> </w:t>
      </w:r>
      <w:proofErr w:type="spellStart"/>
      <w:r w:rsidRPr="00FA1AF8">
        <w:rPr>
          <w:rFonts w:ascii="Arial" w:hAnsi="Arial" w:cs="Arial"/>
          <w:b/>
          <w:i/>
        </w:rPr>
        <w:t>kinetics</w:t>
      </w:r>
      <w:proofErr w:type="spellEnd"/>
      <w:r w:rsidRPr="00FA1AF8">
        <w:rPr>
          <w:rFonts w:ascii="Arial" w:hAnsi="Arial" w:cs="Arial"/>
          <w:b/>
          <w:i/>
        </w:rPr>
        <w:t xml:space="preserve"> of </w:t>
      </w:r>
      <w:proofErr w:type="spellStart"/>
      <w:r w:rsidRPr="00FA1AF8">
        <w:rPr>
          <w:rFonts w:ascii="Arial" w:hAnsi="Arial" w:cs="Arial"/>
          <w:b/>
          <w:i/>
        </w:rPr>
        <w:t>biomass</w:t>
      </w:r>
      <w:proofErr w:type="spellEnd"/>
    </w:p>
    <w:p w:rsidR="00C14910" w:rsidRPr="00C14910" w:rsidRDefault="00C14910" w:rsidP="00C14910">
      <w:pPr>
        <w:tabs>
          <w:tab w:val="left" w:pos="4047"/>
        </w:tabs>
        <w:jc w:val="both"/>
        <w:rPr>
          <w:rFonts w:ascii="Arial" w:hAnsi="Arial" w:cs="Arial"/>
        </w:rPr>
      </w:pPr>
      <w:r w:rsidRPr="00C14910">
        <w:rPr>
          <w:rFonts w:ascii="Arial" w:hAnsi="Arial" w:cs="Arial"/>
        </w:rPr>
        <w:t>Recent work has deepened our understanding of biomass pyrolysis mechanisms, highlighting the diversity of thermal behaviors depending on the nature of the material. Studies on the pyrolysis of pine wood, rice husk, and bamb</w:t>
      </w:r>
      <w:r w:rsidR="00064490">
        <w:rPr>
          <w:rFonts w:ascii="Arial" w:hAnsi="Arial" w:cs="Arial"/>
        </w:rPr>
        <w:t>oo, as shown by Hu et al.</w:t>
      </w:r>
      <w:r w:rsidRPr="00C14910">
        <w:rPr>
          <w:rFonts w:ascii="Arial" w:hAnsi="Arial" w:cs="Arial"/>
        </w:rPr>
        <w:t>, revealed that each type of biomass exhibits unique thermal characteristics, directly influencing kinetic parameters such as activation energy and decomposition temperatures</w:t>
      </w:r>
      <w:r w:rsidR="00FE169C">
        <w:rPr>
          <w:rFonts w:ascii="Arial" w:hAnsi="Arial" w:cs="Arial"/>
        </w:rPr>
        <w:t xml:space="preserve"> </w:t>
      </w:r>
      <w:r w:rsidRPr="00C14910">
        <w:rPr>
          <w:rFonts w:ascii="Arial" w:hAnsi="Arial" w:cs="Arial"/>
        </w:rPr>
        <w:fldChar w:fldCharType="begin"/>
      </w:r>
      <w:r w:rsidR="007819CF">
        <w:rPr>
          <w:rFonts w:ascii="Arial" w:hAnsi="Arial" w:cs="Arial"/>
        </w:rPr>
        <w:instrText xml:space="preserve"> ADDIN ZOTERO_ITEM CSL_CITATION {"citationID":"RNQRsn4C","properties":{"formattedCitation":"[5]","plainCitation":"[5]","noteIndex":0},"citationItems":[{"id":"KL15DYhl/P6QoxvFr","uris":["http://zotero.org/users/local/V8e1vJQi/items/C3W2NLFE"],"itemData":{"id":70,"type":"article-journal","abstract":"Pyrolysis kinetics of pine wood, rice husk and bamboo (Bambusa chungii) were studied via thermogravimetric analysis technique under low heating rates. The result of model-free procedure showed that the lignocellulosic pyrolysis according to one-step reaction model is dominated by the diffusion effects. However, the complex features of variations are caused by the mechanism changes, which are hard to be determined. The distributed activation energy model (DAEM) kinetic results indicated that the activation energy distribution for pseudo components follows the orders of: E0(lignin) &gt; E0(cellulose) &gt; E0(hemicelluloses), r(lignin) &gt; r(hemicelluloses) &gt; r(cellulose). The Fraser–Suzuki deconvolution ﬁts better with the experimental data than DAEM. The pyrolysis mechanism of pseudo components after deconvolutions follows the theoretical models: third order model f(a) = (1 À a)3 for hemicelluloses and lignin, random scission model f(a) = 2(a1/2 À a) for cellulose. The apparent activation energy for pseudo hemicelluloses is 162.84 ± 26.45 kJ/mol for pine wood, 168.63 ± 28.47 kJ/mol for rice husk and 154.55 ± 26.49 kJ/mol for bamboo, respectively. The Ea value increases with the conversion with little deviation to its mean value. Similar Ea vs. a dependencies also are observed for pseudo celluloses, which has Ea of 188.14 ± 24.42 kJ/mol for pine wood, 206.71 ± 24.88 kJ/mol for rice husk and 190.45 ± 23.79 kJ/mol for bamboo, respectively.","container-title":"Energy Conversion and Management","DOI":"10.1016/j.enconman.2016.03.058","ISSN":"01968904","journalAbbreviation":"Energy Conversion and Management","language":"en","page":"1-11","source":"DOI.org (Crossref)","title":"Thermogravimetric kinetics of lignocellulosic biomass slow pyrolysis using distributed activation energy model, Fraser–Suzuki deconvolution, and iso-conversional method","volume":"118","author":[{"family":"Hu","given":"Mian"},{"family":"Chen","given":"Zhihua"},{"family":"Wang","given":"Shengkai"},{"family":"Guo","given":"Dabin"},{"family":"Ma","given":"Caifeng"},{"family":"Zhou","given":"Yan"},{"family":"Chen","given":"Jian"},{"family":"Laghari","given":"Mahmood"},{"family":"Fazal","given":"Saima"},{"family":"Xiao","given":"Bo"},{"family":"Zhang","given":"Beiping"},{"family":"Ma","given":"Shu"}],"issued":{"date-parts":[["2016",6]]}}}],"schema":"https://github.com/citation-style-language/schema/raw/master/csl-citation.json"} </w:instrText>
      </w:r>
      <w:r w:rsidRPr="00C14910">
        <w:rPr>
          <w:rFonts w:ascii="Arial" w:hAnsi="Arial" w:cs="Arial"/>
        </w:rPr>
        <w:fldChar w:fldCharType="separate"/>
      </w:r>
      <w:r w:rsidRPr="00C14910">
        <w:rPr>
          <w:rFonts w:ascii="Arial" w:hAnsi="Arial" w:cs="Arial"/>
        </w:rPr>
        <w:t>[5]</w:t>
      </w:r>
      <w:r w:rsidRPr="00C14910">
        <w:rPr>
          <w:rFonts w:ascii="Arial" w:hAnsi="Arial" w:cs="Arial"/>
        </w:rPr>
        <w:fldChar w:fldCharType="end"/>
      </w:r>
      <w:r w:rsidR="003F6197">
        <w:rPr>
          <w:rFonts w:ascii="Arial" w:hAnsi="Arial" w:cs="Arial"/>
        </w:rPr>
        <w:t xml:space="preserve">. </w:t>
      </w:r>
      <w:r w:rsidRPr="00C14910">
        <w:rPr>
          <w:rFonts w:ascii="Arial" w:hAnsi="Arial" w:cs="Arial"/>
        </w:rPr>
        <w:t xml:space="preserve">The variability of kinetic results depending on the methods used was </w:t>
      </w:r>
      <w:r w:rsidR="00064490">
        <w:rPr>
          <w:rFonts w:ascii="Arial" w:hAnsi="Arial" w:cs="Arial"/>
        </w:rPr>
        <w:t>highlighted by Cai et al.</w:t>
      </w:r>
      <w:r w:rsidRPr="00C14910">
        <w:rPr>
          <w:rFonts w:ascii="Arial" w:hAnsi="Arial" w:cs="Arial"/>
        </w:rPr>
        <w:t>, who demonstrated that the integration of low temperatures in the calculations improves the accuracy of the activation energies obtained</w:t>
      </w:r>
      <w:r w:rsidR="00FE169C">
        <w:rPr>
          <w:rFonts w:ascii="Arial" w:hAnsi="Arial" w:cs="Arial"/>
        </w:rPr>
        <w:t xml:space="preserve"> </w:t>
      </w:r>
      <w:r w:rsidRPr="00C14910">
        <w:rPr>
          <w:rFonts w:ascii="Arial" w:hAnsi="Arial" w:cs="Arial"/>
        </w:rPr>
        <w:fldChar w:fldCharType="begin"/>
      </w:r>
      <w:r w:rsidR="007819CF">
        <w:rPr>
          <w:rFonts w:ascii="Arial" w:hAnsi="Arial" w:cs="Arial"/>
        </w:rPr>
        <w:instrText xml:space="preserve"> ADDIN ZOTERO_ITEM CSL_CITATION {"citationID":"rxty0dwj","properties":{"formattedCitation":"[6]","plainCitation":"[6]","noteIndex":0},"citationItems":[{"id":"KL15DYhl/1E6y2grf","uris":["http://zotero.org/users/local/V8e1vJQi/items/QZ4QBL7U"],"itemData":{"id":47,"type":"article-journal","container-title":"Energy &amp; Fuels","DOI":"10.1021/ef8002125","ISSN":"0887-0624, 1520-5029","issue":"4","journalAbbreviation":"Energy Fuels","language":"en","page":"2172-2174","source":"DOI.org (Crossref)","title":"Precision of the Coats and Redfern Method for the Determination of the Activation Energy without Neglecting the Low-Temperature End of the Temperature Integral","volume":"22","author":[{"family":"Cai","given":"Junmeng"},{"family":"Bi","given":"Lianshan"}],"issued":{"date-parts":[["2008",7,1]]}}}],"schema":"https://github.com/citation-style-language/schema/raw/master/csl-citation.json"} </w:instrText>
      </w:r>
      <w:r w:rsidRPr="00C14910">
        <w:rPr>
          <w:rFonts w:ascii="Arial" w:hAnsi="Arial" w:cs="Arial"/>
        </w:rPr>
        <w:fldChar w:fldCharType="separate"/>
      </w:r>
      <w:r w:rsidRPr="00C14910">
        <w:rPr>
          <w:rFonts w:ascii="Arial" w:hAnsi="Arial" w:cs="Arial"/>
        </w:rPr>
        <w:t>[6]</w:t>
      </w:r>
      <w:r w:rsidRPr="00C14910">
        <w:rPr>
          <w:rFonts w:ascii="Arial" w:hAnsi="Arial" w:cs="Arial"/>
        </w:rPr>
        <w:fldChar w:fldCharType="end"/>
      </w:r>
      <w:r w:rsidRPr="00C14910">
        <w:rPr>
          <w:rFonts w:ascii="Arial" w:hAnsi="Arial" w:cs="Arial"/>
        </w:rPr>
        <w:t>.</w:t>
      </w:r>
    </w:p>
    <w:p w:rsidR="00C14910" w:rsidRPr="00C14910" w:rsidRDefault="00C14910" w:rsidP="00C14910">
      <w:pPr>
        <w:tabs>
          <w:tab w:val="left" w:pos="4047"/>
        </w:tabs>
        <w:jc w:val="both"/>
        <w:rPr>
          <w:rFonts w:ascii="Arial" w:hAnsi="Arial" w:cs="Arial"/>
        </w:rPr>
      </w:pPr>
      <w:r w:rsidRPr="00C14910">
        <w:rPr>
          <w:rFonts w:ascii="Arial" w:hAnsi="Arial" w:cs="Arial"/>
        </w:rPr>
        <w:t>The influence of the chemical composition of biomasses on the pyrolysis stages has also been addr</w:t>
      </w:r>
      <w:r w:rsidR="00064490">
        <w:rPr>
          <w:rFonts w:ascii="Arial" w:hAnsi="Arial" w:cs="Arial"/>
        </w:rPr>
        <w:t>essed, with Wilson et al.</w:t>
      </w:r>
      <w:r w:rsidRPr="00C14910">
        <w:rPr>
          <w:rFonts w:ascii="Arial" w:hAnsi="Arial" w:cs="Arial"/>
        </w:rPr>
        <w:t xml:space="preserve"> showing that tropical agricultural residues are distinguished by a higher thermal reactivity compared to forest residues, notably due to their hemicellulose and lignin content.</w:t>
      </w:r>
      <w:r w:rsidRPr="00C14910">
        <w:rPr>
          <w:rFonts w:ascii="Arial" w:hAnsi="Arial" w:cs="Arial"/>
        </w:rPr>
        <w:fldChar w:fldCharType="begin"/>
      </w:r>
      <w:r w:rsidR="007819CF">
        <w:rPr>
          <w:rFonts w:ascii="Arial" w:hAnsi="Arial" w:cs="Arial"/>
        </w:rPr>
        <w:instrText xml:space="preserve"> ADDIN ZOTERO_ITEM CSL_CITATION {"citationID":"AYPdhakL","properties":{"formattedCitation":"[7]","plainCitation":"[7]","noteIndex":0},"citationItems":[{"id":"KL15DYhl/4SIZUCon","uris":["http://zotero.org/users/local/V8e1vJQi/items/D7HMWNJL"],"itemData":{"id":68,"type":"article-journal","abstract":"The processing of agricultural crops results in waste, which is a potential energy resource for alleviating commercial energy supply problems to agricultural-led economies like Tanzania. The energy content of the individual agricultural waste is largely dependent on its chemical composition (C, H and O) and it is negatively affected by the inclusion of inorganic elements and moisture. In this work, ﬁfteen tropical agricultural wastes emanating from export crops for Tanzania were analyzed. The methods used to analyze involved performing proximate and ultimate analysis for determining the biomass composition. Thermal degradation characteristic was established to ﬁve selected wastes (coffee husks, sisal bole, cashew nut shells, palm stem, and bagasse) using a thermogravimetric analyzer type NETZSCH STA 409 PC Luxx at a heating rate of 10 K/min. On the basis of elemental composition, the palm ﬁbre and cashew nut shells exhibited high energy content due to their higher H:C ratio with relatively low O:C ratio. Results of the thermal degradation characteristic study showed that the cashew nut shells were the most reactive feedstocks due to their highest overall mass loss and lowest burnout temperatures of 364 °C. Further, kinetic studies done to the ﬁve tropical biomass feedstocks under the pseudo single-component overall model established the activation energy for the bagasse, palm stem, and cashew nut shells to be 460 kJ/mole, 542 kJ/mole, and 293 kJ/mole, respectively. The respective activation energies for coffee husks and sisal bole were 370 kJ/mole and 239 kJ/mole. With the exception of the sisal bole, which exhibited zero order reaction mechanism, the remaining materials´ reaction mechanism was of ﬁrst order. These experimental ﬁndings form a basis for ranking these materials for energy generation and provide necessary input to equipment and process designers.","container-title":"Energy Conversion and Management","DOI":"10.1016/j.enconman.2010.06.058","ISSN":"01968904","issue":"1","journalAbbreviation":"Energy Conversion and Management","language":"en","license":"https://www.elsevier.com/tdm/userlicense/1.0/","page":"191-198","source":"DOI.org (Crossref)","title":"Thermal characterization of tropical biomass feedstocks","volume":"52","author":[{"family":"Wilson","given":"Lugano"},{"family":"Yang","given":"Weihong"},{"family":"Blasiak","given":"Wlodzimierz"},{"family":"John","given":"Geoffrey R."},{"family":"Mhilu","given":"Cuthbert F."}],"issued":{"date-parts":[["2011",1]]}}}],"schema":"https://github.com/citation-style-language/schema/raw/master/csl-citation.json"} </w:instrText>
      </w:r>
      <w:r w:rsidRPr="00C14910">
        <w:rPr>
          <w:rFonts w:ascii="Arial" w:hAnsi="Arial" w:cs="Arial"/>
        </w:rPr>
        <w:fldChar w:fldCharType="separate"/>
      </w:r>
      <w:r w:rsidRPr="00C14910">
        <w:rPr>
          <w:rFonts w:ascii="Arial" w:hAnsi="Arial" w:cs="Arial"/>
        </w:rPr>
        <w:t>[7]</w:t>
      </w:r>
      <w:r w:rsidRPr="00C14910">
        <w:rPr>
          <w:rFonts w:ascii="Arial" w:hAnsi="Arial" w:cs="Arial"/>
        </w:rPr>
        <w:fldChar w:fldCharType="end"/>
      </w:r>
      <w:r w:rsidR="00064490">
        <w:rPr>
          <w:rFonts w:ascii="Arial" w:hAnsi="Arial" w:cs="Arial"/>
        </w:rPr>
        <w:t xml:space="preserve"> </w:t>
      </w:r>
      <w:r w:rsidRPr="00C14910">
        <w:rPr>
          <w:rFonts w:ascii="Arial" w:hAnsi="Arial" w:cs="Arial"/>
        </w:rPr>
        <w:t>These results are confirm</w:t>
      </w:r>
      <w:r w:rsidR="00064490">
        <w:rPr>
          <w:rFonts w:ascii="Arial" w:hAnsi="Arial" w:cs="Arial"/>
        </w:rPr>
        <w:t xml:space="preserve">ed by </w:t>
      </w:r>
      <w:proofErr w:type="spellStart"/>
      <w:r w:rsidR="00064490">
        <w:rPr>
          <w:rFonts w:ascii="Arial" w:hAnsi="Arial" w:cs="Arial"/>
        </w:rPr>
        <w:t>Emiola</w:t>
      </w:r>
      <w:proofErr w:type="spellEnd"/>
      <w:r w:rsidR="00064490">
        <w:rPr>
          <w:rFonts w:ascii="Arial" w:hAnsi="Arial" w:cs="Arial"/>
        </w:rPr>
        <w:t xml:space="preserve"> Sadiq et al.</w:t>
      </w:r>
      <w:r w:rsidRPr="00C14910">
        <w:rPr>
          <w:rFonts w:ascii="Arial" w:hAnsi="Arial" w:cs="Arial"/>
        </w:rPr>
        <w:t>, who observed distinct decomposition stages for agricultural biomasses, which contrasts with the behavior of forest residues</w:t>
      </w:r>
      <w:r w:rsidR="00F6794F">
        <w:rPr>
          <w:rFonts w:ascii="Arial" w:hAnsi="Arial" w:cs="Arial"/>
        </w:rPr>
        <w:t xml:space="preserve"> </w:t>
      </w:r>
      <w:r w:rsidRPr="00C14910">
        <w:rPr>
          <w:rFonts w:ascii="Arial" w:hAnsi="Arial" w:cs="Arial"/>
        </w:rPr>
        <w:fldChar w:fldCharType="begin"/>
      </w:r>
      <w:r w:rsidR="007819CF">
        <w:rPr>
          <w:rFonts w:ascii="Arial" w:hAnsi="Arial" w:cs="Arial"/>
        </w:rPr>
        <w:instrText xml:space="preserve"> ADDIN ZOTERO_ITEM CSL_CITATION {"citationID":"v0GJP6zz","properties":{"formattedCitation":"[8]","plainCitation":"[8]","noteIndex":0},"citationItems":[{"id":"KL15DYhl/SrSgoCNM","uris":["http://zotero.org/users/local/V8e1vJQi/items/DZ7DFN4R"],"itemData":{"id":53,"type":"article-journal","abstract":"Thermal degradation behavior and kinetics of two agricultural (soy and oat hulls) and two forestry biomass (willow and spruce) residues were investigated using a unique combination of model-ﬁtting and model-free methods. Experiments were carried out in an inert atmosphere at diﬀerent heating rates. Both single step and multistep models were explored in deriving activation energies, frequency factors, and mechanisms of all four biomass residues. For the single step models, activation energy values ranged from 107.2 kJ/mol for willow and 139.7 kJ/mol for soy hull, and the frequency factors for both materials were 1.1 × 109 and 2.66 × 1012 s−1, respectively. The multistep models gave further insight into the diﬀerent mechanisms across the full degradation spectrum. There was an observed diﬀerence between the number of distinct steps/mechanisms for the agriculture-based versus wood-based biomass materials, with pyrolysis occurring in three distinct steps for the agricultural biomass residues while the woody residues degraded in two steps. The diﬀerence in the number of distinct steps can be attributed to the composition and distribution of components of the biomass, which would diﬀer based on the nature and source of the biomass.","container-title":"ACS Omega","DOI":"10.1021/acsomega.1c02937","ISSN":"2470-1343, 2470-1343","issue":"34","journalAbbreviation":"ACS Omega","language":"en","license":"https://creativecommons.org/licenses/by/4.0/","page":"22233-22247","source":"DOI.org (Crossref)","title":"Thermal and Kinetic Studies on Biomass Degradation &lt;i&gt;via&lt;/i&gt; Thermogravimetric Analysis: A Combination of Model-Fitting and Model-Free Approach","title-short":"Thermal and Kinetic Studies on Biomass Degradation &lt;i&gt;via&lt;/i&gt; Thermogravimetric Analysis","volume":"6","author":[{"family":"Emiola-Sadiq","given":"Tolu"},{"family":"Zhang","given":"Lifeng"},{"family":"Dalai","given":"Ajay K."}],"issued":{"date-parts":[["2021",8,31]]}}}],"schema":"https://github.com/citation-style-language/schema/raw/master/csl-citation.json"} </w:instrText>
      </w:r>
      <w:r w:rsidRPr="00C14910">
        <w:rPr>
          <w:rFonts w:ascii="Arial" w:hAnsi="Arial" w:cs="Arial"/>
        </w:rPr>
        <w:fldChar w:fldCharType="separate"/>
      </w:r>
      <w:r w:rsidRPr="00C14910">
        <w:rPr>
          <w:rFonts w:ascii="Arial" w:hAnsi="Arial" w:cs="Arial"/>
        </w:rPr>
        <w:t>[8]</w:t>
      </w:r>
      <w:r w:rsidRPr="00C14910">
        <w:rPr>
          <w:rFonts w:ascii="Arial" w:hAnsi="Arial" w:cs="Arial"/>
        </w:rPr>
        <w:fldChar w:fldCharType="end"/>
      </w:r>
      <w:r w:rsidRPr="00C14910">
        <w:rPr>
          <w:rFonts w:ascii="Arial" w:hAnsi="Arial" w:cs="Arial"/>
        </w:rPr>
        <w:t>. Studies such as those of E</w:t>
      </w:r>
      <w:r w:rsidR="00064490">
        <w:rPr>
          <w:rFonts w:ascii="Arial" w:hAnsi="Arial" w:cs="Arial"/>
        </w:rPr>
        <w:t xml:space="preserve">l-Sayed et al. </w:t>
      </w:r>
      <w:r w:rsidRPr="00C14910">
        <w:rPr>
          <w:rFonts w:ascii="Arial" w:hAnsi="Arial" w:cs="Arial"/>
        </w:rPr>
        <w:fldChar w:fldCharType="begin"/>
      </w:r>
      <w:r w:rsidR="007819CF">
        <w:rPr>
          <w:rFonts w:ascii="Arial" w:hAnsi="Arial" w:cs="Arial"/>
        </w:rPr>
        <w:instrText xml:space="preserve"> ADDIN ZOTERO_ITEM CSL_CITATION {"citationID":"PUN3F5GX","properties":{"formattedCitation":"[9]","plainCitation":"[9]","noteIndex":0},"citationItems":[{"id":"KL15DYhl/sRuxiYm6","uris":["http://zotero.org/users/local/V8e1vJQi/items/DL5XR4XN"],"itemData":{"id":144,"type":"article-journal","abstract":"The goal of the current study is to investigate the thermal degradation of palm fronds (PF), olive leaves (OL), and wheat straw (WS) through pyrolysis and calculate their kinetic data using TG-DTG and DTA approaches. The kinetic parameters were assessed using isoconversional techniques like the Ozawa-Flynn-Wall (OFW) and Kissinger–Akahira–Sunose (KAS) methods, as well as model-fitting techniques like the integral method, which employs various diffusion and reaction order models. Using kinetics data models, typical parameters for pyrolysis and thermodynamics were estimated. For PF, OL, and WS, the values of activation energy (E) from the integral method ranged between 8.82 and 167.13, 23.06 and 149.20, and 11.01 and 156.27, respectively, for diffusion models. On the other hand, the values of (E) ranged between 22.3 and 117.49, 51.69 and 92.88, and 23.48 and 125.97, respectively, for reaction-order models. The average activation energies (E) calculated by using PF, OL, and WS samples are 91.9, 69.1, and 65.2, respectively, for the OFW method and 87.5, 101.8, and 63.4, respectively, for the KAS method. The results demonstrated that the integral method provided values of (E) that were almost identical to those produced by the KAS and OFW methods. In the same range of (α), results showed that reaction order models yielded greater frequency factor values than diffusion models, demonstrating how simpler and quicker pyrolysis is. The values of (Δ  Gav ) demonstrated the acceptability of these materials for pyrolysis, and for the OFW and KAS techniques, the sequence of the degradation process was OL &gt; WS &gt; PF. The calculated (Δ  Gav ) showed that more heat energies are required for OL, PF, and WS to dissociate the reagent bonds, which agrees with the (E) values derived from the OFW model.","container-title":"Biomass Conversion and Biorefinery","DOI":"10.1007/s13399-023-03926-2","ISSN":"2190-6815, 2190-6823","issue":"15","journalAbbreviation":"Biomass Conv. Bioref.","language":"en","page":"17779-17803","source":"DOI.org (Crossref)","title":"Thermal degradation behaviour and chemical kinetic characteristics of biomass pyrolysis using TG/DTG/DTA techniques","volume":"14","author":[{"family":"El-Sayed","given":"Saad A."},{"family":"Khass","given":"Tarek M."},{"family":"Mostafa","given":"Mohamed E."}],"issued":{"date-parts":[["2024",8]]}}}],"schema":"https://github.com/citation-style-language/schema/raw/master/csl-citation.json"} </w:instrText>
      </w:r>
      <w:r w:rsidRPr="00C14910">
        <w:rPr>
          <w:rFonts w:ascii="Arial" w:hAnsi="Arial" w:cs="Arial"/>
        </w:rPr>
        <w:fldChar w:fldCharType="separate"/>
      </w:r>
      <w:r w:rsidRPr="00C14910">
        <w:rPr>
          <w:rFonts w:ascii="Arial" w:hAnsi="Arial" w:cs="Arial"/>
        </w:rPr>
        <w:t>[9]</w:t>
      </w:r>
      <w:r w:rsidRPr="00C14910">
        <w:rPr>
          <w:rFonts w:ascii="Arial" w:hAnsi="Arial" w:cs="Arial"/>
        </w:rPr>
        <w:fldChar w:fldCharType="end"/>
      </w:r>
      <w:r w:rsidR="003F6197">
        <w:rPr>
          <w:rFonts w:ascii="Arial" w:hAnsi="Arial" w:cs="Arial"/>
        </w:rPr>
        <w:t xml:space="preserve"> </w:t>
      </w:r>
      <w:r w:rsidR="00064490">
        <w:rPr>
          <w:rFonts w:ascii="Arial" w:hAnsi="Arial" w:cs="Arial"/>
        </w:rPr>
        <w:t xml:space="preserve">and Singh et al. </w:t>
      </w:r>
      <w:r w:rsidRPr="00C14910">
        <w:rPr>
          <w:rFonts w:ascii="Arial" w:hAnsi="Arial" w:cs="Arial"/>
        </w:rPr>
        <w:fldChar w:fldCharType="begin"/>
      </w:r>
      <w:r w:rsidR="007819CF">
        <w:rPr>
          <w:rFonts w:ascii="Arial" w:hAnsi="Arial" w:cs="Arial"/>
        </w:rPr>
        <w:instrText xml:space="preserve"> ADDIN ZOTERO_ITEM CSL_CITATION {"citationID":"EIdjWSVS","properties":{"formattedCitation":"[10]","plainCitation":"[10]","noteIndex":0},"citationItems":[{"id":"KL15DYhl/6jKnaCFI","uris":["http://zotero.org/users/local/V8e1vJQi/items/LBF9FW75"],"itemData":{"id":136,"type":"article-journal","abstract":"The knowledge on thermo-kinetics, synergistic effect, and reaction mechanism of pyrolysis/co-pyrolysis of biomass with plastics is crucial for designing efﬁcient reactor system and subsequently the pyrolysis/co-pyrolysis process. The present work explores thermal response, kinetics, reaction mechanism and thermodynamic analysis of pyrolysis and co-pyrolysis of individual corn cob (CC) and polyethylene (PE), and their blend in the ratio of 3:1 (w/w). Thermogravimetric analysis (TGA) data was obtained under inert atmosphere at various heating rates of 10, 20, and 30 °C/min and synergistic effect in the co-pyrolysis of CC and PE is discussed. The obtained TGA data was processed using various model-free isoconversional methods like KAS, FWO, Friedman, Starink, and Vyazovkin for determination of kinetics of pyrolysis/co-pyrolysis process of CC and PE. Average activation energy for CC pyrolysis was estimated to be 240 ± 51.25 kJ/mol, 240 ± 51.51 kJ/mol, 237 ± 49.67 kJ/mol, and 245 ± 52.10 kJ/mol according to KAS, Starink, FWO, and Vyazovkin models, respectively. Statistical analysis showed that the variation in reported values of activation energy was not signiﬁcantly different (p = 0.994). Similar statistically insigniﬁcant difference was also observed for pyrolysis of PE and co-pyrolysis of CC and PE. Results showed that co-pyrolysis (CC + PE) requires 10% less activation energy than pyrolysis of CC alone. For the copyrolysis process, the extent of synergistic effect was discussed by difference in mass loss (ΔW). Investigation also revealed that residue left for co-pyrolysis of CC and PE is 50% less than pyrolysis of CC alone showing synergistic effect during co-pyrolysis. Thermodynamic parameters were calculated to illustrate complex mechanism of the process. Third order reaction, 3D diffusion Jander, and Ginstling–Brounshtein (D4) models were found to be best ﬁtted for CC pyrolysis, PE pyrolysis, and co-pyrolysis, respectively. Results obtained are expected to be useful in the design of corn cob and waste polyethylene co-pyrolysis systems.","container-title":"Science of The Total Environment","DOI":"10.1016/j.scitotenv.2021.147004","ISSN":"00489697","journalAbbreviation":"Science of The Total Environment","language":"en","page":"147004","source":"DOI.org (Crossref)","title":"Studies on individual pyrolysis and co-pyrolysis of corn cob and polyethylene: Thermal degradation behavior, possible synergism, kinetics, and thermodynamic analysis","title-short":"Studies on individual pyrolysis and co-pyrolysis of corn cob and polyethylene","volume":"783","author":[{"family":"Singh","given":"Sanjay"},{"family":"Patil","given":"Trilok"},{"family":"Tekade","given":"Shyam P."},{"family":"Gawande","given":"Manoj B."},{"family":"Sawarkar","given":"Ashish N."}],"issued":{"date-parts":[["2021",8]]}}}],"schema":"https://github.com/citation-style-language/schema/raw/master/csl-citation.json"} </w:instrText>
      </w:r>
      <w:r w:rsidRPr="00C14910">
        <w:rPr>
          <w:rFonts w:ascii="Arial" w:hAnsi="Arial" w:cs="Arial"/>
        </w:rPr>
        <w:fldChar w:fldCharType="separate"/>
      </w:r>
      <w:r w:rsidRPr="00C14910">
        <w:rPr>
          <w:rFonts w:ascii="Arial" w:hAnsi="Arial" w:cs="Arial"/>
        </w:rPr>
        <w:t>[10]</w:t>
      </w:r>
      <w:r w:rsidRPr="00C14910">
        <w:rPr>
          <w:rFonts w:ascii="Arial" w:hAnsi="Arial" w:cs="Arial"/>
        </w:rPr>
        <w:fldChar w:fldCharType="end"/>
      </w:r>
      <w:r w:rsidR="00064490">
        <w:rPr>
          <w:rFonts w:ascii="Arial" w:hAnsi="Arial" w:cs="Arial"/>
        </w:rPr>
        <w:t xml:space="preserve"> </w:t>
      </w:r>
      <w:r w:rsidRPr="00C14910">
        <w:rPr>
          <w:rFonts w:ascii="Arial" w:hAnsi="Arial" w:cs="Arial"/>
        </w:rPr>
        <w:t>focused on the use of thermogravimetric analysis (TG/DTG/DTA) to examine the thermal decomposition of various biomass residues. These techniques provide accurate data on mass loss as a function of temperature, thus providing essential information on the thermal stability and degradation stages of biomasses.</w:t>
      </w:r>
    </w:p>
    <w:p w:rsidR="00C14910" w:rsidRPr="0000336B" w:rsidRDefault="00C14910" w:rsidP="00FA1AF8">
      <w:pPr>
        <w:pStyle w:val="ListParagraph"/>
        <w:numPr>
          <w:ilvl w:val="1"/>
          <w:numId w:val="41"/>
        </w:numPr>
        <w:tabs>
          <w:tab w:val="left" w:pos="4047"/>
        </w:tabs>
        <w:jc w:val="both"/>
        <w:rPr>
          <w:rFonts w:ascii="Arial" w:hAnsi="Arial" w:cs="Arial"/>
          <w:b/>
          <w:i/>
        </w:rPr>
      </w:pPr>
      <w:r w:rsidRPr="0000336B">
        <w:rPr>
          <w:rFonts w:ascii="Arial" w:hAnsi="Arial" w:cs="Arial"/>
          <w:b/>
        </w:rPr>
        <w:t xml:space="preserve">Modeling and </w:t>
      </w:r>
      <w:proofErr w:type="spellStart"/>
      <w:r w:rsidRPr="0000336B">
        <w:rPr>
          <w:rFonts w:ascii="Arial" w:hAnsi="Arial" w:cs="Arial"/>
          <w:b/>
        </w:rPr>
        <w:t>optimization</w:t>
      </w:r>
      <w:proofErr w:type="spellEnd"/>
      <w:r w:rsidRPr="0000336B">
        <w:rPr>
          <w:rFonts w:ascii="Arial" w:hAnsi="Arial" w:cs="Arial"/>
          <w:b/>
        </w:rPr>
        <w:t xml:space="preserve"> of </w:t>
      </w:r>
      <w:proofErr w:type="spellStart"/>
      <w:r w:rsidRPr="0000336B">
        <w:rPr>
          <w:rFonts w:ascii="Arial" w:hAnsi="Arial" w:cs="Arial"/>
          <w:b/>
        </w:rPr>
        <w:t>pyrolysis</w:t>
      </w:r>
      <w:proofErr w:type="spellEnd"/>
      <w:r w:rsidRPr="0000336B">
        <w:rPr>
          <w:rFonts w:ascii="Arial" w:hAnsi="Arial" w:cs="Arial"/>
          <w:b/>
        </w:rPr>
        <w:t xml:space="preserve"> </w:t>
      </w:r>
      <w:proofErr w:type="spellStart"/>
      <w:r w:rsidRPr="0000336B">
        <w:rPr>
          <w:rFonts w:ascii="Arial" w:hAnsi="Arial" w:cs="Arial"/>
          <w:b/>
        </w:rPr>
        <w:t>processes</w:t>
      </w:r>
      <w:proofErr w:type="spellEnd"/>
    </w:p>
    <w:p w:rsidR="00C14910" w:rsidRPr="00C14910" w:rsidRDefault="00C14910" w:rsidP="00C14910">
      <w:pPr>
        <w:tabs>
          <w:tab w:val="left" w:pos="4047"/>
        </w:tabs>
        <w:jc w:val="both"/>
        <w:rPr>
          <w:rFonts w:ascii="Arial" w:hAnsi="Arial" w:cs="Arial"/>
        </w:rPr>
      </w:pPr>
      <w:r w:rsidRPr="00C14910">
        <w:rPr>
          <w:rFonts w:ascii="Arial" w:hAnsi="Arial" w:cs="Arial"/>
        </w:rPr>
        <w:t>Kinetic modeling plays a crucial role in understanding and optimizing pyrolysis processe</w:t>
      </w:r>
      <w:r w:rsidR="00064490">
        <w:rPr>
          <w:rFonts w:ascii="Arial" w:hAnsi="Arial" w:cs="Arial"/>
        </w:rPr>
        <w:t xml:space="preserve">s. The work of Yan et al. </w:t>
      </w:r>
      <w:r w:rsidRPr="00C14910">
        <w:rPr>
          <w:rFonts w:ascii="Arial" w:hAnsi="Arial" w:cs="Arial"/>
        </w:rPr>
        <w:t xml:space="preserve"> validated the use of the DAEM-G3 model to accurately describe the three distinct phases of coal pyrolysis, suggesting that this model could be applied to other types of biomass</w:t>
      </w:r>
      <w:r w:rsidR="00064490">
        <w:rPr>
          <w:rFonts w:ascii="Arial" w:hAnsi="Arial" w:cs="Arial"/>
        </w:rPr>
        <w:t xml:space="preserve"> </w:t>
      </w:r>
      <w:r w:rsidRPr="00C14910">
        <w:rPr>
          <w:rFonts w:ascii="Arial" w:hAnsi="Arial" w:cs="Arial"/>
        </w:rPr>
        <w:fldChar w:fldCharType="begin"/>
      </w:r>
      <w:r w:rsidR="007819CF">
        <w:rPr>
          <w:rFonts w:ascii="Arial" w:hAnsi="Arial" w:cs="Arial"/>
        </w:rPr>
        <w:instrText xml:space="preserve"> ADDIN ZOTERO_ITEM CSL_CITATION {"citationID":"Su67Cwex","properties":{"formattedCitation":"[11]","plainCitation":"[11]","noteIndex":0},"citationItems":[{"id":"KL15DYhl/wobwK6Y3","uris":["http://zotero.org/users/local/V8e1vJQi/items/5D4VY9LD"],"itemData":{"id":94,"type":"article-journal","abstract":"Knowledge about the rate of coal pyrolysis is of great importance because it exerts remarkable eﬀect on its thermal conversions such as combustion, gasiﬁcation and liquefaction. Diﬀerent approaches can be used to obtain the kinetics of coal pyrolysis, the simplest are empirical and global kinetics, where Arrhenius expression is used to correlate the mass loss with temperature. This work conducted pyrolysis of a lignite and a bituminite at various heating rates with a thermo-gravimetric analyzer (TGA). Thermogravimetry coupled with mass spectroscopy (TG-MS), solid state 13C Cross Polarization/ Magic Angle Spinning nuclear magnetic resonance (13C CP/ MAS NMR) and Raman analyses were also conducted to correlate the structural characteristics and pyrolysis behavior of the coals. Kinetic analysis was performed by using three model-free methods including Distributed Activation Energy model (DAEM), Ozawa-Flynn-Wall (OFW) and Friedman method. Kinetic modeling was also performed based on the DAEM model with multiple Gaussian sub-distributions of activation energy. The results show that DAEM, OFW and Friedman methods are almost equally eﬀective for analyzing activation energy, which gradually increases with the extent of pyrolysis. Pyrolysis of both the coals can be divided into three stages corresponding to the reactions of various covalent bonds. Three-Gaussian distributed activation energy model (DAEM-G3) is applicable to describing pyrolysis of both coals. The well-matched modeling results with the experimental data over the entire temperature range indicate the validity of DAEM-G3 model in studying and understanding the reaction mechanism of coal pyrolysis.","container-title":"Fuel","DOI":"10.1016/j.fuel.2018.12.079","ISSN":"00162361","journalAbbreviation":"Fuel","language":"en","page":"382-391","source":"DOI.org (Crossref)","title":"Kinetic analysis and modeling of coal pyrolysis with model-free methods","volume":"241","author":[{"family":"Yan","given":"Jingchong"},{"family":"Jiao","given":"Hanren"},{"family":"Li","given":"Zhanku"},{"family":"Lei","given":"Zhiping"},{"family":"Wang","given":"Zhicai"},{"family":"Ren","given":"Shibiao"},{"family":"Shui","given":"Hengfu"},{"family":"Kang","given":"Shigang"},{"family":"Yan","given":"Honglei"},{"family":"Pan","given":"Chunxiu"}],"issued":{"date-parts":[["2019",4]]}}}],"schema":"https://github.com/citation-style-language/schema/raw/master/csl-citation.json"} </w:instrText>
      </w:r>
      <w:r w:rsidRPr="00C14910">
        <w:rPr>
          <w:rFonts w:ascii="Arial" w:hAnsi="Arial" w:cs="Arial"/>
        </w:rPr>
        <w:fldChar w:fldCharType="separate"/>
      </w:r>
      <w:r w:rsidRPr="00C14910">
        <w:rPr>
          <w:rFonts w:ascii="Arial" w:hAnsi="Arial" w:cs="Arial"/>
        </w:rPr>
        <w:t>[11]</w:t>
      </w:r>
      <w:r w:rsidRPr="00C14910">
        <w:rPr>
          <w:rFonts w:ascii="Arial" w:hAnsi="Arial" w:cs="Arial"/>
        </w:rPr>
        <w:fldChar w:fldCharType="end"/>
      </w:r>
      <w:r w:rsidRPr="00C14910">
        <w:rPr>
          <w:rFonts w:ascii="Arial" w:hAnsi="Arial" w:cs="Arial"/>
        </w:rPr>
        <w:t>. Furthermore, the methodologies</w:t>
      </w:r>
      <w:r w:rsidR="00064490">
        <w:rPr>
          <w:rFonts w:ascii="Arial" w:hAnsi="Arial" w:cs="Arial"/>
        </w:rPr>
        <w:t xml:space="preserve"> developed by Sobek et al.</w:t>
      </w:r>
      <w:r w:rsidRPr="00C14910">
        <w:rPr>
          <w:rFonts w:ascii="Arial" w:hAnsi="Arial" w:cs="Arial"/>
        </w:rPr>
        <w:fldChar w:fldCharType="begin"/>
      </w:r>
      <w:r w:rsidR="007819CF">
        <w:rPr>
          <w:rFonts w:ascii="Arial" w:hAnsi="Arial" w:cs="Arial"/>
        </w:rPr>
        <w:instrText xml:space="preserve"> ADDIN ZOTERO_ITEM CSL_CITATION {"citationID":"1CeebHBb","properties":{"formattedCitation":"[12]","plainCitation":"[12]","noteIndex":0},"citationItems":[{"id":"KL15DYhl/uJJKSGGu","uris":["http://zotero.org/users/local/V8e1vJQi/items/DWJRUJAL"],"itemData":{"id":128,"type":"article-journal","abstract":"Biomass pyrolysis is a fundamental thermal conversion method that has both industrial and economic potential. A deep knowledge of the pyrolysis character can give dramatically rise to the general development of thermal conversion methods for the effective use of biomass fuel in the incoming future. In this work, kinetic parameters estimation methods and methodology for sewage sludge pyrolysis has been presented. Special emphasis was put into combined use of the latest isoconversional methodology and model-ﬁtting kinetics. The kinetic parameters estimation was based on a series of experiments using thermogravimetric analysis carried out for heating rates 20, 30 and 40 K/min. Complimentary use of model-based and isoconversional approach along with statistical analysis of both methods results has been presented. The proposed methodology, based on Friedman isoconversional kinetic parameters, Ea 31.4e244.9 kJ/mol and Aa 1.17e14.4 log(1/s), as initial guess values for optimization resulted in 10 independent reactions kinetic model, evaluating sewage sludge pyrolysis with R2 &gt; 0.999 with activation energies E2&lt;30.34; 259.7&gt; kJ/mol, pre-exponential factors A2&lt;1.17; 22.49&gt; log(1/s) and reaction orders n2&lt;1.17; 3&gt;. Isoconversional methodology resulted in excellent conversion rate and mass loss ﬁt while the order-based kinetic model simultaneously gave insight into theoretical 10 elementary sludge decomposition rates.","container-title":"Renewable Energy","DOI":"10.1016/j.renene.2020.02.061","ISSN":"09601481","journalAbbreviation":"Renewable Energy","language":"en","page":"962-974","source":"DOI.org (Crossref)","title":"Solar pyrolysis of waste biomass: Part 2 kinetic modeling and methodology of the determination of the kinetic parameters for solar pyrolysis of sewage sludge","title-short":"Solar pyrolysis of waste biomass","volume":"153","author":[{"family":"Sobek","given":"Szymon"},{"family":"Werle","given":"Sebastian"}],"issued":{"date-parts":[["2020",6]]}}}],"schema":"https://github.com/citation-style-language/schema/raw/master/csl-citation.json"} </w:instrText>
      </w:r>
      <w:r w:rsidRPr="00C14910">
        <w:rPr>
          <w:rFonts w:ascii="Arial" w:hAnsi="Arial" w:cs="Arial"/>
        </w:rPr>
        <w:fldChar w:fldCharType="separate"/>
      </w:r>
      <w:r w:rsidRPr="00C14910">
        <w:rPr>
          <w:rFonts w:ascii="Arial" w:hAnsi="Arial" w:cs="Arial"/>
        </w:rPr>
        <w:t>[12]</w:t>
      </w:r>
      <w:r w:rsidRPr="00C14910">
        <w:rPr>
          <w:rFonts w:ascii="Arial" w:hAnsi="Arial" w:cs="Arial"/>
        </w:rPr>
        <w:fldChar w:fldCharType="end"/>
      </w:r>
      <w:r w:rsidR="00064490">
        <w:rPr>
          <w:rFonts w:ascii="Arial" w:hAnsi="Arial" w:cs="Arial"/>
        </w:rPr>
        <w:t xml:space="preserve"> and Luo et al. </w:t>
      </w:r>
      <w:r w:rsidRPr="00C14910">
        <w:rPr>
          <w:rFonts w:ascii="Arial" w:hAnsi="Arial" w:cs="Arial"/>
        </w:rPr>
        <w:fldChar w:fldCharType="begin"/>
      </w:r>
      <w:r w:rsidR="007819CF">
        <w:rPr>
          <w:rFonts w:ascii="Arial" w:hAnsi="Arial" w:cs="Arial"/>
        </w:rPr>
        <w:instrText xml:space="preserve"> ADDIN ZOTERO_ITEM CSL_CITATION {"citationID":"k1iTk6V4","properties":{"formattedCitation":"[13]","plainCitation":"[13]","noteIndex":0},"citationItems":[{"id":"KL15DYhl/8qaYRM9T","uris":["http://zotero.org/users/local/V8e1vJQi/items/NH5AQUEJ"],"itemData":{"id":49,"type":"article-journal","abstract":"Isoconversional methods are commonly used to process the thermogravimetric analysis (TGA) data and to simultaneously obtain the eﬀective activation energies for lignocellulosic biomass pyrolysis. However, the widely used isoconversional methods may lead to some systematic problems, for example, numerical instability for the Friedman method and signiﬁcant errors in the kinetic parameters for the Flynn−Wall−Ozawa and Kissinger−Akahira−Sunose methods. To avoid the above problems, a modiﬁed Friedman isoconversional method has been developed in this work to accurately determine eﬀective activation energies for solid-state reactions, such as biomass pyrolysis reactions. Through processing theoretically simulated data of strongly varying activation energy, the modiﬁed method applying for narrow intervals of conversion degree was proven to be capable of calculating the conversion dependence of activation energy accurately and reducing the eﬀect of data noise. The modiﬁed Friedman isoconversional method was employed to process the non-isothermal TGA data of wheat straw pyrolysis at heating rates of 2.5, 5, 10, and 20 K min−1 and the kinetic data of beech sawdust pyrolysis at 5, 10, and 20 K min−1 from the literature. The results showed that the eﬀective activation energies for the pyrolysis of wheat straw and beech sawdust varied signiﬁcantly with the degree of conversion (in the conversion range from 0.05 to 0.85, the eﬀective activation energies for wheat straw pyrolysis varied from 154 to 379 kJ mol−1, while 155−316 kJ mol−1 was reported for beech sawdust pyrolysis).","DOI":"10.1021/acs.energyfuels.0c00275","ISSN":"0887-0624, 1520-5029","issue":"4","journalAbbreviation":"Energy Fuels","language":"en","license":"https://doi.org/10.15223/policy-029","page":"4874-4881","source":"DOI.org (Crossref)","title":"Insight into Pyrolysis Kinetics of Lignocellulosic Biomass: Isoconversional Kinetic Analysis by the Modified Friedman Method","title-short":"Insight into Pyrolysis Kinetics of Lignocellulosic Biomass","volume":"34","author":[{"family":"Luo","given":"Laipeng"},{"family":"Guo","given":"Xiaojuan"},{"family":"Zhang","given":"Zhen"},{"family":"Chai","given":"Meiyun"},{"family":"Rahman","given":"Md. Maksudur"},{"family":"Zhang","given":"Xingguang"},{"family":"Cai","given":"Junmeng"}],"issued":{"date-parts":[["2020",4,16]]}}}],"schema":"https://github.com/citation-style-language/schema/raw/master/csl-citation.json"} </w:instrText>
      </w:r>
      <w:r w:rsidRPr="00C14910">
        <w:rPr>
          <w:rFonts w:ascii="Arial" w:hAnsi="Arial" w:cs="Arial"/>
        </w:rPr>
        <w:fldChar w:fldCharType="separate"/>
      </w:r>
      <w:r w:rsidRPr="00C14910">
        <w:rPr>
          <w:rFonts w:ascii="Arial" w:hAnsi="Arial" w:cs="Arial"/>
        </w:rPr>
        <w:t>[13]</w:t>
      </w:r>
      <w:r w:rsidRPr="00C14910">
        <w:rPr>
          <w:rFonts w:ascii="Arial" w:hAnsi="Arial" w:cs="Arial"/>
        </w:rPr>
        <w:fldChar w:fldCharType="end"/>
      </w:r>
      <w:r w:rsidR="00D71981">
        <w:rPr>
          <w:rFonts w:ascii="Arial" w:hAnsi="Arial" w:cs="Arial"/>
        </w:rPr>
        <w:t xml:space="preserve"> </w:t>
      </w:r>
      <w:r w:rsidRPr="00C14910">
        <w:rPr>
          <w:rFonts w:ascii="Arial" w:hAnsi="Arial" w:cs="Arial"/>
        </w:rPr>
        <w:t>to estimate kinetic parameters have made it possible to improve the prediction of degradation behaviors, particularly for sewage sludge and mixed biomasses.</w:t>
      </w:r>
    </w:p>
    <w:p w:rsidR="00790ADA" w:rsidRDefault="00C14910" w:rsidP="00C14910">
      <w:pPr>
        <w:tabs>
          <w:tab w:val="left" w:pos="4047"/>
        </w:tabs>
        <w:jc w:val="both"/>
        <w:rPr>
          <w:rFonts w:ascii="Arial" w:hAnsi="Arial" w:cs="Arial"/>
        </w:rPr>
      </w:pPr>
      <w:r w:rsidRPr="00C14910">
        <w:rPr>
          <w:rFonts w:ascii="Arial" w:hAnsi="Arial" w:cs="Arial"/>
        </w:rPr>
        <w:lastRenderedPageBreak/>
        <w:t xml:space="preserve">These methodological advances offer prospects for better design of pyrolysis reactors and optimization of operating conditions, </w:t>
      </w:r>
      <w:proofErr w:type="gramStart"/>
      <w:r w:rsidRPr="00C14910">
        <w:rPr>
          <w:rFonts w:ascii="Arial" w:hAnsi="Arial" w:cs="Arial"/>
        </w:rPr>
        <w:t>taking into account</w:t>
      </w:r>
      <w:proofErr w:type="gramEnd"/>
      <w:r w:rsidRPr="00C14910">
        <w:rPr>
          <w:rFonts w:ascii="Arial" w:hAnsi="Arial" w:cs="Arial"/>
        </w:rPr>
        <w:t xml:space="preserve"> the specificities of each raw material. The integration of new approaches, such as catalytic and microwave pyrolysis, explored by</w:t>
      </w:r>
      <w:r>
        <w:rPr>
          <w:rFonts w:ascii="Arial" w:hAnsi="Arial" w:cs="Arial"/>
        </w:rPr>
        <w:t xml:space="preserve"> </w:t>
      </w:r>
      <w:r w:rsidR="00064490">
        <w:rPr>
          <w:rFonts w:ascii="Arial" w:hAnsi="Arial" w:cs="Arial"/>
        </w:rPr>
        <w:t>Wang et al</w:t>
      </w:r>
      <w:r w:rsidRPr="00C14910">
        <w:rPr>
          <w:rFonts w:ascii="Arial" w:hAnsi="Arial" w:cs="Arial"/>
        </w:rPr>
        <w:t>, could further improve the energy efficiency and quality of biomass products</w:t>
      </w:r>
      <w:r w:rsidR="00064490">
        <w:rPr>
          <w:rFonts w:ascii="Arial" w:hAnsi="Arial" w:cs="Arial"/>
        </w:rPr>
        <w:t xml:space="preserve"> </w:t>
      </w:r>
      <w:r w:rsidRPr="00C14910">
        <w:rPr>
          <w:rFonts w:ascii="Arial" w:hAnsi="Arial" w:cs="Arial"/>
        </w:rPr>
        <w:fldChar w:fldCharType="begin"/>
      </w:r>
      <w:r w:rsidR="007819CF">
        <w:rPr>
          <w:rFonts w:ascii="Arial" w:hAnsi="Arial" w:cs="Arial"/>
        </w:rPr>
        <w:instrText xml:space="preserve"> ADDIN ZOTERO_ITEM CSL_CITATION {"citationID":"OqPE0L3T","properties":{"formattedCitation":"[14]","plainCitation":"[14]","noteIndex":0},"citationItems":[{"id":"KL15DYhl/7hsSaD7H","uris":["http://zotero.org/users/local/V8e1vJQi/items/ZAU6FPVN"],"itemData":{"id":51,"type":"article-journal","abstract":"Pyrolysis has created many (and will open more) possibilities for high-value utilization of biomass. To obtain the optimal amount of desired pyrolysis products, especially high-quality bio-oil, a great deal of eﬀort has been conducted in both academia in the past few decades, to clarify fundamental mechanisms of biomass pyrolysis and design eﬃcient relevant technical processes. This paper comprehensively reviews recent advances in both fundamental studies and technology applications of biomass pyrolysis. First, pyrolysis mechanisms of real biomass and its major components, the reactor-scale simulation of biomass pyrolysis, and applications of pyrolysis products are discussed. Then, according to the requirements imposed to improve the physicochemical properties of respective pyrolysis products, relevant optimization and regulation methods for biomass pyrolysis process are reviewed. Previous research has indicated that biomass copyrolysis with other feedstock can not only enhance physicochemical properties of pyrolysis products but also eﬀectively realize recycling of wastes. Thus, an in-depth discussion of recent advances in biomass copyrolysis with four diﬀerent feedstocks (i.e., coal, plastics, tires, and sludge) is covered in this Review. As an indispensable component of general biomass pyrolysis, recent activities of catalytic biomass pyrolysis are also summarized, including new catalytic pyrolysis processes such as catalytic hydropyrolysis and catalytic copyrolysis. Besides, two novel heating approaches (microwave heating and solar heating) for biomass pyrolysis are described, and their features are compared with the conventional heating method. Finally, this Review is concluded with perspectives for future directions of biomass pyrolysis.","container-title":"Energy &amp; Fuels","DOI":"10.1021/acs.energyfuels.0c03107","ISSN":"0887-0624, 1520-5029","issue":"12","journalAbbreviation":"Energy Fuels","language":"en","license":"https://doi.org/10.15223/policy-029","page":"15557-15578","source":"DOI.org (Crossref)","title":"A Review of Recent Advances in Biomass Pyrolysis","volume":"34","author":[{"family":"Wang","given":"Guanyu"},{"family":"Dai","given":"Yujie"},{"family":"Yang","given":"Haiping"},{"family":"Xiong","given":"Qingang"},{"family":"Wang","given":"Kaige"},{"family":"Zhou","given":"Jinsong"},{"family":"Li","given":"Yunchao"},{"family":"Wang","given":"Shurong"}],"issued":{"date-parts":[["2020",12,17]]}}}],"schema":"https://github.com/citation-style-language/schema/raw/master/csl-citation.json"} </w:instrText>
      </w:r>
      <w:r w:rsidRPr="00C14910">
        <w:rPr>
          <w:rFonts w:ascii="Arial" w:hAnsi="Arial" w:cs="Arial"/>
        </w:rPr>
        <w:fldChar w:fldCharType="separate"/>
      </w:r>
      <w:r w:rsidRPr="00C14910">
        <w:rPr>
          <w:rFonts w:ascii="Arial" w:hAnsi="Arial" w:cs="Arial"/>
        </w:rPr>
        <w:t>[14]</w:t>
      </w:r>
      <w:r w:rsidRPr="00C14910">
        <w:rPr>
          <w:rFonts w:ascii="Arial" w:hAnsi="Arial" w:cs="Arial"/>
        </w:rPr>
        <w:fldChar w:fldCharType="end"/>
      </w:r>
      <w:r w:rsidRPr="00C14910">
        <w:rPr>
          <w:rFonts w:ascii="Arial" w:hAnsi="Arial" w:cs="Arial"/>
        </w:rPr>
        <w:t>.</w:t>
      </w:r>
    </w:p>
    <w:p w:rsidR="00C14910" w:rsidRPr="00FB3A86" w:rsidRDefault="00C14910" w:rsidP="00C14910">
      <w:pPr>
        <w:tabs>
          <w:tab w:val="left" w:pos="4047"/>
        </w:tabs>
        <w:jc w:val="both"/>
        <w:rPr>
          <w:rFonts w:ascii="Arial" w:hAnsi="Arial" w:cs="Arial"/>
        </w:rPr>
      </w:pPr>
    </w:p>
    <w:p w:rsidR="007F7B32" w:rsidRDefault="00902823" w:rsidP="00FA1AF8">
      <w:pPr>
        <w:pStyle w:val="AbstHead"/>
        <w:numPr>
          <w:ilvl w:val="0"/>
          <w:numId w:val="41"/>
        </w:numPr>
        <w:spacing w:after="0"/>
        <w:jc w:val="both"/>
        <w:rPr>
          <w:rFonts w:ascii="Arial" w:hAnsi="Arial" w:cs="Arial"/>
        </w:rPr>
      </w:pPr>
      <w:r>
        <w:rPr>
          <w:rFonts w:ascii="Arial" w:hAnsi="Arial" w:cs="Arial"/>
        </w:rPr>
        <w:t>material and method</w:t>
      </w:r>
      <w:r w:rsidR="00B911D7">
        <w:rPr>
          <w:rFonts w:ascii="Arial" w:hAnsi="Arial" w:cs="Arial"/>
        </w:rPr>
        <w:t xml:space="preserve">s </w:t>
      </w:r>
    </w:p>
    <w:p w:rsidR="00B63709" w:rsidRPr="00FA1AF8" w:rsidRDefault="00B63709" w:rsidP="00FA1AF8">
      <w:pPr>
        <w:pStyle w:val="ListParagraph"/>
        <w:numPr>
          <w:ilvl w:val="1"/>
          <w:numId w:val="41"/>
        </w:numPr>
        <w:rPr>
          <w:rFonts w:ascii="Arial" w:hAnsi="Arial" w:cs="Arial"/>
          <w:b/>
        </w:rPr>
      </w:pPr>
      <w:r w:rsidRPr="00FA1AF8">
        <w:rPr>
          <w:rFonts w:ascii="Arial" w:hAnsi="Arial" w:cs="Arial"/>
          <w:b/>
          <w:caps/>
        </w:rPr>
        <w:t xml:space="preserve"> </w:t>
      </w:r>
      <w:r w:rsidR="00C3628D" w:rsidRPr="00FA1AF8">
        <w:rPr>
          <w:rFonts w:ascii="Arial" w:hAnsi="Arial" w:cs="Arial"/>
          <w:b/>
        </w:rPr>
        <w:t>Materials</w:t>
      </w:r>
    </w:p>
    <w:p w:rsidR="00790ADA" w:rsidRDefault="00B63709" w:rsidP="00441B6F">
      <w:pPr>
        <w:pStyle w:val="AbstHead"/>
        <w:spacing w:after="0"/>
        <w:jc w:val="both"/>
        <w:rPr>
          <w:rFonts w:ascii="Arial" w:hAnsi="Arial" w:cs="Arial"/>
          <w:b w:val="0"/>
          <w:caps w:val="0"/>
          <w:sz w:val="20"/>
        </w:rPr>
      </w:pPr>
      <w:r w:rsidRPr="00B63709">
        <w:rPr>
          <w:rFonts w:ascii="Arial" w:hAnsi="Arial" w:cs="Arial"/>
          <w:b w:val="0"/>
          <w:caps w:val="0"/>
          <w:sz w:val="20"/>
        </w:rPr>
        <w:t>According to the literature, the study of the decomposition kinetics of lignocellulosic biomass is mainly based on the use of thermogravimetric analyzers, avai</w:t>
      </w:r>
      <w:r w:rsidR="00AA0062">
        <w:rPr>
          <w:rFonts w:ascii="Arial" w:hAnsi="Arial" w:cs="Arial"/>
          <w:b w:val="0"/>
          <w:caps w:val="0"/>
          <w:sz w:val="20"/>
        </w:rPr>
        <w:t>lable in various models. Thus, H</w:t>
      </w:r>
      <w:r w:rsidRPr="00B63709">
        <w:rPr>
          <w:rFonts w:ascii="Arial" w:hAnsi="Arial" w:cs="Arial"/>
          <w:b w:val="0"/>
          <w:caps w:val="0"/>
          <w:sz w:val="20"/>
        </w:rPr>
        <w:t>u et al.</w:t>
      </w:r>
      <w:r w:rsidR="00AA0062" w:rsidRPr="002D38BF">
        <w:rPr>
          <w:rFonts w:ascii="Arial" w:hAnsi="Arial" w:cs="Arial"/>
          <w:b w:val="0"/>
          <w:caps w:val="0"/>
          <w:sz w:val="20"/>
        </w:rPr>
        <w:fldChar w:fldCharType="begin"/>
      </w:r>
      <w:r w:rsidR="007819CF">
        <w:rPr>
          <w:rFonts w:ascii="Arial" w:hAnsi="Arial" w:cs="Arial"/>
          <w:b w:val="0"/>
          <w:caps w:val="0"/>
          <w:sz w:val="20"/>
        </w:rPr>
        <w:instrText xml:space="preserve"> ADDIN ZOTERO_ITEM CSL_CITATION {"citationID":"xEr43u4N","properties":{"formattedCitation":"[15]","plainCitation":"[15]","noteIndex":0},"citationItems":[{"id":171,"uris":["http://zotero.org/users/local/QADg21lF/items/JZRY5EVY"],"itemData":{"id":171,"type":"article-journal","abstract":"Pyrolysis kinetics of pine wood, rice husk and bamboo (Bambusa chungii) were studied via thermogravimetric analysis technique under low heating rates. The result of model-free procedure showed that the lignocellulosic pyrolysis according to one-step reaction model is dominated by the diffusion effects. However, the complex features of variations are caused by the mechanism changes, which are hard to be determined. The distributed activation energy model (DAEM) kinetic results indicated that the activation energy distribution for pseudo components follows the orders of: E0(lignin) &gt; E0(cellulose) &gt; E0(hemicelluloses), r(lignin) &gt; r(hemicelluloses) &gt; r(cellulose). The Fraser–Suzuki deconvolution ﬁts better with the experimental data than DAEM. The pyrolysis mechanism of pseudo components after deconvolutions follows the theoretical models: third order model f(a) = (1 À a)3 for hemicelluloses and lignin, random scission model f(a) = 2(a1/2 À a) for cellulose. The apparent activation energy for pseudo hemicelluloses is 162.84 ± 26.45 kJ/mol for pine wood, 168.63 ± 28.47 kJ/mol for rice husk and 154.55 ± 26.49 kJ/mol for bamboo, respectively. The Ea value increases with the conversion with little deviation to its mean value. Similar Ea vs. a dependencies also are observed for pseudo celluloses, which has Ea of 188.14 ± 24.42 kJ/mol for pine wood, 206.71 ± 24.88 kJ/mol for rice husk and 190.45 ± 23.79 kJ/mol for bamboo, respectively.","container-title":"Energy Conversion and Management","DOI":"10.1016/j.enconman.2016.03.058","ISSN":"01968904","journalAbbreviation":"Energy Conversion and Management","language":"en","page":"1-11","source":"DOI.org (Crossref)","title":"Thermogravimetric kinetics of lignocellulosic biomass slow pyrolysis using distributed activation energy model, Fraser–Suzuki deconvolution, and iso-conversional method","volume":"118","author":[{"family":"Hu","given":"Mian"},{"family":"Chen","given":"Zhihua"},{"family":"Wang","given":"Shengkai"},{"family":"Guo","given":"Dabin"},{"family":"Ma","given":"Caifeng"},{"family":"Zhou","given":"Yan"},{"family":"Chen","given":"Jian"},{"family":"Laghari","given":"Mahmood"},{"family":"Fazal","given":"Saima"},{"family":"Xiao","given":"Bo"},{"family":"Zhang","given":"Beiping"},{"family":"Ma","given":"Shu"}],"issued":{"date-parts":[["2016",6]]}}}],"schema":"https://github.com/citation-style-language/schema/raw/master/csl-citation.json"} </w:instrText>
      </w:r>
      <w:r w:rsidR="00AA0062" w:rsidRPr="002D38BF">
        <w:rPr>
          <w:rFonts w:ascii="Arial" w:hAnsi="Arial" w:cs="Arial"/>
          <w:b w:val="0"/>
          <w:caps w:val="0"/>
          <w:sz w:val="20"/>
        </w:rPr>
        <w:fldChar w:fldCharType="separate"/>
      </w:r>
      <w:r w:rsidR="007819CF" w:rsidRPr="007819CF">
        <w:rPr>
          <w:rFonts w:ascii="Arial" w:hAnsi="Arial" w:cs="Arial"/>
          <w:sz w:val="20"/>
        </w:rPr>
        <w:t>[15]</w:t>
      </w:r>
      <w:r w:rsidR="00AA0062" w:rsidRPr="002D38BF">
        <w:rPr>
          <w:rFonts w:ascii="Arial" w:hAnsi="Arial" w:cs="Arial"/>
          <w:b w:val="0"/>
          <w:caps w:val="0"/>
          <w:sz w:val="20"/>
        </w:rPr>
        <w:fldChar w:fldCharType="end"/>
      </w:r>
      <w:r w:rsidRPr="002D38BF">
        <w:rPr>
          <w:rFonts w:ascii="Arial" w:hAnsi="Arial" w:cs="Arial"/>
          <w:b w:val="0"/>
          <w:sz w:val="20"/>
        </w:rPr>
        <w:t xml:space="preserve"> </w:t>
      </w:r>
      <w:r w:rsidRPr="00B63709">
        <w:rPr>
          <w:rFonts w:ascii="Arial" w:hAnsi="Arial" w:cs="Arial"/>
          <w:b w:val="0"/>
          <w:caps w:val="0"/>
          <w:sz w:val="20"/>
        </w:rPr>
        <w:t xml:space="preserve">used a </w:t>
      </w:r>
      <w:proofErr w:type="spellStart"/>
      <w:r w:rsidRPr="00B63709">
        <w:rPr>
          <w:rFonts w:ascii="Arial" w:hAnsi="Arial" w:cs="Arial"/>
          <w:b w:val="0"/>
          <w:caps w:val="0"/>
          <w:sz w:val="20"/>
        </w:rPr>
        <w:t>tga</w:t>
      </w:r>
      <w:proofErr w:type="spellEnd"/>
      <w:r w:rsidRPr="00B63709">
        <w:rPr>
          <w:rFonts w:ascii="Arial" w:hAnsi="Arial" w:cs="Arial"/>
          <w:b w:val="0"/>
          <w:caps w:val="0"/>
          <w:sz w:val="20"/>
        </w:rPr>
        <w:t>/</w:t>
      </w:r>
      <w:proofErr w:type="spellStart"/>
      <w:r w:rsidRPr="00B63709">
        <w:rPr>
          <w:rFonts w:ascii="Arial" w:hAnsi="Arial" w:cs="Arial"/>
          <w:b w:val="0"/>
          <w:caps w:val="0"/>
          <w:sz w:val="20"/>
        </w:rPr>
        <w:t>dta</w:t>
      </w:r>
      <w:proofErr w:type="spellEnd"/>
      <w:r w:rsidRPr="00B63709">
        <w:rPr>
          <w:rFonts w:ascii="Arial" w:hAnsi="Arial" w:cs="Arial"/>
          <w:b w:val="0"/>
          <w:caps w:val="0"/>
          <w:sz w:val="20"/>
        </w:rPr>
        <w:t xml:space="preserve"> analyzer (model </w:t>
      </w:r>
      <w:proofErr w:type="spellStart"/>
      <w:r w:rsidRPr="00B63709">
        <w:rPr>
          <w:rFonts w:ascii="Arial" w:hAnsi="Arial" w:cs="Arial"/>
          <w:b w:val="0"/>
          <w:caps w:val="0"/>
          <w:sz w:val="20"/>
        </w:rPr>
        <w:t>sdt</w:t>
      </w:r>
      <w:proofErr w:type="spellEnd"/>
      <w:r w:rsidRPr="00B63709">
        <w:rPr>
          <w:rFonts w:ascii="Arial" w:hAnsi="Arial" w:cs="Arial"/>
          <w:b w:val="0"/>
          <w:caps w:val="0"/>
          <w:sz w:val="20"/>
        </w:rPr>
        <w:t xml:space="preserve"> q600, ta instruments, </w:t>
      </w:r>
      <w:proofErr w:type="spellStart"/>
      <w:r w:rsidRPr="00B63709">
        <w:rPr>
          <w:rFonts w:ascii="Arial" w:hAnsi="Arial" w:cs="Arial"/>
          <w:b w:val="0"/>
          <w:caps w:val="0"/>
          <w:sz w:val="20"/>
        </w:rPr>
        <w:t>usa</w:t>
      </w:r>
      <w:proofErr w:type="spellEnd"/>
      <w:r w:rsidRPr="00B63709">
        <w:rPr>
          <w:rFonts w:ascii="Arial" w:hAnsi="Arial" w:cs="Arial"/>
          <w:b w:val="0"/>
          <w:caps w:val="0"/>
          <w:sz w:val="20"/>
        </w:rPr>
        <w:t>) to perform thermogravimetric analyses (</w:t>
      </w:r>
      <w:proofErr w:type="spellStart"/>
      <w:r w:rsidRPr="00B63709">
        <w:rPr>
          <w:rFonts w:ascii="Arial" w:hAnsi="Arial" w:cs="Arial"/>
          <w:b w:val="0"/>
          <w:caps w:val="0"/>
          <w:sz w:val="20"/>
        </w:rPr>
        <w:t>tga</w:t>
      </w:r>
      <w:proofErr w:type="spellEnd"/>
      <w:r w:rsidRPr="00B63709">
        <w:rPr>
          <w:rFonts w:ascii="Arial" w:hAnsi="Arial" w:cs="Arial"/>
          <w:b w:val="0"/>
          <w:caps w:val="0"/>
          <w:sz w:val="20"/>
        </w:rPr>
        <w:t>) at slow heating rates.</w:t>
      </w:r>
    </w:p>
    <w:p w:rsidR="00B63709" w:rsidRPr="00B63709" w:rsidRDefault="00B63709" w:rsidP="00441B6F">
      <w:pPr>
        <w:pStyle w:val="AbstHead"/>
        <w:spacing w:after="0"/>
        <w:jc w:val="both"/>
        <w:rPr>
          <w:rFonts w:ascii="Arial" w:hAnsi="Arial" w:cs="Arial"/>
          <w:b w:val="0"/>
          <w:caps w:val="0"/>
          <w:sz w:val="20"/>
        </w:rPr>
      </w:pPr>
    </w:p>
    <w:p w:rsidR="00B63709" w:rsidRPr="00FB3A86" w:rsidRDefault="00B63709" w:rsidP="00274DE4">
      <w:pPr>
        <w:pStyle w:val="AbstHead"/>
        <w:spacing w:after="0"/>
        <w:jc w:val="center"/>
        <w:rPr>
          <w:rFonts w:ascii="Arial" w:hAnsi="Arial" w:cs="Arial"/>
        </w:rPr>
      </w:pPr>
      <w:r>
        <w:rPr>
          <w:noProof/>
          <w:lang w:val="fr-FR" w:eastAsia="fr-FR"/>
        </w:rPr>
        <w:drawing>
          <wp:inline distT="0" distB="0" distL="0" distR="0" wp14:anchorId="12EBD3AE" wp14:editId="7C2486A2">
            <wp:extent cx="2692400" cy="779145"/>
            <wp:effectExtent l="0" t="0" r="0" b="1905"/>
            <wp:docPr id="5" name="Image 5"/>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2400" cy="779145"/>
                    </a:xfrm>
                    <a:prstGeom prst="rect">
                      <a:avLst/>
                    </a:prstGeom>
                  </pic:spPr>
                </pic:pic>
              </a:graphicData>
            </a:graphic>
          </wp:inline>
        </w:drawing>
      </w:r>
    </w:p>
    <w:p w:rsidR="00B63709" w:rsidRPr="00B63709" w:rsidRDefault="00B63709" w:rsidP="00B63709">
      <w:pPr>
        <w:jc w:val="both"/>
        <w:rPr>
          <w:rFonts w:ascii="Arial" w:hAnsi="Arial" w:cs="Arial"/>
        </w:rPr>
      </w:pPr>
      <w:r w:rsidRPr="002D38BF">
        <w:rPr>
          <w:rFonts w:ascii="Arial" w:hAnsi="Arial" w:cs="Arial"/>
          <w:b/>
        </w:rPr>
        <w:t xml:space="preserve">Fig. 1. Some examples of dried waste (from left to right, rattan waste, sugarcane bagasse, coconut shells and pineapple peels) </w:t>
      </w:r>
      <w:r w:rsidRPr="002D38BF">
        <w:rPr>
          <w:rFonts w:ascii="Arial" w:hAnsi="Arial" w:cs="Arial"/>
          <w:b/>
          <w:lang w:eastAsia="fr-FR"/>
        </w:rPr>
        <w:fldChar w:fldCharType="begin"/>
      </w:r>
      <w:r w:rsidR="007819CF">
        <w:rPr>
          <w:rFonts w:ascii="Arial" w:hAnsi="Arial" w:cs="Arial"/>
          <w:b/>
          <w:lang w:eastAsia="fr-FR"/>
        </w:rPr>
        <w:instrText xml:space="preserve"> ADDIN ZOTERO_ITEM CSL_CITATION {"citationID":"77s14qTu","properties":{"formattedCitation":"[2]","plainCitation":"[2]","noteIndex":0},"citationItems":[{"id":"KL15DYhl/QJK7mZFo","uris":["http://zotero.org/users/local/V8e1vJQi/items/I8JJAQRP"],"itemData":{"id":146,"type":"document","abstract":"Le Programme des Nations Unies pour le Développement (PNUD) en collaboration avec la Direction Générale de l’Energie a sollicité l’expertise d’un consultant individuel pour identifier et caractériser le potentiel national en sources d’énergies renouvelables en vue de stimuler le développement des zones rurales. Le présent rapport vient compléter les connaissances des uns et des autres sur la disponibilité des sources d’énergies renouvelables dans les huit zones agro écologiques que compte le Bénin. Les zones agro écologiques ont été choisies pour servir d’espaces de regroupement et de comparaison de la disponibilité des sources d’énergies renouvelables, car ces zones constituent des pôles de développement et les localités qui s’y trouvent sont régies par les mêmes conditions écologiques. Le Bénin a réalisé plusieurs projets de valorisation des sources d’énergies renouvelables par le passé, mais seulement quelques uns sont encore fonctionnels à ce jour. Les causes de ces échecs sont à chercher dans la conception et/ou la gestion de ces projets. Chaque zone agro écologique a ses spécificités et les sources d’énergie ont été évaluées en fonction de ces dernières. De cette évaluation on peut retenir que la zone agro écologique 7 qui couvre la zone côtière et les vallées du fleuve Ouémé et du lac Ahémé est surtout prédisposée à recevoir des éoliennes, car les vitesses des vents à 60 m d’altitude sont estimées dans le cadre de cette étude à environ 11,50 m/s. Avant la mise en valeur de cette source d’énergie, il est recommandé de faire une campagne de mesures des vents à cette hauteur, car cette valeur n’est que le fruit d’une extrapolation. Les zones agro écologiques n° 1 et 2 sont recommandées pour la valorisation de la biomasse, car elles ont un grand potentiel en résidus agricoles ; ainsi il parait nécessaire de faire une étude approfondie avant d’implanter n’importe quel projet pour la valorisation de cette source d’énergie. Ces zones offrent de même de grands atouts pour la production de biocombustibles gazeux (biogaz domestique) et le développement de biocombustibles liquides (bioéthanol, biodiesel). L’irradiation moyenne de 3,9 kWh/m².j au sud et 6,2 kwh/m².j au nord sur toute l’année constitue un potentiel énergétique solaire qui peut être valorisée dans toutes les zones agro écologiques du pays. Les mécanismes de financement adaptés sont proposés pour chaque zone agro écologique. A cet effet, il est proposé des mécanismes de financement avec ou sans l’intervention de l’état. Les sources d’énergie ont été catégorisées par priorité en fonction de leur potentiel. Les résultats sont mentionnés dans la figure n° 27. La valorisation des sources d’énergies renouvelables a des contraintes techniques liées à la méconnaissance du gisement, des contraintes liées au manque de formation et d’information, des contraintes institutionnelles et réglementaires et des contraintes économiques et financières. Pour une mise en valeur durable et efficace des sources d’énergies renouvelables disponibles dans chaque zone agro écologique, il est recommandé qu’une loi sur les énergies renouvelables soient adoptée par l’Assemblée Nationale.","language":"fr","title":"Projet développer le Bénin à partir des sources d’énergies renouvelables : Identification et cartographie des potentialités et sources d’énergie renouvelables assorties des possibilités d’exploitation, rapport final, PNUD","author":[{"family":"Yatopa","given":"ADRIEN BIO"},{"family":"Sakariyou","given":"MAHMAN"},{"family":"Koffi","given":"Abble"}],"issued":{"date-parts":[["2010"]]}}}],"schema":"https://github.com/citation-style-language/schema/raw/master/csl-citation.json"} </w:instrText>
      </w:r>
      <w:r w:rsidRPr="002D38BF">
        <w:rPr>
          <w:rFonts w:ascii="Arial" w:hAnsi="Arial" w:cs="Arial"/>
          <w:b/>
          <w:lang w:eastAsia="fr-FR"/>
        </w:rPr>
        <w:fldChar w:fldCharType="separate"/>
      </w:r>
      <w:r w:rsidR="007819CF" w:rsidRPr="007819CF">
        <w:rPr>
          <w:rFonts w:ascii="Arial" w:hAnsi="Arial" w:cs="Arial"/>
        </w:rPr>
        <w:t>[2]</w:t>
      </w:r>
      <w:r w:rsidRPr="002D38BF">
        <w:rPr>
          <w:rFonts w:ascii="Arial" w:hAnsi="Arial" w:cs="Arial"/>
          <w:b/>
          <w:lang w:eastAsia="fr-FR"/>
        </w:rPr>
        <w:fldChar w:fldCharType="end"/>
      </w:r>
      <w:r w:rsidRPr="00B63709">
        <w:rPr>
          <w:rFonts w:ascii="Arial" w:hAnsi="Arial" w:cs="Arial"/>
          <w:lang w:eastAsia="fr-FR"/>
        </w:rPr>
        <w:t>.</w:t>
      </w:r>
    </w:p>
    <w:p w:rsidR="00B63709" w:rsidRDefault="00B63709" w:rsidP="00441B6F">
      <w:pPr>
        <w:pStyle w:val="Body"/>
        <w:spacing w:after="0"/>
        <w:rPr>
          <w:rFonts w:ascii="Arial" w:hAnsi="Arial" w:cs="Arial"/>
        </w:rPr>
      </w:pPr>
    </w:p>
    <w:p w:rsidR="00C3628D" w:rsidRPr="00FA1AF8" w:rsidRDefault="00C3628D" w:rsidP="00FA1AF8">
      <w:pPr>
        <w:pStyle w:val="ListParagraph"/>
        <w:numPr>
          <w:ilvl w:val="1"/>
          <w:numId w:val="41"/>
        </w:numPr>
        <w:rPr>
          <w:rFonts w:ascii="Times New Roman" w:hAnsi="Times New Roman"/>
          <w:b/>
        </w:rPr>
      </w:pPr>
      <w:r w:rsidRPr="00FA1AF8">
        <w:rPr>
          <w:rFonts w:ascii="Arial" w:hAnsi="Arial" w:cs="Arial"/>
          <w:b/>
        </w:rPr>
        <w:t xml:space="preserve"> </w:t>
      </w:r>
      <w:r w:rsidRPr="00FA1AF8">
        <w:rPr>
          <w:rFonts w:ascii="Times New Roman" w:hAnsi="Times New Roman"/>
          <w:b/>
        </w:rPr>
        <w:t>Methods</w:t>
      </w:r>
    </w:p>
    <w:p w:rsidR="009644CB" w:rsidRPr="009644CB" w:rsidRDefault="009644CB" w:rsidP="009644CB">
      <w:pPr>
        <w:tabs>
          <w:tab w:val="left" w:pos="4047"/>
        </w:tabs>
        <w:jc w:val="both"/>
        <w:rPr>
          <w:rStyle w:val="mord"/>
          <w:rFonts w:ascii="Arial" w:hAnsi="Arial" w:cs="Arial"/>
        </w:rPr>
      </w:pPr>
      <w:r w:rsidRPr="009644CB">
        <w:rPr>
          <w:rStyle w:val="mord"/>
          <w:rFonts w:ascii="Arial" w:hAnsi="Arial" w:cs="Arial"/>
        </w:rPr>
        <w:t>To describe the kinetics of thermal decomposition of biomass residues, two methods are used in the literature: iso-conventional model, called model-free method, and the model-based method</w:t>
      </w:r>
      <w:r w:rsidR="007376E8">
        <w:rPr>
          <w:rStyle w:val="mord"/>
          <w:rFonts w:ascii="Arial" w:hAnsi="Arial" w:cs="Arial"/>
        </w:rPr>
        <w:t xml:space="preserve"> </w:t>
      </w:r>
      <w:r w:rsidRPr="009644CB">
        <w:rPr>
          <w:rStyle w:val="mord"/>
          <w:rFonts w:ascii="Arial" w:hAnsi="Arial" w:cs="Arial"/>
        </w:rPr>
        <w:fldChar w:fldCharType="begin"/>
      </w:r>
      <w:r w:rsidR="007819CF">
        <w:rPr>
          <w:rStyle w:val="mord"/>
          <w:rFonts w:ascii="Arial" w:hAnsi="Arial" w:cs="Arial"/>
        </w:rPr>
        <w:instrText xml:space="preserve"> ADDIN ZOTERO_ITEM CSL_CITATION {"citationID":"Xn5kXHQu","properties":{"formattedCitation":"[5]","plainCitation":"[5]","noteIndex":0},"citationItems":[{"id":"KL15DYhl/P6QoxvFr","uris":["http://zotero.org/users/local/V8e1vJQi/items/C3W2NLFE"],"itemData":{"id":70,"type":"article-journal","abstract":"Pyrolysis kinetics of pine wood, rice husk and bamboo (Bambusa chungii) were studied via thermogravimetric analysis technique under low heating rates. The result of model-free procedure showed that the lignocellulosic pyrolysis according to one-step reaction model is dominated by the diffusion effects. However, the complex features of variations are caused by the mechanism changes, which are hard to be determined. The distributed activation energy model (DAEM) kinetic results indicated that the activation energy distribution for pseudo components follows the orders of: E0(lignin) &gt; E0(cellulose) &gt; E0(hemicelluloses), r(lignin) &gt; r(hemicelluloses) &gt; r(cellulose). The Fraser–Suzuki deconvolution ﬁts better with the experimental data than DAEM. The pyrolysis mechanism of pseudo components after deconvolutions follows the theoretical models: third order model f(a) = (1 À a)3 for hemicelluloses and lignin, random scission model f(a) = 2(a1/2 À a) for cellulose. The apparent activation energy for pseudo hemicelluloses is 162.84 ± 26.45 kJ/mol for pine wood, 168.63 ± 28.47 kJ/mol for rice husk and 154.55 ± 26.49 kJ/mol for bamboo, respectively. The Ea value increases with the conversion with little deviation to its mean value. Similar Ea vs. a dependencies also are observed for pseudo celluloses, which has Ea of 188.14 ± 24.42 kJ/mol for pine wood, 206.71 ± 24.88 kJ/mol for rice husk and 190.45 ± 23.79 kJ/mol for bamboo, respectively.","container-title":"Energy Conversion and Management","DOI":"10.1016/j.enconman.2016.03.058","ISSN":"01968904","journalAbbreviation":"Energy Conversion and Management","language":"en","page":"1-11","source":"DOI.org (Crossref)","title":"Thermogravimetric kinetics of lignocellulosic biomass slow pyrolysis using distributed activation energy model, Fraser–Suzuki deconvolution, and iso-conversional method","volume":"118","author":[{"family":"Hu","given":"Mian"},{"family":"Chen","given":"Zhihua"},{"family":"Wang","given":"Shengkai"},{"family":"Guo","given":"Dabin"},{"family":"Ma","given":"Caifeng"},{"family":"Zhou","given":"Yan"},{"family":"Chen","given":"Jian"},{"family":"Laghari","given":"Mahmood"},{"family":"Fazal","given":"Saima"},{"family":"Xiao","given":"Bo"},{"family":"Zhang","given":"Beiping"},{"family":"Ma","given":"Shu"}],"issued":{"date-parts":[["2016",6]]}}}],"schema":"https://github.com/citation-style-language/schema/raw/master/csl-citation.json"} </w:instrText>
      </w:r>
      <w:r w:rsidRPr="009644CB">
        <w:rPr>
          <w:rStyle w:val="mord"/>
          <w:rFonts w:ascii="Arial" w:hAnsi="Arial" w:cs="Arial"/>
        </w:rPr>
        <w:fldChar w:fldCharType="separate"/>
      </w:r>
      <w:r w:rsidRPr="009644CB">
        <w:rPr>
          <w:rFonts w:ascii="Arial" w:hAnsi="Arial" w:cs="Arial"/>
        </w:rPr>
        <w:t>[5]</w:t>
      </w:r>
      <w:r w:rsidRPr="009644CB">
        <w:rPr>
          <w:rStyle w:val="mord"/>
          <w:rFonts w:ascii="Arial" w:hAnsi="Arial" w:cs="Arial"/>
        </w:rPr>
        <w:fldChar w:fldCharType="end"/>
      </w:r>
      <w:r w:rsidRPr="009644CB">
        <w:rPr>
          <w:rStyle w:val="mord"/>
          <w:rFonts w:ascii="Arial" w:hAnsi="Arial" w:cs="Arial"/>
        </w:rPr>
        <w:t>.</w:t>
      </w:r>
    </w:p>
    <w:p w:rsidR="009644CB" w:rsidRPr="009644CB" w:rsidRDefault="009644CB" w:rsidP="009644CB">
      <w:pPr>
        <w:tabs>
          <w:tab w:val="left" w:pos="4047"/>
        </w:tabs>
        <w:jc w:val="both"/>
        <w:rPr>
          <w:rStyle w:val="mord"/>
          <w:rFonts w:ascii="Arial" w:hAnsi="Arial" w:cs="Arial"/>
        </w:rPr>
      </w:pPr>
      <w:r w:rsidRPr="009644CB">
        <w:rPr>
          <w:rStyle w:val="mord"/>
          <w:rFonts w:ascii="Arial" w:hAnsi="Arial" w:cs="Arial"/>
        </w:rPr>
        <w:t xml:space="preserve">The </w:t>
      </w:r>
      <w:proofErr w:type="spellStart"/>
      <w:r w:rsidRPr="009644CB">
        <w:rPr>
          <w:rStyle w:val="mord"/>
          <w:rFonts w:ascii="Arial" w:hAnsi="Arial" w:cs="Arial"/>
        </w:rPr>
        <w:t>isoconversional</w:t>
      </w:r>
      <w:proofErr w:type="spellEnd"/>
      <w:r w:rsidRPr="009644CB">
        <w:rPr>
          <w:rStyle w:val="mord"/>
          <w:rFonts w:ascii="Arial" w:hAnsi="Arial" w:cs="Arial"/>
        </w:rPr>
        <w:t xml:space="preserve"> kinetic model is a method used in chemical kinetics to determine the kinetic parameters of a reaction without making any prior assumptions about the reaction mechanism</w:t>
      </w:r>
      <w:r w:rsidR="00064490">
        <w:rPr>
          <w:rStyle w:val="mord"/>
          <w:rFonts w:ascii="Arial" w:hAnsi="Arial" w:cs="Arial"/>
        </w:rPr>
        <w:t xml:space="preserve"> </w:t>
      </w:r>
      <w:r w:rsidRPr="009644CB">
        <w:rPr>
          <w:rStyle w:val="mord"/>
          <w:rFonts w:ascii="Arial" w:hAnsi="Arial" w:cs="Arial"/>
        </w:rPr>
        <w:fldChar w:fldCharType="begin"/>
      </w:r>
      <w:r w:rsidR="007819CF">
        <w:rPr>
          <w:rStyle w:val="mord"/>
          <w:rFonts w:ascii="Arial" w:hAnsi="Arial" w:cs="Arial"/>
        </w:rPr>
        <w:instrText xml:space="preserve"> ADDIN ZOTERO_ITEM CSL_CITATION {"citationID":"WTtYaGrg","properties":{"formattedCitation":"[5]","plainCitation":"[5]","noteIndex":0},"citationItems":[{"id":"KL15DYhl/P6QoxvFr","uris":["http://zotero.org/users/local/V8e1vJQi/items/C3W2NLFE"],"itemData":{"id":70,"type":"article-journal","abstract":"Pyrolysis kinetics of pine wood, rice husk and bamboo (Bambusa chungii) were studied via thermogravimetric analysis technique under low heating rates. The result of model-free procedure showed that the lignocellulosic pyrolysis according to one-step reaction model is dominated by the diffusion effects. However, the complex features of variations are caused by the mechanism changes, which are hard to be determined. The distributed activation energy model (DAEM) kinetic results indicated that the activation energy distribution for pseudo components follows the orders of: E0(lignin) &gt; E0(cellulose) &gt; E0(hemicelluloses), r(lignin) &gt; r(hemicelluloses) &gt; r(cellulose). The Fraser–Suzuki deconvolution ﬁts better with the experimental data than DAEM. The pyrolysis mechanism of pseudo components after deconvolutions follows the theoretical models: third order model f(a) = (1 À a)3 for hemicelluloses and lignin, random scission model f(a) = 2(a1/2 À a) for cellulose. The apparent activation energy for pseudo hemicelluloses is 162.84 ± 26.45 kJ/mol for pine wood, 168.63 ± 28.47 kJ/mol for rice husk and 154.55 ± 26.49 kJ/mol for bamboo, respectively. The Ea value increases with the conversion with little deviation to its mean value. Similar Ea vs. a dependencies also are observed for pseudo celluloses, which has Ea of 188.14 ± 24.42 kJ/mol for pine wood, 206.71 ± 24.88 kJ/mol for rice husk and 190.45 ± 23.79 kJ/mol for bamboo, respectively.","container-title":"Energy Conversion and Management","DOI":"10.1016/j.enconman.2016.03.058","ISSN":"01968904","journalAbbreviation":"Energy Conversion and Management","language":"en","page":"1-11","source":"DOI.org (Crossref)","title":"Thermogravimetric kinetics of lignocellulosic biomass slow pyrolysis using distributed activation energy model, Fraser–Suzuki deconvolution, and iso-conversional method","volume":"118","author":[{"family":"Hu","given":"Mian"},{"family":"Chen","given":"Zhihua"},{"family":"Wang","given":"Shengkai"},{"family":"Guo","given":"Dabin"},{"family":"Ma","given":"Caifeng"},{"family":"Zhou","given":"Yan"},{"family":"Chen","given":"Jian"},{"family":"Laghari","given":"Mahmood"},{"family":"Fazal","given":"Saima"},{"family":"Xiao","given":"Bo"},{"family":"Zhang","given":"Beiping"},{"family":"Ma","given":"Shu"}],"issued":{"date-parts":[["2016",6]]}}}],"schema":"https://github.com/citation-style-language/schema/raw/master/csl-citation.json"} </w:instrText>
      </w:r>
      <w:r w:rsidRPr="009644CB">
        <w:rPr>
          <w:rStyle w:val="mord"/>
          <w:rFonts w:ascii="Arial" w:hAnsi="Arial" w:cs="Arial"/>
        </w:rPr>
        <w:fldChar w:fldCharType="separate"/>
      </w:r>
      <w:r w:rsidRPr="009644CB">
        <w:rPr>
          <w:rFonts w:ascii="Arial" w:hAnsi="Arial" w:cs="Arial"/>
        </w:rPr>
        <w:t>[5]</w:t>
      </w:r>
      <w:r w:rsidRPr="009644CB">
        <w:rPr>
          <w:rStyle w:val="mord"/>
          <w:rFonts w:ascii="Arial" w:hAnsi="Arial" w:cs="Arial"/>
        </w:rPr>
        <w:fldChar w:fldCharType="end"/>
      </w:r>
      <w:r w:rsidRPr="009644CB">
        <w:rPr>
          <w:rStyle w:val="mord"/>
          <w:rFonts w:ascii="Arial" w:hAnsi="Arial" w:cs="Arial"/>
        </w:rPr>
        <w:t xml:space="preserve">. Unlike traditional kinetic models that require an assumption about the reaction mechanism, </w:t>
      </w:r>
      <w:proofErr w:type="spellStart"/>
      <w:r w:rsidRPr="009644CB">
        <w:rPr>
          <w:rStyle w:val="mord"/>
          <w:rFonts w:ascii="Arial" w:hAnsi="Arial" w:cs="Arial"/>
        </w:rPr>
        <w:t>isoconversional</w:t>
      </w:r>
      <w:proofErr w:type="spellEnd"/>
      <w:r w:rsidRPr="009644CB">
        <w:rPr>
          <w:rStyle w:val="mord"/>
          <w:rFonts w:ascii="Arial" w:hAnsi="Arial" w:cs="Arial"/>
        </w:rPr>
        <w:t xml:space="preserve"> methods focus on the reaction's evolution as a function of the conversion progress (i.e., the percentage of reaction completed) at different temperatures. The </w:t>
      </w:r>
      <w:proofErr w:type="spellStart"/>
      <w:r w:rsidRPr="009644CB">
        <w:rPr>
          <w:rStyle w:val="mord"/>
          <w:rFonts w:ascii="Arial" w:hAnsi="Arial" w:cs="Arial"/>
        </w:rPr>
        <w:t>isoconversional</w:t>
      </w:r>
      <w:proofErr w:type="spellEnd"/>
      <w:r w:rsidRPr="009644CB">
        <w:rPr>
          <w:rStyle w:val="mord"/>
          <w:rFonts w:ascii="Arial" w:hAnsi="Arial" w:cs="Arial"/>
        </w:rPr>
        <w:t xml:space="preserve"> model does not require knowledge of the specific reaction mechanism. It </w:t>
      </w:r>
      <w:proofErr w:type="gramStart"/>
      <w:r w:rsidRPr="009644CB">
        <w:rPr>
          <w:rStyle w:val="mord"/>
          <w:rFonts w:ascii="Arial" w:hAnsi="Arial" w:cs="Arial"/>
        </w:rPr>
        <w:t>is based on the assumption</w:t>
      </w:r>
      <w:proofErr w:type="gramEnd"/>
      <w:r w:rsidRPr="009644CB">
        <w:rPr>
          <w:rStyle w:val="mord"/>
          <w:rFonts w:ascii="Arial" w:hAnsi="Arial" w:cs="Arial"/>
        </w:rPr>
        <w:t xml:space="preserve"> that, for a certain degree of conversion, the reaction follows the same kinetic parameters, regardless of the temperature.</w:t>
      </w:r>
    </w:p>
    <w:p w:rsidR="009644CB" w:rsidRPr="009644CB" w:rsidRDefault="009644CB" w:rsidP="009644CB">
      <w:pPr>
        <w:tabs>
          <w:tab w:val="left" w:pos="4047"/>
        </w:tabs>
        <w:jc w:val="both"/>
        <w:rPr>
          <w:rStyle w:val="mord"/>
          <w:rFonts w:ascii="Arial" w:hAnsi="Arial" w:cs="Arial"/>
        </w:rPr>
      </w:pPr>
      <w:r w:rsidRPr="009644CB">
        <w:rPr>
          <w:rStyle w:val="mord"/>
          <w:rFonts w:ascii="Arial" w:hAnsi="Arial" w:cs="Arial"/>
        </w:rPr>
        <w:t xml:space="preserve">The model-based kinetic method, also called the model-based method or model-fitting method, is a commonly used approach in chemical kinetics to determine the kinetic parameters of a chemical reaction. Unlike </w:t>
      </w:r>
      <w:proofErr w:type="spellStart"/>
      <w:r w:rsidRPr="009644CB">
        <w:rPr>
          <w:rStyle w:val="mord"/>
          <w:rFonts w:ascii="Arial" w:hAnsi="Arial" w:cs="Arial"/>
        </w:rPr>
        <w:t>isoconversional</w:t>
      </w:r>
      <w:proofErr w:type="spellEnd"/>
      <w:r w:rsidRPr="009644CB">
        <w:rPr>
          <w:rStyle w:val="mord"/>
          <w:rFonts w:ascii="Arial" w:hAnsi="Arial" w:cs="Arial"/>
        </w:rPr>
        <w:t xml:space="preserve"> methods, this approach relies on the assumption of a specific reaction model that describes the reaction mechanism</w:t>
      </w:r>
      <w:r w:rsidR="00064490">
        <w:rPr>
          <w:rStyle w:val="mord"/>
          <w:rFonts w:ascii="Arial" w:hAnsi="Arial" w:cs="Arial"/>
        </w:rPr>
        <w:t xml:space="preserve"> </w:t>
      </w:r>
      <w:r w:rsidRPr="009644CB">
        <w:rPr>
          <w:rStyle w:val="mord"/>
          <w:rFonts w:ascii="Arial" w:hAnsi="Arial" w:cs="Arial"/>
        </w:rPr>
        <w:fldChar w:fldCharType="begin"/>
      </w:r>
      <w:r w:rsidR="007819CF">
        <w:rPr>
          <w:rStyle w:val="mord"/>
          <w:rFonts w:ascii="Arial" w:hAnsi="Arial" w:cs="Arial"/>
        </w:rPr>
        <w:instrText xml:space="preserve"> ADDIN ZOTERO_ITEM CSL_CITATION {"citationID":"foiFfJZQ","properties":{"formattedCitation":"[5]","plainCitation":"[5]","noteIndex":0},"citationItems":[{"id":"KL15DYhl/P6QoxvFr","uris":["http://zotero.org/users/local/V8e1vJQi/items/C3W2NLFE"],"itemData":{"id":70,"type":"article-journal","abstract":"Pyrolysis kinetics of pine wood, rice husk and bamboo (Bambusa chungii) were studied via thermogravimetric analysis technique under low heating rates. The result of model-free procedure showed that the lignocellulosic pyrolysis according to one-step reaction model is dominated by the diffusion effects. However, the complex features of variations are caused by the mechanism changes, which are hard to be determined. The distributed activation energy model (DAEM) kinetic results indicated that the activation energy distribution for pseudo components follows the orders of: E0(lignin) &gt; E0(cellulose) &gt; E0(hemicelluloses), r(lignin) &gt; r(hemicelluloses) &gt; r(cellulose). The Fraser–Suzuki deconvolution ﬁts better with the experimental data than DAEM. The pyrolysis mechanism of pseudo components after deconvolutions follows the theoretical models: third order model f(a) = (1 À a)3 for hemicelluloses and lignin, random scission model f(a) = 2(a1/2 À a) for cellulose. The apparent activation energy for pseudo hemicelluloses is 162.84 ± 26.45 kJ/mol for pine wood, 168.63 ± 28.47 kJ/mol for rice husk and 154.55 ± 26.49 kJ/mol for bamboo, respectively. The Ea value increases with the conversion with little deviation to its mean value. Similar Ea vs. a dependencies also are observed for pseudo celluloses, which has Ea of 188.14 ± 24.42 kJ/mol for pine wood, 206.71 ± 24.88 kJ/mol for rice husk and 190.45 ± 23.79 kJ/mol for bamboo, respectively.","container-title":"Energy Conversion and Management","DOI":"10.1016/j.enconman.2016.03.058","ISSN":"01968904","journalAbbreviation":"Energy Conversion and Management","language":"en","page":"1-11","source":"DOI.org (Crossref)","title":"Thermogravimetric kinetics of lignocellulosic biomass slow pyrolysis using distributed activation energy model, Fraser–Suzuki deconvolution, and iso-conversional method","volume":"118","author":[{"family":"Hu","given":"Mian"},{"family":"Chen","given":"Zhihua"},{"family":"Wang","given":"Shengkai"},{"family":"Guo","given":"Dabin"},{"family":"Ma","given":"Caifeng"},{"family":"Zhou","given":"Yan"},{"family":"Chen","given":"Jian"},{"family":"Laghari","given":"Mahmood"},{"family":"Fazal","given":"Saima"},{"family":"Xiao","given":"Bo"},{"family":"Zhang","given":"Beiping"},{"family":"Ma","given":"Shu"}],"issued":{"date-parts":[["2016",6]]}}}],"schema":"https://github.com/citation-style-language/schema/raw/master/csl-citation.json"} </w:instrText>
      </w:r>
      <w:r w:rsidRPr="009644CB">
        <w:rPr>
          <w:rStyle w:val="mord"/>
          <w:rFonts w:ascii="Arial" w:hAnsi="Arial" w:cs="Arial"/>
        </w:rPr>
        <w:fldChar w:fldCharType="separate"/>
      </w:r>
      <w:r w:rsidRPr="009644CB">
        <w:rPr>
          <w:rFonts w:ascii="Arial" w:hAnsi="Arial" w:cs="Arial"/>
        </w:rPr>
        <w:t>[5]</w:t>
      </w:r>
      <w:r w:rsidRPr="009644CB">
        <w:rPr>
          <w:rStyle w:val="mord"/>
          <w:rFonts w:ascii="Arial" w:hAnsi="Arial" w:cs="Arial"/>
        </w:rPr>
        <w:fldChar w:fldCharType="end"/>
      </w:r>
      <w:r w:rsidR="00064490">
        <w:rPr>
          <w:rStyle w:val="mord"/>
          <w:rFonts w:ascii="Arial" w:hAnsi="Arial" w:cs="Arial"/>
        </w:rPr>
        <w:t xml:space="preserve"> </w:t>
      </w:r>
      <w:r w:rsidRPr="009644CB">
        <w:rPr>
          <w:rStyle w:val="mord"/>
          <w:rFonts w:ascii="Arial" w:hAnsi="Arial" w:cs="Arial"/>
        </w:rPr>
        <w:t xml:space="preserve">The goal is to find the kinetic parameters (such as activation energy and pre-exponential factor) that allow the chosen model to best fit the experimental data. This method assumes a specific reaction model, that is, a mathematical function that describes how the conversion (or mass loss, or some other measured parameter) evolves with time or temperature. The chosen model often corresponds to a known reaction mechanism, such as first-order decomposition, second-order reaction, or a more complex model. Table </w:t>
      </w:r>
      <w:r w:rsidR="00EF09BD">
        <w:rPr>
          <w:rStyle w:val="mord"/>
          <w:rFonts w:ascii="Arial" w:hAnsi="Arial" w:cs="Arial"/>
        </w:rPr>
        <w:t>1</w:t>
      </w:r>
      <w:r w:rsidRPr="009644CB">
        <w:rPr>
          <w:rStyle w:val="mord"/>
          <w:rFonts w:ascii="Arial" w:hAnsi="Arial" w:cs="Arial"/>
        </w:rPr>
        <w:t xml:space="preserve"> shows a summary of the different mode</w:t>
      </w:r>
      <w:r w:rsidR="007F3830">
        <w:rPr>
          <w:rStyle w:val="mord"/>
          <w:rFonts w:ascii="Arial" w:hAnsi="Arial" w:cs="Arial"/>
        </w:rPr>
        <w:t>ls used in the literature</w:t>
      </w:r>
      <w:r w:rsidRPr="009644CB">
        <w:rPr>
          <w:rStyle w:val="mord"/>
          <w:rFonts w:ascii="Arial" w:hAnsi="Arial" w:cs="Arial"/>
        </w:rPr>
        <w:t>.</w:t>
      </w:r>
    </w:p>
    <w:p w:rsidR="009644CB" w:rsidRDefault="009644CB" w:rsidP="00C3628D">
      <w:pPr>
        <w:jc w:val="both"/>
        <w:rPr>
          <w:rFonts w:ascii="Arial" w:hAnsi="Arial" w:cs="Arial"/>
        </w:rPr>
      </w:pPr>
    </w:p>
    <w:p w:rsidR="00C3628D" w:rsidRPr="002D38BF" w:rsidRDefault="00C3628D" w:rsidP="00C3628D">
      <w:pPr>
        <w:jc w:val="both"/>
        <w:rPr>
          <w:rFonts w:ascii="Arial" w:hAnsi="Arial" w:cs="Arial"/>
          <w:b/>
        </w:rPr>
      </w:pPr>
      <w:r w:rsidRPr="002D38BF">
        <w:rPr>
          <w:rStyle w:val="mord"/>
          <w:rFonts w:ascii="Arial" w:hAnsi="Arial" w:cs="Arial"/>
          <w:b/>
        </w:rPr>
        <w:t>TABLE 1</w:t>
      </w:r>
      <w:r w:rsidR="00F836A8" w:rsidRPr="002D38BF">
        <w:rPr>
          <w:rStyle w:val="mord"/>
          <w:rFonts w:ascii="Arial" w:hAnsi="Arial" w:cs="Arial"/>
          <w:b/>
          <w:i/>
        </w:rPr>
        <w:t>.</w:t>
      </w:r>
      <w:r w:rsidRPr="002D38BF">
        <w:rPr>
          <w:rStyle w:val="mord"/>
          <w:rFonts w:ascii="Arial" w:hAnsi="Arial" w:cs="Arial"/>
          <w:b/>
          <w:i/>
        </w:rPr>
        <w:t xml:space="preserve"> </w:t>
      </w:r>
      <w:r w:rsidRPr="002D38BF">
        <w:rPr>
          <w:rStyle w:val="mord"/>
          <w:rFonts w:ascii="Arial" w:hAnsi="Arial" w:cs="Arial"/>
          <w:b/>
        </w:rPr>
        <w:t>Kinetic model used in the literature</w:t>
      </w:r>
    </w:p>
    <w:tbl>
      <w:tblPr>
        <w:tblStyle w:val="TableGrid"/>
        <w:tblW w:w="0" w:type="auto"/>
        <w:jc w:val="center"/>
        <w:tblLook w:val="04A0" w:firstRow="1" w:lastRow="0" w:firstColumn="1" w:lastColumn="0" w:noHBand="0" w:noVBand="1"/>
      </w:tblPr>
      <w:tblGrid>
        <w:gridCol w:w="3098"/>
        <w:gridCol w:w="1859"/>
        <w:gridCol w:w="3241"/>
      </w:tblGrid>
      <w:tr w:rsidR="00C3628D" w:rsidRPr="00FD4F1A" w:rsidTr="00160351">
        <w:trPr>
          <w:trHeight w:val="401"/>
          <w:jc w:val="center"/>
        </w:trPr>
        <w:tc>
          <w:tcPr>
            <w:tcW w:w="0" w:type="auto"/>
          </w:tcPr>
          <w:p w:rsidR="00C3628D" w:rsidRPr="00FD4F1A" w:rsidRDefault="00C3628D" w:rsidP="00160351">
            <w:pPr>
              <w:tabs>
                <w:tab w:val="left" w:pos="2237"/>
              </w:tabs>
              <w:spacing w:line="360" w:lineRule="auto"/>
              <w:jc w:val="both"/>
              <w:rPr>
                <w:rFonts w:ascii="Arial" w:hAnsi="Arial" w:cs="Arial"/>
                <w:color w:val="000000"/>
                <w:sz w:val="16"/>
                <w:szCs w:val="16"/>
                <w:lang w:eastAsia="fr-FR"/>
              </w:rPr>
            </w:pPr>
            <w:r w:rsidRPr="00FD4F1A">
              <w:rPr>
                <w:rFonts w:ascii="Arial" w:hAnsi="Arial" w:cs="Arial"/>
                <w:b/>
                <w:i/>
                <w:sz w:val="16"/>
                <w:szCs w:val="16"/>
              </w:rPr>
              <w:t>Kinetic method</w:t>
            </w:r>
            <w:r w:rsidRPr="00FD4F1A">
              <w:rPr>
                <w:rFonts w:ascii="Arial" w:hAnsi="Arial" w:cs="Arial"/>
                <w:b/>
                <w:i/>
                <w:sz w:val="16"/>
                <w:szCs w:val="16"/>
              </w:rPr>
              <w:tab/>
            </w:r>
          </w:p>
        </w:tc>
        <w:tc>
          <w:tcPr>
            <w:tcW w:w="0" w:type="auto"/>
          </w:tcPr>
          <w:p w:rsidR="00C3628D" w:rsidRPr="00FD4F1A" w:rsidRDefault="00C3628D" w:rsidP="00160351">
            <w:pPr>
              <w:tabs>
                <w:tab w:val="left" w:pos="4047"/>
              </w:tabs>
              <w:spacing w:line="360" w:lineRule="auto"/>
              <w:jc w:val="both"/>
              <w:rPr>
                <w:rFonts w:ascii="Arial" w:hAnsi="Arial" w:cs="Arial"/>
                <w:b/>
                <w:i/>
                <w:sz w:val="16"/>
                <w:szCs w:val="16"/>
              </w:rPr>
            </w:pPr>
            <w:r w:rsidRPr="00FD4F1A">
              <w:rPr>
                <w:rFonts w:ascii="Arial" w:hAnsi="Arial" w:cs="Arial"/>
                <w:b/>
                <w:i/>
                <w:sz w:val="16"/>
                <w:szCs w:val="16"/>
              </w:rPr>
              <w:t>Model type</w:t>
            </w:r>
          </w:p>
        </w:tc>
        <w:tc>
          <w:tcPr>
            <w:tcW w:w="0" w:type="auto"/>
          </w:tcPr>
          <w:p w:rsidR="00C3628D" w:rsidRPr="00FD4F1A" w:rsidRDefault="00C3628D" w:rsidP="00160351">
            <w:pPr>
              <w:tabs>
                <w:tab w:val="left" w:pos="4047"/>
              </w:tabs>
              <w:spacing w:line="360" w:lineRule="auto"/>
              <w:jc w:val="both"/>
              <w:rPr>
                <w:rFonts w:ascii="Arial" w:hAnsi="Arial" w:cs="Arial"/>
                <w:b/>
                <w:i/>
                <w:sz w:val="16"/>
                <w:szCs w:val="16"/>
              </w:rPr>
            </w:pPr>
            <w:r w:rsidRPr="00FD4F1A">
              <w:rPr>
                <w:rFonts w:ascii="Arial" w:hAnsi="Arial" w:cs="Arial"/>
                <w:b/>
                <w:i/>
                <w:sz w:val="16"/>
                <w:szCs w:val="16"/>
              </w:rPr>
              <w:t>Equation</w:t>
            </w:r>
          </w:p>
        </w:tc>
      </w:tr>
      <w:tr w:rsidR="00C3628D" w:rsidRPr="00FD4F1A" w:rsidTr="00160351">
        <w:trPr>
          <w:trHeight w:val="661"/>
          <w:jc w:val="center"/>
        </w:trPr>
        <w:tc>
          <w:tcPr>
            <w:tcW w:w="0" w:type="auto"/>
          </w:tcPr>
          <w:p w:rsidR="00C3628D" w:rsidRPr="00FD4F1A" w:rsidRDefault="00C3628D" w:rsidP="00160351">
            <w:pPr>
              <w:tabs>
                <w:tab w:val="left" w:pos="4047"/>
              </w:tabs>
              <w:spacing w:line="360" w:lineRule="auto"/>
              <w:jc w:val="both"/>
              <w:rPr>
                <w:rFonts w:ascii="Arial" w:hAnsi="Arial" w:cs="Arial"/>
                <w:b/>
                <w:i/>
                <w:sz w:val="16"/>
                <w:szCs w:val="16"/>
              </w:rPr>
            </w:pPr>
            <w:r w:rsidRPr="00FD4F1A">
              <w:rPr>
                <w:rFonts w:ascii="Arial" w:hAnsi="Arial" w:cs="Arial"/>
                <w:b/>
                <w:i/>
                <w:sz w:val="16"/>
                <w:szCs w:val="16"/>
              </w:rPr>
              <w:t xml:space="preserve">Arrhenius method </w:t>
            </w:r>
            <w:r w:rsidRPr="00FD4F1A">
              <w:rPr>
                <w:rFonts w:ascii="Arial" w:hAnsi="Arial" w:cs="Arial"/>
                <w:b/>
                <w:i/>
                <w:sz w:val="16"/>
                <w:szCs w:val="16"/>
              </w:rPr>
              <w:fldChar w:fldCharType="begin"/>
            </w:r>
            <w:r w:rsidR="007819CF">
              <w:rPr>
                <w:rFonts w:ascii="Arial" w:hAnsi="Arial" w:cs="Arial"/>
                <w:b/>
                <w:i/>
                <w:sz w:val="16"/>
                <w:szCs w:val="16"/>
              </w:rPr>
              <w:instrText xml:space="preserve"> ADDIN ZOTERO_ITEM CSL_CITATION {"citationID":"WxUCIyE7","properties":{"formattedCitation":"[16]","plainCitation":"[16]","noteIndex":0},"citationItems":[{"id":"KL15DYhl/T71yCoEH","uris":["http://zotero.org/users/local/V8e1vJQi/items/H2N8DCWK"],"itemData":{"id":59,"type":"article-journal","abstract":"This study investigated the influence of feedstock mixture on the fuel characteristics of briquettes produced from sawdust (SD), cornhusk (CH), and cassava peels (CP) for domestic and industrial applications. The feedstock was each studied singly and mixed in the ratio 30/70, 50/50, and 70/30 with the binder to feedstock ratio of 20:100 by mass for briquette production and characterization. The elemental and proximate analyses were carried out to evaluate fuel properties. The briquette structural arrangement was determined with the Scanning Electron Microscope and Energy Dispersive X-Ray Detector, while the functional groups was obtained from FTIR analyzer. A non-isothermal Coats-Redfern method was carried out to determine the activation energy and pre-exponential factors. The O/C and H/C ratios slightly decrease when the mixing ratio of sawdust with other feedstocks increased. The bonding of the briquette samples was enhanced by blending CH with other feedstocks, thereby improving the structural integrity of the mixed briquettes and closing the gaps and voids within and between particles. The highest infrared transmittance of C–H, OH, C–O, and C=C was found in SD briquette followed by CH and CP while CH briquette contained higher C–C. The activation energy of the briquettes varied between 39.70 and 60.76 kJ/mol. The hypothetical thermal plant analysis of the briquettes shows that mixed CH/CP and CH/SD respectively reduced the potential for C­ O2 and N­ O2 emissions. Furthermore, Ca, P, and K played the most significant role in the briquette’s agglomeration. The mixing of feedstocks for briquettes production has great fuel potential for heating applications.","container-title":"Biomass Conversion and Biorefinery","DOI":"10.1007/s13399-023-04039-6","ISSN":"2190-6815, 2190-6823","issue":"17","journalAbbreviation":"Biomass Conv. Bioref.","language":"en","page":"16211-16226","source":"DOI.org (Crossref)","title":"Influence of feedstock mixtures on the fuel characteristics of blended cornhusk, cassava peels, and sawdust briquettes","volume":"13","author":[{"family":"Waheed","given":"M. A."},{"family":"Akogun","given":"O. A."},{"family":"Enweremadu","given":"C. C."}],"issued":{"date-parts":[["2023",11]]}}}],"schema":"https://github.com/citation-style-language/schema/raw/master/csl-citation.json"} </w:instrText>
            </w:r>
            <w:r w:rsidRPr="00FD4F1A">
              <w:rPr>
                <w:rFonts w:ascii="Arial" w:hAnsi="Arial" w:cs="Arial"/>
                <w:b/>
                <w:i/>
                <w:sz w:val="16"/>
                <w:szCs w:val="16"/>
              </w:rPr>
              <w:fldChar w:fldCharType="separate"/>
            </w:r>
            <w:r w:rsidR="007819CF" w:rsidRPr="007819CF">
              <w:rPr>
                <w:rFonts w:ascii="Arial" w:hAnsi="Arial" w:cs="Arial"/>
                <w:sz w:val="16"/>
              </w:rPr>
              <w:t>[16]</w:t>
            </w:r>
            <w:r w:rsidRPr="00FD4F1A">
              <w:rPr>
                <w:rFonts w:ascii="Arial" w:hAnsi="Arial" w:cs="Arial"/>
                <w:b/>
                <w:i/>
                <w:sz w:val="16"/>
                <w:szCs w:val="16"/>
              </w:rPr>
              <w:fldChar w:fldCharType="end"/>
            </w:r>
          </w:p>
          <w:p w:rsidR="00C3628D" w:rsidRPr="00FD4F1A" w:rsidRDefault="00C3628D" w:rsidP="00160351">
            <w:pPr>
              <w:tabs>
                <w:tab w:val="left" w:pos="2237"/>
              </w:tabs>
              <w:rPr>
                <w:rFonts w:ascii="Arial" w:hAnsi="Arial" w:cs="Arial"/>
                <w:sz w:val="16"/>
                <w:szCs w:val="16"/>
              </w:rPr>
            </w:pPr>
            <w:r w:rsidRPr="00FD4F1A">
              <w:rPr>
                <w:rFonts w:ascii="Arial" w:hAnsi="Arial" w:cs="Arial"/>
                <w:sz w:val="16"/>
                <w:szCs w:val="16"/>
              </w:rPr>
              <w:tab/>
            </w:r>
          </w:p>
        </w:tc>
        <w:tc>
          <w:tcPr>
            <w:tcW w:w="0" w:type="auto"/>
          </w:tcPr>
          <w:p w:rsidR="00C3628D" w:rsidRPr="00FD4F1A" w:rsidRDefault="00C3628D" w:rsidP="00160351">
            <w:pPr>
              <w:tabs>
                <w:tab w:val="left" w:pos="4047"/>
              </w:tabs>
              <w:spacing w:line="360" w:lineRule="auto"/>
              <w:jc w:val="both"/>
              <w:rPr>
                <w:rFonts w:ascii="Arial" w:hAnsi="Arial" w:cs="Arial"/>
                <w:sz w:val="16"/>
                <w:szCs w:val="16"/>
              </w:rPr>
            </w:pPr>
            <w:r w:rsidRPr="00FD4F1A">
              <w:rPr>
                <w:rFonts w:ascii="Arial" w:hAnsi="Arial" w:cs="Arial"/>
                <w:sz w:val="16"/>
                <w:szCs w:val="16"/>
              </w:rPr>
              <w:t>Simple model</w:t>
            </w:r>
          </w:p>
        </w:tc>
        <w:tc>
          <w:tcPr>
            <w:tcW w:w="0" w:type="auto"/>
          </w:tcPr>
          <w:p w:rsidR="00C3628D" w:rsidRPr="00FD4F1A" w:rsidRDefault="00C3628D" w:rsidP="00160351">
            <w:pPr>
              <w:tabs>
                <w:tab w:val="left" w:pos="4047"/>
              </w:tabs>
              <w:spacing w:line="360" w:lineRule="auto"/>
              <w:jc w:val="both"/>
              <w:rPr>
                <w:rFonts w:ascii="Arial" w:eastAsiaTheme="minorEastAsia" w:hAnsi="Arial" w:cs="Arial"/>
                <w:sz w:val="16"/>
                <w:szCs w:val="16"/>
              </w:rPr>
            </w:pPr>
            <m:oMath>
              <m:r>
                <w:rPr>
                  <w:rFonts w:ascii="Cambria Math" w:hAnsi="Cambria Math" w:cs="Arial"/>
                  <w:sz w:val="16"/>
                  <w:szCs w:val="16"/>
                </w:rPr>
                <m:t>k</m:t>
              </m:r>
              <m:d>
                <m:dPr>
                  <m:ctrlPr>
                    <w:rPr>
                      <w:rFonts w:ascii="Cambria Math" w:hAnsi="Cambria Math" w:cs="Arial"/>
                      <w:i/>
                      <w:sz w:val="16"/>
                      <w:szCs w:val="16"/>
                    </w:rPr>
                  </m:ctrlPr>
                </m:dPr>
                <m:e>
                  <m:r>
                    <w:rPr>
                      <w:rFonts w:ascii="Cambria Math" w:hAnsi="Cambria Math" w:cs="Arial"/>
                      <w:sz w:val="16"/>
                      <w:szCs w:val="16"/>
                    </w:rPr>
                    <m:t>T</m:t>
                  </m:r>
                </m:e>
              </m:d>
              <m:r>
                <w:rPr>
                  <w:rFonts w:ascii="Cambria Math" w:hAnsi="Cambria Math" w:cs="Arial"/>
                  <w:sz w:val="16"/>
                  <w:szCs w:val="16"/>
                </w:rPr>
                <m:t>=A</m:t>
              </m:r>
              <m:sSup>
                <m:sSupPr>
                  <m:ctrlPr>
                    <w:rPr>
                      <w:rFonts w:ascii="Cambria Math" w:hAnsi="Cambria Math" w:cs="Arial"/>
                      <w:i/>
                      <w:sz w:val="16"/>
                      <w:szCs w:val="16"/>
                    </w:rPr>
                  </m:ctrlPr>
                </m:sSupPr>
                <m:e>
                  <m:r>
                    <w:rPr>
                      <w:rFonts w:ascii="Cambria Math" w:hAnsi="Cambria Math" w:cs="Arial"/>
                      <w:sz w:val="16"/>
                      <w:szCs w:val="16"/>
                    </w:rPr>
                    <m:t>e</m:t>
                  </m:r>
                </m:e>
                <m:sup>
                  <m:f>
                    <m:fPr>
                      <m:ctrlPr>
                        <w:rPr>
                          <w:rFonts w:ascii="Cambria Math" w:hAnsi="Cambria Math" w:cs="Arial"/>
                          <w:i/>
                          <w:sz w:val="16"/>
                          <w:szCs w:val="16"/>
                        </w:rPr>
                      </m:ctrlPr>
                    </m:fPr>
                    <m:num>
                      <m:sSub>
                        <m:sSubPr>
                          <m:ctrlPr>
                            <w:rPr>
                              <w:rFonts w:ascii="Cambria Math" w:hAnsi="Cambria Math" w:cs="Arial"/>
                              <w:i/>
                              <w:sz w:val="16"/>
                              <w:szCs w:val="16"/>
                            </w:rPr>
                          </m:ctrlPr>
                        </m:sSubPr>
                        <m:e>
                          <m:r>
                            <w:rPr>
                              <w:rFonts w:ascii="Cambria Math" w:hAnsi="Cambria Math" w:cs="Arial"/>
                              <w:sz w:val="16"/>
                              <w:szCs w:val="16"/>
                            </w:rPr>
                            <m:t>-E</m:t>
                          </m:r>
                        </m:e>
                        <m:sub>
                          <m:r>
                            <w:rPr>
                              <w:rFonts w:ascii="Cambria Math" w:hAnsi="Cambria Math" w:cs="Arial"/>
                              <w:sz w:val="16"/>
                              <w:szCs w:val="16"/>
                            </w:rPr>
                            <m:t>a</m:t>
                          </m:r>
                        </m:sub>
                      </m:sSub>
                    </m:num>
                    <m:den>
                      <m:r>
                        <w:rPr>
                          <w:rFonts w:ascii="Cambria Math" w:hAnsi="Cambria Math" w:cs="Arial"/>
                          <w:sz w:val="16"/>
                          <w:szCs w:val="16"/>
                        </w:rPr>
                        <m:t>RT</m:t>
                      </m:r>
                    </m:den>
                  </m:f>
                </m:sup>
              </m:sSup>
            </m:oMath>
            <w:r w:rsidRPr="00FD4F1A">
              <w:rPr>
                <w:rFonts w:ascii="Arial" w:eastAsiaTheme="minorEastAsia" w:hAnsi="Arial" w:cs="Arial"/>
                <w:sz w:val="16"/>
                <w:szCs w:val="16"/>
              </w:rPr>
              <w:t xml:space="preserve"> </w:t>
            </w:r>
          </w:p>
          <w:p w:rsidR="00C3628D" w:rsidRPr="00FD4F1A" w:rsidRDefault="00C3628D" w:rsidP="00160351">
            <w:pPr>
              <w:tabs>
                <w:tab w:val="left" w:pos="4047"/>
              </w:tabs>
              <w:spacing w:line="360" w:lineRule="auto"/>
              <w:jc w:val="both"/>
              <w:rPr>
                <w:rFonts w:ascii="Arial" w:hAnsi="Arial" w:cs="Arial"/>
                <w:sz w:val="16"/>
                <w:szCs w:val="16"/>
              </w:rPr>
            </w:pPr>
            <w:r w:rsidRPr="00FD4F1A">
              <w:rPr>
                <w:rFonts w:ascii="Arial" w:eastAsiaTheme="minorEastAsia" w:hAnsi="Arial" w:cs="Arial"/>
                <w:sz w:val="16"/>
                <w:szCs w:val="16"/>
              </w:rPr>
              <w:t>(1)</w:t>
            </w:r>
          </w:p>
        </w:tc>
      </w:tr>
      <w:tr w:rsidR="00C3628D" w:rsidRPr="00FD4F1A" w:rsidTr="001F5D44">
        <w:trPr>
          <w:trHeight w:val="592"/>
          <w:jc w:val="center"/>
        </w:trPr>
        <w:tc>
          <w:tcPr>
            <w:tcW w:w="0" w:type="auto"/>
          </w:tcPr>
          <w:p w:rsidR="001F5D44" w:rsidRPr="00FD4F1A" w:rsidRDefault="00C3628D" w:rsidP="00160351">
            <w:pPr>
              <w:tabs>
                <w:tab w:val="left" w:pos="4047"/>
              </w:tabs>
              <w:spacing w:line="360" w:lineRule="auto"/>
              <w:jc w:val="both"/>
              <w:rPr>
                <w:rFonts w:ascii="Arial" w:hAnsi="Arial" w:cs="Arial"/>
                <w:b/>
                <w:i/>
                <w:sz w:val="16"/>
                <w:szCs w:val="16"/>
              </w:rPr>
            </w:pPr>
            <w:r w:rsidRPr="00FD4F1A">
              <w:rPr>
                <w:rFonts w:ascii="Arial" w:hAnsi="Arial" w:cs="Arial"/>
                <w:b/>
                <w:i/>
                <w:sz w:val="16"/>
                <w:szCs w:val="16"/>
              </w:rPr>
              <w:lastRenderedPageBreak/>
              <w:t>Coats-Redfern method</w:t>
            </w:r>
            <w:r w:rsidR="00AF5FE1">
              <w:rPr>
                <w:rFonts w:ascii="Arial" w:hAnsi="Arial" w:cs="Arial"/>
                <w:b/>
                <w:i/>
                <w:sz w:val="16"/>
                <w:szCs w:val="16"/>
              </w:rPr>
              <w:t xml:space="preserve"> </w:t>
            </w:r>
            <w:r w:rsidRPr="00FD4F1A">
              <w:rPr>
                <w:rFonts w:ascii="Arial" w:hAnsi="Arial" w:cs="Arial"/>
                <w:b/>
                <w:i/>
                <w:sz w:val="16"/>
                <w:szCs w:val="16"/>
              </w:rPr>
              <w:t xml:space="preserve"> </w:t>
            </w:r>
            <w:r w:rsidRPr="00FD4F1A">
              <w:rPr>
                <w:rFonts w:ascii="Arial" w:hAnsi="Arial" w:cs="Arial"/>
                <w:b/>
                <w:i/>
                <w:sz w:val="16"/>
                <w:szCs w:val="16"/>
              </w:rPr>
              <w:fldChar w:fldCharType="begin"/>
            </w:r>
            <w:r w:rsidR="007819CF">
              <w:rPr>
                <w:rFonts w:ascii="Arial" w:hAnsi="Arial" w:cs="Arial"/>
                <w:b/>
                <w:i/>
                <w:sz w:val="16"/>
                <w:szCs w:val="16"/>
              </w:rPr>
              <w:instrText xml:space="preserve"> ADDIN ZOTERO_ITEM CSL_CITATION {"citationID":"A8DuCO1H","properties":{"formattedCitation":"[17]","plainCitation":"[17]","noteIndex":0},"citationItems":[{"id":"KL15DYhl/CxjG72ix","uris":["http://zotero.org/users/local/V8e1vJQi/items/N8VNIS2S"],"itemData":{"id":132,"type":"article-journal","abstract":"The orange and potato peels can be evaluated as raw materials in pyrolysis process to produce sustainable fuels and chemicals. The present study focuses on determining pyrolysis characteristics and kinetics of orange and potato peels. Thus, thermogravimetric analyses of said peels were studied from ambient temperature to 650°C at 2, 10 and 15°C/min heating rates under N2 atmosphere. The studies revealed that the thermal decomposition of orange peels occurs in four stages whereas potato peels decompose in three stages. The second and third stages of orange peel pyrolysis and the second stage of potato peel pyrolysis were determined as active pyrolysis stages. The kinetic parameters of active pyrolysis stages were calculated by direct Arrhenius plot, Coats-Redfern, Friedman and Kissinger-Akahira-Sunose methods. The average activation energies calculated by all methods were relatively in good agreement for second stages, but the same cannot be said for the third stage of orange peel pyrolysis. Considering the conversion values based on volatiles and the calculated average activation energy values, the orange and potato peels were projected to be valuable and sustainable energy sources which can be evaluated by pyrolysis process.","container-title":"Biomass Conversion and Biorefinery","DOI":"10.1007/s13399-021-01387-z","ISSN":"2190-6815, 2190-6823","issue":"2","journalAbbreviation":"Biomass Conv. Bioref.","language":"en","page":"501-514","source":"DOI.org (Crossref)","title":"Evaluation of orange and potato peels as an energy source: a comprehensive study on their pyrolysis characteristics and kinetics","title-short":"Evaluation of orange and potato peels as an energy source","volume":"12","author":[{"family":"Açıkalın","given":"Korkut"}],"issued":{"date-parts":[["2022",2]]}}}],"schema":"https://github.com/citation-style-language/schema/raw/master/csl-citation.json"} </w:instrText>
            </w:r>
            <w:r w:rsidRPr="00FD4F1A">
              <w:rPr>
                <w:rFonts w:ascii="Arial" w:hAnsi="Arial" w:cs="Arial"/>
                <w:b/>
                <w:i/>
                <w:sz w:val="16"/>
                <w:szCs w:val="16"/>
              </w:rPr>
              <w:fldChar w:fldCharType="separate"/>
            </w:r>
            <w:r w:rsidR="007819CF" w:rsidRPr="007819CF">
              <w:rPr>
                <w:rFonts w:ascii="Arial" w:hAnsi="Arial" w:cs="Arial"/>
                <w:sz w:val="16"/>
              </w:rPr>
              <w:t>[17]</w:t>
            </w:r>
            <w:r w:rsidRPr="00FD4F1A">
              <w:rPr>
                <w:rFonts w:ascii="Arial" w:hAnsi="Arial" w:cs="Arial"/>
                <w:b/>
                <w:i/>
                <w:sz w:val="16"/>
                <w:szCs w:val="16"/>
              </w:rPr>
              <w:fldChar w:fldCharType="end"/>
            </w:r>
          </w:p>
          <w:p w:rsidR="001F5D44" w:rsidRPr="00FD4F1A" w:rsidRDefault="001F5D44" w:rsidP="001F5D44">
            <w:pPr>
              <w:rPr>
                <w:rFonts w:ascii="Arial" w:hAnsi="Arial" w:cs="Arial"/>
                <w:sz w:val="16"/>
                <w:szCs w:val="16"/>
              </w:rPr>
            </w:pPr>
          </w:p>
          <w:p w:rsidR="001F5D44" w:rsidRPr="00FD4F1A" w:rsidRDefault="001F5D44" w:rsidP="001F5D44">
            <w:pPr>
              <w:rPr>
                <w:rFonts w:ascii="Arial" w:hAnsi="Arial" w:cs="Arial"/>
                <w:sz w:val="16"/>
                <w:szCs w:val="16"/>
              </w:rPr>
            </w:pPr>
          </w:p>
          <w:p w:rsidR="00C3628D" w:rsidRPr="00FD4F1A" w:rsidRDefault="00C3628D" w:rsidP="001F5D44">
            <w:pPr>
              <w:rPr>
                <w:rFonts w:ascii="Arial" w:hAnsi="Arial" w:cs="Arial"/>
                <w:sz w:val="16"/>
                <w:szCs w:val="16"/>
              </w:rPr>
            </w:pPr>
          </w:p>
        </w:tc>
        <w:tc>
          <w:tcPr>
            <w:tcW w:w="0" w:type="auto"/>
          </w:tcPr>
          <w:p w:rsidR="00C3628D" w:rsidRPr="00FD4F1A" w:rsidRDefault="00C3628D" w:rsidP="00160351">
            <w:pPr>
              <w:tabs>
                <w:tab w:val="left" w:pos="4047"/>
              </w:tabs>
              <w:spacing w:line="360" w:lineRule="auto"/>
              <w:jc w:val="both"/>
              <w:rPr>
                <w:rFonts w:ascii="Arial" w:hAnsi="Arial" w:cs="Arial"/>
                <w:sz w:val="16"/>
                <w:szCs w:val="16"/>
              </w:rPr>
            </w:pPr>
            <w:r w:rsidRPr="00FD4F1A">
              <w:rPr>
                <w:rFonts w:ascii="Arial" w:hAnsi="Arial" w:cs="Arial"/>
                <w:sz w:val="16"/>
                <w:szCs w:val="16"/>
              </w:rPr>
              <w:t>No-</w:t>
            </w:r>
            <w:proofErr w:type="spellStart"/>
            <w:r w:rsidRPr="00FD4F1A">
              <w:rPr>
                <w:rFonts w:ascii="Arial" w:hAnsi="Arial" w:cs="Arial"/>
                <w:sz w:val="16"/>
                <w:szCs w:val="16"/>
              </w:rPr>
              <w:t>Isoconversional</w:t>
            </w:r>
            <w:proofErr w:type="spellEnd"/>
          </w:p>
        </w:tc>
        <w:tc>
          <w:tcPr>
            <w:tcW w:w="0" w:type="auto"/>
          </w:tcPr>
          <w:p w:rsidR="00C3628D" w:rsidRPr="00FD4F1A" w:rsidRDefault="00B93841" w:rsidP="00160351">
            <w:pPr>
              <w:tabs>
                <w:tab w:val="left" w:pos="4047"/>
              </w:tabs>
              <w:spacing w:line="360" w:lineRule="auto"/>
              <w:jc w:val="both"/>
              <w:rPr>
                <w:rFonts w:ascii="Arial" w:eastAsiaTheme="minorEastAsia" w:hAnsi="Arial" w:cs="Arial"/>
                <w:sz w:val="16"/>
                <w:szCs w:val="16"/>
              </w:rPr>
            </w:pPr>
            <m:oMath>
              <m:func>
                <m:funcPr>
                  <m:ctrlPr>
                    <w:rPr>
                      <w:rFonts w:ascii="Cambria Math" w:hAnsi="Cambria Math" w:cs="Arial"/>
                      <w:sz w:val="16"/>
                      <w:szCs w:val="16"/>
                    </w:rPr>
                  </m:ctrlPr>
                </m:funcPr>
                <m:fName>
                  <m:r>
                    <m:rPr>
                      <m:sty m:val="p"/>
                    </m:rPr>
                    <w:rPr>
                      <w:rFonts w:ascii="Cambria Math" w:hAnsi="Cambria Math" w:cs="Arial"/>
                      <w:sz w:val="16"/>
                      <w:szCs w:val="16"/>
                    </w:rPr>
                    <m:t>ln</m:t>
                  </m:r>
                </m:fName>
                <m:e>
                  <m:d>
                    <m:dPr>
                      <m:ctrlPr>
                        <w:rPr>
                          <w:rFonts w:ascii="Cambria Math" w:hAnsi="Cambria Math" w:cs="Arial"/>
                          <w:sz w:val="16"/>
                          <w:szCs w:val="16"/>
                        </w:rPr>
                      </m:ctrlPr>
                    </m:dPr>
                    <m:e>
                      <m:f>
                        <m:fPr>
                          <m:ctrlPr>
                            <w:rPr>
                              <w:rFonts w:ascii="Cambria Math" w:hAnsi="Cambria Math" w:cs="Arial"/>
                              <w:sz w:val="16"/>
                              <w:szCs w:val="16"/>
                            </w:rPr>
                          </m:ctrlPr>
                        </m:fPr>
                        <m:num>
                          <m:r>
                            <m:rPr>
                              <m:sty m:val="p"/>
                            </m:rPr>
                            <w:rPr>
                              <w:rFonts w:ascii="Cambria Math" w:hAnsi="Cambria Math" w:cs="Arial"/>
                              <w:sz w:val="16"/>
                              <w:szCs w:val="16"/>
                            </w:rPr>
                            <m:t>-</m:t>
                          </m:r>
                          <m:func>
                            <m:funcPr>
                              <m:ctrlPr>
                                <w:rPr>
                                  <w:rFonts w:ascii="Cambria Math" w:hAnsi="Cambria Math" w:cs="Arial"/>
                                  <w:sz w:val="16"/>
                                  <w:szCs w:val="16"/>
                                </w:rPr>
                              </m:ctrlPr>
                            </m:funcPr>
                            <m:fName>
                              <m:r>
                                <w:rPr>
                                  <w:rFonts w:ascii="Cambria Math" w:hAnsi="Cambria Math" w:cs="Arial"/>
                                  <w:sz w:val="16"/>
                                  <w:szCs w:val="16"/>
                                </w:rPr>
                                <m:t>ln</m:t>
                              </m:r>
                            </m:fName>
                            <m:e>
                              <m:d>
                                <m:dPr>
                                  <m:ctrlPr>
                                    <w:rPr>
                                      <w:rFonts w:ascii="Cambria Math" w:hAnsi="Cambria Math" w:cs="Arial"/>
                                      <w:sz w:val="16"/>
                                      <w:szCs w:val="16"/>
                                    </w:rPr>
                                  </m:ctrlPr>
                                </m:dPr>
                                <m:e>
                                  <m:r>
                                    <m:rPr>
                                      <m:sty m:val="p"/>
                                    </m:rPr>
                                    <w:rPr>
                                      <w:rFonts w:ascii="Cambria Math" w:hAnsi="Cambria Math" w:cs="Arial"/>
                                      <w:sz w:val="16"/>
                                      <w:szCs w:val="16"/>
                                    </w:rPr>
                                    <m:t>1-</m:t>
                                  </m:r>
                                  <m:r>
                                    <w:rPr>
                                      <w:rFonts w:ascii="Cambria Math" w:hAnsi="Cambria Math" w:cs="Arial"/>
                                      <w:sz w:val="16"/>
                                      <w:szCs w:val="16"/>
                                    </w:rPr>
                                    <m:t>α</m:t>
                                  </m:r>
                                </m:e>
                              </m:d>
                            </m:e>
                          </m:func>
                        </m:num>
                        <m:den>
                          <m:sSup>
                            <m:sSupPr>
                              <m:ctrlPr>
                                <w:rPr>
                                  <w:rFonts w:ascii="Cambria Math" w:hAnsi="Cambria Math" w:cs="Arial"/>
                                  <w:sz w:val="16"/>
                                  <w:szCs w:val="16"/>
                                </w:rPr>
                              </m:ctrlPr>
                            </m:sSupPr>
                            <m:e>
                              <m:r>
                                <w:rPr>
                                  <w:rFonts w:ascii="Cambria Math" w:hAnsi="Cambria Math" w:cs="Arial"/>
                                  <w:sz w:val="16"/>
                                  <w:szCs w:val="16"/>
                                </w:rPr>
                                <m:t>T</m:t>
                              </m:r>
                            </m:e>
                            <m:sup>
                              <m:r>
                                <m:rPr>
                                  <m:sty m:val="p"/>
                                </m:rPr>
                                <w:rPr>
                                  <w:rFonts w:ascii="Cambria Math" w:hAnsi="Cambria Math" w:cs="Arial"/>
                                  <w:sz w:val="16"/>
                                  <w:szCs w:val="16"/>
                                </w:rPr>
                                <m:t>2</m:t>
                              </m:r>
                            </m:sup>
                          </m:sSup>
                        </m:den>
                      </m:f>
                    </m:e>
                  </m:d>
                </m:e>
              </m:func>
              <m:r>
                <m:rPr>
                  <m:sty m:val="p"/>
                </m:rPr>
                <w:rPr>
                  <w:rFonts w:ascii="Cambria Math" w:hAnsi="Cambria Math" w:cs="Arial"/>
                  <w:sz w:val="16"/>
                  <w:szCs w:val="16"/>
                </w:rPr>
                <m:t>=</m:t>
              </m:r>
              <m:func>
                <m:funcPr>
                  <m:ctrlPr>
                    <w:rPr>
                      <w:rFonts w:ascii="Cambria Math" w:hAnsi="Cambria Math" w:cs="Arial"/>
                      <w:sz w:val="16"/>
                      <w:szCs w:val="16"/>
                    </w:rPr>
                  </m:ctrlPr>
                </m:funcPr>
                <m:fName>
                  <m:r>
                    <m:rPr>
                      <m:sty m:val="p"/>
                    </m:rPr>
                    <w:rPr>
                      <w:rFonts w:ascii="Cambria Math" w:hAnsi="Cambria Math" w:cs="Arial"/>
                      <w:sz w:val="16"/>
                      <w:szCs w:val="16"/>
                    </w:rPr>
                    <m:t>ln</m:t>
                  </m:r>
                </m:fName>
                <m:e>
                  <m:r>
                    <m:rPr>
                      <m:sty m:val="p"/>
                    </m:rPr>
                    <w:rPr>
                      <w:rFonts w:ascii="Cambria Math" w:hAnsi="Cambria Math" w:cs="Arial"/>
                      <w:sz w:val="16"/>
                      <w:szCs w:val="16"/>
                    </w:rPr>
                    <m:t>(</m:t>
                  </m:r>
                  <m:f>
                    <m:fPr>
                      <m:ctrlPr>
                        <w:rPr>
                          <w:rFonts w:ascii="Cambria Math" w:hAnsi="Cambria Math" w:cs="Arial"/>
                          <w:sz w:val="16"/>
                          <w:szCs w:val="16"/>
                        </w:rPr>
                      </m:ctrlPr>
                    </m:fPr>
                    <m:num>
                      <m:r>
                        <w:rPr>
                          <w:rFonts w:ascii="Cambria Math" w:hAnsi="Cambria Math" w:cs="Arial"/>
                          <w:sz w:val="16"/>
                          <w:szCs w:val="16"/>
                        </w:rPr>
                        <m:t>AR</m:t>
                      </m:r>
                    </m:num>
                    <m:den>
                      <m:r>
                        <w:rPr>
                          <w:rFonts w:ascii="Cambria Math" w:hAnsi="Cambria Math" w:cs="Arial"/>
                          <w:sz w:val="16"/>
                          <w:szCs w:val="16"/>
                        </w:rPr>
                        <m:t>β</m:t>
                      </m:r>
                      <m:sSub>
                        <m:sSubPr>
                          <m:ctrlPr>
                            <w:rPr>
                              <w:rFonts w:ascii="Cambria Math" w:hAnsi="Cambria Math" w:cs="Arial"/>
                              <w:sz w:val="16"/>
                              <w:szCs w:val="16"/>
                            </w:rPr>
                          </m:ctrlPr>
                        </m:sSubPr>
                        <m:e>
                          <m:r>
                            <w:rPr>
                              <w:rFonts w:ascii="Cambria Math" w:hAnsi="Cambria Math" w:cs="Arial"/>
                              <w:sz w:val="16"/>
                              <w:szCs w:val="16"/>
                            </w:rPr>
                            <m:t>E</m:t>
                          </m:r>
                        </m:e>
                        <m:sub>
                          <m:r>
                            <w:rPr>
                              <w:rFonts w:ascii="Cambria Math" w:hAnsi="Cambria Math" w:cs="Arial"/>
                              <w:sz w:val="16"/>
                              <w:szCs w:val="16"/>
                            </w:rPr>
                            <m:t>a</m:t>
                          </m:r>
                        </m:sub>
                      </m:sSub>
                    </m:den>
                  </m:f>
                </m:e>
              </m:func>
            </m:oMath>
            <w:r w:rsidR="00C3628D" w:rsidRPr="00FD4F1A">
              <w:rPr>
                <w:rFonts w:ascii="Arial" w:hAnsi="Arial" w:cs="Arial"/>
                <w:sz w:val="16"/>
                <w:szCs w:val="16"/>
              </w:rPr>
              <w:t>) -</w:t>
            </w:r>
            <m:oMath>
              <m:f>
                <m:fPr>
                  <m:ctrlPr>
                    <w:rPr>
                      <w:rFonts w:ascii="Cambria Math" w:hAnsi="Cambria Math" w:cs="Arial"/>
                      <w:sz w:val="16"/>
                      <w:szCs w:val="16"/>
                    </w:rPr>
                  </m:ctrlPr>
                </m:fPr>
                <m:num>
                  <m:sSub>
                    <m:sSubPr>
                      <m:ctrlPr>
                        <w:rPr>
                          <w:rFonts w:ascii="Cambria Math" w:hAnsi="Cambria Math" w:cs="Arial"/>
                          <w:sz w:val="16"/>
                          <w:szCs w:val="16"/>
                        </w:rPr>
                      </m:ctrlPr>
                    </m:sSubPr>
                    <m:e>
                      <m:r>
                        <w:rPr>
                          <w:rFonts w:ascii="Cambria Math" w:hAnsi="Cambria Math" w:cs="Arial"/>
                          <w:sz w:val="16"/>
                          <w:szCs w:val="16"/>
                        </w:rPr>
                        <m:t>E</m:t>
                      </m:r>
                    </m:e>
                    <m:sub>
                      <m:r>
                        <w:rPr>
                          <w:rFonts w:ascii="Cambria Math" w:hAnsi="Cambria Math" w:cs="Arial"/>
                          <w:sz w:val="16"/>
                          <w:szCs w:val="16"/>
                        </w:rPr>
                        <m:t>a</m:t>
                      </m:r>
                    </m:sub>
                  </m:sSub>
                </m:num>
                <m:den>
                  <m:r>
                    <w:rPr>
                      <w:rFonts w:ascii="Cambria Math" w:hAnsi="Cambria Math" w:cs="Arial"/>
                      <w:sz w:val="16"/>
                      <w:szCs w:val="16"/>
                    </w:rPr>
                    <m:t>RT</m:t>
                  </m:r>
                </m:den>
              </m:f>
            </m:oMath>
            <w:r w:rsidR="00C3628D" w:rsidRPr="00FD4F1A">
              <w:rPr>
                <w:rFonts w:ascii="Arial" w:eastAsiaTheme="minorEastAsia" w:hAnsi="Arial" w:cs="Arial"/>
                <w:sz w:val="16"/>
                <w:szCs w:val="16"/>
              </w:rPr>
              <w:t xml:space="preserve">  </w:t>
            </w:r>
          </w:p>
          <w:p w:rsidR="00C3628D" w:rsidRPr="00FD4F1A" w:rsidRDefault="00C3628D" w:rsidP="00160351">
            <w:pPr>
              <w:tabs>
                <w:tab w:val="left" w:pos="4047"/>
              </w:tabs>
              <w:spacing w:line="360" w:lineRule="auto"/>
              <w:jc w:val="both"/>
              <w:rPr>
                <w:rFonts w:ascii="Arial" w:hAnsi="Arial" w:cs="Arial"/>
                <w:sz w:val="16"/>
                <w:szCs w:val="16"/>
              </w:rPr>
            </w:pPr>
            <w:r w:rsidRPr="00FD4F1A">
              <w:rPr>
                <w:rFonts w:ascii="Arial" w:eastAsiaTheme="minorEastAsia" w:hAnsi="Arial" w:cs="Arial"/>
                <w:sz w:val="16"/>
                <w:szCs w:val="16"/>
              </w:rPr>
              <w:t>(2)</w:t>
            </w:r>
          </w:p>
        </w:tc>
      </w:tr>
      <w:tr w:rsidR="00C3628D" w:rsidRPr="00FD4F1A" w:rsidTr="001F5D44">
        <w:trPr>
          <w:trHeight w:val="760"/>
          <w:jc w:val="center"/>
        </w:trPr>
        <w:tc>
          <w:tcPr>
            <w:tcW w:w="0" w:type="auto"/>
          </w:tcPr>
          <w:p w:rsidR="00C3628D" w:rsidRPr="00FD4F1A" w:rsidRDefault="00C3628D" w:rsidP="00160351">
            <w:pPr>
              <w:tabs>
                <w:tab w:val="left" w:pos="4047"/>
              </w:tabs>
              <w:spacing w:line="360" w:lineRule="auto"/>
              <w:jc w:val="both"/>
              <w:rPr>
                <w:rFonts w:ascii="Arial" w:hAnsi="Arial" w:cs="Arial"/>
                <w:b/>
                <w:i/>
                <w:sz w:val="16"/>
                <w:szCs w:val="16"/>
              </w:rPr>
            </w:pPr>
            <w:r w:rsidRPr="00FD4F1A">
              <w:rPr>
                <w:rFonts w:ascii="Arial" w:hAnsi="Arial" w:cs="Arial"/>
                <w:b/>
                <w:i/>
                <w:sz w:val="16"/>
                <w:szCs w:val="16"/>
              </w:rPr>
              <w:t xml:space="preserve">Flynn-Wall-Ozawa (FWO) method </w:t>
            </w:r>
            <w:r w:rsidRPr="00FD4F1A">
              <w:rPr>
                <w:rFonts w:ascii="Arial" w:hAnsi="Arial" w:cs="Arial"/>
                <w:b/>
                <w:i/>
                <w:sz w:val="16"/>
                <w:szCs w:val="16"/>
              </w:rPr>
              <w:fldChar w:fldCharType="begin"/>
            </w:r>
            <w:r w:rsidR="007819CF">
              <w:rPr>
                <w:rFonts w:ascii="Arial" w:hAnsi="Arial" w:cs="Arial"/>
                <w:b/>
                <w:i/>
                <w:sz w:val="16"/>
                <w:szCs w:val="16"/>
              </w:rPr>
              <w:instrText xml:space="preserve"> ADDIN ZOTERO_ITEM CSL_CITATION {"citationID":"tjK1r2WO","properties":{"formattedCitation":"[18]","plainCitation":"[18]","noteIndex":0},"citationItems":[{"id":"KL15DYhl/cIviieo5","uris":["http://zotero.org/users/local/V8e1vJQi/items/7I5IM4TE"],"itemData":{"id":32,"type":"article-journal","abstract":"The energy systems of isolated areas are diﬀerent from the stable energy systems of mainland areas. The particularity of isolated areas creates more risks for their energy systems planning, and the isolated areas can be considered to be a more speciﬁc analysis target than mainland areas. Various energy models and systems have been developed and applied in isolated areas. The major objective of this study is to provide a comprehensive literature review to identify, classify, evaluate and analyze the performance of diﬀerent methodologies, models and energy systems for isolated areas. Therefore, eﬀective information could be provided to support decisionmaking toward to appropriate energy models and systems for isolated areas with diﬀerent scales and demands. This paper reviewed the forecasting techniques of energy demand and renewable energy (RE) resources, energy models, application of hybrid RE systems (HRESs), and management of energy planning for two most representative isolated areas: islands and remote villages. The uncertainty analysis of energy systems of isolated areas is also discussed. It is evident that the indigenous RE resources show great potentials for the energy system of isolated areas, especially the solar and wind resources. The various combinations of photovoltaic (PV), wind, diesel and batteries have been proven more competitive. Also, it is necessary to develop sophisticated models that are more applicable to isolated areas and that consider the distinctive characteristics, practical needs and uncertainties of isolated areas.","container-title":"Renewable and Sustainable Energy Reviews","DOI":"10.1016/j.rser.2017.09.063","ISSN":"13640321","journalAbbreviation":"Renewable and Sustainable Energy Reviews","language":"en","page":"460-470","source":"DOI.org (Crossref)","title":"Modeling, planning, application and management of energy systems for isolated areas: A review","title-short":"Modeling, planning, application and management of energy systems for isolated areas","volume":"82","author":[{"family":"Liu","given":"Yanfeng"},{"family":"Yu","given":"Sisi"},{"family":"Zhu","given":"Ying"},{"family":"Wang","given":"Dengjia"},{"family":"Liu","given":"Jiaping"}],"issued":{"date-parts":[["2018",2]]}}}],"schema":"https://github.com/citation-style-language/schema/raw/master/csl-citation.json"} </w:instrText>
            </w:r>
            <w:r w:rsidRPr="00FD4F1A">
              <w:rPr>
                <w:rFonts w:ascii="Arial" w:hAnsi="Arial" w:cs="Arial"/>
                <w:b/>
                <w:i/>
                <w:sz w:val="16"/>
                <w:szCs w:val="16"/>
              </w:rPr>
              <w:fldChar w:fldCharType="separate"/>
            </w:r>
            <w:r w:rsidR="007819CF" w:rsidRPr="007819CF">
              <w:rPr>
                <w:rFonts w:ascii="Arial" w:hAnsi="Arial" w:cs="Arial"/>
                <w:sz w:val="16"/>
              </w:rPr>
              <w:t>[18]</w:t>
            </w:r>
            <w:r w:rsidRPr="00FD4F1A">
              <w:rPr>
                <w:rFonts w:ascii="Arial" w:hAnsi="Arial" w:cs="Arial"/>
                <w:b/>
                <w:i/>
                <w:sz w:val="16"/>
                <w:szCs w:val="16"/>
              </w:rPr>
              <w:fldChar w:fldCharType="end"/>
            </w:r>
          </w:p>
        </w:tc>
        <w:tc>
          <w:tcPr>
            <w:tcW w:w="0" w:type="auto"/>
          </w:tcPr>
          <w:p w:rsidR="00C3628D" w:rsidRPr="00FD4F1A" w:rsidRDefault="00C3628D" w:rsidP="00160351">
            <w:pPr>
              <w:tabs>
                <w:tab w:val="left" w:pos="4047"/>
              </w:tabs>
              <w:spacing w:line="360" w:lineRule="auto"/>
              <w:jc w:val="both"/>
              <w:rPr>
                <w:rFonts w:ascii="Arial" w:hAnsi="Arial" w:cs="Arial"/>
                <w:sz w:val="16"/>
                <w:szCs w:val="16"/>
              </w:rPr>
            </w:pPr>
            <w:proofErr w:type="spellStart"/>
            <w:r w:rsidRPr="00FD4F1A">
              <w:rPr>
                <w:rFonts w:ascii="Arial" w:hAnsi="Arial" w:cs="Arial"/>
                <w:sz w:val="16"/>
                <w:szCs w:val="16"/>
              </w:rPr>
              <w:t>isoconversional</w:t>
            </w:r>
            <w:proofErr w:type="spellEnd"/>
          </w:p>
        </w:tc>
        <w:tc>
          <w:tcPr>
            <w:tcW w:w="0" w:type="auto"/>
          </w:tcPr>
          <w:p w:rsidR="00C3628D" w:rsidRPr="00FD4F1A" w:rsidRDefault="00B93841" w:rsidP="00160351">
            <w:pPr>
              <w:tabs>
                <w:tab w:val="left" w:pos="4047"/>
              </w:tabs>
              <w:spacing w:line="360" w:lineRule="auto"/>
              <w:jc w:val="both"/>
              <w:rPr>
                <w:rFonts w:ascii="Arial" w:hAnsi="Arial" w:cs="Arial"/>
                <w:sz w:val="16"/>
                <w:szCs w:val="16"/>
              </w:rPr>
            </w:pPr>
            <m:oMath>
              <m:func>
                <m:funcPr>
                  <m:ctrlPr>
                    <w:rPr>
                      <w:rFonts w:ascii="Cambria Math" w:hAnsi="Cambria Math" w:cs="Arial"/>
                      <w:sz w:val="16"/>
                      <w:szCs w:val="16"/>
                    </w:rPr>
                  </m:ctrlPr>
                </m:funcPr>
                <m:fName>
                  <m:r>
                    <m:rPr>
                      <m:sty m:val="p"/>
                    </m:rPr>
                    <w:rPr>
                      <w:rFonts w:ascii="Cambria Math" w:hAnsi="Cambria Math" w:cs="Arial"/>
                      <w:sz w:val="16"/>
                      <w:szCs w:val="16"/>
                    </w:rPr>
                    <m:t>log</m:t>
                  </m:r>
                </m:fName>
                <m:e>
                  <m:d>
                    <m:dPr>
                      <m:ctrlPr>
                        <w:rPr>
                          <w:rFonts w:ascii="Cambria Math" w:hAnsi="Cambria Math" w:cs="Arial"/>
                          <w:sz w:val="16"/>
                          <w:szCs w:val="16"/>
                        </w:rPr>
                      </m:ctrlPr>
                    </m:dPr>
                    <m:e>
                      <m:r>
                        <m:rPr>
                          <m:sty m:val="p"/>
                        </m:rPr>
                        <w:rPr>
                          <w:rFonts w:ascii="Cambria Math" w:hAnsi="Cambria Math" w:cs="Arial"/>
                          <w:sz w:val="16"/>
                          <w:szCs w:val="16"/>
                        </w:rPr>
                        <m:t>β</m:t>
                      </m:r>
                    </m:e>
                  </m:d>
                  <m:r>
                    <w:rPr>
                      <w:rFonts w:ascii="Cambria Math" w:hAnsi="Cambria Math" w:cs="Arial"/>
                      <w:sz w:val="16"/>
                      <w:szCs w:val="16"/>
                    </w:rPr>
                    <m:t>=</m:t>
                  </m:r>
                </m:e>
              </m:func>
              <m:func>
                <m:funcPr>
                  <m:ctrlPr>
                    <w:rPr>
                      <w:rFonts w:ascii="Cambria Math" w:hAnsi="Cambria Math" w:cs="Arial"/>
                      <w:sz w:val="16"/>
                      <w:szCs w:val="16"/>
                    </w:rPr>
                  </m:ctrlPr>
                </m:funcPr>
                <m:fName>
                  <m:r>
                    <m:rPr>
                      <m:sty m:val="p"/>
                    </m:rPr>
                    <w:rPr>
                      <w:rFonts w:ascii="Cambria Math" w:hAnsi="Cambria Math" w:cs="Arial"/>
                      <w:sz w:val="16"/>
                      <w:szCs w:val="16"/>
                    </w:rPr>
                    <m:t>log</m:t>
                  </m:r>
                </m:fName>
                <m:e>
                  <m:d>
                    <m:dPr>
                      <m:ctrlPr>
                        <w:rPr>
                          <w:rFonts w:ascii="Cambria Math" w:hAnsi="Cambria Math" w:cs="Arial"/>
                          <w:sz w:val="16"/>
                          <w:szCs w:val="16"/>
                        </w:rPr>
                      </m:ctrlPr>
                    </m:dPr>
                    <m:e>
                      <m:f>
                        <m:fPr>
                          <m:ctrlPr>
                            <w:rPr>
                              <w:rFonts w:ascii="Cambria Math" w:hAnsi="Cambria Math" w:cs="Arial"/>
                              <w:sz w:val="16"/>
                              <w:szCs w:val="16"/>
                            </w:rPr>
                          </m:ctrlPr>
                        </m:fPr>
                        <m:num>
                          <m:r>
                            <w:rPr>
                              <w:rFonts w:ascii="Cambria Math" w:hAnsi="Cambria Math" w:cs="Arial"/>
                              <w:sz w:val="16"/>
                              <w:szCs w:val="16"/>
                            </w:rPr>
                            <m:t>A</m:t>
                          </m:r>
                          <m:sSub>
                            <m:sSubPr>
                              <m:ctrlPr>
                                <w:rPr>
                                  <w:rFonts w:ascii="Cambria Math" w:hAnsi="Cambria Math" w:cs="Arial"/>
                                  <w:sz w:val="16"/>
                                  <w:szCs w:val="16"/>
                                </w:rPr>
                              </m:ctrlPr>
                            </m:sSubPr>
                            <m:e>
                              <m:r>
                                <w:rPr>
                                  <w:rFonts w:ascii="Cambria Math" w:hAnsi="Cambria Math" w:cs="Arial"/>
                                  <w:sz w:val="16"/>
                                  <w:szCs w:val="16"/>
                                </w:rPr>
                                <m:t>E</m:t>
                              </m:r>
                            </m:e>
                            <m:sub>
                              <m:r>
                                <w:rPr>
                                  <w:rFonts w:ascii="Cambria Math" w:hAnsi="Cambria Math" w:cs="Arial"/>
                                  <w:sz w:val="16"/>
                                  <w:szCs w:val="16"/>
                                </w:rPr>
                                <m:t>a</m:t>
                              </m:r>
                            </m:sub>
                          </m:sSub>
                        </m:num>
                        <m:den>
                          <m:r>
                            <w:rPr>
                              <w:rFonts w:ascii="Cambria Math" w:hAnsi="Cambria Math" w:cs="Arial"/>
                              <w:sz w:val="16"/>
                              <w:szCs w:val="16"/>
                            </w:rPr>
                            <m:t>RG</m:t>
                          </m:r>
                          <m:d>
                            <m:dPr>
                              <m:ctrlPr>
                                <w:rPr>
                                  <w:rFonts w:ascii="Cambria Math" w:hAnsi="Cambria Math" w:cs="Arial"/>
                                  <w:sz w:val="16"/>
                                  <w:szCs w:val="16"/>
                                </w:rPr>
                              </m:ctrlPr>
                            </m:dPr>
                            <m:e>
                              <m:r>
                                <w:rPr>
                                  <w:rFonts w:ascii="Cambria Math" w:hAnsi="Cambria Math" w:cs="Arial"/>
                                  <w:sz w:val="16"/>
                                  <w:szCs w:val="16"/>
                                </w:rPr>
                                <m:t>α</m:t>
                              </m:r>
                            </m:e>
                          </m:d>
                        </m:den>
                      </m:f>
                    </m:e>
                  </m:d>
                </m:e>
              </m:func>
              <m:r>
                <m:rPr>
                  <m:sty m:val="p"/>
                </m:rPr>
                <w:rPr>
                  <w:rFonts w:ascii="Cambria Math" w:hAnsi="Cambria Math" w:cs="Arial"/>
                  <w:sz w:val="16"/>
                  <w:szCs w:val="16"/>
                </w:rPr>
                <m:t xml:space="preserve">=2,315-0,4567 </m:t>
              </m:r>
              <m:f>
                <m:fPr>
                  <m:ctrlPr>
                    <w:rPr>
                      <w:rFonts w:ascii="Cambria Math" w:hAnsi="Cambria Math" w:cs="Arial"/>
                      <w:sz w:val="16"/>
                      <w:szCs w:val="16"/>
                    </w:rPr>
                  </m:ctrlPr>
                </m:fPr>
                <m:num>
                  <m:sSub>
                    <m:sSubPr>
                      <m:ctrlPr>
                        <w:rPr>
                          <w:rFonts w:ascii="Cambria Math" w:hAnsi="Cambria Math" w:cs="Arial"/>
                          <w:sz w:val="16"/>
                          <w:szCs w:val="16"/>
                        </w:rPr>
                      </m:ctrlPr>
                    </m:sSubPr>
                    <m:e>
                      <m:r>
                        <w:rPr>
                          <w:rFonts w:ascii="Cambria Math" w:hAnsi="Cambria Math" w:cs="Arial"/>
                          <w:sz w:val="16"/>
                          <w:szCs w:val="16"/>
                        </w:rPr>
                        <m:t>E</m:t>
                      </m:r>
                    </m:e>
                    <m:sub>
                      <m:r>
                        <w:rPr>
                          <w:rFonts w:ascii="Cambria Math" w:hAnsi="Cambria Math" w:cs="Arial"/>
                          <w:sz w:val="16"/>
                          <w:szCs w:val="16"/>
                        </w:rPr>
                        <m:t>a</m:t>
                      </m:r>
                    </m:sub>
                  </m:sSub>
                </m:num>
                <m:den>
                  <m:r>
                    <w:rPr>
                      <w:rFonts w:ascii="Cambria Math" w:hAnsi="Cambria Math" w:cs="Arial"/>
                      <w:sz w:val="16"/>
                      <w:szCs w:val="16"/>
                    </w:rPr>
                    <m:t>RT</m:t>
                  </m:r>
                </m:den>
              </m:f>
            </m:oMath>
            <w:r w:rsidR="00C3628D" w:rsidRPr="00FD4F1A">
              <w:rPr>
                <w:rFonts w:ascii="Arial" w:eastAsiaTheme="minorEastAsia" w:hAnsi="Arial" w:cs="Arial"/>
                <w:sz w:val="16"/>
                <w:szCs w:val="16"/>
              </w:rPr>
              <w:t xml:space="preserve">  (3)</w:t>
            </w:r>
          </w:p>
        </w:tc>
      </w:tr>
      <w:tr w:rsidR="00C3628D" w:rsidRPr="00FD4F1A" w:rsidTr="001F5D44">
        <w:trPr>
          <w:trHeight w:val="544"/>
          <w:jc w:val="center"/>
        </w:trPr>
        <w:tc>
          <w:tcPr>
            <w:tcW w:w="0" w:type="auto"/>
          </w:tcPr>
          <w:p w:rsidR="00C3628D" w:rsidRPr="00FD4F1A" w:rsidRDefault="00C3628D" w:rsidP="00160351">
            <w:pPr>
              <w:tabs>
                <w:tab w:val="left" w:pos="4047"/>
              </w:tabs>
              <w:spacing w:line="360" w:lineRule="auto"/>
              <w:jc w:val="both"/>
              <w:rPr>
                <w:rFonts w:ascii="Arial" w:hAnsi="Arial" w:cs="Arial"/>
                <w:b/>
                <w:i/>
                <w:sz w:val="16"/>
                <w:szCs w:val="16"/>
              </w:rPr>
            </w:pPr>
            <w:r w:rsidRPr="00FD4F1A">
              <w:rPr>
                <w:rFonts w:ascii="Arial" w:hAnsi="Arial" w:cs="Arial"/>
                <w:b/>
                <w:i/>
                <w:sz w:val="16"/>
                <w:szCs w:val="16"/>
              </w:rPr>
              <w:t>Kissin</w:t>
            </w:r>
            <w:r w:rsidR="00701090">
              <w:rPr>
                <w:rFonts w:ascii="Arial" w:hAnsi="Arial" w:cs="Arial"/>
                <w:b/>
                <w:i/>
                <w:sz w:val="16"/>
                <w:szCs w:val="16"/>
              </w:rPr>
              <w:t>ger-Akahira-Sunose (KAS) method</w:t>
            </w:r>
            <w:r w:rsidRPr="00FD4F1A">
              <w:rPr>
                <w:rFonts w:ascii="Arial" w:hAnsi="Arial" w:cs="Arial"/>
                <w:b/>
                <w:i/>
                <w:sz w:val="16"/>
                <w:szCs w:val="16"/>
              </w:rPr>
              <w:t xml:space="preserve"> </w:t>
            </w:r>
            <w:r w:rsidRPr="00FD4F1A">
              <w:rPr>
                <w:rFonts w:ascii="Arial" w:hAnsi="Arial" w:cs="Arial"/>
                <w:b/>
                <w:i/>
                <w:sz w:val="16"/>
                <w:szCs w:val="16"/>
              </w:rPr>
              <w:fldChar w:fldCharType="begin"/>
            </w:r>
            <w:r w:rsidR="007819CF">
              <w:rPr>
                <w:rFonts w:ascii="Arial" w:hAnsi="Arial" w:cs="Arial"/>
                <w:b/>
                <w:i/>
                <w:sz w:val="16"/>
                <w:szCs w:val="16"/>
              </w:rPr>
              <w:instrText xml:space="preserve"> ADDIN ZOTERO_ITEM CSL_CITATION {"citationID":"GSpGGqGm","properties":{"formattedCitation":"[13]","plainCitation":"[13]","noteIndex":0},"citationItems":[{"id":"KL15DYhl/8qaYRM9T","uris":["http://zotero.org/users/local/V8e1vJQi/items/NH5AQUEJ"],"itemData":{"id":49,"type":"article-journal","abstract":"Isoconversional methods are commonly used to process the thermogravimetric analysis (TGA) data and to simultaneously obtain the eﬀective activation energies for lignocellulosic biomass pyrolysis. However, the widely used isoconversional methods may lead to some systematic problems, for example, numerical instability for the Friedman method and signiﬁcant errors in the kinetic parameters for the Flynn−Wall−Ozawa and Kissinger−Akahira−Sunose methods. To avoid the above problems, a modiﬁed Friedman isoconversional method has been developed in this work to accurately determine eﬀective activation energies for solid-state reactions, such as biomass pyrolysis reactions. Through processing theoretically simulated data of strongly varying activation energy, the modiﬁed method applying for narrow intervals of conversion degree was proven to be capable of calculating the conversion dependence of activation energy accurately and reducing the eﬀect of data noise. The modiﬁed Friedman isoconversional method was employed to process the non-isothermal TGA data of wheat straw pyrolysis at heating rates of 2.5, 5, 10, and 20 K min−1 and the kinetic data of beech sawdust pyrolysis at 5, 10, and 20 K min−1 from the literature. The results showed that the eﬀective activation energies for the pyrolysis of wheat straw and beech sawdust varied signiﬁcantly with the degree of conversion (in the conversion range from 0.05 to 0.85, the eﬀective activation energies for wheat straw pyrolysis varied from 154 to 379 kJ mol−1, while 155−316 kJ mol−1 was reported for beech sawdust pyrolysis).","DOI":"10.1021/acs.energyfuels.0c00275","ISSN":"0887-0624, 1520-5029","issue":"4","journalAbbreviation":"Energy Fuels","language":"en","license":"https://doi.org/10.15223/policy-029","page":"4874-4881","source":"DOI.org (Crossref)","title":"Insight into Pyrolysis Kinetics of Lignocellulosic Biomass: Isoconversional Kinetic Analysis by the Modified Friedman Method","title-short":"Insight into Pyrolysis Kinetics of Lignocellulosic Biomass","volume":"34","author":[{"family":"Luo","given":"Laipeng"},{"family":"Guo","given":"Xiaojuan"},{"family":"Zhang","given":"Zhen"},{"family":"Chai","given":"Meiyun"},{"family":"Rahman","given":"Md. Maksudur"},{"family":"Zhang","given":"Xingguang"},{"family":"Cai","given":"Junmeng"}],"issued":{"date-parts":[["2020",4,16]]}}}],"schema":"https://github.com/citation-style-language/schema/raw/master/csl-citation.json"} </w:instrText>
            </w:r>
            <w:r w:rsidRPr="00FD4F1A">
              <w:rPr>
                <w:rFonts w:ascii="Arial" w:hAnsi="Arial" w:cs="Arial"/>
                <w:b/>
                <w:i/>
                <w:sz w:val="16"/>
                <w:szCs w:val="16"/>
              </w:rPr>
              <w:fldChar w:fldCharType="separate"/>
            </w:r>
            <w:r w:rsidR="007819CF" w:rsidRPr="007819CF">
              <w:rPr>
                <w:rFonts w:ascii="Arial" w:hAnsi="Arial" w:cs="Arial"/>
                <w:sz w:val="16"/>
              </w:rPr>
              <w:t>[13]</w:t>
            </w:r>
            <w:r w:rsidRPr="00FD4F1A">
              <w:rPr>
                <w:rFonts w:ascii="Arial" w:hAnsi="Arial" w:cs="Arial"/>
                <w:b/>
                <w:i/>
                <w:sz w:val="16"/>
                <w:szCs w:val="16"/>
              </w:rPr>
              <w:fldChar w:fldCharType="end"/>
            </w:r>
          </w:p>
        </w:tc>
        <w:tc>
          <w:tcPr>
            <w:tcW w:w="0" w:type="auto"/>
          </w:tcPr>
          <w:p w:rsidR="00C3628D" w:rsidRPr="00FD4F1A" w:rsidRDefault="00C3628D" w:rsidP="00160351">
            <w:pPr>
              <w:tabs>
                <w:tab w:val="left" w:pos="4047"/>
              </w:tabs>
              <w:spacing w:line="360" w:lineRule="auto"/>
              <w:jc w:val="both"/>
              <w:rPr>
                <w:rFonts w:ascii="Arial" w:hAnsi="Arial" w:cs="Arial"/>
                <w:sz w:val="16"/>
                <w:szCs w:val="16"/>
              </w:rPr>
            </w:pPr>
            <w:proofErr w:type="spellStart"/>
            <w:r w:rsidRPr="00FD4F1A">
              <w:rPr>
                <w:rFonts w:ascii="Arial" w:hAnsi="Arial" w:cs="Arial"/>
                <w:sz w:val="16"/>
                <w:szCs w:val="16"/>
              </w:rPr>
              <w:t>isoconversional</w:t>
            </w:r>
            <w:proofErr w:type="spellEnd"/>
          </w:p>
        </w:tc>
        <w:tc>
          <w:tcPr>
            <w:tcW w:w="0" w:type="auto"/>
          </w:tcPr>
          <w:p w:rsidR="00C3628D" w:rsidRPr="00FD4F1A" w:rsidRDefault="00B93841" w:rsidP="00160351">
            <w:pPr>
              <w:tabs>
                <w:tab w:val="left" w:pos="4047"/>
              </w:tabs>
              <w:spacing w:line="360" w:lineRule="auto"/>
              <w:jc w:val="both"/>
              <w:rPr>
                <w:rFonts w:ascii="Arial" w:eastAsiaTheme="minorEastAsia" w:hAnsi="Arial" w:cs="Arial"/>
                <w:sz w:val="16"/>
                <w:szCs w:val="16"/>
              </w:rPr>
            </w:pPr>
            <m:oMath>
              <m:func>
                <m:funcPr>
                  <m:ctrlPr>
                    <w:rPr>
                      <w:rFonts w:ascii="Cambria Math" w:hAnsi="Cambria Math" w:cs="Arial"/>
                      <w:sz w:val="16"/>
                      <w:szCs w:val="16"/>
                    </w:rPr>
                  </m:ctrlPr>
                </m:funcPr>
                <m:fName>
                  <m:r>
                    <m:rPr>
                      <m:sty m:val="p"/>
                    </m:rPr>
                    <w:rPr>
                      <w:rFonts w:ascii="Cambria Math" w:hAnsi="Cambria Math" w:cs="Arial"/>
                      <w:sz w:val="16"/>
                      <w:szCs w:val="16"/>
                    </w:rPr>
                    <m:t>ln</m:t>
                  </m:r>
                </m:fName>
                <m:e>
                  <m:d>
                    <m:dPr>
                      <m:ctrlPr>
                        <w:rPr>
                          <w:rFonts w:ascii="Cambria Math" w:hAnsi="Cambria Math" w:cs="Arial"/>
                          <w:sz w:val="16"/>
                          <w:szCs w:val="16"/>
                        </w:rPr>
                      </m:ctrlPr>
                    </m:dPr>
                    <m:e>
                      <m:f>
                        <m:fPr>
                          <m:ctrlPr>
                            <w:rPr>
                              <w:rFonts w:ascii="Cambria Math" w:hAnsi="Cambria Math" w:cs="Arial"/>
                              <w:sz w:val="16"/>
                              <w:szCs w:val="16"/>
                            </w:rPr>
                          </m:ctrlPr>
                        </m:fPr>
                        <m:num>
                          <m:r>
                            <w:rPr>
                              <w:rFonts w:ascii="Cambria Math" w:hAnsi="Cambria Math" w:cs="Arial"/>
                              <w:sz w:val="16"/>
                              <w:szCs w:val="16"/>
                            </w:rPr>
                            <m:t>β</m:t>
                          </m:r>
                        </m:num>
                        <m:den>
                          <m:sSup>
                            <m:sSupPr>
                              <m:ctrlPr>
                                <w:rPr>
                                  <w:rFonts w:ascii="Cambria Math" w:hAnsi="Cambria Math" w:cs="Arial"/>
                                  <w:sz w:val="16"/>
                                  <w:szCs w:val="16"/>
                                </w:rPr>
                              </m:ctrlPr>
                            </m:sSupPr>
                            <m:e>
                              <m:r>
                                <w:rPr>
                                  <w:rFonts w:ascii="Cambria Math" w:hAnsi="Cambria Math" w:cs="Arial"/>
                                  <w:sz w:val="16"/>
                                  <w:szCs w:val="16"/>
                                </w:rPr>
                                <m:t>T</m:t>
                              </m:r>
                            </m:e>
                            <m:sup>
                              <m:r>
                                <m:rPr>
                                  <m:sty m:val="p"/>
                                </m:rPr>
                                <w:rPr>
                                  <w:rFonts w:ascii="Cambria Math" w:hAnsi="Cambria Math" w:cs="Arial"/>
                                  <w:sz w:val="16"/>
                                  <w:szCs w:val="16"/>
                                </w:rPr>
                                <m:t>2</m:t>
                              </m:r>
                            </m:sup>
                          </m:sSup>
                        </m:den>
                      </m:f>
                    </m:e>
                  </m:d>
                </m:e>
              </m:func>
              <m:r>
                <m:rPr>
                  <m:sty m:val="p"/>
                </m:rPr>
                <w:rPr>
                  <w:rFonts w:ascii="Cambria Math" w:hAnsi="Cambria Math" w:cs="Arial"/>
                  <w:sz w:val="16"/>
                  <w:szCs w:val="16"/>
                </w:rPr>
                <m:t>=</m:t>
              </m:r>
              <m:func>
                <m:funcPr>
                  <m:ctrlPr>
                    <w:rPr>
                      <w:rFonts w:ascii="Cambria Math" w:hAnsi="Cambria Math" w:cs="Arial"/>
                      <w:sz w:val="16"/>
                      <w:szCs w:val="16"/>
                    </w:rPr>
                  </m:ctrlPr>
                </m:funcPr>
                <m:fName>
                  <m:r>
                    <m:rPr>
                      <m:sty m:val="p"/>
                    </m:rPr>
                    <w:rPr>
                      <w:rFonts w:ascii="Cambria Math" w:hAnsi="Cambria Math" w:cs="Arial"/>
                      <w:sz w:val="16"/>
                      <w:szCs w:val="16"/>
                    </w:rPr>
                    <m:t>ln</m:t>
                  </m:r>
                </m:fName>
                <m:e>
                  <m:d>
                    <m:dPr>
                      <m:ctrlPr>
                        <w:rPr>
                          <w:rFonts w:ascii="Cambria Math" w:hAnsi="Cambria Math" w:cs="Arial"/>
                          <w:sz w:val="16"/>
                          <w:szCs w:val="16"/>
                        </w:rPr>
                      </m:ctrlPr>
                    </m:dPr>
                    <m:e>
                      <m:f>
                        <m:fPr>
                          <m:ctrlPr>
                            <w:rPr>
                              <w:rFonts w:ascii="Cambria Math" w:hAnsi="Cambria Math" w:cs="Arial"/>
                              <w:sz w:val="16"/>
                              <w:szCs w:val="16"/>
                            </w:rPr>
                          </m:ctrlPr>
                        </m:fPr>
                        <m:num>
                          <m:r>
                            <w:rPr>
                              <w:rFonts w:ascii="Cambria Math" w:hAnsi="Cambria Math" w:cs="Arial"/>
                              <w:sz w:val="16"/>
                              <w:szCs w:val="16"/>
                            </w:rPr>
                            <m:t>A</m:t>
                          </m:r>
                          <m:r>
                            <m:rPr>
                              <m:sty m:val="p"/>
                            </m:rPr>
                            <w:rPr>
                              <w:rFonts w:ascii="Cambria Math" w:hAnsi="Cambria Math" w:cs="Arial"/>
                              <w:sz w:val="16"/>
                              <w:szCs w:val="16"/>
                            </w:rPr>
                            <m:t>R</m:t>
                          </m:r>
                        </m:num>
                        <m:den>
                          <m:sSub>
                            <m:sSubPr>
                              <m:ctrlPr>
                                <w:rPr>
                                  <w:rFonts w:ascii="Cambria Math" w:hAnsi="Cambria Math" w:cs="Arial"/>
                                  <w:sz w:val="16"/>
                                  <w:szCs w:val="16"/>
                                </w:rPr>
                              </m:ctrlPr>
                            </m:sSubPr>
                            <m:e>
                              <m:r>
                                <w:rPr>
                                  <w:rFonts w:ascii="Cambria Math" w:hAnsi="Cambria Math" w:cs="Arial"/>
                                  <w:sz w:val="16"/>
                                  <w:szCs w:val="16"/>
                                </w:rPr>
                                <m:t>E</m:t>
                              </m:r>
                            </m:e>
                            <m:sub>
                              <m:r>
                                <w:rPr>
                                  <w:rFonts w:ascii="Cambria Math" w:hAnsi="Cambria Math" w:cs="Arial"/>
                                  <w:sz w:val="16"/>
                                  <w:szCs w:val="16"/>
                                </w:rPr>
                                <m:t>a</m:t>
                              </m:r>
                            </m:sub>
                          </m:sSub>
                        </m:den>
                      </m:f>
                    </m:e>
                  </m:d>
                </m:e>
              </m:func>
              <m:r>
                <m:rPr>
                  <m:sty m:val="p"/>
                </m:rPr>
                <w:rPr>
                  <w:rFonts w:ascii="Cambria Math" w:hAnsi="Cambria Math" w:cs="Arial"/>
                  <w:sz w:val="16"/>
                  <w:szCs w:val="16"/>
                </w:rPr>
                <m:t>-</m:t>
              </m:r>
              <m:f>
                <m:fPr>
                  <m:ctrlPr>
                    <w:rPr>
                      <w:rFonts w:ascii="Cambria Math" w:hAnsi="Cambria Math" w:cs="Arial"/>
                      <w:sz w:val="16"/>
                      <w:szCs w:val="16"/>
                    </w:rPr>
                  </m:ctrlPr>
                </m:fPr>
                <m:num>
                  <m:sSub>
                    <m:sSubPr>
                      <m:ctrlPr>
                        <w:rPr>
                          <w:rFonts w:ascii="Cambria Math" w:hAnsi="Cambria Math" w:cs="Arial"/>
                          <w:sz w:val="16"/>
                          <w:szCs w:val="16"/>
                        </w:rPr>
                      </m:ctrlPr>
                    </m:sSubPr>
                    <m:e>
                      <m:r>
                        <w:rPr>
                          <w:rFonts w:ascii="Cambria Math" w:hAnsi="Cambria Math" w:cs="Arial"/>
                          <w:sz w:val="16"/>
                          <w:szCs w:val="16"/>
                        </w:rPr>
                        <m:t>E</m:t>
                      </m:r>
                    </m:e>
                    <m:sub>
                      <m:r>
                        <w:rPr>
                          <w:rFonts w:ascii="Cambria Math" w:hAnsi="Cambria Math" w:cs="Arial"/>
                          <w:sz w:val="16"/>
                          <w:szCs w:val="16"/>
                        </w:rPr>
                        <m:t>a</m:t>
                      </m:r>
                    </m:sub>
                  </m:sSub>
                </m:num>
                <m:den>
                  <m:r>
                    <w:rPr>
                      <w:rFonts w:ascii="Cambria Math" w:hAnsi="Cambria Math" w:cs="Arial"/>
                      <w:sz w:val="16"/>
                      <w:szCs w:val="16"/>
                    </w:rPr>
                    <m:t>RT</m:t>
                  </m:r>
                </m:den>
              </m:f>
            </m:oMath>
            <w:r w:rsidR="00C3628D" w:rsidRPr="00FD4F1A">
              <w:rPr>
                <w:rFonts w:ascii="Arial" w:eastAsiaTheme="minorEastAsia" w:hAnsi="Arial" w:cs="Arial"/>
                <w:sz w:val="16"/>
                <w:szCs w:val="16"/>
              </w:rPr>
              <w:t xml:space="preserve"> . </w:t>
            </w:r>
          </w:p>
          <w:p w:rsidR="00C3628D" w:rsidRPr="00FD4F1A" w:rsidRDefault="00C3628D" w:rsidP="00160351">
            <w:pPr>
              <w:tabs>
                <w:tab w:val="left" w:pos="4047"/>
              </w:tabs>
              <w:spacing w:line="360" w:lineRule="auto"/>
              <w:jc w:val="both"/>
              <w:rPr>
                <w:rFonts w:ascii="Arial" w:hAnsi="Arial" w:cs="Arial"/>
                <w:sz w:val="16"/>
                <w:szCs w:val="16"/>
              </w:rPr>
            </w:pPr>
            <w:r w:rsidRPr="00FD4F1A">
              <w:rPr>
                <w:rFonts w:ascii="Arial" w:eastAsiaTheme="minorEastAsia" w:hAnsi="Arial" w:cs="Arial"/>
                <w:sz w:val="16"/>
                <w:szCs w:val="16"/>
              </w:rPr>
              <w:t>(4)</w:t>
            </w:r>
          </w:p>
        </w:tc>
      </w:tr>
      <w:tr w:rsidR="00C3628D" w:rsidRPr="00FD4F1A" w:rsidTr="001F5D44">
        <w:trPr>
          <w:trHeight w:val="582"/>
          <w:jc w:val="center"/>
        </w:trPr>
        <w:tc>
          <w:tcPr>
            <w:tcW w:w="0" w:type="auto"/>
          </w:tcPr>
          <w:p w:rsidR="00C3628D" w:rsidRPr="00FD4F1A" w:rsidRDefault="00C3628D" w:rsidP="00160351">
            <w:pPr>
              <w:tabs>
                <w:tab w:val="left" w:pos="4047"/>
              </w:tabs>
              <w:spacing w:line="360" w:lineRule="auto"/>
              <w:jc w:val="both"/>
              <w:rPr>
                <w:rFonts w:ascii="Arial" w:hAnsi="Arial" w:cs="Arial"/>
                <w:b/>
                <w:i/>
                <w:sz w:val="16"/>
                <w:szCs w:val="16"/>
              </w:rPr>
            </w:pPr>
            <w:r w:rsidRPr="00FD4F1A">
              <w:rPr>
                <w:rFonts w:ascii="Arial" w:hAnsi="Arial" w:cs="Arial"/>
                <w:b/>
                <w:i/>
                <w:sz w:val="16"/>
                <w:szCs w:val="16"/>
              </w:rPr>
              <w:t xml:space="preserve">Friedman method </w:t>
            </w:r>
            <w:r w:rsidRPr="00FD4F1A">
              <w:rPr>
                <w:rFonts w:ascii="Arial" w:hAnsi="Arial" w:cs="Arial"/>
                <w:b/>
                <w:i/>
                <w:sz w:val="16"/>
                <w:szCs w:val="16"/>
              </w:rPr>
              <w:fldChar w:fldCharType="begin"/>
            </w:r>
            <w:r w:rsidR="007819CF">
              <w:rPr>
                <w:rFonts w:ascii="Arial" w:hAnsi="Arial" w:cs="Arial"/>
                <w:b/>
                <w:i/>
                <w:sz w:val="16"/>
                <w:szCs w:val="16"/>
              </w:rPr>
              <w:instrText xml:space="preserve"> ADDIN ZOTERO_ITEM CSL_CITATION {"citationID":"Hqe5BNFw","properties":{"formattedCitation":"[8]","plainCitation":"[8]","noteIndex":0},"citationItems":[{"id":"KL15DYhl/SrSgoCNM","uris":["http://zotero.org/users/local/V8e1vJQi/items/DZ7DFN4R"],"itemData":{"id":53,"type":"article-journal","abstract":"Thermal degradation behavior and kinetics of two agricultural (soy and oat hulls) and two forestry biomass (willow and spruce) residues were investigated using a unique combination of model-ﬁtting and model-free methods. Experiments were carried out in an inert atmosphere at diﬀerent heating rates. Both single step and multistep models were explored in deriving activation energies, frequency factors, and mechanisms of all four biomass residues. For the single step models, activation energy values ranged from 107.2 kJ/mol for willow and 139.7 kJ/mol for soy hull, and the frequency factors for both materials were 1.1 × 109 and 2.66 × 1012 s−1, respectively. The multistep models gave further insight into the diﬀerent mechanisms across the full degradation spectrum. There was an observed diﬀerence between the number of distinct steps/mechanisms for the agriculture-based versus wood-based biomass materials, with pyrolysis occurring in three distinct steps for the agricultural biomass residues while the woody residues degraded in two steps. The diﬀerence in the number of distinct steps can be attributed to the composition and distribution of components of the biomass, which would diﬀer based on the nature and source of the biomass.","container-title":"ACS Omega","DOI":"10.1021/acsomega.1c02937","ISSN":"2470-1343, 2470-1343","issue":"34","journalAbbreviation":"ACS Omega","language":"en","license":"https://creativecommons.org/licenses/by/4.0/","page":"22233-22247","source":"DOI.org (Crossref)","title":"Thermal and Kinetic Studies on Biomass Degradation &lt;i&gt;via&lt;/i&gt; Thermogravimetric Analysis: A Combination of Model-Fitting and Model-Free Approach","title-short":"Thermal and Kinetic Studies on Biomass Degradation &lt;i&gt;via&lt;/i&gt; Thermogravimetric Analysis","volume":"6","author":[{"family":"Emiola-Sadiq","given":"Tolu"},{"family":"Zhang","given":"Lifeng"},{"family":"Dalai","given":"Ajay K."}],"issued":{"date-parts":[["2021",8,31]]}}}],"schema":"https://github.com/citation-style-language/schema/raw/master/csl-citation.json"} </w:instrText>
            </w:r>
            <w:r w:rsidRPr="00FD4F1A">
              <w:rPr>
                <w:rFonts w:ascii="Arial" w:hAnsi="Arial" w:cs="Arial"/>
                <w:b/>
                <w:i/>
                <w:sz w:val="16"/>
                <w:szCs w:val="16"/>
              </w:rPr>
              <w:fldChar w:fldCharType="separate"/>
            </w:r>
            <w:r w:rsidR="007819CF" w:rsidRPr="007819CF">
              <w:rPr>
                <w:rFonts w:ascii="Arial" w:hAnsi="Arial" w:cs="Arial"/>
                <w:sz w:val="16"/>
              </w:rPr>
              <w:t>[8]</w:t>
            </w:r>
            <w:r w:rsidRPr="00FD4F1A">
              <w:rPr>
                <w:rFonts w:ascii="Arial" w:hAnsi="Arial" w:cs="Arial"/>
                <w:b/>
                <w:i/>
                <w:sz w:val="16"/>
                <w:szCs w:val="16"/>
              </w:rPr>
              <w:fldChar w:fldCharType="end"/>
            </w:r>
          </w:p>
          <w:p w:rsidR="00C3628D" w:rsidRPr="00FD4F1A" w:rsidRDefault="00C3628D" w:rsidP="00160351">
            <w:pPr>
              <w:tabs>
                <w:tab w:val="left" w:pos="4047"/>
              </w:tabs>
              <w:spacing w:line="360" w:lineRule="auto"/>
              <w:jc w:val="both"/>
              <w:rPr>
                <w:rFonts w:ascii="Arial" w:hAnsi="Arial" w:cs="Arial"/>
                <w:b/>
                <w:i/>
                <w:sz w:val="16"/>
                <w:szCs w:val="16"/>
              </w:rPr>
            </w:pPr>
          </w:p>
        </w:tc>
        <w:tc>
          <w:tcPr>
            <w:tcW w:w="0" w:type="auto"/>
          </w:tcPr>
          <w:p w:rsidR="00C3628D" w:rsidRPr="00FD4F1A" w:rsidRDefault="00C3628D" w:rsidP="00160351">
            <w:pPr>
              <w:tabs>
                <w:tab w:val="left" w:pos="4047"/>
              </w:tabs>
              <w:spacing w:line="360" w:lineRule="auto"/>
              <w:jc w:val="both"/>
              <w:rPr>
                <w:rFonts w:ascii="Arial" w:hAnsi="Arial" w:cs="Arial"/>
                <w:sz w:val="16"/>
                <w:szCs w:val="16"/>
              </w:rPr>
            </w:pPr>
            <w:proofErr w:type="spellStart"/>
            <w:r w:rsidRPr="00FD4F1A">
              <w:rPr>
                <w:rFonts w:ascii="Arial" w:hAnsi="Arial" w:cs="Arial"/>
                <w:sz w:val="16"/>
                <w:szCs w:val="16"/>
              </w:rPr>
              <w:t>Isoconversional</w:t>
            </w:r>
            <w:proofErr w:type="spellEnd"/>
          </w:p>
        </w:tc>
        <w:tc>
          <w:tcPr>
            <w:tcW w:w="0" w:type="auto"/>
          </w:tcPr>
          <w:p w:rsidR="00C3628D" w:rsidRPr="00FD4F1A" w:rsidRDefault="00B93841" w:rsidP="00160351">
            <w:pPr>
              <w:tabs>
                <w:tab w:val="left" w:pos="4047"/>
              </w:tabs>
              <w:spacing w:line="360" w:lineRule="auto"/>
              <w:jc w:val="both"/>
              <w:rPr>
                <w:rFonts w:ascii="Arial" w:hAnsi="Arial" w:cs="Arial"/>
                <w:sz w:val="16"/>
                <w:szCs w:val="16"/>
              </w:rPr>
            </w:pPr>
            <m:oMath>
              <m:func>
                <m:funcPr>
                  <m:ctrlPr>
                    <w:rPr>
                      <w:rFonts w:ascii="Cambria Math" w:hAnsi="Cambria Math" w:cs="Arial"/>
                      <w:sz w:val="16"/>
                      <w:szCs w:val="16"/>
                    </w:rPr>
                  </m:ctrlPr>
                </m:funcPr>
                <m:fName>
                  <m:r>
                    <m:rPr>
                      <m:sty m:val="p"/>
                    </m:rPr>
                    <w:rPr>
                      <w:rFonts w:ascii="Cambria Math" w:hAnsi="Cambria Math" w:cs="Arial"/>
                      <w:sz w:val="16"/>
                      <w:szCs w:val="16"/>
                    </w:rPr>
                    <m:t>ln</m:t>
                  </m:r>
                </m:fName>
                <m:e>
                  <m:d>
                    <m:dPr>
                      <m:ctrlPr>
                        <w:rPr>
                          <w:rFonts w:ascii="Cambria Math" w:hAnsi="Cambria Math" w:cs="Arial"/>
                          <w:sz w:val="16"/>
                          <w:szCs w:val="16"/>
                        </w:rPr>
                      </m:ctrlPr>
                    </m:dPr>
                    <m:e>
                      <m:r>
                        <w:rPr>
                          <w:rFonts w:ascii="Cambria Math" w:hAnsi="Cambria Math" w:cs="Arial"/>
                          <w:sz w:val="16"/>
                          <w:szCs w:val="16"/>
                        </w:rPr>
                        <m:t>β</m:t>
                      </m:r>
                      <m:f>
                        <m:fPr>
                          <m:ctrlPr>
                            <w:rPr>
                              <w:rFonts w:ascii="Cambria Math" w:hAnsi="Cambria Math" w:cs="Arial"/>
                              <w:sz w:val="16"/>
                              <w:szCs w:val="16"/>
                            </w:rPr>
                          </m:ctrlPr>
                        </m:fPr>
                        <m:num>
                          <m:r>
                            <w:rPr>
                              <w:rFonts w:ascii="Cambria Math" w:hAnsi="Cambria Math" w:cs="Arial"/>
                              <w:sz w:val="16"/>
                              <w:szCs w:val="16"/>
                            </w:rPr>
                            <m:t>d</m:t>
                          </m:r>
                          <m:r>
                            <m:rPr>
                              <m:sty m:val="p"/>
                            </m:rPr>
                            <w:rPr>
                              <w:rFonts w:ascii="Cambria Math" w:hAnsi="Cambria Math" w:cs="Arial"/>
                              <w:sz w:val="16"/>
                              <w:szCs w:val="16"/>
                            </w:rPr>
                            <m:t>α</m:t>
                          </m:r>
                        </m:num>
                        <m:den>
                          <m:r>
                            <m:rPr>
                              <m:sty m:val="p"/>
                            </m:rPr>
                            <w:rPr>
                              <w:rFonts w:ascii="Cambria Math" w:hAnsi="Cambria Math" w:cs="Arial"/>
                              <w:sz w:val="16"/>
                              <w:szCs w:val="16"/>
                            </w:rPr>
                            <m:t>dT</m:t>
                          </m:r>
                        </m:den>
                      </m:f>
                    </m:e>
                  </m:d>
                </m:e>
              </m:func>
              <m:r>
                <m:rPr>
                  <m:sty m:val="p"/>
                </m:rPr>
                <w:rPr>
                  <w:rFonts w:ascii="Cambria Math" w:hAnsi="Cambria Math" w:cs="Arial"/>
                  <w:sz w:val="16"/>
                  <w:szCs w:val="16"/>
                </w:rPr>
                <m:t>=</m:t>
              </m:r>
              <m:func>
                <m:funcPr>
                  <m:ctrlPr>
                    <w:rPr>
                      <w:rFonts w:ascii="Cambria Math" w:hAnsi="Cambria Math" w:cs="Arial"/>
                      <w:sz w:val="16"/>
                      <w:szCs w:val="16"/>
                    </w:rPr>
                  </m:ctrlPr>
                </m:funcPr>
                <m:fName>
                  <m:r>
                    <m:rPr>
                      <m:sty m:val="p"/>
                    </m:rPr>
                    <w:rPr>
                      <w:rFonts w:ascii="Cambria Math" w:hAnsi="Cambria Math" w:cs="Arial"/>
                      <w:sz w:val="16"/>
                      <w:szCs w:val="16"/>
                    </w:rPr>
                    <m:t>ln</m:t>
                  </m:r>
                </m:fName>
                <m:e>
                  <m:d>
                    <m:dPr>
                      <m:ctrlPr>
                        <w:rPr>
                          <w:rFonts w:ascii="Cambria Math" w:hAnsi="Cambria Math" w:cs="Arial"/>
                          <w:sz w:val="16"/>
                          <w:szCs w:val="16"/>
                        </w:rPr>
                      </m:ctrlPr>
                    </m:dPr>
                    <m:e>
                      <m:r>
                        <w:rPr>
                          <w:rFonts w:ascii="Cambria Math" w:hAnsi="Cambria Math" w:cs="Arial"/>
                          <w:sz w:val="16"/>
                          <w:szCs w:val="16"/>
                        </w:rPr>
                        <m:t>Af</m:t>
                      </m:r>
                      <m:d>
                        <m:dPr>
                          <m:ctrlPr>
                            <w:rPr>
                              <w:rFonts w:ascii="Cambria Math" w:hAnsi="Cambria Math" w:cs="Arial"/>
                              <w:sz w:val="16"/>
                              <w:szCs w:val="16"/>
                            </w:rPr>
                          </m:ctrlPr>
                        </m:dPr>
                        <m:e>
                          <m:r>
                            <m:rPr>
                              <m:sty m:val="p"/>
                            </m:rPr>
                            <w:rPr>
                              <w:rFonts w:ascii="Cambria Math" w:hAnsi="Cambria Math" w:cs="Arial"/>
                              <w:sz w:val="16"/>
                              <w:szCs w:val="16"/>
                            </w:rPr>
                            <m:t>α</m:t>
                          </m:r>
                        </m:e>
                      </m:d>
                    </m:e>
                  </m:d>
                </m:e>
              </m:func>
              <m:r>
                <m:rPr>
                  <m:sty m:val="p"/>
                </m:rPr>
                <w:rPr>
                  <w:rFonts w:ascii="Cambria Math" w:hAnsi="Cambria Math" w:cs="Arial"/>
                  <w:sz w:val="16"/>
                  <w:szCs w:val="16"/>
                </w:rPr>
                <m:t>-</m:t>
              </m:r>
              <m:f>
                <m:fPr>
                  <m:ctrlPr>
                    <w:rPr>
                      <w:rFonts w:ascii="Cambria Math" w:hAnsi="Cambria Math" w:cs="Arial"/>
                      <w:sz w:val="16"/>
                      <w:szCs w:val="16"/>
                    </w:rPr>
                  </m:ctrlPr>
                </m:fPr>
                <m:num>
                  <m:sSub>
                    <m:sSubPr>
                      <m:ctrlPr>
                        <w:rPr>
                          <w:rFonts w:ascii="Cambria Math" w:hAnsi="Cambria Math" w:cs="Arial"/>
                          <w:sz w:val="16"/>
                          <w:szCs w:val="16"/>
                        </w:rPr>
                      </m:ctrlPr>
                    </m:sSubPr>
                    <m:e>
                      <m:r>
                        <w:rPr>
                          <w:rFonts w:ascii="Cambria Math" w:hAnsi="Cambria Math" w:cs="Arial"/>
                          <w:sz w:val="16"/>
                          <w:szCs w:val="16"/>
                        </w:rPr>
                        <m:t>E</m:t>
                      </m:r>
                    </m:e>
                    <m:sub>
                      <m:r>
                        <w:rPr>
                          <w:rFonts w:ascii="Cambria Math" w:hAnsi="Cambria Math" w:cs="Arial"/>
                          <w:sz w:val="16"/>
                          <w:szCs w:val="16"/>
                        </w:rPr>
                        <m:t>a</m:t>
                      </m:r>
                    </m:sub>
                  </m:sSub>
                </m:num>
                <m:den>
                  <m:r>
                    <w:rPr>
                      <w:rFonts w:ascii="Cambria Math" w:hAnsi="Cambria Math" w:cs="Arial"/>
                      <w:sz w:val="16"/>
                      <w:szCs w:val="16"/>
                    </w:rPr>
                    <m:t>RT</m:t>
                  </m:r>
                </m:den>
              </m:f>
              <m:r>
                <m:rPr>
                  <m:sty m:val="p"/>
                </m:rPr>
                <w:rPr>
                  <w:rFonts w:ascii="Cambria Math" w:hAnsi="Cambria Math" w:cs="Arial"/>
                  <w:sz w:val="16"/>
                  <w:szCs w:val="16"/>
                </w:rPr>
                <m:t xml:space="preserve"> .</m:t>
              </m:r>
            </m:oMath>
            <w:r w:rsidR="00C3628D" w:rsidRPr="00FD4F1A">
              <w:rPr>
                <w:rFonts w:ascii="Arial" w:eastAsiaTheme="minorEastAsia" w:hAnsi="Arial" w:cs="Arial"/>
                <w:sz w:val="16"/>
                <w:szCs w:val="16"/>
              </w:rPr>
              <w:t>(5)</w:t>
            </w:r>
          </w:p>
        </w:tc>
      </w:tr>
      <w:tr w:rsidR="00C3628D" w:rsidRPr="00FD4F1A" w:rsidTr="001F5D44">
        <w:trPr>
          <w:trHeight w:val="644"/>
          <w:jc w:val="center"/>
        </w:trPr>
        <w:tc>
          <w:tcPr>
            <w:tcW w:w="0" w:type="auto"/>
          </w:tcPr>
          <w:p w:rsidR="00C3628D" w:rsidRPr="00FD4F1A" w:rsidRDefault="00C3628D" w:rsidP="00160351">
            <w:pPr>
              <w:tabs>
                <w:tab w:val="left" w:pos="4047"/>
              </w:tabs>
              <w:spacing w:line="360" w:lineRule="auto"/>
              <w:jc w:val="both"/>
              <w:rPr>
                <w:rFonts w:ascii="Arial" w:hAnsi="Arial" w:cs="Arial"/>
                <w:b/>
                <w:i/>
                <w:sz w:val="16"/>
                <w:szCs w:val="16"/>
              </w:rPr>
            </w:pPr>
            <w:proofErr w:type="spellStart"/>
            <w:r w:rsidRPr="00FD4F1A">
              <w:rPr>
                <w:rFonts w:ascii="Arial" w:hAnsi="Arial" w:cs="Arial"/>
                <w:b/>
                <w:i/>
                <w:sz w:val="16"/>
                <w:szCs w:val="16"/>
              </w:rPr>
              <w:t>Vyazovkin's</w:t>
            </w:r>
            <w:proofErr w:type="spellEnd"/>
            <w:r w:rsidRPr="00FD4F1A">
              <w:rPr>
                <w:rFonts w:ascii="Arial" w:hAnsi="Arial" w:cs="Arial"/>
                <w:b/>
                <w:i/>
                <w:sz w:val="16"/>
                <w:szCs w:val="16"/>
              </w:rPr>
              <w:t xml:space="preserve"> method </w:t>
            </w:r>
            <w:r w:rsidRPr="00FD4F1A">
              <w:rPr>
                <w:rFonts w:ascii="Arial" w:hAnsi="Arial" w:cs="Arial"/>
                <w:b/>
                <w:i/>
                <w:sz w:val="16"/>
                <w:szCs w:val="16"/>
              </w:rPr>
              <w:fldChar w:fldCharType="begin"/>
            </w:r>
            <w:r w:rsidR="007819CF">
              <w:rPr>
                <w:rFonts w:ascii="Arial" w:hAnsi="Arial" w:cs="Arial"/>
                <w:b/>
                <w:i/>
                <w:sz w:val="16"/>
                <w:szCs w:val="16"/>
              </w:rPr>
              <w:instrText xml:space="preserve"> ADDIN ZOTERO_ITEM CSL_CITATION {"citationID":"CMt4T4i2","properties":{"formattedCitation":"[8]","plainCitation":"[8]","noteIndex":0},"citationItems":[{"id":"KL15DYhl/SrSgoCNM","uris":["http://zotero.org/users/local/V8e1vJQi/items/DZ7DFN4R"],"itemData":{"id":53,"type":"article-journal","abstract":"Thermal degradation behavior and kinetics of two agricultural (soy and oat hulls) and two forestry biomass (willow and spruce) residues were investigated using a unique combination of model-ﬁtting and model-free methods. Experiments were carried out in an inert atmosphere at diﬀerent heating rates. Both single step and multistep models were explored in deriving activation energies, frequency factors, and mechanisms of all four biomass residues. For the single step models, activation energy values ranged from 107.2 kJ/mol for willow and 139.7 kJ/mol for soy hull, and the frequency factors for both materials were 1.1 × 109 and 2.66 × 1012 s−1, respectively. The multistep models gave further insight into the diﬀerent mechanisms across the full degradation spectrum. There was an observed diﬀerence between the number of distinct steps/mechanisms for the agriculture-based versus wood-based biomass materials, with pyrolysis occurring in three distinct steps for the agricultural biomass residues while the woody residues degraded in two steps. The diﬀerence in the number of distinct steps can be attributed to the composition and distribution of components of the biomass, which would diﬀer based on the nature and source of the biomass.","container-title":"ACS Omega","DOI":"10.1021/acsomega.1c02937","ISSN":"2470-1343, 2470-1343","issue":"34","journalAbbreviation":"ACS Omega","language":"en","license":"https://creativecommons.org/licenses/by/4.0/","page":"22233-22247","source":"DOI.org (Crossref)","title":"Thermal and Kinetic Studies on Biomass Degradation &lt;i&gt;via&lt;/i&gt; Thermogravimetric Analysis: A Combination of Model-Fitting and Model-Free Approach","title-short":"Thermal and Kinetic Studies on Biomass Degradation &lt;i&gt;via&lt;/i&gt; Thermogravimetric Analysis","volume":"6","author":[{"family":"Emiola-Sadiq","given":"Tolu"},{"family":"Zhang","given":"Lifeng"},{"family":"Dalai","given":"Ajay K."}],"issued":{"date-parts":[["2021",8,31]]}}}],"schema":"https://github.com/citation-style-language/schema/raw/master/csl-citation.json"} </w:instrText>
            </w:r>
            <w:r w:rsidRPr="00FD4F1A">
              <w:rPr>
                <w:rFonts w:ascii="Arial" w:hAnsi="Arial" w:cs="Arial"/>
                <w:b/>
                <w:i/>
                <w:sz w:val="16"/>
                <w:szCs w:val="16"/>
              </w:rPr>
              <w:fldChar w:fldCharType="separate"/>
            </w:r>
            <w:r w:rsidR="007819CF" w:rsidRPr="007819CF">
              <w:rPr>
                <w:rFonts w:ascii="Arial" w:hAnsi="Arial" w:cs="Arial"/>
                <w:sz w:val="16"/>
              </w:rPr>
              <w:t>[8]</w:t>
            </w:r>
            <w:r w:rsidRPr="00FD4F1A">
              <w:rPr>
                <w:rFonts w:ascii="Arial" w:hAnsi="Arial" w:cs="Arial"/>
                <w:b/>
                <w:i/>
                <w:sz w:val="16"/>
                <w:szCs w:val="16"/>
              </w:rPr>
              <w:fldChar w:fldCharType="end"/>
            </w:r>
          </w:p>
        </w:tc>
        <w:tc>
          <w:tcPr>
            <w:tcW w:w="0" w:type="auto"/>
          </w:tcPr>
          <w:p w:rsidR="00C3628D" w:rsidRPr="00FD4F1A" w:rsidRDefault="00C3628D" w:rsidP="001F5D44">
            <w:pPr>
              <w:tabs>
                <w:tab w:val="left" w:pos="4047"/>
              </w:tabs>
              <w:spacing w:line="360" w:lineRule="auto"/>
              <w:jc w:val="both"/>
              <w:rPr>
                <w:rFonts w:ascii="Arial" w:hAnsi="Arial" w:cs="Arial"/>
                <w:sz w:val="16"/>
                <w:szCs w:val="16"/>
              </w:rPr>
            </w:pPr>
            <w:r w:rsidRPr="00FD4F1A">
              <w:rPr>
                <w:rFonts w:ascii="Arial" w:hAnsi="Arial" w:cs="Arial"/>
                <w:sz w:val="16"/>
                <w:szCs w:val="16"/>
              </w:rPr>
              <w:t>Iso-conversional</w:t>
            </w:r>
          </w:p>
        </w:tc>
        <w:tc>
          <w:tcPr>
            <w:tcW w:w="0" w:type="auto"/>
          </w:tcPr>
          <w:p w:rsidR="00C3628D" w:rsidRPr="00FD4F1A" w:rsidRDefault="00B93841" w:rsidP="00160351">
            <w:pPr>
              <w:tabs>
                <w:tab w:val="left" w:pos="4047"/>
              </w:tabs>
              <w:spacing w:line="360" w:lineRule="auto"/>
              <w:jc w:val="both"/>
              <w:rPr>
                <w:rFonts w:ascii="Arial" w:hAnsi="Arial" w:cs="Arial"/>
                <w:sz w:val="16"/>
                <w:szCs w:val="16"/>
              </w:rPr>
            </w:pPr>
            <m:oMath>
              <m:nary>
                <m:naryPr>
                  <m:limLoc m:val="subSup"/>
                  <m:ctrlPr>
                    <w:rPr>
                      <w:rFonts w:ascii="Cambria Math" w:hAnsi="Cambria Math" w:cs="Arial"/>
                      <w:sz w:val="16"/>
                      <w:szCs w:val="16"/>
                    </w:rPr>
                  </m:ctrlPr>
                </m:naryPr>
                <m:sub>
                  <m:r>
                    <m:rPr>
                      <m:sty m:val="p"/>
                    </m:rPr>
                    <w:rPr>
                      <w:rFonts w:ascii="Cambria Math" w:hAnsi="Cambria Math" w:cs="Arial"/>
                      <w:sz w:val="16"/>
                      <w:szCs w:val="16"/>
                    </w:rPr>
                    <m:t>0</m:t>
                  </m:r>
                </m:sub>
                <m:sup>
                  <m:r>
                    <m:rPr>
                      <m:sty m:val="p"/>
                    </m:rPr>
                    <w:rPr>
                      <w:rFonts w:ascii="Cambria Math" w:hAnsi="Cambria Math" w:cs="Arial"/>
                      <w:sz w:val="16"/>
                      <w:szCs w:val="16"/>
                    </w:rPr>
                    <m:t>α</m:t>
                  </m:r>
                </m:sup>
                <m:e>
                  <m:f>
                    <m:fPr>
                      <m:ctrlPr>
                        <w:rPr>
                          <w:rFonts w:ascii="Cambria Math" w:hAnsi="Cambria Math" w:cs="Arial"/>
                          <w:sz w:val="16"/>
                          <w:szCs w:val="16"/>
                        </w:rPr>
                      </m:ctrlPr>
                    </m:fPr>
                    <m:num>
                      <m:r>
                        <m:rPr>
                          <m:sty m:val="p"/>
                        </m:rPr>
                        <w:rPr>
                          <w:rFonts w:ascii="Cambria Math" w:hAnsi="Cambria Math" w:cs="Arial"/>
                          <w:sz w:val="16"/>
                          <w:szCs w:val="16"/>
                        </w:rPr>
                        <m:t>dα</m:t>
                      </m:r>
                    </m:num>
                    <m:den>
                      <m:r>
                        <m:rPr>
                          <m:sty m:val="p"/>
                        </m:rPr>
                        <w:rPr>
                          <w:rFonts w:ascii="Cambria Math" w:hAnsi="Cambria Math" w:cs="Arial"/>
                          <w:sz w:val="16"/>
                          <w:szCs w:val="16"/>
                        </w:rPr>
                        <m:t>f(α)</m:t>
                      </m:r>
                    </m:den>
                  </m:f>
                </m:e>
              </m:nary>
            </m:oMath>
            <w:r w:rsidR="00C3628D" w:rsidRPr="00FD4F1A">
              <w:rPr>
                <w:rFonts w:ascii="Arial" w:hAnsi="Arial" w:cs="Arial"/>
                <w:sz w:val="16"/>
                <w:szCs w:val="16"/>
              </w:rPr>
              <w:t>=</w:t>
            </w:r>
            <m:oMath>
              <m:nary>
                <m:naryPr>
                  <m:limLoc m:val="subSup"/>
                  <m:ctrlPr>
                    <w:rPr>
                      <w:rFonts w:ascii="Cambria Math" w:hAnsi="Cambria Math" w:cs="Arial"/>
                      <w:sz w:val="16"/>
                      <w:szCs w:val="16"/>
                    </w:rPr>
                  </m:ctrlPr>
                </m:naryPr>
                <m:sub>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0</m:t>
                      </m:r>
                    </m:sub>
                  </m:sSub>
                </m:sub>
                <m:sup>
                  <m:r>
                    <m:rPr>
                      <m:sty m:val="p"/>
                    </m:rPr>
                    <w:rPr>
                      <w:rFonts w:ascii="Cambria Math" w:hAnsi="Cambria Math" w:cs="Arial"/>
                      <w:sz w:val="16"/>
                      <w:szCs w:val="16"/>
                    </w:rPr>
                    <m:t>T</m:t>
                  </m:r>
                </m:sup>
                <m:e>
                  <m:f>
                    <m:fPr>
                      <m:ctrlPr>
                        <w:rPr>
                          <w:rFonts w:ascii="Cambria Math" w:hAnsi="Cambria Math" w:cs="Arial"/>
                          <w:sz w:val="16"/>
                          <w:szCs w:val="16"/>
                        </w:rPr>
                      </m:ctrlPr>
                    </m:fPr>
                    <m:num>
                      <m:r>
                        <m:rPr>
                          <m:sty m:val="p"/>
                        </m:rPr>
                        <w:rPr>
                          <w:rFonts w:ascii="Cambria Math" w:hAnsi="Cambria Math" w:cs="Arial"/>
                          <w:sz w:val="16"/>
                          <w:szCs w:val="16"/>
                        </w:rPr>
                        <m:t>A</m:t>
                      </m:r>
                    </m:num>
                    <m:den>
                      <m:r>
                        <m:rPr>
                          <m:sty m:val="p"/>
                        </m:rPr>
                        <w:rPr>
                          <w:rFonts w:ascii="Cambria Math" w:hAnsi="Cambria Math" w:cs="Arial"/>
                          <w:sz w:val="16"/>
                          <w:szCs w:val="16"/>
                        </w:rPr>
                        <m:t>β</m:t>
                      </m:r>
                    </m:den>
                  </m:f>
                </m:e>
              </m:nary>
              <m:sSup>
                <m:sSupPr>
                  <m:ctrlPr>
                    <w:rPr>
                      <w:rFonts w:ascii="Cambria Math" w:hAnsi="Cambria Math" w:cs="Arial"/>
                      <w:sz w:val="16"/>
                      <w:szCs w:val="16"/>
                    </w:rPr>
                  </m:ctrlPr>
                </m:sSupPr>
                <m:e>
                  <m:r>
                    <m:rPr>
                      <m:sty m:val="p"/>
                    </m:rPr>
                    <w:rPr>
                      <w:rFonts w:ascii="Cambria Math" w:hAnsi="Cambria Math" w:cs="Arial"/>
                      <w:sz w:val="16"/>
                      <w:szCs w:val="16"/>
                    </w:rPr>
                    <m:t>e</m:t>
                  </m:r>
                </m:e>
                <m:sup>
                  <m:f>
                    <m:fPr>
                      <m:ctrlPr>
                        <w:rPr>
                          <w:rFonts w:ascii="Cambria Math" w:hAnsi="Cambria Math" w:cs="Arial"/>
                          <w:sz w:val="16"/>
                          <w:szCs w:val="16"/>
                        </w:rPr>
                      </m:ctrlPr>
                    </m:fPr>
                    <m:num>
                      <m:r>
                        <m:rPr>
                          <m:sty m:val="p"/>
                        </m:rPr>
                        <w:rPr>
                          <w:rFonts w:ascii="Cambria Math" w:hAnsi="Cambria Math" w:cs="Arial"/>
                          <w:sz w:val="16"/>
                          <w:szCs w:val="16"/>
                        </w:rPr>
                        <m:t>-</m:t>
                      </m:r>
                      <m:sSub>
                        <m:sSubPr>
                          <m:ctrlPr>
                            <w:rPr>
                              <w:rFonts w:ascii="Cambria Math" w:hAnsi="Cambria Math" w:cs="Arial"/>
                              <w:sz w:val="16"/>
                              <w:szCs w:val="16"/>
                            </w:rPr>
                          </m:ctrlPr>
                        </m:sSubPr>
                        <m:e>
                          <m:r>
                            <m:rPr>
                              <m:sty m:val="p"/>
                            </m:rPr>
                            <w:rPr>
                              <w:rFonts w:ascii="Cambria Math" w:hAnsi="Cambria Math" w:cs="Arial"/>
                              <w:sz w:val="16"/>
                              <w:szCs w:val="16"/>
                            </w:rPr>
                            <m:t>E</m:t>
                          </m:r>
                        </m:e>
                        <m:sub>
                          <m:r>
                            <m:rPr>
                              <m:sty m:val="p"/>
                            </m:rPr>
                            <w:rPr>
                              <w:rFonts w:ascii="Cambria Math" w:hAnsi="Cambria Math" w:cs="Arial"/>
                              <w:sz w:val="16"/>
                              <w:szCs w:val="16"/>
                            </w:rPr>
                            <m:t>a</m:t>
                          </m:r>
                        </m:sub>
                      </m:sSub>
                    </m:num>
                    <m:den>
                      <m:r>
                        <m:rPr>
                          <m:sty m:val="p"/>
                        </m:rPr>
                        <w:rPr>
                          <w:rFonts w:ascii="Cambria Math" w:hAnsi="Cambria Math" w:cs="Arial"/>
                          <w:sz w:val="16"/>
                          <w:szCs w:val="16"/>
                        </w:rPr>
                        <m:t>RT</m:t>
                      </m:r>
                    </m:den>
                  </m:f>
                  <m:r>
                    <m:rPr>
                      <m:sty m:val="p"/>
                    </m:rPr>
                    <w:rPr>
                      <w:rFonts w:ascii="Cambria Math" w:hAnsi="Cambria Math" w:cs="Arial"/>
                      <w:sz w:val="16"/>
                      <w:szCs w:val="16"/>
                    </w:rPr>
                    <m:t>dT</m:t>
                  </m:r>
                </m:sup>
              </m:sSup>
              <m:r>
                <w:rPr>
                  <w:rFonts w:ascii="Cambria Math" w:hAnsi="Cambria Math" w:cs="Arial"/>
                  <w:sz w:val="16"/>
                  <w:szCs w:val="16"/>
                </w:rPr>
                <m:t>.</m:t>
              </m:r>
            </m:oMath>
            <w:r w:rsidR="00C3628D" w:rsidRPr="00FD4F1A">
              <w:rPr>
                <w:rFonts w:ascii="Arial" w:eastAsiaTheme="minorEastAsia" w:hAnsi="Arial" w:cs="Arial"/>
                <w:sz w:val="16"/>
                <w:szCs w:val="16"/>
              </w:rPr>
              <w:t xml:space="preserve"> (6)</w:t>
            </w:r>
          </w:p>
        </w:tc>
      </w:tr>
      <w:tr w:rsidR="00C3628D" w:rsidRPr="00FD4F1A" w:rsidTr="00160351">
        <w:trPr>
          <w:trHeight w:val="699"/>
          <w:jc w:val="center"/>
        </w:trPr>
        <w:tc>
          <w:tcPr>
            <w:tcW w:w="0" w:type="auto"/>
          </w:tcPr>
          <w:p w:rsidR="00C3628D" w:rsidRPr="00FD4F1A" w:rsidRDefault="00C3628D" w:rsidP="00160351">
            <w:pPr>
              <w:tabs>
                <w:tab w:val="left" w:pos="4047"/>
              </w:tabs>
              <w:spacing w:line="360" w:lineRule="auto"/>
              <w:jc w:val="both"/>
              <w:rPr>
                <w:rFonts w:ascii="Arial" w:hAnsi="Arial" w:cs="Arial"/>
                <w:b/>
                <w:i/>
                <w:sz w:val="16"/>
                <w:szCs w:val="16"/>
              </w:rPr>
            </w:pPr>
            <w:r w:rsidRPr="00FD4F1A">
              <w:rPr>
                <w:rFonts w:ascii="Arial" w:hAnsi="Arial" w:cs="Arial"/>
                <w:b/>
                <w:i/>
                <w:sz w:val="16"/>
                <w:szCs w:val="16"/>
              </w:rPr>
              <w:t xml:space="preserve">Distributed Activation Energy Method (DEAM) </w:t>
            </w:r>
            <w:r w:rsidRPr="00FD4F1A">
              <w:rPr>
                <w:rFonts w:ascii="Arial" w:hAnsi="Arial" w:cs="Arial"/>
                <w:b/>
                <w:i/>
                <w:sz w:val="16"/>
                <w:szCs w:val="16"/>
              </w:rPr>
              <w:fldChar w:fldCharType="begin"/>
            </w:r>
            <w:r w:rsidR="007819CF">
              <w:rPr>
                <w:rFonts w:ascii="Arial" w:hAnsi="Arial" w:cs="Arial"/>
                <w:b/>
                <w:i/>
                <w:sz w:val="16"/>
                <w:szCs w:val="16"/>
              </w:rPr>
              <w:instrText xml:space="preserve"> ADDIN ZOTERO_ITEM CSL_CITATION {"citationID":"ODWRGGKx","properties":{"formattedCitation":"[11]","plainCitation":"[11]","noteIndex":0},"citationItems":[{"id":"KL15DYhl/wobwK6Y3","uris":["http://zotero.org/users/local/V8e1vJQi/items/5D4VY9LD"],"itemData":{"id":94,"type":"article-journal","abstract":"Knowledge about the rate of coal pyrolysis is of great importance because it exerts remarkable eﬀect on its thermal conversions such as combustion, gasiﬁcation and liquefaction. Diﬀerent approaches can be used to obtain the kinetics of coal pyrolysis, the simplest are empirical and global kinetics, where Arrhenius expression is used to correlate the mass loss with temperature. This work conducted pyrolysis of a lignite and a bituminite at various heating rates with a thermo-gravimetric analyzer (TGA). Thermogravimetry coupled with mass spectroscopy (TG-MS), solid state 13C Cross Polarization/ Magic Angle Spinning nuclear magnetic resonance (13C CP/ MAS NMR) and Raman analyses were also conducted to correlate the structural characteristics and pyrolysis behavior of the coals. Kinetic analysis was performed by using three model-free methods including Distributed Activation Energy model (DAEM), Ozawa-Flynn-Wall (OFW) and Friedman method. Kinetic modeling was also performed based on the DAEM model with multiple Gaussian sub-distributions of activation energy. The results show that DAEM, OFW and Friedman methods are almost equally eﬀective for analyzing activation energy, which gradually increases with the extent of pyrolysis. Pyrolysis of both the coals can be divided into three stages corresponding to the reactions of various covalent bonds. Three-Gaussian distributed activation energy model (DAEM-G3) is applicable to describing pyrolysis of both coals. The well-matched modeling results with the experimental data over the entire temperature range indicate the validity of DAEM-G3 model in studying and understanding the reaction mechanism of coal pyrolysis.","container-title":"Fuel","DOI":"10.1016/j.fuel.2018.12.079","ISSN":"00162361","journalAbbreviation":"Fuel","language":"en","page":"382-391","source":"DOI.org (Crossref)","title":"Kinetic analysis and modeling of coal pyrolysis with model-free methods","volume":"241","author":[{"family":"Yan","given":"Jingchong"},{"family":"Jiao","given":"Hanren"},{"family":"Li","given":"Zhanku"},{"family":"Lei","given":"Zhiping"},{"family":"Wang","given":"Zhicai"},{"family":"Ren","given":"Shibiao"},{"family":"Shui","given":"Hengfu"},{"family":"Kang","given":"Shigang"},{"family":"Yan","given":"Honglei"},{"family":"Pan","given":"Chunxiu"}],"issued":{"date-parts":[["2019",4]]}}}],"schema":"https://github.com/citation-style-language/schema/raw/master/csl-citation.json"} </w:instrText>
            </w:r>
            <w:r w:rsidRPr="00FD4F1A">
              <w:rPr>
                <w:rFonts w:ascii="Arial" w:hAnsi="Arial" w:cs="Arial"/>
                <w:b/>
                <w:i/>
                <w:sz w:val="16"/>
                <w:szCs w:val="16"/>
              </w:rPr>
              <w:fldChar w:fldCharType="separate"/>
            </w:r>
            <w:r w:rsidR="007819CF" w:rsidRPr="007819CF">
              <w:rPr>
                <w:rFonts w:ascii="Arial" w:hAnsi="Arial" w:cs="Arial"/>
                <w:sz w:val="16"/>
              </w:rPr>
              <w:t>[11]</w:t>
            </w:r>
            <w:r w:rsidRPr="00FD4F1A">
              <w:rPr>
                <w:rFonts w:ascii="Arial" w:hAnsi="Arial" w:cs="Arial"/>
                <w:b/>
                <w:i/>
                <w:sz w:val="16"/>
                <w:szCs w:val="16"/>
              </w:rPr>
              <w:fldChar w:fldCharType="end"/>
            </w:r>
          </w:p>
        </w:tc>
        <w:tc>
          <w:tcPr>
            <w:tcW w:w="0" w:type="auto"/>
          </w:tcPr>
          <w:p w:rsidR="00C3628D" w:rsidRPr="00FD4F1A" w:rsidRDefault="00C3628D" w:rsidP="00160351">
            <w:pPr>
              <w:tabs>
                <w:tab w:val="left" w:pos="4047"/>
              </w:tabs>
              <w:spacing w:line="360" w:lineRule="auto"/>
              <w:jc w:val="both"/>
              <w:rPr>
                <w:rFonts w:ascii="Arial" w:hAnsi="Arial" w:cs="Arial"/>
                <w:sz w:val="16"/>
                <w:szCs w:val="16"/>
              </w:rPr>
            </w:pPr>
            <w:r w:rsidRPr="00FD4F1A">
              <w:rPr>
                <w:rFonts w:ascii="Arial" w:hAnsi="Arial" w:cs="Arial"/>
                <w:sz w:val="16"/>
                <w:szCs w:val="16"/>
              </w:rPr>
              <w:t>Iso-conversional</w:t>
            </w:r>
          </w:p>
        </w:tc>
        <w:tc>
          <w:tcPr>
            <w:tcW w:w="0" w:type="auto"/>
          </w:tcPr>
          <w:p w:rsidR="00C3628D" w:rsidRPr="00FD4F1A" w:rsidRDefault="00C3628D" w:rsidP="00160351">
            <w:pPr>
              <w:tabs>
                <w:tab w:val="left" w:pos="4047"/>
              </w:tabs>
              <w:spacing w:line="360" w:lineRule="auto"/>
              <w:jc w:val="both"/>
              <w:rPr>
                <w:rFonts w:ascii="Arial" w:hAnsi="Arial" w:cs="Arial"/>
                <w:sz w:val="16"/>
                <w:szCs w:val="16"/>
              </w:rPr>
            </w:pPr>
            <m:oMath>
              <m:r>
                <w:rPr>
                  <w:rFonts w:ascii="Cambria Math" w:hAnsi="Cambria Math" w:cs="Arial"/>
                  <w:sz w:val="16"/>
                  <w:szCs w:val="16"/>
                </w:rPr>
                <m:t>k</m:t>
              </m:r>
              <m:d>
                <m:dPr>
                  <m:ctrlPr>
                    <w:rPr>
                      <w:rFonts w:ascii="Cambria Math" w:hAnsi="Cambria Math" w:cs="Arial"/>
                      <w:sz w:val="16"/>
                      <w:szCs w:val="16"/>
                    </w:rPr>
                  </m:ctrlPr>
                </m:dPr>
                <m:e>
                  <m:r>
                    <w:rPr>
                      <w:rFonts w:ascii="Cambria Math" w:hAnsi="Cambria Math" w:cs="Arial"/>
                      <w:sz w:val="16"/>
                      <w:szCs w:val="16"/>
                    </w:rPr>
                    <m:t>T</m:t>
                  </m:r>
                </m:e>
              </m:d>
              <m:r>
                <m:rPr>
                  <m:sty m:val="p"/>
                </m:rPr>
                <w:rPr>
                  <w:rFonts w:ascii="Cambria Math" w:hAnsi="Cambria Math" w:cs="Arial"/>
                  <w:sz w:val="16"/>
                  <w:szCs w:val="16"/>
                </w:rPr>
                <m:t>=</m:t>
              </m:r>
              <m:nary>
                <m:naryPr>
                  <m:limLoc m:val="subSup"/>
                  <m:ctrlPr>
                    <w:rPr>
                      <w:rFonts w:ascii="Cambria Math" w:hAnsi="Cambria Math" w:cs="Arial"/>
                      <w:sz w:val="16"/>
                      <w:szCs w:val="16"/>
                    </w:rPr>
                  </m:ctrlPr>
                </m:naryPr>
                <m:sub>
                  <m:r>
                    <w:rPr>
                      <w:rFonts w:ascii="Cambria Math" w:hAnsi="Cambria Math" w:cs="Arial"/>
                      <w:sz w:val="16"/>
                      <w:szCs w:val="16"/>
                    </w:rPr>
                    <m:t>0</m:t>
                  </m:r>
                </m:sub>
                <m:sup>
                  <m:r>
                    <m:rPr>
                      <m:sty m:val="p"/>
                    </m:rPr>
                    <w:rPr>
                      <w:rFonts w:ascii="Cambria Math" w:hAnsi="Cambria Math" w:cs="Arial"/>
                      <w:sz w:val="16"/>
                      <w:szCs w:val="16"/>
                    </w:rPr>
                    <m:t>∞</m:t>
                  </m:r>
                </m:sup>
                <m:e>
                  <m:r>
                    <w:rPr>
                      <w:rFonts w:ascii="Cambria Math" w:hAnsi="Cambria Math" w:cs="Arial"/>
                      <w:sz w:val="16"/>
                      <w:szCs w:val="16"/>
                    </w:rPr>
                    <m:t>k</m:t>
                  </m:r>
                  <m:d>
                    <m:dPr>
                      <m:ctrlPr>
                        <w:rPr>
                          <w:rFonts w:ascii="Cambria Math" w:hAnsi="Cambria Math" w:cs="Arial"/>
                          <w:sz w:val="16"/>
                          <w:szCs w:val="16"/>
                        </w:rPr>
                      </m:ctrlPr>
                    </m:dPr>
                    <m:e>
                      <m:r>
                        <w:rPr>
                          <w:rFonts w:ascii="Cambria Math" w:hAnsi="Cambria Math" w:cs="Arial"/>
                          <w:sz w:val="16"/>
                          <w:szCs w:val="16"/>
                        </w:rPr>
                        <m:t>E</m:t>
                      </m:r>
                    </m:e>
                  </m:d>
                  <m:r>
                    <w:rPr>
                      <w:rFonts w:ascii="Cambria Math" w:hAnsi="Cambria Math" w:cs="Arial"/>
                      <w:sz w:val="16"/>
                      <w:szCs w:val="16"/>
                    </w:rPr>
                    <m:t>g</m:t>
                  </m:r>
                  <m:d>
                    <m:dPr>
                      <m:ctrlPr>
                        <w:rPr>
                          <w:rFonts w:ascii="Cambria Math" w:hAnsi="Cambria Math" w:cs="Arial"/>
                          <w:sz w:val="16"/>
                          <w:szCs w:val="16"/>
                        </w:rPr>
                      </m:ctrlPr>
                    </m:dPr>
                    <m:e>
                      <m:r>
                        <w:rPr>
                          <w:rFonts w:ascii="Cambria Math" w:hAnsi="Cambria Math" w:cs="Arial"/>
                          <w:sz w:val="16"/>
                          <w:szCs w:val="16"/>
                        </w:rPr>
                        <m:t>E</m:t>
                      </m:r>
                    </m:e>
                  </m:d>
                  <m:r>
                    <w:rPr>
                      <w:rFonts w:ascii="Cambria Math" w:hAnsi="Cambria Math" w:cs="Arial"/>
                      <w:sz w:val="16"/>
                      <w:szCs w:val="16"/>
                    </w:rPr>
                    <m:t>dE.</m:t>
                  </m:r>
                </m:e>
              </m:nary>
            </m:oMath>
            <w:r w:rsidRPr="00FD4F1A">
              <w:rPr>
                <w:rFonts w:ascii="Arial" w:eastAsiaTheme="minorEastAsia" w:hAnsi="Arial" w:cs="Arial"/>
                <w:sz w:val="16"/>
                <w:szCs w:val="16"/>
              </w:rPr>
              <w:t xml:space="preserve"> (7)</w:t>
            </w:r>
          </w:p>
        </w:tc>
      </w:tr>
      <w:tr w:rsidR="00C3628D" w:rsidRPr="00FD4F1A" w:rsidTr="001F5D44">
        <w:trPr>
          <w:trHeight w:val="833"/>
          <w:jc w:val="center"/>
        </w:trPr>
        <w:tc>
          <w:tcPr>
            <w:tcW w:w="0" w:type="auto"/>
          </w:tcPr>
          <w:p w:rsidR="00C3628D" w:rsidRPr="00FD4F1A" w:rsidRDefault="00C3628D" w:rsidP="00160351">
            <w:pPr>
              <w:tabs>
                <w:tab w:val="left" w:pos="4047"/>
              </w:tabs>
              <w:spacing w:line="360" w:lineRule="auto"/>
              <w:jc w:val="both"/>
              <w:rPr>
                <w:rFonts w:ascii="Arial" w:hAnsi="Arial" w:cs="Arial"/>
                <w:b/>
                <w:i/>
                <w:sz w:val="16"/>
                <w:szCs w:val="16"/>
              </w:rPr>
            </w:pPr>
            <w:r w:rsidRPr="00FD4F1A">
              <w:rPr>
                <w:rFonts w:ascii="Arial" w:hAnsi="Arial" w:cs="Arial"/>
                <w:b/>
                <w:i/>
                <w:sz w:val="16"/>
                <w:szCs w:val="16"/>
              </w:rPr>
              <w:t xml:space="preserve">Fraser-Suzuki Deconvolution Method </w:t>
            </w:r>
            <w:r w:rsidRPr="00FD4F1A">
              <w:rPr>
                <w:rFonts w:ascii="Arial" w:hAnsi="Arial" w:cs="Arial"/>
                <w:b/>
                <w:i/>
                <w:sz w:val="16"/>
                <w:szCs w:val="16"/>
              </w:rPr>
              <w:fldChar w:fldCharType="begin"/>
            </w:r>
            <w:r w:rsidR="007819CF">
              <w:rPr>
                <w:rFonts w:ascii="Arial" w:hAnsi="Arial" w:cs="Arial"/>
                <w:b/>
                <w:i/>
                <w:sz w:val="16"/>
                <w:szCs w:val="16"/>
              </w:rPr>
              <w:instrText xml:space="preserve"> ADDIN ZOTERO_ITEM CSL_CITATION {"citationID":"mZFwSEjB","properties":{"formattedCitation":"[19]","plainCitation":"[19]","noteIndex":0},"citationItems":[{"id":"KL15DYhl/R0RfLHLK","uris":["http://zotero.org/users/local/V8e1vJQi/items/36CYDF9E"],"itemData":{"id":188,"type":"article-journal","abstract":"Pyrolysis kinetics of pine wood, rice husk and bamboo (Bambusa chungii) were studied via thermogravimetric analysis technique under low heating rates. The result of model-free procedure showed that the lignocellulosic pyrolysis according to one-step reaction model is dominated by the diffusion effects. However, the complex features of variations are caused by the mechanism changes, which are hard to be determined. The distributed activation energy model (DAEM) kinetic results indicated that the activation energy distribution for pseudo components follows the orders of: E0(lignin) &gt; E0(cellulose) &gt; E0(hemicelluloses), r(lignin) &gt; r(hemicelluloses) &gt; r(cellulose). The Fraser–Suzuki deconvolution ﬁts better with the experimental data than DAEM. The pyrolysis mechanism of pseudo components after deconvolutions follows the theoretical models: third order model f(a) = (1 À a)3 for hemicelluloses and lignin, random scission model f(a) = 2(a1/2 À a) for cellulose. The apparent activation energy for pseudo hemicelluloses is 162.84 ± 26.45 kJ/mol for pine wood, 168.63 ± 28.47 kJ/mol for rice husk and 154.55 ± 26.49 kJ/mol for bamboo, respectively. The Ea value increases with the conversion with little deviation to its mean value. Similar Ea vs. a dependencies also are observed for pseudo celluloses, which has Ea of 188.14 ± 24.42 kJ/mol for pine wood, 206.71 ± 24.88 kJ/mol for rice husk and 190.45 ± 23.79 kJ/mol for bamboo, respectively.","container-title":"Energy Conversion and Management","DOI":"10.1016/j.enconman.2016.03.058","ISSN":"01968904","journalAbbreviation":"Energy Conversion and Management","language":"en","page":"1-11","source":"DOI.org (Crossref)","title":"Thermogravimetric kinetics of lignocellulosic biomass slow pyrolysis using distributed activation energy model, Fraser–Suzuki deconvolution, and iso-conversional method","volume":"118","author":[{"family":"Hu","given":"Mian"},{"family":"Chen","given":"Zhihua"},{"family":"Wang","given":"Shengkai"},{"family":"Guo","given":"Dabin"},{"family":"Ma","given":"Caifeng"},{"family":"Zhou","given":"Yan"},{"family":"Chen","given":"Jian"},{"family":"Laghari","given":"Mahmood"},{"family":"Fazal","given":"Saima"},{"family":"Xiao","given":"Bo"},{"family":"Zhang","given":"Beiping"},{"family":"Ma","given":"Shu"}],"issued":{"date-parts":[["2016",6]]}}}],"schema":"https://github.com/citation-style-language/schema/raw/master/csl-citation.json"} </w:instrText>
            </w:r>
            <w:r w:rsidRPr="00FD4F1A">
              <w:rPr>
                <w:rFonts w:ascii="Arial" w:hAnsi="Arial" w:cs="Arial"/>
                <w:b/>
                <w:i/>
                <w:sz w:val="16"/>
                <w:szCs w:val="16"/>
              </w:rPr>
              <w:fldChar w:fldCharType="separate"/>
            </w:r>
            <w:r w:rsidR="007819CF" w:rsidRPr="007819CF">
              <w:rPr>
                <w:rFonts w:ascii="Arial" w:hAnsi="Arial" w:cs="Arial"/>
                <w:sz w:val="16"/>
              </w:rPr>
              <w:t>[19]</w:t>
            </w:r>
            <w:r w:rsidRPr="00FD4F1A">
              <w:rPr>
                <w:rFonts w:ascii="Arial" w:hAnsi="Arial" w:cs="Arial"/>
                <w:b/>
                <w:i/>
                <w:sz w:val="16"/>
                <w:szCs w:val="16"/>
              </w:rPr>
              <w:fldChar w:fldCharType="end"/>
            </w:r>
          </w:p>
        </w:tc>
        <w:tc>
          <w:tcPr>
            <w:tcW w:w="0" w:type="auto"/>
          </w:tcPr>
          <w:p w:rsidR="00C3628D" w:rsidRPr="00FD4F1A" w:rsidRDefault="00C3628D" w:rsidP="00160351">
            <w:pPr>
              <w:tabs>
                <w:tab w:val="left" w:pos="4047"/>
              </w:tabs>
              <w:spacing w:line="360" w:lineRule="auto"/>
              <w:jc w:val="both"/>
              <w:rPr>
                <w:rFonts w:ascii="Arial" w:hAnsi="Arial" w:cs="Arial"/>
                <w:sz w:val="16"/>
                <w:szCs w:val="16"/>
              </w:rPr>
            </w:pPr>
            <w:r w:rsidRPr="00FD4F1A">
              <w:rPr>
                <w:rFonts w:ascii="Arial" w:hAnsi="Arial" w:cs="Arial"/>
                <w:sz w:val="16"/>
                <w:szCs w:val="16"/>
              </w:rPr>
              <w:t>No-</w:t>
            </w:r>
            <w:proofErr w:type="spellStart"/>
            <w:r w:rsidRPr="00FD4F1A">
              <w:rPr>
                <w:rFonts w:ascii="Arial" w:hAnsi="Arial" w:cs="Arial"/>
                <w:sz w:val="16"/>
                <w:szCs w:val="16"/>
              </w:rPr>
              <w:t>Isoconversional</w:t>
            </w:r>
            <w:proofErr w:type="spellEnd"/>
          </w:p>
          <w:p w:rsidR="00C3628D" w:rsidRPr="00FD4F1A" w:rsidRDefault="00C3628D" w:rsidP="001F5D44">
            <w:pPr>
              <w:rPr>
                <w:rFonts w:ascii="Arial" w:hAnsi="Arial" w:cs="Arial"/>
                <w:sz w:val="16"/>
                <w:szCs w:val="16"/>
              </w:rPr>
            </w:pPr>
          </w:p>
        </w:tc>
        <w:tc>
          <w:tcPr>
            <w:tcW w:w="0" w:type="auto"/>
          </w:tcPr>
          <w:p w:rsidR="00C3628D" w:rsidRPr="00FD4F1A" w:rsidRDefault="00B93841" w:rsidP="00160351">
            <w:pPr>
              <w:tabs>
                <w:tab w:val="left" w:pos="4047"/>
              </w:tabs>
              <w:spacing w:line="360" w:lineRule="auto"/>
              <w:jc w:val="both"/>
              <w:rPr>
                <w:rFonts w:ascii="Arial" w:eastAsiaTheme="minorEastAsia" w:hAnsi="Arial" w:cs="Arial"/>
                <w:sz w:val="16"/>
                <w:szCs w:val="16"/>
              </w:rPr>
            </w:pPr>
            <m:oMath>
              <m:f>
                <m:fPr>
                  <m:ctrlPr>
                    <w:rPr>
                      <w:rFonts w:ascii="Cambria Math" w:hAnsi="Cambria Math" w:cs="Arial"/>
                      <w:i/>
                      <w:sz w:val="16"/>
                      <w:szCs w:val="16"/>
                    </w:rPr>
                  </m:ctrlPr>
                </m:fPr>
                <m:num>
                  <m:r>
                    <w:rPr>
                      <w:rFonts w:ascii="Cambria Math" w:hAnsi="Cambria Math" w:cs="Arial"/>
                      <w:sz w:val="16"/>
                      <w:szCs w:val="16"/>
                    </w:rPr>
                    <m:t>dα</m:t>
                  </m:r>
                </m:num>
                <m:den>
                  <m:r>
                    <w:rPr>
                      <w:rFonts w:ascii="Cambria Math" w:hAnsi="Cambria Math" w:cs="Arial"/>
                      <w:sz w:val="16"/>
                      <w:szCs w:val="16"/>
                    </w:rPr>
                    <m:t>dT</m:t>
                  </m:r>
                </m:den>
              </m:f>
              <m:r>
                <w:rPr>
                  <w:rFonts w:ascii="Cambria Math" w:hAnsi="Cambria Math" w:cs="Arial"/>
                  <w:sz w:val="16"/>
                  <w:szCs w:val="16"/>
                </w:rPr>
                <m:t>=</m:t>
              </m:r>
              <m:nary>
                <m:naryPr>
                  <m:chr m:val="∑"/>
                  <m:limLoc m:val="undOvr"/>
                  <m:ctrlPr>
                    <w:rPr>
                      <w:rFonts w:ascii="Cambria Math" w:hAnsi="Cambria Math" w:cs="Arial"/>
                      <w:i/>
                      <w:sz w:val="16"/>
                      <w:szCs w:val="16"/>
                    </w:rPr>
                  </m:ctrlPr>
                </m:naryPr>
                <m:sub>
                  <m:r>
                    <w:rPr>
                      <w:rFonts w:ascii="Cambria Math" w:hAnsi="Cambria Math" w:cs="Arial"/>
                      <w:sz w:val="16"/>
                      <w:szCs w:val="16"/>
                    </w:rPr>
                    <m:t>i=1</m:t>
                  </m:r>
                </m:sub>
                <m:sup>
                  <m:r>
                    <w:rPr>
                      <w:rFonts w:ascii="Cambria Math" w:hAnsi="Cambria Math" w:cs="Arial"/>
                      <w:sz w:val="16"/>
                      <w:szCs w:val="16"/>
                    </w:rPr>
                    <m:t>3</m:t>
                  </m:r>
                </m:sup>
                <m:e>
                  <m:sSub>
                    <m:sSubPr>
                      <m:ctrlPr>
                        <w:rPr>
                          <w:rFonts w:ascii="Cambria Math" w:hAnsi="Cambria Math" w:cs="Arial"/>
                          <w:i/>
                          <w:sz w:val="16"/>
                          <w:szCs w:val="16"/>
                        </w:rPr>
                      </m:ctrlPr>
                    </m:sSubPr>
                    <m:e>
                      <m:r>
                        <w:rPr>
                          <w:rFonts w:ascii="Cambria Math" w:hAnsi="Cambria Math" w:cs="Arial"/>
                          <w:sz w:val="16"/>
                          <w:szCs w:val="16"/>
                        </w:rPr>
                        <m:t>c</m:t>
                      </m:r>
                    </m:e>
                    <m:sub>
                      <m:r>
                        <w:rPr>
                          <w:rFonts w:ascii="Cambria Math" w:hAnsi="Cambria Math" w:cs="Arial"/>
                          <w:sz w:val="16"/>
                          <w:szCs w:val="16"/>
                        </w:rPr>
                        <m:t>i</m:t>
                      </m:r>
                    </m:sub>
                  </m:sSub>
                  <m:sSub>
                    <m:sSubPr>
                      <m:ctrlPr>
                        <w:rPr>
                          <w:rFonts w:ascii="Cambria Math" w:hAnsi="Cambria Math" w:cs="Arial"/>
                          <w:i/>
                          <w:sz w:val="16"/>
                          <w:szCs w:val="16"/>
                        </w:rPr>
                      </m:ctrlPr>
                    </m:sSubPr>
                    <m:e>
                      <m:r>
                        <w:rPr>
                          <w:rFonts w:ascii="Cambria Math" w:hAnsi="Cambria Math" w:cs="Arial"/>
                          <w:sz w:val="16"/>
                          <w:szCs w:val="16"/>
                        </w:rPr>
                        <m:t>H</m:t>
                      </m:r>
                    </m:e>
                    <m:sub>
                      <m:r>
                        <w:rPr>
                          <w:rFonts w:ascii="Cambria Math" w:hAnsi="Cambria Math" w:cs="Arial"/>
                          <w:sz w:val="16"/>
                          <w:szCs w:val="16"/>
                        </w:rPr>
                        <m:t>p,i</m:t>
                      </m:r>
                    </m:sub>
                  </m:sSub>
                </m:e>
              </m:nary>
              <m:r>
                <w:rPr>
                  <w:rFonts w:ascii="Cambria Math" w:hAnsi="Cambria Math" w:cs="Arial"/>
                  <w:sz w:val="16"/>
                  <w:szCs w:val="16"/>
                </w:rPr>
                <m:t>exp</m:t>
              </m:r>
              <m:d>
                <m:dPr>
                  <m:begChr m:val="{"/>
                  <m:endChr m:val="}"/>
                  <m:ctrlPr>
                    <w:rPr>
                      <w:rFonts w:ascii="Cambria Math" w:hAnsi="Cambria Math" w:cs="Arial"/>
                      <w:i/>
                      <w:sz w:val="16"/>
                      <w:szCs w:val="16"/>
                    </w:rPr>
                  </m:ctrlPr>
                </m:dPr>
                <m:e>
                  <m:r>
                    <w:rPr>
                      <w:rFonts w:ascii="Cambria Math" w:hAnsi="Cambria Math" w:cs="Arial"/>
                      <w:sz w:val="16"/>
                      <w:szCs w:val="16"/>
                    </w:rPr>
                    <m:t>-</m:t>
                  </m:r>
                  <m:f>
                    <m:fPr>
                      <m:ctrlPr>
                        <w:rPr>
                          <w:rFonts w:ascii="Cambria Math" w:hAnsi="Cambria Math" w:cs="Arial"/>
                          <w:i/>
                          <w:sz w:val="16"/>
                          <w:szCs w:val="16"/>
                        </w:rPr>
                      </m:ctrlPr>
                    </m:fPr>
                    <m:num>
                      <m:r>
                        <w:rPr>
                          <w:rFonts w:ascii="Cambria Math" w:hAnsi="Cambria Math" w:cs="Arial"/>
                          <w:sz w:val="16"/>
                          <w:szCs w:val="16"/>
                        </w:rPr>
                        <m:t>ln2</m:t>
                      </m:r>
                    </m:num>
                    <m:den>
                      <m:sSubSup>
                        <m:sSubSupPr>
                          <m:ctrlPr>
                            <w:rPr>
                              <w:rFonts w:ascii="Cambria Math" w:hAnsi="Cambria Math" w:cs="Arial"/>
                              <w:i/>
                              <w:sz w:val="16"/>
                              <w:szCs w:val="16"/>
                            </w:rPr>
                          </m:ctrlPr>
                        </m:sSubSupPr>
                        <m:e>
                          <m:r>
                            <w:rPr>
                              <w:rFonts w:ascii="Cambria Math" w:hAnsi="Cambria Math" w:cs="Arial"/>
                              <w:sz w:val="16"/>
                              <w:szCs w:val="16"/>
                            </w:rPr>
                            <m:t>A</m:t>
                          </m:r>
                        </m:e>
                        <m:sub>
                          <m:r>
                            <w:rPr>
                              <w:rFonts w:ascii="Cambria Math" w:hAnsi="Cambria Math" w:cs="Arial"/>
                              <w:sz w:val="16"/>
                              <w:szCs w:val="16"/>
                            </w:rPr>
                            <m:t>s,i</m:t>
                          </m:r>
                        </m:sub>
                        <m:sup>
                          <m:r>
                            <w:rPr>
                              <w:rFonts w:ascii="Cambria Math" w:hAnsi="Cambria Math" w:cs="Arial"/>
                              <w:sz w:val="16"/>
                              <w:szCs w:val="16"/>
                            </w:rPr>
                            <m:t>2</m:t>
                          </m:r>
                        </m:sup>
                      </m:sSubSup>
                    </m:den>
                  </m:f>
                  <m:r>
                    <w:rPr>
                      <w:rFonts w:ascii="Cambria Math" w:hAnsi="Cambria Math" w:cs="Arial"/>
                      <w:sz w:val="16"/>
                      <w:szCs w:val="16"/>
                    </w:rPr>
                    <m:t>ln</m:t>
                  </m:r>
                  <m:sSup>
                    <m:sSupPr>
                      <m:ctrlPr>
                        <w:rPr>
                          <w:rFonts w:ascii="Cambria Math" w:hAnsi="Cambria Math" w:cs="Arial"/>
                          <w:i/>
                          <w:sz w:val="16"/>
                          <w:szCs w:val="16"/>
                        </w:rPr>
                      </m:ctrlPr>
                    </m:sSupPr>
                    <m:e>
                      <m:d>
                        <m:dPr>
                          <m:begChr m:val="["/>
                          <m:endChr m:val="]"/>
                          <m:ctrlPr>
                            <w:rPr>
                              <w:rFonts w:ascii="Cambria Math" w:hAnsi="Cambria Math" w:cs="Arial"/>
                              <w:i/>
                              <w:sz w:val="16"/>
                              <w:szCs w:val="16"/>
                            </w:rPr>
                          </m:ctrlPr>
                        </m:dPr>
                        <m:e>
                          <m:r>
                            <w:rPr>
                              <w:rFonts w:ascii="Cambria Math" w:hAnsi="Cambria Math" w:cs="Arial"/>
                              <w:sz w:val="16"/>
                              <w:szCs w:val="16"/>
                            </w:rPr>
                            <m:t>1+2</m:t>
                          </m:r>
                          <m:sSub>
                            <m:sSubPr>
                              <m:ctrlPr>
                                <w:rPr>
                                  <w:rFonts w:ascii="Cambria Math" w:hAnsi="Cambria Math" w:cs="Arial"/>
                                  <w:i/>
                                  <w:sz w:val="16"/>
                                  <w:szCs w:val="16"/>
                                </w:rPr>
                              </m:ctrlPr>
                            </m:sSubPr>
                            <m:e>
                              <m:r>
                                <w:rPr>
                                  <w:rFonts w:ascii="Cambria Math" w:hAnsi="Cambria Math" w:cs="Arial"/>
                                  <w:sz w:val="16"/>
                                  <w:szCs w:val="16"/>
                                </w:rPr>
                                <m:t>A</m:t>
                              </m:r>
                            </m:e>
                            <m:sub>
                              <m:r>
                                <w:rPr>
                                  <w:rFonts w:ascii="Cambria Math" w:hAnsi="Cambria Math" w:cs="Arial"/>
                                  <w:sz w:val="16"/>
                                  <w:szCs w:val="16"/>
                                </w:rPr>
                                <m:t>s,i</m:t>
                              </m:r>
                            </m:sub>
                          </m:sSub>
                          <m:f>
                            <m:fPr>
                              <m:ctrlPr>
                                <w:rPr>
                                  <w:rFonts w:ascii="Cambria Math" w:hAnsi="Cambria Math" w:cs="Arial"/>
                                  <w:i/>
                                  <w:sz w:val="16"/>
                                  <w:szCs w:val="16"/>
                                </w:rPr>
                              </m:ctrlPr>
                            </m:fPr>
                            <m:num>
                              <m:r>
                                <w:rPr>
                                  <w:rFonts w:ascii="Cambria Math" w:hAnsi="Cambria Math" w:cs="Arial"/>
                                  <w:sz w:val="16"/>
                                  <w:szCs w:val="16"/>
                                </w:rPr>
                                <m:t>(T-</m:t>
                              </m:r>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p,i</m:t>
                                  </m:r>
                                </m:sub>
                              </m:sSub>
                              <m:r>
                                <w:rPr>
                                  <w:rFonts w:ascii="Cambria Math" w:hAnsi="Cambria Math" w:cs="Arial"/>
                                  <w:sz w:val="16"/>
                                  <w:szCs w:val="16"/>
                                </w:rPr>
                                <m:t>)</m:t>
                              </m:r>
                            </m:num>
                            <m:den>
                              <m:sSub>
                                <m:sSubPr>
                                  <m:ctrlPr>
                                    <w:rPr>
                                      <w:rFonts w:ascii="Cambria Math" w:hAnsi="Cambria Math" w:cs="Arial"/>
                                      <w:i/>
                                      <w:sz w:val="16"/>
                                      <w:szCs w:val="16"/>
                                    </w:rPr>
                                  </m:ctrlPr>
                                </m:sSubPr>
                                <m:e>
                                  <m:r>
                                    <w:rPr>
                                      <w:rFonts w:ascii="Cambria Math" w:hAnsi="Cambria Math" w:cs="Arial"/>
                                      <w:sz w:val="16"/>
                                      <w:szCs w:val="16"/>
                                    </w:rPr>
                                    <m:t>w</m:t>
                                  </m:r>
                                </m:e>
                                <m:sub>
                                  <m:r>
                                    <w:rPr>
                                      <w:rFonts w:ascii="Cambria Math" w:hAnsi="Cambria Math" w:cs="Arial"/>
                                      <w:sz w:val="16"/>
                                      <w:szCs w:val="16"/>
                                    </w:rPr>
                                    <m:t>hf,i</m:t>
                                  </m:r>
                                </m:sub>
                              </m:sSub>
                            </m:den>
                          </m:f>
                        </m:e>
                      </m:d>
                    </m:e>
                    <m:sup>
                      <m:r>
                        <w:rPr>
                          <w:rFonts w:ascii="Cambria Math" w:hAnsi="Cambria Math" w:cs="Arial"/>
                          <w:sz w:val="16"/>
                          <w:szCs w:val="16"/>
                        </w:rPr>
                        <m:t>2</m:t>
                      </m:r>
                    </m:sup>
                  </m:sSup>
                </m:e>
              </m:d>
              <m:r>
                <w:rPr>
                  <w:rFonts w:ascii="Cambria Math" w:hAnsi="Cambria Math" w:cs="Arial"/>
                  <w:sz w:val="16"/>
                  <w:szCs w:val="16"/>
                </w:rPr>
                <m:t>.</m:t>
              </m:r>
            </m:oMath>
            <w:r w:rsidR="00C3628D" w:rsidRPr="00FD4F1A">
              <w:rPr>
                <w:rFonts w:ascii="Arial" w:eastAsiaTheme="minorEastAsia" w:hAnsi="Arial" w:cs="Arial"/>
                <w:sz w:val="16"/>
                <w:szCs w:val="16"/>
              </w:rPr>
              <w:t xml:space="preserve"> (8)</w:t>
            </w:r>
          </w:p>
        </w:tc>
      </w:tr>
      <w:tr w:rsidR="00C3628D" w:rsidRPr="00FD4F1A" w:rsidTr="001F5D44">
        <w:tblPrEx>
          <w:jc w:val="left"/>
        </w:tblPrEx>
        <w:trPr>
          <w:trHeight w:val="557"/>
        </w:trPr>
        <w:tc>
          <w:tcPr>
            <w:tcW w:w="0" w:type="auto"/>
          </w:tcPr>
          <w:p w:rsidR="00C3628D" w:rsidRPr="00FD4F1A" w:rsidRDefault="00C3628D" w:rsidP="00160351">
            <w:pPr>
              <w:tabs>
                <w:tab w:val="left" w:pos="4047"/>
              </w:tabs>
              <w:spacing w:line="360" w:lineRule="auto"/>
              <w:jc w:val="both"/>
              <w:rPr>
                <w:rFonts w:ascii="Arial" w:hAnsi="Arial" w:cs="Arial"/>
                <w:b/>
                <w:i/>
                <w:sz w:val="16"/>
                <w:szCs w:val="16"/>
              </w:rPr>
            </w:pPr>
            <w:r w:rsidRPr="00FD4F1A">
              <w:rPr>
                <w:rFonts w:ascii="Arial" w:hAnsi="Arial" w:cs="Arial"/>
                <w:b/>
                <w:i/>
                <w:sz w:val="16"/>
                <w:szCs w:val="16"/>
              </w:rPr>
              <w:t xml:space="preserve">Horowitz-Metzger method </w:t>
            </w:r>
            <w:r w:rsidRPr="00FD4F1A">
              <w:rPr>
                <w:rFonts w:ascii="Arial" w:hAnsi="Arial" w:cs="Arial"/>
                <w:b/>
                <w:i/>
                <w:sz w:val="16"/>
                <w:szCs w:val="16"/>
              </w:rPr>
              <w:fldChar w:fldCharType="begin"/>
            </w:r>
            <w:r w:rsidR="007819CF">
              <w:rPr>
                <w:rFonts w:ascii="Arial" w:hAnsi="Arial" w:cs="Arial"/>
                <w:b/>
                <w:i/>
                <w:sz w:val="16"/>
                <w:szCs w:val="16"/>
              </w:rPr>
              <w:instrText xml:space="preserve"> ADDIN ZOTERO_ITEM CSL_CITATION {"citationID":"o2tckAAd","properties":{"formattedCitation":"[20]","plainCitation":"[20]","noteIndex":0},"citationItems":[{"id":"KL15DYhl/1fPyObN2","uris":["http://zotero.org/users/local/V8e1vJQi/items/L4ZZGDUS"],"itemData":{"id":175,"type":"article-journal","container-title":"Polymer Degradation and Stability","DOI":"10.1016/S0141-3910(96)00115-2","ISSN":"01413910","issue":"2","journalAbbreviation":"Polymer Degradation and Stability","language":"en","license":"https://www.elsevier.com/tdm/userlicense/1.0/","page":"165-172","source":"DOI.org (Crossref)","title":"Methodology for multistage degradation of polyimide polymer","volume":"55","author":[{"family":"Regnier","given":"N."},{"family":"Guibe","given":"C."}],"issued":{"date-parts":[["1997",1]]}}}],"schema":"https://github.com/citation-style-language/schema/raw/master/csl-citation.json"} </w:instrText>
            </w:r>
            <w:r w:rsidRPr="00FD4F1A">
              <w:rPr>
                <w:rFonts w:ascii="Arial" w:hAnsi="Arial" w:cs="Arial"/>
                <w:b/>
                <w:i/>
                <w:sz w:val="16"/>
                <w:szCs w:val="16"/>
              </w:rPr>
              <w:fldChar w:fldCharType="separate"/>
            </w:r>
            <w:r w:rsidR="007819CF" w:rsidRPr="007819CF">
              <w:rPr>
                <w:rFonts w:ascii="Arial" w:hAnsi="Arial" w:cs="Arial"/>
                <w:sz w:val="16"/>
              </w:rPr>
              <w:t>[20]</w:t>
            </w:r>
            <w:r w:rsidRPr="00FD4F1A">
              <w:rPr>
                <w:rFonts w:ascii="Arial" w:hAnsi="Arial" w:cs="Arial"/>
                <w:b/>
                <w:i/>
                <w:sz w:val="16"/>
                <w:szCs w:val="16"/>
              </w:rPr>
              <w:fldChar w:fldCharType="end"/>
            </w:r>
          </w:p>
          <w:p w:rsidR="00C3628D" w:rsidRPr="00FD4F1A" w:rsidRDefault="00C3628D" w:rsidP="00160351">
            <w:pPr>
              <w:spacing w:line="360" w:lineRule="auto"/>
              <w:jc w:val="both"/>
              <w:rPr>
                <w:rFonts w:ascii="Arial" w:hAnsi="Arial" w:cs="Arial"/>
                <w:sz w:val="16"/>
                <w:szCs w:val="16"/>
              </w:rPr>
            </w:pPr>
          </w:p>
        </w:tc>
        <w:tc>
          <w:tcPr>
            <w:tcW w:w="1859" w:type="dxa"/>
          </w:tcPr>
          <w:p w:rsidR="00C3628D" w:rsidRPr="00FD4F1A" w:rsidRDefault="00C3628D" w:rsidP="00160351">
            <w:pPr>
              <w:tabs>
                <w:tab w:val="left" w:pos="4047"/>
              </w:tabs>
              <w:spacing w:line="360" w:lineRule="auto"/>
              <w:jc w:val="both"/>
              <w:rPr>
                <w:rFonts w:ascii="Arial" w:hAnsi="Arial" w:cs="Arial"/>
                <w:sz w:val="16"/>
                <w:szCs w:val="16"/>
              </w:rPr>
            </w:pPr>
            <w:r w:rsidRPr="00FD4F1A">
              <w:rPr>
                <w:rFonts w:ascii="Arial" w:hAnsi="Arial" w:cs="Arial"/>
                <w:sz w:val="16"/>
                <w:szCs w:val="16"/>
              </w:rPr>
              <w:t>No-Iso-conversional</w:t>
            </w:r>
          </w:p>
        </w:tc>
        <w:tc>
          <w:tcPr>
            <w:tcW w:w="3241" w:type="dxa"/>
          </w:tcPr>
          <w:p w:rsidR="00C3628D" w:rsidRPr="00FD4F1A" w:rsidRDefault="00B93841" w:rsidP="00160351">
            <w:pPr>
              <w:tabs>
                <w:tab w:val="left" w:pos="4047"/>
              </w:tabs>
              <w:spacing w:line="360" w:lineRule="auto"/>
              <w:jc w:val="both"/>
              <w:rPr>
                <w:rFonts w:ascii="Arial" w:eastAsiaTheme="minorEastAsia" w:hAnsi="Arial" w:cs="Arial"/>
                <w:sz w:val="16"/>
                <w:szCs w:val="16"/>
              </w:rPr>
            </w:pPr>
            <m:oMath>
              <m:func>
                <m:funcPr>
                  <m:ctrlPr>
                    <w:rPr>
                      <w:rFonts w:ascii="Cambria Math" w:hAnsi="Cambria Math" w:cs="Arial"/>
                      <w:sz w:val="16"/>
                      <w:szCs w:val="16"/>
                    </w:rPr>
                  </m:ctrlPr>
                </m:funcPr>
                <m:fName>
                  <m:r>
                    <m:rPr>
                      <m:sty m:val="p"/>
                    </m:rPr>
                    <w:rPr>
                      <w:rFonts w:ascii="Cambria Math" w:hAnsi="Cambria Math" w:cs="Arial"/>
                      <w:sz w:val="16"/>
                      <w:szCs w:val="16"/>
                    </w:rPr>
                    <m:t>ln</m:t>
                  </m:r>
                </m:fName>
                <m:e>
                  <m:d>
                    <m:dPr>
                      <m:ctrlPr>
                        <w:rPr>
                          <w:rFonts w:ascii="Cambria Math" w:hAnsi="Cambria Math" w:cs="Arial"/>
                          <w:sz w:val="16"/>
                          <w:szCs w:val="16"/>
                        </w:rPr>
                      </m:ctrlPr>
                    </m:dPr>
                    <m:e>
                      <m:f>
                        <m:fPr>
                          <m:ctrlPr>
                            <w:rPr>
                              <w:rFonts w:ascii="Cambria Math" w:hAnsi="Cambria Math" w:cs="Arial"/>
                              <w:sz w:val="16"/>
                              <w:szCs w:val="16"/>
                            </w:rPr>
                          </m:ctrlPr>
                        </m:fPr>
                        <m:num>
                          <m:r>
                            <m:rPr>
                              <m:sty m:val="p"/>
                            </m:rPr>
                            <w:rPr>
                              <w:rFonts w:ascii="Cambria Math" w:hAnsi="Cambria Math" w:cs="Arial"/>
                              <w:sz w:val="16"/>
                              <w:szCs w:val="16"/>
                            </w:rPr>
                            <m:t>1</m:t>
                          </m:r>
                        </m:num>
                        <m:den>
                          <m:r>
                            <m:rPr>
                              <m:sty m:val="p"/>
                            </m:rPr>
                            <w:rPr>
                              <w:rFonts w:ascii="Cambria Math" w:hAnsi="Cambria Math" w:cs="Arial"/>
                              <w:sz w:val="16"/>
                              <w:szCs w:val="16"/>
                            </w:rPr>
                            <m:t>1-</m:t>
                          </m:r>
                          <m:r>
                            <w:rPr>
                              <w:rFonts w:ascii="Cambria Math" w:hAnsi="Cambria Math" w:cs="Arial"/>
                              <w:sz w:val="16"/>
                              <w:szCs w:val="16"/>
                            </w:rPr>
                            <m:t>α</m:t>
                          </m:r>
                        </m:den>
                      </m:f>
                    </m:e>
                  </m:d>
                </m:e>
              </m:func>
              <m:r>
                <m:rPr>
                  <m:sty m:val="p"/>
                </m:rPr>
                <w:rPr>
                  <w:rFonts w:ascii="Cambria Math" w:hAnsi="Cambria Math" w:cs="Arial"/>
                  <w:sz w:val="16"/>
                  <w:szCs w:val="16"/>
                </w:rPr>
                <m:t>=</m:t>
              </m:r>
              <m:f>
                <m:fPr>
                  <m:ctrlPr>
                    <w:rPr>
                      <w:rFonts w:ascii="Cambria Math" w:hAnsi="Cambria Math" w:cs="Arial"/>
                      <w:sz w:val="16"/>
                      <w:szCs w:val="16"/>
                    </w:rPr>
                  </m:ctrlPr>
                </m:fPr>
                <m:num>
                  <m:sSub>
                    <m:sSubPr>
                      <m:ctrlPr>
                        <w:rPr>
                          <w:rFonts w:ascii="Cambria Math" w:hAnsi="Cambria Math" w:cs="Arial"/>
                          <w:sz w:val="16"/>
                          <w:szCs w:val="16"/>
                        </w:rPr>
                      </m:ctrlPr>
                    </m:sSubPr>
                    <m:e>
                      <m:r>
                        <w:rPr>
                          <w:rFonts w:ascii="Cambria Math" w:hAnsi="Cambria Math" w:cs="Arial"/>
                          <w:sz w:val="16"/>
                          <w:szCs w:val="16"/>
                        </w:rPr>
                        <m:t>E</m:t>
                      </m:r>
                    </m:e>
                    <m:sub>
                      <m:r>
                        <w:rPr>
                          <w:rFonts w:ascii="Cambria Math" w:hAnsi="Cambria Math" w:cs="Arial"/>
                          <w:sz w:val="16"/>
                          <w:szCs w:val="16"/>
                        </w:rPr>
                        <m:t>a</m:t>
                      </m:r>
                    </m:sub>
                  </m:sSub>
                </m:num>
                <m:den>
                  <m:r>
                    <w:rPr>
                      <w:rFonts w:ascii="Cambria Math" w:hAnsi="Cambria Math" w:cs="Arial"/>
                      <w:sz w:val="16"/>
                      <w:szCs w:val="16"/>
                    </w:rPr>
                    <m:t>RT</m:t>
                  </m:r>
                </m:den>
              </m:f>
              <m:r>
                <m:rPr>
                  <m:sty m:val="p"/>
                </m:rPr>
                <w:rPr>
                  <w:rFonts w:ascii="Cambria Math" w:hAnsi="Cambria Math" w:cs="Arial"/>
                  <w:sz w:val="16"/>
                  <w:szCs w:val="16"/>
                </w:rPr>
                <m:t>+</m:t>
              </m:r>
              <m:func>
                <m:funcPr>
                  <m:ctrlPr>
                    <w:rPr>
                      <w:rFonts w:ascii="Cambria Math" w:hAnsi="Cambria Math" w:cs="Arial"/>
                      <w:sz w:val="16"/>
                      <w:szCs w:val="16"/>
                    </w:rPr>
                  </m:ctrlPr>
                </m:funcPr>
                <m:fName>
                  <m:r>
                    <m:rPr>
                      <m:sty m:val="p"/>
                    </m:rPr>
                    <w:rPr>
                      <w:rFonts w:ascii="Cambria Math" w:hAnsi="Cambria Math" w:cs="Arial"/>
                      <w:sz w:val="16"/>
                      <w:szCs w:val="16"/>
                    </w:rPr>
                    <m:t>ln</m:t>
                  </m:r>
                </m:fName>
                <m:e>
                  <m:d>
                    <m:dPr>
                      <m:ctrlPr>
                        <w:rPr>
                          <w:rFonts w:ascii="Cambria Math" w:hAnsi="Cambria Math" w:cs="Arial"/>
                          <w:sz w:val="16"/>
                          <w:szCs w:val="16"/>
                        </w:rPr>
                      </m:ctrlPr>
                    </m:dPr>
                    <m:e>
                      <m:f>
                        <m:fPr>
                          <m:ctrlPr>
                            <w:rPr>
                              <w:rFonts w:ascii="Cambria Math" w:hAnsi="Cambria Math" w:cs="Arial"/>
                              <w:sz w:val="16"/>
                              <w:szCs w:val="16"/>
                            </w:rPr>
                          </m:ctrlPr>
                        </m:fPr>
                        <m:num>
                          <m:r>
                            <w:rPr>
                              <w:rFonts w:ascii="Cambria Math" w:hAnsi="Cambria Math" w:cs="Arial"/>
                              <w:sz w:val="16"/>
                              <w:szCs w:val="16"/>
                            </w:rPr>
                            <m:t>A</m:t>
                          </m:r>
                        </m:num>
                        <m:den>
                          <m:r>
                            <w:rPr>
                              <w:rFonts w:ascii="Cambria Math" w:hAnsi="Cambria Math" w:cs="Arial"/>
                              <w:sz w:val="16"/>
                              <w:szCs w:val="16"/>
                            </w:rPr>
                            <m:t>β</m:t>
                          </m:r>
                        </m:den>
                      </m:f>
                    </m:e>
                  </m:d>
                </m:e>
              </m:func>
              <m:r>
                <m:rPr>
                  <m:sty m:val="p"/>
                </m:rPr>
                <w:rPr>
                  <w:rFonts w:ascii="Cambria Math" w:hAnsi="Cambria Math" w:cs="Arial"/>
                  <w:sz w:val="16"/>
                  <w:szCs w:val="16"/>
                </w:rPr>
                <m:t>-</m:t>
              </m:r>
              <m:f>
                <m:fPr>
                  <m:ctrlPr>
                    <w:rPr>
                      <w:rFonts w:ascii="Cambria Math" w:hAnsi="Cambria Math" w:cs="Arial"/>
                      <w:sz w:val="16"/>
                      <w:szCs w:val="16"/>
                    </w:rPr>
                  </m:ctrlPr>
                </m:fPr>
                <m:num>
                  <m:sSub>
                    <m:sSubPr>
                      <m:ctrlPr>
                        <w:rPr>
                          <w:rFonts w:ascii="Cambria Math" w:hAnsi="Cambria Math" w:cs="Arial"/>
                          <w:sz w:val="16"/>
                          <w:szCs w:val="16"/>
                        </w:rPr>
                      </m:ctrlPr>
                    </m:sSubPr>
                    <m:e>
                      <m:r>
                        <w:rPr>
                          <w:rFonts w:ascii="Cambria Math" w:hAnsi="Cambria Math" w:cs="Arial"/>
                          <w:sz w:val="16"/>
                          <w:szCs w:val="16"/>
                        </w:rPr>
                        <m:t>E</m:t>
                      </m:r>
                    </m:e>
                    <m:sub>
                      <m:r>
                        <w:rPr>
                          <w:rFonts w:ascii="Cambria Math" w:hAnsi="Cambria Math" w:cs="Arial"/>
                          <w:sz w:val="16"/>
                          <w:szCs w:val="16"/>
                        </w:rPr>
                        <m:t>a</m:t>
                      </m:r>
                    </m:sub>
                  </m:sSub>
                </m:num>
                <m:den>
                  <m:r>
                    <w:rPr>
                      <w:rFonts w:ascii="Cambria Math" w:hAnsi="Cambria Math" w:cs="Arial"/>
                      <w:sz w:val="16"/>
                      <w:szCs w:val="16"/>
                    </w:rPr>
                    <m:t>T</m:t>
                  </m:r>
                </m:den>
              </m:f>
            </m:oMath>
            <w:r w:rsidR="00C3628D" w:rsidRPr="00FD4F1A">
              <w:rPr>
                <w:rFonts w:ascii="Arial" w:eastAsiaTheme="minorEastAsia" w:hAnsi="Arial" w:cs="Arial"/>
                <w:sz w:val="16"/>
                <w:szCs w:val="16"/>
              </w:rPr>
              <w:t>(9)</w:t>
            </w:r>
          </w:p>
        </w:tc>
      </w:tr>
    </w:tbl>
    <w:p w:rsidR="00C3628D" w:rsidRDefault="00C3628D" w:rsidP="00441B6F">
      <w:pPr>
        <w:pStyle w:val="Body"/>
        <w:spacing w:after="0"/>
        <w:rPr>
          <w:rFonts w:ascii="Arial" w:hAnsi="Arial" w:cs="Arial"/>
        </w:rPr>
      </w:pPr>
    </w:p>
    <w:p w:rsidR="00C3628D" w:rsidRPr="00FD4F1A" w:rsidRDefault="00B93841" w:rsidP="00C3628D">
      <w:pPr>
        <w:jc w:val="both"/>
        <w:rPr>
          <w:rFonts w:ascii="Arial" w:eastAsiaTheme="minorEastAsia" w:hAnsi="Arial" w:cs="Arial"/>
        </w:rPr>
      </w:pPr>
      <m:oMath>
        <m:sSub>
          <m:sSubPr>
            <m:ctrlPr>
              <w:rPr>
                <w:rFonts w:ascii="Cambria Math" w:hAnsi="Cambria Math" w:cs="Arial"/>
                <w:i/>
              </w:rPr>
            </m:ctrlPr>
          </m:sSubPr>
          <m:e>
            <m:r>
              <w:rPr>
                <w:rFonts w:ascii="Cambria Math" w:hAnsi="Cambria Math" w:cs="Arial"/>
              </w:rPr>
              <m:t>E</m:t>
            </m:r>
          </m:e>
          <m:sub>
            <m:r>
              <w:rPr>
                <w:rFonts w:ascii="Cambria Math" w:hAnsi="Cambria Math" w:cs="Arial"/>
              </w:rPr>
              <m:t>a</m:t>
            </m:r>
          </m:sub>
        </m:sSub>
      </m:oMath>
      <w:r w:rsidR="00C3628D" w:rsidRPr="00FD4F1A">
        <w:rPr>
          <w:rFonts w:ascii="Arial" w:eastAsiaTheme="minorEastAsia" w:hAnsi="Arial" w:cs="Arial"/>
        </w:rPr>
        <w:t xml:space="preserve">: Activation </w:t>
      </w:r>
      <w:proofErr w:type="gramStart"/>
      <w:r w:rsidR="00C3628D" w:rsidRPr="00FD4F1A">
        <w:rPr>
          <w:rFonts w:ascii="Arial" w:eastAsiaTheme="minorEastAsia" w:hAnsi="Arial" w:cs="Arial"/>
        </w:rPr>
        <w:t>energy ;</w:t>
      </w:r>
      <w:proofErr w:type="gramEnd"/>
      <m:oMath>
        <m:r>
          <w:rPr>
            <w:rFonts w:ascii="Cambria Math" w:eastAsiaTheme="minorEastAsia" w:hAnsi="Cambria Math" w:cs="Arial"/>
          </w:rPr>
          <m:t xml:space="preserve">  </m:t>
        </m:r>
        <m:r>
          <w:rPr>
            <w:rFonts w:ascii="Cambria Math" w:hAnsi="Cambria Math" w:cs="Arial"/>
          </w:rPr>
          <m:t xml:space="preserve">A </m:t>
        </m:r>
      </m:oMath>
      <w:r w:rsidR="00C3628D" w:rsidRPr="00FD4F1A">
        <w:rPr>
          <w:rFonts w:ascii="Arial" w:eastAsiaTheme="minorEastAsia" w:hAnsi="Arial" w:cs="Arial"/>
        </w:rPr>
        <w:t xml:space="preserve">: Pre-exponential factor ; </w:t>
      </w:r>
      <m:oMath>
        <m:r>
          <w:rPr>
            <w:rFonts w:ascii="Cambria Math" w:hAnsi="Cambria Math" w:cs="Arial"/>
          </w:rPr>
          <m:t xml:space="preserve">α </m:t>
        </m:r>
      </m:oMath>
      <w:r w:rsidR="00C3628D" w:rsidRPr="00FD4F1A">
        <w:rPr>
          <w:rFonts w:ascii="Arial" w:eastAsiaTheme="minorEastAsia" w:hAnsi="Arial" w:cs="Arial"/>
        </w:rPr>
        <w:t xml:space="preserve">: Conversion rate ; </w:t>
      </w:r>
      <m:oMath>
        <m:r>
          <w:rPr>
            <w:rFonts w:ascii="Cambria Math" w:hAnsi="Cambria Math" w:cs="Arial"/>
          </w:rPr>
          <m:t xml:space="preserve">T </m:t>
        </m:r>
      </m:oMath>
      <w:r w:rsidR="00C3628D" w:rsidRPr="00FD4F1A">
        <w:rPr>
          <w:rFonts w:ascii="Arial" w:eastAsiaTheme="minorEastAsia" w:hAnsi="Arial" w:cs="Arial"/>
        </w:rPr>
        <w:t xml:space="preserve">: Temperature  ; </w:t>
      </w:r>
      <m:oMath>
        <m:r>
          <w:rPr>
            <w:rFonts w:ascii="Cambria Math" w:hAnsi="Cambria Math" w:cs="Arial"/>
          </w:rPr>
          <m:t>β</m:t>
        </m:r>
      </m:oMath>
      <w:r w:rsidR="00C3628D" w:rsidRPr="00FD4F1A">
        <w:rPr>
          <w:rFonts w:ascii="Arial" w:eastAsiaTheme="minorEastAsia" w:hAnsi="Arial" w:cs="Arial"/>
        </w:rPr>
        <w:t xml:space="preserve">: heating speed ; </w:t>
      </w:r>
      <m:oMath>
        <m:r>
          <m:rPr>
            <m:sty m:val="p"/>
          </m:rPr>
          <w:rPr>
            <w:rFonts w:ascii="Cambria Math" w:hAnsi="Cambria Math" w:cs="Arial"/>
          </w:rPr>
          <m:t xml:space="preserve">R </m:t>
        </m:r>
      </m:oMath>
      <w:r w:rsidR="00C3628D" w:rsidRPr="00FD4F1A">
        <w:rPr>
          <w:rFonts w:ascii="Arial" w:eastAsiaTheme="minorEastAsia" w:hAnsi="Arial" w:cs="Arial"/>
        </w:rPr>
        <w:t>: ideal gas constant</w:t>
      </w:r>
    </w:p>
    <w:p w:rsidR="00C3628D" w:rsidRDefault="00C3628D" w:rsidP="00C3628D">
      <w:pPr>
        <w:tabs>
          <w:tab w:val="left" w:pos="4047"/>
        </w:tabs>
        <w:jc w:val="both"/>
        <w:rPr>
          <w:rFonts w:ascii="Times New Roman" w:hAnsi="Times New Roman"/>
        </w:rPr>
      </w:pPr>
      <w:r w:rsidRPr="00FD4F1A">
        <w:rPr>
          <w:rFonts w:ascii="Arial" w:hAnsi="Arial" w:cs="Arial"/>
        </w:rPr>
        <w:t>Hu and al.</w:t>
      </w:r>
      <w:r w:rsidRPr="00FD4F1A">
        <w:rPr>
          <w:rFonts w:ascii="Arial" w:hAnsi="Arial" w:cs="Arial"/>
        </w:rPr>
        <w:fldChar w:fldCharType="begin"/>
      </w:r>
      <w:r w:rsidR="007819CF">
        <w:rPr>
          <w:rFonts w:ascii="Arial" w:hAnsi="Arial" w:cs="Arial"/>
        </w:rPr>
        <w:instrText xml:space="preserve"> ADDIN ZOTERO_ITEM CSL_CITATION {"citationID":"LN7JFuy9","properties":{"formattedCitation":"[19]","plainCitation":"[19]","noteIndex":0},"citationItems":[{"id":"KL15DYhl/R0RfLHLK","uris":["http://zotero.org/users/local/V8e1vJQi/items/36CYDF9E"],"itemData":{"id":188,"type":"article-journal","abstract":"Pyrolysis kinetics of pine wood, rice husk and bamboo (Bambusa chungii) were studied via thermogravimetric analysis technique under low heating rates. The result of model-free procedure showed that the lignocellulosic pyrolysis according to one-step reaction model is dominated by the diffusion effects. However, the complex features of variations are caused by the mechanism changes, which are hard to be determined. The distributed activation energy model (DAEM) kinetic results indicated that the activation energy distribution for pseudo components follows the orders of: E0(lignin) &gt; E0(cellulose) &gt; E0(hemicelluloses), r(lignin) &gt; r(hemicelluloses) &gt; r(cellulose). The Fraser–Suzuki deconvolution ﬁts better with the experimental data than DAEM. The pyrolysis mechanism of pseudo components after deconvolutions follows the theoretical models: third order model f(a) = (1 À a)3 for hemicelluloses and lignin, random scission model f(a) = 2(a1/2 À a) for cellulose. The apparent activation energy for pseudo hemicelluloses is 162.84 ± 26.45 kJ/mol for pine wood, 168.63 ± 28.47 kJ/mol for rice husk and 154.55 ± 26.49 kJ/mol for bamboo, respectively. The Ea value increases with the conversion with little deviation to its mean value. Similar Ea vs. a dependencies also are observed for pseudo celluloses, which has Ea of 188.14 ± 24.42 kJ/mol for pine wood, 206.71 ± 24.88 kJ/mol for rice husk and 190.45 ± 23.79 kJ/mol for bamboo, respectively.","container-title":"Energy Conversion and Management","DOI":"10.1016/j.enconman.2016.03.058","ISSN":"01968904","journalAbbreviation":"Energy Conversion and Management","language":"en","page":"1-11","source":"DOI.org (Crossref)","title":"Thermogravimetric kinetics of lignocellulosic biomass slow pyrolysis using distributed activation energy model, Fraser–Suzuki deconvolution, and iso-conversional method","volume":"118","author":[{"family":"Hu","given":"Mian"},{"family":"Chen","given":"Zhihua"},{"family":"Wang","given":"Shengkai"},{"family":"Guo","given":"Dabin"},{"family":"Ma","given":"Caifeng"},{"family":"Zhou","given":"Yan"},{"family":"Chen","given":"Jian"},{"family":"Laghari","given":"Mahmood"},{"family":"Fazal","given":"Saima"},{"family":"Xiao","given":"Bo"},{"family":"Zhang","given":"Beiping"},{"family":"Ma","given":"Shu"}],"issued":{"date-parts":[["2016",6]]}}}],"schema":"https://github.com/citation-style-language/schema/raw/master/csl-citation.json"} </w:instrText>
      </w:r>
      <w:r w:rsidRPr="00FD4F1A">
        <w:rPr>
          <w:rFonts w:ascii="Arial" w:hAnsi="Arial" w:cs="Arial"/>
        </w:rPr>
        <w:fldChar w:fldCharType="separate"/>
      </w:r>
      <w:r w:rsidR="007819CF" w:rsidRPr="007819CF">
        <w:rPr>
          <w:rFonts w:ascii="Arial" w:hAnsi="Arial" w:cs="Arial"/>
        </w:rPr>
        <w:t>[19]</w:t>
      </w:r>
      <w:r w:rsidRPr="00FD4F1A">
        <w:rPr>
          <w:rFonts w:ascii="Arial" w:hAnsi="Arial" w:cs="Arial"/>
        </w:rPr>
        <w:fldChar w:fldCharType="end"/>
      </w:r>
      <w:r w:rsidR="00B911D7" w:rsidRPr="00FD4F1A">
        <w:rPr>
          <w:rFonts w:ascii="Arial" w:hAnsi="Arial" w:cs="Arial"/>
        </w:rPr>
        <w:t xml:space="preserve"> </w:t>
      </w:r>
      <w:r w:rsidRPr="00FD4F1A">
        <w:rPr>
          <w:rFonts w:ascii="Arial" w:hAnsi="Arial" w:cs="Arial"/>
        </w:rPr>
        <w:t xml:space="preserve">determined the activation energy and pre-exponential factor </w:t>
      </w:r>
      <w:r w:rsidR="00B911D7" w:rsidRPr="00FD4F1A">
        <w:rPr>
          <w:rFonts w:ascii="Arial" w:hAnsi="Arial" w:cs="Arial"/>
        </w:rPr>
        <w:t>from the</w:t>
      </w:r>
      <w:r w:rsidRPr="00FD4F1A">
        <w:rPr>
          <w:rFonts w:ascii="Arial" w:hAnsi="Arial" w:cs="Arial"/>
        </w:rPr>
        <w:t xml:space="preserve"> distributed activation energy model (DAEM) and Fraser-Suzuki deconvolution of three biomasses, pine wood, rice husk and bamboo</w:t>
      </w:r>
      <w:r w:rsidRPr="00712A52">
        <w:rPr>
          <w:rFonts w:ascii="Times New Roman" w:hAnsi="Times New Roman"/>
        </w:rPr>
        <w:t>.</w:t>
      </w:r>
    </w:p>
    <w:p w:rsidR="000F30F8" w:rsidRPr="00FA1AF8" w:rsidRDefault="000F30F8" w:rsidP="00FA1AF8">
      <w:pPr>
        <w:pStyle w:val="ListParagraph"/>
        <w:numPr>
          <w:ilvl w:val="1"/>
          <w:numId w:val="41"/>
        </w:numPr>
        <w:tabs>
          <w:tab w:val="left" w:pos="4047"/>
        </w:tabs>
        <w:jc w:val="both"/>
        <w:rPr>
          <w:rFonts w:ascii="Arial" w:hAnsi="Arial" w:cs="Arial"/>
          <w:b/>
          <w:i/>
        </w:rPr>
      </w:pPr>
      <w:r w:rsidRPr="00FA1AF8">
        <w:rPr>
          <w:rFonts w:ascii="Arial" w:hAnsi="Arial" w:cs="Arial"/>
          <w:b/>
          <w:i/>
        </w:rPr>
        <w:t xml:space="preserve">Briquette </w:t>
      </w:r>
      <w:proofErr w:type="gramStart"/>
      <w:r w:rsidRPr="00FA1AF8">
        <w:rPr>
          <w:rFonts w:ascii="Arial" w:hAnsi="Arial" w:cs="Arial"/>
          <w:b/>
          <w:i/>
        </w:rPr>
        <w:t>production:</w:t>
      </w:r>
      <w:proofErr w:type="gramEnd"/>
      <w:r w:rsidRPr="00FA1AF8">
        <w:rPr>
          <w:rFonts w:ascii="Arial" w:hAnsi="Arial" w:cs="Arial"/>
          <w:b/>
          <w:i/>
        </w:rPr>
        <w:t xml:space="preserve"> </w:t>
      </w:r>
      <w:proofErr w:type="spellStart"/>
      <w:r w:rsidRPr="00FA1AF8">
        <w:rPr>
          <w:rFonts w:ascii="Arial" w:hAnsi="Arial" w:cs="Arial"/>
          <w:b/>
          <w:i/>
        </w:rPr>
        <w:t>quality</w:t>
      </w:r>
      <w:proofErr w:type="spellEnd"/>
      <w:r w:rsidRPr="00FA1AF8">
        <w:rPr>
          <w:rFonts w:ascii="Arial" w:hAnsi="Arial" w:cs="Arial"/>
          <w:b/>
          <w:i/>
        </w:rPr>
        <w:t>, performance and prospects</w:t>
      </w:r>
    </w:p>
    <w:p w:rsidR="000F30F8" w:rsidRPr="000F30F8" w:rsidRDefault="000F30F8" w:rsidP="000F30F8">
      <w:pPr>
        <w:tabs>
          <w:tab w:val="left" w:pos="4047"/>
        </w:tabs>
        <w:jc w:val="both"/>
        <w:rPr>
          <w:rFonts w:ascii="Arial" w:hAnsi="Arial" w:cs="Arial"/>
        </w:rPr>
      </w:pPr>
      <w:r w:rsidRPr="000F30F8">
        <w:rPr>
          <w:rFonts w:ascii="Arial" w:hAnsi="Arial" w:cs="Arial"/>
        </w:rPr>
        <w:t>Briquette production from biomass residues requires a thorough understanding of the interactions between manufacturing parameters and raw material properties. Comparativ</w:t>
      </w:r>
      <w:r w:rsidR="00064490">
        <w:rPr>
          <w:rFonts w:ascii="Arial" w:hAnsi="Arial" w:cs="Arial"/>
        </w:rPr>
        <w:t xml:space="preserve">e studies by </w:t>
      </w:r>
      <w:proofErr w:type="spellStart"/>
      <w:r w:rsidR="00064490">
        <w:rPr>
          <w:rFonts w:ascii="Arial" w:hAnsi="Arial" w:cs="Arial"/>
        </w:rPr>
        <w:t>Bisen</w:t>
      </w:r>
      <w:proofErr w:type="spellEnd"/>
      <w:r w:rsidR="00064490">
        <w:rPr>
          <w:rFonts w:ascii="Arial" w:hAnsi="Arial" w:cs="Arial"/>
        </w:rPr>
        <w:t xml:space="preserve"> et al. </w:t>
      </w:r>
      <w:r w:rsidR="00D71981">
        <w:rPr>
          <w:rFonts w:ascii="Arial" w:hAnsi="Arial" w:cs="Arial"/>
        </w:rPr>
        <w:t xml:space="preserve"> </w:t>
      </w:r>
      <w:r w:rsidRPr="000F30F8">
        <w:rPr>
          <w:rFonts w:ascii="Arial" w:hAnsi="Arial" w:cs="Arial"/>
        </w:rPr>
        <w:fldChar w:fldCharType="begin"/>
      </w:r>
      <w:r w:rsidR="007819CF">
        <w:rPr>
          <w:rFonts w:ascii="Arial" w:hAnsi="Arial" w:cs="Arial"/>
        </w:rPr>
        <w:instrText xml:space="preserve"> ADDIN ZOTERO_ITEM CSL_CITATION {"citationID":"6e2p7OXi","properties":{"formattedCitation":"[21]","plainCitation":"[21]","noteIndex":0},"citationItems":[{"id":"KL15DYhl/SofMrxSS","uris":["http://zotero.org/users/local/V8e1vJQi/items/8XG4CAG8"],"itemData":{"id":37,"type":"article-journal","abstract":"Briquettes are used as a substitute for conventional energy sources nowadays in industrial, household &amp; in waste to energy electricity generation purposes. Traditional known briquettes ingredients like cow dung, straw, sugarcane bagasse, maize stalk, coconut husks, leaves, groundnut shells and rice husk are used for briquettes manufacturing. This paper provides the signiﬁcant information of manufacturing of briquettes using poultry litter &amp; plant weeds as an ingredient for briquettes manufacturing instead of using traditional ingredients &amp; compare with rice husk briquettes which are most commonly used briquette in the agricultural sector for energy generation. In this paper investigations were carried out on the physical, proximate and ultimate analysis of poultry litter &amp; plant weed mixed briquette produced from a block mould briquetting machine, characterization was carried out according to established standards, physical properties were determined by direct measurements. The physical properties investigation indicate height of briquette (0.21 m), diameter of briquette (0.08 m), mass of briquette (1.3 kg), volume of briquette (0.001 m3), maximum density (1300 kg/m3), relaxed density (700 kg/m3), density ratio (0.53), relaxation ratio (1.85), bulk density (355.27 g/cm3), colour (black &amp; brown), texture (rough). The characterization includes proximate &amp; ultimate analysis which results: Moisture (9.22%), Ash content (9.09%), Volatile matter (24.30%), ﬁxed Carbon (10.29%), gross caloriﬁc value (18.42 MJ/kg), Sulphur (0.70%), Nitrogen (0.85%), above results indicates low moisture content, ash content than rice husk briquettes and satisfactory percentage of volatile matter &amp; caloriﬁc value which justiﬁes its better viability or as a better replacement for rice husk briquettes &amp; also for gasiﬁcation. Due to improved density poultry weed, mixed briquettes are also better suitable for storage having good shelf life &amp; fewer transportation breakages. Thermo-gravimetric Analyzer (TGA) analysis indicates the thermal decomposition of the PLPWBB in three stages with maximum weight loss of 59.96% at the second stage at a temperature range 150–600 °C with a total weight loss of 81.67% on completion.","container-title":"Materials Today: Proceedings","DOI":"10.1016/j.matpr.2020.09.130","ISSN":"22147853","journalAbbreviation":"Materials Today: Proceedings","language":"en","license":"https://www.elsevier.com/tdm/userlicense/1.0/","page":"5428-5432","source":"DOI.org (Crossref)","title":"Development and experimental characterization of energy efficient poultry litter &amp; plant weeds based briquettes (PLPWBB) by comparing with rice husk briquettes","volume":"46","author":[{"family":"Bisen","given":"Keshav Singh"},{"family":"Sharma","given":"Prashant"},{"family":"Gupta","given":"Bhupendra"},{"family":"Baredar","given":"Prashant"}],"issued":{"date-parts":[["2020"]]}}}],"schema":"https://github.com/citation-style-language/schema/raw/master/csl-citation.json"} </w:instrText>
      </w:r>
      <w:r w:rsidRPr="000F30F8">
        <w:rPr>
          <w:rFonts w:ascii="Arial" w:hAnsi="Arial" w:cs="Arial"/>
        </w:rPr>
        <w:fldChar w:fldCharType="separate"/>
      </w:r>
      <w:r w:rsidR="007819CF" w:rsidRPr="007819CF">
        <w:rPr>
          <w:rFonts w:ascii="Arial" w:hAnsi="Arial" w:cs="Arial"/>
        </w:rPr>
        <w:t>[21]</w:t>
      </w:r>
      <w:r w:rsidRPr="000F30F8">
        <w:rPr>
          <w:rFonts w:ascii="Arial" w:hAnsi="Arial" w:cs="Arial"/>
        </w:rPr>
        <w:fldChar w:fldCharType="end"/>
      </w:r>
      <w:r w:rsidR="00064490">
        <w:rPr>
          <w:rFonts w:ascii="Arial" w:hAnsi="Arial" w:cs="Arial"/>
        </w:rPr>
        <w:t xml:space="preserve"> and </w:t>
      </w:r>
      <w:proofErr w:type="spellStart"/>
      <w:r w:rsidR="00064490">
        <w:rPr>
          <w:rFonts w:ascii="Arial" w:hAnsi="Arial" w:cs="Arial"/>
        </w:rPr>
        <w:t>Gendek</w:t>
      </w:r>
      <w:proofErr w:type="spellEnd"/>
      <w:r w:rsidR="00064490">
        <w:rPr>
          <w:rFonts w:ascii="Arial" w:hAnsi="Arial" w:cs="Arial"/>
        </w:rPr>
        <w:t xml:space="preserve"> et al. </w:t>
      </w:r>
      <w:r w:rsidRPr="000F30F8">
        <w:rPr>
          <w:rFonts w:ascii="Arial" w:hAnsi="Arial" w:cs="Arial"/>
        </w:rPr>
        <w:fldChar w:fldCharType="begin"/>
      </w:r>
      <w:r w:rsidR="007819CF">
        <w:rPr>
          <w:rFonts w:ascii="Arial" w:hAnsi="Arial" w:cs="Arial"/>
        </w:rPr>
        <w:instrText xml:space="preserve"> ADDIN ZOTERO_ITEM CSL_CITATION {"citationID":"xOfNY4iT","properties":{"formattedCitation":"[22]","plainCitation":"[22]","noteIndex":0},"citationItems":[{"id":"KL15DYhl/hfXJ59GZ","uris":["http://zotero.org/users/local/V8e1vJQi/items/LSADKTEH"],"itemData":{"id":41,"type":"article-journal","abstract":"The aim of the research was to determine the production viability and mechanical durability of briquettes made of shredded cones of three species: Scots pine, Norway spruce and European larch The agglomeration was carried out under constant operating conditions (at 20% of material moisture content, briquette diameter of 50 mm, at throughput of 50 kg h−1) in an industrial briquetting press. The particle size distribution of the shredded material was determined. The produced briquettes were evaluated for their density, mechanical durability and compressive strength. At moisture content of approximately 20%, the highest briquette density (1078 kg m−3), durability (97.87%) and compressive strength (9.69 MPa) were obtained for spruce briquettes. Pine cone briquettes showed the lowest density (938 kg m−3) and compressive strength (2.81 MPa), while larch cone briquettes had the lowest durability (87.58%). The produced briquettes were of high quality in terms of physical and mechanical characteristics. The novelty of research was the use of crushed cones of coniferous species, which are waste in seed extraction facilities, and due to the low bulk density, they are diﬃcult to store and transport over long distances. After agglomeration, they form briquettes with good physical and mechanical parameters that can be used in local heating plants and stoves.","container-title":"Biomass and Bioenergy","DOI":"10.1016/j.biombioe.2018.07.025","ISSN":"09619534","journalAbbreviation":"Biomass and Bioenergy","language":"en","page":"173-179","source":"DOI.org (Crossref)","title":"Evaluation of selected physical and mechanical properties of briquettes produced from cones of three coniferous tree species","volume":"117","author":[{"family":"Gendek","given":"Arkadiusz"},{"family":"Aniszewska","given":"Monika"},{"family":"Malaťák","given":"Jan"},{"family":"Velebil","given":"Jan"}],"issued":{"date-parts":[["2018",10]]}}}],"schema":"https://github.com/citation-style-language/schema/raw/master/csl-citation.json"} </w:instrText>
      </w:r>
      <w:r w:rsidRPr="000F30F8">
        <w:rPr>
          <w:rFonts w:ascii="Arial" w:hAnsi="Arial" w:cs="Arial"/>
        </w:rPr>
        <w:fldChar w:fldCharType="separate"/>
      </w:r>
      <w:r w:rsidR="007819CF" w:rsidRPr="007819CF">
        <w:rPr>
          <w:rFonts w:ascii="Arial" w:hAnsi="Arial" w:cs="Arial"/>
        </w:rPr>
        <w:t>[22]</w:t>
      </w:r>
      <w:r w:rsidRPr="000F30F8">
        <w:rPr>
          <w:rFonts w:ascii="Arial" w:hAnsi="Arial" w:cs="Arial"/>
        </w:rPr>
        <w:fldChar w:fldCharType="end"/>
      </w:r>
      <w:r w:rsidR="00DD79E3">
        <w:rPr>
          <w:rFonts w:ascii="Arial" w:hAnsi="Arial" w:cs="Arial"/>
        </w:rPr>
        <w:t xml:space="preserve"> </w:t>
      </w:r>
      <w:r w:rsidRPr="000F30F8">
        <w:rPr>
          <w:rFonts w:ascii="Arial" w:hAnsi="Arial" w:cs="Arial"/>
        </w:rPr>
        <w:t>showed that biomass composition, along with particle size and moisture, directly influence the density, durability, and calorific value of briquettes. Furthermore, re</w:t>
      </w:r>
      <w:r w:rsidR="00064490">
        <w:rPr>
          <w:rFonts w:ascii="Arial" w:hAnsi="Arial" w:cs="Arial"/>
        </w:rPr>
        <w:t xml:space="preserve">search by Philippe et al. </w:t>
      </w:r>
      <w:r w:rsidRPr="000F30F8">
        <w:rPr>
          <w:rFonts w:ascii="Arial" w:hAnsi="Arial" w:cs="Arial"/>
        </w:rPr>
        <w:t xml:space="preserve"> revealed that briquettes made from peanut and cashew shells have high calorific value but high ash content, posing a challenge for their large-scale use</w:t>
      </w:r>
      <w:r w:rsidR="00DD79E3">
        <w:rPr>
          <w:rFonts w:ascii="Arial" w:hAnsi="Arial" w:cs="Arial"/>
        </w:rPr>
        <w:t xml:space="preserve"> </w:t>
      </w:r>
      <w:r w:rsidRPr="000F30F8">
        <w:rPr>
          <w:rFonts w:ascii="Arial" w:hAnsi="Arial" w:cs="Arial"/>
        </w:rPr>
        <w:fldChar w:fldCharType="begin"/>
      </w:r>
      <w:r w:rsidR="007819CF">
        <w:rPr>
          <w:rFonts w:ascii="Arial" w:hAnsi="Arial" w:cs="Arial"/>
        </w:rPr>
        <w:instrText xml:space="preserve"> ADDIN ZOTERO_ITEM CSL_CITATION {"citationID":"AXIZ8DSc","properties":{"formattedCitation":"[23]","plainCitation":"[23]","noteIndex":0},"citationItems":[{"id":"KL15DYhl/LYzvG3jY","uris":["http://zotero.org/users/local/V8e1vJQi/items/FSS52SFK"],"itemData":{"id":76,"type":"article-journal","abstract":"In this study, carbonized peanut shells, cashew shells and millet stalks were used as raw materials to produce coal briquettes. Clay and arabic gum were applied as binders during briquetting by use of manual press. Physicochemical and mechanical tests of the obtained briquettes were conducted. The results show that the lower heating values of coal briquettes remain higher to that of wood; however, their ash contents are very high compared to wood. Combustion of coal briquettes samples show also that coal briquettes of peanut shells, cashew shells, and millet stalks ignite respectively at 312, 202.5 and 150.5°C. Bulk densities of these briquettes are respectively 543, 765 and 579 kg/m3. Briquette made with arabic gum presents mechanical compressive strength above 1 MPa.","container-title":"African Journal of Environmental Science and Technology","DOI":"10.5897/AJEST2018.2568","ISSN":"1996-0786","issue":"12","journalAbbreviation":"Afr. J. Environ. Sci. Technol.","language":"en","page":"480-486","source":"DOI.org (Crossref)","title":"Physicochemical and mechanical properties of biomass coal briquettes produced by artisanal method","volume":"12","author":[{"family":"Philippe","given":"Bernard Himbane"},{"family":"Lat","given":"Grand Ndiaye"},{"family":"Alfredo","given":"Napoli"},{"family":"Diouma","given":"Kobor"}],"issued":{"date-parts":[["2018",12,31]]}}}],"schema":"https://github.com/citation-style-language/schema/raw/master/csl-citation.json"} </w:instrText>
      </w:r>
      <w:r w:rsidRPr="000F30F8">
        <w:rPr>
          <w:rFonts w:ascii="Arial" w:hAnsi="Arial" w:cs="Arial"/>
        </w:rPr>
        <w:fldChar w:fldCharType="separate"/>
      </w:r>
      <w:r w:rsidR="007819CF" w:rsidRPr="007819CF">
        <w:rPr>
          <w:rFonts w:ascii="Arial" w:hAnsi="Arial" w:cs="Arial"/>
        </w:rPr>
        <w:t>[23]</w:t>
      </w:r>
      <w:r w:rsidRPr="000F30F8">
        <w:rPr>
          <w:rFonts w:ascii="Arial" w:hAnsi="Arial" w:cs="Arial"/>
        </w:rPr>
        <w:fldChar w:fldCharType="end"/>
      </w:r>
      <w:r w:rsidRPr="000F30F8">
        <w:rPr>
          <w:rFonts w:ascii="Arial" w:hAnsi="Arial" w:cs="Arial"/>
        </w:rPr>
        <w:t>.</w:t>
      </w:r>
    </w:p>
    <w:p w:rsidR="00C3628D" w:rsidRDefault="000F30F8" w:rsidP="00C14910">
      <w:pPr>
        <w:tabs>
          <w:tab w:val="left" w:pos="4047"/>
        </w:tabs>
        <w:jc w:val="both"/>
        <w:rPr>
          <w:rFonts w:ascii="Arial" w:hAnsi="Arial" w:cs="Arial"/>
        </w:rPr>
      </w:pPr>
      <w:r w:rsidRPr="000F30F8">
        <w:rPr>
          <w:rFonts w:ascii="Arial" w:hAnsi="Arial" w:cs="Arial"/>
        </w:rPr>
        <w:t>The addition of binders and the mixing of different biomasses have been identified as strategies to improve the performance of briquettes, as demonstrated by t</w:t>
      </w:r>
      <w:r w:rsidR="00064490">
        <w:rPr>
          <w:rFonts w:ascii="Arial" w:hAnsi="Arial" w:cs="Arial"/>
        </w:rPr>
        <w:t xml:space="preserve">he work of </w:t>
      </w:r>
      <w:proofErr w:type="spellStart"/>
      <w:r w:rsidR="00064490">
        <w:rPr>
          <w:rFonts w:ascii="Arial" w:hAnsi="Arial" w:cs="Arial"/>
        </w:rPr>
        <w:t>Ndindeng</w:t>
      </w:r>
      <w:proofErr w:type="spellEnd"/>
      <w:r w:rsidR="00064490">
        <w:rPr>
          <w:rFonts w:ascii="Arial" w:hAnsi="Arial" w:cs="Arial"/>
        </w:rPr>
        <w:t xml:space="preserve"> et al.</w:t>
      </w:r>
      <w:r w:rsidRPr="000F30F8">
        <w:rPr>
          <w:rFonts w:ascii="Arial" w:hAnsi="Arial" w:cs="Arial"/>
        </w:rPr>
        <w:fldChar w:fldCharType="begin"/>
      </w:r>
      <w:r w:rsidR="007819CF">
        <w:rPr>
          <w:rFonts w:ascii="Arial" w:hAnsi="Arial" w:cs="Arial"/>
        </w:rPr>
        <w:instrText xml:space="preserve"> ADDIN ZOTERO_ITEM CSL_CITATION {"citationID":"iwjwrvmG","properties":{"formattedCitation":"[24]","plainCitation":"[24]","noteIndex":0},"citationItems":[{"id":"KL15DYhl/7O9A1AMN","uris":["http://zotero.org/users/local/V8e1vJQi/items/38KLJNJ2"],"itemData":{"id":43,"type":"article-journal","abstract":"In order to produce briquettes that meet the needs of consumers, different combinations of raw materials and methods were used to produce rice-husk briquettes using a locally fabricated multi-piston press. Particle size, husk–bran ratio, drying method, and water temperature for briquetting were the main inﬂuencers of the hardness of rice-husk briquettes at constant pressure. The briquetting process increased the density of rice husk from 120 to 600 kg/m3. The average time for making nine briquettes (loading, compressing, ejection, and transfer to drying tray) was 3.6 min (150 briquettes/h) using the locally fabricated piston press. Briquettes produced using ﬁne particles (b 0.3 mm), hot (97 °C) water, husk–bran ratios of 0:1, 1:2, 1:1, 1:0, 2:1, and dried in the sun for 21 days had mean hardness values of 132, 89, 76, 62, and 31 N. Four types of fuel briquettes were produced: husk–bran–palm press ﬁber (HBF), husk–bran–palm press sludge (HBS), husk–bran only (HBO), and husk–biochar–clay (HBC). The four types of briquettes recorded shorter start-up time (b 5 min) than charcoal (10 min). The average ﬂame temperatures of HBF, HBS, and HBO during the ﬁrst 20 min were higher (898 °C) than the average temperature of charcoal (546 °C). The characteristics of HBF and HBO briquettes provide the best option for consumers, especially those in the rice parboiling industry, as these briquettes recorded the following values for hardness (170 and 101 N, respectively), start-up time (2 and 3 min), burning rate (126 and 145 g/min), speciﬁc fuel consumption (121 and 136 g/l), and ﬂame temperature (684 °C and 728 °C). It was concluded that briquettes could be produced from rice-milling by-products with acceptable quality using this affordable technology.","container-title":"Energy for Sustainable Development","DOI":"10.1016/j.esd.2015.09.003","ISSN":"09730826","journalAbbreviation":"Energy for Sustainable Development","language":"en","page":"24-31","source":"DOI.org (Crossref)","title":"Quality optimization in briquettes made from rice milling by-products","volume":"29","author":[{"family":"Ndindeng","given":"S.A."},{"family":"Mbassi","given":"J.E.G."},{"family":"Mbacham","given":"W.F."},{"family":"Manful","given":"J."},{"family":"Graham-Acquaah","given":"S."},{"family":"Moreira","given":"J."},{"family":"Dossou","given":"J."},{"family":"Futakuchi","given":"K."}],"issued":{"date-parts":[["2015",12]]}}}],"schema":"https://github.com/citation-style-language/schema/raw/master/csl-citation.json"} </w:instrText>
      </w:r>
      <w:r w:rsidRPr="000F30F8">
        <w:rPr>
          <w:rFonts w:ascii="Arial" w:hAnsi="Arial" w:cs="Arial"/>
        </w:rPr>
        <w:fldChar w:fldCharType="separate"/>
      </w:r>
      <w:r w:rsidR="007819CF" w:rsidRPr="007819CF">
        <w:rPr>
          <w:rFonts w:ascii="Arial" w:hAnsi="Arial" w:cs="Arial"/>
        </w:rPr>
        <w:t>[24]</w:t>
      </w:r>
      <w:r w:rsidRPr="000F30F8">
        <w:rPr>
          <w:rFonts w:ascii="Arial" w:hAnsi="Arial" w:cs="Arial"/>
        </w:rPr>
        <w:fldChar w:fldCharType="end"/>
      </w:r>
      <w:r w:rsidR="00064490">
        <w:rPr>
          <w:rFonts w:ascii="Arial" w:hAnsi="Arial" w:cs="Arial"/>
        </w:rPr>
        <w:t xml:space="preserve"> </w:t>
      </w:r>
      <w:r w:rsidRPr="000F30F8">
        <w:rPr>
          <w:rFonts w:ascii="Arial" w:hAnsi="Arial" w:cs="Arial"/>
        </w:rPr>
        <w:t xml:space="preserve">and </w:t>
      </w:r>
      <w:proofErr w:type="spellStart"/>
      <w:r w:rsidR="00DD79E3">
        <w:rPr>
          <w:rFonts w:ascii="Arial" w:hAnsi="Arial" w:cs="Arial"/>
        </w:rPr>
        <w:t>Waheed</w:t>
      </w:r>
      <w:proofErr w:type="spellEnd"/>
      <w:r w:rsidR="00DD79E3">
        <w:rPr>
          <w:rFonts w:ascii="Arial" w:hAnsi="Arial" w:cs="Arial"/>
        </w:rPr>
        <w:t xml:space="preserve"> et al.</w:t>
      </w:r>
      <w:r w:rsidRPr="000F30F8">
        <w:rPr>
          <w:rFonts w:ascii="Arial" w:hAnsi="Arial" w:cs="Arial"/>
        </w:rPr>
        <w:fldChar w:fldCharType="begin"/>
      </w:r>
      <w:r w:rsidR="007819CF">
        <w:rPr>
          <w:rFonts w:ascii="Arial" w:hAnsi="Arial" w:cs="Arial"/>
        </w:rPr>
        <w:instrText xml:space="preserve"> ADDIN ZOTERO_ITEM CSL_CITATION {"citationID":"Q4ATNmZ6","properties":{"formattedCitation":"[16]","plainCitation":"[16]","noteIndex":0},"citationItems":[{"id":"KL15DYhl/T71yCoEH","uris":["http://zotero.org/users/local/V8e1vJQi/items/H2N8DCWK"],"itemData":{"id":59,"type":"article-journal","abstract":"This study investigated the influence of feedstock mixture on the fuel characteristics of briquettes produced from sawdust (SD), cornhusk (CH), and cassava peels (CP) for domestic and industrial applications. The feedstock was each studied singly and mixed in the ratio 30/70, 50/50, and 70/30 with the binder to feedstock ratio of 20:100 by mass for briquette production and characterization. The elemental and proximate analyses were carried out to evaluate fuel properties. The briquette structural arrangement was determined with the Scanning Electron Microscope and Energy Dispersive X-Ray Detector, while the functional groups was obtained from FTIR analyzer. A non-isothermal Coats-Redfern method was carried out to determine the activation energy and pre-exponential factors. The O/C and H/C ratios slightly decrease when the mixing ratio of sawdust with other feedstocks increased. The bonding of the briquette samples was enhanced by blending CH with other feedstocks, thereby improving the structural integrity of the mixed briquettes and closing the gaps and voids within and between particles. The highest infrared transmittance of C–H, OH, C–O, and C=C was found in SD briquette followed by CH and CP while CH briquette contained higher C–C. The activation energy of the briquettes varied between 39.70 and 60.76 kJ/mol. The hypothetical thermal plant analysis of the briquettes shows that mixed CH/CP and CH/SD respectively reduced the potential for C­ O2 and N­ O2 emissions. Furthermore, Ca, P, and K played the most significant role in the briquette’s agglomeration. The mixing of feedstocks for briquettes production has great fuel potential for heating applications.","container-title":"Biomass Conversion and Biorefinery","DOI":"10.1007/s13399-023-04039-6","ISSN":"2190-6815, 2190-6823","issue":"17","journalAbbreviation":"Biomass Conv. Bioref.","language":"en","page":"16211-16226","source":"DOI.org (Crossref)","title":"Influence of feedstock mixtures on the fuel characteristics of blended cornhusk, cassava peels, and sawdust briquettes","volume":"13","author":[{"family":"Waheed","given":"M. A."},{"family":"Akogun","given":"O. A."},{"family":"Enweremadu","given":"C. C."}],"issued":{"date-parts":[["2023",11]]}}}],"schema":"https://github.com/citation-style-language/schema/raw/master/csl-citation.json"} </w:instrText>
      </w:r>
      <w:r w:rsidRPr="000F30F8">
        <w:rPr>
          <w:rFonts w:ascii="Arial" w:hAnsi="Arial" w:cs="Arial"/>
        </w:rPr>
        <w:fldChar w:fldCharType="separate"/>
      </w:r>
      <w:r w:rsidR="007819CF" w:rsidRPr="007819CF">
        <w:rPr>
          <w:rFonts w:ascii="Arial" w:hAnsi="Arial" w:cs="Arial"/>
        </w:rPr>
        <w:t>[16]</w:t>
      </w:r>
      <w:r w:rsidRPr="000F30F8">
        <w:rPr>
          <w:rFonts w:ascii="Arial" w:hAnsi="Arial" w:cs="Arial"/>
        </w:rPr>
        <w:fldChar w:fldCharType="end"/>
      </w:r>
      <w:r w:rsidRPr="000F30F8">
        <w:rPr>
          <w:rFonts w:ascii="Arial" w:hAnsi="Arial" w:cs="Arial"/>
        </w:rPr>
        <w:t>, which respectively optimized the quality of rice husk briquettes and reduced pollutant emissions from mixed briquettes. Chemical demineralization techniques,</w:t>
      </w:r>
      <w:r w:rsidR="00DD79E3">
        <w:rPr>
          <w:rFonts w:ascii="Arial" w:hAnsi="Arial" w:cs="Arial"/>
        </w:rPr>
        <w:t xml:space="preserve"> explored by Tang et al.</w:t>
      </w:r>
      <w:r w:rsidRPr="000F30F8">
        <w:rPr>
          <w:rFonts w:ascii="Arial" w:hAnsi="Arial" w:cs="Arial"/>
        </w:rPr>
        <w:t>, also showed potential to improve briquette combustion while reducing ash emissions</w:t>
      </w:r>
      <w:r w:rsidR="00D71981">
        <w:rPr>
          <w:rFonts w:ascii="Arial" w:hAnsi="Arial" w:cs="Arial"/>
        </w:rPr>
        <w:t xml:space="preserve"> </w:t>
      </w:r>
      <w:r w:rsidRPr="000F30F8">
        <w:rPr>
          <w:rFonts w:ascii="Arial" w:hAnsi="Arial" w:cs="Arial"/>
        </w:rPr>
        <w:fldChar w:fldCharType="begin"/>
      </w:r>
      <w:r w:rsidR="007819CF">
        <w:rPr>
          <w:rFonts w:ascii="Arial" w:hAnsi="Arial" w:cs="Arial"/>
        </w:rPr>
        <w:instrText xml:space="preserve"> ADDIN ZOTERO_ITEM CSL_CITATION {"citationID":"nVyU4JYX","properties":{"formattedCitation":"[25]","plainCitation":"[25]","noteIndex":0},"citationItems":[{"id":"KL15DYhl/rcz66h4B","uris":["http://zotero.org/users/local/V8e1vJQi/items/L2CZHQWJ"],"itemData":{"id":55,"type":"article-journal","abstract":"In order to explore the inﬂuence of diﬀerent chemical demineralizations on coal combustion characteristics and combustion kinetics, ﬁve coals subjected to diﬀerent chemical demineralization processes were investigated via thermogravimetric analysis. The ash contents of clean coal was reduced to 0.1−1.55% after diﬀerent chemical demineralizations. The ignition temperature of coal decreased by 12−69 °C, and the peak temperature decreased by 7−62 °C. The burnout temperature of clean coal increased by 63 °C after demineralization by NaOH. The adsorption of noncombustible NaOH into the porous structure of TaiXi-3 caused an increase in burnout temperature. Alkali-soluble minerals were proven to have a negative eﬀect on the combustion performance of coal, while acid-soluble minerals had the opposite eﬀect. The combustion kinetics of ﬁve kinds of coals at a heating rate of 10 °C/min was investigated. The activation energy of coal obviously changes before and after demineralization (58.39−91.39 kJ mol−1). The activation energy of clean coal is obviously lower than that of raw coal.","container-title":"ACS Omega","DOI":"10.1021/acsomega.2c00522","ISSN":"2470-1343, 2470-1343","issue":"16","journalAbbreviation":"ACS Omega","language":"en","license":"https://creativecommons.org/licenses/by-nc-nd/4.0/","page":"13998-14008","source":"DOI.org (Crossref)","title":"Thermogravimetric Analysis of the Combustion Characteristics and Combustion Kinetics of Coals Subjected to Different Chemical Demineralization Processes","volume":"7","author":[{"family":"Tang","given":"Lei"},{"family":"Xiao","given":"Jin"},{"family":"Mao","given":"Qiuyun"},{"family":"Zhang","given":"Zhenhua"},{"family":"Yao","given":"Zhen"},{"family":"Zhu","given":"Xiangdong"},{"family":"Ye","given":"Shengchao"},{"family":"Zhong","given":"Qifan"}],"issued":{"date-parts":[["2022",4,26]]}}}],"schema":"https://github.com/citation-style-language/schema/raw/master/csl-citation.json"} </w:instrText>
      </w:r>
      <w:r w:rsidRPr="000F30F8">
        <w:rPr>
          <w:rFonts w:ascii="Arial" w:hAnsi="Arial" w:cs="Arial"/>
        </w:rPr>
        <w:fldChar w:fldCharType="separate"/>
      </w:r>
      <w:r w:rsidR="007819CF" w:rsidRPr="007819CF">
        <w:rPr>
          <w:rFonts w:ascii="Arial" w:hAnsi="Arial" w:cs="Arial"/>
        </w:rPr>
        <w:t>[25]</w:t>
      </w:r>
      <w:r w:rsidRPr="000F30F8">
        <w:rPr>
          <w:rFonts w:ascii="Arial" w:hAnsi="Arial" w:cs="Arial"/>
        </w:rPr>
        <w:fldChar w:fldCharType="end"/>
      </w:r>
      <w:r w:rsidRPr="000F30F8">
        <w:rPr>
          <w:rFonts w:ascii="Arial" w:hAnsi="Arial" w:cs="Arial"/>
        </w:rPr>
        <w:t>. Studies on co-pyrolysis, su</w:t>
      </w:r>
      <w:r w:rsidR="00DD79E3">
        <w:rPr>
          <w:rFonts w:ascii="Arial" w:hAnsi="Arial" w:cs="Arial"/>
        </w:rPr>
        <w:t>ch as that of Singh et al.</w:t>
      </w:r>
      <w:r w:rsidRPr="000F30F8">
        <w:rPr>
          <w:rFonts w:ascii="Arial" w:hAnsi="Arial" w:cs="Arial"/>
        </w:rPr>
        <w:fldChar w:fldCharType="begin"/>
      </w:r>
      <w:r w:rsidR="007819CF">
        <w:rPr>
          <w:rFonts w:ascii="Arial" w:hAnsi="Arial" w:cs="Arial"/>
        </w:rPr>
        <w:instrText xml:space="preserve"> ADDIN ZOTERO_ITEM CSL_CITATION {"citationID":"gZhoULH4","properties":{"formattedCitation":"[10]","plainCitation":"[10]","noteIndex":0},"citationItems":[{"id":"KL15DYhl/6jKnaCFI","uris":["http://zotero.org/users/local/V8e1vJQi/items/LBF9FW75"],"itemData":{"id":136,"type":"article-journal","abstract":"The knowledge on thermo-kinetics, synergistic effect, and reaction mechanism of pyrolysis/co-pyrolysis of biomass with plastics is crucial for designing efﬁcient reactor system and subsequently the pyrolysis/co-pyrolysis process. The present work explores thermal response, kinetics, reaction mechanism and thermodynamic analysis of pyrolysis and co-pyrolysis of individual corn cob (CC) and polyethylene (PE), and their blend in the ratio of 3:1 (w/w). Thermogravimetric analysis (TGA) data was obtained under inert atmosphere at various heating rates of 10, 20, and 30 °C/min and synergistic effect in the co-pyrolysis of CC and PE is discussed. The obtained TGA data was processed using various model-free isoconversional methods like KAS, FWO, Friedman, Starink, and Vyazovkin for determination of kinetics of pyrolysis/co-pyrolysis process of CC and PE. Average activation energy for CC pyrolysis was estimated to be 240 ± 51.25 kJ/mol, 240 ± 51.51 kJ/mol, 237 ± 49.67 kJ/mol, and 245 ± 52.10 kJ/mol according to KAS, Starink, FWO, and Vyazovkin models, respectively. Statistical analysis showed that the variation in reported values of activation energy was not signiﬁcantly different (p = 0.994). Similar statistically insigniﬁcant difference was also observed for pyrolysis of PE and co-pyrolysis of CC and PE. Results showed that co-pyrolysis (CC + PE) requires 10% less activation energy than pyrolysis of CC alone. For the copyrolysis process, the extent of synergistic effect was discussed by difference in mass loss (ΔW). Investigation also revealed that residue left for co-pyrolysis of CC and PE is 50% less than pyrolysis of CC alone showing synergistic effect during co-pyrolysis. Thermodynamic parameters were calculated to illustrate complex mechanism of the process. Third order reaction, 3D diffusion Jander, and Ginstling–Brounshtein (D4) models were found to be best ﬁtted for CC pyrolysis, PE pyrolysis, and co-pyrolysis, respectively. Results obtained are expected to be useful in the design of corn cob and waste polyethylene co-pyrolysis systems.","container-title":"Science of The Total Environment","DOI":"10.1016/j.scitotenv.2021.147004","ISSN":"00489697","journalAbbreviation":"Science of The Total Environment","language":"en","page":"147004","source":"DOI.org (Crossref)","title":"Studies on individual pyrolysis and co-pyrolysis of corn cob and polyethylene: Thermal degradation behavior, possible synergism, kinetics, and thermodynamic analysis","title-short":"Studies on individual pyrolysis and co-pyrolysis of corn cob and polyethylene","volume":"783","author":[{"family":"Singh","given":"Sanjay"},{"family":"Patil","given":"Trilok"},{"family":"Tekade","given":"Shyam P."},{"family":"Gawande","given":"Manoj B."},{"family":"Sawarkar","given":"Ashish N."}],"issued":{"date-parts":[["2021",8]]}}}],"schema":"https://github.com/citation-style-language/schema/raw/master/csl-citation.json"} </w:instrText>
      </w:r>
      <w:r w:rsidRPr="000F30F8">
        <w:rPr>
          <w:rFonts w:ascii="Arial" w:hAnsi="Arial" w:cs="Arial"/>
        </w:rPr>
        <w:fldChar w:fldCharType="separate"/>
      </w:r>
      <w:r w:rsidRPr="000F30F8">
        <w:rPr>
          <w:rFonts w:ascii="Arial" w:hAnsi="Arial" w:cs="Arial"/>
        </w:rPr>
        <w:t>[10]</w:t>
      </w:r>
      <w:r w:rsidRPr="000F30F8">
        <w:rPr>
          <w:rFonts w:ascii="Arial" w:hAnsi="Arial" w:cs="Arial"/>
        </w:rPr>
        <w:fldChar w:fldCharType="end"/>
      </w:r>
      <w:r w:rsidRPr="000F30F8">
        <w:rPr>
          <w:rFonts w:ascii="Arial" w:hAnsi="Arial" w:cs="Arial"/>
        </w:rPr>
        <w:t>, show potential synergistic effects when biomasses are blended with polymers such as polyethylene. These interactions can improve yields of desired products, while reducing unwanted emissions. Research on the addition of additives, a</w:t>
      </w:r>
      <w:r w:rsidR="00DD79E3">
        <w:rPr>
          <w:rFonts w:ascii="Arial" w:hAnsi="Arial" w:cs="Arial"/>
        </w:rPr>
        <w:t>s discussed by Nath et al.</w:t>
      </w:r>
      <w:r w:rsidRPr="000F30F8">
        <w:rPr>
          <w:rFonts w:ascii="Arial" w:hAnsi="Arial" w:cs="Arial"/>
        </w:rPr>
        <w:fldChar w:fldCharType="begin"/>
      </w:r>
      <w:r w:rsidR="007819CF">
        <w:rPr>
          <w:rFonts w:ascii="Arial" w:hAnsi="Arial" w:cs="Arial"/>
        </w:rPr>
        <w:instrText xml:space="preserve"> ADDIN ZOTERO_ITEM CSL_CITATION {"citationID":"kBuHlOUP","properties":{"formattedCitation":"[26]","plainCitation":"[26]","noteIndex":0},"citationItems":[{"id":"KL15DYhl/6JfrTCPj","uris":["http://zotero.org/users/local/V8e1vJQi/items/JWRXNL4U"],"itemData":{"id":124,"type":"article-journal","abstract":"This study investigates the intricate thermal decomposition behavior and combustion characteristics of two distinct types of wheat straw pellets (WSP) represented as T1 (100 % wheat straw) and T5 (70 % wheat straw; 10 % sawdust, 10 % biochar; 10 % bentonite clay). Through a thermogravimetric analyzer (TGA) the pellets un­ dergo combustion under varying heating rates (5, 10, and 20 ◦C/min) in an air atmosphere, ranging from 25 to 1200 ◦C. Differential thermogravimetric and thermogravimetric analyses reveal four distinct stages of decom­ position in the biomass components. The results indicate that the optimal combustion heating rate is 20 ◦C/min, resulting in the highest reaction rate (~50 %/min) and most substantial mass loss (~55 %) for both T1 and T5 pellets. Notably, the T5 pellet demonstrates a lower ignition temperature (207 ◦C, at 20 ◦C/min) and higher burnout (457 ◦C at 10 ◦C/min) compared to the T1 pellet, indicating its superior suitability for combustion. The combustion efficiency ranges from 61.0 to 99 % within the temperature range of 300 to 700 ◦C, similar to coal combustion. Additionally, thermodynamic properties (Di, Db, C, and S) suggest the promising potential of WSP as a bioenergy feedstock. Furthermore, T1 pellets demonstrate higher ignition temperatures (Ti) than T5, indicative of rapid combustion and lower energy potential. burnout temperatures (Tb) revealed intricate results in both scenarios. These findings hold significance for the design of gasification or combustion reactors and the industrial utilization of WSP biomass. The insights gathered from this study offer valuable guidance for designing and enhancing bioenergy systems and fostering sustainable practices in utilizing agricultural residues for energy production.","container-title":"International Journal of Thermofluids","DOI":"10.1016/j.ijft.2024.100660","ISSN":"26662027","journalAbbreviation":"International Journal of Thermofluids","language":"en","page":"100660","source":"DOI.org (Crossref)","title":"An investigation of thermal decomposition behavior and combustion parameter of pellets from wheat straw and additive blends by thermogravimetric analysis","volume":"22","author":[{"family":"Nath","given":"Bidhan"},{"family":"Chen","given":"Guangnan"},{"family":"Bowtell","given":"Les"},{"family":"Graham","given":"Elizabeth"}],"issued":{"date-parts":[["2024",5]]}}}],"schema":"https://github.com/citation-style-language/schema/raw/master/csl-citation.json"} </w:instrText>
      </w:r>
      <w:r w:rsidRPr="000F30F8">
        <w:rPr>
          <w:rFonts w:ascii="Arial" w:hAnsi="Arial" w:cs="Arial"/>
        </w:rPr>
        <w:fldChar w:fldCharType="separate"/>
      </w:r>
      <w:r w:rsidR="007819CF" w:rsidRPr="007819CF">
        <w:rPr>
          <w:rFonts w:ascii="Arial" w:hAnsi="Arial" w:cs="Arial"/>
        </w:rPr>
        <w:t>[26]</w:t>
      </w:r>
      <w:r w:rsidRPr="000F30F8">
        <w:rPr>
          <w:rFonts w:ascii="Arial" w:hAnsi="Arial" w:cs="Arial"/>
        </w:rPr>
        <w:fldChar w:fldCharType="end"/>
      </w:r>
      <w:r w:rsidRPr="000F30F8">
        <w:rPr>
          <w:rFonts w:ascii="Arial" w:hAnsi="Arial" w:cs="Arial"/>
        </w:rPr>
        <w:t>, also showed an improvement in combustion</w:t>
      </w:r>
      <w:r w:rsidR="00DD79E3">
        <w:rPr>
          <w:rFonts w:ascii="Arial" w:hAnsi="Arial" w:cs="Arial"/>
        </w:rPr>
        <w:t xml:space="preserve"> parameters. </w:t>
      </w:r>
      <w:proofErr w:type="spellStart"/>
      <w:r w:rsidR="00DD79E3">
        <w:rPr>
          <w:rFonts w:ascii="Arial" w:hAnsi="Arial" w:cs="Arial"/>
        </w:rPr>
        <w:t>Yiga</w:t>
      </w:r>
      <w:proofErr w:type="spellEnd"/>
      <w:r w:rsidR="00DD79E3">
        <w:rPr>
          <w:rFonts w:ascii="Arial" w:hAnsi="Arial" w:cs="Arial"/>
        </w:rPr>
        <w:t xml:space="preserve"> et al. </w:t>
      </w:r>
      <w:r w:rsidRPr="000F30F8">
        <w:rPr>
          <w:rFonts w:ascii="Arial" w:hAnsi="Arial" w:cs="Arial"/>
        </w:rPr>
        <w:t>studied the characteristics of rice husk briquettes, highlighting their high energy density and high calorific value, making them efficient for energy production</w:t>
      </w:r>
      <w:r w:rsidR="00DD79E3">
        <w:rPr>
          <w:rFonts w:ascii="Arial" w:hAnsi="Arial" w:cs="Arial"/>
        </w:rPr>
        <w:t xml:space="preserve"> </w:t>
      </w:r>
      <w:r w:rsidRPr="000F30F8">
        <w:rPr>
          <w:rFonts w:ascii="Arial" w:hAnsi="Arial" w:cs="Arial"/>
        </w:rPr>
        <w:fldChar w:fldCharType="begin"/>
      </w:r>
      <w:r w:rsidR="007819CF">
        <w:rPr>
          <w:rFonts w:ascii="Arial" w:hAnsi="Arial" w:cs="Arial"/>
        </w:rPr>
        <w:instrText xml:space="preserve"> ADDIN ZOTERO_ITEM CSL_CITATION {"citationID":"mt1Kkakj","properties":{"formattedCitation":"[27]","plainCitation":"[27]","noteIndex":0},"citationItems":[{"id":"KL15DYhl/wWJdNI57","uris":["http://zotero.org/users/local/V8e1vJQi/items/C3WB9RRM"],"itemData":{"id":39,"type":"article-journal","abstract":"Briquettes uptake continues to be low, despite their ability to offset the negative impacts caused by firewood/charcoal. Possible reason for this is lack of literature towards key parameters of the developed briquettes. In the current study, emissions, combustion, kinetics and thermodynamic characteristics of rice husks agricultural residue carbonized briquettes were obtained. The water boiling test and emissions monitoring system for CO, CO2 and PM2.5 were used to determine fuel and energy consumption, thermal efficiency and emissions while thermogravimetric analysis was utilized in obtaining combustion, kinetic and thermodynamic parameters. The activation energy was determined by employing four different model-free methods. Drop strength and particle density of the briquettes were 67.8% and 548.15kg/m3, respectively. Briquettes‘ moisture, volatile matter, ash content and fixed carbon were 7.2%, 16.6%, 47.4% and 28.8% respectively. Average activation energy attained by the developed briquettes by Kissinger–Akahira–Sunose, Ozawa–Flynn–Wall, Starink and Tang methods were 78.3kJ/mol, 83.3kJ/mol, 78.7kJ/mol and 75.0kJ/mol, respectively. Low energy barrier (5.2kJ/mol) between activation energy and enthalpy changes indicated that initiation occurs easily. The obtained thermodynamic parameters indicated that the thermal degradation process was endothermic in nature. High energetic densities (10,688.9MJ/m3) and Fuel Value Indices (255.5MJ/m3·%) were attributable to the higher heating value of the developed briquettes (19.5MJ/kg).","container-title":"Energy Reports","DOI":"10.1016/j.egyr.2023.05.066","ISSN":"23524847","journalAbbreviation":"Energy Reports","language":"en","page":"5977-5991","source":"DOI.org (Crossref)","title":"Development of carbonized rice husks briquettes: Synergy between emissions, combustion, kinetics and thermodynamic characteristics","title-short":"Development of carbonized rice husks briquettes","volume":"9","author":[{"family":"Yiga","given":"Vianney Andrew"},{"family":"Nuwamanya","given":"Andrew"},{"family":"Birungi","given":"Agatha"},{"family":"Lubwama","given":"Michael"},{"family":"Lubwama","given":"Harriet Nalubega"}],"issued":{"date-parts":[["2023",12]]}}}],"schema":"https://github.com/citation-style-language/schema/raw/master/csl-citation.json"} </w:instrText>
      </w:r>
      <w:r w:rsidRPr="000F30F8">
        <w:rPr>
          <w:rFonts w:ascii="Arial" w:hAnsi="Arial" w:cs="Arial"/>
        </w:rPr>
        <w:fldChar w:fldCharType="separate"/>
      </w:r>
      <w:r w:rsidR="007819CF" w:rsidRPr="007819CF">
        <w:rPr>
          <w:rFonts w:ascii="Arial" w:hAnsi="Arial" w:cs="Arial"/>
        </w:rPr>
        <w:t>[27]</w:t>
      </w:r>
      <w:r w:rsidRPr="000F30F8">
        <w:rPr>
          <w:rFonts w:ascii="Arial" w:hAnsi="Arial" w:cs="Arial"/>
        </w:rPr>
        <w:fldChar w:fldCharType="end"/>
      </w:r>
      <w:r w:rsidRPr="000F30F8">
        <w:rPr>
          <w:rFonts w:ascii="Arial" w:hAnsi="Arial" w:cs="Arial"/>
        </w:rPr>
        <w:t>. Fu</w:t>
      </w:r>
      <w:r w:rsidR="00DD79E3">
        <w:rPr>
          <w:rFonts w:ascii="Arial" w:hAnsi="Arial" w:cs="Arial"/>
        </w:rPr>
        <w:t xml:space="preserve">rthermore, </w:t>
      </w:r>
      <w:proofErr w:type="spellStart"/>
      <w:r w:rsidR="00DD79E3">
        <w:rPr>
          <w:rFonts w:ascii="Arial" w:hAnsi="Arial" w:cs="Arial"/>
        </w:rPr>
        <w:t>Godjo</w:t>
      </w:r>
      <w:proofErr w:type="spellEnd"/>
      <w:r w:rsidR="00DD79E3">
        <w:rPr>
          <w:rFonts w:ascii="Arial" w:hAnsi="Arial" w:cs="Arial"/>
        </w:rPr>
        <w:t xml:space="preserve"> et al.</w:t>
      </w:r>
      <w:r w:rsidRPr="000F30F8">
        <w:rPr>
          <w:rFonts w:ascii="Arial" w:hAnsi="Arial" w:cs="Arial"/>
        </w:rPr>
        <w:t xml:space="preserve"> study on cashew nut shell </w:t>
      </w:r>
      <w:r w:rsidRPr="000F30F8">
        <w:rPr>
          <w:rFonts w:ascii="Arial" w:hAnsi="Arial" w:cs="Arial"/>
        </w:rPr>
        <w:lastRenderedPageBreak/>
        <w:t>briquettes demonstrated that these materials can serve as a viable substitute for traditional charcoal in Benin, with advantages in terms of density and strength</w:t>
      </w:r>
      <w:r w:rsidR="00F6794F">
        <w:rPr>
          <w:rFonts w:ascii="Arial" w:hAnsi="Arial" w:cs="Arial"/>
        </w:rPr>
        <w:t xml:space="preserve"> </w:t>
      </w:r>
      <w:r w:rsidRPr="000F30F8">
        <w:rPr>
          <w:rFonts w:ascii="Arial" w:hAnsi="Arial" w:cs="Arial"/>
        </w:rPr>
        <w:fldChar w:fldCharType="begin"/>
      </w:r>
      <w:r w:rsidR="007819CF">
        <w:rPr>
          <w:rFonts w:ascii="Arial" w:hAnsi="Arial" w:cs="Arial"/>
        </w:rPr>
        <w:instrText xml:space="preserve"> ADDIN ZOTERO_ITEM CSL_CITATION {"citationID":"schZB0Co","properties":{"formattedCitation":"[28]","plainCitation":"[28]","noteIndex":0},"citationItems":[{"id":"KL15DYhl/UeuDDL2X","uris":["http://zotero.org/users/local/V8e1vJQi/items/XTULDRQ9"],"itemData":{"id":107,"type":"article-journal","abstract":"To overcome the problem of access to energy in Benin, some researches have been carried out on the production of energy from cashew shells. Thus, two pyrolysis plants on the basis of a reactor designed by CEFREPADE and RONGEAD have been constructed in Benin. Those reactors have been used in Benin for energy recovery from cashew nut shells. Although the pyrolysis products reduce the waste deposit and provide the energy needed for combustion, the exploitation of biochars remains incomplete: they are bulky and difficult to transport because of their low density. To help operators to better manage and facilitate the transport of biocharbons, new research was conducted to densify these biochars. A manual lever press with at lower pressure of 1.80 bar has been developed. Analysis of physical and mechanical properties showed that degree of densification, impact resistance of briquettes and resistance to water penetration were respectively 81%, 90% and 0.94. Also, the effect pressure on density of briquettes and the influence of the drying time on the masses of briquettes were determined. The high rate of densification make that the biocharbons of cashew shells were less bulky and more portable.","issue":"3","language":"fr","source":"Zotero","title":"Densification et analyse des propriétés physiques de biocharbon produit à partir des coques déchets d’anacarde au Bénin","volume":"19","author":[{"family":"Godjo","given":"Thierry"}],"issued":{"date-parts":[["2017"]]}}}],"schema":"https://github.com/citation-style-language/schema/raw/master/csl-citation.json"} </w:instrText>
      </w:r>
      <w:r w:rsidRPr="000F30F8">
        <w:rPr>
          <w:rFonts w:ascii="Arial" w:hAnsi="Arial" w:cs="Arial"/>
        </w:rPr>
        <w:fldChar w:fldCharType="separate"/>
      </w:r>
      <w:r w:rsidR="007819CF" w:rsidRPr="007819CF">
        <w:rPr>
          <w:rFonts w:ascii="Arial" w:hAnsi="Arial" w:cs="Arial"/>
        </w:rPr>
        <w:t>[28]</w:t>
      </w:r>
      <w:r w:rsidRPr="000F30F8">
        <w:rPr>
          <w:rFonts w:ascii="Arial" w:hAnsi="Arial" w:cs="Arial"/>
        </w:rPr>
        <w:fldChar w:fldCharType="end"/>
      </w:r>
      <w:r w:rsidR="00DD79E3">
        <w:rPr>
          <w:rFonts w:ascii="Arial" w:hAnsi="Arial" w:cs="Arial"/>
        </w:rPr>
        <w:t>. Alabi et al.</w:t>
      </w:r>
      <w:r w:rsidRPr="000F30F8">
        <w:rPr>
          <w:rFonts w:ascii="Arial" w:hAnsi="Arial" w:cs="Arial"/>
        </w:rPr>
        <w:t xml:space="preserve"> highlighted the importance of numerical simulation to understand and optimize the energy performance of briquettes</w:t>
      </w:r>
      <w:r w:rsidR="00DD79E3">
        <w:rPr>
          <w:rFonts w:ascii="Arial" w:hAnsi="Arial" w:cs="Arial"/>
        </w:rPr>
        <w:t xml:space="preserve">  </w:t>
      </w:r>
      <w:r w:rsidRPr="000F30F8">
        <w:rPr>
          <w:rFonts w:ascii="Arial" w:hAnsi="Arial" w:cs="Arial"/>
        </w:rPr>
        <w:fldChar w:fldCharType="begin"/>
      </w:r>
      <w:r w:rsidR="007819CF">
        <w:rPr>
          <w:rFonts w:ascii="Arial" w:hAnsi="Arial" w:cs="Arial"/>
        </w:rPr>
        <w:instrText xml:space="preserve"> ADDIN ZOTERO_ITEM CSL_CITATION {"citationID":"Yxe6XStq","properties":{"formattedCitation":"[29]","plainCitation":"[29]","noteIndex":0},"citationItems":[{"id":"KL15DYhl/71cskyLp","uris":["http://zotero.org/users/local/V8e1vJQi/items/BU6MQXDL"],"itemData":{"id":64,"type":"article-journal","abstract":"This study presents a comprehensive numerical investigation into the energy evaluation and determination of dry moisture content of briquettes, a vital aspect of renewable energy production. Utilizing advanced computational fluid dynamics (CFD) modeling and simulations, we explored key parameters impacting briquette combustion, such as moisture content, size, density, and temperature profiles. The research demonstrates that these factors significantly influence combustion behavior, with the CFD model accurately predicting mass loss curves and burnout times. The process was completed in 10 minutes, reaching a temperature of 300K and yielding gases consisting of CO2, CO, and H2O, while the devolatilization front was assumed to be at 325K. The drying front was estimated to occur within the range of 303K to 310K. This knowledge is pivotal in optimizing briquettes as a sustainable energy source, ensuring efficient energy conversion, and reducing environmental impact. By integrating engineering principles, thermodynamics, and computational modeling, our interdisciplinary approach addresses complex challenges in renewable energy. The research findings underscore the importance of refining and validating these models to advance the understanding and utilization of briquettes as a clean and eco-friendly energy alternative. In a world increasingly prioritizing environmental sustainability and energy efficiency, this research aligns with broader efforts to transition towards cleaner and more sustainable energy sources, offering prospects for a greener and responsible energy future.","container-title":"Engineering and Technology Journal","DOI":"10.30684/etj.2023.143782.1608","ISSN":"2412-0758","issue":"0","journalAbbreviation":"ETJ","language":"en","page":"1-10","source":"DOI.org (Crossref)","title":"Analyzing Energy Performance and Assessing Dry Moisture Content of Briquettes through Numerical Investigations","volume":"0","author":[{"family":"Alabi","given":"Oluwaseyi"},{"family":"Adeyi","given":"Timothy"},{"family":"Ekun","given":"Sakiru"}],"issued":{"date-parts":[["2023",12,16]]}}}],"schema":"https://github.com/citation-style-language/schema/raw/master/csl-citation.json"} </w:instrText>
      </w:r>
      <w:r w:rsidRPr="000F30F8">
        <w:rPr>
          <w:rFonts w:ascii="Arial" w:hAnsi="Arial" w:cs="Arial"/>
        </w:rPr>
        <w:fldChar w:fldCharType="separate"/>
      </w:r>
      <w:r w:rsidR="007819CF" w:rsidRPr="007819CF">
        <w:rPr>
          <w:rFonts w:ascii="Arial" w:hAnsi="Arial" w:cs="Arial"/>
        </w:rPr>
        <w:t>[29]</w:t>
      </w:r>
      <w:r w:rsidRPr="000F30F8">
        <w:rPr>
          <w:rFonts w:ascii="Arial" w:hAnsi="Arial" w:cs="Arial"/>
        </w:rPr>
        <w:fldChar w:fldCharType="end"/>
      </w:r>
      <w:r w:rsidR="00DD79E3">
        <w:rPr>
          <w:rFonts w:ascii="Arial" w:hAnsi="Arial" w:cs="Arial"/>
        </w:rPr>
        <w:t xml:space="preserve">, while </w:t>
      </w:r>
      <w:proofErr w:type="spellStart"/>
      <w:r w:rsidR="00DD79E3">
        <w:rPr>
          <w:rFonts w:ascii="Arial" w:hAnsi="Arial" w:cs="Arial"/>
        </w:rPr>
        <w:t>Otitolaye</w:t>
      </w:r>
      <w:proofErr w:type="spellEnd"/>
      <w:r w:rsidR="00DD79E3">
        <w:rPr>
          <w:rFonts w:ascii="Arial" w:hAnsi="Arial" w:cs="Arial"/>
        </w:rPr>
        <w:t xml:space="preserve"> et al.</w:t>
      </w:r>
      <w:r w:rsidRPr="000F30F8">
        <w:rPr>
          <w:rFonts w:ascii="Arial" w:hAnsi="Arial" w:cs="Arial"/>
        </w:rPr>
        <w:t xml:space="preserve"> investigated the properties of corn cobs as a biofuel, highlighting their high potential for sustainable energy production</w:t>
      </w:r>
      <w:r w:rsidR="00C14910">
        <w:rPr>
          <w:rFonts w:ascii="Arial" w:hAnsi="Arial" w:cs="Arial"/>
        </w:rPr>
        <w:t xml:space="preserve"> </w:t>
      </w:r>
      <w:r w:rsidRPr="000F30F8">
        <w:rPr>
          <w:rFonts w:ascii="Arial" w:hAnsi="Arial" w:cs="Arial"/>
        </w:rPr>
        <w:fldChar w:fldCharType="begin"/>
      </w:r>
      <w:r w:rsidR="007819CF">
        <w:rPr>
          <w:rFonts w:ascii="Arial" w:hAnsi="Arial" w:cs="Arial"/>
        </w:rPr>
        <w:instrText xml:space="preserve"> ADDIN ZOTERO_ITEM CSL_CITATION {"citationID":"wDO6Vu3a","properties":{"formattedCitation":"[30]","plainCitation":"[30]","noteIndex":0},"citationItems":[{"id":"KL15DYhl/2YQbA8s5","uris":["http://zotero.org/users/local/V8e1vJQi/items/Q76R2CV4"],"itemData":{"id":142,"type":"article-journal","abstract":"This study presents insights into the solid biofuel properties of corn cob biomass (CCB) wastes for sustainable energy recovery. The physicochemical, thermal, and kinetic properties of CCB were characterised through ultimate, proximate, heating value, and thermogravimetric (TGA) analyses. Results showed that CCB contains high carbon (41.88 wt.%), hydrogen (6.33 wt.%), volatile matter (68.21 wt.%), and higher heating (15.70 wt.%) values for potential energy recovery. However, the high ash (16.56 wt.%) content could pose bed agglomeration, fouling, and sintering problems during hightemperature conversion. Thermal analysis resulted in 55.84%–59.51% loss of mass and residual mass of 40.49%–44.17%. Kinetic analyses revealed that CCB is highly reactive as characterised by the average activation energy, Ea =134.58 kJ/mol and pre-exponential factor, ko=2.53×1008/min. In conclusion, CCB is a potentially practical feedstock for sustainable energy recovery through thermochemical conversion.","container-title":"Pet Coal","language":"en","source":"Zotero","title":"Fuel Characterisation of the Physicochemical, Thermal and Kinetic Properties of Corn Cob Biomass Wastes for Potential Energy Recovery","author":[{"family":"Otitolaiye","given":"Victor O"},{"family":"Dodo","given":"Yakubu A"},{"family":"Jagun","given":"Zainab T"},{"family":"Bashir","given":"Faizah M"},{"family":"Ajibade","given":"Samuel-Soma M"},{"family":"Moveh","given":"Samuel"},{"family":"Nyakuma","given":"Bemgba B"}],"issued":{"date-parts":[["2020"]]}}}],"schema":"https://github.com/citation-style-language/schema/raw/master/csl-citation.json"} </w:instrText>
      </w:r>
      <w:r w:rsidRPr="000F30F8">
        <w:rPr>
          <w:rFonts w:ascii="Arial" w:hAnsi="Arial" w:cs="Arial"/>
        </w:rPr>
        <w:fldChar w:fldCharType="separate"/>
      </w:r>
      <w:r w:rsidR="007819CF" w:rsidRPr="007819CF">
        <w:rPr>
          <w:rFonts w:ascii="Arial" w:hAnsi="Arial" w:cs="Arial"/>
        </w:rPr>
        <w:t>[30]</w:t>
      </w:r>
      <w:r w:rsidRPr="000F30F8">
        <w:rPr>
          <w:rFonts w:ascii="Arial" w:hAnsi="Arial" w:cs="Arial"/>
        </w:rPr>
        <w:fldChar w:fldCharType="end"/>
      </w:r>
      <w:r w:rsidRPr="000F30F8">
        <w:rPr>
          <w:rFonts w:ascii="Arial" w:hAnsi="Arial" w:cs="Arial"/>
        </w:rPr>
        <w:t>.</w:t>
      </w:r>
    </w:p>
    <w:p w:rsidR="00690C90" w:rsidRDefault="00690C90" w:rsidP="00C14910">
      <w:pPr>
        <w:tabs>
          <w:tab w:val="left" w:pos="4047"/>
        </w:tabs>
        <w:jc w:val="both"/>
        <w:rPr>
          <w:rFonts w:ascii="Arial" w:hAnsi="Arial" w:cs="Arial"/>
        </w:rPr>
      </w:pPr>
    </w:p>
    <w:p w:rsidR="00790ADA" w:rsidRPr="00FB3A86" w:rsidRDefault="00D71981" w:rsidP="00FA1AF8">
      <w:pPr>
        <w:pStyle w:val="Head1"/>
        <w:numPr>
          <w:ilvl w:val="0"/>
          <w:numId w:val="41"/>
        </w:numPr>
        <w:spacing w:after="0"/>
        <w:jc w:val="both"/>
        <w:rPr>
          <w:rFonts w:ascii="Arial" w:hAnsi="Arial" w:cs="Arial"/>
        </w:rPr>
      </w:pPr>
      <w:r>
        <w:rPr>
          <w:rFonts w:ascii="Arial" w:hAnsi="Arial" w:cs="Arial"/>
        </w:rPr>
        <w:t xml:space="preserve">results </w:t>
      </w:r>
    </w:p>
    <w:p w:rsidR="00C3628D" w:rsidRPr="00FA1AF8" w:rsidRDefault="00C3628D" w:rsidP="00FA1AF8">
      <w:pPr>
        <w:pStyle w:val="ListParagraph"/>
        <w:numPr>
          <w:ilvl w:val="1"/>
          <w:numId w:val="41"/>
        </w:numPr>
        <w:tabs>
          <w:tab w:val="left" w:pos="4047"/>
        </w:tabs>
        <w:jc w:val="both"/>
        <w:rPr>
          <w:rFonts w:ascii="Arial" w:hAnsi="Arial" w:cs="Arial"/>
          <w:b/>
        </w:rPr>
      </w:pPr>
      <w:proofErr w:type="spellStart"/>
      <w:r w:rsidRPr="00FA1AF8">
        <w:rPr>
          <w:rFonts w:ascii="Arial" w:hAnsi="Arial" w:cs="Arial"/>
          <w:b/>
        </w:rPr>
        <w:t>Thermogravimetric</w:t>
      </w:r>
      <w:proofErr w:type="spellEnd"/>
      <w:r w:rsidRPr="00FA1AF8">
        <w:rPr>
          <w:rFonts w:ascii="Arial" w:hAnsi="Arial" w:cs="Arial"/>
          <w:b/>
        </w:rPr>
        <w:t xml:space="preserve"> </w:t>
      </w:r>
      <w:proofErr w:type="spellStart"/>
      <w:r w:rsidRPr="00FA1AF8">
        <w:rPr>
          <w:rFonts w:ascii="Arial" w:hAnsi="Arial" w:cs="Arial"/>
          <w:b/>
        </w:rPr>
        <w:t>analysis</w:t>
      </w:r>
      <w:proofErr w:type="spellEnd"/>
      <w:r w:rsidRPr="00FA1AF8">
        <w:rPr>
          <w:rFonts w:ascii="Arial" w:hAnsi="Arial" w:cs="Arial"/>
          <w:b/>
        </w:rPr>
        <w:t xml:space="preserve"> of </w:t>
      </w:r>
      <w:proofErr w:type="spellStart"/>
      <w:r w:rsidRPr="00FA1AF8">
        <w:rPr>
          <w:rFonts w:ascii="Arial" w:hAnsi="Arial" w:cs="Arial"/>
          <w:b/>
        </w:rPr>
        <w:t>lignocellulosic</w:t>
      </w:r>
      <w:proofErr w:type="spellEnd"/>
      <w:r w:rsidRPr="00FA1AF8">
        <w:rPr>
          <w:rFonts w:ascii="Arial" w:hAnsi="Arial" w:cs="Arial"/>
          <w:b/>
        </w:rPr>
        <w:t xml:space="preserve"> </w:t>
      </w:r>
      <w:proofErr w:type="spellStart"/>
      <w:r w:rsidRPr="00FA1AF8">
        <w:rPr>
          <w:rFonts w:ascii="Arial" w:hAnsi="Arial" w:cs="Arial"/>
          <w:b/>
        </w:rPr>
        <w:t>biomass</w:t>
      </w:r>
      <w:proofErr w:type="spellEnd"/>
    </w:p>
    <w:p w:rsidR="00DE73B7" w:rsidRPr="00467B8E" w:rsidRDefault="006D1137" w:rsidP="00467B8E">
      <w:pPr>
        <w:tabs>
          <w:tab w:val="left" w:pos="4047"/>
        </w:tabs>
        <w:jc w:val="both"/>
        <w:rPr>
          <w:rFonts w:ascii="Arial" w:hAnsi="Arial" w:cs="Arial"/>
        </w:rPr>
      </w:pPr>
      <w:r w:rsidRPr="0046499E">
        <w:rPr>
          <w:rFonts w:ascii="Arial" w:hAnsi="Arial" w:cs="Arial"/>
          <w:noProof/>
          <w:lang w:val="fr-FR" w:eastAsia="fr-FR"/>
        </w:rPr>
        <mc:AlternateContent>
          <mc:Choice Requires="wps">
            <w:drawing>
              <wp:anchor distT="45720" distB="45720" distL="114300" distR="114300" simplePos="0" relativeHeight="251659264" behindDoc="1" locked="0" layoutInCell="1" allowOverlap="1" wp14:anchorId="1E6F8791" wp14:editId="37B08810">
                <wp:simplePos x="0" y="0"/>
                <wp:positionH relativeFrom="margin">
                  <wp:align>left</wp:align>
                </wp:positionH>
                <wp:positionV relativeFrom="paragraph">
                  <wp:posOffset>370840</wp:posOffset>
                </wp:positionV>
                <wp:extent cx="5874385" cy="4398010"/>
                <wp:effectExtent l="0" t="0" r="0" b="2540"/>
                <wp:wrapTight wrapText="bothSides">
                  <wp:wrapPolygon edited="0">
                    <wp:start x="0" y="0"/>
                    <wp:lineTo x="0" y="21519"/>
                    <wp:lineTo x="21504" y="21519"/>
                    <wp:lineTo x="21504" y="0"/>
                    <wp:lineTo x="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4398010"/>
                        </a:xfrm>
                        <a:prstGeom prst="rect">
                          <a:avLst/>
                        </a:prstGeom>
                        <a:solidFill>
                          <a:srgbClr val="FFFFFF"/>
                        </a:solidFill>
                        <a:ln w="9525">
                          <a:noFill/>
                          <a:miter lim="800000"/>
                          <a:headEnd/>
                          <a:tailEnd/>
                        </a:ln>
                      </wps:spPr>
                      <wps:txbx>
                        <w:txbxContent>
                          <w:p w:rsidR="00AF5FE1" w:rsidRDefault="00AF5FE1">
                            <w:r w:rsidRPr="00840B5C">
                              <w:rPr>
                                <w:rFonts w:ascii="Times New Roman" w:hAnsi="Times New Roman"/>
                                <w:noProof/>
                                <w:sz w:val="24"/>
                                <w:lang w:val="fr-FR" w:eastAsia="fr-FR"/>
                              </w:rPr>
                              <w:drawing>
                                <wp:inline distT="0" distB="0" distL="0" distR="0" wp14:anchorId="1FA55E63" wp14:editId="2622B5E3">
                                  <wp:extent cx="2908300" cy="2217916"/>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1527" cy="2243256"/>
                                          </a:xfrm>
                                          <a:prstGeom prst="rect">
                                            <a:avLst/>
                                          </a:prstGeom>
                                        </pic:spPr>
                                      </pic:pic>
                                    </a:graphicData>
                                  </a:graphic>
                                </wp:inline>
                              </w:drawing>
                            </w:r>
                            <w:r w:rsidRPr="002E663F">
                              <w:rPr>
                                <w:rFonts w:ascii="Times New Roman" w:hAnsi="Times New Roman"/>
                                <w:noProof/>
                                <w:sz w:val="24"/>
                                <w:lang w:val="fr-FR" w:eastAsia="fr-FR"/>
                              </w:rPr>
                              <w:drawing>
                                <wp:inline distT="0" distB="0" distL="0" distR="0" wp14:anchorId="1CA8889A" wp14:editId="088D4C32">
                                  <wp:extent cx="2624512" cy="2207995"/>
                                  <wp:effectExtent l="0" t="0" r="4445"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24512" cy="2207995"/>
                                          </a:xfrm>
                                          <a:prstGeom prst="rect">
                                            <a:avLst/>
                                          </a:prstGeom>
                                        </pic:spPr>
                                      </pic:pic>
                                    </a:graphicData>
                                  </a:graphic>
                                </wp:inline>
                              </w:drawing>
                            </w:r>
                            <w:r w:rsidRPr="002E663F">
                              <w:rPr>
                                <w:rFonts w:ascii="Times New Roman" w:hAnsi="Times New Roman"/>
                                <w:noProof/>
                                <w:sz w:val="24"/>
                                <w:lang w:val="fr-FR" w:eastAsia="fr-FR"/>
                              </w:rPr>
                              <w:drawing>
                                <wp:inline distT="0" distB="0" distL="0" distR="0" wp14:anchorId="2FB0E23F" wp14:editId="2FE45AB0">
                                  <wp:extent cx="2552700" cy="2112863"/>
                                  <wp:effectExtent l="0" t="0" r="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1343" cy="21614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6F8791" id="_x0000_t202" coordsize="21600,21600" o:spt="202" path="m,l,21600r21600,l21600,xe">
                <v:stroke joinstyle="miter"/>
                <v:path gradientshapeok="t" o:connecttype="rect"/>
              </v:shapetype>
              <v:shape id="Zone de texte 2" o:spid="_x0000_s1026" type="#_x0000_t202" style="position:absolute;left:0;text-align:left;margin-left:0;margin-top:29.2pt;width:462.55pt;height:346.3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" stroked="f">
                <v:textbox>
                  <w:txbxContent>
                    <w:p w:rsidR="00AF5FE1" w:rsidRDefault="00AF5FE1">
                      <w:r w:rsidRPr="00840B5C">
                        <w:rPr>
                          <w:rFonts w:ascii="Times New Roman" w:hAnsi="Times New Roman"/>
                          <w:noProof/>
                          <w:sz w:val="24"/>
                          <w:lang w:val="fr-FR" w:eastAsia="fr-FR"/>
                        </w:rPr>
                        <w:drawing>
                          <wp:inline distT="0" distB="0" distL="0" distR="0" wp14:anchorId="1FA55E63" wp14:editId="2622B5E3">
                            <wp:extent cx="2908300" cy="2217916"/>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1527" cy="2243256"/>
                                    </a:xfrm>
                                    <a:prstGeom prst="rect">
                                      <a:avLst/>
                                    </a:prstGeom>
                                  </pic:spPr>
                                </pic:pic>
                              </a:graphicData>
                            </a:graphic>
                          </wp:inline>
                        </w:drawing>
                      </w:r>
                      <w:r w:rsidRPr="002E663F">
                        <w:rPr>
                          <w:rFonts w:ascii="Times New Roman" w:hAnsi="Times New Roman"/>
                          <w:noProof/>
                          <w:sz w:val="24"/>
                          <w:lang w:val="fr-FR" w:eastAsia="fr-FR"/>
                        </w:rPr>
                        <w:drawing>
                          <wp:inline distT="0" distB="0" distL="0" distR="0" wp14:anchorId="1CA8889A" wp14:editId="088D4C32">
                            <wp:extent cx="2624512" cy="2207995"/>
                            <wp:effectExtent l="0" t="0" r="4445"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24512" cy="2207995"/>
                                    </a:xfrm>
                                    <a:prstGeom prst="rect">
                                      <a:avLst/>
                                    </a:prstGeom>
                                  </pic:spPr>
                                </pic:pic>
                              </a:graphicData>
                            </a:graphic>
                          </wp:inline>
                        </w:drawing>
                      </w:r>
                      <w:r w:rsidRPr="002E663F">
                        <w:rPr>
                          <w:rFonts w:ascii="Times New Roman" w:hAnsi="Times New Roman"/>
                          <w:noProof/>
                          <w:sz w:val="24"/>
                          <w:lang w:val="fr-FR" w:eastAsia="fr-FR"/>
                        </w:rPr>
                        <w:drawing>
                          <wp:inline distT="0" distB="0" distL="0" distR="0" wp14:anchorId="2FB0E23F" wp14:editId="2FE45AB0">
                            <wp:extent cx="2552700" cy="2112863"/>
                            <wp:effectExtent l="0" t="0" r="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1343" cy="2161402"/>
                                    </a:xfrm>
                                    <a:prstGeom prst="rect">
                                      <a:avLst/>
                                    </a:prstGeom>
                                  </pic:spPr>
                                </pic:pic>
                              </a:graphicData>
                            </a:graphic>
                          </wp:inline>
                        </w:drawing>
                      </w:r>
                    </w:p>
                  </w:txbxContent>
                </v:textbox>
                <w10:wrap type="tight" anchorx="margin"/>
              </v:shape>
            </w:pict>
          </mc:Fallback>
        </mc:AlternateContent>
      </w:r>
      <w:r w:rsidR="00C3628D" w:rsidRPr="00FD4F1A">
        <w:rPr>
          <w:rFonts w:ascii="Arial" w:hAnsi="Arial" w:cs="Arial"/>
        </w:rPr>
        <w:t>Fig.2. presents the results of thermogravimetric analysis at d</w:t>
      </w:r>
      <w:r>
        <w:rPr>
          <w:rFonts w:ascii="Arial" w:hAnsi="Arial" w:cs="Arial"/>
        </w:rPr>
        <w:t xml:space="preserve">ifferent heating rates of bread </w:t>
      </w:r>
      <w:r w:rsidR="00C3628D" w:rsidRPr="00FD4F1A">
        <w:rPr>
          <w:rFonts w:ascii="Arial" w:hAnsi="Arial" w:cs="Arial"/>
        </w:rPr>
        <w:t>wood, rice husk and bamboo.</w:t>
      </w:r>
    </w:p>
    <w:p w:rsidR="004B1F6D" w:rsidRPr="002D38BF" w:rsidRDefault="004B1F6D" w:rsidP="00DE73B7">
      <w:pPr>
        <w:pStyle w:val="Body"/>
        <w:spacing w:after="0"/>
        <w:rPr>
          <w:rFonts w:ascii="Arial" w:hAnsi="Arial" w:cs="Arial"/>
          <w:b/>
        </w:rPr>
      </w:pPr>
      <w:r w:rsidRPr="002D38BF">
        <w:rPr>
          <w:rFonts w:ascii="Arial" w:hAnsi="Arial" w:cs="Arial"/>
          <w:b/>
        </w:rPr>
        <w:t xml:space="preserve">Fig.2. TG and DTG profiles at heating rates of 5;10; and 20°C/min: (A) pine wood, (B) rice husk, and (C) bamboo </w:t>
      </w:r>
      <w:r w:rsidRPr="002D38BF">
        <w:rPr>
          <w:rFonts w:ascii="Arial" w:hAnsi="Arial" w:cs="Arial"/>
          <w:b/>
        </w:rPr>
        <w:fldChar w:fldCharType="begin"/>
      </w:r>
      <w:r w:rsidR="007819CF">
        <w:rPr>
          <w:rFonts w:ascii="Arial" w:hAnsi="Arial" w:cs="Arial"/>
          <w:b/>
        </w:rPr>
        <w:instrText xml:space="preserve"> ADDIN ZOTERO_ITEM CSL_CITATION {"citationID":"lYw16imb","properties":{"formattedCitation":"[19]","plainCitation":"[19]","noteIndex":0},"citationItems":[{"id":"KL15DYhl/R0RfLHLK","uris":["http://zotero.org/users/local/V8e1vJQi/items/36CYDF9E"],"itemData":{"id":188,"type":"article-journal","abstract":"Pyrolysis kinetics of pine wood, rice husk and bamboo (Bambusa chungii) were studied via thermogravimetric analysis technique under low heating rates. The result of model-free procedure showed that the lignocellulosic pyrolysis according to one-step reaction model is dominated by the diffusion effects. However, the complex features of variations are caused by the mechanism changes, which are hard to be determined. The distributed activation energy model (DAEM) kinetic results indicated that the activation energy distribution for pseudo components follows the orders of: E0(lignin) &gt; E0(cellulose) &gt; E0(hemicelluloses), r(lignin) &gt; r(hemicelluloses) &gt; r(cellulose). The Fraser–Suzuki deconvolution ﬁts better with the experimental data than DAEM. The pyrolysis mechanism of pseudo components after deconvolutions follows the theoretical models: third order model f(a) = (1 À a)3 for hemicelluloses and lignin, random scission model f(a) = 2(a1/2 À a) for cellulose. The apparent activation energy for pseudo hemicelluloses is 162.84 ± 26.45 kJ/mol for pine wood, 168.63 ± 28.47 kJ/mol for rice husk and 154.55 ± 26.49 kJ/mol for bamboo, respectively. The Ea value increases with the conversion with little deviation to its mean value. Similar Ea vs. a dependencies also are observed for pseudo celluloses, which has Ea of 188.14 ± 24.42 kJ/mol for pine wood, 206.71 ± 24.88 kJ/mol for rice husk and 190.45 ± 23.79 kJ/mol for bamboo, respectively.","container-title":"Energy Conversion and Management","DOI":"10.1016/j.enconman.2016.03.058","ISSN":"01968904","journalAbbreviation":"Energy Conversion and Management","language":"en","page":"1-11","source":"DOI.org (Crossref)","title":"Thermogravimetric kinetics of lignocellulosic biomass slow pyrolysis using distributed activation energy model, Fraser–Suzuki deconvolution, and iso-conversional method","volume":"118","author":[{"family":"Hu","given":"Mian"},{"family":"Chen","given":"Zhihua"},{"family":"Wang","given":"Shengkai"},{"family":"Guo","given":"Dabin"},{"family":"Ma","given":"Caifeng"},{"family":"Zhou","given":"Yan"},{"family":"Chen","given":"Jian"},{"family":"Laghari","given":"Mahmood"},{"family":"Fazal","given":"Saima"},{"family":"Xiao","given":"Bo"},{"family":"Zhang","given":"Beiping"},{"family":"Ma","given":"Shu"}],"issued":{"date-parts":[["2016",6]]}}}],"schema":"https://github.com/citation-style-language/schema/raw/master/csl-citation.json"} </w:instrText>
      </w:r>
      <w:r w:rsidRPr="002D38BF">
        <w:rPr>
          <w:rFonts w:ascii="Arial" w:hAnsi="Arial" w:cs="Arial"/>
          <w:b/>
        </w:rPr>
        <w:fldChar w:fldCharType="separate"/>
      </w:r>
      <w:r w:rsidR="007819CF" w:rsidRPr="007819CF">
        <w:rPr>
          <w:rFonts w:ascii="Arial" w:hAnsi="Arial" w:cs="Arial"/>
        </w:rPr>
        <w:t>[19]</w:t>
      </w:r>
      <w:r w:rsidRPr="002D38BF">
        <w:rPr>
          <w:rFonts w:ascii="Arial" w:hAnsi="Arial" w:cs="Arial"/>
          <w:b/>
        </w:rPr>
        <w:fldChar w:fldCharType="end"/>
      </w:r>
      <w:r w:rsidRPr="002D38BF">
        <w:rPr>
          <w:rFonts w:ascii="Arial" w:hAnsi="Arial" w:cs="Arial"/>
          <w:b/>
        </w:rPr>
        <w:t>.</w:t>
      </w:r>
    </w:p>
    <w:p w:rsidR="004B1F6D" w:rsidRDefault="004B1F6D" w:rsidP="004B1F6D">
      <w:pPr>
        <w:tabs>
          <w:tab w:val="left" w:pos="4047"/>
        </w:tabs>
        <w:jc w:val="both"/>
        <w:rPr>
          <w:rFonts w:ascii="Arial" w:hAnsi="Arial" w:cs="Arial"/>
        </w:rPr>
      </w:pPr>
      <w:r w:rsidRPr="00FD4F1A">
        <w:rPr>
          <w:rFonts w:ascii="Arial" w:hAnsi="Arial" w:cs="Arial"/>
        </w:rPr>
        <w:t>Thermal decomposition of pine wood, rice husk, and bamboo occurs in three main stages: evaporation of water and light volatiles with little mass loss, devolatilization, responsible for most of the mass loss, and thermal degradation of residual carbonaceous materials, resulting in little mass loss. These observations, confirmed by El-Sayed et al.</w:t>
      </w:r>
      <w:r w:rsidRPr="00FD4F1A">
        <w:rPr>
          <w:rFonts w:ascii="Arial" w:hAnsi="Arial" w:cs="Arial"/>
        </w:rPr>
        <w:fldChar w:fldCharType="begin"/>
      </w:r>
      <w:r w:rsidR="007819CF">
        <w:rPr>
          <w:rFonts w:ascii="Arial" w:hAnsi="Arial" w:cs="Arial"/>
        </w:rPr>
        <w:instrText xml:space="preserve"> ADDIN ZOTERO_ITEM CSL_CITATION {"citationID":"YB0IFot4","properties":{"formattedCitation":"[9]","plainCitation":"[9]","noteIndex":0},"citationItems":[{"id":"KL15DYhl/sRuxiYm6","uris":["http://zotero.org/users/local/V8e1vJQi/items/DL5XR4XN"],"itemData":{"id":144,"type":"article-journal","abstract":"The goal of the current study is to investigate the thermal degradation of palm fronds (PF), olive leaves (OL), and wheat straw (WS) through pyrolysis and calculate their kinetic data using TG-DTG and DTA approaches. The kinetic parameters were assessed using isoconversional techniques like the Ozawa-Flynn-Wall (OFW) and Kissinger–Akahira–Sunose (KAS) methods, as well as model-fitting techniques like the integral method, which employs various diffusion and reaction order models. Using kinetics data models, typical parameters for pyrolysis and thermodynamics were estimated. For PF, OL, and WS, the values of activation energy (E) from the integral method ranged between 8.82 and 167.13, 23.06 and 149.20, and 11.01 and 156.27, respectively, for diffusion models. On the other hand, the values of (E) ranged between 22.3 and 117.49, 51.69 and 92.88, and 23.48 and 125.97, respectively, for reaction-order models. The average activation energies (E) calculated by using PF, OL, and WS samples are 91.9, 69.1, and 65.2, respectively, for the OFW method and 87.5, 101.8, and 63.4, respectively, for the KAS method. The results demonstrated that the integral method provided values of (E) that were almost identical to those produced by the KAS and OFW methods. In the same range of (α), results showed that reaction order models yielded greater frequency factor values than diffusion models, demonstrating how simpler and quicker pyrolysis is. The values of (Δ  Gav ) demonstrated the acceptability of these materials for pyrolysis, and for the OFW and KAS techniques, the sequence of the degradation process was OL &gt; WS &gt; PF. The calculated (Δ  Gav ) showed that more heat energies are required for OL, PF, and WS to dissociate the reagent bonds, which agrees with the (E) values derived from the OFW model.","container-title":"Biomass Conversion and Biorefinery","DOI":"10.1007/s13399-023-03926-2","ISSN":"2190-6815, 2190-6823","issue":"15","journalAbbreviation":"Biomass Conv. Bioref.","language":"en","page":"17779-17803","source":"DOI.org (Crossref)","title":"Thermal degradation behaviour and chemical kinetic characteristics of biomass pyrolysis using TG/DTG/DTA techniques","volume":"14","author":[{"family":"El-Sayed","given":"Saad A."},{"family":"Khass","given":"Tarek M."},{"family":"Mostafa","given":"Mohamed E."}],"issued":{"date-parts":[["2024",8]]}}}],"schema":"https://github.com/citation-style-language/schema/raw/master/csl-citation.json"} </w:instrText>
      </w:r>
      <w:r w:rsidRPr="00FD4F1A">
        <w:rPr>
          <w:rFonts w:ascii="Arial" w:hAnsi="Arial" w:cs="Arial"/>
        </w:rPr>
        <w:fldChar w:fldCharType="separate"/>
      </w:r>
      <w:r w:rsidR="007819CF" w:rsidRPr="007819CF">
        <w:rPr>
          <w:rFonts w:ascii="Arial" w:hAnsi="Arial" w:cs="Arial"/>
        </w:rPr>
        <w:t>[9]</w:t>
      </w:r>
      <w:r w:rsidRPr="00FD4F1A">
        <w:rPr>
          <w:rFonts w:ascii="Arial" w:hAnsi="Arial" w:cs="Arial"/>
        </w:rPr>
        <w:fldChar w:fldCharType="end"/>
      </w:r>
      <w:r w:rsidRPr="00FD4F1A">
        <w:rPr>
          <w:rFonts w:ascii="Arial" w:hAnsi="Arial" w:cs="Arial"/>
        </w:rPr>
        <w:t xml:space="preserve">, also apply to the pyrolysis of palm fronds, olive leaves and wheat straw, studied using thermogravimetric techniques (TG, DTG, </w:t>
      </w:r>
      <w:r w:rsidR="00B911D7" w:rsidRPr="00FD4F1A">
        <w:rPr>
          <w:rFonts w:ascii="Arial" w:hAnsi="Arial" w:cs="Arial"/>
        </w:rPr>
        <w:t>and DTA</w:t>
      </w:r>
      <w:r w:rsidRPr="00FD4F1A">
        <w:rPr>
          <w:rFonts w:ascii="Arial" w:hAnsi="Arial" w:cs="Arial"/>
        </w:rPr>
        <w:t>). These tools provide accurate data on mass losses and thermal stability, facilitating the kinetic modeling of biomasses.</w:t>
      </w:r>
    </w:p>
    <w:p w:rsidR="006D1137" w:rsidRDefault="006D1137" w:rsidP="004B1F6D">
      <w:pPr>
        <w:tabs>
          <w:tab w:val="left" w:pos="4047"/>
        </w:tabs>
        <w:jc w:val="both"/>
        <w:rPr>
          <w:rFonts w:ascii="Arial" w:hAnsi="Arial" w:cs="Arial"/>
        </w:rPr>
      </w:pPr>
    </w:p>
    <w:p w:rsidR="006D1137" w:rsidRDefault="006D1137" w:rsidP="004B1F6D">
      <w:pPr>
        <w:tabs>
          <w:tab w:val="left" w:pos="4047"/>
        </w:tabs>
        <w:jc w:val="both"/>
        <w:rPr>
          <w:rFonts w:ascii="Arial" w:hAnsi="Arial" w:cs="Arial"/>
        </w:rPr>
      </w:pPr>
    </w:p>
    <w:p w:rsidR="006D1137" w:rsidRDefault="006D1137" w:rsidP="004B1F6D">
      <w:pPr>
        <w:tabs>
          <w:tab w:val="left" w:pos="4047"/>
        </w:tabs>
        <w:jc w:val="both"/>
        <w:rPr>
          <w:rFonts w:ascii="Arial" w:hAnsi="Arial" w:cs="Arial"/>
        </w:rPr>
      </w:pPr>
      <w:r w:rsidRPr="006D1137">
        <w:rPr>
          <w:rFonts w:ascii="Arial" w:hAnsi="Arial" w:cs="Arial"/>
          <w:noProof/>
          <w:lang w:val="fr-FR" w:eastAsia="fr-FR"/>
        </w:rPr>
        <w:drawing>
          <wp:inline distT="0" distB="0" distL="0" distR="0" wp14:anchorId="4B82B379" wp14:editId="5C918504">
            <wp:extent cx="5212080" cy="2898140"/>
            <wp:effectExtent l="0" t="0" r="762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7"/>
                    <a:stretch>
                      <a:fillRect/>
                    </a:stretch>
                  </pic:blipFill>
                  <pic:spPr>
                    <a:xfrm>
                      <a:off x="0" y="0"/>
                      <a:ext cx="5212080" cy="2898140"/>
                    </a:xfrm>
                    <a:prstGeom prst="rect">
                      <a:avLst/>
                    </a:prstGeom>
                  </pic:spPr>
                </pic:pic>
              </a:graphicData>
            </a:graphic>
          </wp:inline>
        </w:drawing>
      </w:r>
    </w:p>
    <w:p w:rsidR="006D1137" w:rsidRDefault="006D1137" w:rsidP="004B1F6D">
      <w:pPr>
        <w:tabs>
          <w:tab w:val="left" w:pos="4047"/>
        </w:tabs>
        <w:jc w:val="both"/>
        <w:rPr>
          <w:rFonts w:ascii="Arial" w:hAnsi="Arial" w:cs="Arial"/>
        </w:rPr>
      </w:pPr>
    </w:p>
    <w:p w:rsidR="00976686" w:rsidRPr="00E601F1" w:rsidRDefault="00976686" w:rsidP="00976686">
      <w:pPr>
        <w:tabs>
          <w:tab w:val="left" w:pos="4047"/>
        </w:tabs>
        <w:jc w:val="both"/>
        <w:rPr>
          <w:rFonts w:ascii="Arial" w:hAnsi="Arial" w:cs="Arial"/>
          <w:b/>
          <w:lang w:val="fr-FR"/>
        </w:rPr>
      </w:pPr>
      <w:r w:rsidRPr="00E601F1">
        <w:rPr>
          <w:rFonts w:ascii="Arial" w:hAnsi="Arial" w:cs="Arial"/>
          <w:b/>
          <w:lang w:val="fr-FR"/>
        </w:rPr>
        <w:t>Fig</w:t>
      </w:r>
      <w:r w:rsidR="00DD79E3" w:rsidRPr="00E601F1">
        <w:rPr>
          <w:rFonts w:ascii="Arial" w:hAnsi="Arial" w:cs="Arial"/>
          <w:b/>
          <w:lang w:val="fr-FR"/>
        </w:rPr>
        <w:t>.</w:t>
      </w:r>
      <w:r w:rsidR="00E601F1" w:rsidRPr="00E601F1">
        <w:rPr>
          <w:rFonts w:ascii="Arial" w:hAnsi="Arial" w:cs="Arial"/>
          <w:b/>
          <w:lang w:val="fr-FR"/>
        </w:rPr>
        <w:t> 3.</w:t>
      </w:r>
      <w:r w:rsidR="00E601F1">
        <w:rPr>
          <w:rFonts w:ascii="Arial" w:hAnsi="Arial" w:cs="Arial"/>
          <w:lang w:val="fr-FR"/>
        </w:rPr>
        <w:t xml:space="preserve"> </w:t>
      </w:r>
      <w:r w:rsidR="00DD79E3">
        <w:rPr>
          <w:rFonts w:ascii="Arial" w:hAnsi="Arial" w:cs="Arial"/>
          <w:lang w:val="fr-FR"/>
        </w:rPr>
        <w:t xml:space="preserve"> </w:t>
      </w:r>
      <w:r w:rsidRPr="00E601F1">
        <w:rPr>
          <w:rFonts w:ascii="Arial" w:hAnsi="Arial" w:cs="Arial"/>
          <w:b/>
          <w:lang w:val="fr-FR"/>
        </w:rPr>
        <w:t>(a)</w:t>
      </w:r>
      <w:r w:rsidR="00E601F1" w:rsidRPr="00E601F1">
        <w:rPr>
          <w:rFonts w:ascii="Arial" w:hAnsi="Arial" w:cs="Arial"/>
          <w:b/>
          <w:lang w:val="fr-FR"/>
        </w:rPr>
        <w:t xml:space="preserve"> </w:t>
      </w:r>
      <w:r w:rsidRPr="00E601F1">
        <w:rPr>
          <w:rFonts w:ascii="Arial" w:hAnsi="Arial" w:cs="Arial"/>
          <w:b/>
          <w:lang w:val="fr-FR"/>
        </w:rPr>
        <w:t xml:space="preserve">TG </w:t>
      </w:r>
      <w:proofErr w:type="spellStart"/>
      <w:r w:rsidRPr="00E601F1">
        <w:rPr>
          <w:rFonts w:ascii="Arial" w:hAnsi="Arial" w:cs="Arial"/>
          <w:b/>
          <w:lang w:val="fr-FR"/>
        </w:rPr>
        <w:t>curves</w:t>
      </w:r>
      <w:proofErr w:type="spellEnd"/>
      <w:r w:rsidRPr="00E601F1">
        <w:rPr>
          <w:rFonts w:ascii="Arial" w:hAnsi="Arial" w:cs="Arial"/>
          <w:b/>
          <w:lang w:val="fr-FR"/>
        </w:rPr>
        <w:t xml:space="preserve"> for CC; (b)</w:t>
      </w:r>
      <w:r w:rsidR="00917362" w:rsidRPr="00E601F1">
        <w:rPr>
          <w:rFonts w:ascii="Arial" w:hAnsi="Arial" w:cs="Arial"/>
          <w:b/>
          <w:lang w:val="fr-FR"/>
        </w:rPr>
        <w:t xml:space="preserve"> </w:t>
      </w:r>
      <w:r w:rsidRPr="00E601F1">
        <w:rPr>
          <w:rFonts w:ascii="Arial" w:hAnsi="Arial" w:cs="Arial"/>
          <w:b/>
          <w:lang w:val="fr-FR"/>
        </w:rPr>
        <w:t xml:space="preserve">TG </w:t>
      </w:r>
      <w:proofErr w:type="spellStart"/>
      <w:r w:rsidRPr="00E601F1">
        <w:rPr>
          <w:rFonts w:ascii="Arial" w:hAnsi="Arial" w:cs="Arial"/>
          <w:b/>
          <w:lang w:val="fr-FR"/>
        </w:rPr>
        <w:t>curves</w:t>
      </w:r>
      <w:proofErr w:type="spellEnd"/>
      <w:r w:rsidRPr="00E601F1">
        <w:rPr>
          <w:rFonts w:ascii="Arial" w:hAnsi="Arial" w:cs="Arial"/>
          <w:b/>
          <w:lang w:val="fr-FR"/>
        </w:rPr>
        <w:t xml:space="preserve"> for PE; (c)</w:t>
      </w:r>
      <w:r w:rsidR="00E601F1" w:rsidRPr="00E601F1">
        <w:rPr>
          <w:rFonts w:ascii="Arial" w:hAnsi="Arial" w:cs="Arial"/>
          <w:b/>
          <w:lang w:val="fr-FR"/>
        </w:rPr>
        <w:t xml:space="preserve"> </w:t>
      </w:r>
      <w:r w:rsidRPr="00E601F1">
        <w:rPr>
          <w:rFonts w:ascii="Arial" w:hAnsi="Arial" w:cs="Arial"/>
          <w:b/>
          <w:lang w:val="fr-FR"/>
        </w:rPr>
        <w:t xml:space="preserve">TG </w:t>
      </w:r>
      <w:proofErr w:type="spellStart"/>
      <w:r w:rsidRPr="00E601F1">
        <w:rPr>
          <w:rFonts w:ascii="Arial" w:hAnsi="Arial" w:cs="Arial"/>
          <w:b/>
          <w:lang w:val="fr-FR"/>
        </w:rPr>
        <w:t>curves</w:t>
      </w:r>
      <w:proofErr w:type="spellEnd"/>
      <w:r w:rsidRPr="00E601F1">
        <w:rPr>
          <w:rFonts w:ascii="Arial" w:hAnsi="Arial" w:cs="Arial"/>
          <w:b/>
          <w:lang w:val="fr-FR"/>
        </w:rPr>
        <w:t xml:space="preserve"> for CC + PE mixture; (d)</w:t>
      </w:r>
      <w:r w:rsidR="00DD79E3" w:rsidRPr="00E601F1">
        <w:rPr>
          <w:rFonts w:ascii="Arial" w:hAnsi="Arial" w:cs="Arial"/>
          <w:b/>
          <w:lang w:val="fr-FR"/>
        </w:rPr>
        <w:t xml:space="preserve"> </w:t>
      </w:r>
      <w:r w:rsidRPr="00E601F1">
        <w:rPr>
          <w:rFonts w:ascii="Arial" w:hAnsi="Arial" w:cs="Arial"/>
          <w:b/>
          <w:lang w:val="fr-FR"/>
        </w:rPr>
        <w:t xml:space="preserve">DTG </w:t>
      </w:r>
      <w:proofErr w:type="spellStart"/>
      <w:r w:rsidRPr="00E601F1">
        <w:rPr>
          <w:rFonts w:ascii="Arial" w:hAnsi="Arial" w:cs="Arial"/>
          <w:b/>
          <w:lang w:val="fr-FR"/>
        </w:rPr>
        <w:t>curves</w:t>
      </w:r>
      <w:proofErr w:type="spellEnd"/>
      <w:r w:rsidRPr="00E601F1">
        <w:rPr>
          <w:rFonts w:ascii="Arial" w:hAnsi="Arial" w:cs="Arial"/>
          <w:b/>
          <w:lang w:val="fr-FR"/>
        </w:rPr>
        <w:t xml:space="preserve"> for CC; (e)</w:t>
      </w:r>
      <w:r w:rsidR="00E601F1" w:rsidRPr="00E601F1">
        <w:rPr>
          <w:rFonts w:ascii="Arial" w:hAnsi="Arial" w:cs="Arial"/>
          <w:b/>
          <w:lang w:val="fr-FR"/>
        </w:rPr>
        <w:t xml:space="preserve"> </w:t>
      </w:r>
      <w:r w:rsidRPr="00E601F1">
        <w:rPr>
          <w:rFonts w:ascii="Arial" w:hAnsi="Arial" w:cs="Arial"/>
          <w:b/>
          <w:lang w:val="fr-FR"/>
        </w:rPr>
        <w:t xml:space="preserve">DTG </w:t>
      </w:r>
      <w:proofErr w:type="spellStart"/>
      <w:r w:rsidRPr="00E601F1">
        <w:rPr>
          <w:rFonts w:ascii="Arial" w:hAnsi="Arial" w:cs="Arial"/>
          <w:b/>
          <w:lang w:val="fr-FR"/>
        </w:rPr>
        <w:t>curves</w:t>
      </w:r>
      <w:proofErr w:type="spellEnd"/>
      <w:r w:rsidRPr="00E601F1">
        <w:rPr>
          <w:rFonts w:ascii="Arial" w:hAnsi="Arial" w:cs="Arial"/>
          <w:b/>
          <w:lang w:val="fr-FR"/>
        </w:rPr>
        <w:t xml:space="preserve"> for PE; (f)</w:t>
      </w:r>
      <w:r w:rsidR="00E601F1" w:rsidRPr="00E601F1">
        <w:rPr>
          <w:rFonts w:ascii="Arial" w:hAnsi="Arial" w:cs="Arial"/>
          <w:b/>
          <w:lang w:val="fr-FR"/>
        </w:rPr>
        <w:t xml:space="preserve"> </w:t>
      </w:r>
      <w:r w:rsidR="00F6794F">
        <w:rPr>
          <w:rFonts w:ascii="Arial" w:hAnsi="Arial" w:cs="Arial"/>
          <w:b/>
          <w:lang w:val="fr-FR"/>
        </w:rPr>
        <w:t xml:space="preserve">DTG </w:t>
      </w:r>
      <w:proofErr w:type="spellStart"/>
      <w:r w:rsidR="00F6794F">
        <w:rPr>
          <w:rFonts w:ascii="Arial" w:hAnsi="Arial" w:cs="Arial"/>
          <w:b/>
          <w:lang w:val="fr-FR"/>
        </w:rPr>
        <w:t>curves</w:t>
      </w:r>
      <w:proofErr w:type="spellEnd"/>
      <w:r w:rsidR="00F6794F">
        <w:rPr>
          <w:rFonts w:ascii="Arial" w:hAnsi="Arial" w:cs="Arial"/>
          <w:b/>
          <w:lang w:val="fr-FR"/>
        </w:rPr>
        <w:t xml:space="preserve"> for CC + PE mixture </w:t>
      </w:r>
      <w:r w:rsidR="00F6794F" w:rsidRPr="00C14910">
        <w:rPr>
          <w:rFonts w:ascii="Arial" w:hAnsi="Arial" w:cs="Arial"/>
        </w:rPr>
        <w:fldChar w:fldCharType="begin"/>
      </w:r>
      <w:r w:rsidR="00F6794F">
        <w:rPr>
          <w:rFonts w:ascii="Arial" w:hAnsi="Arial" w:cs="Arial"/>
        </w:rPr>
        <w:instrText xml:space="preserve"> ADDIN ZOTERO_ITEM CSL_CITATION {"citationID":"EIdjWSVS","properties":{"formattedCitation":"[10]","plainCitation":"[10]","noteIndex":0},"citationItems":[{"id":"KL15DYhl/6jKnaCFI","uris":["http://zotero.org/users/local/V8e1vJQi/items/LBF9FW75"],"itemData":{"id":136,"type":"article-journal","abstract":"The knowledge on thermo-kinetics, synergistic effect, and reaction mechanism of pyrolysis/co-pyrolysis of biomass with plastics is crucial for designing efﬁcient reactor system and subsequently the pyrolysis/co-pyrolysis process. The present work explores thermal response, kinetics, reaction mechanism and thermodynamic analysis of pyrolysis and co-pyrolysis of individual corn cob (CC) and polyethylene (PE), and their blend in the ratio of 3:1 (w/w). Thermogravimetric analysis (TGA) data was obtained under inert atmosphere at various heating rates of 10, 20, and 30 °C/min and synergistic effect in the co-pyrolysis of CC and PE is discussed. The obtained TGA data was processed using various model-free isoconversional methods like KAS, FWO, Friedman, Starink, and Vyazovkin for determination of kinetics of pyrolysis/co-pyrolysis process of CC and PE. Average activation energy for CC pyrolysis was estimated to be 240 ± 51.25 kJ/mol, 240 ± 51.51 kJ/mol, 237 ± 49.67 kJ/mol, and 245 ± 52.10 kJ/mol according to KAS, Starink, FWO, and Vyazovkin models, respectively. Statistical analysis showed that the variation in reported values of activation energy was not signiﬁcantly different (p = 0.994). Similar statistically insigniﬁcant difference was also observed for pyrolysis of PE and co-pyrolysis of CC and PE. Results showed that co-pyrolysis (CC + PE) requires 10% less activation energy than pyrolysis of CC alone. For the copyrolysis process, the extent of synergistic effect was discussed by difference in mass loss (ΔW). Investigation also revealed that residue left for co-pyrolysis of CC and PE is 50% less than pyrolysis of CC alone showing synergistic effect during co-pyrolysis. Thermodynamic parameters were calculated to illustrate complex mechanism of the process. Third order reaction, 3D diffusion Jander, and Ginstling–Brounshtein (D4) models were found to be best ﬁtted for CC pyrolysis, PE pyrolysis, and co-pyrolysis, respectively. Results obtained are expected to be useful in the design of corn cob and waste polyethylene co-pyrolysis systems.","container-title":"Science of The Total Environment","DOI":"10.1016/j.scitotenv.2021.147004","ISSN":"00489697","journalAbbreviation":"Science of The Total Environment","language":"en","page":"147004","source":"DOI.org (Crossref)","title":"Studies on individual pyrolysis and co-pyrolysis of corn cob and polyethylene: Thermal degradation behavior, possible synergism, kinetics, and thermodynamic analysis","title-short":"Studies on individual pyrolysis and co-pyrolysis of corn cob and polyethylene","volume":"783","author":[{"family":"Singh","given":"Sanjay"},{"family":"Patil","given":"Trilok"},{"family":"Tekade","given":"Shyam P."},{"family":"Gawande","given":"Manoj B."},{"family":"Sawarkar","given":"Ashish N."}],"issued":{"date-parts":[["2021",8]]}}}],"schema":"https://github.com/citation-style-language/schema/raw/master/csl-citation.json"} </w:instrText>
      </w:r>
      <w:r w:rsidR="00F6794F" w:rsidRPr="00C14910">
        <w:rPr>
          <w:rFonts w:ascii="Arial" w:hAnsi="Arial" w:cs="Arial"/>
        </w:rPr>
        <w:fldChar w:fldCharType="separate"/>
      </w:r>
      <w:r w:rsidR="00F6794F" w:rsidRPr="00C14910">
        <w:rPr>
          <w:rFonts w:ascii="Arial" w:hAnsi="Arial" w:cs="Arial"/>
        </w:rPr>
        <w:t>[10]</w:t>
      </w:r>
      <w:r w:rsidR="00F6794F" w:rsidRPr="00C14910">
        <w:rPr>
          <w:rFonts w:ascii="Arial" w:hAnsi="Arial" w:cs="Arial"/>
        </w:rPr>
        <w:fldChar w:fldCharType="end"/>
      </w:r>
      <w:r w:rsidR="00F6794F">
        <w:rPr>
          <w:rFonts w:ascii="Arial" w:hAnsi="Arial" w:cs="Arial"/>
        </w:rPr>
        <w:t>.</w:t>
      </w:r>
    </w:p>
    <w:p w:rsidR="00E601F1" w:rsidRPr="00976686" w:rsidRDefault="00E601F1" w:rsidP="00976686">
      <w:pPr>
        <w:tabs>
          <w:tab w:val="left" w:pos="4047"/>
        </w:tabs>
        <w:jc w:val="both"/>
        <w:rPr>
          <w:rFonts w:ascii="Arial" w:hAnsi="Arial" w:cs="Arial"/>
          <w:lang w:val="fr-FR"/>
        </w:rPr>
      </w:pPr>
    </w:p>
    <w:p w:rsidR="00976686" w:rsidRPr="00976686" w:rsidRDefault="00976686" w:rsidP="00976686">
      <w:pPr>
        <w:tabs>
          <w:tab w:val="left" w:pos="4047"/>
        </w:tabs>
        <w:jc w:val="both"/>
        <w:rPr>
          <w:rFonts w:ascii="Arial" w:hAnsi="Arial" w:cs="Arial"/>
          <w:lang w:val="fr-FR"/>
        </w:rPr>
      </w:pPr>
      <w:r w:rsidRPr="00976686">
        <w:rPr>
          <w:rFonts w:ascii="Arial" w:hAnsi="Arial" w:cs="Arial"/>
          <w:lang w:val="fr-FR"/>
        </w:rPr>
        <w:t xml:space="preserve">The </w:t>
      </w:r>
      <w:proofErr w:type="spellStart"/>
      <w:r w:rsidRPr="00976686">
        <w:rPr>
          <w:rFonts w:ascii="Arial" w:hAnsi="Arial" w:cs="Arial"/>
          <w:lang w:val="fr-FR"/>
        </w:rPr>
        <w:t>study</w:t>
      </w:r>
      <w:proofErr w:type="spellEnd"/>
      <w:r w:rsidRPr="00976686">
        <w:rPr>
          <w:rFonts w:ascii="Arial" w:hAnsi="Arial" w:cs="Arial"/>
          <w:lang w:val="fr-FR"/>
        </w:rPr>
        <w:t xml:space="preserve"> of the TG and DTG </w:t>
      </w:r>
      <w:proofErr w:type="spellStart"/>
      <w:r w:rsidRPr="00976686">
        <w:rPr>
          <w:rFonts w:ascii="Arial" w:hAnsi="Arial" w:cs="Arial"/>
          <w:lang w:val="fr-FR"/>
        </w:rPr>
        <w:t>curves</w:t>
      </w:r>
      <w:proofErr w:type="spellEnd"/>
      <w:r w:rsidRPr="00976686">
        <w:rPr>
          <w:rFonts w:ascii="Arial" w:hAnsi="Arial" w:cs="Arial"/>
          <w:lang w:val="fr-FR"/>
        </w:rPr>
        <w:t xml:space="preserve"> of the </w:t>
      </w:r>
      <w:proofErr w:type="spellStart"/>
      <w:r w:rsidRPr="00917362">
        <w:rPr>
          <w:rFonts w:ascii="Arial" w:hAnsi="Arial" w:cs="Arial"/>
          <w:lang w:val="fr-FR"/>
        </w:rPr>
        <w:t>mixture</w:t>
      </w:r>
      <w:r w:rsidRPr="00917362">
        <w:rPr>
          <w:rFonts w:ascii="Arial" w:hAnsi="Arial" w:cs="Arial"/>
          <w:bCs/>
          <w:lang w:val="fr-FR"/>
        </w:rPr>
        <w:t>corn</w:t>
      </w:r>
      <w:proofErr w:type="spellEnd"/>
      <w:r w:rsidRPr="00917362">
        <w:rPr>
          <w:rFonts w:ascii="Arial" w:hAnsi="Arial" w:cs="Arial"/>
          <w:bCs/>
          <w:lang w:val="fr-FR"/>
        </w:rPr>
        <w:t xml:space="preserve"> cob (CC) + </w:t>
      </w:r>
      <w:proofErr w:type="spellStart"/>
      <w:r w:rsidRPr="00917362">
        <w:rPr>
          <w:rFonts w:ascii="Arial" w:hAnsi="Arial" w:cs="Arial"/>
          <w:bCs/>
          <w:lang w:val="fr-FR"/>
        </w:rPr>
        <w:t>polyethylene</w:t>
      </w:r>
      <w:proofErr w:type="spellEnd"/>
      <w:r w:rsidRPr="00917362">
        <w:rPr>
          <w:rFonts w:ascii="Arial" w:hAnsi="Arial" w:cs="Arial"/>
          <w:bCs/>
          <w:lang w:val="fr-FR"/>
        </w:rPr>
        <w:t xml:space="preserve"> (PE)</w:t>
      </w:r>
      <w:r w:rsidR="00917362" w:rsidRPr="00917362">
        <w:rPr>
          <w:rFonts w:ascii="Arial" w:hAnsi="Arial" w:cs="Arial"/>
          <w:bCs/>
          <w:lang w:val="fr-FR"/>
        </w:rPr>
        <w:t xml:space="preserve"> </w:t>
      </w:r>
      <w:proofErr w:type="spellStart"/>
      <w:r w:rsidRPr="00976686">
        <w:rPr>
          <w:rFonts w:ascii="Arial" w:hAnsi="Arial" w:cs="Arial"/>
          <w:lang w:val="fr-FR"/>
        </w:rPr>
        <w:t>revealed</w:t>
      </w:r>
      <w:proofErr w:type="spellEnd"/>
      <w:r w:rsidRPr="00976686">
        <w:rPr>
          <w:rFonts w:ascii="Arial" w:hAnsi="Arial" w:cs="Arial"/>
          <w:lang w:val="fr-FR"/>
        </w:rPr>
        <w:t xml:space="preserve"> four distinct stages of thermal </w:t>
      </w:r>
      <w:proofErr w:type="spellStart"/>
      <w:proofErr w:type="gramStart"/>
      <w:r w:rsidRPr="00976686">
        <w:rPr>
          <w:rFonts w:ascii="Arial" w:hAnsi="Arial" w:cs="Arial"/>
          <w:lang w:val="fr-FR"/>
        </w:rPr>
        <w:t>decomposition</w:t>
      </w:r>
      <w:proofErr w:type="spellEnd"/>
      <w:r w:rsidRPr="00976686">
        <w:rPr>
          <w:rFonts w:ascii="Arial" w:hAnsi="Arial" w:cs="Arial"/>
          <w:lang w:val="fr-FR"/>
        </w:rPr>
        <w:t>:</w:t>
      </w:r>
      <w:proofErr w:type="gramEnd"/>
    </w:p>
    <w:p w:rsidR="00976686" w:rsidRPr="00917362" w:rsidRDefault="00976686" w:rsidP="00976686">
      <w:pPr>
        <w:tabs>
          <w:tab w:val="left" w:pos="4047"/>
        </w:tabs>
        <w:jc w:val="both"/>
        <w:rPr>
          <w:rFonts w:ascii="Arial" w:hAnsi="Arial" w:cs="Arial"/>
          <w:lang w:val="fr-FR"/>
        </w:rPr>
      </w:pPr>
      <w:proofErr w:type="spellStart"/>
      <w:r w:rsidRPr="00917362">
        <w:rPr>
          <w:rFonts w:ascii="Arial" w:hAnsi="Arial" w:cs="Arial"/>
          <w:bCs/>
          <w:lang w:val="fr-FR"/>
        </w:rPr>
        <w:t>Region</w:t>
      </w:r>
      <w:proofErr w:type="spellEnd"/>
      <w:r w:rsidRPr="00917362">
        <w:rPr>
          <w:rFonts w:ascii="Arial" w:hAnsi="Arial" w:cs="Arial"/>
          <w:bCs/>
          <w:lang w:val="fr-FR"/>
        </w:rPr>
        <w:t xml:space="preserve"> I (30–180 °C</w:t>
      </w:r>
      <w:proofErr w:type="gramStart"/>
      <w:r w:rsidRPr="00917362">
        <w:rPr>
          <w:rFonts w:ascii="Arial" w:hAnsi="Arial" w:cs="Arial"/>
          <w:bCs/>
          <w:lang w:val="fr-FR"/>
        </w:rPr>
        <w:t>)</w:t>
      </w:r>
      <w:r w:rsidRPr="00917362">
        <w:rPr>
          <w:rFonts w:ascii="Arial" w:hAnsi="Arial" w:cs="Arial"/>
          <w:lang w:val="fr-FR"/>
        </w:rPr>
        <w:t>:</w:t>
      </w:r>
      <w:proofErr w:type="gramEnd"/>
      <w:r w:rsidRPr="00917362">
        <w:rPr>
          <w:rFonts w:ascii="Arial" w:hAnsi="Arial" w:cs="Arial"/>
          <w:lang w:val="fr-FR"/>
        </w:rPr>
        <w:t xml:space="preserve"> minor mass </w:t>
      </w:r>
      <w:proofErr w:type="spellStart"/>
      <w:r w:rsidRPr="00917362">
        <w:rPr>
          <w:rFonts w:ascii="Arial" w:hAnsi="Arial" w:cs="Arial"/>
          <w:lang w:val="fr-FR"/>
        </w:rPr>
        <w:t>loss</w:t>
      </w:r>
      <w:proofErr w:type="spellEnd"/>
      <w:r w:rsidRPr="00917362">
        <w:rPr>
          <w:rFonts w:ascii="Arial" w:hAnsi="Arial" w:cs="Arial"/>
          <w:lang w:val="fr-FR"/>
        </w:rPr>
        <w:t xml:space="preserve"> (~1.7%) due to </w:t>
      </w:r>
      <w:proofErr w:type="spellStart"/>
      <w:r w:rsidRPr="00917362">
        <w:rPr>
          <w:rFonts w:ascii="Arial" w:hAnsi="Arial" w:cs="Arial"/>
          <w:lang w:val="fr-FR"/>
        </w:rPr>
        <w:t>humidity</w:t>
      </w:r>
      <w:proofErr w:type="spellEnd"/>
      <w:r w:rsidRPr="00917362">
        <w:rPr>
          <w:rFonts w:ascii="Arial" w:hAnsi="Arial" w:cs="Arial"/>
          <w:lang w:val="fr-FR"/>
        </w:rPr>
        <w:t xml:space="preserve">, </w:t>
      </w:r>
      <w:proofErr w:type="spellStart"/>
      <w:r w:rsidRPr="00917362">
        <w:rPr>
          <w:rFonts w:ascii="Arial" w:hAnsi="Arial" w:cs="Arial"/>
          <w:lang w:val="fr-FR"/>
        </w:rPr>
        <w:t>mainly</w:t>
      </w:r>
      <w:proofErr w:type="spellEnd"/>
      <w:r w:rsidRPr="00917362">
        <w:rPr>
          <w:rFonts w:ascii="Arial" w:hAnsi="Arial" w:cs="Arial"/>
          <w:lang w:val="fr-FR"/>
        </w:rPr>
        <w:t xml:space="preserve"> </w:t>
      </w:r>
      <w:proofErr w:type="spellStart"/>
      <w:r w:rsidRPr="00917362">
        <w:rPr>
          <w:rFonts w:ascii="Arial" w:hAnsi="Arial" w:cs="Arial"/>
          <w:lang w:val="fr-FR"/>
        </w:rPr>
        <w:t>from</w:t>
      </w:r>
      <w:proofErr w:type="spellEnd"/>
      <w:r w:rsidRPr="00917362">
        <w:rPr>
          <w:rFonts w:ascii="Arial" w:hAnsi="Arial" w:cs="Arial"/>
          <w:lang w:val="fr-FR"/>
        </w:rPr>
        <w:t xml:space="preserve"> the corn cob.</w:t>
      </w:r>
    </w:p>
    <w:p w:rsidR="00976686" w:rsidRPr="00917362" w:rsidRDefault="00976686" w:rsidP="00976686">
      <w:pPr>
        <w:tabs>
          <w:tab w:val="left" w:pos="4047"/>
        </w:tabs>
        <w:jc w:val="both"/>
        <w:rPr>
          <w:rFonts w:ascii="Arial" w:hAnsi="Arial" w:cs="Arial"/>
          <w:lang w:val="fr-FR"/>
        </w:rPr>
      </w:pPr>
      <w:proofErr w:type="spellStart"/>
      <w:r w:rsidRPr="00917362">
        <w:rPr>
          <w:rFonts w:ascii="Arial" w:hAnsi="Arial" w:cs="Arial"/>
          <w:bCs/>
          <w:lang w:val="fr-FR"/>
        </w:rPr>
        <w:t>Region</w:t>
      </w:r>
      <w:proofErr w:type="spellEnd"/>
      <w:r w:rsidRPr="00917362">
        <w:rPr>
          <w:rFonts w:ascii="Arial" w:hAnsi="Arial" w:cs="Arial"/>
          <w:bCs/>
          <w:lang w:val="fr-FR"/>
        </w:rPr>
        <w:t xml:space="preserve"> II (180–355 °C</w:t>
      </w:r>
      <w:proofErr w:type="gramStart"/>
      <w:r w:rsidRPr="00917362">
        <w:rPr>
          <w:rFonts w:ascii="Arial" w:hAnsi="Arial" w:cs="Arial"/>
          <w:bCs/>
          <w:lang w:val="fr-FR"/>
        </w:rPr>
        <w:t>)</w:t>
      </w:r>
      <w:r w:rsidRPr="00917362">
        <w:rPr>
          <w:rFonts w:ascii="Arial" w:hAnsi="Arial" w:cs="Arial"/>
          <w:lang w:val="fr-FR"/>
        </w:rPr>
        <w:t>:</w:t>
      </w:r>
      <w:proofErr w:type="gramEnd"/>
      <w:r w:rsidRPr="00917362">
        <w:rPr>
          <w:rFonts w:ascii="Arial" w:hAnsi="Arial" w:cs="Arial"/>
          <w:lang w:val="fr-FR"/>
        </w:rPr>
        <w:t xml:space="preserve"> mass </w:t>
      </w:r>
      <w:proofErr w:type="spellStart"/>
      <w:r w:rsidRPr="00917362">
        <w:rPr>
          <w:rFonts w:ascii="Arial" w:hAnsi="Arial" w:cs="Arial"/>
          <w:lang w:val="fr-FR"/>
        </w:rPr>
        <w:t>loss</w:t>
      </w:r>
      <w:proofErr w:type="spellEnd"/>
      <w:r w:rsidRPr="00917362">
        <w:rPr>
          <w:rFonts w:ascii="Arial" w:hAnsi="Arial" w:cs="Arial"/>
          <w:lang w:val="fr-FR"/>
        </w:rPr>
        <w:t xml:space="preserve"> of </w:t>
      </w:r>
      <w:proofErr w:type="spellStart"/>
      <w:r w:rsidRPr="00917362">
        <w:rPr>
          <w:rFonts w:ascii="Arial" w:hAnsi="Arial" w:cs="Arial"/>
          <w:lang w:val="fr-FR"/>
        </w:rPr>
        <w:t>approximately</w:t>
      </w:r>
      <w:proofErr w:type="spellEnd"/>
      <w:r w:rsidRPr="00917362">
        <w:rPr>
          <w:rFonts w:ascii="Arial" w:hAnsi="Arial" w:cs="Arial"/>
          <w:lang w:val="fr-FR"/>
        </w:rPr>
        <w:t xml:space="preserve"> 33.4%, </w:t>
      </w:r>
      <w:proofErr w:type="spellStart"/>
      <w:r w:rsidRPr="00917362">
        <w:rPr>
          <w:rFonts w:ascii="Arial" w:hAnsi="Arial" w:cs="Arial"/>
          <w:lang w:val="fr-FR"/>
        </w:rPr>
        <w:t>corresponding</w:t>
      </w:r>
      <w:proofErr w:type="spellEnd"/>
      <w:r w:rsidRPr="00917362">
        <w:rPr>
          <w:rFonts w:ascii="Arial" w:hAnsi="Arial" w:cs="Arial"/>
          <w:lang w:val="fr-FR"/>
        </w:rPr>
        <w:t xml:space="preserve"> to the </w:t>
      </w:r>
      <w:proofErr w:type="spellStart"/>
      <w:r w:rsidRPr="00917362">
        <w:rPr>
          <w:rFonts w:ascii="Arial" w:hAnsi="Arial" w:cs="Arial"/>
          <w:lang w:val="fr-FR"/>
        </w:rPr>
        <w:t>decomposition</w:t>
      </w:r>
      <w:proofErr w:type="spellEnd"/>
      <w:r w:rsidRPr="00917362">
        <w:rPr>
          <w:rFonts w:ascii="Arial" w:hAnsi="Arial" w:cs="Arial"/>
          <w:lang w:val="fr-FR"/>
        </w:rPr>
        <w:t xml:space="preserve"> of </w:t>
      </w:r>
      <w:proofErr w:type="spellStart"/>
      <w:r w:rsidRPr="00917362">
        <w:rPr>
          <w:rFonts w:ascii="Arial" w:hAnsi="Arial" w:cs="Arial"/>
          <w:lang w:val="fr-FR"/>
        </w:rPr>
        <w:t>hemicellulose</w:t>
      </w:r>
      <w:proofErr w:type="spellEnd"/>
      <w:r w:rsidRPr="00917362">
        <w:rPr>
          <w:rFonts w:ascii="Arial" w:hAnsi="Arial" w:cs="Arial"/>
          <w:lang w:val="fr-FR"/>
        </w:rPr>
        <w:t xml:space="preserve">, cellulose and </w:t>
      </w:r>
      <w:proofErr w:type="spellStart"/>
      <w:r w:rsidRPr="00917362">
        <w:rPr>
          <w:rFonts w:ascii="Arial" w:hAnsi="Arial" w:cs="Arial"/>
          <w:lang w:val="fr-FR"/>
        </w:rPr>
        <w:t>extracts</w:t>
      </w:r>
      <w:proofErr w:type="spellEnd"/>
      <w:r w:rsidRPr="00917362">
        <w:rPr>
          <w:rFonts w:ascii="Arial" w:hAnsi="Arial" w:cs="Arial"/>
          <w:lang w:val="fr-FR"/>
        </w:rPr>
        <w:t xml:space="preserve">. A first DTG </w:t>
      </w:r>
      <w:proofErr w:type="spellStart"/>
      <w:r w:rsidRPr="00917362">
        <w:rPr>
          <w:rFonts w:ascii="Arial" w:hAnsi="Arial" w:cs="Arial"/>
          <w:lang w:val="fr-FR"/>
        </w:rPr>
        <w:t>peak</w:t>
      </w:r>
      <w:proofErr w:type="spellEnd"/>
      <w:r w:rsidRPr="00917362">
        <w:rPr>
          <w:rFonts w:ascii="Arial" w:hAnsi="Arial" w:cs="Arial"/>
          <w:lang w:val="fr-FR"/>
        </w:rPr>
        <w:t xml:space="preserve"> </w:t>
      </w:r>
      <w:proofErr w:type="spellStart"/>
      <w:r w:rsidRPr="00917362">
        <w:rPr>
          <w:rFonts w:ascii="Arial" w:hAnsi="Arial" w:cs="Arial"/>
          <w:lang w:val="fr-FR"/>
        </w:rPr>
        <w:t>is</w:t>
      </w:r>
      <w:proofErr w:type="spellEnd"/>
      <w:r w:rsidRPr="00917362">
        <w:rPr>
          <w:rFonts w:ascii="Arial" w:hAnsi="Arial" w:cs="Arial"/>
          <w:lang w:val="fr-FR"/>
        </w:rPr>
        <w:t xml:space="preserve"> </w:t>
      </w:r>
      <w:proofErr w:type="spellStart"/>
      <w:r w:rsidRPr="00917362">
        <w:rPr>
          <w:rFonts w:ascii="Arial" w:hAnsi="Arial" w:cs="Arial"/>
          <w:lang w:val="fr-FR"/>
        </w:rPr>
        <w:t>observed</w:t>
      </w:r>
      <w:proofErr w:type="spellEnd"/>
      <w:r w:rsidRPr="00917362">
        <w:rPr>
          <w:rFonts w:ascii="Arial" w:hAnsi="Arial" w:cs="Arial"/>
          <w:lang w:val="fr-FR"/>
        </w:rPr>
        <w:t xml:space="preserve"> </w:t>
      </w:r>
      <w:proofErr w:type="spellStart"/>
      <w:r w:rsidRPr="00917362">
        <w:rPr>
          <w:rFonts w:ascii="Arial" w:hAnsi="Arial" w:cs="Arial"/>
          <w:lang w:val="fr-FR"/>
        </w:rPr>
        <w:t>there</w:t>
      </w:r>
      <w:proofErr w:type="spellEnd"/>
      <w:r w:rsidRPr="00917362">
        <w:rPr>
          <w:rFonts w:ascii="Arial" w:hAnsi="Arial" w:cs="Arial"/>
          <w:lang w:val="fr-FR"/>
        </w:rPr>
        <w:t>.</w:t>
      </w:r>
    </w:p>
    <w:p w:rsidR="00976686" w:rsidRPr="00917362" w:rsidRDefault="00976686" w:rsidP="00976686">
      <w:pPr>
        <w:tabs>
          <w:tab w:val="left" w:pos="4047"/>
        </w:tabs>
        <w:jc w:val="both"/>
        <w:rPr>
          <w:rFonts w:ascii="Arial" w:hAnsi="Arial" w:cs="Arial"/>
          <w:lang w:val="fr-FR"/>
        </w:rPr>
      </w:pPr>
      <w:proofErr w:type="spellStart"/>
      <w:r w:rsidRPr="00917362">
        <w:rPr>
          <w:rFonts w:ascii="Arial" w:hAnsi="Arial" w:cs="Arial"/>
          <w:bCs/>
          <w:lang w:val="fr-FR"/>
        </w:rPr>
        <w:t>Region</w:t>
      </w:r>
      <w:proofErr w:type="spellEnd"/>
      <w:r w:rsidRPr="00917362">
        <w:rPr>
          <w:rFonts w:ascii="Arial" w:hAnsi="Arial" w:cs="Arial"/>
          <w:bCs/>
          <w:lang w:val="fr-FR"/>
        </w:rPr>
        <w:t xml:space="preserve"> III (355–495 °C</w:t>
      </w:r>
      <w:proofErr w:type="gramStart"/>
      <w:r w:rsidRPr="00917362">
        <w:rPr>
          <w:rFonts w:ascii="Arial" w:hAnsi="Arial" w:cs="Arial"/>
          <w:bCs/>
          <w:lang w:val="fr-FR"/>
        </w:rPr>
        <w:t>)</w:t>
      </w:r>
      <w:r w:rsidRPr="00917362">
        <w:rPr>
          <w:rFonts w:ascii="Arial" w:hAnsi="Arial" w:cs="Arial"/>
          <w:lang w:val="fr-FR"/>
        </w:rPr>
        <w:t>:</w:t>
      </w:r>
      <w:proofErr w:type="gramEnd"/>
      <w:r w:rsidRPr="00917362">
        <w:rPr>
          <w:rFonts w:ascii="Arial" w:hAnsi="Arial" w:cs="Arial"/>
          <w:lang w:val="fr-FR"/>
        </w:rPr>
        <w:t xml:space="preserve"> </w:t>
      </w:r>
      <w:proofErr w:type="spellStart"/>
      <w:r w:rsidRPr="00917362">
        <w:rPr>
          <w:rFonts w:ascii="Arial" w:hAnsi="Arial" w:cs="Arial"/>
          <w:lang w:val="fr-FR"/>
        </w:rPr>
        <w:t>higher</w:t>
      </w:r>
      <w:proofErr w:type="spellEnd"/>
      <w:r w:rsidRPr="00917362">
        <w:rPr>
          <w:rFonts w:ascii="Arial" w:hAnsi="Arial" w:cs="Arial"/>
          <w:lang w:val="fr-FR"/>
        </w:rPr>
        <w:t xml:space="preserve"> mass </w:t>
      </w:r>
      <w:proofErr w:type="spellStart"/>
      <w:r w:rsidRPr="00917362">
        <w:rPr>
          <w:rFonts w:ascii="Arial" w:hAnsi="Arial" w:cs="Arial"/>
          <w:lang w:val="fr-FR"/>
        </w:rPr>
        <w:t>loss</w:t>
      </w:r>
      <w:proofErr w:type="spellEnd"/>
      <w:r w:rsidRPr="00917362">
        <w:rPr>
          <w:rFonts w:ascii="Arial" w:hAnsi="Arial" w:cs="Arial"/>
          <w:lang w:val="fr-FR"/>
        </w:rPr>
        <w:t xml:space="preserve"> (~51.1%) </w:t>
      </w:r>
      <w:proofErr w:type="spellStart"/>
      <w:r w:rsidRPr="00917362">
        <w:rPr>
          <w:rFonts w:ascii="Arial" w:hAnsi="Arial" w:cs="Arial"/>
          <w:lang w:val="fr-FR"/>
        </w:rPr>
        <w:t>linked</w:t>
      </w:r>
      <w:proofErr w:type="spellEnd"/>
      <w:r w:rsidRPr="00917362">
        <w:rPr>
          <w:rFonts w:ascii="Arial" w:hAnsi="Arial" w:cs="Arial"/>
          <w:lang w:val="fr-FR"/>
        </w:rPr>
        <w:t xml:space="preserve"> to the </w:t>
      </w:r>
      <w:proofErr w:type="spellStart"/>
      <w:r w:rsidRPr="00917362">
        <w:rPr>
          <w:rFonts w:ascii="Arial" w:hAnsi="Arial" w:cs="Arial"/>
          <w:lang w:val="fr-FR"/>
        </w:rPr>
        <w:t>degradation</w:t>
      </w:r>
      <w:proofErr w:type="spellEnd"/>
      <w:r w:rsidRPr="00917362">
        <w:rPr>
          <w:rFonts w:ascii="Arial" w:hAnsi="Arial" w:cs="Arial"/>
          <w:lang w:val="fr-FR"/>
        </w:rPr>
        <w:t xml:space="preserve"> of PE and CC; second DTG </w:t>
      </w:r>
      <w:proofErr w:type="spellStart"/>
      <w:r w:rsidRPr="00917362">
        <w:rPr>
          <w:rFonts w:ascii="Arial" w:hAnsi="Arial" w:cs="Arial"/>
          <w:lang w:val="fr-FR"/>
        </w:rPr>
        <w:t>peak</w:t>
      </w:r>
      <w:proofErr w:type="spellEnd"/>
      <w:r w:rsidRPr="00917362">
        <w:rPr>
          <w:rFonts w:ascii="Arial" w:hAnsi="Arial" w:cs="Arial"/>
          <w:lang w:val="fr-FR"/>
        </w:rPr>
        <w:t xml:space="preserve">, more intense, </w:t>
      </w:r>
      <w:proofErr w:type="spellStart"/>
      <w:r w:rsidRPr="00917362">
        <w:rPr>
          <w:rFonts w:ascii="Arial" w:hAnsi="Arial" w:cs="Arial"/>
          <w:lang w:val="fr-FR"/>
        </w:rPr>
        <w:t>indicating</w:t>
      </w:r>
      <w:proofErr w:type="spellEnd"/>
      <w:r w:rsidRPr="00917362">
        <w:rPr>
          <w:rFonts w:ascii="Arial" w:hAnsi="Arial" w:cs="Arial"/>
          <w:lang w:val="fr-FR"/>
        </w:rPr>
        <w:t xml:space="preserve"> a </w:t>
      </w:r>
      <w:proofErr w:type="spellStart"/>
      <w:r w:rsidRPr="00917362">
        <w:rPr>
          <w:rFonts w:ascii="Arial" w:hAnsi="Arial" w:cs="Arial"/>
          <w:lang w:val="fr-FR"/>
        </w:rPr>
        <w:t>decomposition</w:t>
      </w:r>
      <w:proofErr w:type="spellEnd"/>
      <w:r w:rsidRPr="00917362">
        <w:rPr>
          <w:rFonts w:ascii="Arial" w:hAnsi="Arial" w:cs="Arial"/>
          <w:lang w:val="fr-FR"/>
        </w:rPr>
        <w:t xml:space="preserve"> </w:t>
      </w:r>
      <w:proofErr w:type="spellStart"/>
      <w:r w:rsidRPr="00917362">
        <w:rPr>
          <w:rFonts w:ascii="Arial" w:hAnsi="Arial" w:cs="Arial"/>
          <w:lang w:val="fr-FR"/>
        </w:rPr>
        <w:t>dominated</w:t>
      </w:r>
      <w:proofErr w:type="spellEnd"/>
      <w:r w:rsidRPr="00917362">
        <w:rPr>
          <w:rFonts w:ascii="Arial" w:hAnsi="Arial" w:cs="Arial"/>
          <w:lang w:val="fr-FR"/>
        </w:rPr>
        <w:t xml:space="preserve"> by PE.</w:t>
      </w:r>
    </w:p>
    <w:p w:rsidR="00976686" w:rsidRPr="00917362" w:rsidRDefault="00976686" w:rsidP="00976686">
      <w:pPr>
        <w:tabs>
          <w:tab w:val="left" w:pos="4047"/>
        </w:tabs>
        <w:jc w:val="both"/>
        <w:rPr>
          <w:rFonts w:ascii="Arial" w:hAnsi="Arial" w:cs="Arial"/>
          <w:lang w:val="fr-FR"/>
        </w:rPr>
      </w:pPr>
      <w:proofErr w:type="spellStart"/>
      <w:r w:rsidRPr="00917362">
        <w:rPr>
          <w:rFonts w:ascii="Arial" w:hAnsi="Arial" w:cs="Arial"/>
          <w:bCs/>
          <w:lang w:val="fr-FR"/>
        </w:rPr>
        <w:t>Region</w:t>
      </w:r>
      <w:proofErr w:type="spellEnd"/>
      <w:r w:rsidRPr="00917362">
        <w:rPr>
          <w:rFonts w:ascii="Arial" w:hAnsi="Arial" w:cs="Arial"/>
          <w:bCs/>
          <w:lang w:val="fr-FR"/>
        </w:rPr>
        <w:t xml:space="preserve"> IV (</w:t>
      </w:r>
      <w:proofErr w:type="spellStart"/>
      <w:r w:rsidRPr="00917362">
        <w:rPr>
          <w:rFonts w:ascii="Arial" w:hAnsi="Arial" w:cs="Arial"/>
          <w:bCs/>
          <w:lang w:val="fr-FR"/>
        </w:rPr>
        <w:t>above</w:t>
      </w:r>
      <w:proofErr w:type="spellEnd"/>
      <w:r w:rsidRPr="00917362">
        <w:rPr>
          <w:rFonts w:ascii="Arial" w:hAnsi="Arial" w:cs="Arial"/>
          <w:bCs/>
          <w:lang w:val="fr-FR"/>
        </w:rPr>
        <w:t xml:space="preserve"> 495°C</w:t>
      </w:r>
      <w:proofErr w:type="gramStart"/>
      <w:r w:rsidRPr="00917362">
        <w:rPr>
          <w:rFonts w:ascii="Arial" w:hAnsi="Arial" w:cs="Arial"/>
          <w:bCs/>
          <w:lang w:val="fr-FR"/>
        </w:rPr>
        <w:t>)</w:t>
      </w:r>
      <w:r w:rsidRPr="00917362">
        <w:rPr>
          <w:rFonts w:ascii="Arial" w:hAnsi="Arial" w:cs="Arial"/>
          <w:lang w:val="fr-FR"/>
        </w:rPr>
        <w:t>:</w:t>
      </w:r>
      <w:proofErr w:type="gramEnd"/>
      <w:r w:rsidRPr="00917362">
        <w:rPr>
          <w:rFonts w:ascii="Arial" w:hAnsi="Arial" w:cs="Arial"/>
          <w:lang w:val="fr-FR"/>
        </w:rPr>
        <w:t xml:space="preserve"> </w:t>
      </w:r>
      <w:proofErr w:type="spellStart"/>
      <w:r w:rsidRPr="00917362">
        <w:rPr>
          <w:rFonts w:ascii="Arial" w:hAnsi="Arial" w:cs="Arial"/>
          <w:lang w:val="fr-FR"/>
        </w:rPr>
        <w:t>moderate</w:t>
      </w:r>
      <w:proofErr w:type="spellEnd"/>
      <w:r w:rsidRPr="00917362">
        <w:rPr>
          <w:rFonts w:ascii="Arial" w:hAnsi="Arial" w:cs="Arial"/>
          <w:lang w:val="fr-FR"/>
        </w:rPr>
        <w:t xml:space="preserve"> </w:t>
      </w:r>
      <w:proofErr w:type="spellStart"/>
      <w:r w:rsidRPr="00917362">
        <w:rPr>
          <w:rFonts w:ascii="Arial" w:hAnsi="Arial" w:cs="Arial"/>
          <w:lang w:val="fr-FR"/>
        </w:rPr>
        <w:t>residual</w:t>
      </w:r>
      <w:proofErr w:type="spellEnd"/>
      <w:r w:rsidRPr="00917362">
        <w:rPr>
          <w:rFonts w:ascii="Arial" w:hAnsi="Arial" w:cs="Arial"/>
          <w:lang w:val="fr-FR"/>
        </w:rPr>
        <w:t xml:space="preserve"> </w:t>
      </w:r>
      <w:proofErr w:type="spellStart"/>
      <w:r w:rsidRPr="00917362">
        <w:rPr>
          <w:rFonts w:ascii="Arial" w:hAnsi="Arial" w:cs="Arial"/>
          <w:lang w:val="fr-FR"/>
        </w:rPr>
        <w:t>loss</w:t>
      </w:r>
      <w:proofErr w:type="spellEnd"/>
      <w:r w:rsidRPr="00917362">
        <w:rPr>
          <w:rFonts w:ascii="Arial" w:hAnsi="Arial" w:cs="Arial"/>
          <w:lang w:val="fr-FR"/>
        </w:rPr>
        <w:t xml:space="preserve"> (~3.4%).</w:t>
      </w:r>
    </w:p>
    <w:p w:rsidR="00976686" w:rsidRPr="00917362" w:rsidRDefault="00976686" w:rsidP="00976686">
      <w:pPr>
        <w:tabs>
          <w:tab w:val="left" w:pos="4047"/>
        </w:tabs>
        <w:jc w:val="both"/>
        <w:rPr>
          <w:rFonts w:ascii="Arial" w:hAnsi="Arial" w:cs="Arial"/>
          <w:lang w:val="fr-FR"/>
        </w:rPr>
      </w:pPr>
      <w:r w:rsidRPr="00917362">
        <w:rPr>
          <w:rFonts w:ascii="Arial" w:hAnsi="Arial" w:cs="Arial"/>
          <w:lang w:val="fr-FR"/>
        </w:rPr>
        <w:t xml:space="preserve">The </w:t>
      </w:r>
      <w:proofErr w:type="spellStart"/>
      <w:r w:rsidRPr="00917362">
        <w:rPr>
          <w:rFonts w:ascii="Arial" w:hAnsi="Arial" w:cs="Arial"/>
          <w:lang w:val="fr-FR"/>
        </w:rPr>
        <w:t>degradation</w:t>
      </w:r>
      <w:proofErr w:type="spellEnd"/>
      <w:r w:rsidRPr="00917362">
        <w:rPr>
          <w:rFonts w:ascii="Arial" w:hAnsi="Arial" w:cs="Arial"/>
          <w:lang w:val="fr-FR"/>
        </w:rPr>
        <w:t xml:space="preserve"> </w:t>
      </w:r>
      <w:proofErr w:type="spellStart"/>
      <w:r w:rsidRPr="00917362">
        <w:rPr>
          <w:rFonts w:ascii="Arial" w:hAnsi="Arial" w:cs="Arial"/>
          <w:lang w:val="fr-FR"/>
        </w:rPr>
        <w:t>temperatures</w:t>
      </w:r>
      <w:proofErr w:type="spellEnd"/>
      <w:r w:rsidRPr="00917362">
        <w:rPr>
          <w:rFonts w:ascii="Arial" w:hAnsi="Arial" w:cs="Arial"/>
          <w:lang w:val="fr-FR"/>
        </w:rPr>
        <w:t xml:space="preserve"> of CC (175–400 °C) and PE (230–510 °C) </w:t>
      </w:r>
      <w:proofErr w:type="spellStart"/>
      <w:r w:rsidRPr="00917362">
        <w:rPr>
          <w:rFonts w:ascii="Arial" w:hAnsi="Arial" w:cs="Arial"/>
          <w:lang w:val="fr-FR"/>
        </w:rPr>
        <w:t>overlap</w:t>
      </w:r>
      <w:proofErr w:type="spellEnd"/>
      <w:r w:rsidRPr="00917362">
        <w:rPr>
          <w:rFonts w:ascii="Arial" w:hAnsi="Arial" w:cs="Arial"/>
          <w:lang w:val="fr-FR"/>
        </w:rPr>
        <w:t xml:space="preserve">, </w:t>
      </w:r>
      <w:proofErr w:type="spellStart"/>
      <w:r w:rsidRPr="00917362">
        <w:rPr>
          <w:rFonts w:ascii="Arial" w:hAnsi="Arial" w:cs="Arial"/>
          <w:lang w:val="fr-FR"/>
        </w:rPr>
        <w:t>favoring</w:t>
      </w:r>
      <w:proofErr w:type="spellEnd"/>
      <w:r w:rsidRPr="00917362">
        <w:rPr>
          <w:rFonts w:ascii="Arial" w:hAnsi="Arial" w:cs="Arial"/>
          <w:lang w:val="fr-FR"/>
        </w:rPr>
        <w:t xml:space="preserve"> </w:t>
      </w:r>
      <w:proofErr w:type="spellStart"/>
      <w:r w:rsidRPr="00917362">
        <w:rPr>
          <w:rFonts w:ascii="Arial" w:hAnsi="Arial" w:cs="Arial"/>
          <w:lang w:val="fr-FR"/>
        </w:rPr>
        <w:t>a</w:t>
      </w:r>
      <w:r w:rsidRPr="00917362">
        <w:rPr>
          <w:rFonts w:ascii="Arial" w:hAnsi="Arial" w:cs="Arial"/>
          <w:bCs/>
          <w:lang w:val="fr-FR"/>
        </w:rPr>
        <w:t>synergistic</w:t>
      </w:r>
      <w:proofErr w:type="spellEnd"/>
      <w:r w:rsidRPr="00917362">
        <w:rPr>
          <w:rFonts w:ascii="Arial" w:hAnsi="Arial" w:cs="Arial"/>
          <w:bCs/>
          <w:lang w:val="fr-FR"/>
        </w:rPr>
        <w:t xml:space="preserve"> </w:t>
      </w:r>
      <w:proofErr w:type="spellStart"/>
      <w:r w:rsidRPr="00917362">
        <w:rPr>
          <w:rFonts w:ascii="Arial" w:hAnsi="Arial" w:cs="Arial"/>
          <w:bCs/>
          <w:lang w:val="fr-FR"/>
        </w:rPr>
        <w:t>interaction</w:t>
      </w:r>
      <w:r w:rsidRPr="00917362">
        <w:rPr>
          <w:rFonts w:ascii="Arial" w:hAnsi="Arial" w:cs="Arial"/>
          <w:lang w:val="fr-FR"/>
        </w:rPr>
        <w:t>between</w:t>
      </w:r>
      <w:proofErr w:type="spellEnd"/>
      <w:r w:rsidRPr="00917362">
        <w:rPr>
          <w:rFonts w:ascii="Arial" w:hAnsi="Arial" w:cs="Arial"/>
          <w:lang w:val="fr-FR"/>
        </w:rPr>
        <w:t xml:space="preserve"> the </w:t>
      </w:r>
      <w:proofErr w:type="spellStart"/>
      <w:r w:rsidRPr="00917362">
        <w:rPr>
          <w:rFonts w:ascii="Arial" w:hAnsi="Arial" w:cs="Arial"/>
          <w:lang w:val="fr-FR"/>
        </w:rPr>
        <w:t>vapors</w:t>
      </w:r>
      <w:proofErr w:type="spellEnd"/>
      <w:r w:rsidRPr="00917362">
        <w:rPr>
          <w:rFonts w:ascii="Arial" w:hAnsi="Arial" w:cs="Arial"/>
          <w:lang w:val="fr-FR"/>
        </w:rPr>
        <w:t xml:space="preserve"> of the </w:t>
      </w:r>
      <w:proofErr w:type="spellStart"/>
      <w:r w:rsidRPr="00917362">
        <w:rPr>
          <w:rFonts w:ascii="Arial" w:hAnsi="Arial" w:cs="Arial"/>
          <w:lang w:val="fr-FR"/>
        </w:rPr>
        <w:t>two</w:t>
      </w:r>
      <w:proofErr w:type="spellEnd"/>
      <w:r w:rsidRPr="00917362">
        <w:rPr>
          <w:rFonts w:ascii="Arial" w:hAnsi="Arial" w:cs="Arial"/>
          <w:lang w:val="fr-FR"/>
        </w:rPr>
        <w:t xml:space="preserve"> </w:t>
      </w:r>
      <w:proofErr w:type="spellStart"/>
      <w:r w:rsidRPr="00917362">
        <w:rPr>
          <w:rFonts w:ascii="Arial" w:hAnsi="Arial" w:cs="Arial"/>
          <w:lang w:val="fr-FR"/>
        </w:rPr>
        <w:t>materials</w:t>
      </w:r>
      <w:proofErr w:type="spellEnd"/>
      <w:r w:rsidRPr="00917362">
        <w:rPr>
          <w:rFonts w:ascii="Arial" w:hAnsi="Arial" w:cs="Arial"/>
          <w:lang w:val="fr-FR"/>
        </w:rPr>
        <w:t xml:space="preserve">. This </w:t>
      </w:r>
      <w:proofErr w:type="spellStart"/>
      <w:r w:rsidRPr="00917362">
        <w:rPr>
          <w:rFonts w:ascii="Arial" w:hAnsi="Arial" w:cs="Arial"/>
          <w:lang w:val="fr-FR"/>
        </w:rPr>
        <w:t>led</w:t>
      </w:r>
      <w:proofErr w:type="spellEnd"/>
      <w:r w:rsidRPr="00917362">
        <w:rPr>
          <w:rFonts w:ascii="Arial" w:hAnsi="Arial" w:cs="Arial"/>
          <w:lang w:val="fr-FR"/>
        </w:rPr>
        <w:t xml:space="preserve"> to </w:t>
      </w:r>
      <w:proofErr w:type="spellStart"/>
      <w:r w:rsidRPr="00917362">
        <w:rPr>
          <w:rFonts w:ascii="Arial" w:hAnsi="Arial" w:cs="Arial"/>
          <w:lang w:val="fr-FR"/>
        </w:rPr>
        <w:t>a</w:t>
      </w:r>
      <w:r w:rsidRPr="00917362">
        <w:rPr>
          <w:rFonts w:ascii="Arial" w:hAnsi="Arial" w:cs="Arial"/>
          <w:bCs/>
          <w:lang w:val="fr-FR"/>
        </w:rPr>
        <w:t>overall</w:t>
      </w:r>
      <w:proofErr w:type="spellEnd"/>
      <w:r w:rsidRPr="00917362">
        <w:rPr>
          <w:rFonts w:ascii="Arial" w:hAnsi="Arial" w:cs="Arial"/>
          <w:bCs/>
          <w:lang w:val="fr-FR"/>
        </w:rPr>
        <w:t xml:space="preserve"> </w:t>
      </w:r>
      <w:proofErr w:type="spellStart"/>
      <w:r w:rsidRPr="00917362">
        <w:rPr>
          <w:rFonts w:ascii="Arial" w:hAnsi="Arial" w:cs="Arial"/>
          <w:bCs/>
          <w:lang w:val="fr-FR"/>
        </w:rPr>
        <w:t>improvement</w:t>
      </w:r>
      <w:proofErr w:type="spellEnd"/>
      <w:r w:rsidRPr="00917362">
        <w:rPr>
          <w:rFonts w:ascii="Arial" w:hAnsi="Arial" w:cs="Arial"/>
          <w:bCs/>
          <w:lang w:val="fr-FR"/>
        </w:rPr>
        <w:t xml:space="preserve"> of </w:t>
      </w:r>
      <w:proofErr w:type="spellStart"/>
      <w:proofErr w:type="gramStart"/>
      <w:r w:rsidRPr="00917362">
        <w:rPr>
          <w:rFonts w:ascii="Arial" w:hAnsi="Arial" w:cs="Arial"/>
          <w:bCs/>
          <w:lang w:val="fr-FR"/>
        </w:rPr>
        <w:t>thecoprolysis</w:t>
      </w:r>
      <w:proofErr w:type="spellEnd"/>
      <w:r w:rsidRPr="00917362">
        <w:rPr>
          <w:rFonts w:ascii="Arial" w:hAnsi="Arial" w:cs="Arial"/>
          <w:lang w:val="fr-FR"/>
        </w:rPr>
        <w:t>:</w:t>
      </w:r>
      <w:proofErr w:type="gramEnd"/>
      <w:r w:rsidRPr="00917362">
        <w:rPr>
          <w:rFonts w:ascii="Arial" w:hAnsi="Arial" w:cs="Arial"/>
          <w:lang w:val="fr-FR"/>
        </w:rPr>
        <w:t xml:space="preserve"> </w:t>
      </w:r>
      <w:proofErr w:type="spellStart"/>
      <w:r w:rsidRPr="00917362">
        <w:rPr>
          <w:rFonts w:ascii="Arial" w:hAnsi="Arial" w:cs="Arial"/>
          <w:lang w:val="fr-FR"/>
        </w:rPr>
        <w:t>reduction</w:t>
      </w:r>
      <w:proofErr w:type="spellEnd"/>
      <w:r w:rsidRPr="00917362">
        <w:rPr>
          <w:rFonts w:ascii="Arial" w:hAnsi="Arial" w:cs="Arial"/>
          <w:lang w:val="fr-FR"/>
        </w:rPr>
        <w:t xml:space="preserve"> of activation </w:t>
      </w:r>
      <w:proofErr w:type="spellStart"/>
      <w:r w:rsidRPr="00917362">
        <w:rPr>
          <w:rFonts w:ascii="Arial" w:hAnsi="Arial" w:cs="Arial"/>
          <w:lang w:val="fr-FR"/>
        </w:rPr>
        <w:t>energy</w:t>
      </w:r>
      <w:proofErr w:type="spellEnd"/>
      <w:r w:rsidRPr="00917362">
        <w:rPr>
          <w:rFonts w:ascii="Arial" w:hAnsi="Arial" w:cs="Arial"/>
          <w:lang w:val="fr-FR"/>
        </w:rPr>
        <w:t xml:space="preserve">, </w:t>
      </w:r>
      <w:proofErr w:type="spellStart"/>
      <w:r w:rsidRPr="00917362">
        <w:rPr>
          <w:rFonts w:ascii="Arial" w:hAnsi="Arial" w:cs="Arial"/>
          <w:lang w:val="fr-FR"/>
        </w:rPr>
        <w:t>lowering</w:t>
      </w:r>
      <w:proofErr w:type="spellEnd"/>
      <w:r w:rsidRPr="00917362">
        <w:rPr>
          <w:rFonts w:ascii="Arial" w:hAnsi="Arial" w:cs="Arial"/>
          <w:lang w:val="fr-FR"/>
        </w:rPr>
        <w:t xml:space="preserve"> of maximum </w:t>
      </w:r>
      <w:proofErr w:type="spellStart"/>
      <w:r w:rsidRPr="00917362">
        <w:rPr>
          <w:rFonts w:ascii="Arial" w:hAnsi="Arial" w:cs="Arial"/>
          <w:lang w:val="fr-FR"/>
        </w:rPr>
        <w:t>degradation</w:t>
      </w:r>
      <w:proofErr w:type="spellEnd"/>
      <w:r w:rsidRPr="00917362">
        <w:rPr>
          <w:rFonts w:ascii="Arial" w:hAnsi="Arial" w:cs="Arial"/>
          <w:lang w:val="fr-FR"/>
        </w:rPr>
        <w:t xml:space="preserve"> </w:t>
      </w:r>
      <w:proofErr w:type="spellStart"/>
      <w:r w:rsidRPr="00917362">
        <w:rPr>
          <w:rFonts w:ascii="Arial" w:hAnsi="Arial" w:cs="Arial"/>
          <w:lang w:val="fr-FR"/>
        </w:rPr>
        <w:t>temperatures</w:t>
      </w:r>
      <w:proofErr w:type="spellEnd"/>
      <w:r w:rsidRPr="00917362">
        <w:rPr>
          <w:rFonts w:ascii="Arial" w:hAnsi="Arial" w:cs="Arial"/>
          <w:lang w:val="fr-FR"/>
        </w:rPr>
        <w:t xml:space="preserve">, </w:t>
      </w:r>
      <w:proofErr w:type="spellStart"/>
      <w:r w:rsidRPr="00917362">
        <w:rPr>
          <w:rFonts w:ascii="Arial" w:hAnsi="Arial" w:cs="Arial"/>
          <w:lang w:val="fr-FR"/>
        </w:rPr>
        <w:t>increase</w:t>
      </w:r>
      <w:proofErr w:type="spellEnd"/>
      <w:r w:rsidRPr="00917362">
        <w:rPr>
          <w:rFonts w:ascii="Arial" w:hAnsi="Arial" w:cs="Arial"/>
          <w:lang w:val="fr-FR"/>
        </w:rPr>
        <w:t xml:space="preserve"> of </w:t>
      </w:r>
      <w:proofErr w:type="spellStart"/>
      <w:r w:rsidRPr="00917362">
        <w:rPr>
          <w:rFonts w:ascii="Arial" w:hAnsi="Arial" w:cs="Arial"/>
          <w:lang w:val="fr-FR"/>
        </w:rPr>
        <w:t>degradation</w:t>
      </w:r>
      <w:proofErr w:type="spellEnd"/>
      <w:r w:rsidRPr="00917362">
        <w:rPr>
          <w:rFonts w:ascii="Arial" w:hAnsi="Arial" w:cs="Arial"/>
          <w:lang w:val="fr-FR"/>
        </w:rPr>
        <w:t xml:space="preserve"> rates and </w:t>
      </w:r>
      <w:proofErr w:type="spellStart"/>
      <w:r w:rsidRPr="00917362">
        <w:rPr>
          <w:rFonts w:ascii="Arial" w:hAnsi="Arial" w:cs="Arial"/>
          <w:lang w:val="fr-FR"/>
        </w:rPr>
        <w:t>potential</w:t>
      </w:r>
      <w:proofErr w:type="spellEnd"/>
      <w:r w:rsidRPr="00917362">
        <w:rPr>
          <w:rFonts w:ascii="Arial" w:hAnsi="Arial" w:cs="Arial"/>
          <w:lang w:val="fr-FR"/>
        </w:rPr>
        <w:t xml:space="preserve"> </w:t>
      </w:r>
      <w:proofErr w:type="spellStart"/>
      <w:r w:rsidRPr="00917362">
        <w:rPr>
          <w:rFonts w:ascii="Arial" w:hAnsi="Arial" w:cs="Arial"/>
          <w:lang w:val="fr-FR"/>
        </w:rPr>
        <w:t>improvement</w:t>
      </w:r>
      <w:proofErr w:type="spellEnd"/>
      <w:r w:rsidRPr="00917362">
        <w:rPr>
          <w:rFonts w:ascii="Arial" w:hAnsi="Arial" w:cs="Arial"/>
          <w:lang w:val="fr-FR"/>
        </w:rPr>
        <w:t xml:space="preserve"> of </w:t>
      </w:r>
      <w:proofErr w:type="spellStart"/>
      <w:r w:rsidRPr="00917362">
        <w:rPr>
          <w:rFonts w:ascii="Arial" w:hAnsi="Arial" w:cs="Arial"/>
          <w:lang w:val="fr-FR"/>
        </w:rPr>
        <w:t>product</w:t>
      </w:r>
      <w:proofErr w:type="spellEnd"/>
      <w:r w:rsidRPr="00917362">
        <w:rPr>
          <w:rFonts w:ascii="Arial" w:hAnsi="Arial" w:cs="Arial"/>
          <w:lang w:val="fr-FR"/>
        </w:rPr>
        <w:t xml:space="preserve"> </w:t>
      </w:r>
      <w:proofErr w:type="spellStart"/>
      <w:r w:rsidRPr="00917362">
        <w:rPr>
          <w:rFonts w:ascii="Arial" w:hAnsi="Arial" w:cs="Arial"/>
          <w:lang w:val="fr-FR"/>
        </w:rPr>
        <w:t>quality</w:t>
      </w:r>
      <w:proofErr w:type="spellEnd"/>
      <w:r w:rsidRPr="00917362">
        <w:rPr>
          <w:rFonts w:ascii="Arial" w:hAnsi="Arial" w:cs="Arial"/>
          <w:lang w:val="fr-FR"/>
        </w:rPr>
        <w:t>.</w:t>
      </w:r>
    </w:p>
    <w:p w:rsidR="00976686" w:rsidRPr="00917362" w:rsidRDefault="00976686" w:rsidP="00976686">
      <w:pPr>
        <w:tabs>
          <w:tab w:val="left" w:pos="4047"/>
        </w:tabs>
        <w:jc w:val="both"/>
        <w:rPr>
          <w:rFonts w:ascii="Arial" w:hAnsi="Arial" w:cs="Arial"/>
          <w:lang w:val="fr-FR"/>
        </w:rPr>
      </w:pPr>
      <w:proofErr w:type="spellStart"/>
      <w:r w:rsidRPr="00917362">
        <w:rPr>
          <w:rFonts w:ascii="Arial" w:hAnsi="Arial" w:cs="Arial"/>
          <w:lang w:val="fr-FR"/>
        </w:rPr>
        <w:t>There</w:t>
      </w:r>
      <w:r w:rsidRPr="00917362">
        <w:rPr>
          <w:rFonts w:ascii="Arial" w:hAnsi="Arial" w:cs="Arial"/>
          <w:bCs/>
          <w:lang w:val="fr-FR"/>
        </w:rPr>
        <w:t>degradation</w:t>
      </w:r>
      <w:proofErr w:type="spellEnd"/>
      <w:r w:rsidRPr="00917362">
        <w:rPr>
          <w:rFonts w:ascii="Arial" w:hAnsi="Arial" w:cs="Arial"/>
          <w:bCs/>
          <w:lang w:val="fr-FR"/>
        </w:rPr>
        <w:t xml:space="preserve"> </w:t>
      </w:r>
      <w:proofErr w:type="spellStart"/>
      <w:r w:rsidRPr="00917362">
        <w:rPr>
          <w:rFonts w:ascii="Arial" w:hAnsi="Arial" w:cs="Arial"/>
          <w:bCs/>
          <w:lang w:val="fr-FR"/>
        </w:rPr>
        <w:t>rate</w:t>
      </w:r>
      <w:r w:rsidRPr="00917362">
        <w:rPr>
          <w:rFonts w:ascii="Arial" w:hAnsi="Arial" w:cs="Arial"/>
          <w:lang w:val="fr-FR"/>
        </w:rPr>
        <w:t>of</w:t>
      </w:r>
      <w:proofErr w:type="spellEnd"/>
      <w:r w:rsidRPr="00917362">
        <w:rPr>
          <w:rFonts w:ascii="Arial" w:hAnsi="Arial" w:cs="Arial"/>
          <w:lang w:val="fr-FR"/>
        </w:rPr>
        <w:t xml:space="preserve"> the mixture in </w:t>
      </w:r>
      <w:proofErr w:type="spellStart"/>
      <w:r w:rsidRPr="00917362">
        <w:rPr>
          <w:rFonts w:ascii="Arial" w:hAnsi="Arial" w:cs="Arial"/>
          <w:lang w:val="fr-FR"/>
        </w:rPr>
        <w:t>region</w:t>
      </w:r>
      <w:proofErr w:type="spellEnd"/>
      <w:r w:rsidRPr="00917362">
        <w:rPr>
          <w:rFonts w:ascii="Arial" w:hAnsi="Arial" w:cs="Arial"/>
          <w:lang w:val="fr-FR"/>
        </w:rPr>
        <w:t xml:space="preserve"> II </w:t>
      </w:r>
      <w:proofErr w:type="spellStart"/>
      <w:r w:rsidRPr="00917362">
        <w:rPr>
          <w:rFonts w:ascii="Arial" w:hAnsi="Arial" w:cs="Arial"/>
          <w:lang w:val="fr-FR"/>
        </w:rPr>
        <w:t>is</w:t>
      </w:r>
      <w:proofErr w:type="spellEnd"/>
      <w:r w:rsidRPr="00917362">
        <w:rPr>
          <w:rFonts w:ascii="Arial" w:hAnsi="Arial" w:cs="Arial"/>
          <w:lang w:val="fr-FR"/>
        </w:rPr>
        <w:t xml:space="preserve"> </w:t>
      </w:r>
      <w:proofErr w:type="spellStart"/>
      <w:r w:rsidRPr="00917362">
        <w:rPr>
          <w:rFonts w:ascii="Arial" w:hAnsi="Arial" w:cs="Arial"/>
          <w:lang w:val="fr-FR"/>
        </w:rPr>
        <w:t>reduced</w:t>
      </w:r>
      <w:proofErr w:type="spellEnd"/>
      <w:r w:rsidRPr="00917362">
        <w:rPr>
          <w:rFonts w:ascii="Arial" w:hAnsi="Arial" w:cs="Arial"/>
          <w:lang w:val="fr-FR"/>
        </w:rPr>
        <w:t xml:space="preserve"> </w:t>
      </w:r>
      <w:proofErr w:type="spellStart"/>
      <w:r w:rsidRPr="00917362">
        <w:rPr>
          <w:rFonts w:ascii="Arial" w:hAnsi="Arial" w:cs="Arial"/>
          <w:lang w:val="fr-FR"/>
        </w:rPr>
        <w:t>compared</w:t>
      </w:r>
      <w:proofErr w:type="spellEnd"/>
      <w:r w:rsidRPr="00917362">
        <w:rPr>
          <w:rFonts w:ascii="Arial" w:hAnsi="Arial" w:cs="Arial"/>
          <w:lang w:val="fr-FR"/>
        </w:rPr>
        <w:t xml:space="preserve"> to </w:t>
      </w:r>
      <w:proofErr w:type="spellStart"/>
      <w:r w:rsidRPr="00917362">
        <w:rPr>
          <w:rFonts w:ascii="Arial" w:hAnsi="Arial" w:cs="Arial"/>
          <w:lang w:val="fr-FR"/>
        </w:rPr>
        <w:t>that</w:t>
      </w:r>
      <w:proofErr w:type="spellEnd"/>
      <w:r w:rsidRPr="00917362">
        <w:rPr>
          <w:rFonts w:ascii="Arial" w:hAnsi="Arial" w:cs="Arial"/>
          <w:lang w:val="fr-FR"/>
        </w:rPr>
        <w:t xml:space="preserve"> of CC </w:t>
      </w:r>
      <w:proofErr w:type="spellStart"/>
      <w:r w:rsidRPr="00917362">
        <w:rPr>
          <w:rFonts w:ascii="Arial" w:hAnsi="Arial" w:cs="Arial"/>
          <w:lang w:val="fr-FR"/>
        </w:rPr>
        <w:t>alone</w:t>
      </w:r>
      <w:proofErr w:type="spellEnd"/>
      <w:r w:rsidRPr="00917362">
        <w:rPr>
          <w:rFonts w:ascii="Arial" w:hAnsi="Arial" w:cs="Arial"/>
          <w:lang w:val="fr-FR"/>
        </w:rPr>
        <w:t xml:space="preserve">, due to </w:t>
      </w:r>
      <w:proofErr w:type="spellStart"/>
      <w:r w:rsidRPr="00917362">
        <w:rPr>
          <w:rFonts w:ascii="Arial" w:hAnsi="Arial" w:cs="Arial"/>
          <w:lang w:val="fr-FR"/>
        </w:rPr>
        <w:t>the</w:t>
      </w:r>
      <w:r w:rsidRPr="00917362">
        <w:rPr>
          <w:rFonts w:ascii="Arial" w:hAnsi="Arial" w:cs="Arial"/>
          <w:bCs/>
          <w:lang w:val="fr-FR"/>
        </w:rPr>
        <w:t>merger</w:t>
      </w:r>
      <w:proofErr w:type="spellEnd"/>
      <w:r w:rsidRPr="00917362">
        <w:rPr>
          <w:rFonts w:ascii="Arial" w:hAnsi="Arial" w:cs="Arial"/>
          <w:bCs/>
          <w:lang w:val="fr-FR"/>
        </w:rPr>
        <w:t xml:space="preserve"> of the EP</w:t>
      </w:r>
      <w:r w:rsidRPr="00917362">
        <w:rPr>
          <w:rFonts w:ascii="Arial" w:hAnsi="Arial" w:cs="Arial"/>
          <w:lang w:val="fr-FR"/>
        </w:rPr>
        <w:t xml:space="preserve">, </w:t>
      </w:r>
      <w:proofErr w:type="spellStart"/>
      <w:r w:rsidRPr="00917362">
        <w:rPr>
          <w:rFonts w:ascii="Arial" w:hAnsi="Arial" w:cs="Arial"/>
          <w:lang w:val="fr-FR"/>
        </w:rPr>
        <w:t>which</w:t>
      </w:r>
      <w:proofErr w:type="spellEnd"/>
      <w:r w:rsidRPr="00917362">
        <w:rPr>
          <w:rFonts w:ascii="Arial" w:hAnsi="Arial" w:cs="Arial"/>
          <w:lang w:val="fr-FR"/>
        </w:rPr>
        <w:t xml:space="preserve"> slows down </w:t>
      </w:r>
      <w:proofErr w:type="spellStart"/>
      <w:r w:rsidRPr="00917362">
        <w:rPr>
          <w:rFonts w:ascii="Arial" w:hAnsi="Arial" w:cs="Arial"/>
          <w:lang w:val="fr-FR"/>
        </w:rPr>
        <w:t>devolatilization</w:t>
      </w:r>
      <w:proofErr w:type="spellEnd"/>
      <w:r w:rsidRPr="00917362">
        <w:rPr>
          <w:rFonts w:ascii="Arial" w:hAnsi="Arial" w:cs="Arial"/>
          <w:lang w:val="fr-FR"/>
        </w:rPr>
        <w:t xml:space="preserve">. On the </w:t>
      </w:r>
      <w:proofErr w:type="spellStart"/>
      <w:r w:rsidRPr="00917362">
        <w:rPr>
          <w:rFonts w:ascii="Arial" w:hAnsi="Arial" w:cs="Arial"/>
          <w:lang w:val="fr-FR"/>
        </w:rPr>
        <w:t>other</w:t>
      </w:r>
      <w:proofErr w:type="spellEnd"/>
      <w:r w:rsidRPr="00917362">
        <w:rPr>
          <w:rFonts w:ascii="Arial" w:hAnsi="Arial" w:cs="Arial"/>
          <w:lang w:val="fr-FR"/>
        </w:rPr>
        <w:t xml:space="preserve"> hand, in </w:t>
      </w:r>
      <w:proofErr w:type="spellStart"/>
      <w:r w:rsidRPr="00917362">
        <w:rPr>
          <w:rFonts w:ascii="Arial" w:hAnsi="Arial" w:cs="Arial"/>
          <w:lang w:val="fr-FR"/>
        </w:rPr>
        <w:t>region</w:t>
      </w:r>
      <w:proofErr w:type="spellEnd"/>
      <w:r w:rsidRPr="00917362">
        <w:rPr>
          <w:rFonts w:ascii="Arial" w:hAnsi="Arial" w:cs="Arial"/>
          <w:lang w:val="fr-FR"/>
        </w:rPr>
        <w:t xml:space="preserve"> III, the joint </w:t>
      </w:r>
      <w:proofErr w:type="spellStart"/>
      <w:r w:rsidRPr="00917362">
        <w:rPr>
          <w:rFonts w:ascii="Arial" w:hAnsi="Arial" w:cs="Arial"/>
          <w:lang w:val="fr-FR"/>
        </w:rPr>
        <w:t>decomposition</w:t>
      </w:r>
      <w:proofErr w:type="spellEnd"/>
      <w:r w:rsidRPr="00917362">
        <w:rPr>
          <w:rFonts w:ascii="Arial" w:hAnsi="Arial" w:cs="Arial"/>
          <w:lang w:val="fr-FR"/>
        </w:rPr>
        <w:t xml:space="preserve"> of </w:t>
      </w:r>
      <w:proofErr w:type="spellStart"/>
      <w:r w:rsidRPr="00917362">
        <w:rPr>
          <w:rFonts w:ascii="Arial" w:hAnsi="Arial" w:cs="Arial"/>
          <w:lang w:val="fr-FR"/>
        </w:rPr>
        <w:t>polymers</w:t>
      </w:r>
      <w:proofErr w:type="spellEnd"/>
      <w:r w:rsidRPr="00917362">
        <w:rPr>
          <w:rFonts w:ascii="Arial" w:hAnsi="Arial" w:cs="Arial"/>
          <w:lang w:val="fr-FR"/>
        </w:rPr>
        <w:t xml:space="preserve"> (PE) and </w:t>
      </w:r>
      <w:proofErr w:type="spellStart"/>
      <w:proofErr w:type="gramStart"/>
      <w:r w:rsidRPr="00917362">
        <w:rPr>
          <w:rFonts w:ascii="Arial" w:hAnsi="Arial" w:cs="Arial"/>
          <w:lang w:val="fr-FR"/>
        </w:rPr>
        <w:t>componentslignocellulosic</w:t>
      </w:r>
      <w:proofErr w:type="spellEnd"/>
      <w:r w:rsidRPr="00917362">
        <w:rPr>
          <w:rFonts w:ascii="Arial" w:hAnsi="Arial" w:cs="Arial"/>
          <w:lang w:val="fr-FR"/>
        </w:rPr>
        <w:t>(</w:t>
      </w:r>
      <w:proofErr w:type="gramEnd"/>
      <w:r w:rsidRPr="00917362">
        <w:rPr>
          <w:rFonts w:ascii="Arial" w:hAnsi="Arial" w:cs="Arial"/>
          <w:lang w:val="fr-FR"/>
        </w:rPr>
        <w:t xml:space="preserve">CC) </w:t>
      </w:r>
      <w:proofErr w:type="spellStart"/>
      <w:r w:rsidRPr="00917362">
        <w:rPr>
          <w:rFonts w:ascii="Arial" w:hAnsi="Arial" w:cs="Arial"/>
          <w:lang w:val="fr-FR"/>
        </w:rPr>
        <w:t>increases</w:t>
      </w:r>
      <w:proofErr w:type="spellEnd"/>
      <w:r w:rsidRPr="00917362">
        <w:rPr>
          <w:rFonts w:ascii="Arial" w:hAnsi="Arial" w:cs="Arial"/>
          <w:lang w:val="fr-FR"/>
        </w:rPr>
        <w:t xml:space="preserve"> the </w:t>
      </w:r>
      <w:proofErr w:type="spellStart"/>
      <w:r w:rsidRPr="00917362">
        <w:rPr>
          <w:rFonts w:ascii="Arial" w:hAnsi="Arial" w:cs="Arial"/>
          <w:lang w:val="fr-FR"/>
        </w:rPr>
        <w:t>degradation</w:t>
      </w:r>
      <w:proofErr w:type="spellEnd"/>
      <w:r w:rsidRPr="00917362">
        <w:rPr>
          <w:rFonts w:ascii="Arial" w:hAnsi="Arial" w:cs="Arial"/>
          <w:lang w:val="fr-FR"/>
        </w:rPr>
        <w:t xml:space="preserve"> rate.</w:t>
      </w:r>
    </w:p>
    <w:p w:rsidR="00976686" w:rsidRPr="00917362" w:rsidRDefault="00976686" w:rsidP="00976686">
      <w:pPr>
        <w:tabs>
          <w:tab w:val="left" w:pos="4047"/>
        </w:tabs>
        <w:jc w:val="both"/>
        <w:rPr>
          <w:rFonts w:ascii="Arial" w:hAnsi="Arial" w:cs="Arial"/>
          <w:lang w:val="fr-FR"/>
        </w:rPr>
      </w:pPr>
      <w:proofErr w:type="spellStart"/>
      <w:r w:rsidRPr="00917362">
        <w:rPr>
          <w:rFonts w:ascii="Arial" w:hAnsi="Arial" w:cs="Arial"/>
          <w:lang w:val="fr-FR"/>
        </w:rPr>
        <w:t>Finally</w:t>
      </w:r>
      <w:proofErr w:type="spellEnd"/>
      <w:r w:rsidRPr="00917362">
        <w:rPr>
          <w:rFonts w:ascii="Arial" w:hAnsi="Arial" w:cs="Arial"/>
          <w:lang w:val="fr-FR"/>
        </w:rPr>
        <w:t xml:space="preserve">, </w:t>
      </w:r>
      <w:proofErr w:type="spellStart"/>
      <w:r w:rsidRPr="00917362">
        <w:rPr>
          <w:rFonts w:ascii="Arial" w:hAnsi="Arial" w:cs="Arial"/>
          <w:lang w:val="fr-FR"/>
        </w:rPr>
        <w:t>the</w:t>
      </w:r>
      <w:r w:rsidRPr="00917362">
        <w:rPr>
          <w:rFonts w:ascii="Arial" w:hAnsi="Arial" w:cs="Arial"/>
          <w:bCs/>
          <w:lang w:val="fr-FR"/>
        </w:rPr>
        <w:t>presence</w:t>
      </w:r>
      <w:proofErr w:type="spellEnd"/>
      <w:r w:rsidRPr="00917362">
        <w:rPr>
          <w:rFonts w:ascii="Arial" w:hAnsi="Arial" w:cs="Arial"/>
          <w:bCs/>
          <w:lang w:val="fr-FR"/>
        </w:rPr>
        <w:t xml:space="preserve"> of PE </w:t>
      </w:r>
      <w:proofErr w:type="spellStart"/>
      <w:r w:rsidRPr="00917362">
        <w:rPr>
          <w:rFonts w:ascii="Arial" w:hAnsi="Arial" w:cs="Arial"/>
          <w:bCs/>
          <w:lang w:val="fr-FR"/>
        </w:rPr>
        <w:t>reduces</w:t>
      </w:r>
      <w:proofErr w:type="spellEnd"/>
      <w:r w:rsidRPr="00917362">
        <w:rPr>
          <w:rFonts w:ascii="Arial" w:hAnsi="Arial" w:cs="Arial"/>
          <w:bCs/>
          <w:lang w:val="fr-FR"/>
        </w:rPr>
        <w:t xml:space="preserve"> </w:t>
      </w:r>
      <w:proofErr w:type="spellStart"/>
      <w:r w:rsidRPr="00917362">
        <w:rPr>
          <w:rFonts w:ascii="Arial" w:hAnsi="Arial" w:cs="Arial"/>
          <w:bCs/>
          <w:lang w:val="fr-FR"/>
        </w:rPr>
        <w:t>solid</w:t>
      </w:r>
      <w:proofErr w:type="spellEnd"/>
      <w:r w:rsidRPr="00917362">
        <w:rPr>
          <w:rFonts w:ascii="Arial" w:hAnsi="Arial" w:cs="Arial"/>
          <w:bCs/>
          <w:lang w:val="fr-FR"/>
        </w:rPr>
        <w:t xml:space="preserve"> </w:t>
      </w:r>
      <w:proofErr w:type="spellStart"/>
      <w:r w:rsidRPr="00917362">
        <w:rPr>
          <w:rFonts w:ascii="Arial" w:hAnsi="Arial" w:cs="Arial"/>
          <w:bCs/>
          <w:lang w:val="fr-FR"/>
        </w:rPr>
        <w:t>residue</w:t>
      </w:r>
      <w:proofErr w:type="spellEnd"/>
      <w:r w:rsidRPr="00917362">
        <w:rPr>
          <w:rFonts w:ascii="Arial" w:hAnsi="Arial" w:cs="Arial"/>
          <w:bCs/>
          <w:lang w:val="fr-FR"/>
        </w:rPr>
        <w:t xml:space="preserve"> </w:t>
      </w:r>
      <w:proofErr w:type="spellStart"/>
      <w:r w:rsidRPr="00917362">
        <w:rPr>
          <w:rFonts w:ascii="Arial" w:hAnsi="Arial" w:cs="Arial"/>
          <w:bCs/>
          <w:lang w:val="fr-FR"/>
        </w:rPr>
        <w:t>yield</w:t>
      </w:r>
      <w:r w:rsidRPr="00917362">
        <w:rPr>
          <w:rFonts w:ascii="Arial" w:hAnsi="Arial" w:cs="Arial"/>
          <w:lang w:val="fr-FR"/>
        </w:rPr>
        <w:t>from</w:t>
      </w:r>
      <w:proofErr w:type="spellEnd"/>
      <w:r w:rsidRPr="00917362">
        <w:rPr>
          <w:rFonts w:ascii="Arial" w:hAnsi="Arial" w:cs="Arial"/>
          <w:lang w:val="fr-FR"/>
        </w:rPr>
        <w:t xml:space="preserve"> 20% (for the CC </w:t>
      </w:r>
      <w:proofErr w:type="spellStart"/>
      <w:r w:rsidRPr="00917362">
        <w:rPr>
          <w:rFonts w:ascii="Arial" w:hAnsi="Arial" w:cs="Arial"/>
          <w:lang w:val="fr-FR"/>
        </w:rPr>
        <w:t>alone</w:t>
      </w:r>
      <w:proofErr w:type="spellEnd"/>
      <w:r w:rsidRPr="00917362">
        <w:rPr>
          <w:rFonts w:ascii="Arial" w:hAnsi="Arial" w:cs="Arial"/>
          <w:lang w:val="fr-FR"/>
        </w:rPr>
        <w:t xml:space="preserve">) to 10% </w:t>
      </w:r>
      <w:proofErr w:type="spellStart"/>
      <w:r w:rsidRPr="00917362">
        <w:rPr>
          <w:rFonts w:ascii="Arial" w:hAnsi="Arial" w:cs="Arial"/>
          <w:lang w:val="fr-FR"/>
        </w:rPr>
        <w:t>during</w:t>
      </w:r>
      <w:proofErr w:type="spellEnd"/>
      <w:r w:rsidRPr="00917362">
        <w:rPr>
          <w:rFonts w:ascii="Arial" w:hAnsi="Arial" w:cs="Arial"/>
          <w:lang w:val="fr-FR"/>
        </w:rPr>
        <w:t xml:space="preserve"> </w:t>
      </w:r>
      <w:proofErr w:type="spellStart"/>
      <w:r w:rsidRPr="00917362">
        <w:rPr>
          <w:rFonts w:ascii="Arial" w:hAnsi="Arial" w:cs="Arial"/>
          <w:lang w:val="fr-FR"/>
        </w:rPr>
        <w:t>thecoprolysis</w:t>
      </w:r>
      <w:proofErr w:type="spellEnd"/>
      <w:r w:rsidRPr="00917362">
        <w:rPr>
          <w:rFonts w:ascii="Arial" w:hAnsi="Arial" w:cs="Arial"/>
          <w:lang w:val="fr-FR"/>
        </w:rPr>
        <w:t xml:space="preserve">, </w:t>
      </w:r>
      <w:proofErr w:type="spellStart"/>
      <w:r w:rsidRPr="00917362">
        <w:rPr>
          <w:rFonts w:ascii="Arial" w:hAnsi="Arial" w:cs="Arial"/>
          <w:lang w:val="fr-FR"/>
        </w:rPr>
        <w:t>confirming</w:t>
      </w:r>
      <w:proofErr w:type="spellEnd"/>
      <w:r w:rsidRPr="00917362">
        <w:rPr>
          <w:rFonts w:ascii="Arial" w:hAnsi="Arial" w:cs="Arial"/>
          <w:lang w:val="fr-FR"/>
        </w:rPr>
        <w:t xml:space="preserve"> the </w:t>
      </w:r>
      <w:proofErr w:type="spellStart"/>
      <w:r w:rsidRPr="00917362">
        <w:rPr>
          <w:rFonts w:ascii="Arial" w:hAnsi="Arial" w:cs="Arial"/>
          <w:lang w:val="fr-FR"/>
        </w:rPr>
        <w:t>beneficial</w:t>
      </w:r>
      <w:proofErr w:type="spellEnd"/>
      <w:r w:rsidRPr="00917362">
        <w:rPr>
          <w:rFonts w:ascii="Arial" w:hAnsi="Arial" w:cs="Arial"/>
          <w:lang w:val="fr-FR"/>
        </w:rPr>
        <w:t xml:space="preserve"> </w:t>
      </w:r>
      <w:proofErr w:type="spellStart"/>
      <w:r w:rsidRPr="00917362">
        <w:rPr>
          <w:rFonts w:ascii="Arial" w:hAnsi="Arial" w:cs="Arial"/>
          <w:lang w:val="fr-FR"/>
        </w:rPr>
        <w:t>effect</w:t>
      </w:r>
      <w:proofErr w:type="spellEnd"/>
      <w:r w:rsidRPr="00917362">
        <w:rPr>
          <w:rFonts w:ascii="Arial" w:hAnsi="Arial" w:cs="Arial"/>
          <w:lang w:val="fr-FR"/>
        </w:rPr>
        <w:t xml:space="preserve"> of PE in the CC thermal conversion process.</w:t>
      </w:r>
    </w:p>
    <w:p w:rsidR="00863BD3" w:rsidRPr="00FD4F1A" w:rsidRDefault="00863BD3" w:rsidP="00441B6F">
      <w:pPr>
        <w:pStyle w:val="Body"/>
        <w:spacing w:after="0"/>
        <w:rPr>
          <w:rFonts w:ascii="Arial" w:hAnsi="Arial" w:cs="Arial"/>
        </w:rPr>
      </w:pPr>
    </w:p>
    <w:p w:rsidR="00C30A0F" w:rsidRPr="002D38BF" w:rsidRDefault="00C30A0F" w:rsidP="00FA1AF8">
      <w:pPr>
        <w:pStyle w:val="ListParagraph"/>
        <w:numPr>
          <w:ilvl w:val="1"/>
          <w:numId w:val="41"/>
        </w:numPr>
        <w:tabs>
          <w:tab w:val="left" w:pos="4047"/>
        </w:tabs>
        <w:jc w:val="both"/>
        <w:rPr>
          <w:rFonts w:ascii="Times New Roman" w:hAnsi="Times New Roman"/>
          <w:b/>
        </w:rPr>
      </w:pPr>
      <w:r w:rsidRPr="00082555">
        <w:rPr>
          <w:rFonts w:ascii="Arial" w:hAnsi="Arial" w:cs="Arial"/>
          <w:b/>
          <w:caps/>
        </w:rPr>
        <w:t xml:space="preserve"> </w:t>
      </w:r>
      <w:proofErr w:type="spellStart"/>
      <w:r w:rsidR="004B1F6D" w:rsidRPr="002D38BF">
        <w:rPr>
          <w:rFonts w:ascii="Times New Roman" w:hAnsi="Times New Roman"/>
          <w:b/>
        </w:rPr>
        <w:t>Calculates</w:t>
      </w:r>
      <w:proofErr w:type="spellEnd"/>
      <w:r w:rsidR="004B1F6D" w:rsidRPr="002D38BF">
        <w:rPr>
          <w:rFonts w:ascii="Times New Roman" w:hAnsi="Times New Roman"/>
          <w:b/>
        </w:rPr>
        <w:t xml:space="preserve"> activation </w:t>
      </w:r>
      <w:proofErr w:type="spellStart"/>
      <w:r w:rsidR="004B1F6D" w:rsidRPr="002D38BF">
        <w:rPr>
          <w:rFonts w:ascii="Times New Roman" w:hAnsi="Times New Roman"/>
          <w:b/>
        </w:rPr>
        <w:t>energy</w:t>
      </w:r>
      <w:proofErr w:type="spellEnd"/>
      <w:r w:rsidR="004B1F6D" w:rsidRPr="002D38BF">
        <w:rPr>
          <w:rFonts w:ascii="Times New Roman" w:hAnsi="Times New Roman"/>
          <w:b/>
        </w:rPr>
        <w:t xml:space="preserve"> and </w:t>
      </w:r>
      <w:proofErr w:type="spellStart"/>
      <w:r w:rsidR="004B1F6D" w:rsidRPr="002D38BF">
        <w:rPr>
          <w:rFonts w:ascii="Times New Roman" w:hAnsi="Times New Roman"/>
          <w:b/>
        </w:rPr>
        <w:t>pre-exponential</w:t>
      </w:r>
      <w:proofErr w:type="spellEnd"/>
      <w:r w:rsidR="004B1F6D" w:rsidRPr="002D38BF">
        <w:rPr>
          <w:rFonts w:ascii="Times New Roman" w:hAnsi="Times New Roman"/>
          <w:b/>
        </w:rPr>
        <w:t xml:space="preserve"> factor</w:t>
      </w:r>
    </w:p>
    <w:p w:rsidR="00E55494" w:rsidRPr="00E55494" w:rsidRDefault="004B1F6D" w:rsidP="00DE73B7">
      <w:pPr>
        <w:pStyle w:val="Body"/>
        <w:spacing w:after="0"/>
        <w:rPr>
          <w:rFonts w:ascii="Times New Roman" w:hAnsi="Times New Roman"/>
        </w:rPr>
      </w:pPr>
      <w:r w:rsidRPr="00FD4F1A">
        <w:rPr>
          <w:rFonts w:ascii="Arial" w:hAnsi="Arial" w:cs="Arial"/>
        </w:rPr>
        <w:t>Fig. 3. shows the variation of activation energy and pre-exponential factor as a function of conversion rate obtained from Fraser-Suzuki deconvolution</w:t>
      </w:r>
      <w:r w:rsidRPr="00712A52">
        <w:rPr>
          <w:rFonts w:ascii="Times New Roman" w:hAnsi="Times New Roman"/>
        </w:rPr>
        <w:t>.</w:t>
      </w:r>
    </w:p>
    <w:p w:rsidR="00E55494" w:rsidRDefault="003F6197" w:rsidP="00DE73B7">
      <w:pPr>
        <w:pStyle w:val="Body"/>
        <w:spacing w:after="0"/>
        <w:rPr>
          <w:rFonts w:ascii="Arial" w:hAnsi="Arial" w:cs="Arial"/>
          <w:b/>
        </w:rPr>
      </w:pPr>
      <w:r w:rsidRPr="00DC0C0D">
        <w:rPr>
          <w:rFonts w:ascii="Times New Roman" w:hAnsi="Times New Roman"/>
          <w:noProof/>
          <w:lang w:val="fr-FR" w:eastAsia="fr-FR"/>
        </w:rPr>
        <w:lastRenderedPageBreak/>
        <mc:AlternateContent>
          <mc:Choice Requires="wps">
            <w:drawing>
              <wp:anchor distT="45720" distB="45720" distL="114300" distR="114300" simplePos="0" relativeHeight="251661312" behindDoc="0" locked="0" layoutInCell="1" allowOverlap="1" wp14:anchorId="68202237" wp14:editId="33CD8467">
                <wp:simplePos x="0" y="0"/>
                <wp:positionH relativeFrom="margin">
                  <wp:align>right</wp:align>
                </wp:positionH>
                <wp:positionV relativeFrom="paragraph">
                  <wp:posOffset>220223</wp:posOffset>
                </wp:positionV>
                <wp:extent cx="5372100" cy="2811145"/>
                <wp:effectExtent l="0" t="0" r="19050" b="27305"/>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811145"/>
                        </a:xfrm>
                        <a:prstGeom prst="rect">
                          <a:avLst/>
                        </a:prstGeom>
                        <a:solidFill>
                          <a:srgbClr val="FFFFFF"/>
                        </a:solidFill>
                        <a:ln w="9525">
                          <a:solidFill>
                            <a:schemeClr val="bg1"/>
                          </a:solidFill>
                          <a:miter lim="800000"/>
                          <a:headEnd/>
                          <a:tailEnd/>
                        </a:ln>
                      </wps:spPr>
                      <wps:txbx>
                        <w:txbxContent>
                          <w:p w:rsidR="00AF5FE1" w:rsidRDefault="00AF5FE1" w:rsidP="00E5549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02237" id="_x0000_s1027" type="#_x0000_t202" style="position:absolute;left:0;text-align:left;margin-left:371.8pt;margin-top:17.35pt;width:423pt;height:221.3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" strokecolor="white [3212]">
                <v:textbox>
                  <w:txbxContent>
                    <w:p w:rsidR="00AF5FE1" w:rsidRDefault="00AF5FE1" w:rsidP="00E55494">
                      <w:pPr>
                        <w:jc w:val="center"/>
                      </w:pPr>
                    </w:p>
                  </w:txbxContent>
                </v:textbox>
                <w10:wrap type="square" anchorx="margin"/>
              </v:shape>
            </w:pict>
          </mc:Fallback>
        </mc:AlternateContent>
      </w:r>
    </w:p>
    <w:p w:rsidR="00E55494" w:rsidRDefault="00E55494" w:rsidP="00DE73B7">
      <w:pPr>
        <w:pStyle w:val="Body"/>
        <w:spacing w:after="0"/>
        <w:rPr>
          <w:rFonts w:ascii="Arial" w:hAnsi="Arial" w:cs="Arial"/>
          <w:b/>
        </w:rPr>
      </w:pPr>
      <w:r w:rsidRPr="00DC0C0D">
        <w:rPr>
          <w:noProof/>
          <w:lang w:val="fr-FR" w:eastAsia="fr-FR"/>
        </w:rPr>
        <w:drawing>
          <wp:anchor distT="0" distB="0" distL="114300" distR="114300" simplePos="0" relativeHeight="251664384" behindDoc="0" locked="0" layoutInCell="1" allowOverlap="1" wp14:anchorId="63DFF873" wp14:editId="224B2CCB">
            <wp:simplePos x="0" y="0"/>
            <wp:positionH relativeFrom="column">
              <wp:posOffset>-3810</wp:posOffset>
            </wp:positionH>
            <wp:positionV relativeFrom="paragraph">
              <wp:posOffset>0</wp:posOffset>
            </wp:positionV>
            <wp:extent cx="4685030" cy="3087644"/>
            <wp:effectExtent l="0" t="0" r="127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5030" cy="3087644"/>
                    </a:xfrm>
                    <a:prstGeom prst="rect">
                      <a:avLst/>
                    </a:prstGeom>
                    <a:noFill/>
                    <a:ln>
                      <a:noFill/>
                    </a:ln>
                  </pic:spPr>
                </pic:pic>
              </a:graphicData>
            </a:graphic>
          </wp:anchor>
        </w:drawing>
      </w:r>
    </w:p>
    <w:p w:rsidR="00160351" w:rsidRPr="002D38BF" w:rsidRDefault="00AA5AA8" w:rsidP="00DE73B7">
      <w:pPr>
        <w:pStyle w:val="Body"/>
        <w:spacing w:after="0"/>
        <w:rPr>
          <w:rFonts w:ascii="Arial" w:hAnsi="Arial" w:cs="Arial"/>
        </w:rPr>
      </w:pPr>
      <w:r>
        <w:rPr>
          <w:rFonts w:ascii="Arial" w:hAnsi="Arial" w:cs="Arial"/>
          <w:b/>
        </w:rPr>
        <w:t>Fig. 4</w:t>
      </w:r>
      <w:r w:rsidR="00160351" w:rsidRPr="002D38BF">
        <w:rPr>
          <w:rFonts w:ascii="Arial" w:hAnsi="Arial" w:cs="Arial"/>
          <w:b/>
        </w:rPr>
        <w:t>.  Activation energy and pre-exponential factor as a function of conversion rate. A (pseudo hemicellulose), B (pseudo cellulose), C (pseudo lignin)</w:t>
      </w:r>
      <w:r w:rsidR="00160351" w:rsidRPr="002D38BF">
        <w:rPr>
          <w:rFonts w:ascii="Arial" w:hAnsi="Arial" w:cs="Arial"/>
        </w:rPr>
        <w:t xml:space="preserve"> </w:t>
      </w:r>
      <w:r w:rsidR="00160351" w:rsidRPr="002D38BF">
        <w:rPr>
          <w:rFonts w:ascii="Arial" w:hAnsi="Arial" w:cs="Arial"/>
        </w:rPr>
        <w:fldChar w:fldCharType="begin"/>
      </w:r>
      <w:r w:rsidR="007819CF">
        <w:rPr>
          <w:rFonts w:ascii="Arial" w:hAnsi="Arial" w:cs="Arial"/>
        </w:rPr>
        <w:instrText xml:space="preserve"> ADDIN ZOTERO_ITEM CSL_CITATION {"citationID":"XxSvV5xC","properties":{"formattedCitation":"[19]","plainCitation":"[19]","noteIndex":0},"citationItems":[{"id":"KL15DYhl/R0RfLHLK","uris":["http://zotero.org/users/local/V8e1vJQi/items/36CYDF9E"],"itemData":{"id":188,"type":"article-journal","abstract":"Pyrolysis kinetics of pine wood, rice husk and bamboo (Bambusa chungii) were studied via thermogravimetric analysis technique under low heating rates. The result of model-free procedure showed that the lignocellulosic pyrolysis according to one-step reaction model is dominated by the diffusion effects. However, the complex features of variations are caused by the mechanism changes, which are hard to be determined. The distributed activation energy model (DAEM) kinetic results indicated that the activation energy distribution for pseudo components follows the orders of: E0(lignin) &gt; E0(cellulose) &gt; E0(hemicelluloses), r(lignin) &gt; r(hemicelluloses) &gt; r(cellulose). The Fraser–Suzuki deconvolution ﬁts better with the experimental data than DAEM. The pyrolysis mechanism of pseudo components after deconvolutions follows the theoretical models: third order model f(a) = (1 À a)3 for hemicelluloses and lignin, random scission model f(a) = 2(a1/2 À a) for cellulose. The apparent activation energy for pseudo hemicelluloses is 162.84 ± 26.45 kJ/mol for pine wood, 168.63 ± 28.47 kJ/mol for rice husk and 154.55 ± 26.49 kJ/mol for bamboo, respectively. The Ea value increases with the conversion with little deviation to its mean value. Similar Ea vs. a dependencies also are observed for pseudo celluloses, which has Ea of 188.14 ± 24.42 kJ/mol for pine wood, 206.71 ± 24.88 kJ/mol for rice husk and 190.45 ± 23.79 kJ/mol for bamboo, respectively.","container-title":"Energy Conversion and Management","DOI":"10.1016/j.enconman.2016.03.058","ISSN":"01968904","journalAbbreviation":"Energy Conversion and Management","language":"en","page":"1-11","source":"DOI.org (Crossref)","title":"Thermogravimetric kinetics of lignocellulosic biomass slow pyrolysis using distributed activation energy model, Fraser–Suzuki deconvolution, and iso-conversional method","volume":"118","author":[{"family":"Hu","given":"Mian"},{"family":"Chen","given":"Zhihua"},{"family":"Wang","given":"Shengkai"},{"family":"Guo","given":"Dabin"},{"family":"Ma","given":"Caifeng"},{"family":"Zhou","given":"Yan"},{"family":"Chen","given":"Jian"},{"family":"Laghari","given":"Mahmood"},{"family":"Fazal","given":"Saima"},{"family":"Xiao","given":"Bo"},{"family":"Zhang","given":"Beiping"},{"family":"Ma","given":"Shu"}],"issued":{"date-parts":[["2016",6]]}}}],"schema":"https://github.com/citation-style-language/schema/raw/master/csl-citation.json"} </w:instrText>
      </w:r>
      <w:r w:rsidR="00160351" w:rsidRPr="002D38BF">
        <w:rPr>
          <w:rFonts w:ascii="Arial" w:hAnsi="Arial" w:cs="Arial"/>
        </w:rPr>
        <w:fldChar w:fldCharType="separate"/>
      </w:r>
      <w:r w:rsidR="007819CF" w:rsidRPr="007819CF">
        <w:rPr>
          <w:rFonts w:ascii="Arial" w:hAnsi="Arial" w:cs="Arial"/>
        </w:rPr>
        <w:t>[19]</w:t>
      </w:r>
      <w:r w:rsidR="00160351" w:rsidRPr="002D38BF">
        <w:rPr>
          <w:rFonts w:ascii="Arial" w:hAnsi="Arial" w:cs="Arial"/>
        </w:rPr>
        <w:fldChar w:fldCharType="end"/>
      </w:r>
      <w:r w:rsidR="00160351" w:rsidRPr="002D38BF">
        <w:rPr>
          <w:rFonts w:ascii="Arial" w:hAnsi="Arial" w:cs="Arial"/>
        </w:rPr>
        <w:t>.</w:t>
      </w:r>
    </w:p>
    <w:p w:rsidR="00160351" w:rsidRDefault="00160351" w:rsidP="00160351">
      <w:pPr>
        <w:tabs>
          <w:tab w:val="left" w:pos="4047"/>
        </w:tabs>
        <w:jc w:val="both"/>
        <w:rPr>
          <w:rFonts w:ascii="Arial" w:hAnsi="Arial" w:cs="Arial"/>
        </w:rPr>
      </w:pPr>
      <w:r w:rsidRPr="00FD4F1A">
        <w:rPr>
          <w:rFonts w:ascii="Arial" w:hAnsi="Arial" w:cs="Arial"/>
        </w:rPr>
        <w:t xml:space="preserve">The complex variation of activation energy as a function of the degree of conversion demonstrates that the pyrolysis of lignocellulosic biomass cannot be modeled by a single-step reaction. Yan et al. </w:t>
      </w:r>
      <w:r w:rsidRPr="00FD4F1A">
        <w:rPr>
          <w:rFonts w:ascii="Arial" w:hAnsi="Arial" w:cs="Arial"/>
        </w:rPr>
        <w:fldChar w:fldCharType="begin"/>
      </w:r>
      <w:r w:rsidR="007819CF">
        <w:rPr>
          <w:rFonts w:ascii="Arial" w:hAnsi="Arial" w:cs="Arial"/>
        </w:rPr>
        <w:instrText xml:space="preserve"> ADDIN ZOTERO_ITEM CSL_CITATION {"citationID":"1cHUrtfY","properties":{"formattedCitation":"[11]","plainCitation":"[11]","noteIndex":0},"citationItems":[{"id":"KL15DYhl/wobwK6Y3","uris":["http://zotero.org/users/local/V8e1vJQi/items/5D4VY9LD"],"itemData":{"id":94,"type":"article-journal","abstract":"Knowledge about the rate of coal pyrolysis is of great importance because it exerts remarkable eﬀect on its thermal conversions such as combustion, gasiﬁcation and liquefaction. Diﬀerent approaches can be used to obtain the kinetics of coal pyrolysis, the simplest are empirical and global kinetics, where Arrhenius expression is used to correlate the mass loss with temperature. This work conducted pyrolysis of a lignite and a bituminite at various heating rates with a thermo-gravimetric analyzer (TGA). Thermogravimetry coupled with mass spectroscopy (TG-MS), solid state 13C Cross Polarization/ Magic Angle Spinning nuclear magnetic resonance (13C CP/ MAS NMR) and Raman analyses were also conducted to correlate the structural characteristics and pyrolysis behavior of the coals. Kinetic analysis was performed by using three model-free methods including Distributed Activation Energy model (DAEM), Ozawa-Flynn-Wall (OFW) and Friedman method. Kinetic modeling was also performed based on the DAEM model with multiple Gaussian sub-distributions of activation energy. The results show that DAEM, OFW and Friedman methods are almost equally eﬀective for analyzing activation energy, which gradually increases with the extent of pyrolysis. Pyrolysis of both the coals can be divided into three stages corresponding to the reactions of various covalent bonds. Three-Gaussian distributed activation energy model (DAEM-G3) is applicable to describing pyrolysis of both coals. The well-matched modeling results with the experimental data over the entire temperature range indicate the validity of DAEM-G3 model in studying and understanding the reaction mechanism of coal pyrolysis.","container-title":"Fuel","DOI":"10.1016/j.fuel.2018.12.079","ISSN":"00162361","journalAbbreviation":"Fuel","language":"en","page":"382-391","source":"DOI.org (Crossref)","title":"Kinetic analysis and modeling of coal pyrolysis with model-free methods","volume":"241","author":[{"family":"Yan","given":"Jingchong"},{"family":"Jiao","given":"Hanren"},{"family":"Li","given":"Zhanku"},{"family":"Lei","given":"Zhiping"},{"family":"Wang","given":"Zhicai"},{"family":"Ren","given":"Shibiao"},{"family":"Shui","given":"Hengfu"},{"family":"Kang","given":"Shigang"},{"family":"Yan","given":"Honglei"},{"family":"Pan","given":"Chunxiu"}],"issued":{"date-parts":[["2019",4]]}}}],"schema":"https://github.com/citation-style-language/schema/raw/master/csl-citation.json"} </w:instrText>
      </w:r>
      <w:r w:rsidRPr="00FD4F1A">
        <w:rPr>
          <w:rFonts w:ascii="Arial" w:hAnsi="Arial" w:cs="Arial"/>
        </w:rPr>
        <w:fldChar w:fldCharType="separate"/>
      </w:r>
      <w:r w:rsidR="007819CF" w:rsidRPr="007819CF">
        <w:rPr>
          <w:rFonts w:ascii="Arial" w:hAnsi="Arial" w:cs="Arial"/>
        </w:rPr>
        <w:t>[11]</w:t>
      </w:r>
      <w:r w:rsidRPr="00FD4F1A">
        <w:rPr>
          <w:rFonts w:ascii="Arial" w:hAnsi="Arial" w:cs="Arial"/>
        </w:rPr>
        <w:fldChar w:fldCharType="end"/>
      </w:r>
      <w:r w:rsidRPr="00FD4F1A">
        <w:rPr>
          <w:rFonts w:ascii="Arial" w:hAnsi="Arial" w:cs="Arial"/>
        </w:rPr>
        <w:t xml:space="preserve"> confirmed this finding using the distributed activation energy method with three Gaussians (DAEM-G3), showing that the activation energy increases as the reaction progresses. The mean values ​​of the activation energy, its standard deviation, and those of the pre-exponential factor are summarized in Table 2.</w:t>
      </w:r>
    </w:p>
    <w:p w:rsidR="003F6197" w:rsidRPr="00FD4F1A" w:rsidRDefault="003F6197" w:rsidP="00160351">
      <w:pPr>
        <w:tabs>
          <w:tab w:val="left" w:pos="4047"/>
        </w:tabs>
        <w:jc w:val="both"/>
        <w:rPr>
          <w:rFonts w:ascii="Arial" w:hAnsi="Arial" w:cs="Arial"/>
        </w:rPr>
      </w:pPr>
    </w:p>
    <w:p w:rsidR="00160351" w:rsidRPr="009704FB" w:rsidRDefault="00F836A8" w:rsidP="00160351">
      <w:pPr>
        <w:tabs>
          <w:tab w:val="left" w:pos="4047"/>
        </w:tabs>
        <w:jc w:val="both"/>
        <w:rPr>
          <w:rFonts w:ascii="Arial" w:hAnsi="Arial" w:cs="Arial"/>
          <w:b/>
        </w:rPr>
      </w:pPr>
      <w:r w:rsidRPr="009704FB">
        <w:rPr>
          <w:rFonts w:ascii="Arial" w:hAnsi="Arial" w:cs="Arial"/>
          <w:b/>
        </w:rPr>
        <w:t>TABLE 2.</w:t>
      </w:r>
      <w:r w:rsidR="00160351" w:rsidRPr="009704FB">
        <w:rPr>
          <w:rFonts w:ascii="Arial" w:hAnsi="Arial" w:cs="Arial"/>
          <w:b/>
        </w:rPr>
        <w:t xml:space="preserve"> Results of Fraser-Suzuki deconvolution simulation.</w:t>
      </w:r>
    </w:p>
    <w:tbl>
      <w:tblPr>
        <w:tblW w:w="0" w:type="auto"/>
        <w:tblCellMar>
          <w:left w:w="70" w:type="dxa"/>
          <w:right w:w="70" w:type="dxa"/>
        </w:tblCellMar>
        <w:tblLook w:val="04A0" w:firstRow="1" w:lastRow="0" w:firstColumn="1" w:lastColumn="0" w:noHBand="0" w:noVBand="1"/>
      </w:tblPr>
      <w:tblGrid>
        <w:gridCol w:w="758"/>
        <w:gridCol w:w="830"/>
        <w:gridCol w:w="850"/>
        <w:gridCol w:w="800"/>
        <w:gridCol w:w="830"/>
        <w:gridCol w:w="850"/>
        <w:gridCol w:w="800"/>
        <w:gridCol w:w="830"/>
        <w:gridCol w:w="850"/>
        <w:gridCol w:w="800"/>
      </w:tblGrid>
      <w:tr w:rsidR="00160351" w:rsidRPr="00E25EF5" w:rsidTr="00160351">
        <w:trPr>
          <w:trHeight w:val="342"/>
        </w:trPr>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Raw materials</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Hemicellulose</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Cellulose</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Lignin</w:t>
            </w:r>
          </w:p>
        </w:tc>
      </w:tr>
      <w:tr w:rsidR="00160351" w:rsidRPr="00E25EF5" w:rsidTr="00160351">
        <w:trPr>
          <w:trHeight w:val="342"/>
        </w:trPr>
        <w:tc>
          <w:tcPr>
            <w:tcW w:w="697" w:type="dxa"/>
            <w:vMerge/>
            <w:tcBorders>
              <w:top w:val="single" w:sz="4" w:space="0" w:color="auto"/>
              <w:left w:val="single" w:sz="4" w:space="0" w:color="auto"/>
              <w:bottom w:val="single" w:sz="4" w:space="0" w:color="auto"/>
              <w:right w:val="single" w:sz="4" w:space="0" w:color="auto"/>
            </w:tcBorders>
            <w:vAlign w:val="center"/>
            <w:hideMark/>
          </w:tcPr>
          <w:p w:rsidR="00160351" w:rsidRPr="00E25EF5" w:rsidRDefault="00160351" w:rsidP="00160351">
            <w:pPr>
              <w:spacing w:line="360" w:lineRule="auto"/>
              <w:jc w:val="both"/>
              <w:rPr>
                <w:rFonts w:ascii="Arial" w:hAnsi="Arial" w:cs="Arial"/>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proofErr w:type="spellStart"/>
            <w:proofErr w:type="gramStart"/>
            <w:r w:rsidRPr="00E25EF5">
              <w:rPr>
                <w:rFonts w:ascii="Arial" w:hAnsi="Arial" w:cs="Arial"/>
                <w:color w:val="000000"/>
                <w:sz w:val="18"/>
                <w:szCs w:val="18"/>
                <w:lang w:eastAsia="fr-FR"/>
              </w:rPr>
              <w:t>lnA</w:t>
            </w:r>
            <w:proofErr w:type="spellEnd"/>
            <w:r w:rsidRPr="00E25EF5">
              <w:rPr>
                <w:rFonts w:ascii="Arial" w:hAnsi="Arial" w:cs="Arial"/>
                <w:color w:val="000000"/>
                <w:sz w:val="18"/>
                <w:szCs w:val="18"/>
                <w:lang w:eastAsia="fr-FR"/>
              </w:rPr>
              <w:t>(</w:t>
            </w:r>
            <w:proofErr w:type="gramEnd"/>
            <w:r w:rsidRPr="00E25EF5">
              <w:rPr>
                <w:rFonts w:ascii="Arial" w:hAnsi="Arial" w:cs="Arial"/>
                <w:color w:val="000000"/>
                <w:sz w:val="18"/>
                <w:szCs w:val="18"/>
                <w:lang w:eastAsia="fr-FR"/>
              </w:rPr>
              <w:t>ln</w:t>
            </w:r>
            <m:oMath>
              <m:sSup>
                <m:sSupPr>
                  <m:ctrlPr>
                    <w:rPr>
                      <w:rFonts w:ascii="Cambria Math" w:hAnsi="Cambria Math" w:cs="Arial"/>
                      <w:i/>
                      <w:color w:val="000000"/>
                      <w:sz w:val="18"/>
                      <w:szCs w:val="18"/>
                      <w:lang w:eastAsia="fr-FR"/>
                    </w:rPr>
                  </m:ctrlPr>
                </m:sSupPr>
                <m:e>
                  <m:r>
                    <w:rPr>
                      <w:rFonts w:ascii="Cambria Math" w:hAnsi="Cambria Math" w:cs="Arial"/>
                      <w:color w:val="000000"/>
                      <w:sz w:val="18"/>
                      <w:szCs w:val="18"/>
                      <w:lang w:eastAsia="fr-FR"/>
                    </w:rPr>
                    <m:t>S</m:t>
                  </m:r>
                </m:e>
                <m:sup>
                  <m:r>
                    <w:rPr>
                      <w:rFonts w:ascii="Cambria Math" w:hAnsi="Cambria Math" w:cs="Arial"/>
                      <w:color w:val="000000"/>
                      <w:sz w:val="18"/>
                      <w:szCs w:val="18"/>
                      <w:lang w:eastAsia="fr-FR"/>
                    </w:rPr>
                    <m:t>-1</m:t>
                  </m:r>
                </m:sup>
              </m:sSup>
              <m:r>
                <w:rPr>
                  <w:rFonts w:ascii="Cambria Math" w:hAnsi="Cambria Math" w:cs="Arial"/>
                  <w:color w:val="000000"/>
                  <w:sz w:val="18"/>
                  <w:szCs w:val="18"/>
                  <w:lang w:eastAsia="fr-FR"/>
                </w:rPr>
                <m:t>)</m:t>
              </m:r>
            </m:oMath>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E (KJ/mol)</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σ(KJ/mol)</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proofErr w:type="spellStart"/>
            <w:proofErr w:type="gramStart"/>
            <w:r w:rsidRPr="00E25EF5">
              <w:rPr>
                <w:rFonts w:ascii="Arial" w:hAnsi="Arial" w:cs="Arial"/>
                <w:color w:val="000000"/>
                <w:sz w:val="18"/>
                <w:szCs w:val="18"/>
                <w:lang w:eastAsia="fr-FR"/>
              </w:rPr>
              <w:t>lnA</w:t>
            </w:r>
            <w:proofErr w:type="spellEnd"/>
            <w:r w:rsidRPr="00E25EF5">
              <w:rPr>
                <w:rFonts w:ascii="Arial" w:hAnsi="Arial" w:cs="Arial"/>
                <w:color w:val="000000"/>
                <w:sz w:val="18"/>
                <w:szCs w:val="18"/>
                <w:lang w:eastAsia="fr-FR"/>
              </w:rPr>
              <w:t>(</w:t>
            </w:r>
            <w:proofErr w:type="gramEnd"/>
            <w:r w:rsidRPr="00E25EF5">
              <w:rPr>
                <w:rFonts w:ascii="Arial" w:hAnsi="Arial" w:cs="Arial"/>
                <w:color w:val="000000"/>
                <w:sz w:val="18"/>
                <w:szCs w:val="18"/>
                <w:lang w:eastAsia="fr-FR"/>
              </w:rPr>
              <w:t>ln</w:t>
            </w:r>
            <m:oMath>
              <m:sSup>
                <m:sSupPr>
                  <m:ctrlPr>
                    <w:rPr>
                      <w:rFonts w:ascii="Cambria Math" w:hAnsi="Cambria Math" w:cs="Arial"/>
                      <w:i/>
                      <w:color w:val="000000"/>
                      <w:sz w:val="18"/>
                      <w:szCs w:val="18"/>
                      <w:lang w:eastAsia="fr-FR"/>
                    </w:rPr>
                  </m:ctrlPr>
                </m:sSupPr>
                <m:e>
                  <m:r>
                    <w:rPr>
                      <w:rFonts w:ascii="Cambria Math" w:hAnsi="Cambria Math" w:cs="Arial"/>
                      <w:color w:val="000000"/>
                      <w:sz w:val="18"/>
                      <w:szCs w:val="18"/>
                      <w:lang w:eastAsia="fr-FR"/>
                    </w:rPr>
                    <m:t>S</m:t>
                  </m:r>
                </m:e>
                <m:sup>
                  <m:r>
                    <w:rPr>
                      <w:rFonts w:ascii="Cambria Math" w:hAnsi="Cambria Math" w:cs="Arial"/>
                      <w:color w:val="000000"/>
                      <w:sz w:val="18"/>
                      <w:szCs w:val="18"/>
                      <w:lang w:eastAsia="fr-FR"/>
                    </w:rPr>
                    <m:t>-1</m:t>
                  </m:r>
                </m:sup>
              </m:sSup>
              <m:r>
                <w:rPr>
                  <w:rFonts w:ascii="Cambria Math" w:hAnsi="Cambria Math" w:cs="Arial"/>
                  <w:color w:val="000000"/>
                  <w:sz w:val="18"/>
                  <w:szCs w:val="18"/>
                  <w:lang w:eastAsia="fr-FR"/>
                </w:rPr>
                <m:t>)</m:t>
              </m:r>
            </m:oMath>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E (KJ/mol)</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σ(KJ/mol)</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proofErr w:type="spellStart"/>
            <w:proofErr w:type="gramStart"/>
            <w:r w:rsidRPr="00E25EF5">
              <w:rPr>
                <w:rFonts w:ascii="Arial" w:hAnsi="Arial" w:cs="Arial"/>
                <w:color w:val="000000"/>
                <w:sz w:val="18"/>
                <w:szCs w:val="18"/>
                <w:lang w:eastAsia="fr-FR"/>
              </w:rPr>
              <w:t>lnA</w:t>
            </w:r>
            <w:proofErr w:type="spellEnd"/>
            <w:r w:rsidRPr="00E25EF5">
              <w:rPr>
                <w:rFonts w:ascii="Arial" w:hAnsi="Arial" w:cs="Arial"/>
                <w:color w:val="000000"/>
                <w:sz w:val="18"/>
                <w:szCs w:val="18"/>
                <w:lang w:eastAsia="fr-FR"/>
              </w:rPr>
              <w:t>(</w:t>
            </w:r>
            <w:proofErr w:type="gramEnd"/>
            <w:r w:rsidRPr="00E25EF5">
              <w:rPr>
                <w:rFonts w:ascii="Arial" w:hAnsi="Arial" w:cs="Arial"/>
                <w:color w:val="000000"/>
                <w:sz w:val="18"/>
                <w:szCs w:val="18"/>
                <w:lang w:eastAsia="fr-FR"/>
              </w:rPr>
              <w:t>ln</w:t>
            </w:r>
            <m:oMath>
              <m:sSup>
                <m:sSupPr>
                  <m:ctrlPr>
                    <w:rPr>
                      <w:rFonts w:ascii="Cambria Math" w:hAnsi="Cambria Math" w:cs="Arial"/>
                      <w:i/>
                      <w:color w:val="000000"/>
                      <w:sz w:val="18"/>
                      <w:szCs w:val="18"/>
                      <w:lang w:eastAsia="fr-FR"/>
                    </w:rPr>
                  </m:ctrlPr>
                </m:sSupPr>
                <m:e>
                  <m:r>
                    <w:rPr>
                      <w:rFonts w:ascii="Cambria Math" w:hAnsi="Cambria Math" w:cs="Arial"/>
                      <w:color w:val="000000"/>
                      <w:sz w:val="18"/>
                      <w:szCs w:val="18"/>
                      <w:lang w:eastAsia="fr-FR"/>
                    </w:rPr>
                    <m:t>S</m:t>
                  </m:r>
                </m:e>
                <m:sup>
                  <m:r>
                    <w:rPr>
                      <w:rFonts w:ascii="Cambria Math" w:hAnsi="Cambria Math" w:cs="Arial"/>
                      <w:color w:val="000000"/>
                      <w:sz w:val="18"/>
                      <w:szCs w:val="18"/>
                      <w:lang w:eastAsia="fr-FR"/>
                    </w:rPr>
                    <m:t>-1</m:t>
                  </m:r>
                </m:sup>
              </m:sSup>
              <m:r>
                <w:rPr>
                  <w:rFonts w:ascii="Cambria Math" w:hAnsi="Cambria Math" w:cs="Arial"/>
                  <w:color w:val="000000"/>
                  <w:sz w:val="18"/>
                  <w:szCs w:val="18"/>
                  <w:lang w:eastAsia="fr-FR"/>
                </w:rPr>
                <m:t>)</m:t>
              </m:r>
            </m:oMath>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E (KJ/mol)</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σ(KJ/mol)</w:t>
            </w:r>
          </w:p>
        </w:tc>
      </w:tr>
      <w:tr w:rsidR="00160351" w:rsidRPr="00E25EF5" w:rsidTr="00160351">
        <w:trPr>
          <w:trHeight w:val="523"/>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Pine wood</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28.8</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162.84</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4.6</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30.42</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188.14</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1.79</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30.56</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212.12</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33.31</w:t>
            </w:r>
          </w:p>
        </w:tc>
      </w:tr>
      <w:tr w:rsidR="00160351" w:rsidRPr="00E25EF5" w:rsidTr="00160351">
        <w:trPr>
          <w:trHeight w:val="533"/>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Rice husk</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29.7</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168.63</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5.59</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30.42</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206.71</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2.68</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30.57</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221.21</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33.35</w:t>
            </w:r>
          </w:p>
        </w:tc>
      </w:tr>
      <w:tr w:rsidR="00160351" w:rsidRPr="00E25EF5" w:rsidTr="00160351">
        <w:trPr>
          <w:trHeight w:val="684"/>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Bamboo</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25.92</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154.55</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5.01</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31.09</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190.45</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2.6</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32.65</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199.08</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37.24</w:t>
            </w:r>
          </w:p>
        </w:tc>
      </w:tr>
    </w:tbl>
    <w:p w:rsidR="004B1F6D" w:rsidRDefault="004B1F6D" w:rsidP="00441B6F">
      <w:pPr>
        <w:pStyle w:val="Body"/>
        <w:spacing w:after="0"/>
        <w:rPr>
          <w:rFonts w:ascii="Arial" w:hAnsi="Arial" w:cs="Arial"/>
        </w:rPr>
      </w:pPr>
    </w:p>
    <w:p w:rsidR="00160351" w:rsidRDefault="00160351" w:rsidP="002C46C1">
      <w:pPr>
        <w:tabs>
          <w:tab w:val="left" w:pos="1420"/>
        </w:tabs>
        <w:jc w:val="both"/>
        <w:rPr>
          <w:rFonts w:ascii="Arial" w:hAnsi="Arial" w:cs="Arial"/>
        </w:rPr>
      </w:pPr>
      <w:r w:rsidRPr="00FD4F1A">
        <w:rPr>
          <w:rFonts w:ascii="Arial" w:hAnsi="Arial" w:cs="Arial"/>
        </w:rPr>
        <w:t>The three materials exhibit distinct thermal behaviors: rice husk generally requires more energy to decompose, while bamboo shows large kinetic variability, particularly for lignin. Although the results are consistent with experimental data and outperform the DEAM method in accuracy, the high standard deviation of the activation energy for lignin highlights the need for model optimization to improve their accuracy and refine the explanation of biomass kinetics.</w:t>
      </w:r>
    </w:p>
    <w:p w:rsidR="00976686" w:rsidRDefault="007376E8" w:rsidP="002C46C1">
      <w:pPr>
        <w:tabs>
          <w:tab w:val="left" w:pos="1420"/>
        </w:tabs>
        <w:jc w:val="both"/>
        <w:rPr>
          <w:rFonts w:ascii="Arial" w:hAnsi="Arial" w:cs="Arial"/>
          <w:noProof/>
          <w:lang w:val="fr-FR" w:eastAsia="fr-FR"/>
        </w:rPr>
      </w:pPr>
      <w:r w:rsidRPr="00DC0C0D">
        <w:rPr>
          <w:rFonts w:ascii="Arial" w:hAnsi="Arial" w:cs="Arial"/>
          <w:noProof/>
          <w:lang w:val="fr-FR" w:eastAsia="fr-FR"/>
        </w:rPr>
        <w:lastRenderedPageBreak/>
        <mc:AlternateContent>
          <mc:Choice Requires="wps">
            <w:drawing>
              <wp:anchor distT="45720" distB="45720" distL="114300" distR="114300" simplePos="0" relativeHeight="251663360" behindDoc="0" locked="0" layoutInCell="1" allowOverlap="1" wp14:anchorId="310DC4AE" wp14:editId="783F25FE">
                <wp:simplePos x="0" y="0"/>
                <wp:positionH relativeFrom="column">
                  <wp:posOffset>443865</wp:posOffset>
                </wp:positionH>
                <wp:positionV relativeFrom="paragraph">
                  <wp:posOffset>89535</wp:posOffset>
                </wp:positionV>
                <wp:extent cx="5124450" cy="3476625"/>
                <wp:effectExtent l="0" t="0" r="0" b="9525"/>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476625"/>
                        </a:xfrm>
                        <a:prstGeom prst="rect">
                          <a:avLst/>
                        </a:prstGeom>
                        <a:solidFill>
                          <a:srgbClr val="FFFFFF"/>
                        </a:solidFill>
                        <a:ln w="9525">
                          <a:noFill/>
                          <a:miter lim="800000"/>
                          <a:headEnd/>
                          <a:tailEnd/>
                        </a:ln>
                      </wps:spPr>
                      <wps:txbx>
                        <w:txbxContent>
                          <w:p w:rsidR="00AF5FE1" w:rsidRDefault="00AF5FE1" w:rsidP="00E55494">
                            <w:pPr>
                              <w:jc w:val="center"/>
                            </w:pPr>
                            <w:r w:rsidRPr="00976686">
                              <w:rPr>
                                <w:rFonts w:ascii="Arial" w:hAnsi="Arial" w:cs="Arial"/>
                                <w:noProof/>
                                <w:lang w:val="fr-FR" w:eastAsia="fr-FR"/>
                              </w:rPr>
                              <w:drawing>
                                <wp:inline distT="0" distB="0" distL="0" distR="0" wp14:anchorId="53003E61" wp14:editId="4B65EBD9">
                                  <wp:extent cx="3638550" cy="1538259"/>
                                  <wp:effectExtent l="0" t="0" r="0" b="508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9"/>
                                          <a:stretch>
                                            <a:fillRect/>
                                          </a:stretch>
                                        </pic:blipFill>
                                        <pic:spPr>
                                          <a:xfrm>
                                            <a:off x="0" y="0"/>
                                            <a:ext cx="3668059" cy="1550734"/>
                                          </a:xfrm>
                                          <a:prstGeom prst="rect">
                                            <a:avLst/>
                                          </a:prstGeom>
                                        </pic:spPr>
                                      </pic:pic>
                                    </a:graphicData>
                                  </a:graphic>
                                </wp:inline>
                              </w:drawing>
                            </w:r>
                            <w:r w:rsidRPr="00976686">
                              <w:rPr>
                                <w:rFonts w:ascii="Arial" w:hAnsi="Arial" w:cs="Arial"/>
                                <w:noProof/>
                                <w:lang w:val="fr-FR" w:eastAsia="fr-FR"/>
                              </w:rPr>
                              <w:drawing>
                                <wp:inline distT="0" distB="0" distL="0" distR="0" wp14:anchorId="2015D128" wp14:editId="00059F89">
                                  <wp:extent cx="2087946" cy="1596946"/>
                                  <wp:effectExtent l="0" t="0" r="7620" b="381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20"/>
                                          <a:stretch>
                                            <a:fillRect/>
                                          </a:stretch>
                                        </pic:blipFill>
                                        <pic:spPr>
                                          <a:xfrm>
                                            <a:off x="0" y="0"/>
                                            <a:ext cx="2142484" cy="16386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DC4AE" id="_x0000_s1028" type="#_x0000_t202" style="position:absolute;left:0;text-align:left;margin-left:34.95pt;margin-top:7.05pt;width:403.5pt;height:27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" stroked="f">
                <v:textbox>
                  <w:txbxContent>
                    <w:p w:rsidR="00AF5FE1" w:rsidRDefault="00AF5FE1" w:rsidP="00E55494">
                      <w:pPr>
                        <w:jc w:val="center"/>
                      </w:pPr>
                      <w:r w:rsidRPr="00976686">
                        <w:rPr>
                          <w:rFonts w:ascii="Arial" w:hAnsi="Arial" w:cs="Arial"/>
                          <w:noProof/>
                          <w:lang w:val="fr-FR" w:eastAsia="fr-FR"/>
                        </w:rPr>
                        <w:drawing>
                          <wp:inline distT="0" distB="0" distL="0" distR="0" wp14:anchorId="53003E61" wp14:editId="4B65EBD9">
                            <wp:extent cx="3638550" cy="1538259"/>
                            <wp:effectExtent l="0" t="0" r="0" b="508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9"/>
                                    <a:stretch>
                                      <a:fillRect/>
                                    </a:stretch>
                                  </pic:blipFill>
                                  <pic:spPr>
                                    <a:xfrm>
                                      <a:off x="0" y="0"/>
                                      <a:ext cx="3668059" cy="1550734"/>
                                    </a:xfrm>
                                    <a:prstGeom prst="rect">
                                      <a:avLst/>
                                    </a:prstGeom>
                                  </pic:spPr>
                                </pic:pic>
                              </a:graphicData>
                            </a:graphic>
                          </wp:inline>
                        </w:drawing>
                      </w:r>
                      <w:r w:rsidRPr="00976686">
                        <w:rPr>
                          <w:rFonts w:ascii="Arial" w:hAnsi="Arial" w:cs="Arial"/>
                          <w:noProof/>
                          <w:lang w:val="fr-FR" w:eastAsia="fr-FR"/>
                        </w:rPr>
                        <w:drawing>
                          <wp:inline distT="0" distB="0" distL="0" distR="0" wp14:anchorId="2015D128" wp14:editId="00059F89">
                            <wp:extent cx="2087946" cy="1596946"/>
                            <wp:effectExtent l="0" t="0" r="7620" b="381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20"/>
                                    <a:stretch>
                                      <a:fillRect/>
                                    </a:stretch>
                                  </pic:blipFill>
                                  <pic:spPr>
                                    <a:xfrm>
                                      <a:off x="0" y="0"/>
                                      <a:ext cx="2142484" cy="1638659"/>
                                    </a:xfrm>
                                    <a:prstGeom prst="rect">
                                      <a:avLst/>
                                    </a:prstGeom>
                                  </pic:spPr>
                                </pic:pic>
                              </a:graphicData>
                            </a:graphic>
                          </wp:inline>
                        </w:drawing>
                      </w:r>
                    </w:p>
                  </w:txbxContent>
                </v:textbox>
                <w10:wrap type="square"/>
              </v:shape>
            </w:pict>
          </mc:Fallback>
        </mc:AlternateContent>
      </w:r>
    </w:p>
    <w:p w:rsidR="00DC0C0D" w:rsidRDefault="00DC0C0D" w:rsidP="002C46C1">
      <w:pPr>
        <w:tabs>
          <w:tab w:val="left" w:pos="1420"/>
        </w:tabs>
        <w:jc w:val="both"/>
        <w:rPr>
          <w:rFonts w:ascii="Arial" w:hAnsi="Arial" w:cs="Arial"/>
          <w:noProof/>
          <w:lang w:val="fr-FR" w:eastAsia="fr-FR"/>
        </w:rPr>
      </w:pPr>
    </w:p>
    <w:p w:rsidR="00DC0C0D" w:rsidRDefault="00DC0C0D" w:rsidP="002C46C1">
      <w:pPr>
        <w:tabs>
          <w:tab w:val="left" w:pos="1420"/>
        </w:tabs>
        <w:jc w:val="both"/>
        <w:rPr>
          <w:rFonts w:ascii="Arial" w:hAnsi="Arial" w:cs="Arial"/>
          <w:noProof/>
          <w:lang w:val="fr-FR" w:eastAsia="fr-FR"/>
        </w:rPr>
      </w:pPr>
    </w:p>
    <w:p w:rsidR="00DC0C0D" w:rsidRDefault="00DC0C0D" w:rsidP="002C46C1">
      <w:pPr>
        <w:tabs>
          <w:tab w:val="left" w:pos="1420"/>
        </w:tabs>
        <w:jc w:val="both"/>
        <w:rPr>
          <w:rFonts w:ascii="Arial" w:hAnsi="Arial" w:cs="Arial"/>
          <w:noProof/>
          <w:lang w:val="fr-FR" w:eastAsia="fr-FR"/>
        </w:rPr>
      </w:pPr>
    </w:p>
    <w:p w:rsidR="00DC0C0D" w:rsidRDefault="00DC0C0D" w:rsidP="002C46C1">
      <w:pPr>
        <w:tabs>
          <w:tab w:val="left" w:pos="1420"/>
        </w:tabs>
        <w:jc w:val="both"/>
        <w:rPr>
          <w:rFonts w:ascii="Arial" w:hAnsi="Arial" w:cs="Arial"/>
          <w:noProof/>
          <w:lang w:val="fr-FR" w:eastAsia="fr-FR"/>
        </w:rPr>
      </w:pPr>
    </w:p>
    <w:p w:rsidR="00DC0C0D" w:rsidRDefault="00DC0C0D" w:rsidP="002C46C1">
      <w:pPr>
        <w:tabs>
          <w:tab w:val="left" w:pos="1420"/>
        </w:tabs>
        <w:jc w:val="both"/>
        <w:rPr>
          <w:rFonts w:ascii="Arial" w:hAnsi="Arial" w:cs="Arial"/>
          <w:noProof/>
          <w:lang w:val="fr-FR" w:eastAsia="fr-FR"/>
        </w:rPr>
      </w:pPr>
    </w:p>
    <w:p w:rsidR="00DC0C0D" w:rsidRDefault="00DC0C0D" w:rsidP="002C46C1">
      <w:pPr>
        <w:tabs>
          <w:tab w:val="left" w:pos="1420"/>
        </w:tabs>
        <w:jc w:val="both"/>
        <w:rPr>
          <w:rFonts w:ascii="Arial" w:hAnsi="Arial" w:cs="Arial"/>
          <w:noProof/>
          <w:lang w:val="fr-FR" w:eastAsia="fr-FR"/>
        </w:rPr>
      </w:pPr>
    </w:p>
    <w:p w:rsidR="00DC0C0D" w:rsidRDefault="00DC0C0D" w:rsidP="002C46C1">
      <w:pPr>
        <w:tabs>
          <w:tab w:val="left" w:pos="1420"/>
        </w:tabs>
        <w:jc w:val="both"/>
        <w:rPr>
          <w:rFonts w:ascii="Arial" w:hAnsi="Arial" w:cs="Arial"/>
          <w:noProof/>
          <w:lang w:val="fr-FR" w:eastAsia="fr-FR"/>
        </w:rPr>
      </w:pPr>
    </w:p>
    <w:p w:rsidR="00DC0C0D" w:rsidRDefault="00DC0C0D" w:rsidP="002C46C1">
      <w:pPr>
        <w:tabs>
          <w:tab w:val="left" w:pos="1420"/>
        </w:tabs>
        <w:jc w:val="both"/>
        <w:rPr>
          <w:rFonts w:ascii="Arial" w:hAnsi="Arial" w:cs="Arial"/>
          <w:noProof/>
          <w:lang w:val="fr-FR" w:eastAsia="fr-FR"/>
        </w:rPr>
      </w:pPr>
    </w:p>
    <w:p w:rsidR="00DC0C0D" w:rsidRDefault="00DC0C0D" w:rsidP="002C46C1">
      <w:pPr>
        <w:tabs>
          <w:tab w:val="left" w:pos="1420"/>
        </w:tabs>
        <w:jc w:val="both"/>
        <w:rPr>
          <w:rFonts w:ascii="Arial" w:hAnsi="Arial" w:cs="Arial"/>
          <w:noProof/>
          <w:lang w:val="fr-FR" w:eastAsia="fr-FR"/>
        </w:rPr>
      </w:pPr>
    </w:p>
    <w:p w:rsidR="00DC0C0D" w:rsidRDefault="00DC0C0D" w:rsidP="002C46C1">
      <w:pPr>
        <w:tabs>
          <w:tab w:val="left" w:pos="1420"/>
        </w:tabs>
        <w:jc w:val="both"/>
        <w:rPr>
          <w:rFonts w:ascii="Arial" w:hAnsi="Arial" w:cs="Arial"/>
          <w:noProof/>
          <w:lang w:val="fr-FR" w:eastAsia="fr-FR"/>
        </w:rPr>
      </w:pPr>
    </w:p>
    <w:p w:rsidR="00DC0C0D" w:rsidRDefault="00DC0C0D" w:rsidP="002C46C1">
      <w:pPr>
        <w:tabs>
          <w:tab w:val="left" w:pos="1420"/>
        </w:tabs>
        <w:jc w:val="both"/>
        <w:rPr>
          <w:rFonts w:ascii="Arial" w:hAnsi="Arial" w:cs="Arial"/>
        </w:rPr>
      </w:pPr>
    </w:p>
    <w:p w:rsidR="00976686" w:rsidRDefault="00976686" w:rsidP="002C46C1">
      <w:pPr>
        <w:tabs>
          <w:tab w:val="left" w:pos="1420"/>
        </w:tabs>
        <w:jc w:val="both"/>
        <w:rPr>
          <w:rFonts w:ascii="Arial" w:hAnsi="Arial" w:cs="Arial"/>
        </w:rPr>
      </w:pPr>
    </w:p>
    <w:p w:rsidR="00E601F1" w:rsidRDefault="00E601F1" w:rsidP="00E35E13">
      <w:pPr>
        <w:tabs>
          <w:tab w:val="left" w:pos="1420"/>
        </w:tabs>
        <w:jc w:val="both"/>
        <w:rPr>
          <w:rFonts w:ascii="Arial" w:hAnsi="Arial" w:cs="Arial"/>
          <w:lang w:val="fr-FR"/>
        </w:rPr>
      </w:pPr>
    </w:p>
    <w:p w:rsidR="00E601F1" w:rsidRDefault="00E601F1" w:rsidP="00E35E13">
      <w:pPr>
        <w:tabs>
          <w:tab w:val="left" w:pos="1420"/>
        </w:tabs>
        <w:jc w:val="both"/>
        <w:rPr>
          <w:rFonts w:ascii="Arial" w:hAnsi="Arial" w:cs="Arial"/>
          <w:lang w:val="fr-FR"/>
        </w:rPr>
      </w:pPr>
    </w:p>
    <w:p w:rsidR="00E601F1" w:rsidRDefault="00E601F1" w:rsidP="00E35E13">
      <w:pPr>
        <w:tabs>
          <w:tab w:val="left" w:pos="1420"/>
        </w:tabs>
        <w:jc w:val="both"/>
        <w:rPr>
          <w:rFonts w:ascii="Arial" w:hAnsi="Arial" w:cs="Arial"/>
          <w:lang w:val="fr-FR"/>
        </w:rPr>
      </w:pPr>
    </w:p>
    <w:p w:rsidR="00E601F1" w:rsidRDefault="00E601F1" w:rsidP="00E35E13">
      <w:pPr>
        <w:tabs>
          <w:tab w:val="left" w:pos="1420"/>
        </w:tabs>
        <w:jc w:val="both"/>
        <w:rPr>
          <w:rFonts w:ascii="Arial" w:hAnsi="Arial" w:cs="Arial"/>
          <w:lang w:val="fr-FR"/>
        </w:rPr>
      </w:pPr>
    </w:p>
    <w:p w:rsidR="00E601F1" w:rsidRDefault="00E601F1" w:rsidP="00E35E13">
      <w:pPr>
        <w:tabs>
          <w:tab w:val="left" w:pos="1420"/>
        </w:tabs>
        <w:jc w:val="both"/>
        <w:rPr>
          <w:rFonts w:ascii="Arial" w:hAnsi="Arial" w:cs="Arial"/>
          <w:lang w:val="fr-FR"/>
        </w:rPr>
      </w:pPr>
    </w:p>
    <w:p w:rsidR="00E601F1" w:rsidRDefault="00E601F1" w:rsidP="00E35E13">
      <w:pPr>
        <w:tabs>
          <w:tab w:val="left" w:pos="1420"/>
        </w:tabs>
        <w:jc w:val="both"/>
        <w:rPr>
          <w:rFonts w:ascii="Arial" w:hAnsi="Arial" w:cs="Arial"/>
          <w:lang w:val="fr-FR"/>
        </w:rPr>
      </w:pPr>
    </w:p>
    <w:p w:rsidR="00E601F1" w:rsidRDefault="00E601F1" w:rsidP="00E35E13">
      <w:pPr>
        <w:tabs>
          <w:tab w:val="left" w:pos="1420"/>
        </w:tabs>
        <w:jc w:val="both"/>
        <w:rPr>
          <w:rFonts w:ascii="Arial" w:hAnsi="Arial" w:cs="Arial"/>
          <w:lang w:val="fr-FR"/>
        </w:rPr>
      </w:pPr>
    </w:p>
    <w:p w:rsidR="00E601F1" w:rsidRDefault="00E601F1" w:rsidP="00E35E13">
      <w:pPr>
        <w:tabs>
          <w:tab w:val="left" w:pos="1420"/>
        </w:tabs>
        <w:jc w:val="both"/>
        <w:rPr>
          <w:rFonts w:ascii="Arial" w:hAnsi="Arial" w:cs="Arial"/>
          <w:lang w:val="fr-FR"/>
        </w:rPr>
      </w:pPr>
    </w:p>
    <w:p w:rsidR="00E601F1" w:rsidRDefault="00E601F1" w:rsidP="00E35E13">
      <w:pPr>
        <w:tabs>
          <w:tab w:val="left" w:pos="1420"/>
        </w:tabs>
        <w:jc w:val="both"/>
        <w:rPr>
          <w:rFonts w:ascii="Arial" w:hAnsi="Arial" w:cs="Arial"/>
          <w:lang w:val="fr-FR"/>
        </w:rPr>
      </w:pPr>
    </w:p>
    <w:p w:rsidR="00E601F1" w:rsidRDefault="00E601F1" w:rsidP="00E35E13">
      <w:pPr>
        <w:tabs>
          <w:tab w:val="left" w:pos="1420"/>
        </w:tabs>
        <w:jc w:val="both"/>
        <w:rPr>
          <w:rFonts w:ascii="Arial" w:hAnsi="Arial" w:cs="Arial"/>
          <w:lang w:val="fr-FR"/>
        </w:rPr>
      </w:pPr>
    </w:p>
    <w:p w:rsidR="00E35E13" w:rsidRPr="00E601F1" w:rsidRDefault="00E601F1" w:rsidP="00E35E13">
      <w:pPr>
        <w:tabs>
          <w:tab w:val="left" w:pos="1420"/>
        </w:tabs>
        <w:jc w:val="both"/>
        <w:rPr>
          <w:rFonts w:ascii="Arial" w:hAnsi="Arial" w:cs="Arial"/>
          <w:b/>
          <w:lang w:val="fr-FR"/>
        </w:rPr>
      </w:pPr>
      <w:r w:rsidRPr="00E601F1">
        <w:rPr>
          <w:rFonts w:ascii="Arial" w:hAnsi="Arial" w:cs="Arial"/>
          <w:b/>
          <w:lang w:val="fr-FR"/>
        </w:rPr>
        <w:t>Fig.</w:t>
      </w:r>
      <w:r w:rsidR="00EF09BD">
        <w:rPr>
          <w:rFonts w:ascii="Arial" w:hAnsi="Arial" w:cs="Arial"/>
          <w:b/>
          <w:lang w:val="fr-FR"/>
        </w:rPr>
        <w:t>5</w:t>
      </w:r>
      <w:r w:rsidRPr="00E601F1">
        <w:rPr>
          <w:rFonts w:ascii="Arial" w:hAnsi="Arial" w:cs="Arial"/>
          <w:b/>
          <w:lang w:val="fr-FR"/>
        </w:rPr>
        <w:t xml:space="preserve">.  (b) </w:t>
      </w:r>
      <w:proofErr w:type="spellStart"/>
      <w:r w:rsidR="00E35E13" w:rsidRPr="00E601F1">
        <w:rPr>
          <w:rFonts w:ascii="Arial" w:hAnsi="Arial" w:cs="Arial"/>
          <w:b/>
          <w:lang w:val="fr-FR"/>
        </w:rPr>
        <w:t>Chartof</w:t>
      </w:r>
      <w:proofErr w:type="spellEnd"/>
      <w:r w:rsidR="00E35E13" w:rsidRPr="00E601F1">
        <w:rPr>
          <w:rFonts w:ascii="Arial" w:hAnsi="Arial" w:cs="Arial"/>
          <w:b/>
          <w:lang w:val="fr-FR"/>
        </w:rPr>
        <w:t xml:space="preserve"> conversion </w:t>
      </w:r>
      <w:proofErr w:type="spellStart"/>
      <w:r w:rsidR="00E35E13" w:rsidRPr="00E601F1">
        <w:rPr>
          <w:rFonts w:ascii="Arial" w:hAnsi="Arial" w:cs="Arial"/>
          <w:b/>
          <w:lang w:val="fr-FR"/>
        </w:rPr>
        <w:t>energy</w:t>
      </w:r>
      <w:proofErr w:type="spellEnd"/>
      <w:r w:rsidR="00E35E13" w:rsidRPr="00E601F1">
        <w:rPr>
          <w:rFonts w:ascii="Arial" w:hAnsi="Arial" w:cs="Arial"/>
          <w:b/>
          <w:lang w:val="fr-FR"/>
        </w:rPr>
        <w:t xml:space="preserve"> versus activation </w:t>
      </w:r>
      <w:proofErr w:type="spellStart"/>
      <w:r w:rsidR="00E35E13" w:rsidRPr="00E601F1">
        <w:rPr>
          <w:rFonts w:ascii="Arial" w:hAnsi="Arial" w:cs="Arial"/>
          <w:b/>
          <w:lang w:val="fr-FR"/>
        </w:rPr>
        <w:t>energy</w:t>
      </w:r>
      <w:proofErr w:type="spellEnd"/>
      <w:r w:rsidR="00E35E13" w:rsidRPr="00E601F1">
        <w:rPr>
          <w:rFonts w:ascii="Arial" w:hAnsi="Arial" w:cs="Arial"/>
          <w:b/>
          <w:lang w:val="fr-FR"/>
        </w:rPr>
        <w:t xml:space="preserve"> for CC; (c) </w:t>
      </w:r>
      <w:proofErr w:type="spellStart"/>
      <w:r w:rsidR="00E35E13" w:rsidRPr="00E601F1">
        <w:rPr>
          <w:rFonts w:ascii="Arial" w:hAnsi="Arial" w:cs="Arial"/>
          <w:b/>
          <w:lang w:val="fr-FR"/>
        </w:rPr>
        <w:t>Chartof</w:t>
      </w:r>
      <w:proofErr w:type="spellEnd"/>
      <w:r w:rsidR="00E35E13" w:rsidRPr="00E601F1">
        <w:rPr>
          <w:rFonts w:ascii="Arial" w:hAnsi="Arial" w:cs="Arial"/>
          <w:b/>
          <w:lang w:val="fr-FR"/>
        </w:rPr>
        <w:t xml:space="preserve"> the conversion </w:t>
      </w:r>
      <w:proofErr w:type="spellStart"/>
      <w:r w:rsidR="00E35E13" w:rsidRPr="00E601F1">
        <w:rPr>
          <w:rFonts w:ascii="Arial" w:hAnsi="Arial" w:cs="Arial"/>
          <w:b/>
          <w:lang w:val="fr-FR"/>
        </w:rPr>
        <w:t>energy</w:t>
      </w:r>
      <w:proofErr w:type="spellEnd"/>
      <w:r w:rsidR="00E35E13" w:rsidRPr="00E601F1">
        <w:rPr>
          <w:rFonts w:ascii="Arial" w:hAnsi="Arial" w:cs="Arial"/>
          <w:b/>
          <w:lang w:val="fr-FR"/>
        </w:rPr>
        <w:t xml:space="preserve"> versus the activation </w:t>
      </w:r>
      <w:proofErr w:type="spellStart"/>
      <w:r w:rsidR="00E35E13" w:rsidRPr="00E601F1">
        <w:rPr>
          <w:rFonts w:ascii="Arial" w:hAnsi="Arial" w:cs="Arial"/>
          <w:b/>
          <w:lang w:val="fr-FR"/>
        </w:rPr>
        <w:t>energy</w:t>
      </w:r>
      <w:proofErr w:type="spellEnd"/>
      <w:r w:rsidR="00E35E13" w:rsidRPr="00E601F1">
        <w:rPr>
          <w:rFonts w:ascii="Arial" w:hAnsi="Arial" w:cs="Arial"/>
          <w:b/>
          <w:lang w:val="fr-FR"/>
        </w:rPr>
        <w:t xml:space="preserve"> for PE; (d) </w:t>
      </w:r>
      <w:proofErr w:type="spellStart"/>
      <w:r w:rsidR="00E35E13" w:rsidRPr="00E601F1">
        <w:rPr>
          <w:rFonts w:ascii="Arial" w:hAnsi="Arial" w:cs="Arial"/>
          <w:b/>
          <w:lang w:val="fr-FR"/>
        </w:rPr>
        <w:t>Chartconversion</w:t>
      </w:r>
      <w:proofErr w:type="spellEnd"/>
      <w:r w:rsidR="00E35E13" w:rsidRPr="00E601F1">
        <w:rPr>
          <w:rFonts w:ascii="Arial" w:hAnsi="Arial" w:cs="Arial"/>
          <w:b/>
          <w:lang w:val="fr-FR"/>
        </w:rPr>
        <w:t xml:space="preserve"> vs </w:t>
      </w:r>
      <w:proofErr w:type="spellStart"/>
      <w:r w:rsidR="00E35E13" w:rsidRPr="00E601F1">
        <w:rPr>
          <w:rFonts w:ascii="Arial" w:hAnsi="Arial" w:cs="Arial"/>
          <w:b/>
          <w:lang w:val="fr-FR"/>
        </w:rPr>
        <w:t>energy</w:t>
      </w:r>
      <w:proofErr w:type="spellEnd"/>
      <w:r w:rsidR="00917362" w:rsidRPr="00E601F1">
        <w:rPr>
          <w:rFonts w:ascii="Arial" w:hAnsi="Arial" w:cs="Arial"/>
          <w:b/>
          <w:lang w:val="fr-FR"/>
        </w:rPr>
        <w:t xml:space="preserve"> </w:t>
      </w:r>
      <w:r w:rsidR="00E35E13" w:rsidRPr="00E601F1">
        <w:rPr>
          <w:rFonts w:ascii="Arial" w:hAnsi="Arial" w:cs="Arial"/>
          <w:b/>
          <w:lang w:val="fr-FR"/>
        </w:rPr>
        <w:t xml:space="preserve">activation for </w:t>
      </w:r>
      <w:r w:rsidR="00F6794F">
        <w:rPr>
          <w:rFonts w:ascii="Arial" w:hAnsi="Arial" w:cs="Arial"/>
          <w:b/>
          <w:lang w:val="fr-FR"/>
        </w:rPr>
        <w:t xml:space="preserve">the CC + PE mixture </w:t>
      </w:r>
      <w:r w:rsidR="00F6794F" w:rsidRPr="00C14910">
        <w:rPr>
          <w:rFonts w:ascii="Arial" w:hAnsi="Arial" w:cs="Arial"/>
        </w:rPr>
        <w:fldChar w:fldCharType="begin"/>
      </w:r>
      <w:r w:rsidR="00F6794F">
        <w:rPr>
          <w:rFonts w:ascii="Arial" w:hAnsi="Arial" w:cs="Arial"/>
        </w:rPr>
        <w:instrText xml:space="preserve"> ADDIN ZOTERO_ITEM CSL_CITATION {"citationID":"EIdjWSVS","properties":{"formattedCitation":"[10]","plainCitation":"[10]","noteIndex":0},"citationItems":[{"id":"KL15DYhl/6jKnaCFI","uris":["http://zotero.org/users/local/V8e1vJQi/items/LBF9FW75"],"itemData":{"id":136,"type":"article-journal","abstract":"The knowledge on thermo-kinetics, synergistic effect, and reaction mechanism of pyrolysis/co-pyrolysis of biomass with plastics is crucial for designing efﬁcient reactor system and subsequently the pyrolysis/co-pyrolysis process. The present work explores thermal response, kinetics, reaction mechanism and thermodynamic analysis of pyrolysis and co-pyrolysis of individual corn cob (CC) and polyethylene (PE), and their blend in the ratio of 3:1 (w/w). Thermogravimetric analysis (TGA) data was obtained under inert atmosphere at various heating rates of 10, 20, and 30 °C/min and synergistic effect in the co-pyrolysis of CC and PE is discussed. The obtained TGA data was processed using various model-free isoconversional methods like KAS, FWO, Friedman, Starink, and Vyazovkin for determination of kinetics of pyrolysis/co-pyrolysis process of CC and PE. Average activation energy for CC pyrolysis was estimated to be 240 ± 51.25 kJ/mol, 240 ± 51.51 kJ/mol, 237 ± 49.67 kJ/mol, and 245 ± 52.10 kJ/mol according to KAS, Starink, FWO, and Vyazovkin models, respectively. Statistical analysis showed that the variation in reported values of activation energy was not signiﬁcantly different (p = 0.994). Similar statistically insigniﬁcant difference was also observed for pyrolysis of PE and co-pyrolysis of CC and PE. Results showed that co-pyrolysis (CC + PE) requires 10% less activation energy than pyrolysis of CC alone. For the copyrolysis process, the extent of synergistic effect was discussed by difference in mass loss (ΔW). Investigation also revealed that residue left for co-pyrolysis of CC and PE is 50% less than pyrolysis of CC alone showing synergistic effect during co-pyrolysis. Thermodynamic parameters were calculated to illustrate complex mechanism of the process. Third order reaction, 3D diffusion Jander, and Ginstling–Brounshtein (D4) models were found to be best ﬁtted for CC pyrolysis, PE pyrolysis, and co-pyrolysis, respectively. Results obtained are expected to be useful in the design of corn cob and waste polyethylene co-pyrolysis systems.","container-title":"Science of The Total Environment","DOI":"10.1016/j.scitotenv.2021.147004","ISSN":"00489697","journalAbbreviation":"Science of The Total Environment","language":"en","page":"147004","source":"DOI.org (Crossref)","title":"Studies on individual pyrolysis and co-pyrolysis of corn cob and polyethylene: Thermal degradation behavior, possible synergism, kinetics, and thermodynamic analysis","title-short":"Studies on individual pyrolysis and co-pyrolysis of corn cob and polyethylene","volume":"783","author":[{"family":"Singh","given":"Sanjay"},{"family":"Patil","given":"Trilok"},{"family":"Tekade","given":"Shyam P."},{"family":"Gawande","given":"Manoj B."},{"family":"Sawarkar","given":"Ashish N."}],"issued":{"date-parts":[["2021",8]]}}}],"schema":"https://github.com/citation-style-language/schema/raw/master/csl-citation.json"} </w:instrText>
      </w:r>
      <w:r w:rsidR="00F6794F" w:rsidRPr="00C14910">
        <w:rPr>
          <w:rFonts w:ascii="Arial" w:hAnsi="Arial" w:cs="Arial"/>
        </w:rPr>
        <w:fldChar w:fldCharType="separate"/>
      </w:r>
      <w:r w:rsidR="00F6794F" w:rsidRPr="00C14910">
        <w:rPr>
          <w:rFonts w:ascii="Arial" w:hAnsi="Arial" w:cs="Arial"/>
        </w:rPr>
        <w:t>[10]</w:t>
      </w:r>
      <w:r w:rsidR="00F6794F" w:rsidRPr="00C14910">
        <w:rPr>
          <w:rFonts w:ascii="Arial" w:hAnsi="Arial" w:cs="Arial"/>
        </w:rPr>
        <w:fldChar w:fldCharType="end"/>
      </w:r>
      <w:r w:rsidR="00F6794F">
        <w:rPr>
          <w:rFonts w:ascii="Arial" w:hAnsi="Arial" w:cs="Arial"/>
        </w:rPr>
        <w:t>.</w:t>
      </w:r>
    </w:p>
    <w:p w:rsidR="003970B6" w:rsidRPr="00E35E13" w:rsidRDefault="007F2D25" w:rsidP="00917362">
      <w:pPr>
        <w:tabs>
          <w:tab w:val="left" w:pos="1420"/>
        </w:tabs>
        <w:jc w:val="both"/>
        <w:rPr>
          <w:rFonts w:ascii="Arial" w:hAnsi="Arial" w:cs="Arial"/>
          <w:lang w:val="fr-FR"/>
        </w:rPr>
      </w:pPr>
      <w:r w:rsidRPr="00E35E13">
        <w:rPr>
          <w:rFonts w:ascii="Arial" w:hAnsi="Arial" w:cs="Arial"/>
          <w:lang w:val="fr-FR"/>
        </w:rPr>
        <w:t>For</w:t>
      </w:r>
      <w:r w:rsidR="000E2BC9">
        <w:rPr>
          <w:rFonts w:ascii="Arial" w:hAnsi="Arial" w:cs="Arial"/>
          <w:lang w:val="fr-FR"/>
        </w:rPr>
        <w:t xml:space="preserve"> </w:t>
      </w:r>
      <w:r w:rsidRPr="00E35E13">
        <w:rPr>
          <w:rFonts w:ascii="Arial" w:hAnsi="Arial" w:cs="Arial"/>
          <w:lang w:val="fr-FR"/>
        </w:rPr>
        <w:t>THE</w:t>
      </w:r>
      <w:r w:rsidR="00917362">
        <w:rPr>
          <w:rFonts w:ascii="Arial" w:hAnsi="Arial" w:cs="Arial"/>
          <w:lang w:val="fr-FR"/>
        </w:rPr>
        <w:t xml:space="preserve"> </w:t>
      </w:r>
      <w:proofErr w:type="spellStart"/>
      <w:r w:rsidRPr="00917362">
        <w:rPr>
          <w:rFonts w:ascii="Arial" w:hAnsi="Arial" w:cs="Arial"/>
          <w:bCs/>
          <w:lang w:val="fr-FR"/>
        </w:rPr>
        <w:t>polyethylene</w:t>
      </w:r>
      <w:proofErr w:type="spellEnd"/>
      <w:r w:rsidRPr="00917362">
        <w:rPr>
          <w:rFonts w:ascii="Arial" w:hAnsi="Arial" w:cs="Arial"/>
          <w:lang w:val="fr-FR"/>
        </w:rPr>
        <w:t>,</w:t>
      </w:r>
      <w:r w:rsidRPr="00E35E13">
        <w:rPr>
          <w:rFonts w:ascii="Arial" w:hAnsi="Arial" w:cs="Arial"/>
          <w:lang w:val="fr-FR"/>
        </w:rPr>
        <w:t xml:space="preserve"> L'</w:t>
      </w:r>
      <w:proofErr w:type="spellStart"/>
      <w:r w:rsidRPr="00E35E13">
        <w:rPr>
          <w:rFonts w:ascii="Arial" w:hAnsi="Arial" w:cs="Arial"/>
          <w:lang w:val="fr-FR"/>
        </w:rPr>
        <w:t>Ea</w:t>
      </w:r>
      <w:proofErr w:type="spellEnd"/>
      <w:r w:rsidR="000E2BC9">
        <w:rPr>
          <w:rFonts w:ascii="Arial" w:hAnsi="Arial" w:cs="Arial"/>
          <w:lang w:val="fr-FR"/>
        </w:rPr>
        <w:t xml:space="preserve"> </w:t>
      </w:r>
      <w:proofErr w:type="spellStart"/>
      <w:r w:rsidRPr="00E35E13">
        <w:rPr>
          <w:rFonts w:ascii="Arial" w:hAnsi="Arial" w:cs="Arial"/>
          <w:lang w:val="fr-FR"/>
        </w:rPr>
        <w:t>average</w:t>
      </w:r>
      <w:proofErr w:type="spellEnd"/>
      <w:r w:rsidRPr="00E35E13">
        <w:rPr>
          <w:rFonts w:ascii="Arial" w:hAnsi="Arial" w:cs="Arial"/>
          <w:lang w:val="fr-FR"/>
        </w:rPr>
        <w:t xml:space="preserve"> </w:t>
      </w:r>
      <w:proofErr w:type="spellStart"/>
      <w:r w:rsidRPr="00E35E13">
        <w:rPr>
          <w:rFonts w:ascii="Arial" w:hAnsi="Arial" w:cs="Arial"/>
          <w:lang w:val="fr-FR"/>
        </w:rPr>
        <w:t>is</w:t>
      </w:r>
      <w:proofErr w:type="spellEnd"/>
      <w:r w:rsidRPr="00E35E13">
        <w:rPr>
          <w:rFonts w:ascii="Arial" w:hAnsi="Arial" w:cs="Arial"/>
          <w:lang w:val="fr-FR"/>
        </w:rPr>
        <w:t xml:space="preserve"> </w:t>
      </w:r>
      <w:proofErr w:type="spellStart"/>
      <w:r w:rsidRPr="00E35E13">
        <w:rPr>
          <w:rFonts w:ascii="Arial" w:hAnsi="Arial" w:cs="Arial"/>
          <w:lang w:val="fr-FR"/>
        </w:rPr>
        <w:t>between</w:t>
      </w:r>
      <w:proofErr w:type="spellEnd"/>
      <w:r w:rsidR="00917362">
        <w:rPr>
          <w:rFonts w:ascii="Arial" w:hAnsi="Arial" w:cs="Arial"/>
          <w:lang w:val="fr-FR"/>
        </w:rPr>
        <w:t xml:space="preserve"> </w:t>
      </w:r>
      <w:r w:rsidRPr="00917362">
        <w:rPr>
          <w:rFonts w:ascii="Arial" w:hAnsi="Arial" w:cs="Arial"/>
          <w:bCs/>
          <w:lang w:val="fr-FR"/>
        </w:rPr>
        <w:t>148 and 171 kJ</w:t>
      </w:r>
      <w:r w:rsidRPr="00E35E13">
        <w:rPr>
          <w:rFonts w:ascii="Arial" w:hAnsi="Arial" w:cs="Arial"/>
          <w:b/>
          <w:bCs/>
          <w:lang w:val="fr-FR"/>
        </w:rPr>
        <w:t>/mol</w:t>
      </w:r>
      <w:r w:rsidR="00917362">
        <w:rPr>
          <w:rFonts w:ascii="Arial" w:hAnsi="Arial" w:cs="Arial"/>
          <w:b/>
          <w:bCs/>
          <w:lang w:val="fr-FR"/>
        </w:rPr>
        <w:t xml:space="preserve"> </w:t>
      </w:r>
      <w:proofErr w:type="spellStart"/>
      <w:r w:rsidRPr="00E35E13">
        <w:rPr>
          <w:rFonts w:ascii="Arial" w:hAnsi="Arial" w:cs="Arial"/>
          <w:lang w:val="fr-FR"/>
        </w:rPr>
        <w:t>depending</w:t>
      </w:r>
      <w:proofErr w:type="spellEnd"/>
      <w:r w:rsidRPr="00E35E13">
        <w:rPr>
          <w:rFonts w:ascii="Arial" w:hAnsi="Arial" w:cs="Arial"/>
          <w:lang w:val="fr-FR"/>
        </w:rPr>
        <w:t xml:space="preserve"> on the </w:t>
      </w:r>
      <w:proofErr w:type="spellStart"/>
      <w:r w:rsidRPr="00E35E13">
        <w:rPr>
          <w:rFonts w:ascii="Arial" w:hAnsi="Arial" w:cs="Arial"/>
          <w:lang w:val="fr-FR"/>
        </w:rPr>
        <w:t>method</w:t>
      </w:r>
      <w:proofErr w:type="spellEnd"/>
      <w:r w:rsidRPr="00E35E13">
        <w:rPr>
          <w:rFonts w:ascii="Arial" w:hAnsi="Arial" w:cs="Arial"/>
          <w:lang w:val="fr-FR"/>
        </w:rPr>
        <w:t xml:space="preserve"> </w:t>
      </w:r>
      <w:proofErr w:type="spellStart"/>
      <w:r w:rsidRPr="00E35E13">
        <w:rPr>
          <w:rFonts w:ascii="Arial" w:hAnsi="Arial" w:cs="Arial"/>
          <w:lang w:val="fr-FR"/>
        </w:rPr>
        <w:t>used</w:t>
      </w:r>
      <w:proofErr w:type="spellEnd"/>
      <w:r w:rsidRPr="00E35E13">
        <w:rPr>
          <w:rFonts w:ascii="Arial" w:hAnsi="Arial" w:cs="Arial"/>
          <w:lang w:val="fr-FR"/>
        </w:rPr>
        <w:t xml:space="preserve">, </w:t>
      </w:r>
      <w:proofErr w:type="spellStart"/>
      <w:r w:rsidRPr="00E35E13">
        <w:rPr>
          <w:rFonts w:ascii="Arial" w:hAnsi="Arial" w:cs="Arial"/>
          <w:lang w:val="fr-FR"/>
        </w:rPr>
        <w:t>with</w:t>
      </w:r>
      <w:proofErr w:type="spellEnd"/>
      <w:r w:rsidRPr="00E35E13">
        <w:rPr>
          <w:rFonts w:ascii="Arial" w:hAnsi="Arial" w:cs="Arial"/>
          <w:lang w:val="fr-FR"/>
        </w:rPr>
        <w:t xml:space="preserve"> </w:t>
      </w:r>
      <w:proofErr w:type="spellStart"/>
      <w:r w:rsidRPr="00E35E13">
        <w:rPr>
          <w:rFonts w:ascii="Arial" w:hAnsi="Arial" w:cs="Arial"/>
          <w:lang w:val="fr-FR"/>
        </w:rPr>
        <w:t>correlation</w:t>
      </w:r>
      <w:proofErr w:type="spellEnd"/>
      <w:r w:rsidRPr="00E35E13">
        <w:rPr>
          <w:rFonts w:ascii="Arial" w:hAnsi="Arial" w:cs="Arial"/>
          <w:lang w:val="fr-FR"/>
        </w:rPr>
        <w:t xml:space="preserve"> coefficients</w:t>
      </w:r>
      <w:r w:rsidR="00917362">
        <w:rPr>
          <w:rFonts w:ascii="Arial" w:hAnsi="Arial" w:cs="Arial"/>
          <w:lang w:val="fr-FR"/>
        </w:rPr>
        <w:t xml:space="preserve"> </w:t>
      </w:r>
      <w:r w:rsidRPr="00917362">
        <w:rPr>
          <w:rFonts w:ascii="Arial" w:hAnsi="Arial" w:cs="Arial"/>
          <w:bCs/>
          <w:lang w:val="fr-FR"/>
        </w:rPr>
        <w:t>R² &gt; 0.99</w:t>
      </w:r>
      <w:r w:rsidRPr="00E35E13">
        <w:rPr>
          <w:rFonts w:ascii="Arial" w:hAnsi="Arial" w:cs="Arial"/>
          <w:lang w:val="fr-FR"/>
        </w:rPr>
        <w:t>.</w:t>
      </w:r>
    </w:p>
    <w:p w:rsidR="003970B6" w:rsidRPr="00917362" w:rsidRDefault="007F2D25" w:rsidP="00917362">
      <w:pPr>
        <w:tabs>
          <w:tab w:val="left" w:pos="1420"/>
        </w:tabs>
        <w:jc w:val="both"/>
        <w:rPr>
          <w:rFonts w:ascii="Arial" w:hAnsi="Arial" w:cs="Arial"/>
          <w:lang w:val="fr-FR"/>
        </w:rPr>
      </w:pPr>
      <w:r w:rsidRPr="00E35E13">
        <w:rPr>
          <w:rFonts w:ascii="Arial" w:hAnsi="Arial" w:cs="Arial"/>
          <w:lang w:val="fr-FR"/>
        </w:rPr>
        <w:t>For</w:t>
      </w:r>
      <w:r w:rsidR="000E2BC9">
        <w:rPr>
          <w:rFonts w:ascii="Arial" w:hAnsi="Arial" w:cs="Arial"/>
          <w:lang w:val="fr-FR"/>
        </w:rPr>
        <w:t xml:space="preserve"> </w:t>
      </w:r>
      <w:proofErr w:type="spellStart"/>
      <w:r w:rsidRPr="00E35E13">
        <w:rPr>
          <w:rFonts w:ascii="Arial" w:hAnsi="Arial" w:cs="Arial"/>
          <w:lang w:val="fr-FR"/>
        </w:rPr>
        <w:t>there</w:t>
      </w:r>
      <w:proofErr w:type="spellEnd"/>
      <w:r w:rsidR="000E2BC9">
        <w:rPr>
          <w:rFonts w:ascii="Arial" w:hAnsi="Arial" w:cs="Arial"/>
          <w:lang w:val="fr-FR"/>
        </w:rPr>
        <w:t xml:space="preserve"> </w:t>
      </w:r>
      <w:r w:rsidRPr="000E2BC9">
        <w:rPr>
          <w:rFonts w:ascii="Arial" w:hAnsi="Arial" w:cs="Arial"/>
          <w:bCs/>
          <w:lang w:val="fr-FR"/>
        </w:rPr>
        <w:t>corn cob</w:t>
      </w:r>
      <w:r w:rsidRPr="00E35E13">
        <w:rPr>
          <w:rFonts w:ascii="Arial" w:hAnsi="Arial" w:cs="Arial"/>
          <w:lang w:val="fr-FR"/>
        </w:rPr>
        <w:t>, L'</w:t>
      </w:r>
      <w:proofErr w:type="spellStart"/>
      <w:r w:rsidRPr="00E35E13">
        <w:rPr>
          <w:rFonts w:ascii="Arial" w:hAnsi="Arial" w:cs="Arial"/>
          <w:lang w:val="fr-FR"/>
        </w:rPr>
        <w:t>Ea</w:t>
      </w:r>
      <w:proofErr w:type="spellEnd"/>
      <w:r w:rsidR="000E2BC9">
        <w:rPr>
          <w:rFonts w:ascii="Arial" w:hAnsi="Arial" w:cs="Arial"/>
          <w:lang w:val="fr-FR"/>
        </w:rPr>
        <w:t xml:space="preserve"> </w:t>
      </w:r>
      <w:proofErr w:type="spellStart"/>
      <w:r w:rsidRPr="00E35E13">
        <w:rPr>
          <w:rFonts w:ascii="Arial" w:hAnsi="Arial" w:cs="Arial"/>
          <w:lang w:val="fr-FR"/>
        </w:rPr>
        <w:t>average</w:t>
      </w:r>
      <w:proofErr w:type="spellEnd"/>
      <w:r w:rsidRPr="00E35E13">
        <w:rPr>
          <w:rFonts w:ascii="Arial" w:hAnsi="Arial" w:cs="Arial"/>
          <w:lang w:val="fr-FR"/>
        </w:rPr>
        <w:t xml:space="preserve"> </w:t>
      </w:r>
      <w:proofErr w:type="spellStart"/>
      <w:r w:rsidRPr="00E35E13">
        <w:rPr>
          <w:rFonts w:ascii="Arial" w:hAnsi="Arial" w:cs="Arial"/>
          <w:lang w:val="fr-FR"/>
        </w:rPr>
        <w:t>is</w:t>
      </w:r>
      <w:proofErr w:type="spellEnd"/>
      <w:r w:rsidRPr="00E35E13">
        <w:rPr>
          <w:rFonts w:ascii="Arial" w:hAnsi="Arial" w:cs="Arial"/>
          <w:lang w:val="fr-FR"/>
        </w:rPr>
        <w:t xml:space="preserve"> </w:t>
      </w:r>
      <w:proofErr w:type="spellStart"/>
      <w:r w:rsidRPr="00E35E13">
        <w:rPr>
          <w:rFonts w:ascii="Arial" w:hAnsi="Arial" w:cs="Arial"/>
          <w:lang w:val="fr-FR"/>
        </w:rPr>
        <w:t>slightly</w:t>
      </w:r>
      <w:proofErr w:type="spellEnd"/>
      <w:r w:rsidRPr="00E35E13">
        <w:rPr>
          <w:rFonts w:ascii="Arial" w:hAnsi="Arial" w:cs="Arial"/>
          <w:lang w:val="fr-FR"/>
        </w:rPr>
        <w:t xml:space="preserve"> </w:t>
      </w:r>
      <w:proofErr w:type="spellStart"/>
      <w:r w:rsidRPr="00E35E13">
        <w:rPr>
          <w:rFonts w:ascii="Arial" w:hAnsi="Arial" w:cs="Arial"/>
          <w:lang w:val="fr-FR"/>
        </w:rPr>
        <w:t>higher</w:t>
      </w:r>
      <w:proofErr w:type="spellEnd"/>
      <w:r w:rsidRPr="00E35E13">
        <w:rPr>
          <w:rFonts w:ascii="Arial" w:hAnsi="Arial" w:cs="Arial"/>
          <w:lang w:val="fr-FR"/>
        </w:rPr>
        <w:t xml:space="preserve">, </w:t>
      </w:r>
      <w:proofErr w:type="spellStart"/>
      <w:r w:rsidRPr="00E35E13">
        <w:rPr>
          <w:rFonts w:ascii="Arial" w:hAnsi="Arial" w:cs="Arial"/>
          <w:lang w:val="fr-FR"/>
        </w:rPr>
        <w:t>varying</w:t>
      </w:r>
      <w:proofErr w:type="spellEnd"/>
      <w:r w:rsidRPr="00E35E13">
        <w:rPr>
          <w:rFonts w:ascii="Arial" w:hAnsi="Arial" w:cs="Arial"/>
          <w:lang w:val="fr-FR"/>
        </w:rPr>
        <w:t xml:space="preserve"> </w:t>
      </w:r>
      <w:proofErr w:type="spellStart"/>
      <w:r w:rsidRPr="00E35E13">
        <w:rPr>
          <w:rFonts w:ascii="Arial" w:hAnsi="Arial" w:cs="Arial"/>
          <w:lang w:val="fr-FR"/>
        </w:rPr>
        <w:t>between</w:t>
      </w:r>
      <w:proofErr w:type="spellEnd"/>
      <w:r w:rsidR="00917362">
        <w:rPr>
          <w:rFonts w:ascii="Arial" w:hAnsi="Arial" w:cs="Arial"/>
          <w:lang w:val="fr-FR"/>
        </w:rPr>
        <w:t xml:space="preserve"> </w:t>
      </w:r>
      <w:r w:rsidRPr="00917362">
        <w:rPr>
          <w:rFonts w:ascii="Arial" w:hAnsi="Arial" w:cs="Arial"/>
          <w:bCs/>
          <w:lang w:val="fr-FR"/>
        </w:rPr>
        <w:t>238 and 248 kJ/mol</w:t>
      </w:r>
      <w:r w:rsidRPr="00917362">
        <w:rPr>
          <w:rFonts w:ascii="Arial" w:hAnsi="Arial" w:cs="Arial"/>
          <w:lang w:val="fr-FR"/>
        </w:rPr>
        <w:t>,</w:t>
      </w:r>
      <w:r w:rsidRPr="00E35E13">
        <w:rPr>
          <w:rFonts w:ascii="Arial" w:hAnsi="Arial" w:cs="Arial"/>
          <w:lang w:val="fr-FR"/>
        </w:rPr>
        <w:t xml:space="preserve"> </w:t>
      </w:r>
      <w:proofErr w:type="spellStart"/>
      <w:r w:rsidRPr="00E35E13">
        <w:rPr>
          <w:rFonts w:ascii="Arial" w:hAnsi="Arial" w:cs="Arial"/>
          <w:lang w:val="fr-FR"/>
        </w:rPr>
        <w:t>depending</w:t>
      </w:r>
      <w:proofErr w:type="spellEnd"/>
      <w:r w:rsidRPr="00E35E13">
        <w:rPr>
          <w:rFonts w:ascii="Arial" w:hAnsi="Arial" w:cs="Arial"/>
          <w:lang w:val="fr-FR"/>
        </w:rPr>
        <w:t xml:space="preserve"> on the </w:t>
      </w:r>
      <w:proofErr w:type="spellStart"/>
      <w:r w:rsidRPr="00E35E13">
        <w:rPr>
          <w:rFonts w:ascii="Arial" w:hAnsi="Arial" w:cs="Arial"/>
          <w:lang w:val="fr-FR"/>
        </w:rPr>
        <w:t>methods</w:t>
      </w:r>
      <w:proofErr w:type="spellEnd"/>
      <w:r w:rsidRPr="00E35E13">
        <w:rPr>
          <w:rFonts w:ascii="Arial" w:hAnsi="Arial" w:cs="Arial"/>
          <w:lang w:val="fr-FR"/>
        </w:rPr>
        <w:t>. The values ​​are</w:t>
      </w:r>
      <w:r w:rsidR="000E2BC9">
        <w:rPr>
          <w:rFonts w:ascii="Arial" w:hAnsi="Arial" w:cs="Arial"/>
          <w:lang w:val="fr-FR"/>
        </w:rPr>
        <w:t xml:space="preserve"> </w:t>
      </w:r>
      <w:r w:rsidRPr="000E2BC9">
        <w:rPr>
          <w:rFonts w:ascii="Arial" w:hAnsi="Arial" w:cs="Arial"/>
          <w:bCs/>
          <w:lang w:val="fr-FR"/>
        </w:rPr>
        <w:t>concordant</w:t>
      </w:r>
      <w:r w:rsidR="000E2BC9">
        <w:rPr>
          <w:rFonts w:ascii="Arial" w:hAnsi="Arial" w:cs="Arial"/>
          <w:b/>
          <w:bCs/>
          <w:lang w:val="fr-FR"/>
        </w:rPr>
        <w:t xml:space="preserve"> </w:t>
      </w:r>
      <w:proofErr w:type="spellStart"/>
      <w:r w:rsidRPr="00E35E13">
        <w:rPr>
          <w:rFonts w:ascii="Arial" w:hAnsi="Arial" w:cs="Arial"/>
          <w:lang w:val="fr-FR"/>
        </w:rPr>
        <w:t>between</w:t>
      </w:r>
      <w:proofErr w:type="spellEnd"/>
      <w:r w:rsidRPr="00E35E13">
        <w:rPr>
          <w:rFonts w:ascii="Arial" w:hAnsi="Arial" w:cs="Arial"/>
          <w:lang w:val="fr-FR"/>
        </w:rPr>
        <w:t xml:space="preserve"> </w:t>
      </w:r>
      <w:proofErr w:type="spellStart"/>
      <w:r w:rsidRPr="00E35E13">
        <w:rPr>
          <w:rFonts w:ascii="Arial" w:hAnsi="Arial" w:cs="Arial"/>
          <w:lang w:val="fr-FR"/>
        </w:rPr>
        <w:t>them</w:t>
      </w:r>
      <w:proofErr w:type="spellEnd"/>
      <w:r w:rsidRPr="00E35E13">
        <w:rPr>
          <w:rFonts w:ascii="Arial" w:hAnsi="Arial" w:cs="Arial"/>
          <w:lang w:val="fr-FR"/>
        </w:rPr>
        <w:t xml:space="preserve">, </w:t>
      </w:r>
      <w:proofErr w:type="spellStart"/>
      <w:r w:rsidRPr="00E35E13">
        <w:rPr>
          <w:rFonts w:ascii="Arial" w:hAnsi="Arial" w:cs="Arial"/>
          <w:lang w:val="fr-FR"/>
        </w:rPr>
        <w:t>with</w:t>
      </w:r>
      <w:proofErr w:type="spellEnd"/>
      <w:r w:rsidR="000E2BC9">
        <w:rPr>
          <w:rFonts w:ascii="Arial" w:hAnsi="Arial" w:cs="Arial"/>
          <w:lang w:val="fr-FR"/>
        </w:rPr>
        <w:t xml:space="preserve"> </w:t>
      </w:r>
      <w:r w:rsidRPr="00E35E13">
        <w:rPr>
          <w:rFonts w:ascii="Arial" w:hAnsi="Arial" w:cs="Arial"/>
          <w:b/>
          <w:bCs/>
          <w:lang w:val="fr-FR"/>
        </w:rPr>
        <w:t xml:space="preserve">good </w:t>
      </w:r>
      <w:r w:rsidRPr="00917362">
        <w:rPr>
          <w:rFonts w:ascii="Arial" w:hAnsi="Arial" w:cs="Arial"/>
          <w:bCs/>
          <w:lang w:val="fr-FR"/>
        </w:rPr>
        <w:t>R² (≥ 0.966)</w:t>
      </w:r>
      <w:r w:rsidR="00917362" w:rsidRPr="00917362">
        <w:rPr>
          <w:rFonts w:ascii="Arial" w:hAnsi="Arial" w:cs="Arial"/>
          <w:bCs/>
          <w:lang w:val="fr-FR"/>
        </w:rPr>
        <w:t xml:space="preserve"> </w:t>
      </w:r>
      <w:r w:rsidRPr="00917362">
        <w:rPr>
          <w:rFonts w:ascii="Arial" w:hAnsi="Arial" w:cs="Arial"/>
          <w:lang w:val="fr-FR"/>
        </w:rPr>
        <w:t xml:space="preserve">and good agreement </w:t>
      </w:r>
      <w:proofErr w:type="spellStart"/>
      <w:r w:rsidRPr="00917362">
        <w:rPr>
          <w:rFonts w:ascii="Arial" w:hAnsi="Arial" w:cs="Arial"/>
          <w:lang w:val="fr-FR"/>
        </w:rPr>
        <w:t>with</w:t>
      </w:r>
      <w:proofErr w:type="spellEnd"/>
      <w:r w:rsidRPr="00917362">
        <w:rPr>
          <w:rFonts w:ascii="Arial" w:hAnsi="Arial" w:cs="Arial"/>
          <w:lang w:val="fr-FR"/>
        </w:rPr>
        <w:t xml:space="preserve"> </w:t>
      </w:r>
      <w:proofErr w:type="spellStart"/>
      <w:r w:rsidRPr="00917362">
        <w:rPr>
          <w:rFonts w:ascii="Arial" w:hAnsi="Arial" w:cs="Arial"/>
          <w:lang w:val="fr-FR"/>
        </w:rPr>
        <w:t>previous</w:t>
      </w:r>
      <w:proofErr w:type="spellEnd"/>
      <w:r w:rsidRPr="00917362">
        <w:rPr>
          <w:rFonts w:ascii="Arial" w:hAnsi="Arial" w:cs="Arial"/>
          <w:lang w:val="fr-FR"/>
        </w:rPr>
        <w:t xml:space="preserve"> data.</w:t>
      </w:r>
    </w:p>
    <w:p w:rsidR="003970B6" w:rsidRPr="00E35E13" w:rsidRDefault="007F2D25" w:rsidP="00917362">
      <w:pPr>
        <w:tabs>
          <w:tab w:val="left" w:pos="1420"/>
        </w:tabs>
        <w:jc w:val="both"/>
        <w:rPr>
          <w:rFonts w:ascii="Arial" w:hAnsi="Arial" w:cs="Arial"/>
          <w:lang w:val="fr-FR"/>
        </w:rPr>
      </w:pPr>
      <w:r w:rsidRPr="00E35E13">
        <w:rPr>
          <w:rFonts w:ascii="Arial" w:hAnsi="Arial" w:cs="Arial"/>
          <w:lang w:val="fr-FR"/>
        </w:rPr>
        <w:t>For the</w:t>
      </w:r>
      <w:r w:rsidR="000E2BC9">
        <w:rPr>
          <w:rFonts w:ascii="Arial" w:hAnsi="Arial" w:cs="Arial"/>
          <w:lang w:val="fr-FR"/>
        </w:rPr>
        <w:t xml:space="preserve"> </w:t>
      </w:r>
      <w:r w:rsidRPr="000E2BC9">
        <w:rPr>
          <w:rFonts w:ascii="Arial" w:hAnsi="Arial" w:cs="Arial"/>
          <w:bCs/>
          <w:lang w:val="fr-FR"/>
        </w:rPr>
        <w:t>CC + PE mixture</w:t>
      </w:r>
      <w:r w:rsidRPr="000E2BC9">
        <w:rPr>
          <w:rFonts w:ascii="Arial" w:hAnsi="Arial" w:cs="Arial"/>
          <w:lang w:val="fr-FR"/>
        </w:rPr>
        <w:t>,</w:t>
      </w:r>
      <w:r w:rsidRPr="00E35E13">
        <w:rPr>
          <w:rFonts w:ascii="Arial" w:hAnsi="Arial" w:cs="Arial"/>
          <w:lang w:val="fr-FR"/>
        </w:rPr>
        <w:t xml:space="preserve"> L'</w:t>
      </w:r>
      <w:proofErr w:type="spellStart"/>
      <w:r w:rsidRPr="00E35E13">
        <w:rPr>
          <w:rFonts w:ascii="Arial" w:hAnsi="Arial" w:cs="Arial"/>
          <w:lang w:val="fr-FR"/>
        </w:rPr>
        <w:t>Ea</w:t>
      </w:r>
      <w:proofErr w:type="spellEnd"/>
      <w:r w:rsidR="000E2BC9">
        <w:rPr>
          <w:rFonts w:ascii="Arial" w:hAnsi="Arial" w:cs="Arial"/>
          <w:lang w:val="fr-FR"/>
        </w:rPr>
        <w:t xml:space="preserve"> </w:t>
      </w:r>
      <w:proofErr w:type="spellStart"/>
      <w:r w:rsidRPr="00E35E13">
        <w:rPr>
          <w:rFonts w:ascii="Arial" w:hAnsi="Arial" w:cs="Arial"/>
          <w:lang w:val="fr-FR"/>
        </w:rPr>
        <w:t>average</w:t>
      </w:r>
      <w:proofErr w:type="spellEnd"/>
      <w:r w:rsidRPr="00E35E13">
        <w:rPr>
          <w:rFonts w:ascii="Arial" w:hAnsi="Arial" w:cs="Arial"/>
          <w:lang w:val="fr-FR"/>
        </w:rPr>
        <w:t xml:space="preserve"> varies </w:t>
      </w:r>
      <w:proofErr w:type="spellStart"/>
      <w:r w:rsidRPr="00E35E13">
        <w:rPr>
          <w:rFonts w:ascii="Arial" w:hAnsi="Arial" w:cs="Arial"/>
          <w:lang w:val="fr-FR"/>
        </w:rPr>
        <w:t>between</w:t>
      </w:r>
      <w:proofErr w:type="spellEnd"/>
      <w:r w:rsidR="00917362">
        <w:rPr>
          <w:rFonts w:ascii="Arial" w:hAnsi="Arial" w:cs="Arial"/>
          <w:lang w:val="fr-FR"/>
        </w:rPr>
        <w:t xml:space="preserve"> </w:t>
      </w:r>
      <w:r w:rsidRPr="000E2BC9">
        <w:rPr>
          <w:rFonts w:ascii="Arial" w:hAnsi="Arial" w:cs="Arial"/>
          <w:bCs/>
          <w:lang w:val="fr-FR"/>
        </w:rPr>
        <w:t>216 and 221 kJ/mol</w:t>
      </w:r>
      <w:r w:rsidRPr="000E2BC9">
        <w:rPr>
          <w:rFonts w:ascii="Arial" w:hAnsi="Arial" w:cs="Arial"/>
          <w:lang w:val="fr-FR"/>
        </w:rPr>
        <w:t xml:space="preserve">, </w:t>
      </w:r>
      <w:proofErr w:type="spellStart"/>
      <w:r w:rsidRPr="00E35E13">
        <w:rPr>
          <w:rFonts w:ascii="Arial" w:hAnsi="Arial" w:cs="Arial"/>
          <w:lang w:val="fr-FR"/>
        </w:rPr>
        <w:t>with</w:t>
      </w:r>
      <w:proofErr w:type="spellEnd"/>
      <w:r w:rsidR="000E2BC9">
        <w:rPr>
          <w:rFonts w:ascii="Arial" w:hAnsi="Arial" w:cs="Arial"/>
          <w:lang w:val="fr-FR"/>
        </w:rPr>
        <w:t xml:space="preserve"> </w:t>
      </w:r>
      <w:r w:rsidRPr="000E2BC9">
        <w:rPr>
          <w:rFonts w:ascii="Arial" w:hAnsi="Arial" w:cs="Arial"/>
          <w:bCs/>
          <w:lang w:val="fr-FR"/>
        </w:rPr>
        <w:t>high R²</w:t>
      </w:r>
      <w:r w:rsidRPr="00E35E13">
        <w:rPr>
          <w:rFonts w:ascii="Arial" w:hAnsi="Arial" w:cs="Arial"/>
          <w:b/>
          <w:bCs/>
          <w:lang w:val="fr-FR"/>
        </w:rPr>
        <w:t xml:space="preserve"> </w:t>
      </w:r>
      <w:r w:rsidRPr="000E2BC9">
        <w:rPr>
          <w:rFonts w:ascii="Arial" w:hAnsi="Arial" w:cs="Arial"/>
          <w:bCs/>
          <w:lang w:val="fr-FR"/>
        </w:rPr>
        <w:t>values</w:t>
      </w:r>
      <w:r w:rsidR="00917362">
        <w:rPr>
          <w:rFonts w:ascii="Arial" w:hAnsi="Arial" w:cs="Arial"/>
          <w:b/>
          <w:bCs/>
          <w:lang w:val="fr-FR"/>
        </w:rPr>
        <w:t xml:space="preserve"> </w:t>
      </w:r>
      <w:r w:rsidRPr="00E35E13">
        <w:rPr>
          <w:rFonts w:ascii="Arial" w:hAnsi="Arial" w:cs="Arial"/>
          <w:lang w:val="fr-FR"/>
        </w:rPr>
        <w:t xml:space="preserve">(up to 0.998), </w:t>
      </w:r>
      <w:proofErr w:type="spellStart"/>
      <w:r w:rsidRPr="00E35E13">
        <w:rPr>
          <w:rFonts w:ascii="Arial" w:hAnsi="Arial" w:cs="Arial"/>
          <w:lang w:val="fr-FR"/>
        </w:rPr>
        <w:t>indicating</w:t>
      </w:r>
      <w:proofErr w:type="spellEnd"/>
      <w:r w:rsidRPr="00E35E13">
        <w:rPr>
          <w:rFonts w:ascii="Arial" w:hAnsi="Arial" w:cs="Arial"/>
          <w:lang w:val="fr-FR"/>
        </w:rPr>
        <w:t xml:space="preserve"> a good fit.</w:t>
      </w:r>
      <w:r w:rsidRPr="00E35E13">
        <w:rPr>
          <w:rFonts w:ascii="Arial" w:hAnsi="Arial" w:cs="Arial"/>
          <w:lang w:val="fr-FR"/>
        </w:rPr>
        <w:tab/>
      </w:r>
    </w:p>
    <w:p w:rsidR="00E35E13" w:rsidRDefault="00E35E13" w:rsidP="002C46C1">
      <w:pPr>
        <w:tabs>
          <w:tab w:val="left" w:pos="1420"/>
        </w:tabs>
        <w:jc w:val="both"/>
        <w:rPr>
          <w:rFonts w:ascii="Arial" w:hAnsi="Arial" w:cs="Arial"/>
        </w:rPr>
      </w:pPr>
    </w:p>
    <w:p w:rsidR="00B27C47" w:rsidRPr="003F6197" w:rsidRDefault="00B27C47" w:rsidP="00FA1AF8">
      <w:pPr>
        <w:pStyle w:val="ListParagraph"/>
        <w:numPr>
          <w:ilvl w:val="0"/>
          <w:numId w:val="41"/>
        </w:numPr>
        <w:tabs>
          <w:tab w:val="left" w:pos="4047"/>
        </w:tabs>
        <w:spacing w:after="0" w:line="240" w:lineRule="auto"/>
        <w:jc w:val="both"/>
        <w:rPr>
          <w:rFonts w:ascii="Times New Roman" w:hAnsi="Times New Roman"/>
          <w:b/>
          <w:i/>
          <w:sz w:val="24"/>
        </w:rPr>
      </w:pPr>
      <w:proofErr w:type="spellStart"/>
      <w:r w:rsidRPr="003F6197">
        <w:rPr>
          <w:rFonts w:ascii="Times New Roman" w:hAnsi="Times New Roman"/>
          <w:b/>
          <w:i/>
          <w:sz w:val="24"/>
        </w:rPr>
        <w:t>Results</w:t>
      </w:r>
      <w:proofErr w:type="spellEnd"/>
      <w:r w:rsidRPr="003F6197">
        <w:rPr>
          <w:rFonts w:ascii="Times New Roman" w:hAnsi="Times New Roman"/>
          <w:b/>
          <w:i/>
          <w:sz w:val="24"/>
        </w:rPr>
        <w:t xml:space="preserve"> of the </w:t>
      </w:r>
      <w:proofErr w:type="spellStart"/>
      <w:r w:rsidRPr="003F6197">
        <w:rPr>
          <w:rFonts w:ascii="Times New Roman" w:hAnsi="Times New Roman"/>
          <w:b/>
          <w:i/>
          <w:sz w:val="24"/>
        </w:rPr>
        <w:t>kinetics</w:t>
      </w:r>
      <w:proofErr w:type="spellEnd"/>
      <w:r w:rsidRPr="003F6197">
        <w:rPr>
          <w:rFonts w:ascii="Times New Roman" w:hAnsi="Times New Roman"/>
          <w:b/>
          <w:i/>
          <w:sz w:val="24"/>
        </w:rPr>
        <w:t xml:space="preserve"> of thermal </w:t>
      </w:r>
      <w:proofErr w:type="spellStart"/>
      <w:r w:rsidRPr="003F6197">
        <w:rPr>
          <w:rFonts w:ascii="Times New Roman" w:hAnsi="Times New Roman"/>
          <w:b/>
          <w:i/>
          <w:sz w:val="24"/>
        </w:rPr>
        <w:t>decomposition</w:t>
      </w:r>
      <w:proofErr w:type="spellEnd"/>
      <w:r w:rsidRPr="003F6197">
        <w:rPr>
          <w:rFonts w:ascii="Times New Roman" w:hAnsi="Times New Roman"/>
          <w:b/>
          <w:i/>
          <w:sz w:val="24"/>
        </w:rPr>
        <w:t xml:space="preserve"> of </w:t>
      </w:r>
      <w:proofErr w:type="spellStart"/>
      <w:r w:rsidRPr="003F6197">
        <w:rPr>
          <w:rFonts w:ascii="Times New Roman" w:hAnsi="Times New Roman"/>
          <w:b/>
          <w:i/>
          <w:sz w:val="24"/>
        </w:rPr>
        <w:t>biomass</w:t>
      </w:r>
      <w:proofErr w:type="spellEnd"/>
      <w:r w:rsidRPr="003F6197">
        <w:rPr>
          <w:rFonts w:ascii="Times New Roman" w:hAnsi="Times New Roman"/>
          <w:b/>
          <w:i/>
          <w:sz w:val="24"/>
        </w:rPr>
        <w:t xml:space="preserve"> </w:t>
      </w:r>
      <w:proofErr w:type="spellStart"/>
      <w:r w:rsidRPr="003F6197">
        <w:rPr>
          <w:rFonts w:ascii="Times New Roman" w:hAnsi="Times New Roman"/>
          <w:b/>
          <w:i/>
          <w:sz w:val="24"/>
        </w:rPr>
        <w:t>residues</w:t>
      </w:r>
      <w:proofErr w:type="spellEnd"/>
      <w:r w:rsidRPr="003F6197">
        <w:rPr>
          <w:rFonts w:ascii="Times New Roman" w:hAnsi="Times New Roman"/>
          <w:b/>
          <w:i/>
          <w:sz w:val="24"/>
        </w:rPr>
        <w:t xml:space="preserve"> </w:t>
      </w:r>
      <w:proofErr w:type="spellStart"/>
      <w:r w:rsidRPr="003F6197">
        <w:rPr>
          <w:rFonts w:ascii="Times New Roman" w:hAnsi="Times New Roman"/>
          <w:b/>
          <w:i/>
          <w:sz w:val="24"/>
        </w:rPr>
        <w:t>from</w:t>
      </w:r>
      <w:proofErr w:type="spellEnd"/>
      <w:r w:rsidRPr="003F6197">
        <w:rPr>
          <w:rFonts w:ascii="Times New Roman" w:hAnsi="Times New Roman"/>
          <w:b/>
          <w:i/>
          <w:sz w:val="24"/>
        </w:rPr>
        <w:t xml:space="preserve"> </w:t>
      </w:r>
      <w:proofErr w:type="spellStart"/>
      <w:r w:rsidRPr="003F6197">
        <w:rPr>
          <w:rFonts w:ascii="Times New Roman" w:hAnsi="Times New Roman"/>
          <w:b/>
          <w:i/>
          <w:sz w:val="24"/>
        </w:rPr>
        <w:t>some</w:t>
      </w:r>
      <w:proofErr w:type="spellEnd"/>
      <w:r w:rsidRPr="003F6197">
        <w:rPr>
          <w:rFonts w:ascii="Times New Roman" w:hAnsi="Times New Roman"/>
          <w:b/>
          <w:i/>
          <w:sz w:val="24"/>
        </w:rPr>
        <w:t xml:space="preserve"> </w:t>
      </w:r>
      <w:proofErr w:type="spellStart"/>
      <w:r w:rsidRPr="003F6197">
        <w:rPr>
          <w:rFonts w:ascii="Times New Roman" w:hAnsi="Times New Roman"/>
          <w:b/>
          <w:i/>
          <w:sz w:val="24"/>
        </w:rPr>
        <w:t>authors</w:t>
      </w:r>
      <w:proofErr w:type="spellEnd"/>
    </w:p>
    <w:p w:rsidR="00B27C47" w:rsidRPr="00B27C47" w:rsidRDefault="00B27C47" w:rsidP="003F6197">
      <w:pPr>
        <w:tabs>
          <w:tab w:val="left" w:pos="4047"/>
        </w:tabs>
        <w:jc w:val="both"/>
        <w:rPr>
          <w:rFonts w:ascii="Arial" w:hAnsi="Arial" w:cs="Arial"/>
        </w:rPr>
      </w:pPr>
      <w:r w:rsidRPr="00B27C47">
        <w:rPr>
          <w:rFonts w:ascii="Arial" w:hAnsi="Arial" w:cs="Arial"/>
        </w:rPr>
        <w:t>Many researchers have explored the kinetics of various biomasses using different methods. Their main objective was to understand the reaction mechanisms during the pyrolysis of these biomasses with the aim of recovering them energetically. This study sought to determine the activation energies and the pre-exponential factor. Activation energy represents the minimum energy required for a chemical reaction to occur, thus indicating the sensitivity of the reaction to temperature</w:t>
      </w:r>
      <w:r w:rsidR="003F6197">
        <w:rPr>
          <w:rFonts w:ascii="Arial" w:hAnsi="Arial" w:cs="Arial"/>
        </w:rPr>
        <w:t xml:space="preserve"> </w:t>
      </w:r>
      <w:r w:rsidRPr="00B27C47">
        <w:rPr>
          <w:rFonts w:ascii="Arial" w:hAnsi="Arial" w:cs="Arial"/>
        </w:rPr>
        <w:fldChar w:fldCharType="begin"/>
      </w:r>
      <w:r w:rsidR="007819CF">
        <w:rPr>
          <w:rFonts w:ascii="Arial" w:hAnsi="Arial" w:cs="Arial"/>
        </w:rPr>
        <w:instrText xml:space="preserve"> ADDIN ZOTERO_ITEM CSL_CITATION {"citationID":"PtX94YHc","properties":{"formattedCitation":"[31]","plainCitation":"[31]","noteIndex":0},"citationItems":[{"id":"KL15DYhl/5htjwjDs","uris":["http://zotero.org/users/local/V8e1vJQi/items/DWD493ZI"],"itemData":{"id":113,"type":"article-journal","language":"fr","source":"Zotero","title":"Étude hydrodynamique et valorisation énergétique par transformation thermochimique de déchets de biomasse pour l’alimentation d’une briqueterie","author":[{"family":"Diedhiou","given":"Par Ansoumane"}]}}],"schema":"https://github.com/citation-style-language/schema/raw/master/csl-citation.json"} </w:instrText>
      </w:r>
      <w:r w:rsidRPr="00B27C47">
        <w:rPr>
          <w:rFonts w:ascii="Arial" w:hAnsi="Arial" w:cs="Arial"/>
        </w:rPr>
        <w:fldChar w:fldCharType="separate"/>
      </w:r>
      <w:r w:rsidR="007819CF" w:rsidRPr="007819CF">
        <w:rPr>
          <w:rFonts w:ascii="Arial" w:hAnsi="Arial" w:cs="Arial"/>
        </w:rPr>
        <w:t>[31]</w:t>
      </w:r>
      <w:r w:rsidRPr="00B27C47">
        <w:rPr>
          <w:rFonts w:ascii="Arial" w:hAnsi="Arial" w:cs="Arial"/>
        </w:rPr>
        <w:fldChar w:fldCharType="end"/>
      </w:r>
      <w:r w:rsidR="003F6197">
        <w:rPr>
          <w:rFonts w:ascii="Arial" w:hAnsi="Arial" w:cs="Arial"/>
        </w:rPr>
        <w:t>.</w:t>
      </w:r>
      <w:r w:rsidR="00E55494">
        <w:rPr>
          <w:rFonts w:ascii="Arial" w:hAnsi="Arial" w:cs="Arial"/>
        </w:rPr>
        <w:t xml:space="preserve"> </w:t>
      </w:r>
      <w:r w:rsidRPr="00B27C47">
        <w:rPr>
          <w:rFonts w:ascii="Arial" w:hAnsi="Arial" w:cs="Arial"/>
        </w:rPr>
        <w:t>Knowing this energy makes it possible to predict at what temperature a chemical reaction, such as thermal decomposition or pyrolysis, will begin significantly</w:t>
      </w:r>
      <w:r w:rsidRPr="00B27C47">
        <w:rPr>
          <w:rFonts w:ascii="Arial" w:hAnsi="Arial" w:cs="Arial"/>
        </w:rPr>
        <w:fldChar w:fldCharType="begin"/>
      </w:r>
      <w:r w:rsidR="007819CF">
        <w:rPr>
          <w:rFonts w:ascii="Arial" w:hAnsi="Arial" w:cs="Arial"/>
        </w:rPr>
        <w:instrText xml:space="preserve"> ADDIN ZOTERO_ITEM CSL_CITATION {"citationID":"YJjyzdRV","properties":{"formattedCitation":"[31]","plainCitation":"[31]","noteIndex":0},"citationItems":[{"id":"KL15DYhl/5htjwjDs","uris":["http://zotero.org/users/local/V8e1vJQi/items/DWD493ZI"],"itemData":{"id":113,"type":"article-journal","language":"fr","source":"Zotero","title":"Étude hydrodynamique et valorisation énergétique par transformation thermochimique de déchets de biomasse pour l’alimentation d’une briqueterie","author":[{"family":"Diedhiou","given":"Par Ansoumane"}]}}],"schema":"https://github.com/citation-style-language/schema/raw/master/csl-citation.json"} </w:instrText>
      </w:r>
      <w:r w:rsidRPr="00B27C47">
        <w:rPr>
          <w:rFonts w:ascii="Arial" w:hAnsi="Arial" w:cs="Arial"/>
        </w:rPr>
        <w:fldChar w:fldCharType="separate"/>
      </w:r>
      <w:r w:rsidR="007819CF" w:rsidRPr="007819CF">
        <w:rPr>
          <w:rFonts w:ascii="Arial" w:hAnsi="Arial" w:cs="Arial"/>
        </w:rPr>
        <w:t>[31]</w:t>
      </w:r>
      <w:r w:rsidRPr="00B27C47">
        <w:rPr>
          <w:rFonts w:ascii="Arial" w:hAnsi="Arial" w:cs="Arial"/>
        </w:rPr>
        <w:fldChar w:fldCharType="end"/>
      </w:r>
      <w:r w:rsidR="003F6197">
        <w:rPr>
          <w:rFonts w:ascii="Arial" w:hAnsi="Arial" w:cs="Arial"/>
        </w:rPr>
        <w:t>.</w:t>
      </w:r>
      <w:r w:rsidRPr="00B27C47">
        <w:rPr>
          <w:rFonts w:ascii="Arial" w:hAnsi="Arial" w:cs="Arial"/>
        </w:rPr>
        <w:t>The higher the activation energy, the higher the temperature required for the reaction to occur. This makes it possible to optimize the conditions of industrial processes, particularly in the production of energy from biomass, by adjusting the temperature to maximize the efficiency of the reactions</w:t>
      </w:r>
      <w:r w:rsidR="000E2BC9">
        <w:rPr>
          <w:rFonts w:ascii="Arial" w:hAnsi="Arial" w:cs="Arial"/>
        </w:rPr>
        <w:t xml:space="preserve"> </w:t>
      </w:r>
      <w:r w:rsidRPr="00B27C47">
        <w:rPr>
          <w:rFonts w:ascii="Arial" w:hAnsi="Arial" w:cs="Arial"/>
        </w:rPr>
        <w:fldChar w:fldCharType="begin"/>
      </w:r>
      <w:r w:rsidR="007819CF">
        <w:rPr>
          <w:rFonts w:ascii="Arial" w:hAnsi="Arial" w:cs="Arial"/>
        </w:rPr>
        <w:instrText xml:space="preserve"> ADDIN ZOTERO_ITEM CSL_CITATION {"citationID":"CUTqyLMT","properties":{"formattedCitation":"[17]","plainCitation":"[17]","noteIndex":0},"citationItems":[{"id":"KL15DYhl/CxjG72ix","uris":["http://zotero.org/users/local/V8e1vJQi/items/N8VNIS2S"],"itemData":{"id":132,"type":"article-journal","abstract":"The orange and potato peels can be evaluated as raw materials in pyrolysis process to produce sustainable fuels and chemicals. The present study focuses on determining pyrolysis characteristics and kinetics of orange and potato peels. Thus, thermogravimetric analyses of said peels were studied from ambient temperature to 650°C at 2, 10 and 15°C/min heating rates under N2 atmosphere. The studies revealed that the thermal decomposition of orange peels occurs in four stages whereas potato peels decompose in three stages. The second and third stages of orange peel pyrolysis and the second stage of potato peel pyrolysis were determined as active pyrolysis stages. The kinetic parameters of active pyrolysis stages were calculated by direct Arrhenius plot, Coats-Redfern, Friedman and Kissinger-Akahira-Sunose methods. The average activation energies calculated by all methods were relatively in good agreement for second stages, but the same cannot be said for the third stage of orange peel pyrolysis. Considering the conversion values based on volatiles and the calculated average activation energy values, the orange and potato peels were projected to be valuable and sustainable energy sources which can be evaluated by pyrolysis process.","container-title":"Biomass Conversion and Biorefinery","DOI":"10.1007/s13399-021-01387-z","ISSN":"2190-6815, 2190-6823","issue":"2","journalAbbreviation":"Biomass Conv. Bioref.","language":"en","page":"501-514","source":"DOI.org (Crossref)","title":"Evaluation of orange and potato peels as an energy source: a comprehensive study on their pyrolysis characteristics and kinetics","title-short":"Evaluation of orange and potato peels as an energy source","volume":"12","author":[{"family":"Açıkalın","given":"Korkut"}],"issued":{"date-parts":[["2022",2]]}}}],"schema":"https://github.com/citation-style-language/schema/raw/master/csl-citation.json"} </w:instrText>
      </w:r>
      <w:r w:rsidRPr="00B27C47">
        <w:rPr>
          <w:rFonts w:ascii="Arial" w:hAnsi="Arial" w:cs="Arial"/>
        </w:rPr>
        <w:fldChar w:fldCharType="separate"/>
      </w:r>
      <w:r w:rsidR="007819CF" w:rsidRPr="007819CF">
        <w:rPr>
          <w:rFonts w:ascii="Arial" w:hAnsi="Arial" w:cs="Arial"/>
        </w:rPr>
        <w:t>[17]</w:t>
      </w:r>
      <w:r w:rsidRPr="00B27C47">
        <w:rPr>
          <w:rFonts w:ascii="Arial" w:hAnsi="Arial" w:cs="Arial"/>
        </w:rPr>
        <w:fldChar w:fldCharType="end"/>
      </w:r>
      <w:r w:rsidRPr="00B27C47">
        <w:rPr>
          <w:rFonts w:ascii="Arial" w:hAnsi="Arial" w:cs="Arial"/>
        </w:rPr>
        <w:t>.</w:t>
      </w:r>
    </w:p>
    <w:p w:rsidR="00B27C47" w:rsidRPr="00B27C47" w:rsidRDefault="00B27C47" w:rsidP="003F6197">
      <w:pPr>
        <w:tabs>
          <w:tab w:val="left" w:pos="4047"/>
        </w:tabs>
        <w:jc w:val="both"/>
        <w:rPr>
          <w:rFonts w:ascii="Arial" w:hAnsi="Arial" w:cs="Arial"/>
        </w:rPr>
      </w:pPr>
      <w:r w:rsidRPr="00B27C47">
        <w:rPr>
          <w:rFonts w:ascii="Arial" w:hAnsi="Arial" w:cs="Arial"/>
        </w:rPr>
        <w:t xml:space="preserve">The pre-exponential factor, on the other hand, is a term in the kinetic model that describes the frequency at which molecules react when they have the necessary energy. This factor, which </w:t>
      </w:r>
      <w:proofErr w:type="gramStart"/>
      <w:r w:rsidRPr="00B27C47">
        <w:rPr>
          <w:rFonts w:ascii="Arial" w:hAnsi="Arial" w:cs="Arial"/>
        </w:rPr>
        <w:t>takes into account</w:t>
      </w:r>
      <w:proofErr w:type="gramEnd"/>
      <w:r w:rsidRPr="00B27C47">
        <w:rPr>
          <w:rFonts w:ascii="Arial" w:hAnsi="Arial" w:cs="Arial"/>
        </w:rPr>
        <w:t xml:space="preserve"> molecular collisions and the orientation of the reactants, provides information on the probability of a reaction occurring, independent of the required energy. It </w:t>
      </w:r>
      <w:r w:rsidRPr="00B27C47">
        <w:rPr>
          <w:rFonts w:ascii="Arial" w:hAnsi="Arial" w:cs="Arial"/>
        </w:rPr>
        <w:lastRenderedPageBreak/>
        <w:t>helps to better understand the stereospecific or geometric aspects of reactions, as well as the frequency of effective collisions between reactant molecules, which is essential for predicting the reaction rate and for sizing chemical reactors in industrial applications</w:t>
      </w:r>
      <w:r w:rsidR="003F6197">
        <w:rPr>
          <w:rFonts w:ascii="Arial" w:hAnsi="Arial" w:cs="Arial"/>
        </w:rPr>
        <w:t xml:space="preserve"> </w:t>
      </w:r>
      <w:r w:rsidRPr="00B27C47">
        <w:rPr>
          <w:rFonts w:ascii="Arial" w:hAnsi="Arial" w:cs="Arial"/>
        </w:rPr>
        <w:fldChar w:fldCharType="begin"/>
      </w:r>
      <w:r w:rsidR="007819CF">
        <w:rPr>
          <w:rFonts w:ascii="Arial" w:hAnsi="Arial" w:cs="Arial"/>
        </w:rPr>
        <w:instrText xml:space="preserve"> ADDIN ZOTERO_ITEM CSL_CITATION {"citationID":"wlqA7B8Q","properties":{"formattedCitation":"[17]","plainCitation":"[17]","noteIndex":0},"citationItems":[{"id":"KL15DYhl/CxjG72ix","uris":["http://zotero.org/users/local/V8e1vJQi/items/N8VNIS2S"],"itemData":{"id":132,"type":"article-journal","abstract":"The orange and potato peels can be evaluated as raw materials in pyrolysis process to produce sustainable fuels and chemicals. The present study focuses on determining pyrolysis characteristics and kinetics of orange and potato peels. Thus, thermogravimetric analyses of said peels were studied from ambient temperature to 650°C at 2, 10 and 15°C/min heating rates under N2 atmosphere. The studies revealed that the thermal decomposition of orange peels occurs in four stages whereas potato peels decompose in three stages. The second and third stages of orange peel pyrolysis and the second stage of potato peel pyrolysis were determined as active pyrolysis stages. The kinetic parameters of active pyrolysis stages were calculated by direct Arrhenius plot, Coats-Redfern, Friedman and Kissinger-Akahira-Sunose methods. The average activation energies calculated by all methods were relatively in good agreement for second stages, but the same cannot be said for the third stage of orange peel pyrolysis. Considering the conversion values based on volatiles and the calculated average activation energy values, the orange and potato peels were projected to be valuable and sustainable energy sources which can be evaluated by pyrolysis process.","container-title":"Biomass Conversion and Biorefinery","DOI":"10.1007/s13399-021-01387-z","ISSN":"2190-6815, 2190-6823","issue":"2","journalAbbreviation":"Biomass Conv. Bioref.","language":"en","page":"501-514","source":"DOI.org (Crossref)","title":"Evaluation of orange and potato peels as an energy source: a comprehensive study on their pyrolysis characteristics and kinetics","title-short":"Evaluation of orange and potato peels as an energy source","volume":"12","author":[{"family":"Açıkalın","given":"Korkut"}],"issued":{"date-parts":[["2022",2]]}}}],"schema":"https://github.com/citation-style-language/schema/raw/master/csl-citation.json"} </w:instrText>
      </w:r>
      <w:r w:rsidRPr="00B27C47">
        <w:rPr>
          <w:rFonts w:ascii="Arial" w:hAnsi="Arial" w:cs="Arial"/>
        </w:rPr>
        <w:fldChar w:fldCharType="separate"/>
      </w:r>
      <w:r w:rsidR="007819CF" w:rsidRPr="007819CF">
        <w:rPr>
          <w:rFonts w:ascii="Arial" w:hAnsi="Arial" w:cs="Arial"/>
        </w:rPr>
        <w:t>[17]</w:t>
      </w:r>
      <w:r w:rsidRPr="00B27C47">
        <w:rPr>
          <w:rFonts w:ascii="Arial" w:hAnsi="Arial" w:cs="Arial"/>
        </w:rPr>
        <w:fldChar w:fldCharType="end"/>
      </w:r>
      <w:r w:rsidRPr="00B27C47">
        <w:rPr>
          <w:rFonts w:ascii="Arial" w:hAnsi="Arial" w:cs="Arial"/>
        </w:rPr>
        <w:t>.</w:t>
      </w:r>
    </w:p>
    <w:p w:rsidR="00B27C47" w:rsidRDefault="00B27C47" w:rsidP="003F6197">
      <w:pPr>
        <w:tabs>
          <w:tab w:val="left" w:pos="4047"/>
        </w:tabs>
        <w:jc w:val="both"/>
        <w:rPr>
          <w:rFonts w:ascii="Arial" w:hAnsi="Arial" w:cs="Arial"/>
        </w:rPr>
      </w:pPr>
      <w:r w:rsidRPr="00B27C47">
        <w:rPr>
          <w:rFonts w:ascii="Arial" w:hAnsi="Arial" w:cs="Arial"/>
        </w:rPr>
        <w:t xml:space="preserve">Table </w:t>
      </w:r>
      <w:r w:rsidR="00EF09BD">
        <w:rPr>
          <w:rFonts w:ascii="Arial" w:hAnsi="Arial" w:cs="Arial"/>
        </w:rPr>
        <w:t>3</w:t>
      </w:r>
      <w:r w:rsidRPr="00B27C47">
        <w:rPr>
          <w:rFonts w:ascii="Arial" w:hAnsi="Arial" w:cs="Arial"/>
        </w:rPr>
        <w:t xml:space="preserve"> presents the results of the thermal decomposition kinetics of certain biomasses.</w:t>
      </w:r>
    </w:p>
    <w:p w:rsidR="003F6197" w:rsidRPr="00B27C47" w:rsidRDefault="003F6197" w:rsidP="003F6197">
      <w:pPr>
        <w:tabs>
          <w:tab w:val="left" w:pos="1823"/>
        </w:tabs>
        <w:jc w:val="both"/>
        <w:rPr>
          <w:rFonts w:ascii="Arial" w:hAnsi="Arial" w:cs="Arial"/>
        </w:rPr>
      </w:pPr>
      <w:r>
        <w:rPr>
          <w:rFonts w:ascii="Arial" w:hAnsi="Arial" w:cs="Arial"/>
        </w:rPr>
        <w:tab/>
      </w:r>
    </w:p>
    <w:p w:rsidR="00B27C47" w:rsidRDefault="0000336B" w:rsidP="00B27C47">
      <w:pPr>
        <w:tabs>
          <w:tab w:val="left" w:pos="4047"/>
        </w:tabs>
        <w:jc w:val="both"/>
        <w:rPr>
          <w:rFonts w:ascii="Arial" w:hAnsi="Arial" w:cs="Arial"/>
          <w:b/>
        </w:rPr>
      </w:pPr>
      <w:r w:rsidRPr="0000336B">
        <w:rPr>
          <w:rFonts w:ascii="Arial" w:hAnsi="Arial" w:cs="Arial"/>
          <w:b/>
        </w:rPr>
        <w:t>Table 3.</w:t>
      </w:r>
      <w:r w:rsidR="000E2BC9" w:rsidRPr="0000336B">
        <w:rPr>
          <w:rFonts w:ascii="Arial" w:hAnsi="Arial" w:cs="Arial"/>
        </w:rPr>
        <w:t xml:space="preserve"> </w:t>
      </w:r>
      <w:r w:rsidR="00B27C47" w:rsidRPr="0000336B">
        <w:rPr>
          <w:rFonts w:ascii="Arial" w:hAnsi="Arial" w:cs="Arial"/>
          <w:b/>
        </w:rPr>
        <w:t>Results of thermal decomposition kinetics of different types of biomass obtained by different authors in the literature.</w:t>
      </w:r>
    </w:p>
    <w:p w:rsidR="007376E8" w:rsidRDefault="007376E8" w:rsidP="00B27C47">
      <w:pPr>
        <w:tabs>
          <w:tab w:val="left" w:pos="4047"/>
        </w:tabs>
        <w:jc w:val="both"/>
        <w:rPr>
          <w:rFonts w:ascii="Arial" w:hAnsi="Arial" w:cs="Arial"/>
        </w:rPr>
      </w:pPr>
    </w:p>
    <w:tbl>
      <w:tblPr>
        <w:tblStyle w:val="TableGrid"/>
        <w:tblW w:w="11199" w:type="dxa"/>
        <w:jc w:val="center"/>
        <w:tblLook w:val="04A0" w:firstRow="1" w:lastRow="0" w:firstColumn="1" w:lastColumn="0" w:noHBand="0" w:noVBand="1"/>
      </w:tblPr>
      <w:tblGrid>
        <w:gridCol w:w="2269"/>
        <w:gridCol w:w="2835"/>
        <w:gridCol w:w="1559"/>
        <w:gridCol w:w="1707"/>
        <w:gridCol w:w="2829"/>
      </w:tblGrid>
      <w:tr w:rsidR="009644CB" w:rsidRPr="009644CB" w:rsidTr="009644CB">
        <w:trPr>
          <w:jc w:val="center"/>
        </w:trPr>
        <w:tc>
          <w:tcPr>
            <w:tcW w:w="226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b/>
                <w:i/>
                <w:color w:val="000000"/>
                <w:sz w:val="20"/>
                <w:szCs w:val="20"/>
                <w:lang w:eastAsia="fr-FR"/>
              </w:rPr>
              <w:t>Authors</w:t>
            </w:r>
          </w:p>
        </w:tc>
        <w:tc>
          <w:tcPr>
            <w:tcW w:w="2835"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b/>
                <w:i/>
                <w:color w:val="000000"/>
                <w:sz w:val="20"/>
                <w:szCs w:val="20"/>
                <w:lang w:eastAsia="fr-FR"/>
              </w:rPr>
              <w:t>Method</w:t>
            </w:r>
          </w:p>
        </w:tc>
        <w:tc>
          <w:tcPr>
            <w:tcW w:w="155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b/>
                <w:i/>
                <w:color w:val="000000"/>
                <w:sz w:val="20"/>
                <w:szCs w:val="20"/>
                <w:lang w:eastAsia="fr-FR"/>
              </w:rPr>
              <w:t>Type of biomass</w:t>
            </w:r>
          </w:p>
        </w:tc>
        <w:tc>
          <w:tcPr>
            <w:tcW w:w="1707" w:type="dxa"/>
          </w:tcPr>
          <w:p w:rsidR="009644CB" w:rsidRPr="009644CB" w:rsidRDefault="009644CB" w:rsidP="009644CB">
            <w:pPr>
              <w:tabs>
                <w:tab w:val="left" w:pos="4047"/>
              </w:tabs>
              <w:jc w:val="both"/>
              <w:rPr>
                <w:rFonts w:ascii="Arial" w:hAnsi="Arial" w:cs="Arial"/>
                <w:sz w:val="20"/>
                <w:szCs w:val="20"/>
              </w:rPr>
            </w:pPr>
            <w:proofErr w:type="spellStart"/>
            <w:r w:rsidRPr="009644CB">
              <w:rPr>
                <w:rFonts w:ascii="Arial" w:eastAsia="Times New Roman" w:hAnsi="Arial" w:cs="Arial"/>
                <w:b/>
                <w:i/>
                <w:color w:val="000000"/>
                <w:sz w:val="20"/>
                <w:szCs w:val="20"/>
                <w:lang w:eastAsia="fr-FR"/>
              </w:rPr>
              <w:t>Ea</w:t>
            </w:r>
            <w:proofErr w:type="spellEnd"/>
            <w:r w:rsidRPr="009644CB">
              <w:rPr>
                <w:rFonts w:ascii="Arial" w:eastAsia="Times New Roman" w:hAnsi="Arial" w:cs="Arial"/>
                <w:b/>
                <w:i/>
                <w:color w:val="000000"/>
                <w:sz w:val="20"/>
                <w:szCs w:val="20"/>
                <w:lang w:eastAsia="fr-FR"/>
              </w:rPr>
              <w:t xml:space="preserve"> (kJ/mol)</w:t>
            </w:r>
          </w:p>
        </w:tc>
        <w:tc>
          <w:tcPr>
            <w:tcW w:w="282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b/>
                <w:i/>
                <w:color w:val="000000"/>
                <w:sz w:val="20"/>
                <w:szCs w:val="20"/>
                <w:lang w:eastAsia="fr-FR"/>
              </w:rPr>
              <w:t>A (1/s)</w:t>
            </w:r>
          </w:p>
        </w:tc>
      </w:tr>
      <w:tr w:rsidR="009644CB" w:rsidRPr="009644CB" w:rsidTr="009644CB">
        <w:trPr>
          <w:jc w:val="center"/>
        </w:trPr>
        <w:tc>
          <w:tcPr>
            <w:tcW w:w="2269" w:type="dxa"/>
          </w:tcPr>
          <w:p w:rsidR="009644CB" w:rsidRPr="009644CB" w:rsidRDefault="009644CB" w:rsidP="009644CB">
            <w:pPr>
              <w:tabs>
                <w:tab w:val="left" w:pos="4047"/>
              </w:tabs>
              <w:jc w:val="both"/>
              <w:rPr>
                <w:rFonts w:ascii="Arial" w:hAnsi="Arial" w:cs="Arial"/>
                <w:sz w:val="20"/>
                <w:szCs w:val="20"/>
              </w:rPr>
            </w:pPr>
            <w:proofErr w:type="spellStart"/>
            <w:r w:rsidRPr="009644CB">
              <w:rPr>
                <w:rFonts w:ascii="Arial" w:eastAsia="Times New Roman" w:hAnsi="Arial" w:cs="Arial"/>
                <w:b/>
                <w:i/>
                <w:color w:val="000000"/>
                <w:sz w:val="20"/>
                <w:szCs w:val="20"/>
                <w:lang w:eastAsia="fr-FR"/>
              </w:rPr>
              <w:t>Damartzis</w:t>
            </w:r>
            <w:proofErr w:type="spellEnd"/>
            <w:r w:rsidRPr="009644CB">
              <w:rPr>
                <w:rFonts w:ascii="Arial" w:eastAsia="Times New Roman" w:hAnsi="Arial" w:cs="Arial"/>
                <w:b/>
                <w:i/>
                <w:color w:val="000000"/>
                <w:sz w:val="20"/>
                <w:szCs w:val="20"/>
                <w:lang w:eastAsia="fr-FR"/>
              </w:rPr>
              <w:t xml:space="preserve"> et al.</w:t>
            </w:r>
            <w:r w:rsidRPr="009644CB">
              <w:rPr>
                <w:rFonts w:ascii="Arial" w:hAnsi="Arial" w:cs="Arial"/>
                <w:b/>
                <w:i/>
                <w:color w:val="000000"/>
                <w:lang w:eastAsia="fr-FR"/>
              </w:rPr>
              <w:fldChar w:fldCharType="begin"/>
            </w:r>
            <w:r w:rsidR="007819CF">
              <w:rPr>
                <w:rFonts w:ascii="Arial" w:eastAsia="Times New Roman" w:hAnsi="Arial" w:cs="Arial"/>
                <w:b/>
                <w:i/>
                <w:color w:val="000000"/>
                <w:sz w:val="20"/>
                <w:szCs w:val="20"/>
                <w:lang w:eastAsia="fr-FR"/>
              </w:rPr>
              <w:instrText xml:space="preserve"> ADDIN ZOTERO_ITEM CSL_CITATION {"citationID":"5jvPlWHu","properties":{"formattedCitation":"[32]","plainCitation":"[32]","noteIndex":0},"citationItems":[{"id":"KL15DYhl/fniSFnbF","uris":["http://zotero.org/users/local/V8e1vJQi/items/2JPGUZVU"],"itemData":{"id":149,"type":"article-journal","abstract":"A key element in the design of sustainable pyrolysis processes is the thermal degradation kinetics of biomass. In this work, pyrolysis tests for cardoon (Cynara carduculus) stems and leaves were performed in a non-isothermal thermogravimetric analyzer (TGA) in order to determine the thermal degradation behavior of both stems and leaves. The kinetic parameters of the process were evaluated using three different kinetic models, the independent parallel reaction model, KAS and OFW iso-conversional model. Good agreement with the experimental TGA data was observed for all models, the best being with the independent parallel reaction model. A variance in the activation energy with conversion was observed when the KAS and OFW models were employed, which reveals that the pyrolysis of cardoon progresses through more complex and multi-step kinetics.","container-title":"Bioresource Technology","DOI":"10.1016/j.biortech.2011.02.060","ISSN":"09608524","issue":"10","journalAbbreviation":"Bioresource Technology","language":"en","license":"https://www.elsevier.com/tdm/userlicense/1.0/","page":"6230-6238","source":"DOI.org (Crossref)","title":"Thermal degradation studies and kinetic modeling of cardoon (Cynara cardunculus) pyrolysis using thermogravimetric analysis (TGA)","volume":"102","author":[{"family":"Damartzis","given":"Th."},{"family":"Vamvuka","given":"D."},{"family":"Sfakiotakis","given":"S."},{"family":"Zabaniotou","given":"A."}],"issued":{"date-parts":[["2011",5]]}}}],"schema":"https://github.com/citation-style-language/schema/raw/master/csl-citation.json"} </w:instrText>
            </w:r>
            <w:r w:rsidRPr="009644CB">
              <w:rPr>
                <w:rFonts w:ascii="Arial" w:hAnsi="Arial" w:cs="Arial"/>
                <w:b/>
                <w:i/>
                <w:color w:val="000000"/>
                <w:lang w:eastAsia="fr-FR"/>
              </w:rPr>
              <w:fldChar w:fldCharType="separate"/>
            </w:r>
            <w:r w:rsidR="007819CF" w:rsidRPr="007819CF">
              <w:rPr>
                <w:rFonts w:ascii="Arial" w:hAnsi="Arial" w:cs="Arial"/>
                <w:sz w:val="20"/>
              </w:rPr>
              <w:t>[32]</w:t>
            </w:r>
            <w:r w:rsidRPr="009644CB">
              <w:rPr>
                <w:rFonts w:ascii="Arial" w:hAnsi="Arial" w:cs="Arial"/>
                <w:b/>
                <w:i/>
                <w:color w:val="000000"/>
                <w:lang w:eastAsia="fr-FR"/>
              </w:rPr>
              <w:fldChar w:fldCharType="end"/>
            </w:r>
          </w:p>
        </w:tc>
        <w:tc>
          <w:tcPr>
            <w:tcW w:w="2835" w:type="dxa"/>
          </w:tcPr>
          <w:p w:rsidR="009644CB" w:rsidRPr="009644CB" w:rsidRDefault="009644CB" w:rsidP="009644CB">
            <w:pPr>
              <w:tabs>
                <w:tab w:val="left" w:pos="4047"/>
              </w:tabs>
              <w:jc w:val="both"/>
              <w:rPr>
                <w:rFonts w:ascii="Arial" w:hAnsi="Arial" w:cs="Arial"/>
                <w:sz w:val="20"/>
                <w:szCs w:val="20"/>
              </w:rPr>
            </w:pPr>
            <w:proofErr w:type="spellStart"/>
            <w:r w:rsidRPr="009644CB">
              <w:rPr>
                <w:rFonts w:ascii="Arial" w:eastAsia="Times New Roman" w:hAnsi="Arial" w:cs="Arial"/>
                <w:color w:val="000000"/>
                <w:sz w:val="20"/>
                <w:szCs w:val="20"/>
                <w:lang w:eastAsia="fr-FR"/>
              </w:rPr>
              <w:t>Isoconversional</w:t>
            </w:r>
            <w:proofErr w:type="spellEnd"/>
            <w:r w:rsidRPr="009644CB">
              <w:rPr>
                <w:rFonts w:ascii="Arial" w:eastAsia="Times New Roman" w:hAnsi="Arial" w:cs="Arial"/>
                <w:color w:val="000000"/>
                <w:sz w:val="20"/>
                <w:szCs w:val="20"/>
                <w:lang w:eastAsia="fr-FR"/>
              </w:rPr>
              <w:t xml:space="preserve"> methods (FWO, KAS)</w:t>
            </w:r>
          </w:p>
        </w:tc>
        <w:tc>
          <w:tcPr>
            <w:tcW w:w="155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Thistle stems</w:t>
            </w:r>
          </w:p>
        </w:tc>
        <w:tc>
          <w:tcPr>
            <w:tcW w:w="1707"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29.0−229.7</w:t>
            </w:r>
          </w:p>
        </w:tc>
        <w:tc>
          <w:tcPr>
            <w:tcW w:w="282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18 to 2.3 × 10^19</w:t>
            </w:r>
          </w:p>
        </w:tc>
      </w:tr>
      <w:tr w:rsidR="009644CB" w:rsidRPr="009644CB" w:rsidTr="009644CB">
        <w:trPr>
          <w:jc w:val="center"/>
        </w:trPr>
        <w:tc>
          <w:tcPr>
            <w:tcW w:w="226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b/>
                <w:i/>
                <w:color w:val="000000"/>
                <w:sz w:val="20"/>
                <w:szCs w:val="20"/>
                <w:lang w:eastAsia="fr-FR"/>
              </w:rPr>
              <w:t>Hu et al.</w:t>
            </w:r>
            <w:r w:rsidRPr="009644CB">
              <w:rPr>
                <w:rFonts w:ascii="Arial" w:hAnsi="Arial" w:cs="Arial"/>
                <w:b/>
                <w:i/>
                <w:color w:val="000000"/>
                <w:lang w:eastAsia="fr-FR"/>
              </w:rPr>
              <w:fldChar w:fldCharType="begin"/>
            </w:r>
            <w:r w:rsidR="007819CF">
              <w:rPr>
                <w:rFonts w:ascii="Arial" w:eastAsia="Times New Roman" w:hAnsi="Arial" w:cs="Arial"/>
                <w:b/>
                <w:i/>
                <w:color w:val="000000"/>
                <w:sz w:val="20"/>
                <w:szCs w:val="20"/>
                <w:lang w:eastAsia="fr-FR"/>
              </w:rPr>
              <w:instrText xml:space="preserve"> ADDIN ZOTERO_ITEM CSL_CITATION {"citationID":"rTKyfkb6","properties":{"formattedCitation":"[5]","plainCitation":"[5]","noteIndex":0},"citationItems":[{"id":"KL15DYhl/P6QoxvFr","uris":["http://zotero.org/users/local/V8e1vJQi/items/C3W2NLFE"],"itemData":{"id":70,"type":"article-journal","abstract":"Pyrolysis kinetics of pine wood, rice husk and bamboo (Bambusa chungii) were studied via thermogravimetric analysis technique under low heating rates. The result of model-free procedure showed that the lignocellulosic pyrolysis according to one-step reaction model is dominated by the diffusion effects. However, the complex features of variations are caused by the mechanism changes, which are hard to be determined. The distributed activation energy model (DAEM) kinetic results indicated that the activation energy distribution for pseudo components follows the orders of: E0(lignin) &gt; E0(cellulose) &gt; E0(hemicelluloses), r(lignin) &gt; r(hemicelluloses) &gt; r(cellulose). The Fraser–Suzuki deconvolution ﬁts better with the experimental data than DAEM. The pyrolysis mechanism of pseudo components after deconvolutions follows the theoretical models: third order model f(a) = (1 À a)3 for hemicelluloses and lignin, random scission model f(a) = 2(a1/2 À a) for cellulose. The apparent activation energy for pseudo hemicelluloses is 162.84 ± 26.45 kJ/mol for pine wood, 168.63 ± 28.47 kJ/mol for rice husk and 154.55 ± 26.49 kJ/mol for bamboo, respectively. The Ea value increases with the conversion with little deviation to its mean value. Similar Ea vs. a dependencies also are observed for pseudo celluloses, which has Ea of 188.14 ± 24.42 kJ/mol for pine wood, 206.71 ± 24.88 kJ/mol for rice husk and 190.45 ± 23.79 kJ/mol for bamboo, respectively.","container-title":"Energy Conversion and Management","DOI":"10.1016/j.enconman.2016.03.058","ISSN":"01968904","journalAbbreviation":"Energy Conversion and Management","language":"en","page":"1-11","source":"DOI.org (Crossref)","title":"Thermogravimetric kinetics of lignocellulosic biomass slow pyrolysis using distributed activation energy model, Fraser–Suzuki deconvolution, and iso-conversional method","volume":"118","author":[{"family":"Hu","given":"Mian"},{"family":"Chen","given":"Zhihua"},{"family":"Wang","given":"Shengkai"},{"family":"Guo","given":"Dabin"},{"family":"Ma","given":"Caifeng"},{"family":"Zhou","given":"Yan"},{"family":"Chen","given":"Jian"},{"family":"Laghari","given":"Mahmood"},{"family":"Fazal","given":"Saima"},{"family":"Xiao","given":"Bo"},{"family":"Zhang","given":"Beiping"},{"family":"Ma","given":"Shu"}],"issued":{"date-parts":[["2016",6]]}}}],"schema":"https://github.com/citation-style-language/schema/raw/master/csl-citation.json"} </w:instrText>
            </w:r>
            <w:r w:rsidRPr="009644CB">
              <w:rPr>
                <w:rFonts w:ascii="Arial" w:hAnsi="Arial" w:cs="Arial"/>
                <w:b/>
                <w:i/>
                <w:color w:val="000000"/>
                <w:lang w:eastAsia="fr-FR"/>
              </w:rPr>
              <w:fldChar w:fldCharType="separate"/>
            </w:r>
            <w:r w:rsidRPr="009644CB">
              <w:rPr>
                <w:rFonts w:ascii="Arial" w:hAnsi="Arial" w:cs="Arial"/>
                <w:sz w:val="20"/>
                <w:szCs w:val="20"/>
              </w:rPr>
              <w:t>[5]</w:t>
            </w:r>
            <w:r w:rsidRPr="009644CB">
              <w:rPr>
                <w:rFonts w:ascii="Arial" w:hAnsi="Arial" w:cs="Arial"/>
                <w:b/>
                <w:i/>
                <w:color w:val="000000"/>
                <w:lang w:eastAsia="fr-FR"/>
              </w:rPr>
              <w:fldChar w:fldCharType="end"/>
            </w:r>
          </w:p>
        </w:tc>
        <w:tc>
          <w:tcPr>
            <w:tcW w:w="2835"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Fraser-Suzuki deconvolution and the iso-conventional method</w:t>
            </w:r>
          </w:p>
        </w:tc>
        <w:tc>
          <w:tcPr>
            <w:tcW w:w="155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Pine wood</w:t>
            </w:r>
          </w:p>
        </w:tc>
        <w:tc>
          <w:tcPr>
            <w:tcW w:w="1707"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152.43−210.39</w:t>
            </w:r>
          </w:p>
        </w:tc>
        <w:tc>
          <w:tcPr>
            <w:tcW w:w="282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3.22 × 10^12 to 1.87 × 10^13</w:t>
            </w:r>
          </w:p>
        </w:tc>
      </w:tr>
      <w:tr w:rsidR="009644CB" w:rsidRPr="009644CB" w:rsidTr="009644CB">
        <w:trPr>
          <w:jc w:val="center"/>
        </w:trPr>
        <w:tc>
          <w:tcPr>
            <w:tcW w:w="2269" w:type="dxa"/>
          </w:tcPr>
          <w:p w:rsidR="009644CB" w:rsidRPr="009644CB" w:rsidRDefault="009644CB" w:rsidP="009644CB">
            <w:pPr>
              <w:jc w:val="both"/>
              <w:rPr>
                <w:rFonts w:ascii="Arial" w:eastAsia="Times New Roman" w:hAnsi="Arial" w:cs="Arial"/>
                <w:b/>
                <w:i/>
                <w:color w:val="000000"/>
                <w:sz w:val="20"/>
                <w:szCs w:val="20"/>
                <w:lang w:eastAsia="fr-FR"/>
              </w:rPr>
            </w:pPr>
            <w:r w:rsidRPr="009644CB">
              <w:rPr>
                <w:rFonts w:ascii="Arial" w:eastAsia="Times New Roman" w:hAnsi="Arial" w:cs="Arial"/>
                <w:b/>
                <w:i/>
                <w:color w:val="000000"/>
                <w:sz w:val="20"/>
                <w:szCs w:val="20"/>
                <w:lang w:eastAsia="fr-FR"/>
              </w:rPr>
              <w:t>Rueda-</w:t>
            </w:r>
            <w:proofErr w:type="spellStart"/>
            <w:r w:rsidRPr="009644CB">
              <w:rPr>
                <w:rFonts w:ascii="Arial" w:eastAsia="Times New Roman" w:hAnsi="Arial" w:cs="Arial"/>
                <w:b/>
                <w:i/>
                <w:color w:val="000000"/>
                <w:sz w:val="20"/>
                <w:szCs w:val="20"/>
                <w:lang w:eastAsia="fr-FR"/>
              </w:rPr>
              <w:t>Ordóñez</w:t>
            </w:r>
            <w:proofErr w:type="spellEnd"/>
            <w:r w:rsidRPr="009644CB">
              <w:rPr>
                <w:rFonts w:ascii="Arial" w:eastAsia="Times New Roman" w:hAnsi="Arial" w:cs="Arial"/>
                <w:b/>
                <w:i/>
                <w:color w:val="000000"/>
                <w:sz w:val="20"/>
                <w:szCs w:val="20"/>
                <w:lang w:eastAsia="fr-FR"/>
              </w:rPr>
              <w:t xml:space="preserve"> et al.</w:t>
            </w:r>
            <w:r w:rsidR="007819CF">
              <w:rPr>
                <w:rFonts w:ascii="Arial" w:hAnsi="Arial" w:cs="Arial"/>
                <w:b/>
                <w:i/>
                <w:color w:val="000000"/>
                <w:lang w:eastAsia="fr-FR"/>
              </w:rPr>
              <w:t xml:space="preserve"> </w:t>
            </w:r>
            <w:r w:rsidR="007819CF">
              <w:rPr>
                <w:rFonts w:ascii="Arial" w:hAnsi="Arial" w:cs="Arial"/>
                <w:b/>
                <w:i/>
                <w:color w:val="000000"/>
                <w:lang w:eastAsia="fr-FR"/>
              </w:rPr>
              <w:fldChar w:fldCharType="begin"/>
            </w:r>
            <w:r w:rsidR="007819CF">
              <w:rPr>
                <w:rFonts w:ascii="Arial" w:hAnsi="Arial" w:cs="Arial"/>
                <w:b/>
                <w:i/>
                <w:color w:val="000000"/>
                <w:lang w:eastAsia="fr-FR"/>
              </w:rPr>
              <w:instrText xml:space="preserve"> ADDIN ZOTERO_ITEM CSL_CITATION {"citationID":"1nyvELrH","properties":{"formattedCitation":"[34]","plainCitation":"[34]","noteIndex":0},"citationItems":[{"id":74,"uris":["http://zotero.org/users/local/QADg21lF/items/R2SCTLV8"],"itemData":{"id":74,"type":"article-journal","language":"en","source":"Zotero","title":"Isoconversional kinetic study of the thermal decomposition of sugarcane straw for thermal conversion processes","author":[{"family":"Rueda-Ordóñez","given":"Yesid Javier"}]}}],"schema":"https://github.com/citation-style-language/schema/raw/master/csl-citation.json"} </w:instrText>
            </w:r>
            <w:r w:rsidR="007819CF">
              <w:rPr>
                <w:rFonts w:ascii="Arial" w:hAnsi="Arial" w:cs="Arial"/>
                <w:b/>
                <w:i/>
                <w:color w:val="000000"/>
                <w:lang w:eastAsia="fr-FR"/>
              </w:rPr>
              <w:fldChar w:fldCharType="separate"/>
            </w:r>
            <w:r w:rsidR="007819CF" w:rsidRPr="007819CF">
              <w:rPr>
                <w:rFonts w:ascii="Arial" w:hAnsi="Arial" w:cs="Arial"/>
              </w:rPr>
              <w:t>[34]</w:t>
            </w:r>
            <w:r w:rsidR="007819CF">
              <w:rPr>
                <w:rFonts w:ascii="Arial" w:hAnsi="Arial" w:cs="Arial"/>
                <w:b/>
                <w:i/>
                <w:color w:val="000000"/>
                <w:lang w:eastAsia="fr-FR"/>
              </w:rPr>
              <w:fldChar w:fldCharType="end"/>
            </w:r>
            <w:r w:rsidR="007819CF" w:rsidRPr="009644CB">
              <w:rPr>
                <w:rFonts w:ascii="Arial" w:eastAsia="Times New Roman" w:hAnsi="Arial" w:cs="Arial"/>
                <w:b/>
                <w:i/>
                <w:color w:val="000000"/>
                <w:sz w:val="20"/>
                <w:szCs w:val="20"/>
                <w:lang w:eastAsia="fr-FR"/>
              </w:rPr>
              <w:t xml:space="preserve"> </w:t>
            </w:r>
          </w:p>
          <w:p w:rsidR="009644CB" w:rsidRPr="009644CB" w:rsidRDefault="009644CB" w:rsidP="009644CB">
            <w:pPr>
              <w:tabs>
                <w:tab w:val="left" w:pos="4047"/>
              </w:tabs>
              <w:jc w:val="both"/>
              <w:rPr>
                <w:rFonts w:ascii="Arial" w:hAnsi="Arial" w:cs="Arial"/>
                <w:sz w:val="20"/>
                <w:szCs w:val="20"/>
              </w:rPr>
            </w:pPr>
          </w:p>
        </w:tc>
        <w:tc>
          <w:tcPr>
            <w:tcW w:w="2835" w:type="dxa"/>
          </w:tcPr>
          <w:p w:rsidR="009644CB" w:rsidRPr="009644CB" w:rsidRDefault="009644CB" w:rsidP="009644CB">
            <w:pPr>
              <w:tabs>
                <w:tab w:val="left" w:pos="4047"/>
              </w:tabs>
              <w:jc w:val="both"/>
              <w:rPr>
                <w:rFonts w:ascii="Arial" w:hAnsi="Arial" w:cs="Arial"/>
                <w:sz w:val="20"/>
                <w:szCs w:val="20"/>
              </w:rPr>
            </w:pPr>
            <w:proofErr w:type="spellStart"/>
            <w:r w:rsidRPr="009644CB">
              <w:rPr>
                <w:rFonts w:ascii="Arial" w:eastAsia="Times New Roman" w:hAnsi="Arial" w:cs="Arial"/>
                <w:color w:val="000000"/>
                <w:sz w:val="20"/>
                <w:szCs w:val="20"/>
                <w:lang w:eastAsia="fr-FR"/>
              </w:rPr>
              <w:t>Isoconversional</w:t>
            </w:r>
            <w:proofErr w:type="spellEnd"/>
            <w:r w:rsidRPr="009644CB">
              <w:rPr>
                <w:rFonts w:ascii="Arial" w:eastAsia="Times New Roman" w:hAnsi="Arial" w:cs="Arial"/>
                <w:color w:val="000000"/>
                <w:sz w:val="20"/>
                <w:szCs w:val="20"/>
                <w:lang w:eastAsia="fr-FR"/>
              </w:rPr>
              <w:t xml:space="preserve"> methods</w:t>
            </w:r>
          </w:p>
        </w:tc>
        <w:tc>
          <w:tcPr>
            <w:tcW w:w="155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Sugarcane straw</w:t>
            </w:r>
          </w:p>
        </w:tc>
        <w:tc>
          <w:tcPr>
            <w:tcW w:w="1707"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154.1−177.8</w:t>
            </w:r>
          </w:p>
        </w:tc>
        <w:tc>
          <w:tcPr>
            <w:tcW w:w="282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1.82 × 10^9</w:t>
            </w:r>
          </w:p>
        </w:tc>
      </w:tr>
      <w:tr w:rsidR="009644CB" w:rsidRPr="009644CB" w:rsidTr="009644CB">
        <w:trPr>
          <w:jc w:val="center"/>
        </w:trPr>
        <w:tc>
          <w:tcPr>
            <w:tcW w:w="226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b/>
                <w:i/>
                <w:color w:val="000000"/>
                <w:sz w:val="20"/>
                <w:szCs w:val="20"/>
                <w:lang w:eastAsia="fr-FR"/>
              </w:rPr>
              <w:t>Huang et al.</w:t>
            </w:r>
            <w:r w:rsidRPr="009644CB">
              <w:rPr>
                <w:rFonts w:ascii="Arial" w:hAnsi="Arial" w:cs="Arial"/>
                <w:b/>
                <w:i/>
                <w:color w:val="000000"/>
                <w:lang w:eastAsia="fr-FR"/>
              </w:rPr>
              <w:fldChar w:fldCharType="begin"/>
            </w:r>
            <w:r w:rsidR="007819CF">
              <w:rPr>
                <w:rFonts w:ascii="Arial" w:eastAsia="Times New Roman" w:hAnsi="Arial" w:cs="Arial"/>
                <w:b/>
                <w:i/>
                <w:color w:val="000000"/>
                <w:sz w:val="20"/>
                <w:szCs w:val="20"/>
                <w:lang w:eastAsia="fr-FR"/>
              </w:rPr>
              <w:instrText xml:space="preserve"> ADDIN ZOTERO_ITEM CSL_CITATION {"citationID":"tR07qG9c","properties":{"formattedCitation":"[8]","plainCitation":"[8]","noteIndex":0},"citationItems":[{"id":"KL15DYhl/SrSgoCNM","uris":["http://zotero.org/users/local/V8e1vJQi/items/DZ7DFN4R"],"itemData":{"id":53,"type":"article-journal","abstract":"Thermal degradation behavior and kinetics of two agricultural (soy and oat hulls) and two forestry biomass (willow and spruce) residues were investigated using a unique combination of model-ﬁtting and model-free methods. Experiments were carried out in an inert atmosphere at diﬀerent heating rates. Both single step and multistep models were explored in deriving activation energies, frequency factors, and mechanisms of all four biomass residues. For the single step models, activation energy values ranged from 107.2 kJ/mol for willow and 139.7 kJ/mol for soy hull, and the frequency factors for both materials were 1.1 × 109 and 2.66 × 1012 s−1, respectively. The multistep models gave further insight into the diﬀerent mechanisms across the full degradation spectrum. There was an observed diﬀerence between the number of distinct steps/mechanisms for the agriculture-based versus wood-based biomass materials, with pyrolysis occurring in three distinct steps for the agricultural biomass residues while the woody residues degraded in two steps. The diﬀerence in the number of distinct steps can be attributed to the composition and distribution of components of the biomass, which would diﬀer based on the nature and source of the biomass.","container-title":"ACS Omega","DOI":"10.1021/acsomega.1c02937","ISSN":"2470-1343, 2470-1343","issue":"34","journalAbbreviation":"ACS Omega","language":"en","license":"https://creativecommons.org/licenses/by/4.0/","page":"22233-22247","source":"DOI.org (Crossref)","title":"Thermal and Kinetic Studies on Biomass Degradation &lt;i&gt;via&lt;/i&gt; Thermogravimetric Analysis: A Combination of Model-Fitting and Model-Free Approach","title-short":"Thermal and Kinetic Studies on Biomass Degradation &lt;i&gt;via&lt;/i&gt; Thermogravimetric Analysis","volume":"6","author":[{"family":"Emiola-Sadiq","given":"Tolu"},{"family":"Zhang","given":"Lifeng"},{"family":"Dalai","given":"Ajay K."}],"issued":{"date-parts":[["2021",8,31]]}}}],"schema":"https://github.com/citation-style-language/schema/raw/master/csl-citation.json"} </w:instrText>
            </w:r>
            <w:r w:rsidRPr="009644CB">
              <w:rPr>
                <w:rFonts w:ascii="Arial" w:hAnsi="Arial" w:cs="Arial"/>
                <w:b/>
                <w:i/>
                <w:color w:val="000000"/>
                <w:lang w:eastAsia="fr-FR"/>
              </w:rPr>
              <w:fldChar w:fldCharType="separate"/>
            </w:r>
            <w:r w:rsidRPr="009644CB">
              <w:rPr>
                <w:rFonts w:ascii="Arial" w:hAnsi="Arial" w:cs="Arial"/>
                <w:sz w:val="20"/>
                <w:szCs w:val="20"/>
              </w:rPr>
              <w:t>[8]</w:t>
            </w:r>
            <w:r w:rsidRPr="009644CB">
              <w:rPr>
                <w:rFonts w:ascii="Arial" w:hAnsi="Arial" w:cs="Arial"/>
                <w:b/>
                <w:i/>
                <w:color w:val="000000"/>
                <w:lang w:eastAsia="fr-FR"/>
              </w:rPr>
              <w:fldChar w:fldCharType="end"/>
            </w:r>
          </w:p>
        </w:tc>
        <w:tc>
          <w:tcPr>
            <w:tcW w:w="2835"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KAS, FWO, Coats−Redfern</w:t>
            </w:r>
          </w:p>
        </w:tc>
        <w:tc>
          <w:tcPr>
            <w:tcW w:w="155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Soy straw</w:t>
            </w:r>
          </w:p>
        </w:tc>
        <w:tc>
          <w:tcPr>
            <w:tcW w:w="1707"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154.15−156.22</w:t>
            </w:r>
          </w:p>
        </w:tc>
        <w:tc>
          <w:tcPr>
            <w:tcW w:w="282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4.26 × 10^13 to 1.09 × 10^16</w:t>
            </w:r>
          </w:p>
        </w:tc>
      </w:tr>
      <w:tr w:rsidR="009644CB" w:rsidRPr="009644CB" w:rsidTr="009644CB">
        <w:trPr>
          <w:jc w:val="center"/>
        </w:trPr>
        <w:tc>
          <w:tcPr>
            <w:tcW w:w="226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b/>
                <w:i/>
                <w:color w:val="000000"/>
                <w:sz w:val="20"/>
                <w:szCs w:val="20"/>
                <w:lang w:eastAsia="fr-FR"/>
              </w:rPr>
              <w:t>Mishra et al.</w:t>
            </w:r>
            <w:r w:rsidRPr="009644CB">
              <w:rPr>
                <w:rFonts w:ascii="Arial" w:hAnsi="Arial" w:cs="Arial"/>
                <w:b/>
                <w:i/>
                <w:color w:val="000000"/>
                <w:lang w:eastAsia="fr-FR"/>
              </w:rPr>
              <w:fldChar w:fldCharType="begin"/>
            </w:r>
            <w:r w:rsidR="007819CF">
              <w:rPr>
                <w:rFonts w:ascii="Arial" w:eastAsia="Times New Roman" w:hAnsi="Arial" w:cs="Arial"/>
                <w:b/>
                <w:i/>
                <w:color w:val="000000"/>
                <w:sz w:val="20"/>
                <w:szCs w:val="20"/>
                <w:lang w:eastAsia="fr-FR"/>
              </w:rPr>
              <w:instrText xml:space="preserve"> ADDIN ZOTERO_ITEM CSL_CITATION {"citationID":"LryJaRsc","properties":{"formattedCitation":"[35]","plainCitation":"[35]","noteIndex":0},"citationItems":[{"id":"KL15DYhl/EFyh043O","uris":["http://zotero.org/users/local/V8e1vJQi/items/Q8M2ZBLI"],"itemData":{"id":160,"type":"article-journal","abstract":"The kinetic study for pyrolysis of pine wood has been studied by a thermogravimetric analyzer in an inert atmosphere. Non isothermal model free kinetic methods were used to evaluate kinetics at six different heating rates of 5–40 °C/min. Three zones can be detected from the iso-conversional plot of pine with average activation energy values of 134.32 kJ/mol, 146.89 kJ/mol and 155.76 kJ/mol in the conversion range of 1–22%, 24–84% and 85–90%, respectively. The activation energy values were used to determine the reaction mechanism using master plots and compensation parameters. The results show that the pyrolysis process of pine wood can be described by two dimensional diffusion reaction mechanism in a wide range of conversion up to 0.7, followed by close to one and half order reaction mechanism. The kinetic results were validated by making isothermal predictions from non-isothermal data.","container-title":"Bioresource Technology","DOI":"10.1016/j.biortech.2015.01.087","ISSN":"09608524","journalAbbreviation":"Bioresource Technology","language":"en","page":"282-288","source":"DOI.org (Crossref)","title":"Kinetic studies on the pyrolysis of pinewood","volume":"182","author":[{"family":"Mishra","given":"Garima"},{"family":"Kumar","given":"Jitendra"},{"family":"Bhaskar","given":"Thallada"}],"issued":{"date-parts":[["2015",4]]}}}],"schema":"https://github.com/citation-style-language/schema/raw/master/csl-citation.json"} </w:instrText>
            </w:r>
            <w:r w:rsidRPr="009644CB">
              <w:rPr>
                <w:rFonts w:ascii="Arial" w:hAnsi="Arial" w:cs="Arial"/>
                <w:b/>
                <w:i/>
                <w:color w:val="000000"/>
                <w:lang w:eastAsia="fr-FR"/>
              </w:rPr>
              <w:fldChar w:fldCharType="separate"/>
            </w:r>
            <w:r w:rsidR="007819CF" w:rsidRPr="007819CF">
              <w:rPr>
                <w:rFonts w:ascii="Arial" w:hAnsi="Arial" w:cs="Arial"/>
                <w:sz w:val="20"/>
              </w:rPr>
              <w:t>[35]</w:t>
            </w:r>
            <w:r w:rsidRPr="009644CB">
              <w:rPr>
                <w:rFonts w:ascii="Arial" w:hAnsi="Arial" w:cs="Arial"/>
                <w:b/>
                <w:i/>
                <w:color w:val="000000"/>
                <w:lang w:eastAsia="fr-FR"/>
              </w:rPr>
              <w:fldChar w:fldCharType="end"/>
            </w:r>
          </w:p>
        </w:tc>
        <w:tc>
          <w:tcPr>
            <w:tcW w:w="2835"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Model without mechanism</w:t>
            </w:r>
          </w:p>
        </w:tc>
        <w:tc>
          <w:tcPr>
            <w:tcW w:w="155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Palm kernel shell</w:t>
            </w:r>
          </w:p>
        </w:tc>
        <w:tc>
          <w:tcPr>
            <w:tcW w:w="1707"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88-146</w:t>
            </w:r>
          </w:p>
        </w:tc>
        <w:tc>
          <w:tcPr>
            <w:tcW w:w="2829" w:type="dxa"/>
            <w:vAlign w:val="center"/>
          </w:tcPr>
          <w:p w:rsidR="009644CB" w:rsidRPr="009644CB" w:rsidRDefault="009644CB" w:rsidP="009644CB">
            <w:pPr>
              <w:jc w:val="both"/>
              <w:rPr>
                <w:rFonts w:ascii="Arial" w:eastAsia="Times New Roman" w:hAnsi="Arial" w:cs="Arial"/>
                <w:color w:val="000000"/>
                <w:sz w:val="20"/>
                <w:szCs w:val="20"/>
                <w:lang w:eastAsia="fr-FR"/>
              </w:rPr>
            </w:pPr>
            <w:r w:rsidRPr="009644CB">
              <w:rPr>
                <w:rFonts w:ascii="Arial" w:eastAsia="Times New Roman" w:hAnsi="Arial" w:cs="Arial"/>
                <w:color w:val="000000"/>
                <w:sz w:val="20"/>
                <w:szCs w:val="20"/>
                <w:lang w:eastAsia="fr-FR"/>
              </w:rPr>
              <w:t>3.00 × 10^7 to 6.00 × 10^12</w:t>
            </w:r>
          </w:p>
        </w:tc>
      </w:tr>
      <w:tr w:rsidR="009644CB" w:rsidRPr="009644CB" w:rsidTr="009644CB">
        <w:trPr>
          <w:jc w:val="center"/>
        </w:trPr>
        <w:tc>
          <w:tcPr>
            <w:tcW w:w="226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b/>
                <w:i/>
                <w:color w:val="000000"/>
                <w:sz w:val="20"/>
                <w:szCs w:val="20"/>
                <w:lang w:eastAsia="fr-FR"/>
              </w:rPr>
              <w:t>Lopes et al.</w:t>
            </w:r>
            <w:r w:rsidRPr="009644CB">
              <w:rPr>
                <w:rFonts w:ascii="Arial" w:hAnsi="Arial" w:cs="Arial"/>
                <w:b/>
                <w:i/>
                <w:color w:val="000000"/>
                <w:lang w:eastAsia="fr-FR"/>
              </w:rPr>
              <w:fldChar w:fldCharType="begin"/>
            </w:r>
            <w:r w:rsidR="007819CF">
              <w:rPr>
                <w:rFonts w:ascii="Arial" w:eastAsia="Times New Roman" w:hAnsi="Arial" w:cs="Arial"/>
                <w:b/>
                <w:i/>
                <w:color w:val="000000"/>
                <w:sz w:val="20"/>
                <w:szCs w:val="20"/>
                <w:lang w:eastAsia="fr-FR"/>
              </w:rPr>
              <w:instrText xml:space="preserve"> ADDIN ZOTERO_ITEM CSL_CITATION {"citationID":"0a3fWeES","properties":{"formattedCitation":"[36]","plainCitation":"[36]","noteIndex":0},"citationItems":[{"id":"KL15DYhl/x4P7QMG8","uris":["http://zotero.org/users/local/V8e1vJQi/items/NMH5FKJG"],"itemData":{"id":162,"type":"article-journal","container-title":"Bioresource Technology","DOI":"10.1016/j.biortech.2018.09.021","ISSN":"09608524","journalAbbreviation":"Bioresource Technology","language":"en","page":"294-302","source":"DOI.org (Crossref)","title":"Thermal decomposition kinetics of guarana seed residue through thermogravimetric analysis under inert and oxidizing atmospheres","volume":"270","author":[{"family":"Lopes","given":"Fernanda Cristina Rezende"},{"family":"Pereira","given":"Janainna Chaves"},{"family":"Tannous","given":"Katia"}],"issued":{"date-parts":[["2018",12]]}}}],"schema":"https://github.com/citation-style-language/schema/raw/master/csl-citation.json"} </w:instrText>
            </w:r>
            <w:r w:rsidRPr="009644CB">
              <w:rPr>
                <w:rFonts w:ascii="Arial" w:hAnsi="Arial" w:cs="Arial"/>
                <w:b/>
                <w:i/>
                <w:color w:val="000000"/>
                <w:lang w:eastAsia="fr-FR"/>
              </w:rPr>
              <w:fldChar w:fldCharType="separate"/>
            </w:r>
            <w:r w:rsidR="007819CF" w:rsidRPr="007819CF">
              <w:rPr>
                <w:rFonts w:ascii="Arial" w:hAnsi="Arial" w:cs="Arial"/>
                <w:sz w:val="20"/>
              </w:rPr>
              <w:t>[36]</w:t>
            </w:r>
            <w:r w:rsidRPr="009644CB">
              <w:rPr>
                <w:rFonts w:ascii="Arial" w:hAnsi="Arial" w:cs="Arial"/>
                <w:b/>
                <w:i/>
                <w:color w:val="000000"/>
                <w:lang w:eastAsia="fr-FR"/>
              </w:rPr>
              <w:fldChar w:fldCharType="end"/>
            </w:r>
            <w:r w:rsidRPr="009644CB">
              <w:rPr>
                <w:rFonts w:ascii="Arial" w:hAnsi="Arial" w:cs="Arial"/>
                <w:sz w:val="20"/>
                <w:szCs w:val="20"/>
              </w:rPr>
              <w:t xml:space="preserve"> </w:t>
            </w:r>
          </w:p>
        </w:tc>
        <w:tc>
          <w:tcPr>
            <w:tcW w:w="2835" w:type="dxa"/>
          </w:tcPr>
          <w:p w:rsidR="009644CB" w:rsidRPr="009644CB" w:rsidRDefault="009644CB" w:rsidP="009644CB">
            <w:pPr>
              <w:tabs>
                <w:tab w:val="left" w:pos="4047"/>
              </w:tabs>
              <w:jc w:val="both"/>
              <w:rPr>
                <w:rFonts w:ascii="Arial" w:hAnsi="Arial" w:cs="Arial"/>
                <w:sz w:val="20"/>
                <w:szCs w:val="20"/>
              </w:rPr>
            </w:pPr>
            <w:proofErr w:type="spellStart"/>
            <w:r w:rsidRPr="009644CB">
              <w:rPr>
                <w:rFonts w:ascii="Arial" w:eastAsia="Times New Roman" w:hAnsi="Arial" w:cs="Arial"/>
                <w:color w:val="000000"/>
                <w:sz w:val="20"/>
                <w:szCs w:val="20"/>
                <w:lang w:eastAsia="fr-FR"/>
              </w:rPr>
              <w:t>Isoconversional</w:t>
            </w:r>
            <w:proofErr w:type="spellEnd"/>
            <w:r w:rsidRPr="009644CB">
              <w:rPr>
                <w:rFonts w:ascii="Arial" w:eastAsia="Times New Roman" w:hAnsi="Arial" w:cs="Arial"/>
                <w:color w:val="000000"/>
                <w:sz w:val="20"/>
                <w:szCs w:val="20"/>
                <w:lang w:eastAsia="fr-FR"/>
              </w:rPr>
              <w:t xml:space="preserve"> method</w:t>
            </w:r>
          </w:p>
        </w:tc>
        <w:tc>
          <w:tcPr>
            <w:tcW w:w="155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Guarana seed residue</w:t>
            </w:r>
          </w:p>
        </w:tc>
        <w:tc>
          <w:tcPr>
            <w:tcW w:w="1707"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52-171</w:t>
            </w:r>
          </w:p>
        </w:tc>
        <w:tc>
          <w:tcPr>
            <w:tcW w:w="282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6.55−9.40 × 10^4</w:t>
            </w:r>
          </w:p>
        </w:tc>
      </w:tr>
      <w:tr w:rsidR="009644CB" w:rsidRPr="009644CB" w:rsidTr="009644CB">
        <w:trPr>
          <w:jc w:val="center"/>
        </w:trPr>
        <w:tc>
          <w:tcPr>
            <w:tcW w:w="2269" w:type="dxa"/>
          </w:tcPr>
          <w:p w:rsidR="009644CB" w:rsidRPr="009644CB" w:rsidRDefault="009644CB" w:rsidP="009644CB">
            <w:pPr>
              <w:tabs>
                <w:tab w:val="left" w:pos="4047"/>
              </w:tabs>
              <w:jc w:val="both"/>
              <w:rPr>
                <w:rFonts w:ascii="Arial" w:hAnsi="Arial" w:cs="Arial"/>
                <w:sz w:val="20"/>
                <w:szCs w:val="20"/>
              </w:rPr>
            </w:pPr>
            <w:proofErr w:type="spellStart"/>
            <w:r w:rsidRPr="009644CB">
              <w:rPr>
                <w:rFonts w:ascii="Arial" w:eastAsia="Times New Roman" w:hAnsi="Arial" w:cs="Arial"/>
                <w:b/>
                <w:i/>
                <w:color w:val="000000"/>
                <w:sz w:val="20"/>
                <w:szCs w:val="20"/>
                <w:lang w:eastAsia="fr-FR"/>
              </w:rPr>
              <w:t>Collazzo</w:t>
            </w:r>
            <w:proofErr w:type="spellEnd"/>
            <w:r w:rsidRPr="009644CB">
              <w:rPr>
                <w:rFonts w:ascii="Arial" w:eastAsia="Times New Roman" w:hAnsi="Arial" w:cs="Arial"/>
                <w:b/>
                <w:i/>
                <w:color w:val="000000"/>
                <w:sz w:val="20"/>
                <w:szCs w:val="20"/>
                <w:lang w:eastAsia="fr-FR"/>
              </w:rPr>
              <w:t xml:space="preserve"> et al.</w:t>
            </w:r>
            <w:r w:rsidRPr="009644CB">
              <w:rPr>
                <w:rFonts w:ascii="Arial" w:hAnsi="Arial" w:cs="Arial"/>
                <w:b/>
                <w:i/>
                <w:color w:val="000000"/>
                <w:lang w:eastAsia="fr-FR"/>
              </w:rPr>
              <w:fldChar w:fldCharType="begin"/>
            </w:r>
            <w:r w:rsidR="007819CF">
              <w:rPr>
                <w:rFonts w:ascii="Arial" w:eastAsia="Times New Roman" w:hAnsi="Arial" w:cs="Arial"/>
                <w:b/>
                <w:i/>
                <w:color w:val="000000"/>
                <w:sz w:val="20"/>
                <w:szCs w:val="20"/>
                <w:lang w:eastAsia="fr-FR"/>
              </w:rPr>
              <w:instrText xml:space="preserve"> ADDIN ZOTERO_ITEM CSL_CITATION {"citationID":"IdWkL4zU","properties":{"formattedCitation":"[37]","plainCitation":"[37]","noteIndex":0},"citationItems":[{"id":"KL15DYhl/UPkyPdKY","uris":["http://zotero.org/users/local/V8e1vJQi/items/ERKRCS8B"],"itemData":{"id":164,"type":"article-journal","abstract":"Elephant grass (Pennisetum Purpureum) is a promising source of renewable energy. Thermal degradation of this biomass in an inert atmosphere was studied. Thermogravimetric analysis were carried out at different heating rates (5–50 K minÀ1) and temperatures ranged from 473 to 773 K. Two model-free (isoconversional) methods, Kissinger (KAS) and Flinn-Wall-Ozawa (FWO) were used to determine the activation energy. Both methods indicated that the activation energy was relatively constant until the conversion 0.6. A non-linear method (Vyazovkin advanced isoconversional method) was used to evaluate the activation energy behavior. From Vyazovkin advanced isoconversional method (VYA), the average activation energy until conversion 0.6 was 185.28 ± 6.87 kJ molÀ1. The activation energies obtained through VYA were utilized to determine the reaction mechanism using master plots parameters (Criado method). The results showed that the main process reaction mechanism could be characterized by two successive reactions, a diffusion followed by a reaction-order model. A model-based method (three-component mechanism) was proposed considering parallel reactions in the entire pyrolysis process. Activation energy for hemicellulose, cellulose and lignin ranged from 46.5 to 65.5 kJ molÀ1, from 108.0 to 127.2 kJ molÀ1 and from 45.6 to 53.5 kJ molÀ1, respectively.","container-title":"Applied Thermal Engineering","DOI":"10.1016/j.applthermaleng.2016.09.012","ISSN":"13594311","journalAbbreviation":"Applied Thermal Engineering","language":"en","page":"1200-1211","source":"DOI.org (Crossref)","title":"A detailed non-isothermal kinetic study of elephant grass pyrolysis from different models","volume":"110","author":[{"family":"Collazzo","given":"G.C."},{"family":"Broetto","given":"C.C."},{"family":"Perondi","given":"D."},{"family":"Junges","given":"J."},{"family":"Dettmer","given":"A."},{"family":"Dornelles Filho","given":"A.A."},{"family":"Foletto","given":"E.L."},{"family":"Godinho","given":"M."}],"issued":{"date-parts":[["2017",1]]}}}],"schema":"https://github.com/citation-style-language/schema/raw/master/csl-citation.json"} </w:instrText>
            </w:r>
            <w:r w:rsidRPr="009644CB">
              <w:rPr>
                <w:rFonts w:ascii="Arial" w:hAnsi="Arial" w:cs="Arial"/>
                <w:b/>
                <w:i/>
                <w:color w:val="000000"/>
                <w:lang w:eastAsia="fr-FR"/>
              </w:rPr>
              <w:fldChar w:fldCharType="separate"/>
            </w:r>
            <w:r w:rsidR="007819CF" w:rsidRPr="007819CF">
              <w:rPr>
                <w:rFonts w:ascii="Arial" w:hAnsi="Arial" w:cs="Arial"/>
                <w:sz w:val="20"/>
              </w:rPr>
              <w:t>[37]</w:t>
            </w:r>
            <w:r w:rsidRPr="009644CB">
              <w:rPr>
                <w:rFonts w:ascii="Arial" w:hAnsi="Arial" w:cs="Arial"/>
                <w:b/>
                <w:i/>
                <w:color w:val="000000"/>
                <w:lang w:eastAsia="fr-FR"/>
              </w:rPr>
              <w:fldChar w:fldCharType="end"/>
            </w:r>
          </w:p>
        </w:tc>
        <w:tc>
          <w:tcPr>
            <w:tcW w:w="2835"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 xml:space="preserve">KAS, FWO </w:t>
            </w:r>
            <w:proofErr w:type="spellStart"/>
            <w:r w:rsidRPr="009644CB">
              <w:rPr>
                <w:rFonts w:ascii="Arial" w:eastAsia="Times New Roman" w:hAnsi="Arial" w:cs="Arial"/>
                <w:color w:val="000000"/>
                <w:sz w:val="20"/>
                <w:szCs w:val="20"/>
                <w:lang w:eastAsia="fr-FR"/>
              </w:rPr>
              <w:t>isoconversional</w:t>
            </w:r>
            <w:proofErr w:type="spellEnd"/>
            <w:r w:rsidRPr="009644CB">
              <w:rPr>
                <w:rFonts w:ascii="Arial" w:eastAsia="Times New Roman" w:hAnsi="Arial" w:cs="Arial"/>
                <w:color w:val="000000"/>
                <w:sz w:val="20"/>
                <w:szCs w:val="20"/>
                <w:lang w:eastAsia="fr-FR"/>
              </w:rPr>
              <w:t xml:space="preserve"> methods</w:t>
            </w:r>
          </w:p>
        </w:tc>
        <w:tc>
          <w:tcPr>
            <w:tcW w:w="155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Elephant grass</w:t>
            </w:r>
          </w:p>
        </w:tc>
        <w:tc>
          <w:tcPr>
            <w:tcW w:w="1707"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46.5−185.28</w:t>
            </w:r>
          </w:p>
        </w:tc>
        <w:tc>
          <w:tcPr>
            <w:tcW w:w="282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0.6 × 10^1 to 2.7 × 10^9</w:t>
            </w:r>
          </w:p>
        </w:tc>
      </w:tr>
      <w:tr w:rsidR="009644CB" w:rsidRPr="009644CB" w:rsidTr="009644CB">
        <w:trPr>
          <w:jc w:val="center"/>
        </w:trPr>
        <w:tc>
          <w:tcPr>
            <w:tcW w:w="2269" w:type="dxa"/>
          </w:tcPr>
          <w:p w:rsidR="009644CB" w:rsidRPr="009644CB" w:rsidRDefault="009644CB" w:rsidP="009644CB">
            <w:pPr>
              <w:tabs>
                <w:tab w:val="left" w:pos="4047"/>
              </w:tabs>
              <w:jc w:val="both"/>
              <w:rPr>
                <w:rFonts w:ascii="Arial" w:hAnsi="Arial" w:cs="Arial"/>
                <w:sz w:val="20"/>
                <w:szCs w:val="20"/>
              </w:rPr>
            </w:pPr>
            <w:proofErr w:type="spellStart"/>
            <w:r w:rsidRPr="009644CB">
              <w:rPr>
                <w:rFonts w:ascii="Arial" w:eastAsia="Times New Roman" w:hAnsi="Arial" w:cs="Arial"/>
                <w:b/>
                <w:i/>
                <w:color w:val="000000"/>
                <w:sz w:val="20"/>
                <w:szCs w:val="20"/>
                <w:lang w:eastAsia="fr-FR"/>
              </w:rPr>
              <w:t>Walkowiak</w:t>
            </w:r>
            <w:proofErr w:type="spellEnd"/>
            <w:r w:rsidRPr="009644CB">
              <w:rPr>
                <w:rFonts w:ascii="Arial" w:eastAsia="Times New Roman" w:hAnsi="Arial" w:cs="Arial"/>
                <w:b/>
                <w:i/>
                <w:color w:val="000000"/>
                <w:sz w:val="20"/>
                <w:szCs w:val="20"/>
                <w:lang w:eastAsia="fr-FR"/>
              </w:rPr>
              <w:t xml:space="preserve"> and </w:t>
            </w:r>
            <w:proofErr w:type="spellStart"/>
            <w:r w:rsidRPr="009644CB">
              <w:rPr>
                <w:rFonts w:ascii="Arial" w:eastAsia="Times New Roman" w:hAnsi="Arial" w:cs="Arial"/>
                <w:b/>
                <w:i/>
                <w:color w:val="000000"/>
                <w:sz w:val="20"/>
                <w:szCs w:val="20"/>
                <w:lang w:eastAsia="fr-FR"/>
              </w:rPr>
              <w:t>Bartkowiak</w:t>
            </w:r>
            <w:proofErr w:type="spellEnd"/>
            <w:r w:rsidRPr="009644CB">
              <w:rPr>
                <w:rFonts w:ascii="Arial" w:hAnsi="Arial" w:cs="Arial"/>
                <w:b/>
                <w:i/>
                <w:color w:val="000000"/>
                <w:lang w:eastAsia="fr-FR"/>
              </w:rPr>
              <w:fldChar w:fldCharType="begin"/>
            </w:r>
            <w:r w:rsidR="007819CF">
              <w:rPr>
                <w:rFonts w:ascii="Arial" w:eastAsia="Times New Roman" w:hAnsi="Arial" w:cs="Arial"/>
                <w:b/>
                <w:i/>
                <w:color w:val="000000"/>
                <w:sz w:val="20"/>
                <w:szCs w:val="20"/>
                <w:lang w:eastAsia="fr-FR"/>
              </w:rPr>
              <w:instrText xml:space="preserve"> ADDIN ZOTERO_ITEM CSL_CITATION {"citationID":"tUpqalkg","properties":{"formattedCitation":"[8]","plainCitation":"[8]","noteIndex":0},"citationItems":[{"id":"KL15DYhl/SrSgoCNM","uris":["http://zotero.org/users/local/V8e1vJQi/items/DZ7DFN4R"],"itemData":{"id":53,"type":"article-journal","abstract":"Thermal degradation behavior and kinetics of two agricultural (soy and oat hulls) and two forestry biomass (willow and spruce) residues were investigated using a unique combination of model-ﬁtting and model-free methods. Experiments were carried out in an inert atmosphere at diﬀerent heating rates. Both single step and multistep models were explored in deriving activation energies, frequency factors, and mechanisms of all four biomass residues. For the single step models, activation energy values ranged from 107.2 kJ/mol for willow and 139.7 kJ/mol for soy hull, and the frequency factors for both materials were 1.1 × 109 and 2.66 × 1012 s−1, respectively. The multistep models gave further insight into the diﬀerent mechanisms across the full degradation spectrum. There was an observed diﬀerence between the number of distinct steps/mechanisms for the agriculture-based versus wood-based biomass materials, with pyrolysis occurring in three distinct steps for the agricultural biomass residues while the woody residues degraded in two steps. The diﬀerence in the number of distinct steps can be attributed to the composition and distribution of components of the biomass, which would diﬀer based on the nature and source of the biomass.","container-title":"ACS Omega","DOI":"10.1021/acsomega.1c02937","ISSN":"2470-1343, 2470-1343","issue":"34","journalAbbreviation":"ACS Omega","language":"en","license":"https://creativecommons.org/licenses/by/4.0/","page":"22233-22247","source":"DOI.org (Crossref)","title":"Thermal and Kinetic Studies on Biomass Degradation &lt;i&gt;via&lt;/i&gt; Thermogravimetric Analysis: A Combination of Model-Fitting and Model-Free Approach","title-short":"Thermal and Kinetic Studies on Biomass Degradation &lt;i&gt;via&lt;/i&gt; Thermogravimetric Analysis","volume":"6","author":[{"family":"Emiola-Sadiq","given":"Tolu"},{"family":"Zhang","given":"Lifeng"},{"family":"Dalai","given":"Ajay K."}],"issued":{"date-parts":[["2021",8,31]]}}}],"schema":"https://github.com/citation-style-language/schema/raw/master/csl-citation.json"} </w:instrText>
            </w:r>
            <w:r w:rsidRPr="009644CB">
              <w:rPr>
                <w:rFonts w:ascii="Arial" w:hAnsi="Arial" w:cs="Arial"/>
                <w:b/>
                <w:i/>
                <w:color w:val="000000"/>
                <w:lang w:eastAsia="fr-FR"/>
              </w:rPr>
              <w:fldChar w:fldCharType="separate"/>
            </w:r>
            <w:r w:rsidRPr="009644CB">
              <w:rPr>
                <w:rFonts w:ascii="Arial" w:hAnsi="Arial" w:cs="Arial"/>
                <w:sz w:val="20"/>
                <w:szCs w:val="20"/>
              </w:rPr>
              <w:t>[8]</w:t>
            </w:r>
            <w:r w:rsidRPr="009644CB">
              <w:rPr>
                <w:rFonts w:ascii="Arial" w:hAnsi="Arial" w:cs="Arial"/>
                <w:b/>
                <w:i/>
                <w:color w:val="000000"/>
                <w:lang w:eastAsia="fr-FR"/>
              </w:rPr>
              <w:fldChar w:fldCharType="end"/>
            </w:r>
          </w:p>
        </w:tc>
        <w:tc>
          <w:tcPr>
            <w:tcW w:w="2835"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 xml:space="preserve">F1: Growth of individual radicals (first-order kinetic </w:t>
            </w:r>
            <w:proofErr w:type="gramStart"/>
            <w:r w:rsidRPr="009644CB">
              <w:rPr>
                <w:rFonts w:ascii="Arial" w:eastAsia="Times New Roman" w:hAnsi="Arial" w:cs="Arial"/>
                <w:color w:val="000000"/>
                <w:sz w:val="20"/>
                <w:szCs w:val="20"/>
                <w:lang w:eastAsia="fr-FR"/>
              </w:rPr>
              <w:t>process)D</w:t>
            </w:r>
            <w:proofErr w:type="gramEnd"/>
            <w:r w:rsidRPr="009644CB">
              <w:rPr>
                <w:rFonts w:ascii="Arial" w:eastAsia="Times New Roman" w:hAnsi="Arial" w:cs="Arial"/>
                <w:color w:val="000000"/>
                <w:sz w:val="20"/>
                <w:szCs w:val="20"/>
                <w:lang w:eastAsia="fr-FR"/>
              </w:rPr>
              <w:t>3: Three-dimensional diffusionR3: Three-dimensional translocation</w:t>
            </w:r>
          </w:p>
        </w:tc>
        <w:tc>
          <w:tcPr>
            <w:tcW w:w="155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Raw and roasted willow</w:t>
            </w:r>
          </w:p>
        </w:tc>
        <w:tc>
          <w:tcPr>
            <w:tcW w:w="1707"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138.1−227.3</w:t>
            </w:r>
          </w:p>
        </w:tc>
        <w:tc>
          <w:tcPr>
            <w:tcW w:w="282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1.19 × 10^10 to 1.27 × 10^19</w:t>
            </w:r>
          </w:p>
        </w:tc>
      </w:tr>
      <w:tr w:rsidR="009644CB" w:rsidRPr="009644CB" w:rsidTr="009644CB">
        <w:trPr>
          <w:jc w:val="center"/>
        </w:trPr>
        <w:tc>
          <w:tcPr>
            <w:tcW w:w="2269" w:type="dxa"/>
          </w:tcPr>
          <w:p w:rsidR="009644CB" w:rsidRPr="009644CB" w:rsidRDefault="009644CB" w:rsidP="009644CB">
            <w:pPr>
              <w:tabs>
                <w:tab w:val="left" w:pos="4047"/>
              </w:tabs>
              <w:jc w:val="both"/>
              <w:rPr>
                <w:rFonts w:ascii="Arial" w:hAnsi="Arial" w:cs="Arial"/>
                <w:sz w:val="20"/>
                <w:szCs w:val="20"/>
              </w:rPr>
            </w:pPr>
            <w:proofErr w:type="spellStart"/>
            <w:r w:rsidRPr="009644CB">
              <w:rPr>
                <w:rFonts w:ascii="Arial" w:eastAsia="Times New Roman" w:hAnsi="Arial" w:cs="Arial"/>
                <w:b/>
                <w:i/>
                <w:color w:val="000000"/>
                <w:sz w:val="20"/>
                <w:szCs w:val="20"/>
                <w:lang w:eastAsia="fr-FR"/>
              </w:rPr>
              <w:t>Açıkalın</w:t>
            </w:r>
            <w:proofErr w:type="spellEnd"/>
            <w:r w:rsidRPr="009644CB">
              <w:rPr>
                <w:rFonts w:ascii="Arial" w:eastAsia="Times New Roman" w:hAnsi="Arial" w:cs="Arial"/>
                <w:b/>
                <w:i/>
                <w:color w:val="000000"/>
                <w:sz w:val="20"/>
                <w:szCs w:val="20"/>
                <w:lang w:eastAsia="fr-FR"/>
              </w:rPr>
              <w:t xml:space="preserve"> et al</w:t>
            </w:r>
            <w:r w:rsidR="000E2BC9">
              <w:rPr>
                <w:rFonts w:ascii="Arial" w:eastAsia="Times New Roman" w:hAnsi="Arial" w:cs="Arial"/>
                <w:b/>
                <w:i/>
                <w:color w:val="000000"/>
                <w:sz w:val="20"/>
                <w:szCs w:val="20"/>
                <w:lang w:eastAsia="fr-FR"/>
              </w:rPr>
              <w:t xml:space="preserve"> </w:t>
            </w:r>
            <w:r w:rsidRPr="009644CB">
              <w:rPr>
                <w:rFonts w:ascii="Arial" w:hAnsi="Arial" w:cs="Arial"/>
                <w:b/>
                <w:i/>
                <w:color w:val="000000"/>
                <w:lang w:eastAsia="fr-FR"/>
              </w:rPr>
              <w:fldChar w:fldCharType="begin"/>
            </w:r>
            <w:r w:rsidR="007819CF">
              <w:rPr>
                <w:rFonts w:ascii="Arial" w:eastAsia="Times New Roman" w:hAnsi="Arial" w:cs="Arial"/>
                <w:b/>
                <w:i/>
                <w:color w:val="000000"/>
                <w:sz w:val="20"/>
                <w:szCs w:val="20"/>
                <w:lang w:eastAsia="fr-FR"/>
              </w:rPr>
              <w:instrText xml:space="preserve"> ADDIN ZOTERO_ITEM CSL_CITATION {"citationID":"MU2EfDzZ","properties":{"formattedCitation":"[17]","plainCitation":"[17]","noteIndex":0},"citationItems":[{"id":"KL15DYhl/CxjG72ix","uris":["http://zotero.org/users/local/V8e1vJQi/items/N8VNIS2S"],"itemData":{"id":132,"type":"article-journal","abstract":"The orange and potato peels can be evaluated as raw materials in pyrolysis process to produce sustainable fuels and chemicals. The present study focuses on determining pyrolysis characteristics and kinetics of orange and potato peels. Thus, thermogravimetric analyses of said peels were studied from ambient temperature to 650°C at 2, 10 and 15°C/min heating rates under N2 atmosphere. The studies revealed that the thermal decomposition of orange peels occurs in four stages whereas potato peels decompose in three stages. The second and third stages of orange peel pyrolysis and the second stage of potato peel pyrolysis were determined as active pyrolysis stages. The kinetic parameters of active pyrolysis stages were calculated by direct Arrhenius plot, Coats-Redfern, Friedman and Kissinger-Akahira-Sunose methods. The average activation energies calculated by all methods were relatively in good agreement for second stages, but the same cannot be said for the third stage of orange peel pyrolysis. Considering the conversion values based on volatiles and the calculated average activation energy values, the orange and potato peels were projected to be valuable and sustainable energy sources which can be evaluated by pyrolysis process.","container-title":"Biomass Conversion and Biorefinery","DOI":"10.1007/s13399-021-01387-z","ISSN":"2190-6815, 2190-6823","issue":"2","journalAbbreviation":"Biomass Conv. Bioref.","language":"en","page":"501-514","source":"DOI.org (Crossref)","title":"Evaluation of orange and potato peels as an energy source: a comprehensive study on their pyrolysis characteristics and kinetics","title-short":"Evaluation of orange and potato peels as an energy source","volume":"12","author":[{"family":"Açıkalın","given":"Korkut"}],"issued":{"date-parts":[["2022",2]]}}}],"schema":"https://github.com/citation-style-language/schema/raw/master/csl-citation.json"} </w:instrText>
            </w:r>
            <w:r w:rsidRPr="009644CB">
              <w:rPr>
                <w:rFonts w:ascii="Arial" w:hAnsi="Arial" w:cs="Arial"/>
                <w:b/>
                <w:i/>
                <w:color w:val="000000"/>
                <w:lang w:eastAsia="fr-FR"/>
              </w:rPr>
              <w:fldChar w:fldCharType="separate"/>
            </w:r>
            <w:r w:rsidR="007819CF" w:rsidRPr="007819CF">
              <w:rPr>
                <w:rFonts w:ascii="Arial" w:hAnsi="Arial" w:cs="Arial"/>
                <w:sz w:val="20"/>
              </w:rPr>
              <w:t>[17]</w:t>
            </w:r>
            <w:r w:rsidRPr="009644CB">
              <w:rPr>
                <w:rFonts w:ascii="Arial" w:hAnsi="Arial" w:cs="Arial"/>
                <w:b/>
                <w:i/>
                <w:color w:val="000000"/>
                <w:lang w:eastAsia="fr-FR"/>
              </w:rPr>
              <w:fldChar w:fldCharType="end"/>
            </w:r>
          </w:p>
        </w:tc>
        <w:tc>
          <w:tcPr>
            <w:tcW w:w="2835"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Coats-Redfern</w:t>
            </w:r>
          </w:p>
        </w:tc>
        <w:tc>
          <w:tcPr>
            <w:tcW w:w="155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Orange peel</w:t>
            </w:r>
          </w:p>
        </w:tc>
        <w:tc>
          <w:tcPr>
            <w:tcW w:w="1707" w:type="dxa"/>
          </w:tcPr>
          <w:p w:rsidR="009644CB" w:rsidRPr="009644CB" w:rsidRDefault="009644CB" w:rsidP="009644CB">
            <w:pPr>
              <w:tabs>
                <w:tab w:val="left" w:pos="4047"/>
              </w:tabs>
              <w:jc w:val="both"/>
              <w:rPr>
                <w:rFonts w:ascii="Arial" w:hAnsi="Arial" w:cs="Arial"/>
                <w:sz w:val="20"/>
                <w:szCs w:val="20"/>
              </w:rPr>
            </w:pPr>
            <w:r w:rsidRPr="009644CB">
              <w:rPr>
                <w:rFonts w:ascii="Arial" w:hAnsi="Arial" w:cs="Arial"/>
                <w:sz w:val="20"/>
                <w:szCs w:val="20"/>
              </w:rPr>
              <w:t>120.68 - 144.78</w:t>
            </w:r>
          </w:p>
        </w:tc>
        <w:tc>
          <w:tcPr>
            <w:tcW w:w="2829" w:type="dxa"/>
          </w:tcPr>
          <w:p w:rsidR="009644CB" w:rsidRPr="009644CB" w:rsidRDefault="009644CB" w:rsidP="009644CB">
            <w:pPr>
              <w:tabs>
                <w:tab w:val="left" w:pos="4047"/>
              </w:tabs>
              <w:jc w:val="both"/>
              <w:rPr>
                <w:rFonts w:ascii="Arial" w:hAnsi="Arial" w:cs="Arial"/>
                <w:sz w:val="20"/>
                <w:szCs w:val="20"/>
              </w:rPr>
            </w:pPr>
            <w:r w:rsidRPr="009644CB">
              <w:rPr>
                <w:rFonts w:ascii="Arial" w:hAnsi="Arial" w:cs="Arial"/>
                <w:sz w:val="20"/>
                <w:szCs w:val="20"/>
              </w:rPr>
              <w:t>9.8150</w:t>
            </w:r>
            <w:r w:rsidRPr="009644CB">
              <w:rPr>
                <w:rFonts w:ascii="Arial" w:eastAsia="Times New Roman" w:hAnsi="Arial" w:cs="Arial"/>
                <w:color w:val="000000"/>
                <w:sz w:val="20"/>
                <w:szCs w:val="20"/>
                <w:lang w:eastAsia="fr-FR"/>
              </w:rPr>
              <w:t>×10^10 to 4.909310^13</w:t>
            </w:r>
          </w:p>
        </w:tc>
      </w:tr>
    </w:tbl>
    <w:p w:rsidR="002D38BF" w:rsidRDefault="002D38BF" w:rsidP="002C46C1">
      <w:pPr>
        <w:tabs>
          <w:tab w:val="left" w:pos="1420"/>
        </w:tabs>
        <w:jc w:val="both"/>
        <w:rPr>
          <w:rFonts w:ascii="Arial" w:hAnsi="Arial" w:cs="Arial"/>
        </w:rPr>
      </w:pPr>
    </w:p>
    <w:p w:rsidR="00160351" w:rsidRPr="002D38BF" w:rsidRDefault="00160351" w:rsidP="00FA1AF8">
      <w:pPr>
        <w:pStyle w:val="ListParagraph"/>
        <w:numPr>
          <w:ilvl w:val="0"/>
          <w:numId w:val="41"/>
        </w:numPr>
        <w:tabs>
          <w:tab w:val="left" w:pos="4047"/>
        </w:tabs>
        <w:spacing w:line="360" w:lineRule="auto"/>
        <w:jc w:val="both"/>
        <w:rPr>
          <w:rFonts w:ascii="Arial" w:hAnsi="Arial" w:cs="Arial"/>
          <w:b/>
          <w:sz w:val="20"/>
        </w:rPr>
      </w:pPr>
      <w:r w:rsidRPr="002D38BF">
        <w:rPr>
          <w:rFonts w:ascii="Arial" w:hAnsi="Arial" w:cs="Arial"/>
          <w:b/>
          <w:sz w:val="20"/>
        </w:rPr>
        <w:t>RESEARCH PERSPECTIVE</w:t>
      </w:r>
    </w:p>
    <w:p w:rsidR="00B27C47" w:rsidRPr="00B27C47" w:rsidRDefault="00B27C47" w:rsidP="00B27C47">
      <w:pPr>
        <w:tabs>
          <w:tab w:val="left" w:pos="4047"/>
        </w:tabs>
        <w:jc w:val="both"/>
        <w:rPr>
          <w:rFonts w:ascii="Arial" w:hAnsi="Arial" w:cs="Arial"/>
        </w:rPr>
      </w:pPr>
      <w:r w:rsidRPr="00B27C47">
        <w:rPr>
          <w:rFonts w:ascii="Arial" w:hAnsi="Arial" w:cs="Arial"/>
        </w:rPr>
        <w:t>After reading and understanding the literature, several avenues can be developed with the aim of contributing to the development of this science that is thermal decomposition kinetics.</w:t>
      </w:r>
    </w:p>
    <w:p w:rsidR="00B27C47" w:rsidRPr="00B27C47" w:rsidRDefault="00B27C47" w:rsidP="00FA1AF8">
      <w:pPr>
        <w:pStyle w:val="ListParagraph"/>
        <w:numPr>
          <w:ilvl w:val="1"/>
          <w:numId w:val="41"/>
        </w:numPr>
        <w:tabs>
          <w:tab w:val="left" w:pos="4047"/>
        </w:tabs>
        <w:spacing w:after="0" w:line="240" w:lineRule="auto"/>
        <w:jc w:val="both"/>
        <w:rPr>
          <w:rFonts w:ascii="Arial" w:hAnsi="Arial" w:cs="Arial"/>
          <w:b/>
          <w:i/>
          <w:sz w:val="20"/>
        </w:rPr>
      </w:pPr>
      <w:r w:rsidRPr="00B27C47">
        <w:rPr>
          <w:rFonts w:ascii="Arial" w:hAnsi="Arial" w:cs="Arial"/>
          <w:b/>
          <w:i/>
          <w:sz w:val="20"/>
        </w:rPr>
        <w:t xml:space="preserve">Expanding the application of </w:t>
      </w:r>
      <w:proofErr w:type="spellStart"/>
      <w:r w:rsidRPr="00B27C47">
        <w:rPr>
          <w:rFonts w:ascii="Arial" w:hAnsi="Arial" w:cs="Arial"/>
          <w:b/>
          <w:i/>
          <w:sz w:val="20"/>
        </w:rPr>
        <w:t>kinetic</w:t>
      </w:r>
      <w:proofErr w:type="spellEnd"/>
      <w:r w:rsidRPr="00B27C47">
        <w:rPr>
          <w:rFonts w:ascii="Arial" w:hAnsi="Arial" w:cs="Arial"/>
          <w:b/>
          <w:i/>
          <w:sz w:val="20"/>
        </w:rPr>
        <w:t xml:space="preserve"> </w:t>
      </w:r>
      <w:proofErr w:type="spellStart"/>
      <w:r w:rsidRPr="00B27C47">
        <w:rPr>
          <w:rFonts w:ascii="Arial" w:hAnsi="Arial" w:cs="Arial"/>
          <w:b/>
          <w:i/>
          <w:sz w:val="20"/>
        </w:rPr>
        <w:t>methods</w:t>
      </w:r>
      <w:proofErr w:type="spellEnd"/>
      <w:r w:rsidRPr="00B27C47">
        <w:rPr>
          <w:rFonts w:ascii="Arial" w:hAnsi="Arial" w:cs="Arial"/>
          <w:b/>
          <w:i/>
          <w:sz w:val="20"/>
        </w:rPr>
        <w:t xml:space="preserve">  </w:t>
      </w:r>
    </w:p>
    <w:p w:rsidR="00B27C47" w:rsidRPr="00B27C47" w:rsidRDefault="00B27C47" w:rsidP="00B27C47">
      <w:pPr>
        <w:tabs>
          <w:tab w:val="left" w:pos="4047"/>
        </w:tabs>
        <w:jc w:val="both"/>
        <w:rPr>
          <w:rFonts w:ascii="Arial" w:hAnsi="Arial" w:cs="Arial"/>
          <w:b/>
          <w:i/>
        </w:rPr>
      </w:pPr>
      <w:r w:rsidRPr="00B27C47">
        <w:rPr>
          <w:rFonts w:ascii="Arial" w:hAnsi="Arial" w:cs="Arial"/>
        </w:rPr>
        <w:t>Apply these kinetic methods to a wider range of biomasses to identify more efficient feedstocks for biofuel production. This includes examining the effect of different experimental parameters, such as higher heating rates and the use of reactive atmospheres, such as oxidizing atmospheres.</w:t>
      </w:r>
    </w:p>
    <w:p w:rsidR="00B27C47" w:rsidRPr="00B27C47" w:rsidRDefault="00B27C47" w:rsidP="00FA1AF8">
      <w:pPr>
        <w:pStyle w:val="ListParagraph"/>
        <w:numPr>
          <w:ilvl w:val="1"/>
          <w:numId w:val="41"/>
        </w:numPr>
        <w:tabs>
          <w:tab w:val="left" w:pos="4047"/>
        </w:tabs>
        <w:spacing w:after="0" w:line="240" w:lineRule="auto"/>
        <w:jc w:val="both"/>
        <w:rPr>
          <w:rFonts w:ascii="Arial" w:hAnsi="Arial" w:cs="Arial"/>
          <w:b/>
          <w:i/>
          <w:sz w:val="20"/>
        </w:rPr>
      </w:pPr>
      <w:r w:rsidRPr="00B27C47">
        <w:rPr>
          <w:rFonts w:ascii="Arial" w:hAnsi="Arial" w:cs="Arial"/>
          <w:sz w:val="20"/>
        </w:rPr>
        <w:t xml:space="preserve">Optimization of briquette production </w:t>
      </w:r>
      <w:proofErr w:type="spellStart"/>
      <w:r w:rsidRPr="00B27C47">
        <w:rPr>
          <w:rFonts w:ascii="Arial" w:hAnsi="Arial" w:cs="Arial"/>
          <w:sz w:val="20"/>
        </w:rPr>
        <w:t>parameters</w:t>
      </w:r>
      <w:proofErr w:type="spellEnd"/>
    </w:p>
    <w:p w:rsidR="00B27C47" w:rsidRPr="00B27C47" w:rsidRDefault="00B27C47" w:rsidP="00B27C47">
      <w:pPr>
        <w:tabs>
          <w:tab w:val="left" w:pos="4047"/>
        </w:tabs>
        <w:jc w:val="both"/>
        <w:rPr>
          <w:rFonts w:ascii="Arial" w:hAnsi="Arial" w:cs="Arial"/>
        </w:rPr>
      </w:pPr>
      <w:r w:rsidRPr="00B27C47">
        <w:rPr>
          <w:rFonts w:ascii="Arial" w:hAnsi="Arial" w:cs="Arial"/>
        </w:rPr>
        <w:t>Optimize briquette production parameters, such as pressure, temperature, and humidity, to maximize energy density while minimizing pollutant emissions. At the same time, determine the optimal binder ratio for each type of biomass charcoal to improve briquette quality.</w:t>
      </w:r>
    </w:p>
    <w:p w:rsidR="00B27C47" w:rsidRPr="00B27C47" w:rsidRDefault="00B27C47" w:rsidP="00FA1AF8">
      <w:pPr>
        <w:pStyle w:val="ListParagraph"/>
        <w:numPr>
          <w:ilvl w:val="1"/>
          <w:numId w:val="41"/>
        </w:numPr>
        <w:tabs>
          <w:tab w:val="left" w:pos="4047"/>
        </w:tabs>
        <w:spacing w:after="0" w:line="240" w:lineRule="auto"/>
        <w:jc w:val="both"/>
        <w:rPr>
          <w:rFonts w:ascii="Arial" w:hAnsi="Arial" w:cs="Arial"/>
          <w:b/>
          <w:i/>
          <w:sz w:val="20"/>
        </w:rPr>
      </w:pPr>
      <w:proofErr w:type="spellStart"/>
      <w:r w:rsidRPr="00B27C47">
        <w:rPr>
          <w:rFonts w:ascii="Arial" w:hAnsi="Arial" w:cs="Arial"/>
          <w:sz w:val="20"/>
        </w:rPr>
        <w:t>Environmental</w:t>
      </w:r>
      <w:proofErr w:type="spellEnd"/>
      <w:r w:rsidRPr="00B27C47">
        <w:rPr>
          <w:rFonts w:ascii="Arial" w:hAnsi="Arial" w:cs="Arial"/>
          <w:sz w:val="20"/>
        </w:rPr>
        <w:t xml:space="preserve"> and </w:t>
      </w:r>
      <w:proofErr w:type="spellStart"/>
      <w:r w:rsidRPr="00B27C47">
        <w:rPr>
          <w:rFonts w:ascii="Arial" w:hAnsi="Arial" w:cs="Arial"/>
          <w:sz w:val="20"/>
        </w:rPr>
        <w:t>economic</w:t>
      </w:r>
      <w:proofErr w:type="spellEnd"/>
      <w:r w:rsidRPr="00B27C47">
        <w:rPr>
          <w:rFonts w:ascii="Arial" w:hAnsi="Arial" w:cs="Arial"/>
          <w:sz w:val="20"/>
        </w:rPr>
        <w:t xml:space="preserve"> impact </w:t>
      </w:r>
      <w:proofErr w:type="spellStart"/>
      <w:r w:rsidRPr="00B27C47">
        <w:rPr>
          <w:rFonts w:ascii="Arial" w:hAnsi="Arial" w:cs="Arial"/>
          <w:sz w:val="20"/>
        </w:rPr>
        <w:t>studies</w:t>
      </w:r>
      <w:proofErr w:type="spellEnd"/>
    </w:p>
    <w:p w:rsidR="00B27C47" w:rsidRPr="00B27C47" w:rsidRDefault="00B27C47" w:rsidP="00B27C47">
      <w:pPr>
        <w:tabs>
          <w:tab w:val="left" w:pos="4047"/>
        </w:tabs>
        <w:jc w:val="both"/>
        <w:rPr>
          <w:rFonts w:ascii="Arial" w:hAnsi="Arial" w:cs="Arial"/>
        </w:rPr>
      </w:pPr>
      <w:r w:rsidRPr="00B27C47">
        <w:rPr>
          <w:rFonts w:ascii="Arial" w:hAnsi="Arial" w:cs="Arial"/>
        </w:rPr>
        <w:t>Study the long-term environmental and economic impact of using biomass briquettes to fully assess their viability as an alternative to fossil fuels. Further analysis should include emissions of pollutants other than CO2 and CO, with proposals to minimize these emissions.</w:t>
      </w:r>
    </w:p>
    <w:p w:rsidR="00B27C47" w:rsidRPr="00B27C47" w:rsidRDefault="00B27C47" w:rsidP="00FA1AF8">
      <w:pPr>
        <w:pStyle w:val="ListParagraph"/>
        <w:numPr>
          <w:ilvl w:val="1"/>
          <w:numId w:val="41"/>
        </w:numPr>
        <w:tabs>
          <w:tab w:val="left" w:pos="4047"/>
        </w:tabs>
        <w:spacing w:after="0" w:line="240" w:lineRule="auto"/>
        <w:jc w:val="both"/>
        <w:rPr>
          <w:rFonts w:ascii="Arial" w:hAnsi="Arial" w:cs="Arial"/>
          <w:b/>
          <w:i/>
          <w:sz w:val="20"/>
        </w:rPr>
      </w:pPr>
      <w:proofErr w:type="spellStart"/>
      <w:r w:rsidRPr="00B27C47">
        <w:rPr>
          <w:rFonts w:ascii="Arial" w:hAnsi="Arial" w:cs="Arial"/>
          <w:b/>
          <w:i/>
          <w:sz w:val="20"/>
        </w:rPr>
        <w:t>Integration</w:t>
      </w:r>
      <w:proofErr w:type="spellEnd"/>
      <w:r w:rsidRPr="00B27C47">
        <w:rPr>
          <w:rFonts w:ascii="Arial" w:hAnsi="Arial" w:cs="Arial"/>
          <w:b/>
          <w:i/>
          <w:sz w:val="20"/>
        </w:rPr>
        <w:t xml:space="preserve"> of </w:t>
      </w:r>
      <w:proofErr w:type="spellStart"/>
      <w:r w:rsidRPr="00B27C47">
        <w:rPr>
          <w:rFonts w:ascii="Arial" w:hAnsi="Arial" w:cs="Arial"/>
          <w:b/>
          <w:i/>
          <w:sz w:val="20"/>
        </w:rPr>
        <w:t>advanced</w:t>
      </w:r>
      <w:proofErr w:type="spellEnd"/>
      <w:r w:rsidRPr="00B27C47">
        <w:rPr>
          <w:rFonts w:ascii="Arial" w:hAnsi="Arial" w:cs="Arial"/>
          <w:b/>
          <w:i/>
          <w:sz w:val="20"/>
        </w:rPr>
        <w:t xml:space="preserve"> combustion technologies  </w:t>
      </w:r>
    </w:p>
    <w:p w:rsidR="00B27C47" w:rsidRPr="00B27C47" w:rsidRDefault="00B27C47" w:rsidP="00B27C47">
      <w:pPr>
        <w:tabs>
          <w:tab w:val="left" w:pos="4047"/>
        </w:tabs>
        <w:jc w:val="both"/>
        <w:rPr>
          <w:rFonts w:ascii="Arial" w:hAnsi="Arial" w:cs="Arial"/>
        </w:rPr>
      </w:pPr>
      <w:r w:rsidRPr="00B27C47">
        <w:rPr>
          <w:rFonts w:ascii="Arial" w:hAnsi="Arial" w:cs="Arial"/>
        </w:rPr>
        <w:lastRenderedPageBreak/>
        <w:t>Develop and integrate advanced combustion technologies to improve the energy conversion efficiency of biomass briquettes, thereby reducing emissions and increasing profitability.</w:t>
      </w:r>
    </w:p>
    <w:p w:rsidR="00B27C47" w:rsidRPr="00B27C47" w:rsidRDefault="00B27C47" w:rsidP="00FA1AF8">
      <w:pPr>
        <w:pStyle w:val="ListParagraph"/>
        <w:numPr>
          <w:ilvl w:val="1"/>
          <w:numId w:val="41"/>
        </w:numPr>
        <w:tabs>
          <w:tab w:val="left" w:pos="4047"/>
        </w:tabs>
        <w:spacing w:after="0" w:line="240" w:lineRule="auto"/>
        <w:jc w:val="both"/>
        <w:rPr>
          <w:rFonts w:ascii="Arial" w:hAnsi="Arial" w:cs="Arial"/>
          <w:b/>
          <w:i/>
          <w:sz w:val="20"/>
        </w:rPr>
      </w:pPr>
      <w:proofErr w:type="spellStart"/>
      <w:r w:rsidRPr="00B27C47">
        <w:rPr>
          <w:rFonts w:ascii="Arial" w:hAnsi="Arial" w:cs="Arial"/>
          <w:sz w:val="20"/>
        </w:rPr>
        <w:t>Optimization</w:t>
      </w:r>
      <w:proofErr w:type="spellEnd"/>
      <w:r w:rsidRPr="00B27C47">
        <w:rPr>
          <w:rFonts w:ascii="Arial" w:hAnsi="Arial" w:cs="Arial"/>
          <w:sz w:val="20"/>
        </w:rPr>
        <w:t xml:space="preserve"> of the composition of briquettes</w:t>
      </w:r>
    </w:p>
    <w:p w:rsidR="00B27C47" w:rsidRPr="00B27C47" w:rsidRDefault="00B27C47" w:rsidP="00B27C47">
      <w:pPr>
        <w:tabs>
          <w:tab w:val="left" w:pos="4047"/>
        </w:tabs>
        <w:jc w:val="both"/>
        <w:rPr>
          <w:rFonts w:ascii="Arial" w:hAnsi="Arial" w:cs="Arial"/>
        </w:rPr>
      </w:pPr>
      <w:r w:rsidRPr="00B27C47">
        <w:rPr>
          <w:rFonts w:ascii="Arial" w:hAnsi="Arial" w:cs="Arial"/>
        </w:rPr>
        <w:t>Explore the optimization of briquette compositions by integrating various biomass materials and additives, as well as the use of different types of binders or combinations of binders to improve the combustion performance and durability of briquettes, particularly in humid environments.</w:t>
      </w:r>
    </w:p>
    <w:p w:rsidR="00B27C47" w:rsidRPr="00B27C47" w:rsidRDefault="00B27C47" w:rsidP="00FA1AF8">
      <w:pPr>
        <w:pStyle w:val="ListParagraph"/>
        <w:numPr>
          <w:ilvl w:val="1"/>
          <w:numId w:val="41"/>
        </w:numPr>
        <w:tabs>
          <w:tab w:val="left" w:pos="4047"/>
        </w:tabs>
        <w:spacing w:after="0" w:line="240" w:lineRule="auto"/>
        <w:jc w:val="both"/>
        <w:rPr>
          <w:rFonts w:ascii="Arial" w:hAnsi="Arial" w:cs="Arial"/>
          <w:b/>
          <w:i/>
          <w:sz w:val="20"/>
        </w:rPr>
      </w:pPr>
      <w:r w:rsidRPr="00B27C47">
        <w:rPr>
          <w:rFonts w:ascii="Arial" w:hAnsi="Arial" w:cs="Arial"/>
          <w:b/>
          <w:i/>
          <w:sz w:val="20"/>
        </w:rPr>
        <w:t xml:space="preserve">Combustion performance </w:t>
      </w:r>
      <w:proofErr w:type="spellStart"/>
      <w:r w:rsidRPr="00B27C47">
        <w:rPr>
          <w:rFonts w:ascii="Arial" w:hAnsi="Arial" w:cs="Arial"/>
          <w:b/>
          <w:i/>
          <w:sz w:val="20"/>
        </w:rPr>
        <w:t>studies</w:t>
      </w:r>
      <w:proofErr w:type="spellEnd"/>
    </w:p>
    <w:p w:rsidR="00B27C47" w:rsidRPr="00B27C47" w:rsidRDefault="00B27C47" w:rsidP="00B27C47">
      <w:pPr>
        <w:tabs>
          <w:tab w:val="left" w:pos="4047"/>
        </w:tabs>
        <w:jc w:val="both"/>
        <w:rPr>
          <w:rFonts w:ascii="Arial" w:hAnsi="Arial" w:cs="Arial"/>
        </w:rPr>
      </w:pPr>
      <w:r w:rsidRPr="00B27C47">
        <w:rPr>
          <w:rFonts w:ascii="Arial" w:hAnsi="Arial" w:cs="Arial"/>
        </w:rPr>
        <w:t xml:space="preserve">To study the effect of compaction pressure on ignition time, flame duration and combustion rate of briquettes through firing tests. </w:t>
      </w:r>
      <w:proofErr w:type="gramStart"/>
      <w:r w:rsidRPr="00B27C47">
        <w:rPr>
          <w:rFonts w:ascii="Arial" w:hAnsi="Arial" w:cs="Arial"/>
        </w:rPr>
        <w:t>Also</w:t>
      </w:r>
      <w:proofErr w:type="gramEnd"/>
      <w:r w:rsidRPr="00B27C47">
        <w:rPr>
          <w:rFonts w:ascii="Arial" w:hAnsi="Arial" w:cs="Arial"/>
        </w:rPr>
        <w:t xml:space="preserve"> to investigate the transient and dynamic effects of combustion by changing the initial conditions and combustion regimes.</w:t>
      </w:r>
    </w:p>
    <w:p w:rsidR="00B27C47" w:rsidRPr="00B27C47" w:rsidRDefault="00B27C47" w:rsidP="00FA1AF8">
      <w:pPr>
        <w:pStyle w:val="ListParagraph"/>
        <w:numPr>
          <w:ilvl w:val="1"/>
          <w:numId w:val="41"/>
        </w:numPr>
        <w:tabs>
          <w:tab w:val="left" w:pos="4047"/>
        </w:tabs>
        <w:spacing w:after="0" w:line="240" w:lineRule="auto"/>
        <w:jc w:val="both"/>
        <w:rPr>
          <w:rFonts w:ascii="Arial" w:hAnsi="Arial" w:cs="Arial"/>
          <w:b/>
          <w:i/>
          <w:sz w:val="20"/>
        </w:rPr>
      </w:pPr>
      <w:proofErr w:type="spellStart"/>
      <w:r w:rsidRPr="00B27C47">
        <w:rPr>
          <w:rFonts w:ascii="Arial" w:hAnsi="Arial" w:cs="Arial"/>
          <w:b/>
          <w:i/>
          <w:sz w:val="20"/>
        </w:rPr>
        <w:t>Valorization</w:t>
      </w:r>
      <w:proofErr w:type="spellEnd"/>
      <w:r w:rsidRPr="00B27C47">
        <w:rPr>
          <w:rFonts w:ascii="Arial" w:hAnsi="Arial" w:cs="Arial"/>
          <w:b/>
          <w:i/>
          <w:sz w:val="20"/>
        </w:rPr>
        <w:t xml:space="preserve"> of </w:t>
      </w:r>
      <w:proofErr w:type="spellStart"/>
      <w:r w:rsidRPr="00B27C47">
        <w:rPr>
          <w:rFonts w:ascii="Arial" w:hAnsi="Arial" w:cs="Arial"/>
          <w:b/>
          <w:i/>
          <w:sz w:val="20"/>
        </w:rPr>
        <w:t>pyrolysis</w:t>
      </w:r>
      <w:proofErr w:type="spellEnd"/>
      <w:r w:rsidRPr="00B27C47">
        <w:rPr>
          <w:rFonts w:ascii="Arial" w:hAnsi="Arial" w:cs="Arial"/>
          <w:b/>
          <w:i/>
          <w:sz w:val="20"/>
        </w:rPr>
        <w:t xml:space="preserve"> by-</w:t>
      </w:r>
      <w:proofErr w:type="spellStart"/>
      <w:r w:rsidRPr="00B27C47">
        <w:rPr>
          <w:rFonts w:ascii="Arial" w:hAnsi="Arial" w:cs="Arial"/>
          <w:b/>
          <w:i/>
          <w:sz w:val="20"/>
        </w:rPr>
        <w:t>products</w:t>
      </w:r>
      <w:proofErr w:type="spellEnd"/>
    </w:p>
    <w:p w:rsidR="00B27C47" w:rsidRPr="00B27C47" w:rsidRDefault="00B27C47" w:rsidP="00B27C47">
      <w:pPr>
        <w:tabs>
          <w:tab w:val="left" w:pos="4047"/>
        </w:tabs>
        <w:jc w:val="both"/>
        <w:rPr>
          <w:rFonts w:ascii="Arial" w:hAnsi="Arial" w:cs="Arial"/>
        </w:rPr>
      </w:pPr>
      <w:r w:rsidRPr="00B27C47">
        <w:rPr>
          <w:rFonts w:ascii="Arial" w:hAnsi="Arial" w:cs="Arial"/>
        </w:rPr>
        <w:t>Investigate the recovery of pyrolysis by-products, such as biochar from corn cobs, for applications such as soil improvement or as an adsorbent material, thus contributing to a more integrated and sustainable use of biomass.</w:t>
      </w:r>
    </w:p>
    <w:p w:rsidR="00160351" w:rsidRDefault="00160351" w:rsidP="00441B6F">
      <w:pPr>
        <w:pStyle w:val="Body"/>
        <w:spacing w:after="0"/>
        <w:rPr>
          <w:rFonts w:ascii="Arial" w:hAnsi="Arial" w:cs="Arial"/>
        </w:rPr>
      </w:pPr>
    </w:p>
    <w:p w:rsidR="00082555" w:rsidRDefault="00082555" w:rsidP="00FA1AF8">
      <w:pPr>
        <w:pStyle w:val="ListParagraph"/>
        <w:numPr>
          <w:ilvl w:val="0"/>
          <w:numId w:val="41"/>
        </w:numPr>
        <w:tabs>
          <w:tab w:val="left" w:pos="4047"/>
        </w:tabs>
        <w:spacing w:line="360" w:lineRule="auto"/>
        <w:jc w:val="both"/>
        <w:rPr>
          <w:rFonts w:ascii="Arial" w:hAnsi="Arial" w:cs="Arial"/>
          <w:b/>
        </w:rPr>
      </w:pPr>
      <w:r w:rsidRPr="002D38BF">
        <w:rPr>
          <w:rFonts w:ascii="Arial" w:hAnsi="Arial" w:cs="Arial"/>
          <w:b/>
        </w:rPr>
        <w:t>CONCLUSION</w:t>
      </w:r>
    </w:p>
    <w:p w:rsidR="000F30F8" w:rsidRPr="000F30F8" w:rsidRDefault="000F30F8" w:rsidP="000F30F8">
      <w:pPr>
        <w:jc w:val="both"/>
        <w:rPr>
          <w:rFonts w:ascii="Arial" w:hAnsi="Arial" w:cs="Arial"/>
          <w:szCs w:val="24"/>
          <w:lang w:eastAsia="fr-FR"/>
        </w:rPr>
      </w:pPr>
      <w:r w:rsidRPr="000F30F8">
        <w:rPr>
          <w:rFonts w:ascii="Arial" w:hAnsi="Arial" w:cs="Arial"/>
          <w:szCs w:val="24"/>
          <w:lang w:eastAsia="fr-FR"/>
        </w:rPr>
        <w:t xml:space="preserve">The thermal decomposition kinetics of solid biomass residues is a crucial research area for the energy recovery of these renewable resources. Over the past decade, studies have provided insights into the complex mechanisms governing the pyrolysis and thermal decomposition of various types of biomass. </w:t>
      </w:r>
      <w:proofErr w:type="spellStart"/>
      <w:r w:rsidRPr="000F30F8">
        <w:rPr>
          <w:rFonts w:ascii="Arial" w:hAnsi="Arial" w:cs="Arial"/>
          <w:szCs w:val="24"/>
          <w:lang w:eastAsia="fr-FR"/>
        </w:rPr>
        <w:t>Isoconversional</w:t>
      </w:r>
      <w:proofErr w:type="spellEnd"/>
      <w:r w:rsidRPr="000F30F8">
        <w:rPr>
          <w:rFonts w:ascii="Arial" w:hAnsi="Arial" w:cs="Arial"/>
          <w:szCs w:val="24"/>
          <w:lang w:eastAsia="fr-FR"/>
        </w:rPr>
        <w:t xml:space="preserve"> methods and approaches based on specific kinetic models have each made significant contributions, offering complementary perspectives on the dynamics of these processes.</w:t>
      </w:r>
    </w:p>
    <w:p w:rsidR="000F30F8" w:rsidRPr="000F30F8" w:rsidRDefault="000F30F8" w:rsidP="000F30F8">
      <w:pPr>
        <w:jc w:val="both"/>
        <w:rPr>
          <w:rFonts w:ascii="Arial" w:hAnsi="Arial" w:cs="Arial"/>
          <w:szCs w:val="24"/>
          <w:lang w:eastAsia="fr-FR"/>
        </w:rPr>
      </w:pPr>
      <w:r w:rsidRPr="000F30F8">
        <w:rPr>
          <w:rFonts w:ascii="Arial" w:hAnsi="Arial" w:cs="Arial"/>
          <w:szCs w:val="24"/>
          <w:lang w:eastAsia="fr-FR"/>
        </w:rPr>
        <w:t>However, despite the progress made, challenges remain. Limitations associated with the accuracy of existing models, the variability of experimental data, and the inherent complexity of decomposition mechanisms all require further research. To address these challenges, it is essential to develop new models that are more representative of real-world mechanisms, improve experimental techniques, and integrate advanced analytical tools. Furthermore, a better understanding of the interactions between kinetic parameters and thermal treatment conditions could help optimize biomass conversion processes, thus increasing their efficiency and economic viability. The research perspectives proposed in this review aim to guide future work towards these objectives, in order to fill current gaps and enhance the potential of biomass as a sustainable energy source.</w:t>
      </w:r>
    </w:p>
    <w:p w:rsidR="000F30F8" w:rsidRPr="000F30F8" w:rsidRDefault="000F30F8" w:rsidP="000F30F8">
      <w:pPr>
        <w:jc w:val="both"/>
        <w:rPr>
          <w:rFonts w:ascii="Arial" w:hAnsi="Arial" w:cs="Arial"/>
          <w:szCs w:val="24"/>
          <w:lang w:eastAsia="fr-FR"/>
        </w:rPr>
      </w:pPr>
      <w:r w:rsidRPr="000F30F8">
        <w:rPr>
          <w:rFonts w:ascii="Arial" w:hAnsi="Arial" w:cs="Arial"/>
          <w:szCs w:val="24"/>
          <w:lang w:eastAsia="fr-FR"/>
        </w:rPr>
        <w:t>In conclusion, the thermal decomposition kinetics of biomass residues remains a rapidly evolving field, with significant scientific and technological challenges. Continued efforts in this area are essential to transform these residues into a viable energy resource, thus contributing to the global energy transition and the fight against climate change.</w:t>
      </w:r>
    </w:p>
    <w:p w:rsidR="000F30F8" w:rsidRDefault="000F30F8" w:rsidP="00441B6F">
      <w:pPr>
        <w:pStyle w:val="ReferHead"/>
        <w:spacing w:after="0"/>
        <w:jc w:val="both"/>
        <w:rPr>
          <w:rFonts w:ascii="Arial" w:hAnsi="Arial" w:cs="Arial"/>
          <w:szCs w:val="28"/>
          <w:shd w:val="clear" w:color="auto" w:fill="FFFFFF"/>
        </w:rPr>
      </w:pPr>
    </w:p>
    <w:p w:rsidR="005A5E73" w:rsidRPr="005A5E73" w:rsidRDefault="005A5E73" w:rsidP="00441B6F">
      <w:pPr>
        <w:pStyle w:val="ReferHead"/>
        <w:spacing w:after="0"/>
        <w:jc w:val="both"/>
        <w:rPr>
          <w:rFonts w:ascii="Arial" w:hAnsi="Arial" w:cs="Arial"/>
          <w:szCs w:val="28"/>
          <w:shd w:val="clear" w:color="auto" w:fill="FFFFFF"/>
        </w:rPr>
      </w:pPr>
      <w:r w:rsidRPr="005A5E73">
        <w:rPr>
          <w:rFonts w:ascii="Arial" w:hAnsi="Arial" w:cs="Arial"/>
          <w:szCs w:val="28"/>
          <w:shd w:val="clear" w:color="auto" w:fill="FFFFFF"/>
        </w:rPr>
        <w:t>COMPETING INTERESTS</w:t>
      </w:r>
    </w:p>
    <w:p w:rsidR="005A5E73" w:rsidRDefault="005A5E73" w:rsidP="00441B6F">
      <w:pPr>
        <w:pStyle w:val="ReferHead"/>
        <w:spacing w:after="0"/>
        <w:jc w:val="both"/>
        <w:rPr>
          <w:rFonts w:ascii="Arial" w:hAnsi="Arial" w:cs="Arial"/>
          <w:b w:val="0"/>
          <w:sz w:val="20"/>
        </w:rPr>
      </w:pPr>
      <w:r w:rsidRPr="005A5E73">
        <w:rPr>
          <w:rFonts w:ascii="Arial" w:hAnsi="Arial" w:cs="Arial"/>
          <w:b w:val="0"/>
          <w:caps w:val="0"/>
          <w:sz w:val="20"/>
          <w:shd w:val="clear" w:color="auto" w:fill="FFFFFF"/>
        </w:rPr>
        <w:t>Authors    have    declared    that    no    competing</w:t>
      </w:r>
      <w:r w:rsidRPr="005A5E73">
        <w:rPr>
          <w:rFonts w:ascii="Arial" w:hAnsi="Arial" w:cs="Arial"/>
          <w:b w:val="0"/>
          <w:sz w:val="20"/>
          <w:shd w:val="clear" w:color="auto" w:fill="FFFFFF"/>
        </w:rPr>
        <w:t xml:space="preserve"> </w:t>
      </w:r>
      <w:r w:rsidRPr="005A5E73">
        <w:rPr>
          <w:rFonts w:ascii="Arial" w:hAnsi="Arial" w:cs="Arial"/>
          <w:b w:val="0"/>
          <w:caps w:val="0"/>
          <w:sz w:val="20"/>
          <w:shd w:val="clear" w:color="auto" w:fill="FFFFFF"/>
        </w:rPr>
        <w:t>interests exist</w:t>
      </w:r>
      <w:r w:rsidRPr="005A5E73">
        <w:rPr>
          <w:rFonts w:ascii="Arial" w:hAnsi="Arial" w:cs="Arial"/>
          <w:b w:val="0"/>
          <w:sz w:val="20"/>
          <w:shd w:val="clear" w:color="auto" w:fill="FFFFFF"/>
        </w:rPr>
        <w:t>.</w:t>
      </w:r>
    </w:p>
    <w:p w:rsidR="00594DC0" w:rsidRPr="00594DC0" w:rsidRDefault="00594DC0" w:rsidP="00441B6F">
      <w:pPr>
        <w:pStyle w:val="ReferHead"/>
        <w:spacing w:after="0"/>
        <w:jc w:val="both"/>
        <w:rPr>
          <w:rFonts w:ascii="Arial" w:hAnsi="Arial" w:cs="Arial"/>
          <w:b w:val="0"/>
          <w:sz w:val="20"/>
        </w:rPr>
      </w:pPr>
    </w:p>
    <w:p w:rsidR="00790ADA" w:rsidRPr="00FB3A86" w:rsidRDefault="00B01FCD" w:rsidP="00441B6F">
      <w:pPr>
        <w:pStyle w:val="ReferHead"/>
        <w:spacing w:after="0"/>
        <w:jc w:val="both"/>
        <w:rPr>
          <w:rFonts w:ascii="Arial" w:hAnsi="Arial" w:cs="Arial"/>
        </w:rPr>
      </w:pPr>
      <w:r w:rsidRPr="00FB3A86">
        <w:rPr>
          <w:rFonts w:ascii="Arial" w:hAnsi="Arial" w:cs="Arial"/>
        </w:rPr>
        <w:t>References</w:t>
      </w:r>
    </w:p>
    <w:p w:rsidR="007819CF" w:rsidRPr="00A32FA9" w:rsidRDefault="002D2CB5" w:rsidP="00A32FA9">
      <w:pPr>
        <w:pStyle w:val="Bibliography"/>
        <w:jc w:val="both"/>
        <w:rPr>
          <w:rFonts w:ascii="Arial" w:hAnsi="Arial" w:cs="Arial"/>
          <w:szCs w:val="24"/>
        </w:rPr>
      </w:pPr>
      <w:r w:rsidRPr="00A32FA9">
        <w:rPr>
          <w:rFonts w:ascii="Arial" w:hAnsi="Arial" w:cs="Arial"/>
        </w:rPr>
        <w:fldChar w:fldCharType="begin"/>
      </w:r>
      <w:r w:rsidRPr="00A32FA9">
        <w:rPr>
          <w:rFonts w:ascii="Arial" w:hAnsi="Arial" w:cs="Arial"/>
        </w:rPr>
        <w:instrText xml:space="preserve"> ADDIN ZOTERO_BIBL {"uncited":[],"omitted":[],"custom":[]} CSL_BIBLIOGRAPHY </w:instrText>
      </w:r>
      <w:r w:rsidRPr="00A32FA9">
        <w:rPr>
          <w:rFonts w:ascii="Arial" w:hAnsi="Arial" w:cs="Arial"/>
        </w:rPr>
        <w:fldChar w:fldCharType="separate"/>
      </w:r>
      <w:r w:rsidR="007819CF" w:rsidRPr="00A32FA9">
        <w:rPr>
          <w:rFonts w:ascii="Arial" w:hAnsi="Arial" w:cs="Arial"/>
          <w:szCs w:val="24"/>
        </w:rPr>
        <w:t>[1]</w:t>
      </w:r>
      <w:r w:rsidR="007819CF" w:rsidRPr="00A32FA9">
        <w:rPr>
          <w:rFonts w:ascii="Arial" w:hAnsi="Arial" w:cs="Arial"/>
          <w:szCs w:val="24"/>
        </w:rPr>
        <w:tab/>
        <w:t>« Plan stratégique du ministère de l’énergie 2020-2024 ».</w:t>
      </w:r>
    </w:p>
    <w:p w:rsidR="007819CF" w:rsidRPr="00A32FA9" w:rsidRDefault="007819CF" w:rsidP="00A32FA9">
      <w:pPr>
        <w:pStyle w:val="Bibliography"/>
        <w:jc w:val="both"/>
        <w:rPr>
          <w:rFonts w:ascii="Arial" w:hAnsi="Arial" w:cs="Arial"/>
          <w:szCs w:val="24"/>
        </w:rPr>
      </w:pPr>
      <w:r w:rsidRPr="00A32FA9">
        <w:rPr>
          <w:rFonts w:ascii="Arial" w:hAnsi="Arial" w:cs="Arial"/>
          <w:szCs w:val="24"/>
        </w:rPr>
        <w:t>[2]</w:t>
      </w:r>
      <w:r w:rsidRPr="00A32FA9">
        <w:rPr>
          <w:rFonts w:ascii="Arial" w:hAnsi="Arial" w:cs="Arial"/>
          <w:szCs w:val="24"/>
        </w:rPr>
        <w:tab/>
        <w:t xml:space="preserve">A. B. YATOPA, M. SAKARIYOU, et A. KOFFI, « Projet développer le Bénin à partir des sources d’énergies renouvelables : Identification et cartographie des potentialités et sources d’énergie renouvelables assorties des possibilités d’exploitation, rapport final, PNUD ». </w:t>
      </w:r>
    </w:p>
    <w:p w:rsidR="007819CF" w:rsidRPr="00A32FA9" w:rsidRDefault="007819CF" w:rsidP="00A32FA9">
      <w:pPr>
        <w:pStyle w:val="Bibliography"/>
        <w:jc w:val="both"/>
        <w:rPr>
          <w:rFonts w:ascii="Arial" w:hAnsi="Arial" w:cs="Arial"/>
          <w:szCs w:val="24"/>
        </w:rPr>
      </w:pPr>
      <w:r w:rsidRPr="00A32FA9">
        <w:rPr>
          <w:rFonts w:ascii="Arial" w:hAnsi="Arial" w:cs="Arial"/>
          <w:szCs w:val="24"/>
        </w:rPr>
        <w:t>[3]</w:t>
      </w:r>
      <w:r w:rsidRPr="00A32FA9">
        <w:rPr>
          <w:rFonts w:ascii="Arial" w:hAnsi="Arial" w:cs="Arial"/>
          <w:szCs w:val="24"/>
        </w:rPr>
        <w:tab/>
        <w:t>D. G. F. Adamon, L. Fagbemi, et A. Bensakhria, « Détermination des paramètres cinétiques globaux de la conversion thermochimique des rafles de maïs et balles de riz du Bénin », 2015.</w:t>
      </w:r>
    </w:p>
    <w:p w:rsidR="007819CF" w:rsidRPr="00A32FA9" w:rsidRDefault="007819CF" w:rsidP="00A32FA9">
      <w:pPr>
        <w:pStyle w:val="Bibliography"/>
        <w:jc w:val="both"/>
        <w:rPr>
          <w:rFonts w:ascii="Arial" w:hAnsi="Arial" w:cs="Arial"/>
          <w:szCs w:val="24"/>
        </w:rPr>
      </w:pPr>
      <w:r w:rsidRPr="00A32FA9">
        <w:rPr>
          <w:rFonts w:ascii="Arial" w:hAnsi="Arial" w:cs="Arial"/>
          <w:szCs w:val="24"/>
        </w:rPr>
        <w:t>[4]</w:t>
      </w:r>
      <w:r w:rsidRPr="00A32FA9">
        <w:rPr>
          <w:rFonts w:ascii="Arial" w:hAnsi="Arial" w:cs="Arial"/>
          <w:szCs w:val="24"/>
        </w:rPr>
        <w:tab/>
        <w:t>F. Adamon Gildas David, « Modélisation de la cinétique de gazéification étagée  de la biomasse tropicale : cas des balles de riz et des  rafles de maïs ».</w:t>
      </w:r>
    </w:p>
    <w:p w:rsidR="007819CF" w:rsidRPr="00A32FA9" w:rsidRDefault="007819CF" w:rsidP="00A32FA9">
      <w:pPr>
        <w:pStyle w:val="Bibliography"/>
        <w:jc w:val="both"/>
        <w:rPr>
          <w:rFonts w:ascii="Arial" w:hAnsi="Arial" w:cs="Arial"/>
          <w:szCs w:val="24"/>
        </w:rPr>
      </w:pPr>
      <w:r w:rsidRPr="00A32FA9">
        <w:rPr>
          <w:rFonts w:ascii="Arial" w:hAnsi="Arial" w:cs="Arial"/>
          <w:szCs w:val="24"/>
        </w:rPr>
        <w:lastRenderedPageBreak/>
        <w:t>[5]</w:t>
      </w:r>
      <w:r w:rsidRPr="00A32FA9">
        <w:rPr>
          <w:rFonts w:ascii="Arial" w:hAnsi="Arial" w:cs="Arial"/>
          <w:szCs w:val="24"/>
        </w:rPr>
        <w:tab/>
        <w:t xml:space="preserve">M. Hu </w:t>
      </w:r>
      <w:r w:rsidRPr="00A32FA9">
        <w:rPr>
          <w:rFonts w:ascii="Arial" w:hAnsi="Arial" w:cs="Arial"/>
          <w:iCs/>
          <w:szCs w:val="24"/>
        </w:rPr>
        <w:t>et al.</w:t>
      </w:r>
      <w:r w:rsidRPr="00A32FA9">
        <w:rPr>
          <w:rFonts w:ascii="Arial" w:hAnsi="Arial" w:cs="Arial"/>
          <w:szCs w:val="24"/>
        </w:rPr>
        <w:t xml:space="preserve">, « Thermogravimetric kinetics of lignocellulosic biomass slow pyrolysis using distributed activation energy model, Fraser–Suzuki deconvolution, and iso-conversional method », </w:t>
      </w:r>
      <w:r w:rsidRPr="00A32FA9">
        <w:rPr>
          <w:rFonts w:ascii="Arial" w:hAnsi="Arial" w:cs="Arial"/>
          <w:iCs/>
          <w:szCs w:val="24"/>
        </w:rPr>
        <w:t>Energy Convers. Manag.</w:t>
      </w:r>
      <w:r w:rsidRPr="00A32FA9">
        <w:rPr>
          <w:rFonts w:ascii="Arial" w:hAnsi="Arial" w:cs="Arial"/>
          <w:szCs w:val="24"/>
        </w:rPr>
        <w:t>, vol. 118, p. 1</w:t>
      </w:r>
      <w:r w:rsidRPr="00A32FA9">
        <w:rPr>
          <w:rFonts w:ascii="Cambria Math" w:hAnsi="Cambria Math" w:cs="Cambria Math"/>
          <w:szCs w:val="24"/>
        </w:rPr>
        <w:t>‑</w:t>
      </w:r>
      <w:r w:rsidRPr="00A32FA9">
        <w:rPr>
          <w:rFonts w:ascii="Arial" w:hAnsi="Arial" w:cs="Arial"/>
          <w:szCs w:val="24"/>
        </w:rPr>
        <w:t>11, juin 2016, doi: 10.1016/j.enconman.2016.03.058.</w:t>
      </w:r>
    </w:p>
    <w:p w:rsidR="007819CF" w:rsidRPr="00A32FA9" w:rsidRDefault="007819CF" w:rsidP="00A32FA9">
      <w:pPr>
        <w:pStyle w:val="Bibliography"/>
        <w:jc w:val="both"/>
        <w:rPr>
          <w:rFonts w:ascii="Arial" w:hAnsi="Arial" w:cs="Arial"/>
          <w:szCs w:val="24"/>
        </w:rPr>
      </w:pPr>
      <w:r w:rsidRPr="00A32FA9">
        <w:rPr>
          <w:rFonts w:ascii="Arial" w:hAnsi="Arial" w:cs="Arial"/>
          <w:szCs w:val="24"/>
        </w:rPr>
        <w:t>[6]</w:t>
      </w:r>
      <w:r w:rsidRPr="00A32FA9">
        <w:rPr>
          <w:rFonts w:ascii="Arial" w:hAnsi="Arial" w:cs="Arial"/>
          <w:szCs w:val="24"/>
        </w:rPr>
        <w:tab/>
        <w:t xml:space="preserve">J. Cai et L. Bi, « Precision of the Coats and Redfern Method for the Determination of the Activation Energy without Neglecting the Low-Temperature End of the Temperature Integral », </w:t>
      </w:r>
      <w:r w:rsidRPr="00A32FA9">
        <w:rPr>
          <w:rFonts w:ascii="Arial" w:hAnsi="Arial" w:cs="Arial"/>
          <w:iCs/>
          <w:szCs w:val="24"/>
        </w:rPr>
        <w:t>Energy Fuels</w:t>
      </w:r>
      <w:r w:rsidRPr="00A32FA9">
        <w:rPr>
          <w:rFonts w:ascii="Arial" w:hAnsi="Arial" w:cs="Arial"/>
          <w:szCs w:val="24"/>
        </w:rPr>
        <w:t>, vol. 22, n</w:t>
      </w:r>
      <w:r w:rsidRPr="00A32FA9">
        <w:rPr>
          <w:rFonts w:ascii="Arial" w:hAnsi="Arial" w:cs="Arial"/>
          <w:szCs w:val="24"/>
          <w:vertAlign w:val="superscript"/>
        </w:rPr>
        <w:t>o</w:t>
      </w:r>
      <w:r w:rsidRPr="00A32FA9">
        <w:rPr>
          <w:rFonts w:ascii="Arial" w:hAnsi="Arial" w:cs="Arial"/>
          <w:szCs w:val="24"/>
        </w:rPr>
        <w:t xml:space="preserve"> 4, p. 2172</w:t>
      </w:r>
      <w:r w:rsidRPr="00A32FA9">
        <w:rPr>
          <w:rFonts w:ascii="Cambria Math" w:hAnsi="Cambria Math" w:cs="Cambria Math"/>
          <w:szCs w:val="24"/>
        </w:rPr>
        <w:t>‑</w:t>
      </w:r>
      <w:r w:rsidRPr="00A32FA9">
        <w:rPr>
          <w:rFonts w:ascii="Arial" w:hAnsi="Arial" w:cs="Arial"/>
          <w:szCs w:val="24"/>
        </w:rPr>
        <w:t>2174, juill. 2008, doi: 10.1021/ef8002125.</w:t>
      </w:r>
    </w:p>
    <w:p w:rsidR="007819CF" w:rsidRPr="00A32FA9" w:rsidRDefault="007819CF" w:rsidP="00A32FA9">
      <w:pPr>
        <w:pStyle w:val="Bibliography"/>
        <w:jc w:val="both"/>
        <w:rPr>
          <w:rFonts w:ascii="Arial" w:hAnsi="Arial" w:cs="Arial"/>
          <w:szCs w:val="24"/>
        </w:rPr>
      </w:pPr>
      <w:r w:rsidRPr="00A32FA9">
        <w:rPr>
          <w:rFonts w:ascii="Arial" w:hAnsi="Arial" w:cs="Arial"/>
          <w:szCs w:val="24"/>
        </w:rPr>
        <w:t>[7]</w:t>
      </w:r>
      <w:r w:rsidRPr="00A32FA9">
        <w:rPr>
          <w:rFonts w:ascii="Arial" w:hAnsi="Arial" w:cs="Arial"/>
          <w:szCs w:val="24"/>
        </w:rPr>
        <w:tab/>
        <w:t xml:space="preserve">L. Wilson, W. Yang, W. Blasiak, G. R. John, et C. F. Mhilu, « Thermal characterization of tropical biomass feedstocks », </w:t>
      </w:r>
      <w:r w:rsidRPr="00A32FA9">
        <w:rPr>
          <w:rFonts w:ascii="Arial" w:hAnsi="Arial" w:cs="Arial"/>
          <w:iCs/>
          <w:szCs w:val="24"/>
        </w:rPr>
        <w:t>Energy Convers. Manag.</w:t>
      </w:r>
      <w:r w:rsidRPr="00A32FA9">
        <w:rPr>
          <w:rFonts w:ascii="Arial" w:hAnsi="Arial" w:cs="Arial"/>
          <w:szCs w:val="24"/>
        </w:rPr>
        <w:t>, vol. 52, n</w:t>
      </w:r>
      <w:r w:rsidRPr="00A32FA9">
        <w:rPr>
          <w:rFonts w:ascii="Arial" w:hAnsi="Arial" w:cs="Arial"/>
          <w:szCs w:val="24"/>
          <w:vertAlign w:val="superscript"/>
        </w:rPr>
        <w:t>o</w:t>
      </w:r>
      <w:r w:rsidRPr="00A32FA9">
        <w:rPr>
          <w:rFonts w:ascii="Arial" w:hAnsi="Arial" w:cs="Arial"/>
          <w:szCs w:val="24"/>
        </w:rPr>
        <w:t xml:space="preserve"> 1, p. 191</w:t>
      </w:r>
      <w:r w:rsidRPr="00A32FA9">
        <w:rPr>
          <w:rFonts w:ascii="Cambria Math" w:hAnsi="Cambria Math" w:cs="Cambria Math"/>
          <w:szCs w:val="24"/>
        </w:rPr>
        <w:t>‑</w:t>
      </w:r>
      <w:r w:rsidRPr="00A32FA9">
        <w:rPr>
          <w:rFonts w:ascii="Arial" w:hAnsi="Arial" w:cs="Arial"/>
          <w:szCs w:val="24"/>
        </w:rPr>
        <w:t>198, janv. 2011, doi: 10.1016/j.enconman.2010.06.058.</w:t>
      </w:r>
    </w:p>
    <w:p w:rsidR="007819CF" w:rsidRPr="00A32FA9" w:rsidRDefault="007819CF" w:rsidP="00A32FA9">
      <w:pPr>
        <w:pStyle w:val="Bibliography"/>
        <w:jc w:val="both"/>
        <w:rPr>
          <w:rFonts w:ascii="Arial" w:hAnsi="Arial" w:cs="Arial"/>
          <w:szCs w:val="24"/>
        </w:rPr>
      </w:pPr>
      <w:r w:rsidRPr="00A32FA9">
        <w:rPr>
          <w:rFonts w:ascii="Arial" w:hAnsi="Arial" w:cs="Arial"/>
          <w:szCs w:val="24"/>
        </w:rPr>
        <w:t>[8]</w:t>
      </w:r>
      <w:r w:rsidRPr="00A32FA9">
        <w:rPr>
          <w:rFonts w:ascii="Arial" w:hAnsi="Arial" w:cs="Arial"/>
          <w:szCs w:val="24"/>
        </w:rPr>
        <w:tab/>
        <w:t xml:space="preserve">T. Emiola-Sadiq, L. Zhang, et A. K. Dalai, « Thermal and Kinetic Studies on Biomass Degradation </w:t>
      </w:r>
      <w:r w:rsidRPr="00A32FA9">
        <w:rPr>
          <w:rFonts w:ascii="Arial" w:hAnsi="Arial" w:cs="Arial"/>
          <w:iCs/>
          <w:szCs w:val="24"/>
        </w:rPr>
        <w:t>via</w:t>
      </w:r>
      <w:r w:rsidRPr="00A32FA9">
        <w:rPr>
          <w:rFonts w:ascii="Arial" w:hAnsi="Arial" w:cs="Arial"/>
          <w:szCs w:val="24"/>
        </w:rPr>
        <w:t xml:space="preserve"> Thermogravimetric Analysis: A Combination of Model-Fitting and Model-Free Approach », </w:t>
      </w:r>
      <w:r w:rsidRPr="00A32FA9">
        <w:rPr>
          <w:rFonts w:ascii="Arial" w:hAnsi="Arial" w:cs="Arial"/>
          <w:iCs/>
          <w:szCs w:val="24"/>
        </w:rPr>
        <w:t>ACS Omega</w:t>
      </w:r>
      <w:r w:rsidRPr="00A32FA9">
        <w:rPr>
          <w:rFonts w:ascii="Arial" w:hAnsi="Arial" w:cs="Arial"/>
          <w:szCs w:val="24"/>
        </w:rPr>
        <w:t>, vol. 6, n</w:t>
      </w:r>
      <w:r w:rsidRPr="00A32FA9">
        <w:rPr>
          <w:rFonts w:ascii="Arial" w:hAnsi="Arial" w:cs="Arial"/>
          <w:szCs w:val="24"/>
          <w:vertAlign w:val="superscript"/>
        </w:rPr>
        <w:t>o</w:t>
      </w:r>
      <w:r w:rsidRPr="00A32FA9">
        <w:rPr>
          <w:rFonts w:ascii="Arial" w:hAnsi="Arial" w:cs="Arial"/>
          <w:szCs w:val="24"/>
        </w:rPr>
        <w:t xml:space="preserve"> 34, p. 22233</w:t>
      </w:r>
      <w:r w:rsidRPr="00A32FA9">
        <w:rPr>
          <w:rFonts w:ascii="Cambria Math" w:hAnsi="Cambria Math" w:cs="Cambria Math"/>
          <w:szCs w:val="24"/>
        </w:rPr>
        <w:t>‑</w:t>
      </w:r>
      <w:r w:rsidRPr="00A32FA9">
        <w:rPr>
          <w:rFonts w:ascii="Arial" w:hAnsi="Arial" w:cs="Arial"/>
          <w:szCs w:val="24"/>
        </w:rPr>
        <w:t>22247, août 2021, doi: 10.1021/acsomega.1c02937.</w:t>
      </w:r>
    </w:p>
    <w:p w:rsidR="007819CF" w:rsidRPr="00A32FA9" w:rsidRDefault="007819CF" w:rsidP="00A32FA9">
      <w:pPr>
        <w:pStyle w:val="Bibliography"/>
        <w:jc w:val="both"/>
        <w:rPr>
          <w:rFonts w:ascii="Arial" w:hAnsi="Arial" w:cs="Arial"/>
          <w:szCs w:val="24"/>
        </w:rPr>
      </w:pPr>
      <w:r w:rsidRPr="00A32FA9">
        <w:rPr>
          <w:rFonts w:ascii="Arial" w:hAnsi="Arial" w:cs="Arial"/>
          <w:szCs w:val="24"/>
        </w:rPr>
        <w:t>[9]</w:t>
      </w:r>
      <w:r w:rsidRPr="00A32FA9">
        <w:rPr>
          <w:rFonts w:ascii="Arial" w:hAnsi="Arial" w:cs="Arial"/>
          <w:szCs w:val="24"/>
        </w:rPr>
        <w:tab/>
        <w:t xml:space="preserve">S. A. El-Sayed, T. M. Khass, et M. E. Mostafa, « Thermal degradation behaviour and chemical kinetic characteristics of biomass pyrolysis using TG/DTG/DTA techniques », </w:t>
      </w:r>
      <w:r w:rsidRPr="00A32FA9">
        <w:rPr>
          <w:rFonts w:ascii="Arial" w:hAnsi="Arial" w:cs="Arial"/>
          <w:iCs/>
          <w:szCs w:val="24"/>
        </w:rPr>
        <w:t>Biomass Convers. Biorefinery</w:t>
      </w:r>
      <w:r w:rsidRPr="00A32FA9">
        <w:rPr>
          <w:rFonts w:ascii="Arial" w:hAnsi="Arial" w:cs="Arial"/>
          <w:szCs w:val="24"/>
        </w:rPr>
        <w:t>, vol. 14, n</w:t>
      </w:r>
      <w:r w:rsidRPr="00A32FA9">
        <w:rPr>
          <w:rFonts w:ascii="Arial" w:hAnsi="Arial" w:cs="Arial"/>
          <w:szCs w:val="24"/>
          <w:vertAlign w:val="superscript"/>
        </w:rPr>
        <w:t>o</w:t>
      </w:r>
      <w:r w:rsidRPr="00A32FA9">
        <w:rPr>
          <w:rFonts w:ascii="Arial" w:hAnsi="Arial" w:cs="Arial"/>
          <w:szCs w:val="24"/>
        </w:rPr>
        <w:t xml:space="preserve"> 15, p. 17779</w:t>
      </w:r>
      <w:r w:rsidRPr="00A32FA9">
        <w:rPr>
          <w:rFonts w:ascii="Cambria Math" w:hAnsi="Cambria Math" w:cs="Cambria Math"/>
          <w:szCs w:val="24"/>
        </w:rPr>
        <w:t>‑</w:t>
      </w:r>
      <w:r w:rsidRPr="00A32FA9">
        <w:rPr>
          <w:rFonts w:ascii="Arial" w:hAnsi="Arial" w:cs="Arial"/>
          <w:szCs w:val="24"/>
        </w:rPr>
        <w:t>17803, août 2024, doi: 10.1007/s13399-023-03926-2.</w:t>
      </w:r>
    </w:p>
    <w:p w:rsidR="007819CF" w:rsidRPr="00A32FA9" w:rsidRDefault="007819CF" w:rsidP="00A32FA9">
      <w:pPr>
        <w:pStyle w:val="Bibliography"/>
        <w:jc w:val="both"/>
        <w:rPr>
          <w:rFonts w:ascii="Arial" w:hAnsi="Arial" w:cs="Arial"/>
          <w:szCs w:val="24"/>
        </w:rPr>
      </w:pPr>
      <w:r w:rsidRPr="00A32FA9">
        <w:rPr>
          <w:rFonts w:ascii="Arial" w:hAnsi="Arial" w:cs="Arial"/>
          <w:szCs w:val="24"/>
        </w:rPr>
        <w:t>[10]</w:t>
      </w:r>
      <w:r w:rsidRPr="00A32FA9">
        <w:rPr>
          <w:rFonts w:ascii="Arial" w:hAnsi="Arial" w:cs="Arial"/>
          <w:szCs w:val="24"/>
        </w:rPr>
        <w:tab/>
        <w:t xml:space="preserve">S. Singh, T. Patil, S. P. Tekade, M. B. Gawande, et A. N. Sawarkar, « Studies on individual pyrolysis and co-pyrolysis of corn cob and polyethylene: Thermal degradation behavior, possible synergism, kinetics, and thermodynamic analysis », </w:t>
      </w:r>
      <w:r w:rsidRPr="00A32FA9">
        <w:rPr>
          <w:rFonts w:ascii="Arial" w:hAnsi="Arial" w:cs="Arial"/>
          <w:iCs/>
          <w:szCs w:val="24"/>
        </w:rPr>
        <w:t>Sci. Total Environ.</w:t>
      </w:r>
      <w:r w:rsidRPr="00A32FA9">
        <w:rPr>
          <w:rFonts w:ascii="Arial" w:hAnsi="Arial" w:cs="Arial"/>
          <w:szCs w:val="24"/>
        </w:rPr>
        <w:t>, vol. 783, p. 147004, août 2021, doi: 10.1016/j.scitotenv.2021.147004.</w:t>
      </w:r>
    </w:p>
    <w:p w:rsidR="007819CF" w:rsidRPr="00A32FA9" w:rsidRDefault="007819CF" w:rsidP="00A32FA9">
      <w:pPr>
        <w:pStyle w:val="Bibliography"/>
        <w:jc w:val="both"/>
        <w:rPr>
          <w:rFonts w:ascii="Arial" w:hAnsi="Arial" w:cs="Arial"/>
          <w:szCs w:val="24"/>
        </w:rPr>
      </w:pPr>
      <w:r w:rsidRPr="00A32FA9">
        <w:rPr>
          <w:rFonts w:ascii="Arial" w:hAnsi="Arial" w:cs="Arial"/>
          <w:szCs w:val="24"/>
        </w:rPr>
        <w:t>[11]</w:t>
      </w:r>
      <w:r w:rsidRPr="00A32FA9">
        <w:rPr>
          <w:rFonts w:ascii="Arial" w:hAnsi="Arial" w:cs="Arial"/>
          <w:szCs w:val="24"/>
        </w:rPr>
        <w:tab/>
        <w:t xml:space="preserve">J. Yan </w:t>
      </w:r>
      <w:r w:rsidRPr="00A32FA9">
        <w:rPr>
          <w:rFonts w:ascii="Arial" w:hAnsi="Arial" w:cs="Arial"/>
          <w:iCs/>
          <w:szCs w:val="24"/>
        </w:rPr>
        <w:t>et al.</w:t>
      </w:r>
      <w:r w:rsidRPr="00A32FA9">
        <w:rPr>
          <w:rFonts w:ascii="Arial" w:hAnsi="Arial" w:cs="Arial"/>
          <w:szCs w:val="24"/>
        </w:rPr>
        <w:t xml:space="preserve">, « Kinetic analysis and modeling of coal pyrolysis with model-free methods », </w:t>
      </w:r>
      <w:r w:rsidRPr="00A32FA9">
        <w:rPr>
          <w:rFonts w:ascii="Arial" w:hAnsi="Arial" w:cs="Arial"/>
          <w:iCs/>
          <w:szCs w:val="24"/>
        </w:rPr>
        <w:t>Fuel</w:t>
      </w:r>
      <w:r w:rsidRPr="00A32FA9">
        <w:rPr>
          <w:rFonts w:ascii="Arial" w:hAnsi="Arial" w:cs="Arial"/>
          <w:szCs w:val="24"/>
        </w:rPr>
        <w:t>, vol. 241, p. 382</w:t>
      </w:r>
      <w:r w:rsidRPr="00A32FA9">
        <w:rPr>
          <w:rFonts w:ascii="Cambria Math" w:hAnsi="Cambria Math" w:cs="Cambria Math"/>
          <w:szCs w:val="24"/>
        </w:rPr>
        <w:t>‑</w:t>
      </w:r>
      <w:r w:rsidRPr="00A32FA9">
        <w:rPr>
          <w:rFonts w:ascii="Arial" w:hAnsi="Arial" w:cs="Arial"/>
          <w:szCs w:val="24"/>
        </w:rPr>
        <w:t>391, avr. 2019, doi: 10.1016/j.fuel.2018.12.079.</w:t>
      </w:r>
    </w:p>
    <w:p w:rsidR="007819CF" w:rsidRPr="00A32FA9" w:rsidRDefault="007819CF" w:rsidP="00A32FA9">
      <w:pPr>
        <w:pStyle w:val="Bibliography"/>
        <w:jc w:val="both"/>
        <w:rPr>
          <w:rFonts w:ascii="Arial" w:hAnsi="Arial" w:cs="Arial"/>
          <w:szCs w:val="24"/>
        </w:rPr>
      </w:pPr>
      <w:r w:rsidRPr="00A32FA9">
        <w:rPr>
          <w:rFonts w:ascii="Arial" w:hAnsi="Arial" w:cs="Arial"/>
          <w:szCs w:val="24"/>
        </w:rPr>
        <w:t>[12]</w:t>
      </w:r>
      <w:r w:rsidRPr="00A32FA9">
        <w:rPr>
          <w:rFonts w:ascii="Arial" w:hAnsi="Arial" w:cs="Arial"/>
          <w:szCs w:val="24"/>
        </w:rPr>
        <w:tab/>
        <w:t xml:space="preserve">S. Sobek et S. Werle, « Solar pyrolysis of waste biomass: Part 2 kinetic modeling and methodology of the determination of the kinetic parameters for solar pyrolysis of sewage sludge », </w:t>
      </w:r>
      <w:r w:rsidRPr="00A32FA9">
        <w:rPr>
          <w:rFonts w:ascii="Arial" w:hAnsi="Arial" w:cs="Arial"/>
          <w:iCs/>
          <w:szCs w:val="24"/>
        </w:rPr>
        <w:t>Renew. Energy</w:t>
      </w:r>
      <w:r w:rsidRPr="00A32FA9">
        <w:rPr>
          <w:rFonts w:ascii="Arial" w:hAnsi="Arial" w:cs="Arial"/>
          <w:szCs w:val="24"/>
        </w:rPr>
        <w:t>, vol. 153, p. 962</w:t>
      </w:r>
      <w:r w:rsidRPr="00A32FA9">
        <w:rPr>
          <w:rFonts w:ascii="Cambria Math" w:hAnsi="Cambria Math" w:cs="Cambria Math"/>
          <w:szCs w:val="24"/>
        </w:rPr>
        <w:t>‑</w:t>
      </w:r>
      <w:r w:rsidRPr="00A32FA9">
        <w:rPr>
          <w:rFonts w:ascii="Arial" w:hAnsi="Arial" w:cs="Arial"/>
          <w:szCs w:val="24"/>
        </w:rPr>
        <w:t>974, juin 2020, doi: 10.1016/j.renene.2020.02.061.</w:t>
      </w:r>
    </w:p>
    <w:p w:rsidR="007819CF" w:rsidRPr="00A32FA9" w:rsidRDefault="007819CF" w:rsidP="00A32FA9">
      <w:pPr>
        <w:pStyle w:val="Bibliography"/>
        <w:jc w:val="both"/>
        <w:rPr>
          <w:rFonts w:ascii="Arial" w:hAnsi="Arial" w:cs="Arial"/>
          <w:szCs w:val="24"/>
        </w:rPr>
      </w:pPr>
      <w:r w:rsidRPr="00A32FA9">
        <w:rPr>
          <w:rFonts w:ascii="Arial" w:hAnsi="Arial" w:cs="Arial"/>
          <w:szCs w:val="24"/>
        </w:rPr>
        <w:t>[13]</w:t>
      </w:r>
      <w:r w:rsidRPr="00A32FA9">
        <w:rPr>
          <w:rFonts w:ascii="Arial" w:hAnsi="Arial" w:cs="Arial"/>
          <w:szCs w:val="24"/>
        </w:rPr>
        <w:tab/>
        <w:t xml:space="preserve">L. Luo </w:t>
      </w:r>
      <w:r w:rsidRPr="00A32FA9">
        <w:rPr>
          <w:rFonts w:ascii="Arial" w:hAnsi="Arial" w:cs="Arial"/>
          <w:iCs/>
          <w:szCs w:val="24"/>
        </w:rPr>
        <w:t>et al.</w:t>
      </w:r>
      <w:r w:rsidRPr="00A32FA9">
        <w:rPr>
          <w:rFonts w:ascii="Arial" w:hAnsi="Arial" w:cs="Arial"/>
          <w:szCs w:val="24"/>
        </w:rPr>
        <w:t xml:space="preserve">, « Insight into Pyrolysis Kinetics of Lignocellulosic Biomass: Isoconversional Kinetic Analysis by the Modified Friedman Method », </w:t>
      </w:r>
      <w:r w:rsidRPr="00A32FA9">
        <w:rPr>
          <w:rFonts w:ascii="Arial" w:hAnsi="Arial" w:cs="Arial"/>
          <w:iCs/>
          <w:szCs w:val="24"/>
        </w:rPr>
        <w:t>Energy Fuels</w:t>
      </w:r>
      <w:r w:rsidRPr="00A32FA9">
        <w:rPr>
          <w:rFonts w:ascii="Arial" w:hAnsi="Arial" w:cs="Arial"/>
          <w:szCs w:val="24"/>
        </w:rPr>
        <w:t>, vol. 34, n</w:t>
      </w:r>
      <w:r w:rsidRPr="00A32FA9">
        <w:rPr>
          <w:rFonts w:ascii="Arial" w:hAnsi="Arial" w:cs="Arial"/>
          <w:szCs w:val="24"/>
          <w:vertAlign w:val="superscript"/>
        </w:rPr>
        <w:t>o</w:t>
      </w:r>
      <w:r w:rsidRPr="00A32FA9">
        <w:rPr>
          <w:rFonts w:ascii="Arial" w:hAnsi="Arial" w:cs="Arial"/>
          <w:szCs w:val="24"/>
        </w:rPr>
        <w:t xml:space="preserve"> 4, p. 4874</w:t>
      </w:r>
      <w:r w:rsidRPr="00A32FA9">
        <w:rPr>
          <w:rFonts w:ascii="Cambria Math" w:hAnsi="Cambria Math" w:cs="Cambria Math"/>
          <w:szCs w:val="24"/>
        </w:rPr>
        <w:t>‑</w:t>
      </w:r>
      <w:r w:rsidRPr="00A32FA9">
        <w:rPr>
          <w:rFonts w:ascii="Arial" w:hAnsi="Arial" w:cs="Arial"/>
          <w:szCs w:val="24"/>
        </w:rPr>
        <w:t>4881, avr. 2020, doi: 10.1021/acs.energyfuels.0c00275.</w:t>
      </w:r>
    </w:p>
    <w:p w:rsidR="007819CF" w:rsidRPr="00A32FA9" w:rsidRDefault="007819CF" w:rsidP="00A32FA9">
      <w:pPr>
        <w:pStyle w:val="Bibliography"/>
        <w:jc w:val="both"/>
        <w:rPr>
          <w:rFonts w:ascii="Arial" w:hAnsi="Arial" w:cs="Arial"/>
          <w:szCs w:val="24"/>
        </w:rPr>
      </w:pPr>
      <w:r w:rsidRPr="00A32FA9">
        <w:rPr>
          <w:rFonts w:ascii="Arial" w:hAnsi="Arial" w:cs="Arial"/>
          <w:szCs w:val="24"/>
        </w:rPr>
        <w:t>[14]</w:t>
      </w:r>
      <w:r w:rsidRPr="00A32FA9">
        <w:rPr>
          <w:rFonts w:ascii="Arial" w:hAnsi="Arial" w:cs="Arial"/>
          <w:szCs w:val="24"/>
        </w:rPr>
        <w:tab/>
        <w:t xml:space="preserve">G. Wang </w:t>
      </w:r>
      <w:r w:rsidRPr="00A32FA9">
        <w:rPr>
          <w:rFonts w:ascii="Arial" w:hAnsi="Arial" w:cs="Arial"/>
          <w:iCs/>
          <w:szCs w:val="24"/>
        </w:rPr>
        <w:t>et al.</w:t>
      </w:r>
      <w:r w:rsidRPr="00A32FA9">
        <w:rPr>
          <w:rFonts w:ascii="Arial" w:hAnsi="Arial" w:cs="Arial"/>
          <w:szCs w:val="24"/>
        </w:rPr>
        <w:t xml:space="preserve">, « A Review of Recent Advances in Biomass Pyrolysis », </w:t>
      </w:r>
      <w:r w:rsidRPr="00A32FA9">
        <w:rPr>
          <w:rFonts w:ascii="Arial" w:hAnsi="Arial" w:cs="Arial"/>
          <w:iCs/>
          <w:szCs w:val="24"/>
        </w:rPr>
        <w:t>Energy Fuels</w:t>
      </w:r>
      <w:r w:rsidRPr="00A32FA9">
        <w:rPr>
          <w:rFonts w:ascii="Arial" w:hAnsi="Arial" w:cs="Arial"/>
          <w:szCs w:val="24"/>
        </w:rPr>
        <w:t>, vol. 34, n</w:t>
      </w:r>
      <w:r w:rsidRPr="00A32FA9">
        <w:rPr>
          <w:rFonts w:ascii="Arial" w:hAnsi="Arial" w:cs="Arial"/>
          <w:szCs w:val="24"/>
          <w:vertAlign w:val="superscript"/>
        </w:rPr>
        <w:t>o</w:t>
      </w:r>
      <w:r w:rsidRPr="00A32FA9">
        <w:rPr>
          <w:rFonts w:ascii="Arial" w:hAnsi="Arial" w:cs="Arial"/>
          <w:szCs w:val="24"/>
        </w:rPr>
        <w:t xml:space="preserve"> 12, p. 15557</w:t>
      </w:r>
      <w:r w:rsidRPr="00A32FA9">
        <w:rPr>
          <w:rFonts w:ascii="Cambria Math" w:hAnsi="Cambria Math" w:cs="Cambria Math"/>
          <w:szCs w:val="24"/>
        </w:rPr>
        <w:t>‑</w:t>
      </w:r>
      <w:r w:rsidRPr="00A32FA9">
        <w:rPr>
          <w:rFonts w:ascii="Arial" w:hAnsi="Arial" w:cs="Arial"/>
          <w:szCs w:val="24"/>
        </w:rPr>
        <w:t>15578, déc. 2020, doi: 10.1021/acs.energyfuels.0c03107.</w:t>
      </w:r>
    </w:p>
    <w:p w:rsidR="007819CF" w:rsidRPr="00A32FA9" w:rsidRDefault="007819CF" w:rsidP="00A32FA9">
      <w:pPr>
        <w:pStyle w:val="Bibliography"/>
        <w:jc w:val="both"/>
        <w:rPr>
          <w:rFonts w:ascii="Arial" w:hAnsi="Arial" w:cs="Arial"/>
          <w:szCs w:val="24"/>
        </w:rPr>
      </w:pPr>
      <w:r w:rsidRPr="00A32FA9">
        <w:rPr>
          <w:rFonts w:ascii="Arial" w:hAnsi="Arial" w:cs="Arial"/>
          <w:szCs w:val="24"/>
        </w:rPr>
        <w:t>[15]</w:t>
      </w:r>
      <w:r w:rsidRPr="00A32FA9">
        <w:rPr>
          <w:rFonts w:ascii="Arial" w:hAnsi="Arial" w:cs="Arial"/>
          <w:szCs w:val="24"/>
        </w:rPr>
        <w:tab/>
        <w:t xml:space="preserve">M. Hu </w:t>
      </w:r>
      <w:r w:rsidRPr="00A32FA9">
        <w:rPr>
          <w:rFonts w:ascii="Arial" w:hAnsi="Arial" w:cs="Arial"/>
          <w:iCs/>
          <w:szCs w:val="24"/>
        </w:rPr>
        <w:t>et al.</w:t>
      </w:r>
      <w:r w:rsidRPr="00A32FA9">
        <w:rPr>
          <w:rFonts w:ascii="Arial" w:hAnsi="Arial" w:cs="Arial"/>
          <w:szCs w:val="24"/>
        </w:rPr>
        <w:t xml:space="preserve">, « Thermogravimetric kinetics of lignocellulosic biomass slow pyrolysis using distributed activation energy model, Fraser–Suzuki deconvolution, and iso-conversional method », </w:t>
      </w:r>
      <w:r w:rsidRPr="00A32FA9">
        <w:rPr>
          <w:rFonts w:ascii="Arial" w:hAnsi="Arial" w:cs="Arial"/>
          <w:iCs/>
          <w:szCs w:val="24"/>
        </w:rPr>
        <w:t>Energy Convers. Manag.</w:t>
      </w:r>
      <w:r w:rsidRPr="00A32FA9">
        <w:rPr>
          <w:rFonts w:ascii="Arial" w:hAnsi="Arial" w:cs="Arial"/>
          <w:szCs w:val="24"/>
        </w:rPr>
        <w:t>, vol. 118, p. 1</w:t>
      </w:r>
      <w:r w:rsidRPr="00A32FA9">
        <w:rPr>
          <w:rFonts w:ascii="Cambria Math" w:hAnsi="Cambria Math" w:cs="Cambria Math"/>
          <w:szCs w:val="24"/>
        </w:rPr>
        <w:t>‑</w:t>
      </w:r>
      <w:r w:rsidRPr="00A32FA9">
        <w:rPr>
          <w:rFonts w:ascii="Arial" w:hAnsi="Arial" w:cs="Arial"/>
          <w:szCs w:val="24"/>
        </w:rPr>
        <w:t>11, juin 2016, doi: 10.1016/j.enconman.2016.03.058.</w:t>
      </w:r>
    </w:p>
    <w:p w:rsidR="007819CF" w:rsidRPr="00A32FA9" w:rsidRDefault="007819CF" w:rsidP="00A32FA9">
      <w:pPr>
        <w:pStyle w:val="Bibliography"/>
        <w:jc w:val="both"/>
        <w:rPr>
          <w:rFonts w:ascii="Arial" w:hAnsi="Arial" w:cs="Arial"/>
          <w:szCs w:val="24"/>
        </w:rPr>
      </w:pPr>
      <w:r w:rsidRPr="00A32FA9">
        <w:rPr>
          <w:rFonts w:ascii="Arial" w:hAnsi="Arial" w:cs="Arial"/>
          <w:szCs w:val="24"/>
        </w:rPr>
        <w:t>[16]</w:t>
      </w:r>
      <w:r w:rsidRPr="00A32FA9">
        <w:rPr>
          <w:rFonts w:ascii="Arial" w:hAnsi="Arial" w:cs="Arial"/>
          <w:szCs w:val="24"/>
        </w:rPr>
        <w:tab/>
        <w:t xml:space="preserve">M. A. Waheed, O. A. Akogun, et C. C. Enweremadu, « Influence of feedstock mixtures on the fuel characteristics of blended cornhusk, cassava peels, and sawdust briquettes », </w:t>
      </w:r>
      <w:r w:rsidRPr="00A32FA9">
        <w:rPr>
          <w:rFonts w:ascii="Arial" w:hAnsi="Arial" w:cs="Arial"/>
          <w:iCs/>
          <w:szCs w:val="24"/>
        </w:rPr>
        <w:t>Biomass Convers. Biorefinery</w:t>
      </w:r>
      <w:r w:rsidRPr="00A32FA9">
        <w:rPr>
          <w:rFonts w:ascii="Arial" w:hAnsi="Arial" w:cs="Arial"/>
          <w:szCs w:val="24"/>
        </w:rPr>
        <w:t>, vol. 13, n</w:t>
      </w:r>
      <w:r w:rsidRPr="00A32FA9">
        <w:rPr>
          <w:rFonts w:ascii="Arial" w:hAnsi="Arial" w:cs="Arial"/>
          <w:szCs w:val="24"/>
          <w:vertAlign w:val="superscript"/>
        </w:rPr>
        <w:t>o</w:t>
      </w:r>
      <w:r w:rsidRPr="00A32FA9">
        <w:rPr>
          <w:rFonts w:ascii="Arial" w:hAnsi="Arial" w:cs="Arial"/>
          <w:szCs w:val="24"/>
        </w:rPr>
        <w:t xml:space="preserve"> 17, p. 16211</w:t>
      </w:r>
      <w:r w:rsidRPr="00A32FA9">
        <w:rPr>
          <w:rFonts w:ascii="Cambria Math" w:hAnsi="Cambria Math" w:cs="Cambria Math"/>
          <w:szCs w:val="24"/>
        </w:rPr>
        <w:t>‑</w:t>
      </w:r>
      <w:r w:rsidRPr="00A32FA9">
        <w:rPr>
          <w:rFonts w:ascii="Arial" w:hAnsi="Arial" w:cs="Arial"/>
          <w:szCs w:val="24"/>
        </w:rPr>
        <w:t>16226, nov. 2023, doi: 10.1007/s13399-023-04039-6.</w:t>
      </w:r>
    </w:p>
    <w:p w:rsidR="007819CF" w:rsidRPr="00A32FA9" w:rsidRDefault="007819CF" w:rsidP="00A32FA9">
      <w:pPr>
        <w:pStyle w:val="Bibliography"/>
        <w:jc w:val="both"/>
        <w:rPr>
          <w:rFonts w:ascii="Arial" w:hAnsi="Arial" w:cs="Arial"/>
          <w:szCs w:val="24"/>
        </w:rPr>
      </w:pPr>
      <w:r w:rsidRPr="00A32FA9">
        <w:rPr>
          <w:rFonts w:ascii="Arial" w:hAnsi="Arial" w:cs="Arial"/>
          <w:szCs w:val="24"/>
        </w:rPr>
        <w:t>[17]</w:t>
      </w:r>
      <w:r w:rsidRPr="00A32FA9">
        <w:rPr>
          <w:rFonts w:ascii="Arial" w:hAnsi="Arial" w:cs="Arial"/>
          <w:szCs w:val="24"/>
        </w:rPr>
        <w:tab/>
        <w:t xml:space="preserve">K. Açıkalın, « Evaluation of orange and potato peels as an energy source: a comprehensive study on their pyrolysis characteristics and kinetics », </w:t>
      </w:r>
      <w:r w:rsidRPr="00A32FA9">
        <w:rPr>
          <w:rFonts w:ascii="Arial" w:hAnsi="Arial" w:cs="Arial"/>
          <w:iCs/>
          <w:szCs w:val="24"/>
        </w:rPr>
        <w:t>Biomass Convers. Biorefinery</w:t>
      </w:r>
      <w:r w:rsidRPr="00A32FA9">
        <w:rPr>
          <w:rFonts w:ascii="Arial" w:hAnsi="Arial" w:cs="Arial"/>
          <w:szCs w:val="24"/>
        </w:rPr>
        <w:t>, vol. 12, n</w:t>
      </w:r>
      <w:r w:rsidRPr="00A32FA9">
        <w:rPr>
          <w:rFonts w:ascii="Arial" w:hAnsi="Arial" w:cs="Arial"/>
          <w:szCs w:val="24"/>
          <w:vertAlign w:val="superscript"/>
        </w:rPr>
        <w:t>o</w:t>
      </w:r>
      <w:r w:rsidRPr="00A32FA9">
        <w:rPr>
          <w:rFonts w:ascii="Arial" w:hAnsi="Arial" w:cs="Arial"/>
          <w:szCs w:val="24"/>
        </w:rPr>
        <w:t xml:space="preserve"> 2, p. 501</w:t>
      </w:r>
      <w:r w:rsidRPr="00A32FA9">
        <w:rPr>
          <w:rFonts w:ascii="Cambria Math" w:hAnsi="Cambria Math" w:cs="Cambria Math"/>
          <w:szCs w:val="24"/>
        </w:rPr>
        <w:t>‑</w:t>
      </w:r>
      <w:r w:rsidRPr="00A32FA9">
        <w:rPr>
          <w:rFonts w:ascii="Arial" w:hAnsi="Arial" w:cs="Arial"/>
          <w:szCs w:val="24"/>
        </w:rPr>
        <w:t>514, févr. 2022, doi: 10.1007/s13399-021-01387-z.</w:t>
      </w:r>
    </w:p>
    <w:p w:rsidR="007819CF" w:rsidRPr="00A32FA9" w:rsidRDefault="007819CF" w:rsidP="00A32FA9">
      <w:pPr>
        <w:pStyle w:val="Bibliography"/>
        <w:jc w:val="both"/>
        <w:rPr>
          <w:rFonts w:ascii="Arial" w:hAnsi="Arial" w:cs="Arial"/>
          <w:szCs w:val="24"/>
        </w:rPr>
      </w:pPr>
      <w:r w:rsidRPr="00A32FA9">
        <w:rPr>
          <w:rFonts w:ascii="Arial" w:hAnsi="Arial" w:cs="Arial"/>
          <w:szCs w:val="24"/>
        </w:rPr>
        <w:t>[18]</w:t>
      </w:r>
      <w:r w:rsidRPr="00A32FA9">
        <w:rPr>
          <w:rFonts w:ascii="Arial" w:hAnsi="Arial" w:cs="Arial"/>
          <w:szCs w:val="24"/>
        </w:rPr>
        <w:tab/>
        <w:t xml:space="preserve">Y. Liu, S. Yu, Y. Zhu, D. Wang, et J. Liu, « Modeling, planning, application and management of energy systems for isolated areas: A review », </w:t>
      </w:r>
      <w:r w:rsidRPr="00A32FA9">
        <w:rPr>
          <w:rFonts w:ascii="Arial" w:hAnsi="Arial" w:cs="Arial"/>
          <w:iCs/>
          <w:szCs w:val="24"/>
        </w:rPr>
        <w:t>Renew. Sustain. Energy Rev.</w:t>
      </w:r>
      <w:r w:rsidRPr="00A32FA9">
        <w:rPr>
          <w:rFonts w:ascii="Arial" w:hAnsi="Arial" w:cs="Arial"/>
          <w:szCs w:val="24"/>
        </w:rPr>
        <w:t>, vol. 82, p. 460</w:t>
      </w:r>
      <w:r w:rsidRPr="00A32FA9">
        <w:rPr>
          <w:rFonts w:ascii="Cambria Math" w:hAnsi="Cambria Math" w:cs="Cambria Math"/>
          <w:szCs w:val="24"/>
        </w:rPr>
        <w:t>‑</w:t>
      </w:r>
      <w:r w:rsidRPr="00A32FA9">
        <w:rPr>
          <w:rFonts w:ascii="Arial" w:hAnsi="Arial" w:cs="Arial"/>
          <w:szCs w:val="24"/>
        </w:rPr>
        <w:t>470, févr. 2018, doi: 10.1016/j.rser.2017.09.063.</w:t>
      </w:r>
    </w:p>
    <w:p w:rsidR="007819CF" w:rsidRPr="00A32FA9" w:rsidRDefault="007819CF" w:rsidP="00A32FA9">
      <w:pPr>
        <w:pStyle w:val="Bibliography"/>
        <w:jc w:val="both"/>
        <w:rPr>
          <w:rFonts w:ascii="Arial" w:hAnsi="Arial" w:cs="Arial"/>
          <w:szCs w:val="24"/>
        </w:rPr>
      </w:pPr>
      <w:r w:rsidRPr="00A32FA9">
        <w:rPr>
          <w:rFonts w:ascii="Arial" w:hAnsi="Arial" w:cs="Arial"/>
          <w:szCs w:val="24"/>
        </w:rPr>
        <w:t>[19]</w:t>
      </w:r>
      <w:r w:rsidRPr="00A32FA9">
        <w:rPr>
          <w:rFonts w:ascii="Arial" w:hAnsi="Arial" w:cs="Arial"/>
          <w:szCs w:val="24"/>
        </w:rPr>
        <w:tab/>
        <w:t xml:space="preserve">M. Hu </w:t>
      </w:r>
      <w:r w:rsidRPr="00A32FA9">
        <w:rPr>
          <w:rFonts w:ascii="Arial" w:hAnsi="Arial" w:cs="Arial"/>
          <w:iCs/>
          <w:szCs w:val="24"/>
        </w:rPr>
        <w:t>et al.</w:t>
      </w:r>
      <w:r w:rsidRPr="00A32FA9">
        <w:rPr>
          <w:rFonts w:ascii="Arial" w:hAnsi="Arial" w:cs="Arial"/>
          <w:szCs w:val="24"/>
        </w:rPr>
        <w:t xml:space="preserve">, « Thermogravimetric kinetics of lignocellulosic biomass slow pyrolysis using distributed activation energy model, Fraser–Suzuki deconvolution, and iso-conversional method », </w:t>
      </w:r>
      <w:r w:rsidRPr="00A32FA9">
        <w:rPr>
          <w:rFonts w:ascii="Arial" w:hAnsi="Arial" w:cs="Arial"/>
          <w:iCs/>
          <w:szCs w:val="24"/>
        </w:rPr>
        <w:t>Energy Convers. Manag.</w:t>
      </w:r>
      <w:r w:rsidRPr="00A32FA9">
        <w:rPr>
          <w:rFonts w:ascii="Arial" w:hAnsi="Arial" w:cs="Arial"/>
          <w:szCs w:val="24"/>
        </w:rPr>
        <w:t>, vol. 118, p. 1</w:t>
      </w:r>
      <w:r w:rsidRPr="00A32FA9">
        <w:rPr>
          <w:rFonts w:ascii="Cambria Math" w:hAnsi="Cambria Math" w:cs="Cambria Math"/>
          <w:szCs w:val="24"/>
        </w:rPr>
        <w:t>‑</w:t>
      </w:r>
      <w:r w:rsidRPr="00A32FA9">
        <w:rPr>
          <w:rFonts w:ascii="Arial" w:hAnsi="Arial" w:cs="Arial"/>
          <w:szCs w:val="24"/>
        </w:rPr>
        <w:t>11, juin 2016, doi: 10.1016/j.enconman.2016.03.058.</w:t>
      </w:r>
    </w:p>
    <w:p w:rsidR="007819CF" w:rsidRPr="00A32FA9" w:rsidRDefault="007819CF" w:rsidP="00A32FA9">
      <w:pPr>
        <w:pStyle w:val="Bibliography"/>
        <w:jc w:val="both"/>
        <w:rPr>
          <w:rFonts w:ascii="Arial" w:hAnsi="Arial" w:cs="Arial"/>
          <w:szCs w:val="24"/>
        </w:rPr>
      </w:pPr>
      <w:r w:rsidRPr="00A32FA9">
        <w:rPr>
          <w:rFonts w:ascii="Arial" w:hAnsi="Arial" w:cs="Arial"/>
          <w:szCs w:val="24"/>
        </w:rPr>
        <w:lastRenderedPageBreak/>
        <w:t>[20]</w:t>
      </w:r>
      <w:r w:rsidRPr="00A32FA9">
        <w:rPr>
          <w:rFonts w:ascii="Arial" w:hAnsi="Arial" w:cs="Arial"/>
          <w:szCs w:val="24"/>
        </w:rPr>
        <w:tab/>
        <w:t xml:space="preserve">N. Regnier et C. Guibe, « Methodology for multistage degradation of polyimide polymer », </w:t>
      </w:r>
      <w:r w:rsidRPr="00A32FA9">
        <w:rPr>
          <w:rFonts w:ascii="Arial" w:hAnsi="Arial" w:cs="Arial"/>
          <w:iCs/>
          <w:szCs w:val="24"/>
        </w:rPr>
        <w:t>Polym. Degrad. Stab.</w:t>
      </w:r>
      <w:r w:rsidRPr="00A32FA9">
        <w:rPr>
          <w:rFonts w:ascii="Arial" w:hAnsi="Arial" w:cs="Arial"/>
          <w:szCs w:val="24"/>
        </w:rPr>
        <w:t>, vol. 55, n</w:t>
      </w:r>
      <w:r w:rsidRPr="00A32FA9">
        <w:rPr>
          <w:rFonts w:ascii="Arial" w:hAnsi="Arial" w:cs="Arial"/>
          <w:szCs w:val="24"/>
          <w:vertAlign w:val="superscript"/>
        </w:rPr>
        <w:t>o</w:t>
      </w:r>
      <w:r w:rsidRPr="00A32FA9">
        <w:rPr>
          <w:rFonts w:ascii="Arial" w:hAnsi="Arial" w:cs="Arial"/>
          <w:szCs w:val="24"/>
        </w:rPr>
        <w:t xml:space="preserve"> 2, p. 165</w:t>
      </w:r>
      <w:r w:rsidRPr="00A32FA9">
        <w:rPr>
          <w:rFonts w:ascii="Cambria Math" w:hAnsi="Cambria Math" w:cs="Cambria Math"/>
          <w:szCs w:val="24"/>
        </w:rPr>
        <w:t>‑</w:t>
      </w:r>
      <w:r w:rsidRPr="00A32FA9">
        <w:rPr>
          <w:rFonts w:ascii="Arial" w:hAnsi="Arial" w:cs="Arial"/>
          <w:szCs w:val="24"/>
        </w:rPr>
        <w:t>172, janv. 1997, doi: 10.1016/S0141-3910(96)00115-2.</w:t>
      </w:r>
    </w:p>
    <w:p w:rsidR="007819CF" w:rsidRPr="00A32FA9" w:rsidRDefault="007819CF" w:rsidP="00A32FA9">
      <w:pPr>
        <w:pStyle w:val="Bibliography"/>
        <w:jc w:val="both"/>
        <w:rPr>
          <w:rFonts w:ascii="Arial" w:hAnsi="Arial" w:cs="Arial"/>
          <w:szCs w:val="24"/>
        </w:rPr>
      </w:pPr>
      <w:r w:rsidRPr="00A32FA9">
        <w:rPr>
          <w:rFonts w:ascii="Arial" w:hAnsi="Arial" w:cs="Arial"/>
          <w:szCs w:val="24"/>
        </w:rPr>
        <w:t>[21]</w:t>
      </w:r>
      <w:r w:rsidRPr="00A32FA9">
        <w:rPr>
          <w:rFonts w:ascii="Arial" w:hAnsi="Arial" w:cs="Arial"/>
          <w:szCs w:val="24"/>
        </w:rPr>
        <w:tab/>
        <w:t xml:space="preserve">K. S. Bisen, P. Sharma, B. Gupta, et P. Baredar, « Development and experimental characterization of energy efficient poultry litter &amp; plant weeds based briquettes (PLPWBB) by comparing with rice husk briquettes », </w:t>
      </w:r>
      <w:r w:rsidRPr="00A32FA9">
        <w:rPr>
          <w:rFonts w:ascii="Arial" w:hAnsi="Arial" w:cs="Arial"/>
          <w:iCs/>
          <w:szCs w:val="24"/>
        </w:rPr>
        <w:t>Mater. Today Proc.</w:t>
      </w:r>
      <w:r w:rsidRPr="00A32FA9">
        <w:rPr>
          <w:rFonts w:ascii="Arial" w:hAnsi="Arial" w:cs="Arial"/>
          <w:szCs w:val="24"/>
        </w:rPr>
        <w:t>, vol. 46, p. 5428</w:t>
      </w:r>
      <w:r w:rsidRPr="00A32FA9">
        <w:rPr>
          <w:rFonts w:ascii="Cambria Math" w:hAnsi="Cambria Math" w:cs="Cambria Math"/>
          <w:szCs w:val="24"/>
        </w:rPr>
        <w:t>‑</w:t>
      </w:r>
      <w:r w:rsidRPr="00A32FA9">
        <w:rPr>
          <w:rFonts w:ascii="Arial" w:hAnsi="Arial" w:cs="Arial"/>
          <w:szCs w:val="24"/>
        </w:rPr>
        <w:t>5432, 2020, doi: 10.1016/j.matpr.2020.09.130.</w:t>
      </w:r>
    </w:p>
    <w:p w:rsidR="007819CF" w:rsidRPr="00A32FA9" w:rsidRDefault="007819CF" w:rsidP="00A32FA9">
      <w:pPr>
        <w:pStyle w:val="Bibliography"/>
        <w:jc w:val="both"/>
        <w:rPr>
          <w:rFonts w:ascii="Arial" w:hAnsi="Arial" w:cs="Arial"/>
          <w:szCs w:val="24"/>
        </w:rPr>
      </w:pPr>
      <w:r w:rsidRPr="00A32FA9">
        <w:rPr>
          <w:rFonts w:ascii="Arial" w:hAnsi="Arial" w:cs="Arial"/>
          <w:szCs w:val="24"/>
        </w:rPr>
        <w:t>[22]</w:t>
      </w:r>
      <w:r w:rsidRPr="00A32FA9">
        <w:rPr>
          <w:rFonts w:ascii="Arial" w:hAnsi="Arial" w:cs="Arial"/>
          <w:szCs w:val="24"/>
        </w:rPr>
        <w:tab/>
        <w:t xml:space="preserve">A. Gendek, M. Aniszewska, J. Malaťák, et J. Velebil, « Evaluation of selected physical and mechanical properties of briquettes produced from cones of three coniferous tree species », </w:t>
      </w:r>
      <w:r w:rsidRPr="00A32FA9">
        <w:rPr>
          <w:rFonts w:ascii="Arial" w:hAnsi="Arial" w:cs="Arial"/>
          <w:iCs/>
          <w:szCs w:val="24"/>
        </w:rPr>
        <w:t>Biomass Bioenergy</w:t>
      </w:r>
      <w:r w:rsidRPr="00A32FA9">
        <w:rPr>
          <w:rFonts w:ascii="Arial" w:hAnsi="Arial" w:cs="Arial"/>
          <w:szCs w:val="24"/>
        </w:rPr>
        <w:t>, vol. 117, p. 173</w:t>
      </w:r>
      <w:r w:rsidRPr="00A32FA9">
        <w:rPr>
          <w:rFonts w:ascii="Cambria Math" w:hAnsi="Cambria Math" w:cs="Cambria Math"/>
          <w:szCs w:val="24"/>
        </w:rPr>
        <w:t>‑</w:t>
      </w:r>
      <w:r w:rsidRPr="00A32FA9">
        <w:rPr>
          <w:rFonts w:ascii="Arial" w:hAnsi="Arial" w:cs="Arial"/>
          <w:szCs w:val="24"/>
        </w:rPr>
        <w:t>179, oct. 2018, doi: 10.1016/j.biombioe.2018.07.025.</w:t>
      </w:r>
    </w:p>
    <w:p w:rsidR="007819CF" w:rsidRPr="00A32FA9" w:rsidRDefault="007819CF" w:rsidP="00A32FA9">
      <w:pPr>
        <w:pStyle w:val="Bibliography"/>
        <w:jc w:val="both"/>
        <w:rPr>
          <w:rFonts w:ascii="Arial" w:hAnsi="Arial" w:cs="Arial"/>
          <w:szCs w:val="24"/>
        </w:rPr>
      </w:pPr>
      <w:r w:rsidRPr="00A32FA9">
        <w:rPr>
          <w:rFonts w:ascii="Arial" w:hAnsi="Arial" w:cs="Arial"/>
          <w:szCs w:val="24"/>
        </w:rPr>
        <w:t>[23]</w:t>
      </w:r>
      <w:r w:rsidRPr="00A32FA9">
        <w:rPr>
          <w:rFonts w:ascii="Arial" w:hAnsi="Arial" w:cs="Arial"/>
          <w:szCs w:val="24"/>
        </w:rPr>
        <w:tab/>
        <w:t xml:space="preserve">B. H. Philippe, G. N. Lat, N. Alfredo, et K. Diouma, « Physicochemical and mechanical properties of biomass coal briquettes produced by artisanal method », </w:t>
      </w:r>
      <w:r w:rsidRPr="00A32FA9">
        <w:rPr>
          <w:rFonts w:ascii="Arial" w:hAnsi="Arial" w:cs="Arial"/>
          <w:iCs/>
          <w:szCs w:val="24"/>
        </w:rPr>
        <w:t>Afr. J. Environ. Sci. Technol.</w:t>
      </w:r>
      <w:r w:rsidRPr="00A32FA9">
        <w:rPr>
          <w:rFonts w:ascii="Arial" w:hAnsi="Arial" w:cs="Arial"/>
          <w:szCs w:val="24"/>
        </w:rPr>
        <w:t>, vol. 12, n</w:t>
      </w:r>
      <w:r w:rsidRPr="00A32FA9">
        <w:rPr>
          <w:rFonts w:ascii="Arial" w:hAnsi="Arial" w:cs="Arial"/>
          <w:szCs w:val="24"/>
          <w:vertAlign w:val="superscript"/>
        </w:rPr>
        <w:t>o</w:t>
      </w:r>
      <w:r w:rsidRPr="00A32FA9">
        <w:rPr>
          <w:rFonts w:ascii="Arial" w:hAnsi="Arial" w:cs="Arial"/>
          <w:szCs w:val="24"/>
        </w:rPr>
        <w:t xml:space="preserve"> 12, p. 480</w:t>
      </w:r>
      <w:r w:rsidRPr="00A32FA9">
        <w:rPr>
          <w:rFonts w:ascii="Cambria Math" w:hAnsi="Cambria Math" w:cs="Cambria Math"/>
          <w:szCs w:val="24"/>
        </w:rPr>
        <w:t>‑</w:t>
      </w:r>
      <w:r w:rsidRPr="00A32FA9">
        <w:rPr>
          <w:rFonts w:ascii="Arial" w:hAnsi="Arial" w:cs="Arial"/>
          <w:szCs w:val="24"/>
        </w:rPr>
        <w:t>486, déc. 2018, doi: 10.5897/AJEST2018.2568.</w:t>
      </w:r>
    </w:p>
    <w:p w:rsidR="007819CF" w:rsidRPr="00A32FA9" w:rsidRDefault="007819CF" w:rsidP="00A32FA9">
      <w:pPr>
        <w:pStyle w:val="Bibliography"/>
        <w:jc w:val="both"/>
        <w:rPr>
          <w:rFonts w:ascii="Arial" w:hAnsi="Arial" w:cs="Arial"/>
          <w:szCs w:val="24"/>
        </w:rPr>
      </w:pPr>
      <w:r w:rsidRPr="00A32FA9">
        <w:rPr>
          <w:rFonts w:ascii="Arial" w:hAnsi="Arial" w:cs="Arial"/>
          <w:szCs w:val="24"/>
        </w:rPr>
        <w:t>[24]</w:t>
      </w:r>
      <w:r w:rsidRPr="00A32FA9">
        <w:rPr>
          <w:rFonts w:ascii="Arial" w:hAnsi="Arial" w:cs="Arial"/>
          <w:szCs w:val="24"/>
        </w:rPr>
        <w:tab/>
        <w:t xml:space="preserve">S. A. Ndindeng </w:t>
      </w:r>
      <w:r w:rsidRPr="00A32FA9">
        <w:rPr>
          <w:rFonts w:ascii="Arial" w:hAnsi="Arial" w:cs="Arial"/>
          <w:iCs/>
          <w:szCs w:val="24"/>
        </w:rPr>
        <w:t>et al.</w:t>
      </w:r>
      <w:r w:rsidRPr="00A32FA9">
        <w:rPr>
          <w:rFonts w:ascii="Arial" w:hAnsi="Arial" w:cs="Arial"/>
          <w:szCs w:val="24"/>
        </w:rPr>
        <w:t xml:space="preserve">, « Quality optimization in briquettes made from rice milling by-products », </w:t>
      </w:r>
      <w:r w:rsidRPr="00A32FA9">
        <w:rPr>
          <w:rFonts w:ascii="Arial" w:hAnsi="Arial" w:cs="Arial"/>
          <w:iCs/>
          <w:szCs w:val="24"/>
        </w:rPr>
        <w:t>Energy Sustain. Dev.</w:t>
      </w:r>
      <w:r w:rsidRPr="00A32FA9">
        <w:rPr>
          <w:rFonts w:ascii="Arial" w:hAnsi="Arial" w:cs="Arial"/>
          <w:szCs w:val="24"/>
        </w:rPr>
        <w:t>, vol. 29, p. 24</w:t>
      </w:r>
      <w:r w:rsidRPr="00A32FA9">
        <w:rPr>
          <w:rFonts w:ascii="Cambria Math" w:hAnsi="Cambria Math" w:cs="Cambria Math"/>
          <w:szCs w:val="24"/>
        </w:rPr>
        <w:t>‑</w:t>
      </w:r>
      <w:r w:rsidRPr="00A32FA9">
        <w:rPr>
          <w:rFonts w:ascii="Arial" w:hAnsi="Arial" w:cs="Arial"/>
          <w:szCs w:val="24"/>
        </w:rPr>
        <w:t>31, déc. 2015, doi: 10.1016/j.esd.2015.09.003.</w:t>
      </w:r>
    </w:p>
    <w:p w:rsidR="007819CF" w:rsidRPr="00A32FA9" w:rsidRDefault="007819CF" w:rsidP="00A32FA9">
      <w:pPr>
        <w:pStyle w:val="Bibliography"/>
        <w:jc w:val="both"/>
        <w:rPr>
          <w:rFonts w:ascii="Arial" w:hAnsi="Arial" w:cs="Arial"/>
          <w:szCs w:val="24"/>
        </w:rPr>
      </w:pPr>
      <w:r w:rsidRPr="00A32FA9">
        <w:rPr>
          <w:rFonts w:ascii="Arial" w:hAnsi="Arial" w:cs="Arial"/>
          <w:szCs w:val="24"/>
        </w:rPr>
        <w:t>[25]</w:t>
      </w:r>
      <w:r w:rsidRPr="00A32FA9">
        <w:rPr>
          <w:rFonts w:ascii="Arial" w:hAnsi="Arial" w:cs="Arial"/>
          <w:szCs w:val="24"/>
        </w:rPr>
        <w:tab/>
        <w:t xml:space="preserve">L. Tang </w:t>
      </w:r>
      <w:r w:rsidRPr="00A32FA9">
        <w:rPr>
          <w:rFonts w:ascii="Arial" w:hAnsi="Arial" w:cs="Arial"/>
          <w:iCs/>
          <w:szCs w:val="24"/>
        </w:rPr>
        <w:t>et al.</w:t>
      </w:r>
      <w:r w:rsidRPr="00A32FA9">
        <w:rPr>
          <w:rFonts w:ascii="Arial" w:hAnsi="Arial" w:cs="Arial"/>
          <w:szCs w:val="24"/>
        </w:rPr>
        <w:t xml:space="preserve">, « Thermogravimetric Analysis of the Combustion Characteristics and Combustion Kinetics of Coals Subjected to Different Chemical Demineralization Processes », </w:t>
      </w:r>
      <w:r w:rsidRPr="00A32FA9">
        <w:rPr>
          <w:rFonts w:ascii="Arial" w:hAnsi="Arial" w:cs="Arial"/>
          <w:iCs/>
          <w:szCs w:val="24"/>
        </w:rPr>
        <w:t>ACS Omega</w:t>
      </w:r>
      <w:r w:rsidRPr="00A32FA9">
        <w:rPr>
          <w:rFonts w:ascii="Arial" w:hAnsi="Arial" w:cs="Arial"/>
          <w:szCs w:val="24"/>
        </w:rPr>
        <w:t>, vol. 7, n</w:t>
      </w:r>
      <w:r w:rsidRPr="00A32FA9">
        <w:rPr>
          <w:rFonts w:ascii="Arial" w:hAnsi="Arial" w:cs="Arial"/>
          <w:szCs w:val="24"/>
          <w:vertAlign w:val="superscript"/>
        </w:rPr>
        <w:t>o</w:t>
      </w:r>
      <w:r w:rsidRPr="00A32FA9">
        <w:rPr>
          <w:rFonts w:ascii="Arial" w:hAnsi="Arial" w:cs="Arial"/>
          <w:szCs w:val="24"/>
        </w:rPr>
        <w:t xml:space="preserve"> 16, p. 13998</w:t>
      </w:r>
      <w:r w:rsidRPr="00A32FA9">
        <w:rPr>
          <w:rFonts w:ascii="Cambria Math" w:hAnsi="Cambria Math" w:cs="Cambria Math"/>
          <w:szCs w:val="24"/>
        </w:rPr>
        <w:t>‑</w:t>
      </w:r>
      <w:r w:rsidRPr="00A32FA9">
        <w:rPr>
          <w:rFonts w:ascii="Arial" w:hAnsi="Arial" w:cs="Arial"/>
          <w:szCs w:val="24"/>
        </w:rPr>
        <w:t>14008, avr. 2022, doi: 10.1021/acsomega.2c00522.</w:t>
      </w:r>
    </w:p>
    <w:p w:rsidR="007819CF" w:rsidRPr="00A32FA9" w:rsidRDefault="007819CF" w:rsidP="00A32FA9">
      <w:pPr>
        <w:pStyle w:val="Bibliography"/>
        <w:jc w:val="both"/>
        <w:rPr>
          <w:rFonts w:ascii="Arial" w:hAnsi="Arial" w:cs="Arial"/>
          <w:szCs w:val="24"/>
        </w:rPr>
      </w:pPr>
      <w:r w:rsidRPr="00A32FA9">
        <w:rPr>
          <w:rFonts w:ascii="Arial" w:hAnsi="Arial" w:cs="Arial"/>
          <w:szCs w:val="24"/>
        </w:rPr>
        <w:t>[26]</w:t>
      </w:r>
      <w:r w:rsidRPr="00A32FA9">
        <w:rPr>
          <w:rFonts w:ascii="Arial" w:hAnsi="Arial" w:cs="Arial"/>
          <w:szCs w:val="24"/>
        </w:rPr>
        <w:tab/>
        <w:t xml:space="preserve">B. Nath, G. Chen, L. Bowtell, et E. Graham, « An investigation of thermal decomposition behavior and combustion parameter of pellets from wheat straw and additive blends by thermogravimetric analysis », </w:t>
      </w:r>
      <w:r w:rsidRPr="00A32FA9">
        <w:rPr>
          <w:rFonts w:ascii="Arial" w:hAnsi="Arial" w:cs="Arial"/>
          <w:iCs/>
          <w:szCs w:val="24"/>
        </w:rPr>
        <w:t>Int. J. Thermofluids</w:t>
      </w:r>
      <w:r w:rsidRPr="00A32FA9">
        <w:rPr>
          <w:rFonts w:ascii="Arial" w:hAnsi="Arial" w:cs="Arial"/>
          <w:szCs w:val="24"/>
        </w:rPr>
        <w:t>, vol. 22, p. 100660, mai 2024, doi: 10.1016/j.ijft.2024.100660.</w:t>
      </w:r>
    </w:p>
    <w:p w:rsidR="007819CF" w:rsidRPr="00A32FA9" w:rsidRDefault="007819CF" w:rsidP="00A32FA9">
      <w:pPr>
        <w:pStyle w:val="Bibliography"/>
        <w:jc w:val="both"/>
        <w:rPr>
          <w:rFonts w:ascii="Arial" w:hAnsi="Arial" w:cs="Arial"/>
          <w:szCs w:val="24"/>
        </w:rPr>
      </w:pPr>
      <w:r w:rsidRPr="00A32FA9">
        <w:rPr>
          <w:rFonts w:ascii="Arial" w:hAnsi="Arial" w:cs="Arial"/>
          <w:szCs w:val="24"/>
        </w:rPr>
        <w:t>[27]</w:t>
      </w:r>
      <w:r w:rsidRPr="00A32FA9">
        <w:rPr>
          <w:rFonts w:ascii="Arial" w:hAnsi="Arial" w:cs="Arial"/>
          <w:szCs w:val="24"/>
        </w:rPr>
        <w:tab/>
        <w:t xml:space="preserve">V. A. Yiga, A. Nuwamanya, A. Birungi, M. Lubwama, et H. N. Lubwama, « Development of carbonized rice husks briquettes: Synergy between emissions, combustion, kinetics and thermodynamic characteristics », </w:t>
      </w:r>
      <w:r w:rsidRPr="00A32FA9">
        <w:rPr>
          <w:rFonts w:ascii="Arial" w:hAnsi="Arial" w:cs="Arial"/>
          <w:iCs/>
          <w:szCs w:val="24"/>
        </w:rPr>
        <w:t>Energy Rep.</w:t>
      </w:r>
      <w:r w:rsidRPr="00A32FA9">
        <w:rPr>
          <w:rFonts w:ascii="Arial" w:hAnsi="Arial" w:cs="Arial"/>
          <w:szCs w:val="24"/>
        </w:rPr>
        <w:t>, vol. 9, p. 5977</w:t>
      </w:r>
      <w:r w:rsidRPr="00A32FA9">
        <w:rPr>
          <w:rFonts w:ascii="Cambria Math" w:hAnsi="Cambria Math" w:cs="Cambria Math"/>
          <w:szCs w:val="24"/>
        </w:rPr>
        <w:t>‑</w:t>
      </w:r>
      <w:r w:rsidRPr="00A32FA9">
        <w:rPr>
          <w:rFonts w:ascii="Arial" w:hAnsi="Arial" w:cs="Arial"/>
          <w:szCs w:val="24"/>
        </w:rPr>
        <w:t>5991, déc. 2023, doi: 10.1016/j.egyr.2023.05.066.</w:t>
      </w:r>
    </w:p>
    <w:p w:rsidR="007819CF" w:rsidRPr="00A32FA9" w:rsidRDefault="007819CF" w:rsidP="00A32FA9">
      <w:pPr>
        <w:pStyle w:val="Bibliography"/>
        <w:jc w:val="both"/>
        <w:rPr>
          <w:rFonts w:ascii="Arial" w:hAnsi="Arial" w:cs="Arial"/>
          <w:szCs w:val="24"/>
        </w:rPr>
      </w:pPr>
      <w:r w:rsidRPr="00A32FA9">
        <w:rPr>
          <w:rFonts w:ascii="Arial" w:hAnsi="Arial" w:cs="Arial"/>
          <w:szCs w:val="24"/>
        </w:rPr>
        <w:t>[28]</w:t>
      </w:r>
      <w:r w:rsidRPr="00A32FA9">
        <w:rPr>
          <w:rFonts w:ascii="Arial" w:hAnsi="Arial" w:cs="Arial"/>
          <w:szCs w:val="24"/>
        </w:rPr>
        <w:tab/>
        <w:t>T. Godjo, « Densification et analyse des propriétés physiques de biocharbon produit à partir des coques déchets d’anacarde au Bénin », vol. 19, n</w:t>
      </w:r>
      <w:r w:rsidRPr="00A32FA9">
        <w:rPr>
          <w:rFonts w:ascii="Arial" w:hAnsi="Arial" w:cs="Arial"/>
          <w:szCs w:val="24"/>
          <w:vertAlign w:val="superscript"/>
        </w:rPr>
        <w:t>o</w:t>
      </w:r>
      <w:r w:rsidRPr="00A32FA9">
        <w:rPr>
          <w:rFonts w:ascii="Arial" w:hAnsi="Arial" w:cs="Arial"/>
          <w:szCs w:val="24"/>
        </w:rPr>
        <w:t xml:space="preserve"> 3, 2017.</w:t>
      </w:r>
    </w:p>
    <w:p w:rsidR="007819CF" w:rsidRPr="00A32FA9" w:rsidRDefault="007819CF" w:rsidP="00A32FA9">
      <w:pPr>
        <w:pStyle w:val="Bibliography"/>
        <w:jc w:val="both"/>
        <w:rPr>
          <w:rFonts w:ascii="Arial" w:hAnsi="Arial" w:cs="Arial"/>
          <w:szCs w:val="24"/>
        </w:rPr>
      </w:pPr>
      <w:r w:rsidRPr="00A32FA9">
        <w:rPr>
          <w:rFonts w:ascii="Arial" w:hAnsi="Arial" w:cs="Arial"/>
          <w:szCs w:val="24"/>
        </w:rPr>
        <w:t>[29]</w:t>
      </w:r>
      <w:r w:rsidRPr="00A32FA9">
        <w:rPr>
          <w:rFonts w:ascii="Arial" w:hAnsi="Arial" w:cs="Arial"/>
          <w:szCs w:val="24"/>
        </w:rPr>
        <w:tab/>
        <w:t xml:space="preserve">O. Alabi, T. Adeyi, et S. Ekun, « Analyzing Energy Performance and Assessing Dry Moisture Content of Briquettes through Numerical Investigations », </w:t>
      </w:r>
      <w:r w:rsidRPr="00A32FA9">
        <w:rPr>
          <w:rFonts w:ascii="Arial" w:hAnsi="Arial" w:cs="Arial"/>
          <w:iCs/>
          <w:szCs w:val="24"/>
        </w:rPr>
        <w:t>Eng. Technol. J.</w:t>
      </w:r>
      <w:r w:rsidRPr="00A32FA9">
        <w:rPr>
          <w:rFonts w:ascii="Arial" w:hAnsi="Arial" w:cs="Arial"/>
          <w:szCs w:val="24"/>
        </w:rPr>
        <w:t>, vol. 0, n</w:t>
      </w:r>
      <w:r w:rsidRPr="00A32FA9">
        <w:rPr>
          <w:rFonts w:ascii="Arial" w:hAnsi="Arial" w:cs="Arial"/>
          <w:szCs w:val="24"/>
          <w:vertAlign w:val="superscript"/>
        </w:rPr>
        <w:t>o</w:t>
      </w:r>
      <w:r w:rsidRPr="00A32FA9">
        <w:rPr>
          <w:rFonts w:ascii="Arial" w:hAnsi="Arial" w:cs="Arial"/>
          <w:szCs w:val="24"/>
        </w:rPr>
        <w:t xml:space="preserve"> 0, p. 1</w:t>
      </w:r>
      <w:r w:rsidRPr="00A32FA9">
        <w:rPr>
          <w:rFonts w:ascii="Cambria Math" w:hAnsi="Cambria Math" w:cs="Cambria Math"/>
          <w:szCs w:val="24"/>
        </w:rPr>
        <w:t>‑</w:t>
      </w:r>
      <w:r w:rsidRPr="00A32FA9">
        <w:rPr>
          <w:rFonts w:ascii="Arial" w:hAnsi="Arial" w:cs="Arial"/>
          <w:szCs w:val="24"/>
        </w:rPr>
        <w:t>10, déc. 2023, doi: 10.30684/etj.2023.143782.1608.</w:t>
      </w:r>
    </w:p>
    <w:p w:rsidR="007819CF" w:rsidRPr="00A32FA9" w:rsidRDefault="007819CF" w:rsidP="00A32FA9">
      <w:pPr>
        <w:pStyle w:val="Bibliography"/>
        <w:jc w:val="both"/>
        <w:rPr>
          <w:rFonts w:ascii="Arial" w:hAnsi="Arial" w:cs="Arial"/>
          <w:szCs w:val="24"/>
        </w:rPr>
      </w:pPr>
      <w:r w:rsidRPr="00A32FA9">
        <w:rPr>
          <w:rFonts w:ascii="Arial" w:hAnsi="Arial" w:cs="Arial"/>
          <w:szCs w:val="24"/>
        </w:rPr>
        <w:t>[30]</w:t>
      </w:r>
      <w:r w:rsidRPr="00A32FA9">
        <w:rPr>
          <w:rFonts w:ascii="Arial" w:hAnsi="Arial" w:cs="Arial"/>
          <w:szCs w:val="24"/>
        </w:rPr>
        <w:tab/>
        <w:t xml:space="preserve">V. O. Otitolaiye </w:t>
      </w:r>
      <w:r w:rsidRPr="00A32FA9">
        <w:rPr>
          <w:rFonts w:ascii="Arial" w:hAnsi="Arial" w:cs="Arial"/>
          <w:iCs/>
          <w:szCs w:val="24"/>
        </w:rPr>
        <w:t>et al.</w:t>
      </w:r>
      <w:r w:rsidRPr="00A32FA9">
        <w:rPr>
          <w:rFonts w:ascii="Arial" w:hAnsi="Arial" w:cs="Arial"/>
          <w:szCs w:val="24"/>
        </w:rPr>
        <w:t xml:space="preserve">, « Fuel Characterisation of the Physicochemical, Thermal and Kinetic Properties of Corn Cob Biomass Wastes for Potential Energy Recovery », </w:t>
      </w:r>
      <w:r w:rsidRPr="00A32FA9">
        <w:rPr>
          <w:rFonts w:ascii="Arial" w:hAnsi="Arial" w:cs="Arial"/>
          <w:iCs/>
          <w:szCs w:val="24"/>
        </w:rPr>
        <w:t>Pet Coal</w:t>
      </w:r>
      <w:r w:rsidRPr="00A32FA9">
        <w:rPr>
          <w:rFonts w:ascii="Arial" w:hAnsi="Arial" w:cs="Arial"/>
          <w:szCs w:val="24"/>
        </w:rPr>
        <w:t>, 2020.</w:t>
      </w:r>
    </w:p>
    <w:p w:rsidR="007819CF" w:rsidRPr="00A32FA9" w:rsidRDefault="007819CF" w:rsidP="00A32FA9">
      <w:pPr>
        <w:pStyle w:val="Bibliography"/>
        <w:jc w:val="both"/>
        <w:rPr>
          <w:rFonts w:ascii="Arial" w:hAnsi="Arial" w:cs="Arial"/>
          <w:szCs w:val="24"/>
        </w:rPr>
      </w:pPr>
      <w:r w:rsidRPr="00A32FA9">
        <w:rPr>
          <w:rFonts w:ascii="Arial" w:hAnsi="Arial" w:cs="Arial"/>
          <w:szCs w:val="24"/>
        </w:rPr>
        <w:t>[31]</w:t>
      </w:r>
      <w:r w:rsidRPr="00A32FA9">
        <w:rPr>
          <w:rFonts w:ascii="Arial" w:hAnsi="Arial" w:cs="Arial"/>
          <w:szCs w:val="24"/>
        </w:rPr>
        <w:tab/>
        <w:t>P. A. Diedhiou, « Étude hydrodynamique et valorisation énergétique par transformation thermochimique de déchets de biomasse pour l’alimentation d’une briqueterie ».</w:t>
      </w:r>
    </w:p>
    <w:p w:rsidR="007819CF" w:rsidRPr="00A32FA9" w:rsidRDefault="007819CF" w:rsidP="00A32FA9">
      <w:pPr>
        <w:pStyle w:val="Bibliography"/>
        <w:jc w:val="both"/>
        <w:rPr>
          <w:rFonts w:ascii="Arial" w:hAnsi="Arial" w:cs="Arial"/>
          <w:szCs w:val="24"/>
        </w:rPr>
      </w:pPr>
      <w:r w:rsidRPr="00A32FA9">
        <w:rPr>
          <w:rFonts w:ascii="Arial" w:hAnsi="Arial" w:cs="Arial"/>
          <w:szCs w:val="24"/>
        </w:rPr>
        <w:t>[32]</w:t>
      </w:r>
      <w:r w:rsidRPr="00A32FA9">
        <w:rPr>
          <w:rFonts w:ascii="Arial" w:hAnsi="Arial" w:cs="Arial"/>
          <w:szCs w:val="24"/>
        </w:rPr>
        <w:tab/>
        <w:t xml:space="preserve">Th. Damartzis, D. Vamvuka, S. Sfakiotakis, et A. Zabaniotou, « Thermal degradation studies and kinetic modeling of cardoon (Cynara cardunculus) pyrolysis using thermogravimetric analysis (TGA) », </w:t>
      </w:r>
      <w:r w:rsidRPr="00A32FA9">
        <w:rPr>
          <w:rFonts w:ascii="Arial" w:hAnsi="Arial" w:cs="Arial"/>
          <w:iCs/>
          <w:szCs w:val="24"/>
        </w:rPr>
        <w:t>Bioresour. Technol.</w:t>
      </w:r>
      <w:r w:rsidRPr="00A32FA9">
        <w:rPr>
          <w:rFonts w:ascii="Arial" w:hAnsi="Arial" w:cs="Arial"/>
          <w:szCs w:val="24"/>
        </w:rPr>
        <w:t>, vol. 102, n</w:t>
      </w:r>
      <w:r w:rsidRPr="00A32FA9">
        <w:rPr>
          <w:rFonts w:ascii="Arial" w:hAnsi="Arial" w:cs="Arial"/>
          <w:szCs w:val="24"/>
          <w:vertAlign w:val="superscript"/>
        </w:rPr>
        <w:t>o</w:t>
      </w:r>
      <w:r w:rsidRPr="00A32FA9">
        <w:rPr>
          <w:rFonts w:ascii="Arial" w:hAnsi="Arial" w:cs="Arial"/>
          <w:szCs w:val="24"/>
        </w:rPr>
        <w:t xml:space="preserve"> 10, p. 6230</w:t>
      </w:r>
      <w:r w:rsidRPr="00A32FA9">
        <w:rPr>
          <w:rFonts w:ascii="Cambria Math" w:hAnsi="Cambria Math" w:cs="Cambria Math"/>
          <w:szCs w:val="24"/>
        </w:rPr>
        <w:t>‑</w:t>
      </w:r>
      <w:r w:rsidRPr="00A32FA9">
        <w:rPr>
          <w:rFonts w:ascii="Arial" w:hAnsi="Arial" w:cs="Arial"/>
          <w:szCs w:val="24"/>
        </w:rPr>
        <w:t>6238, mai 2011, doi: 10.1016/j.biortech.2011.02.060.</w:t>
      </w:r>
    </w:p>
    <w:p w:rsidR="007819CF" w:rsidRPr="00A32FA9" w:rsidRDefault="007819CF" w:rsidP="00A32FA9">
      <w:pPr>
        <w:pStyle w:val="Bibliography"/>
        <w:jc w:val="both"/>
        <w:rPr>
          <w:rFonts w:ascii="Arial" w:hAnsi="Arial" w:cs="Arial"/>
          <w:szCs w:val="24"/>
        </w:rPr>
      </w:pPr>
      <w:r w:rsidRPr="00A32FA9">
        <w:rPr>
          <w:rFonts w:ascii="Arial" w:hAnsi="Arial" w:cs="Arial"/>
          <w:szCs w:val="24"/>
        </w:rPr>
        <w:t>[33]</w:t>
      </w:r>
      <w:r w:rsidRPr="00A32FA9">
        <w:rPr>
          <w:rFonts w:ascii="Arial" w:hAnsi="Arial" w:cs="Arial"/>
          <w:szCs w:val="24"/>
        </w:rPr>
        <w:tab/>
        <w:t xml:space="preserve">M. Gogoi </w:t>
      </w:r>
      <w:r w:rsidRPr="00A32FA9">
        <w:rPr>
          <w:rFonts w:ascii="Arial" w:hAnsi="Arial" w:cs="Arial"/>
          <w:iCs/>
          <w:szCs w:val="24"/>
        </w:rPr>
        <w:t>et al.</w:t>
      </w:r>
      <w:r w:rsidRPr="00A32FA9">
        <w:rPr>
          <w:rFonts w:ascii="Arial" w:hAnsi="Arial" w:cs="Arial"/>
          <w:szCs w:val="24"/>
        </w:rPr>
        <w:t xml:space="preserve">, « Assessments of pyrolysis kinetics and mechanisms of biomass residues using thermogravimetry », </w:t>
      </w:r>
      <w:r w:rsidRPr="00A32FA9">
        <w:rPr>
          <w:rFonts w:ascii="Arial" w:hAnsi="Arial" w:cs="Arial"/>
          <w:iCs/>
          <w:szCs w:val="24"/>
        </w:rPr>
        <w:t>Bioresour. Technol. Rep.</w:t>
      </w:r>
      <w:r w:rsidRPr="00A32FA9">
        <w:rPr>
          <w:rFonts w:ascii="Arial" w:hAnsi="Arial" w:cs="Arial"/>
          <w:szCs w:val="24"/>
        </w:rPr>
        <w:t>, vol. 4, p. 40</w:t>
      </w:r>
      <w:r w:rsidRPr="00A32FA9">
        <w:rPr>
          <w:rFonts w:ascii="Cambria Math" w:hAnsi="Cambria Math" w:cs="Cambria Math"/>
          <w:szCs w:val="24"/>
        </w:rPr>
        <w:t>‑</w:t>
      </w:r>
      <w:r w:rsidRPr="00A32FA9">
        <w:rPr>
          <w:rFonts w:ascii="Arial" w:hAnsi="Arial" w:cs="Arial"/>
          <w:szCs w:val="24"/>
        </w:rPr>
        <w:t>49, déc. 2018, doi: 10.1016/j.biteb.2018.08.016.</w:t>
      </w:r>
    </w:p>
    <w:p w:rsidR="007819CF" w:rsidRPr="00A32FA9" w:rsidRDefault="007819CF" w:rsidP="00A32FA9">
      <w:pPr>
        <w:pStyle w:val="Bibliography"/>
        <w:jc w:val="both"/>
        <w:rPr>
          <w:rFonts w:ascii="Arial" w:hAnsi="Arial" w:cs="Arial"/>
          <w:szCs w:val="24"/>
        </w:rPr>
      </w:pPr>
      <w:r w:rsidRPr="00A32FA9">
        <w:rPr>
          <w:rFonts w:ascii="Arial" w:hAnsi="Arial" w:cs="Arial"/>
          <w:szCs w:val="24"/>
        </w:rPr>
        <w:t>[34]</w:t>
      </w:r>
      <w:r w:rsidRPr="00A32FA9">
        <w:rPr>
          <w:rFonts w:ascii="Arial" w:hAnsi="Arial" w:cs="Arial"/>
          <w:szCs w:val="24"/>
        </w:rPr>
        <w:tab/>
        <w:t>Y. J. Rueda-Ordóñez, « Isoconversional kinetic study of the thermal decomposition of sugarcane straw for thermal conversion processes ».</w:t>
      </w:r>
    </w:p>
    <w:p w:rsidR="007819CF" w:rsidRPr="00A32FA9" w:rsidRDefault="007819CF" w:rsidP="00A32FA9">
      <w:pPr>
        <w:pStyle w:val="Bibliography"/>
        <w:jc w:val="both"/>
        <w:rPr>
          <w:rFonts w:ascii="Arial" w:hAnsi="Arial" w:cs="Arial"/>
          <w:szCs w:val="24"/>
        </w:rPr>
      </w:pPr>
      <w:r w:rsidRPr="00A32FA9">
        <w:rPr>
          <w:rFonts w:ascii="Arial" w:hAnsi="Arial" w:cs="Arial"/>
          <w:szCs w:val="24"/>
        </w:rPr>
        <w:t>[35]</w:t>
      </w:r>
      <w:r w:rsidRPr="00A32FA9">
        <w:rPr>
          <w:rFonts w:ascii="Arial" w:hAnsi="Arial" w:cs="Arial"/>
          <w:szCs w:val="24"/>
        </w:rPr>
        <w:tab/>
        <w:t xml:space="preserve">G. Mishra, J. Kumar, et T. Bhaskar, « Kinetic studies on the pyrolysis of pinewood », </w:t>
      </w:r>
      <w:r w:rsidRPr="00A32FA9">
        <w:rPr>
          <w:rFonts w:ascii="Arial" w:hAnsi="Arial" w:cs="Arial"/>
          <w:iCs/>
          <w:szCs w:val="24"/>
        </w:rPr>
        <w:t>Bioresour. Technol.</w:t>
      </w:r>
      <w:r w:rsidRPr="00A32FA9">
        <w:rPr>
          <w:rFonts w:ascii="Arial" w:hAnsi="Arial" w:cs="Arial"/>
          <w:szCs w:val="24"/>
        </w:rPr>
        <w:t>, vol. 182, p. 282</w:t>
      </w:r>
      <w:r w:rsidRPr="00A32FA9">
        <w:rPr>
          <w:rFonts w:ascii="Cambria Math" w:hAnsi="Cambria Math" w:cs="Cambria Math"/>
          <w:szCs w:val="24"/>
        </w:rPr>
        <w:t>‑</w:t>
      </w:r>
      <w:r w:rsidRPr="00A32FA9">
        <w:rPr>
          <w:rFonts w:ascii="Arial" w:hAnsi="Arial" w:cs="Arial"/>
          <w:szCs w:val="24"/>
        </w:rPr>
        <w:t>288, avr. 2015, doi: 10.1016/j.biortech.2015.01.087.</w:t>
      </w:r>
    </w:p>
    <w:p w:rsidR="007819CF" w:rsidRPr="00A32FA9" w:rsidRDefault="007819CF" w:rsidP="00A32FA9">
      <w:pPr>
        <w:pStyle w:val="Bibliography"/>
        <w:jc w:val="both"/>
        <w:rPr>
          <w:rFonts w:ascii="Arial" w:hAnsi="Arial" w:cs="Arial"/>
          <w:szCs w:val="24"/>
        </w:rPr>
      </w:pPr>
      <w:r w:rsidRPr="00A32FA9">
        <w:rPr>
          <w:rFonts w:ascii="Arial" w:hAnsi="Arial" w:cs="Arial"/>
          <w:szCs w:val="24"/>
        </w:rPr>
        <w:t>[36]</w:t>
      </w:r>
      <w:r w:rsidRPr="00A32FA9">
        <w:rPr>
          <w:rFonts w:ascii="Arial" w:hAnsi="Arial" w:cs="Arial"/>
          <w:szCs w:val="24"/>
        </w:rPr>
        <w:tab/>
        <w:t xml:space="preserve">F. C. R. Lopes, J. C. Pereira, et K. Tannous, « Thermal decomposition kinetics of guarana seed residue through thermogravimetric analysis under inert and oxidizing </w:t>
      </w:r>
      <w:r w:rsidRPr="00A32FA9">
        <w:rPr>
          <w:rFonts w:ascii="Arial" w:hAnsi="Arial" w:cs="Arial"/>
          <w:szCs w:val="24"/>
        </w:rPr>
        <w:lastRenderedPageBreak/>
        <w:t xml:space="preserve">atmospheres », </w:t>
      </w:r>
      <w:r w:rsidRPr="00A32FA9">
        <w:rPr>
          <w:rFonts w:ascii="Arial" w:hAnsi="Arial" w:cs="Arial"/>
          <w:iCs/>
          <w:szCs w:val="24"/>
        </w:rPr>
        <w:t>Bioresour. Technol.</w:t>
      </w:r>
      <w:r w:rsidRPr="00A32FA9">
        <w:rPr>
          <w:rFonts w:ascii="Arial" w:hAnsi="Arial" w:cs="Arial"/>
          <w:szCs w:val="24"/>
        </w:rPr>
        <w:t>, vol. 270, p. 294</w:t>
      </w:r>
      <w:r w:rsidRPr="00A32FA9">
        <w:rPr>
          <w:rFonts w:ascii="Cambria Math" w:hAnsi="Cambria Math" w:cs="Cambria Math"/>
          <w:szCs w:val="24"/>
        </w:rPr>
        <w:t>‑</w:t>
      </w:r>
      <w:r w:rsidRPr="00A32FA9">
        <w:rPr>
          <w:rFonts w:ascii="Arial" w:hAnsi="Arial" w:cs="Arial"/>
          <w:szCs w:val="24"/>
        </w:rPr>
        <w:t>302, déc. 2018, doi: 10.1016/j.biortech.2018.09.021.</w:t>
      </w:r>
    </w:p>
    <w:p w:rsidR="007819CF" w:rsidRPr="00A32FA9" w:rsidRDefault="007819CF" w:rsidP="00A32FA9">
      <w:pPr>
        <w:pStyle w:val="Bibliography"/>
        <w:jc w:val="both"/>
        <w:rPr>
          <w:rFonts w:ascii="Arial" w:hAnsi="Arial" w:cs="Arial"/>
          <w:szCs w:val="24"/>
        </w:rPr>
      </w:pPr>
      <w:r w:rsidRPr="00A32FA9">
        <w:rPr>
          <w:rFonts w:ascii="Arial" w:hAnsi="Arial" w:cs="Arial"/>
          <w:szCs w:val="24"/>
        </w:rPr>
        <w:t>[37]</w:t>
      </w:r>
      <w:r w:rsidRPr="00A32FA9">
        <w:rPr>
          <w:rFonts w:ascii="Arial" w:hAnsi="Arial" w:cs="Arial"/>
          <w:szCs w:val="24"/>
        </w:rPr>
        <w:tab/>
        <w:t xml:space="preserve">G. C. Collazzo </w:t>
      </w:r>
      <w:r w:rsidRPr="00A32FA9">
        <w:rPr>
          <w:rFonts w:ascii="Arial" w:hAnsi="Arial" w:cs="Arial"/>
          <w:iCs/>
          <w:szCs w:val="24"/>
        </w:rPr>
        <w:t>et al.</w:t>
      </w:r>
      <w:r w:rsidRPr="00A32FA9">
        <w:rPr>
          <w:rFonts w:ascii="Arial" w:hAnsi="Arial" w:cs="Arial"/>
          <w:szCs w:val="24"/>
        </w:rPr>
        <w:t xml:space="preserve">, « A detailed non-isothermal kinetic study of elephant grass pyrolysis from different models », </w:t>
      </w:r>
      <w:r w:rsidRPr="00A32FA9">
        <w:rPr>
          <w:rFonts w:ascii="Arial" w:hAnsi="Arial" w:cs="Arial"/>
          <w:iCs/>
          <w:szCs w:val="24"/>
        </w:rPr>
        <w:t>Appl. Therm. Eng.</w:t>
      </w:r>
      <w:r w:rsidRPr="00A32FA9">
        <w:rPr>
          <w:rFonts w:ascii="Arial" w:hAnsi="Arial" w:cs="Arial"/>
          <w:szCs w:val="24"/>
        </w:rPr>
        <w:t>, vol. 110, p. 1200</w:t>
      </w:r>
      <w:r w:rsidRPr="00A32FA9">
        <w:rPr>
          <w:rFonts w:ascii="Cambria Math" w:hAnsi="Cambria Math" w:cs="Cambria Math"/>
          <w:szCs w:val="24"/>
        </w:rPr>
        <w:t>‑</w:t>
      </w:r>
      <w:r w:rsidRPr="00A32FA9">
        <w:rPr>
          <w:rFonts w:ascii="Arial" w:hAnsi="Arial" w:cs="Arial"/>
          <w:szCs w:val="24"/>
        </w:rPr>
        <w:t>1211, janv. 2017, doi: 10.1016/j.applthermaleng.2016.09.012.</w:t>
      </w:r>
    </w:p>
    <w:p w:rsidR="007819CF" w:rsidRPr="00A32FA9" w:rsidRDefault="007819CF" w:rsidP="00A32FA9">
      <w:pPr>
        <w:pStyle w:val="Bibliography"/>
        <w:jc w:val="both"/>
        <w:rPr>
          <w:rFonts w:ascii="Arial" w:hAnsi="Arial" w:cs="Arial"/>
          <w:szCs w:val="24"/>
        </w:rPr>
      </w:pPr>
      <w:r w:rsidRPr="00A32FA9">
        <w:rPr>
          <w:rFonts w:ascii="Arial" w:hAnsi="Arial" w:cs="Arial"/>
          <w:szCs w:val="24"/>
        </w:rPr>
        <w:t>[38]</w:t>
      </w:r>
      <w:r w:rsidRPr="00A32FA9">
        <w:rPr>
          <w:rFonts w:ascii="Arial" w:hAnsi="Arial" w:cs="Arial"/>
          <w:szCs w:val="24"/>
        </w:rPr>
        <w:tab/>
        <w:t xml:space="preserve">R. Kaur, P. Gera, M. K. Jha, et T. Bhaskar, « Pyrolysis kinetics and thermodynamic parameters of castor (Ricinus communis) residue using thermogravimetric analysis », </w:t>
      </w:r>
      <w:r w:rsidRPr="00A32FA9">
        <w:rPr>
          <w:rFonts w:ascii="Arial" w:hAnsi="Arial" w:cs="Arial"/>
          <w:iCs/>
          <w:szCs w:val="24"/>
        </w:rPr>
        <w:t>Bioresour. Technol.</w:t>
      </w:r>
      <w:r w:rsidRPr="00A32FA9">
        <w:rPr>
          <w:rFonts w:ascii="Arial" w:hAnsi="Arial" w:cs="Arial"/>
          <w:szCs w:val="24"/>
        </w:rPr>
        <w:t>, vol. 250, p. 422</w:t>
      </w:r>
      <w:r w:rsidRPr="00A32FA9">
        <w:rPr>
          <w:rFonts w:ascii="Cambria Math" w:hAnsi="Cambria Math" w:cs="Cambria Math"/>
          <w:szCs w:val="24"/>
        </w:rPr>
        <w:t>‑</w:t>
      </w:r>
      <w:r w:rsidRPr="00A32FA9">
        <w:rPr>
          <w:rFonts w:ascii="Arial" w:hAnsi="Arial" w:cs="Arial"/>
          <w:szCs w:val="24"/>
        </w:rPr>
        <w:t>428, févr. 2018, doi: 10.1016/j.biortech.2017.11.077.</w:t>
      </w:r>
    </w:p>
    <w:p w:rsidR="004D4277" w:rsidRPr="003F6197" w:rsidRDefault="002D2CB5" w:rsidP="003F6197">
      <w:pPr>
        <w:pStyle w:val="Body"/>
        <w:spacing w:after="0"/>
        <w:rPr>
          <w:rFonts w:ascii="Arial" w:hAnsi="Arial" w:cs="Arial"/>
          <w:i/>
        </w:rPr>
        <w:sectPr w:rsidR="004D4277" w:rsidRPr="003F6197" w:rsidSect="00D62826">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r w:rsidRPr="00A32FA9">
        <w:rPr>
          <w:rFonts w:ascii="Arial" w:hAnsi="Arial" w:cs="Arial"/>
          <w:i/>
        </w:rPr>
        <w:fldChar w:fldCharType="end"/>
      </w:r>
    </w:p>
    <w:p w:rsidR="00B01FCD" w:rsidRPr="00FB3A86" w:rsidRDefault="00B01FCD" w:rsidP="003F6197">
      <w:pPr>
        <w:pStyle w:val="Appendix"/>
        <w:tabs>
          <w:tab w:val="left" w:pos="1746"/>
        </w:tabs>
        <w:spacing w:after="0"/>
        <w:jc w:val="both"/>
        <w:rPr>
          <w:rFonts w:ascii="Arial" w:hAnsi="Arial" w:cs="Arial"/>
          <w:b w:val="0"/>
        </w:rPr>
      </w:pPr>
    </w:p>
    <w:sectPr w:rsidR="00B01FCD" w:rsidRPr="00FB3A86" w:rsidSect="00D628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3841" w:rsidRDefault="00B93841" w:rsidP="00C37E61">
      <w:r>
        <w:separator/>
      </w:r>
    </w:p>
  </w:endnote>
  <w:endnote w:type="continuationSeparator" w:id="0">
    <w:p w:rsidR="00B93841" w:rsidRDefault="00B9384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826" w:rsidRDefault="00D628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1431650"/>
      <w:docPartObj>
        <w:docPartGallery w:val="Page Numbers (Bottom of Page)"/>
        <w:docPartUnique/>
      </w:docPartObj>
    </w:sdtPr>
    <w:sdtEndPr>
      <w:rPr>
        <w:rFonts w:ascii="Arial" w:hAnsi="Arial" w:cs="Arial"/>
        <w:b/>
        <w:sz w:val="24"/>
        <w:szCs w:val="24"/>
      </w:rPr>
    </w:sdtEndPr>
    <w:sdtContent>
      <w:p w:rsidR="00AF5FE1" w:rsidRPr="004F6585" w:rsidRDefault="00AF5FE1">
        <w:pPr>
          <w:pStyle w:val="Footer"/>
          <w:jc w:val="right"/>
          <w:rPr>
            <w:rFonts w:ascii="Arial" w:hAnsi="Arial" w:cs="Arial"/>
            <w:b/>
            <w:sz w:val="24"/>
            <w:szCs w:val="24"/>
          </w:rPr>
        </w:pPr>
        <w:r w:rsidRPr="004F6585">
          <w:rPr>
            <w:rFonts w:ascii="Arial" w:hAnsi="Arial" w:cs="Arial"/>
            <w:b/>
            <w:sz w:val="24"/>
            <w:szCs w:val="24"/>
          </w:rPr>
          <w:fldChar w:fldCharType="begin"/>
        </w:r>
        <w:r w:rsidRPr="004F6585">
          <w:rPr>
            <w:rFonts w:ascii="Arial" w:hAnsi="Arial" w:cs="Arial"/>
            <w:b/>
            <w:sz w:val="24"/>
            <w:szCs w:val="24"/>
          </w:rPr>
          <w:instrText>PAGE   \* MERGEFORMAT</w:instrText>
        </w:r>
        <w:r w:rsidRPr="004F6585">
          <w:rPr>
            <w:rFonts w:ascii="Arial" w:hAnsi="Arial" w:cs="Arial"/>
            <w:b/>
            <w:sz w:val="24"/>
            <w:szCs w:val="24"/>
          </w:rPr>
          <w:fldChar w:fldCharType="separate"/>
        </w:r>
        <w:r w:rsidR="00F6794F" w:rsidRPr="00F6794F">
          <w:rPr>
            <w:rFonts w:ascii="Arial" w:hAnsi="Arial" w:cs="Arial"/>
            <w:b/>
            <w:noProof/>
            <w:sz w:val="24"/>
            <w:szCs w:val="24"/>
            <w:lang w:val="fr-FR"/>
          </w:rPr>
          <w:t>1</w:t>
        </w:r>
        <w:r w:rsidRPr="004F6585">
          <w:rPr>
            <w:rFonts w:ascii="Arial" w:hAnsi="Arial" w:cs="Arial"/>
            <w:b/>
            <w:sz w:val="24"/>
            <w:szCs w:val="24"/>
          </w:rPr>
          <w:fldChar w:fldCharType="end"/>
        </w:r>
      </w:p>
    </w:sdtContent>
  </w:sdt>
  <w:p w:rsidR="00AF5FE1" w:rsidRDefault="00AF5FE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FE1" w:rsidRPr="00D62826" w:rsidRDefault="00AF5FE1" w:rsidP="00D62826">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0525418"/>
      <w:docPartObj>
        <w:docPartGallery w:val="Page Numbers (Bottom of Page)"/>
        <w:docPartUnique/>
      </w:docPartObj>
    </w:sdtPr>
    <w:sdtEndPr/>
    <w:sdtContent>
      <w:p w:rsidR="00AF5FE1" w:rsidRDefault="00AF5FE1">
        <w:pPr>
          <w:pStyle w:val="Footer"/>
          <w:jc w:val="center"/>
        </w:pPr>
        <w:r>
          <w:fldChar w:fldCharType="begin"/>
        </w:r>
        <w:r>
          <w:instrText>PAGE   \* MERGEFORMAT</w:instrText>
        </w:r>
        <w:r>
          <w:fldChar w:fldCharType="separate"/>
        </w:r>
        <w:r w:rsidR="00F6794F" w:rsidRPr="00F6794F">
          <w:rPr>
            <w:noProof/>
            <w:lang w:val="fr-FR"/>
          </w:rPr>
          <w:t>13</w:t>
        </w:r>
        <w:r>
          <w:fldChar w:fldCharType="end"/>
        </w:r>
      </w:p>
    </w:sdtContent>
  </w:sdt>
  <w:p w:rsidR="00AF5FE1" w:rsidRPr="00C37E61" w:rsidRDefault="00AF5FE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3841" w:rsidRDefault="00B93841" w:rsidP="00C37E61">
      <w:r>
        <w:separator/>
      </w:r>
    </w:p>
  </w:footnote>
  <w:footnote w:type="continuationSeparator" w:id="0">
    <w:p w:rsidR="00B93841" w:rsidRDefault="00B9384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826" w:rsidRDefault="00D628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81615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826" w:rsidRDefault="00D628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81615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FE1" w:rsidRPr="00296529" w:rsidRDefault="00D62826"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81615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AF5FE1" w:rsidRPr="00296529" w:rsidRDefault="00AF5FE1"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AF5FE1" w:rsidRPr="00296529" w:rsidRDefault="00AF5FE1" w:rsidP="00296529">
    <w:pPr>
      <w:jc w:val="center"/>
      <w:rPr>
        <w:rFonts w:ascii="Times New Roman" w:eastAsia="Calibri" w:hAnsi="Times New Roman"/>
        <w:i/>
        <w:sz w:val="18"/>
        <w:szCs w:val="22"/>
      </w:rPr>
    </w:pPr>
    <w:r>
      <w:rPr>
        <w:rFonts w:ascii="Times New Roman" w:eastAsia="Calibri" w:hAnsi="Times New Roman"/>
        <w:i/>
        <w:sz w:val="18"/>
        <w:szCs w:val="22"/>
      </w:rPr>
      <w:t>.</w:t>
    </w:r>
  </w:p>
  <w:p w:rsidR="00AF5FE1" w:rsidRPr="00296529" w:rsidRDefault="00AF5FE1"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AF5FE1" w:rsidRDefault="00AF5FE1"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AF5FE1" w:rsidRDefault="00AF5FE1"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AF5FE1" w:rsidRDefault="00AF5FE1">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826" w:rsidRDefault="00D628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81616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826" w:rsidRDefault="00D628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81616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826" w:rsidRDefault="00D628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81615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26184F"/>
    <w:multiLevelType w:val="hybridMultilevel"/>
    <w:tmpl w:val="8EA0195C"/>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144D759A"/>
    <w:multiLevelType w:val="multilevel"/>
    <w:tmpl w:val="A7BAF40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701E9E"/>
    <w:multiLevelType w:val="multilevel"/>
    <w:tmpl w:val="8A8E1202"/>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A035D13"/>
    <w:multiLevelType w:val="multilevel"/>
    <w:tmpl w:val="00ECA35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2AD9062B"/>
    <w:multiLevelType w:val="multilevel"/>
    <w:tmpl w:val="8A8E1202"/>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2AEA0DDF"/>
    <w:multiLevelType w:val="multilevel"/>
    <w:tmpl w:val="89CE24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B9A673D"/>
    <w:multiLevelType w:val="multilevel"/>
    <w:tmpl w:val="4CDCE47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45951674"/>
    <w:multiLevelType w:val="hybridMultilevel"/>
    <w:tmpl w:val="63EE3840"/>
    <w:lvl w:ilvl="0" w:tplc="A9CEEE30">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4DE87303"/>
    <w:multiLevelType w:val="hybridMultilevel"/>
    <w:tmpl w:val="22461FFC"/>
    <w:lvl w:ilvl="0" w:tplc="6D6EA83A">
      <w:start w:val="1"/>
      <w:numFmt w:val="bullet"/>
      <w:lvlText w:val="•"/>
      <w:lvlJc w:val="left"/>
      <w:pPr>
        <w:tabs>
          <w:tab w:val="num" w:pos="720"/>
        </w:tabs>
        <w:ind w:left="720" w:hanging="360"/>
      </w:pPr>
      <w:rPr>
        <w:rFonts w:ascii="Arial" w:hAnsi="Arial" w:hint="default"/>
      </w:rPr>
    </w:lvl>
    <w:lvl w:ilvl="1" w:tplc="6456A592" w:tentative="1">
      <w:start w:val="1"/>
      <w:numFmt w:val="bullet"/>
      <w:lvlText w:val="•"/>
      <w:lvlJc w:val="left"/>
      <w:pPr>
        <w:tabs>
          <w:tab w:val="num" w:pos="1440"/>
        </w:tabs>
        <w:ind w:left="1440" w:hanging="360"/>
      </w:pPr>
      <w:rPr>
        <w:rFonts w:ascii="Arial" w:hAnsi="Arial" w:hint="default"/>
      </w:rPr>
    </w:lvl>
    <w:lvl w:ilvl="2" w:tplc="79007E64" w:tentative="1">
      <w:start w:val="1"/>
      <w:numFmt w:val="bullet"/>
      <w:lvlText w:val="•"/>
      <w:lvlJc w:val="left"/>
      <w:pPr>
        <w:tabs>
          <w:tab w:val="num" w:pos="2160"/>
        </w:tabs>
        <w:ind w:left="2160" w:hanging="360"/>
      </w:pPr>
      <w:rPr>
        <w:rFonts w:ascii="Arial" w:hAnsi="Arial" w:hint="default"/>
      </w:rPr>
    </w:lvl>
    <w:lvl w:ilvl="3" w:tplc="293653A8" w:tentative="1">
      <w:start w:val="1"/>
      <w:numFmt w:val="bullet"/>
      <w:lvlText w:val="•"/>
      <w:lvlJc w:val="left"/>
      <w:pPr>
        <w:tabs>
          <w:tab w:val="num" w:pos="2880"/>
        </w:tabs>
        <w:ind w:left="2880" w:hanging="360"/>
      </w:pPr>
      <w:rPr>
        <w:rFonts w:ascii="Arial" w:hAnsi="Arial" w:hint="default"/>
      </w:rPr>
    </w:lvl>
    <w:lvl w:ilvl="4" w:tplc="E0FA757A" w:tentative="1">
      <w:start w:val="1"/>
      <w:numFmt w:val="bullet"/>
      <w:lvlText w:val="•"/>
      <w:lvlJc w:val="left"/>
      <w:pPr>
        <w:tabs>
          <w:tab w:val="num" w:pos="3600"/>
        </w:tabs>
        <w:ind w:left="3600" w:hanging="360"/>
      </w:pPr>
      <w:rPr>
        <w:rFonts w:ascii="Arial" w:hAnsi="Arial" w:hint="default"/>
      </w:rPr>
    </w:lvl>
    <w:lvl w:ilvl="5" w:tplc="5D2837E0" w:tentative="1">
      <w:start w:val="1"/>
      <w:numFmt w:val="bullet"/>
      <w:lvlText w:val="•"/>
      <w:lvlJc w:val="left"/>
      <w:pPr>
        <w:tabs>
          <w:tab w:val="num" w:pos="4320"/>
        </w:tabs>
        <w:ind w:left="4320" w:hanging="360"/>
      </w:pPr>
      <w:rPr>
        <w:rFonts w:ascii="Arial" w:hAnsi="Arial" w:hint="default"/>
      </w:rPr>
    </w:lvl>
    <w:lvl w:ilvl="6" w:tplc="ED7EB536" w:tentative="1">
      <w:start w:val="1"/>
      <w:numFmt w:val="bullet"/>
      <w:lvlText w:val="•"/>
      <w:lvlJc w:val="left"/>
      <w:pPr>
        <w:tabs>
          <w:tab w:val="num" w:pos="5040"/>
        </w:tabs>
        <w:ind w:left="5040" w:hanging="360"/>
      </w:pPr>
      <w:rPr>
        <w:rFonts w:ascii="Arial" w:hAnsi="Arial" w:hint="default"/>
      </w:rPr>
    </w:lvl>
    <w:lvl w:ilvl="7" w:tplc="4C861D82" w:tentative="1">
      <w:start w:val="1"/>
      <w:numFmt w:val="bullet"/>
      <w:lvlText w:val="•"/>
      <w:lvlJc w:val="left"/>
      <w:pPr>
        <w:tabs>
          <w:tab w:val="num" w:pos="5760"/>
        </w:tabs>
        <w:ind w:left="5760" w:hanging="360"/>
      </w:pPr>
      <w:rPr>
        <w:rFonts w:ascii="Arial" w:hAnsi="Arial" w:hint="default"/>
      </w:rPr>
    </w:lvl>
    <w:lvl w:ilvl="8" w:tplc="898E848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3B2D7F"/>
    <w:multiLevelType w:val="hybridMultilevel"/>
    <w:tmpl w:val="4A3A1CD0"/>
    <w:lvl w:ilvl="0" w:tplc="3216BDEA">
      <w:start w:val="1"/>
      <w:numFmt w:val="upperLetter"/>
      <w:lvlText w:val="%1."/>
      <w:lvlJc w:val="left"/>
      <w:pPr>
        <w:ind w:left="1800" w:hanging="360"/>
      </w:pPr>
      <w:rPr>
        <w:rFonts w:hint="default"/>
      </w:r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4" w15:restartNumberingAfterBreak="0">
    <w:nsid w:val="75BB4AD5"/>
    <w:multiLevelType w:val="hybridMultilevel"/>
    <w:tmpl w:val="192C2BA6"/>
    <w:lvl w:ilvl="0" w:tplc="1B1C4268">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6"/>
  </w:num>
  <w:num w:numId="7">
    <w:abstractNumId w:val="1"/>
  </w:num>
  <w:num w:numId="8">
    <w:abstractNumId w:val="19"/>
  </w:num>
  <w:num w:numId="9">
    <w:abstractNumId w:val="36"/>
  </w:num>
  <w:num w:numId="10">
    <w:abstractNumId w:val="2"/>
  </w:num>
  <w:num w:numId="11">
    <w:abstractNumId w:val="28"/>
  </w:num>
  <w:num w:numId="12">
    <w:abstractNumId w:val="3"/>
  </w:num>
  <w:num w:numId="13">
    <w:abstractNumId w:val="27"/>
  </w:num>
  <w:num w:numId="14">
    <w:abstractNumId w:val="11"/>
  </w:num>
  <w:num w:numId="15">
    <w:abstractNumId w:val="31"/>
  </w:num>
  <w:num w:numId="16">
    <w:abstractNumId w:val="5"/>
  </w:num>
  <w:num w:numId="17">
    <w:abstractNumId w:val="32"/>
  </w:num>
  <w:num w:numId="18">
    <w:abstractNumId w:val="21"/>
  </w:num>
  <w:num w:numId="19">
    <w:abstractNumId w:val="39"/>
  </w:num>
  <w:num w:numId="20">
    <w:abstractNumId w:val="14"/>
  </w:num>
  <w:num w:numId="21">
    <w:abstractNumId w:val="12"/>
  </w:num>
  <w:num w:numId="22">
    <w:abstractNumId w:val="20"/>
  </w:num>
  <w:num w:numId="23">
    <w:abstractNumId w:val="29"/>
  </w:num>
  <w:num w:numId="24">
    <w:abstractNumId w:val="37"/>
  </w:num>
  <w:num w:numId="25">
    <w:abstractNumId w:val="4"/>
  </w:num>
  <w:num w:numId="26">
    <w:abstractNumId w:val="25"/>
  </w:num>
  <w:num w:numId="27">
    <w:abstractNumId w:val="30"/>
  </w:num>
  <w:num w:numId="28">
    <w:abstractNumId w:val="38"/>
  </w:num>
  <w:num w:numId="29">
    <w:abstractNumId w:val="35"/>
  </w:num>
  <w:num w:numId="30">
    <w:abstractNumId w:val="13"/>
  </w:num>
  <w:num w:numId="31">
    <w:abstractNumId w:val="22"/>
  </w:num>
  <w:num w:numId="32">
    <w:abstractNumId w:val="26"/>
  </w:num>
  <w:num w:numId="33">
    <w:abstractNumId w:val="17"/>
  </w:num>
  <w:num w:numId="34">
    <w:abstractNumId w:val="7"/>
  </w:num>
  <w:num w:numId="35">
    <w:abstractNumId w:val="15"/>
  </w:num>
  <w:num w:numId="36">
    <w:abstractNumId w:val="24"/>
  </w:num>
  <w:num w:numId="37">
    <w:abstractNumId w:val="16"/>
  </w:num>
  <w:num w:numId="38">
    <w:abstractNumId w:val="10"/>
  </w:num>
  <w:num w:numId="39">
    <w:abstractNumId w:val="8"/>
  </w:num>
  <w:num w:numId="40">
    <w:abstractNumId w:val="34"/>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336B"/>
    <w:rsid w:val="0001240E"/>
    <w:rsid w:val="00030174"/>
    <w:rsid w:val="0004579C"/>
    <w:rsid w:val="00056709"/>
    <w:rsid w:val="00064490"/>
    <w:rsid w:val="00082555"/>
    <w:rsid w:val="00090CAC"/>
    <w:rsid w:val="000A47FA"/>
    <w:rsid w:val="000A65D3"/>
    <w:rsid w:val="000B1E33"/>
    <w:rsid w:val="000D689F"/>
    <w:rsid w:val="000E2BC9"/>
    <w:rsid w:val="000E7B7B"/>
    <w:rsid w:val="000E7D62"/>
    <w:rsid w:val="000F30F8"/>
    <w:rsid w:val="000F7A63"/>
    <w:rsid w:val="00103357"/>
    <w:rsid w:val="00123C9F"/>
    <w:rsid w:val="00126190"/>
    <w:rsid w:val="00130F17"/>
    <w:rsid w:val="001320BF"/>
    <w:rsid w:val="00160351"/>
    <w:rsid w:val="00163BC4"/>
    <w:rsid w:val="00191062"/>
    <w:rsid w:val="00192B72"/>
    <w:rsid w:val="001A29D8"/>
    <w:rsid w:val="001A5CAA"/>
    <w:rsid w:val="001B0427"/>
    <w:rsid w:val="001D3A51"/>
    <w:rsid w:val="001E10D2"/>
    <w:rsid w:val="001E25B4"/>
    <w:rsid w:val="001E44FE"/>
    <w:rsid w:val="001F5D44"/>
    <w:rsid w:val="00200595"/>
    <w:rsid w:val="00204835"/>
    <w:rsid w:val="00231920"/>
    <w:rsid w:val="0023195C"/>
    <w:rsid w:val="0024282C"/>
    <w:rsid w:val="002460DC"/>
    <w:rsid w:val="00250985"/>
    <w:rsid w:val="002556F6"/>
    <w:rsid w:val="002639EC"/>
    <w:rsid w:val="00274DE4"/>
    <w:rsid w:val="00283105"/>
    <w:rsid w:val="00284C4C"/>
    <w:rsid w:val="00287E68"/>
    <w:rsid w:val="00296529"/>
    <w:rsid w:val="002B27FB"/>
    <w:rsid w:val="002B685A"/>
    <w:rsid w:val="002C46C1"/>
    <w:rsid w:val="002C57D2"/>
    <w:rsid w:val="002D2CB5"/>
    <w:rsid w:val="002D38BF"/>
    <w:rsid w:val="002E093C"/>
    <w:rsid w:val="002E0D56"/>
    <w:rsid w:val="0030450D"/>
    <w:rsid w:val="00315186"/>
    <w:rsid w:val="0033343E"/>
    <w:rsid w:val="00347DEE"/>
    <w:rsid w:val="003512C2"/>
    <w:rsid w:val="00371FB6"/>
    <w:rsid w:val="003763C1"/>
    <w:rsid w:val="00376BBE"/>
    <w:rsid w:val="0039224F"/>
    <w:rsid w:val="003970B6"/>
    <w:rsid w:val="003A43A4"/>
    <w:rsid w:val="003A7E18"/>
    <w:rsid w:val="003C4C86"/>
    <w:rsid w:val="003C6258"/>
    <w:rsid w:val="003E152A"/>
    <w:rsid w:val="003E2904"/>
    <w:rsid w:val="003F6197"/>
    <w:rsid w:val="00401927"/>
    <w:rsid w:val="0041027F"/>
    <w:rsid w:val="00412475"/>
    <w:rsid w:val="00423789"/>
    <w:rsid w:val="00440F43"/>
    <w:rsid w:val="00441752"/>
    <w:rsid w:val="00441B6F"/>
    <w:rsid w:val="00446221"/>
    <w:rsid w:val="00450E62"/>
    <w:rsid w:val="004539DB"/>
    <w:rsid w:val="0046499E"/>
    <w:rsid w:val="00467B8E"/>
    <w:rsid w:val="00471A80"/>
    <w:rsid w:val="004B1F6D"/>
    <w:rsid w:val="004D305E"/>
    <w:rsid w:val="004D4277"/>
    <w:rsid w:val="004F6585"/>
    <w:rsid w:val="00502516"/>
    <w:rsid w:val="00505F06"/>
    <w:rsid w:val="00506828"/>
    <w:rsid w:val="00512F59"/>
    <w:rsid w:val="005241E1"/>
    <w:rsid w:val="0053056E"/>
    <w:rsid w:val="00554FDA"/>
    <w:rsid w:val="0056470A"/>
    <w:rsid w:val="005921E0"/>
    <w:rsid w:val="00594DC0"/>
    <w:rsid w:val="005A5E73"/>
    <w:rsid w:val="005B4FDE"/>
    <w:rsid w:val="005C784C"/>
    <w:rsid w:val="005D17F6"/>
    <w:rsid w:val="005E5539"/>
    <w:rsid w:val="00602BF5"/>
    <w:rsid w:val="00617FDD"/>
    <w:rsid w:val="00633614"/>
    <w:rsid w:val="00633F68"/>
    <w:rsid w:val="00636EB2"/>
    <w:rsid w:val="006375B8"/>
    <w:rsid w:val="0066510A"/>
    <w:rsid w:val="00673F9F"/>
    <w:rsid w:val="00682F75"/>
    <w:rsid w:val="006844E2"/>
    <w:rsid w:val="00686953"/>
    <w:rsid w:val="00687DEA"/>
    <w:rsid w:val="00687E67"/>
    <w:rsid w:val="00690C90"/>
    <w:rsid w:val="006967F7"/>
    <w:rsid w:val="006A250C"/>
    <w:rsid w:val="006A2D4A"/>
    <w:rsid w:val="006B21D3"/>
    <w:rsid w:val="006B57D0"/>
    <w:rsid w:val="006D1137"/>
    <w:rsid w:val="006D30FF"/>
    <w:rsid w:val="006D6940"/>
    <w:rsid w:val="006F11EC"/>
    <w:rsid w:val="006F2AD3"/>
    <w:rsid w:val="0070082C"/>
    <w:rsid w:val="00701090"/>
    <w:rsid w:val="007369E6"/>
    <w:rsid w:val="007376E8"/>
    <w:rsid w:val="00746E59"/>
    <w:rsid w:val="00754C9A"/>
    <w:rsid w:val="0075599A"/>
    <w:rsid w:val="00761D52"/>
    <w:rsid w:val="0077749E"/>
    <w:rsid w:val="007819CF"/>
    <w:rsid w:val="00790ADA"/>
    <w:rsid w:val="007B74FC"/>
    <w:rsid w:val="007D2288"/>
    <w:rsid w:val="007E088F"/>
    <w:rsid w:val="007F2D25"/>
    <w:rsid w:val="007F3830"/>
    <w:rsid w:val="007F7B32"/>
    <w:rsid w:val="00804BC2"/>
    <w:rsid w:val="00810657"/>
    <w:rsid w:val="0081431A"/>
    <w:rsid w:val="00826343"/>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17362"/>
    <w:rsid w:val="00927834"/>
    <w:rsid w:val="009500A6"/>
    <w:rsid w:val="00957C18"/>
    <w:rsid w:val="009644CB"/>
    <w:rsid w:val="009659BA"/>
    <w:rsid w:val="009704FB"/>
    <w:rsid w:val="00976686"/>
    <w:rsid w:val="00983040"/>
    <w:rsid w:val="009A27F8"/>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2FA9"/>
    <w:rsid w:val="00A347C0"/>
    <w:rsid w:val="00A411AD"/>
    <w:rsid w:val="00A51431"/>
    <w:rsid w:val="00A539AD"/>
    <w:rsid w:val="00A60EC9"/>
    <w:rsid w:val="00A94063"/>
    <w:rsid w:val="00A96B47"/>
    <w:rsid w:val="00AA0062"/>
    <w:rsid w:val="00AA5AA8"/>
    <w:rsid w:val="00AA6219"/>
    <w:rsid w:val="00AA74E0"/>
    <w:rsid w:val="00AA79A7"/>
    <w:rsid w:val="00AB703F"/>
    <w:rsid w:val="00AC6BB8"/>
    <w:rsid w:val="00AC7984"/>
    <w:rsid w:val="00AE008F"/>
    <w:rsid w:val="00AF5FE1"/>
    <w:rsid w:val="00AF6E8B"/>
    <w:rsid w:val="00B01FCD"/>
    <w:rsid w:val="00B1776C"/>
    <w:rsid w:val="00B27C47"/>
    <w:rsid w:val="00B52583"/>
    <w:rsid w:val="00B52896"/>
    <w:rsid w:val="00B63709"/>
    <w:rsid w:val="00B70F61"/>
    <w:rsid w:val="00B911D7"/>
    <w:rsid w:val="00B93841"/>
    <w:rsid w:val="00B95236"/>
    <w:rsid w:val="00B96BD9"/>
    <w:rsid w:val="00BA1B01"/>
    <w:rsid w:val="00BA2641"/>
    <w:rsid w:val="00BB37AA"/>
    <w:rsid w:val="00BC53A0"/>
    <w:rsid w:val="00BE62AD"/>
    <w:rsid w:val="00BF121F"/>
    <w:rsid w:val="00BF1F80"/>
    <w:rsid w:val="00BF37D6"/>
    <w:rsid w:val="00C03841"/>
    <w:rsid w:val="00C1459A"/>
    <w:rsid w:val="00C14910"/>
    <w:rsid w:val="00C166EF"/>
    <w:rsid w:val="00C17EB0"/>
    <w:rsid w:val="00C27F5F"/>
    <w:rsid w:val="00C30A0F"/>
    <w:rsid w:val="00C3628D"/>
    <w:rsid w:val="00C37E61"/>
    <w:rsid w:val="00C63F09"/>
    <w:rsid w:val="00C70F1B"/>
    <w:rsid w:val="00C71A47"/>
    <w:rsid w:val="00C7464C"/>
    <w:rsid w:val="00C85588"/>
    <w:rsid w:val="00CA2995"/>
    <w:rsid w:val="00CD6755"/>
    <w:rsid w:val="00CD6856"/>
    <w:rsid w:val="00CE0089"/>
    <w:rsid w:val="00CE793C"/>
    <w:rsid w:val="00CF193C"/>
    <w:rsid w:val="00D173F1"/>
    <w:rsid w:val="00D62826"/>
    <w:rsid w:val="00D71981"/>
    <w:rsid w:val="00D74CB0"/>
    <w:rsid w:val="00D8295D"/>
    <w:rsid w:val="00D90B47"/>
    <w:rsid w:val="00D947C0"/>
    <w:rsid w:val="00DC0C0D"/>
    <w:rsid w:val="00DC2A65"/>
    <w:rsid w:val="00DD79E3"/>
    <w:rsid w:val="00DE0535"/>
    <w:rsid w:val="00DE15F0"/>
    <w:rsid w:val="00DE5663"/>
    <w:rsid w:val="00DE73B7"/>
    <w:rsid w:val="00DE78AA"/>
    <w:rsid w:val="00E053D0"/>
    <w:rsid w:val="00E15994"/>
    <w:rsid w:val="00E23721"/>
    <w:rsid w:val="00E25EF5"/>
    <w:rsid w:val="00E3114E"/>
    <w:rsid w:val="00E31A70"/>
    <w:rsid w:val="00E35B02"/>
    <w:rsid w:val="00E35E13"/>
    <w:rsid w:val="00E55494"/>
    <w:rsid w:val="00E601F1"/>
    <w:rsid w:val="00E66496"/>
    <w:rsid w:val="00E66B35"/>
    <w:rsid w:val="00E66E10"/>
    <w:rsid w:val="00E769F6"/>
    <w:rsid w:val="00E76D84"/>
    <w:rsid w:val="00E8407C"/>
    <w:rsid w:val="00E84F3C"/>
    <w:rsid w:val="00EA012C"/>
    <w:rsid w:val="00EA2F15"/>
    <w:rsid w:val="00EB408E"/>
    <w:rsid w:val="00EC6A55"/>
    <w:rsid w:val="00ED0288"/>
    <w:rsid w:val="00EE52CB"/>
    <w:rsid w:val="00EF09BD"/>
    <w:rsid w:val="00EF581D"/>
    <w:rsid w:val="00EF7FD8"/>
    <w:rsid w:val="00F06F59"/>
    <w:rsid w:val="00F17988"/>
    <w:rsid w:val="00F469F0"/>
    <w:rsid w:val="00F53273"/>
    <w:rsid w:val="00F6794F"/>
    <w:rsid w:val="00F755E4"/>
    <w:rsid w:val="00F77D02"/>
    <w:rsid w:val="00F836A8"/>
    <w:rsid w:val="00FA1AF8"/>
    <w:rsid w:val="00FB3A86"/>
    <w:rsid w:val="00FD36C8"/>
    <w:rsid w:val="00FD4F1A"/>
    <w:rsid w:val="00FE1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721B9F26-52DC-4B2E-A946-AFD2C23D6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DE0535"/>
    <w:rPr>
      <w:rFonts w:ascii="Helvetica" w:hAnsi="Helvetica"/>
    </w:rPr>
  </w:style>
  <w:style w:type="paragraph" w:styleId="ListParagraph">
    <w:name w:val="List Paragraph"/>
    <w:basedOn w:val="Normal"/>
    <w:uiPriority w:val="34"/>
    <w:qFormat/>
    <w:rsid w:val="00C3628D"/>
    <w:pPr>
      <w:spacing w:after="160" w:line="259" w:lineRule="auto"/>
      <w:ind w:left="720"/>
      <w:contextualSpacing/>
    </w:pPr>
    <w:rPr>
      <w:rFonts w:asciiTheme="minorHAnsi" w:eastAsiaTheme="minorHAnsi" w:hAnsiTheme="minorHAnsi" w:cstheme="minorBidi"/>
      <w:sz w:val="22"/>
      <w:szCs w:val="22"/>
      <w:lang w:val="fr-FR"/>
    </w:rPr>
  </w:style>
  <w:style w:type="character" w:customStyle="1" w:styleId="mord">
    <w:name w:val="mord"/>
    <w:basedOn w:val="DefaultParagraphFont"/>
    <w:rsid w:val="00C3628D"/>
  </w:style>
  <w:style w:type="paragraph" w:styleId="Bibliography">
    <w:name w:val="Bibliography"/>
    <w:basedOn w:val="Normal"/>
    <w:next w:val="Normal"/>
    <w:uiPriority w:val="37"/>
    <w:unhideWhenUsed/>
    <w:rsid w:val="00082555"/>
    <w:pPr>
      <w:tabs>
        <w:tab w:val="left" w:pos="504"/>
      </w:tabs>
      <w:ind w:left="504" w:hanging="504"/>
    </w:pPr>
  </w:style>
  <w:style w:type="character" w:styleId="UnresolvedMention">
    <w:name w:val="Unresolved Mention"/>
    <w:basedOn w:val="DefaultParagraphFont"/>
    <w:uiPriority w:val="99"/>
    <w:semiHidden/>
    <w:unhideWhenUsed/>
    <w:rsid w:val="000124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7698107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50414360">
      <w:bodyDiv w:val="1"/>
      <w:marLeft w:val="0"/>
      <w:marRight w:val="0"/>
      <w:marTop w:val="0"/>
      <w:marBottom w:val="0"/>
      <w:divBdr>
        <w:top w:val="none" w:sz="0" w:space="0" w:color="auto"/>
        <w:left w:val="none" w:sz="0" w:space="0" w:color="auto"/>
        <w:bottom w:val="none" w:sz="0" w:space="0" w:color="auto"/>
        <w:right w:val="none" w:sz="0" w:space="0" w:color="auto"/>
      </w:divBdr>
      <w:divsChild>
        <w:div w:id="2078941894">
          <w:marLeft w:val="446"/>
          <w:marRight w:val="0"/>
          <w:marTop w:val="0"/>
          <w:marBottom w:val="0"/>
          <w:divBdr>
            <w:top w:val="none" w:sz="0" w:space="0" w:color="auto"/>
            <w:left w:val="none" w:sz="0" w:space="0" w:color="auto"/>
            <w:bottom w:val="none" w:sz="0" w:space="0" w:color="auto"/>
            <w:right w:val="none" w:sz="0" w:space="0" w:color="auto"/>
          </w:divBdr>
        </w:div>
        <w:div w:id="1595477562">
          <w:marLeft w:val="446"/>
          <w:marRight w:val="0"/>
          <w:marTop w:val="0"/>
          <w:marBottom w:val="0"/>
          <w:divBdr>
            <w:top w:val="none" w:sz="0" w:space="0" w:color="auto"/>
            <w:left w:val="none" w:sz="0" w:space="0" w:color="auto"/>
            <w:bottom w:val="none" w:sz="0" w:space="0" w:color="auto"/>
            <w:right w:val="none" w:sz="0" w:space="0" w:color="auto"/>
          </w:divBdr>
        </w:div>
        <w:div w:id="1485048247">
          <w:marLeft w:val="446"/>
          <w:marRight w:val="0"/>
          <w:marTop w:val="0"/>
          <w:marBottom w:val="0"/>
          <w:divBdr>
            <w:top w:val="none" w:sz="0" w:space="0" w:color="auto"/>
            <w:left w:val="none" w:sz="0" w:space="0" w:color="auto"/>
            <w:bottom w:val="none" w:sz="0" w:space="0" w:color="auto"/>
            <w:right w:val="none" w:sz="0" w:space="0" w:color="auto"/>
          </w:divBdr>
        </w:div>
      </w:divsChild>
    </w:div>
    <w:div w:id="88463743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7167360">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5814264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197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2EE16-4224-4519-AB3F-1C76723DE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1589</TotalTime>
  <Pages>13</Pages>
  <Words>27042</Words>
  <Characters>154142</Characters>
  <Application>Microsoft Office Word</Application>
  <DocSecurity>0</DocSecurity>
  <Lines>1284</Lines>
  <Paragraphs>361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180823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1180</cp:lastModifiedBy>
  <cp:revision>44</cp:revision>
  <cp:lastPrinted>1999-07-06T11:00:00Z</cp:lastPrinted>
  <dcterms:created xsi:type="dcterms:W3CDTF">2025-06-28T20:55:00Z</dcterms:created>
  <dcterms:modified xsi:type="dcterms:W3CDTF">2025-07-08T13:18:00Z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id="KL15DYhl"/&gt;&lt;style id="http://www.zotero.org/styles/ieee" locale="fr-FR"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