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F0CE8" w14:textId="1BD6342D" w:rsidR="00353A3E" w:rsidRPr="005E7AE5" w:rsidRDefault="00DA4A43" w:rsidP="005E7AE5">
      <w:pPr>
        <w:spacing w:before="240" w:after="240"/>
        <w:jc w:val="center"/>
        <w:rPr>
          <w:b/>
          <w:sz w:val="40"/>
        </w:rPr>
      </w:pPr>
      <w:r w:rsidRPr="004A4EB7">
        <w:rPr>
          <w:b/>
          <w:sz w:val="40"/>
        </w:rPr>
        <w:t>Data-Centric AI for Zero-Carbon Power Systems Security: A Framework for Learning with Noisy, Sparse, and Heterogeneous Data</w:t>
      </w:r>
    </w:p>
    <w:p w14:paraId="08E2943C" w14:textId="77777777" w:rsidR="00685C57" w:rsidRDefault="00685C57" w:rsidP="00685C57">
      <w:pPr>
        <w:pStyle w:val="NoSpacing"/>
        <w:rPr>
          <w:rFonts w:ascii="Tenorite" w:hAnsi="Tenorite" w:cs="Times New Roman"/>
          <w:sz w:val="24"/>
          <w:szCs w:val="24"/>
        </w:rPr>
      </w:pPr>
    </w:p>
    <w:p w14:paraId="754B0FD9" w14:textId="77777777" w:rsidR="00AE5C9F" w:rsidRDefault="00DA4A43">
      <w:pPr>
        <w:spacing w:before="240" w:after="240"/>
        <w:rPr>
          <w:b/>
        </w:rPr>
      </w:pPr>
      <w:r>
        <w:rPr>
          <w:b/>
        </w:rPr>
        <w:t>Abstract</w:t>
      </w:r>
    </w:p>
    <w:p w14:paraId="5BAC00CD" w14:textId="77777777" w:rsidR="00AE5C9F" w:rsidRDefault="00DA4A43">
      <w:pPr>
        <w:spacing w:before="160" w:after="160"/>
        <w:jc w:val="both"/>
      </w:pPr>
      <w:r>
        <w:t xml:space="preserve">This study develops a data-centric artificial intelligence (AI) framework tailored for zero-carbon power systems, focusing on learning from noisy, sparse, </w:t>
      </w:r>
      <w:bookmarkStart w:id="0" w:name="_GoBack"/>
      <w:bookmarkEnd w:id="0"/>
      <w:r>
        <w:t>and heterogeneous data while enhancing cybersecurity resilience. The methodology employs Singular Spectrum Analysis on the PSML dataset, Graph Neural Networks on PowerGraph, PCA and Kalman Filtering on the UCI Smart Grid Stability dataset, and performance validation via Monte Carlo simulations on GridLAB-D data. Results showed a Root Mean Square Error (RMSE) of 55.22 post-reconstruction, perfect anomaly detection accuracy (100%), and robust system performance with a 94.2% data recovery rate during cyberattacks. The findings validate the framework’s scalability, accuracy, and adaptability under degraded data and high-stress scenarios. It is recommended that regulatory bodies enforce data quality protocols, operators deploy graph-based detection models, and developers integrate advanced preprocessing pipelines. This study offers a scalable, real-time AI architecture that supports secure and resilient zero-carbon infrastructures under non-ideal data conditions.</w:t>
      </w:r>
    </w:p>
    <w:p w14:paraId="70A793CF" w14:textId="77777777" w:rsidR="00AE5C9F" w:rsidRDefault="00DA4A43">
      <w:pPr>
        <w:spacing w:before="160" w:after="160"/>
        <w:rPr>
          <w:b/>
        </w:rPr>
      </w:pPr>
      <w:r>
        <w:rPr>
          <w:b/>
        </w:rPr>
        <w:t>Keywords: Data-centric AI, zero-carbon power systems, cybersecurity, noisy data learning, energy resilience.</w:t>
      </w:r>
    </w:p>
    <w:p w14:paraId="67DE5625" w14:textId="77777777" w:rsidR="00AE5C9F" w:rsidRDefault="00AE5C9F">
      <w:pPr>
        <w:spacing w:before="240" w:after="240"/>
        <w:rPr>
          <w:b/>
        </w:rPr>
      </w:pPr>
    </w:p>
    <w:p w14:paraId="579BC3A6" w14:textId="77777777" w:rsidR="00AE5C9F" w:rsidRDefault="00DA4A43">
      <w:pPr>
        <w:spacing w:before="240" w:after="240"/>
        <w:rPr>
          <w:b/>
        </w:rPr>
      </w:pPr>
      <w:r>
        <w:rPr>
          <w:b/>
        </w:rPr>
        <w:t>1. Introduction</w:t>
      </w:r>
    </w:p>
    <w:p w14:paraId="0DAD9AF6" w14:textId="77777777" w:rsidR="00AE5C9F" w:rsidRDefault="00DA4A43">
      <w:pPr>
        <w:spacing w:before="240" w:after="240"/>
      </w:pPr>
      <w:r>
        <w:t xml:space="preserve">The accelerating shift towards zero-carbon power systems reflects an urgent global response to the climate crisis. According to </w:t>
      </w:r>
      <w:r>
        <w:rPr>
          <w:sz w:val="24"/>
          <w:szCs w:val="24"/>
        </w:rPr>
        <w:t>Precedence Research (2025)</w:t>
      </w:r>
      <w:r>
        <w:t xml:space="preserve">, the artificial intelligence (AI) market in renewable energy was valued at $16.19 billion in 2024 and is projected to reach $158.76 billion by 2034, with a compound annual growth rate of 25.65%. This exponential growth signifies not merely a market trend but a strategic commitment to decarbonization, wherein intelligent digital technologies are increasingly recognized as essential instruments for optimizing energy production, improving grid responsiveness, and minimizing carbon emissions </w:t>
      </w:r>
      <w:r>
        <w:rPr>
          <w:sz w:val="24"/>
          <w:szCs w:val="24"/>
        </w:rPr>
        <w:t>(Mahmood et al., 2024)</w:t>
      </w:r>
      <w:r>
        <w:t xml:space="preserve">. As nations expand investments in low-emission technologies such as solar, wind, and hydropower, data-driven innovation has become indispensable for enabling these systems to function efficiently and securely </w:t>
      </w:r>
      <w:r>
        <w:rPr>
          <w:sz w:val="24"/>
          <w:szCs w:val="24"/>
        </w:rPr>
        <w:t>(Cavus, 2025)</w:t>
      </w:r>
      <w:r>
        <w:t>.</w:t>
      </w:r>
    </w:p>
    <w:p w14:paraId="581E992C" w14:textId="77777777" w:rsidR="00AE5C9F" w:rsidRDefault="00DA4A43">
      <w:pPr>
        <w:spacing w:before="240" w:after="240"/>
      </w:pPr>
      <w:r>
        <w:t xml:space="preserve">According to </w:t>
      </w:r>
      <w:r>
        <w:rPr>
          <w:sz w:val="24"/>
          <w:szCs w:val="24"/>
        </w:rPr>
        <w:t>Ford (2025)</w:t>
      </w:r>
      <w:r>
        <w:t xml:space="preserve">, a pivotal development in this context is Google's 2024 partnership with PJM, the largest grid operator in the United States, which aims to reduce renewable energy </w:t>
      </w:r>
      <w:r>
        <w:lastRenderedPageBreak/>
        <w:t xml:space="preserve">interconnection times from years to months through AI-driven optimization. This initiative illustrates the evolution of AI applications beyond conventional forecasting and load balancing. As </w:t>
      </w:r>
      <w:r>
        <w:rPr>
          <w:sz w:val="24"/>
          <w:szCs w:val="24"/>
        </w:rPr>
        <w:t>Wang et al. (2025)</w:t>
      </w:r>
      <w:r>
        <w:t xml:space="preserve"> observes, AI is now central to reconfiguring the structural and regulatory frameworks that govern energy deployment, indicating that the integration of advanced data analytics is becoming foundational to the realization of zero-carbon systems.</w:t>
      </w:r>
    </w:p>
    <w:p w14:paraId="28E7039A" w14:textId="77777777" w:rsidR="00AE5C9F" w:rsidRDefault="00DA4A43">
      <w:pPr>
        <w:spacing w:before="240" w:after="240"/>
      </w:pPr>
      <w:r>
        <w:t xml:space="preserve">However, the same digital transformation that enhances operational efficiency also introduces significant vulnerabilities. In 2024, the energy and utilities sector was the target of 11% of all global cyberattacks, ranking it among the most frequently targeted sectors </w:t>
      </w:r>
      <w:r>
        <w:rPr>
          <w:sz w:val="24"/>
          <w:szCs w:val="24"/>
        </w:rPr>
        <w:t>(Zurier, 2024).</w:t>
      </w:r>
      <w:r>
        <w:t xml:space="preserve"> Between January 2023 and January 2024, critical infrastructure experienced over 420 million cyberattacks, a 30% increase from the previous year </w:t>
      </w:r>
      <w:r>
        <w:rPr>
          <w:sz w:val="24"/>
          <w:szCs w:val="24"/>
        </w:rPr>
        <w:t>(Ribeiro, 2024)</w:t>
      </w:r>
      <w:r>
        <w:t>. This alarming escalation highlights the dual status of energy systems as both strategic assets and high-value targets for cyber adversaries.</w:t>
      </w:r>
    </w:p>
    <w:p w14:paraId="418203E3" w14:textId="77777777" w:rsidR="00AE5C9F" w:rsidRDefault="00DA4A43">
      <w:pPr>
        <w:spacing w:before="240" w:after="240"/>
      </w:pPr>
      <w:r>
        <w:t xml:space="preserve">Moreover, the adoption of intelligent grid technologies introduces unique data-related challenges. As </w:t>
      </w:r>
      <w:r>
        <w:rPr>
          <w:sz w:val="24"/>
          <w:szCs w:val="24"/>
        </w:rPr>
        <w:t>Ge et al. (2019)</w:t>
      </w:r>
      <w:r>
        <w:t xml:space="preserve"> posit, smart grids are inherently dependent on extensive data flows, yet frequently suffer from data inconsistency, incompleteness, and heterogeneity. These problems are exacerbated by aging infrastructure, non-uniform data formats from Internet of Things (IoT) devices, irregular communication intervals, and faulty sensor outputs </w:t>
      </w:r>
      <w:r>
        <w:rPr>
          <w:sz w:val="24"/>
          <w:szCs w:val="24"/>
        </w:rPr>
        <w:t>(Sasi et al., 2023)</w:t>
      </w:r>
      <w:r>
        <w:t xml:space="preserve">. Consequently, conventional AI models, typically trained on clean and structured datasets, often yield suboptimal results when confronted with the noisy, fragmented data endemic to energy systems </w:t>
      </w:r>
      <w:r>
        <w:rPr>
          <w:sz w:val="24"/>
          <w:szCs w:val="24"/>
        </w:rPr>
        <w:t>(Aslam et al., 2025)</w:t>
      </w:r>
      <w:r>
        <w:t>. This mismatch can impair model accuracy and reliability, thereby undermining both operational performance and cybersecurity resilience.</w:t>
      </w:r>
    </w:p>
    <w:p w14:paraId="33DBE63F" w14:textId="77777777" w:rsidR="00AE5C9F" w:rsidRDefault="00DA4A43">
      <w:pPr>
        <w:spacing w:before="240" w:after="240"/>
      </w:pPr>
      <w:r>
        <w:t xml:space="preserve">The intersection of cybersecurity vulnerabilities and data quality issues within zero-carbon power systems has generated a dual imperative </w:t>
      </w:r>
      <w:r>
        <w:rPr>
          <w:sz w:val="24"/>
          <w:szCs w:val="24"/>
        </w:rPr>
        <w:t>(Ribeiro, 2024; Zurier, 2024)</w:t>
      </w:r>
      <w:r>
        <w:t xml:space="preserve">. On one hand, there is an urgent need to safeguard energy infrastructures against emerging cyber and operational threats. On the other, there exists an equally pressing requirement to design artificial intelligence (AI) models that can perform reliably in real-world environments marked by noisy, sparse, and heterogeneous data. Addressing these concurrent challenges necessitates a departure from conventional model-centric development toward a more data-centric paradigm, one that prioritizes data quality, contextual relevance, and system adaptability </w:t>
      </w:r>
      <w:r>
        <w:rPr>
          <w:sz w:val="24"/>
          <w:szCs w:val="24"/>
        </w:rPr>
        <w:t>(Parmar et al., 2023)</w:t>
      </w:r>
      <w:r>
        <w:t>.</w:t>
      </w:r>
    </w:p>
    <w:p w14:paraId="161CBD01" w14:textId="77777777" w:rsidR="00AE5C9F" w:rsidRDefault="00DA4A43">
      <w:pPr>
        <w:spacing w:before="240" w:after="240"/>
      </w:pPr>
      <w:r>
        <w:t xml:space="preserve">This shift is gaining traction within the private sector. For instance, </w:t>
      </w:r>
      <w:r>
        <w:rPr>
          <w:sz w:val="24"/>
          <w:szCs w:val="24"/>
        </w:rPr>
        <w:t>Khan (2025)</w:t>
      </w:r>
      <w:r>
        <w:t xml:space="preserve"> discusses Octopus Energy's Kraken AI platform, which applies data-centric intelligence to manage energy demand across millions of users. Kraken utilizes real-time customer-level data to automate pricing strategies, balance grid demand, and reduce energy wastage </w:t>
      </w:r>
      <w:r>
        <w:rPr>
          <w:sz w:val="24"/>
          <w:szCs w:val="24"/>
        </w:rPr>
        <w:t>(Khan, 2025).</w:t>
      </w:r>
      <w:r>
        <w:t xml:space="preserve"> Such systems highlight the potential of data-centric approaches to transform energy management at scale. Nevertheless, despite these advancements, existing platforms often fall short of addressing more complex issues related to incomplete and disordered data, and typically lack integrated cybersecurity protocols necessary for defending critical infrastructure </w:t>
      </w:r>
      <w:r>
        <w:rPr>
          <w:sz w:val="24"/>
          <w:szCs w:val="24"/>
        </w:rPr>
        <w:t>(Daniel &amp; Victor, 2024).</w:t>
      </w:r>
    </w:p>
    <w:p w14:paraId="678B9917" w14:textId="77777777" w:rsidR="00AE5C9F" w:rsidRDefault="00DA4A43">
      <w:pPr>
        <w:spacing w:before="240" w:after="240"/>
      </w:pPr>
      <w:r>
        <w:lastRenderedPageBreak/>
        <w:t>This study seeks to address these deficiencies by offering a comprehensive framework that operates at the intersection of AI reliability, data inconsistency, and cybersecurity within the context of zero-carbon infrastructures. While prior research has extensively covered AI applications in renewable forecasting and microgrid management, relatively few studies examine the triadic interplay between AI model performance, security resilience, and real-world data constraints. Fewer still propose integrated frameworks capable of resolving these dimensions concurrently.</w:t>
      </w:r>
    </w:p>
    <w:p w14:paraId="717CFD5D" w14:textId="77777777" w:rsidR="00AE5C9F" w:rsidRDefault="00DA4A43">
      <w:pPr>
        <w:spacing w:before="240" w:after="240"/>
      </w:pPr>
      <w:r>
        <w:t xml:space="preserve">This study thus aims to develop a robust, data-centric artificial intelligence (AI) framework that enhances the security and operational resilience of zero-carbon power systems by effectively learning from noisy, sparse, and heterogeneous data environments; to bridge the gap between real-world data challenges and intelligent decision-making in next-generation energy systems. This aim pursues the following objectives: </w:t>
      </w:r>
    </w:p>
    <w:p w14:paraId="6310DC35" w14:textId="77777777" w:rsidR="00AE5C9F" w:rsidRDefault="00DA4A43">
      <w:pPr>
        <w:numPr>
          <w:ilvl w:val="0"/>
          <w:numId w:val="2"/>
        </w:numPr>
        <w:spacing w:before="240"/>
      </w:pPr>
      <w:r>
        <w:t>Designing an AI framework to address data variability and quality issues</w:t>
      </w:r>
    </w:p>
    <w:p w14:paraId="18DCCE2C" w14:textId="77777777" w:rsidR="00AE5C9F" w:rsidRDefault="00DA4A43">
      <w:pPr>
        <w:numPr>
          <w:ilvl w:val="0"/>
          <w:numId w:val="2"/>
        </w:numPr>
      </w:pPr>
      <w:r>
        <w:t xml:space="preserve">developing security-oriented AI mechanisms for threat detection and mitigation; </w:t>
      </w:r>
    </w:p>
    <w:p w14:paraId="69DE3D8E" w14:textId="77777777" w:rsidR="00AE5C9F" w:rsidRDefault="00DA4A43">
      <w:pPr>
        <w:numPr>
          <w:ilvl w:val="0"/>
          <w:numId w:val="2"/>
        </w:numPr>
      </w:pPr>
      <w:r>
        <w:t xml:space="preserve">proposing data fusion and preprocessing strategies for improved learning performance; and </w:t>
      </w:r>
    </w:p>
    <w:p w14:paraId="0DEC6D0C" w14:textId="77777777" w:rsidR="00AE5C9F" w:rsidRDefault="00DA4A43">
      <w:pPr>
        <w:numPr>
          <w:ilvl w:val="0"/>
          <w:numId w:val="2"/>
        </w:numPr>
        <w:spacing w:after="240"/>
      </w:pPr>
      <w:r>
        <w:t>validating the framework with simulated datasets to proffer recommendations to relevant bodies</w:t>
      </w:r>
    </w:p>
    <w:p w14:paraId="42200D85" w14:textId="77777777" w:rsidR="00AE5C9F" w:rsidRDefault="00DA4A43">
      <w:pPr>
        <w:spacing w:before="240" w:after="240"/>
      </w:pPr>
      <w:r>
        <w:t>This investigation contribut</w:t>
      </w:r>
      <w:r w:rsidR="00DE6722">
        <w:t>es</w:t>
      </w:r>
      <w:r>
        <w:t xml:space="preserve"> meaningfully to the current discourse on secure, sustainable energy transitions</w:t>
      </w:r>
      <w:r w:rsidR="00DE6722">
        <w:t>, aiming</w:t>
      </w:r>
      <w:r>
        <w:t xml:space="preserve"> to produce a practical, scalable solution that not only aligns with global decarbonization goals but also withstands the data limitations and security demands that characterize the modern energy industry.</w:t>
      </w:r>
    </w:p>
    <w:p w14:paraId="62B38EF1" w14:textId="77777777" w:rsidR="00AE5C9F" w:rsidRDefault="00AE5C9F">
      <w:pPr>
        <w:spacing w:before="240" w:after="240"/>
      </w:pPr>
    </w:p>
    <w:p w14:paraId="1D7F9569" w14:textId="77777777" w:rsidR="00AE5C9F" w:rsidRDefault="00DA4A43">
      <w:pPr>
        <w:spacing w:before="240" w:after="240"/>
        <w:rPr>
          <w:b/>
        </w:rPr>
      </w:pPr>
      <w:r>
        <w:rPr>
          <w:b/>
        </w:rPr>
        <w:t>2. Literature Review</w:t>
      </w:r>
    </w:p>
    <w:p w14:paraId="4293992A" w14:textId="77777777" w:rsidR="00AE5C9F" w:rsidRDefault="00DA4A43">
      <w:pPr>
        <w:spacing w:before="240" w:after="240"/>
      </w:pPr>
      <w:r>
        <w:t xml:space="preserve">While the rapid proliferation of solar and wind energy has significantly expanded the global renewable portfolio, these sources present challenges due to their inherent variability and intermittency. Conventional centralized power systems are poorly equipped to manage such decentralized inputs, prompting a shift toward digital transformation in power grid architecture </w:t>
      </w:r>
      <w:r>
        <w:rPr>
          <w:sz w:val="24"/>
          <w:szCs w:val="24"/>
        </w:rPr>
        <w:t>(Nadeem et al., 2023)</w:t>
      </w:r>
      <w:r>
        <w:t>. Smart grids</w:t>
      </w:r>
      <w:r w:rsidR="004321B9">
        <w:t xml:space="preserve"> </w:t>
      </w:r>
      <w:r>
        <w:t>equipped with sensors, AI-based monitoring systems, and automated controls</w:t>
      </w:r>
      <w:r w:rsidR="004321B9">
        <w:t xml:space="preserve"> </w:t>
      </w:r>
      <w:r>
        <w:t xml:space="preserve">are increasingly deployed to support real-time load optimization and responsive energy management </w:t>
      </w:r>
      <w:r>
        <w:rPr>
          <w:sz w:val="24"/>
          <w:szCs w:val="24"/>
        </w:rPr>
        <w:t>(Alam et al., 2025)</w:t>
      </w:r>
      <w:r>
        <w:t>. These tools are critical for maintaining grid stability, particularly in integrating intermittent sources like wind and solar energy, whose outputs fluctuate rapidly.</w:t>
      </w:r>
    </w:p>
    <w:p w14:paraId="3367A6B1" w14:textId="77777777" w:rsidR="00AE5C9F" w:rsidRDefault="00DA4A43">
      <w:pPr>
        <w:spacing w:before="240" w:after="240"/>
      </w:pPr>
      <w:r>
        <w:t xml:space="preserve">Furthermore, the emergence of microgrids has introduced localized control structures that enable distributed generation and storage units to operate either autonomously or in synchrony with centralized networks. In the view of </w:t>
      </w:r>
      <w:r>
        <w:rPr>
          <w:sz w:val="24"/>
          <w:szCs w:val="24"/>
        </w:rPr>
        <w:t>Gharehpetian et al. (2021)</w:t>
      </w:r>
      <w:r>
        <w:t>, the adoption of microgrids is advancing across both urban centers and remote communities, driven by heightened demand for system resilience amid climate-induced disruptions and supply volatility.</w:t>
      </w:r>
    </w:p>
    <w:p w14:paraId="2A72A440" w14:textId="77777777" w:rsidR="00AE5C9F" w:rsidRDefault="00DA4A43">
      <w:pPr>
        <w:spacing w:before="240" w:after="240"/>
      </w:pPr>
      <w:r>
        <w:lastRenderedPageBreak/>
        <w:t xml:space="preserve">However, this digitization trajectory brings forth new vulnerabilities. </w:t>
      </w:r>
      <w:r>
        <w:rPr>
          <w:sz w:val="24"/>
          <w:szCs w:val="24"/>
        </w:rPr>
        <w:t>Costa et al. (2024)</w:t>
      </w:r>
      <w:r>
        <w:t xml:space="preserve"> note that the lack of standardized data management protocols and platform interoperability presents persistent challenges. Decentralized systems frequently depend on fragmented, noisy, and heterogeneous data inputs, which undermine decision-making precision and increase exposure to cyber-physical threats </w:t>
      </w:r>
      <w:r>
        <w:rPr>
          <w:sz w:val="24"/>
          <w:szCs w:val="24"/>
        </w:rPr>
        <w:t>(Rafeeq War et al., 2025)</w:t>
      </w:r>
      <w:r>
        <w:t>. These deficiencies reinforce the urgency of the present study’s aim: to develop a data-centric AI framework capable of learning from imperfect data environments. The effective governance and resilience of zero-carbon power infrastructures depend not only on advanced hardware but also on intelligent, adaptable models capable of real-time interpretation and autonomous operational decision-making.</w:t>
      </w:r>
    </w:p>
    <w:p w14:paraId="0B13FDD3" w14:textId="77777777" w:rsidR="00AE5C9F" w:rsidRDefault="00DA4A43">
      <w:pPr>
        <w:spacing w:before="240" w:after="240"/>
        <w:rPr>
          <w:b/>
        </w:rPr>
      </w:pPr>
      <w:r>
        <w:rPr>
          <w:b/>
        </w:rPr>
        <w:t xml:space="preserve">AI Applications in Smart and Renewable Energy Systems </w:t>
      </w:r>
    </w:p>
    <w:p w14:paraId="18FD4193" w14:textId="77777777" w:rsidR="00AE5C9F" w:rsidRDefault="00DA4A43">
      <w:pPr>
        <w:spacing w:before="240" w:after="240"/>
      </w:pPr>
      <w:r>
        <w:t xml:space="preserve">As Artificial intelligence (AI) continues to be integral to the architecture of smart and renewable energy systems, offering capabilities that enhance demand forecasting, dynamic load balancing, predictive maintenance, and smart metering, these functionalities allow utility providers to optimize supply chains and mitigate operational inefficiencies. According to </w:t>
      </w:r>
      <w:r>
        <w:rPr>
          <w:sz w:val="24"/>
          <w:szCs w:val="24"/>
        </w:rPr>
        <w:t>Krishnamurthy et al. (2024)</w:t>
      </w:r>
      <w:r>
        <w:t xml:space="preserve">, machine learning models trained on historical energy consumption and meteorological data have significantly increased the precision of demand forecasting, enabling more effective allocation and scheduling of generation resources. Additionally, reinforcement learning techniques have been employed to facilitate adaptive load balancing, equipping power systems to respond in real-time to fluctuating demand patterns and renewable energy variability </w:t>
      </w:r>
      <w:r>
        <w:rPr>
          <w:sz w:val="24"/>
          <w:szCs w:val="24"/>
        </w:rPr>
        <w:t>(Michailidis et al., 2025)</w:t>
      </w:r>
      <w:r>
        <w:t xml:space="preserve">. As </w:t>
      </w:r>
      <w:r>
        <w:rPr>
          <w:sz w:val="24"/>
          <w:szCs w:val="24"/>
        </w:rPr>
        <w:t>Ohanu et al. (2024)</w:t>
      </w:r>
      <w:r>
        <w:t xml:space="preserve"> contends, these innovations collectively improve grid reliability, reduce systemic waste, and enhance the integration of intermittent energy sources.</w:t>
      </w:r>
    </w:p>
    <w:p w14:paraId="46C9678A" w14:textId="77777777" w:rsidR="00AE5C9F" w:rsidRDefault="00DA4A43">
      <w:pPr>
        <w:spacing w:before="240" w:after="240"/>
      </w:pPr>
      <w:r>
        <w:t xml:space="preserve">Despite these advances, many AI implementations remain anchored in model-centric paradigms that emphasize algorithmic complexity while assuming access to structured, clean, and uniform datasets </w:t>
      </w:r>
      <w:r>
        <w:rPr>
          <w:sz w:val="24"/>
          <w:szCs w:val="24"/>
        </w:rPr>
        <w:t>(Parmar et al., 2023)</w:t>
      </w:r>
      <w:r>
        <w:t xml:space="preserve">. However, such idealized conditions rarely reflect the realities of energy systems, which are often typified by fragmented, inconsistent, and incomplete data. The operational fragility of many AI models stems from their inability to accommodate noisy inputs or adapt to evolving data distributions across geographical or temporal domains </w:t>
      </w:r>
      <w:r>
        <w:rPr>
          <w:sz w:val="24"/>
          <w:szCs w:val="24"/>
        </w:rPr>
        <w:t>(Nadeem et al., 2023; Ohanu et al., 2024; Rafeeq War et al., 2025)</w:t>
      </w:r>
      <w:r>
        <w:t>. This lack of flexibility leads to marked performance degradation in real-world deployments, particularly under unpredictable or anomalous data scenarios.</w:t>
      </w:r>
    </w:p>
    <w:p w14:paraId="3795E962" w14:textId="77777777" w:rsidR="00AE5C9F" w:rsidRDefault="00DA4A43">
      <w:pPr>
        <w:spacing w:before="240" w:after="240"/>
      </w:pPr>
      <w:r>
        <w:t xml:space="preserve">Emerging commercial platforms illustrate both the capabilities and shortcomings of contemporary AI deployments. For example, </w:t>
      </w:r>
      <w:r>
        <w:rPr>
          <w:sz w:val="24"/>
          <w:szCs w:val="24"/>
        </w:rPr>
        <w:t>Howland (2025)</w:t>
      </w:r>
      <w:r>
        <w:t xml:space="preserve"> reports that Google’s collaboration with PJM focuses on expediting grid interconnection approvals using AI. While innovative, this application is largely administrative in nature and does not engage directly with core operational vulnerabilities. Similarly, as </w:t>
      </w:r>
      <w:r>
        <w:rPr>
          <w:sz w:val="24"/>
          <w:szCs w:val="24"/>
        </w:rPr>
        <w:t>Darley (2025)</w:t>
      </w:r>
      <w:r>
        <w:t xml:space="preserve"> notes, Octopus Energy’s Kraken platform employs AI to manage user energy profiles and automate billing functions. Although technologically advanced, Kraken’s functionality presumes the availability of consistent, high-quality data inputs, limiting its adaptability in decentralized grid environments where data irregularities are common.</w:t>
      </w:r>
    </w:p>
    <w:p w14:paraId="0D271CB0" w14:textId="77777777" w:rsidR="00AE5C9F" w:rsidRDefault="00DA4A43">
      <w:pPr>
        <w:spacing w:before="240" w:after="240"/>
      </w:pPr>
      <w:r>
        <w:lastRenderedPageBreak/>
        <w:t>This context has led to growing recognition of the need for data-centric AI frameworks, which emphasize refining data quality, correcting inconsistencies, and enhancing representational accuracy over escalating algorithmic sophistication. Nonetheless, most existing operational systems have not been developed with these principles, thereby exposing limitations in scalability, contextual generalization, and integrated cybersecurity. These deficiencies substantiate the rationale for the current study’s proposed reconfiguration of AI frameworks to meet the operational and security demands of contemporary zero-carbon energy systems.</w:t>
      </w:r>
    </w:p>
    <w:p w14:paraId="30843560" w14:textId="77777777" w:rsidR="00AE5C9F" w:rsidRDefault="00DA4A43">
      <w:pPr>
        <w:spacing w:before="240" w:after="240"/>
        <w:rPr>
          <w:b/>
        </w:rPr>
      </w:pPr>
      <w:r>
        <w:rPr>
          <w:b/>
        </w:rPr>
        <w:t xml:space="preserve">Data Quality and Integration Challenges in Power Systems </w:t>
      </w:r>
    </w:p>
    <w:p w14:paraId="5B006882" w14:textId="77777777" w:rsidR="00AE5C9F" w:rsidRDefault="00DA4A43">
      <w:pPr>
        <w:spacing w:before="240" w:after="240"/>
      </w:pPr>
      <w:r>
        <w:t xml:space="preserve">The efficacy and reliability of artificial intelligence (AI) applications in power systems are severely constrained by persistent deficiencies in data quality, completeness, and interoperability. According to </w:t>
      </w:r>
      <w:r>
        <w:rPr>
          <w:rFonts w:ascii="Times New Roman" w:eastAsia="Times New Roman" w:hAnsi="Times New Roman" w:cs="Times New Roman"/>
          <w:sz w:val="24"/>
          <w:szCs w:val="24"/>
        </w:rPr>
        <w:t>Mahmood et al. (2024)</w:t>
      </w:r>
      <w:r>
        <w:t xml:space="preserve">, smart energy infrastructures frequently contend with noisy, sparse, and heterogeneous datasets, which impede predictive accuracy and undermine the integrity of real-time control mechanisms. Noisy data typically originate from Internet of Things (IoT) device anomalies caused by hardware degradation, calibration discrepancies, or electromagnetic interference </w:t>
      </w:r>
      <w:r>
        <w:rPr>
          <w:rFonts w:ascii="Times New Roman" w:eastAsia="Times New Roman" w:hAnsi="Times New Roman" w:cs="Times New Roman"/>
          <w:sz w:val="24"/>
          <w:szCs w:val="24"/>
        </w:rPr>
        <w:t>(Liu et al., 2020)</w:t>
      </w:r>
      <w:r>
        <w:t>. Additionally, transmission delays and packet losses in wide-area sensor networks introduce temporal inconsistencies, distorting the sequential coherence of input data. Environmental factors such as high humidity or storm-induced signal disruptions further degrade sensor fidelity, while the coexistence of diverse data formats</w:t>
      </w:r>
      <w:r w:rsidR="004321B9">
        <w:t xml:space="preserve"> </w:t>
      </w:r>
      <w:r>
        <w:t>encompassing time-series metrics, event-driven logs, geospatial coordinates, and categorical classifications</w:t>
      </w:r>
      <w:r w:rsidR="004321B9">
        <w:t xml:space="preserve"> </w:t>
      </w:r>
      <w:r>
        <w:t>complicates preprocessing pipelines for AI model ingestion.</w:t>
      </w:r>
    </w:p>
    <w:p w14:paraId="39B62BC1" w14:textId="77777777" w:rsidR="00AE5C9F" w:rsidRDefault="00DA4A43">
      <w:pPr>
        <w:spacing w:before="240" w:after="240"/>
      </w:pPr>
      <w:r>
        <w:t xml:space="preserve">To address these issues, a range of imputation and preprocessing techniques has been developed. Traditional statistical approaches, such as k-nearest neighbors (KNN), infer missing values by leveraging spatiotemporal proximities </w:t>
      </w:r>
      <w:r>
        <w:rPr>
          <w:rFonts w:ascii="Times New Roman" w:eastAsia="Times New Roman" w:hAnsi="Times New Roman" w:cs="Times New Roman"/>
          <w:sz w:val="24"/>
          <w:szCs w:val="24"/>
        </w:rPr>
        <w:t>(Ningrinla Marchang &amp; Tripathi, 2020)</w:t>
      </w:r>
      <w:r>
        <w:t xml:space="preserve">. More advanced techniques, such as deep learning-based autoencoders, reconstruct incomplete datasets by capturing latent structural patterns </w:t>
      </w:r>
      <w:r>
        <w:rPr>
          <w:rFonts w:ascii="Times New Roman" w:eastAsia="Times New Roman" w:hAnsi="Times New Roman" w:cs="Times New Roman"/>
          <w:sz w:val="24"/>
          <w:szCs w:val="24"/>
        </w:rPr>
        <w:t xml:space="preserve">(Mienye &amp; Swart, 2025). </w:t>
      </w:r>
      <w:r>
        <w:t xml:space="preserve">However, these methods often demonstrate reduced effectiveness in operational environments where data corruption is irregular and less predictable </w:t>
      </w:r>
      <w:r>
        <w:rPr>
          <w:rFonts w:ascii="Times New Roman" w:eastAsia="Times New Roman" w:hAnsi="Times New Roman" w:cs="Times New Roman"/>
          <w:sz w:val="24"/>
          <w:szCs w:val="24"/>
        </w:rPr>
        <w:t xml:space="preserve">(Genuario et al., 2024). </w:t>
      </w:r>
      <w:r>
        <w:t>Furthermore, many models depend on tuning parameters calibrated to theoretical distributional assumptions, which may not reflect the dynamic and non-stationary characteristics of power systems.</w:t>
      </w:r>
    </w:p>
    <w:p w14:paraId="1CB94D81" w14:textId="77777777" w:rsidR="00AE5C9F" w:rsidRDefault="00DA4A43">
      <w:pPr>
        <w:spacing w:before="240" w:after="240"/>
      </w:pPr>
      <w:r>
        <w:t xml:space="preserve">In parallel, data fusion strategies have been employed to integrate heterogeneous inputs from smart meters, weather sensors, substations, and storage facilities. Fusion frameworks that incorporate spatial, temporal, and contextual dimensions can significantly enhance interpretability and operational relevance </w:t>
      </w:r>
      <w:r>
        <w:rPr>
          <w:rFonts w:ascii="Times New Roman" w:eastAsia="Times New Roman" w:hAnsi="Times New Roman" w:cs="Times New Roman"/>
          <w:sz w:val="24"/>
          <w:szCs w:val="24"/>
        </w:rPr>
        <w:t xml:space="preserve">(Jiang et al., 2024). </w:t>
      </w:r>
      <w:r>
        <w:t xml:space="preserve">Yet, these techniques frequently encounter challenges due to varying data resolutions and asynchronous sampling intervals, which complicate temporal alignment and exacerbate data bias </w:t>
      </w:r>
      <w:r>
        <w:rPr>
          <w:rFonts w:ascii="Times New Roman" w:eastAsia="Times New Roman" w:hAnsi="Times New Roman" w:cs="Times New Roman"/>
          <w:sz w:val="24"/>
          <w:szCs w:val="24"/>
        </w:rPr>
        <w:t>(Genuario et al., 2024).</w:t>
      </w:r>
      <w:r>
        <w:t xml:space="preserve"> Similarly, feature engineering methodologies that seek to extract predictive indicators</w:t>
      </w:r>
      <w:r w:rsidR="004321B9">
        <w:t xml:space="preserve"> </w:t>
      </w:r>
      <w:r>
        <w:t>such as volatility indices or resilience metrics</w:t>
      </w:r>
      <w:r w:rsidR="004321B9">
        <w:t xml:space="preserve"> </w:t>
      </w:r>
      <w:r>
        <w:t xml:space="preserve">are often constrained by the quality and completeness of the base datasets. Heuristic-driven feature extraction lacks generalizability across disparate regional infrastructures and architectural configurations </w:t>
      </w:r>
      <w:r>
        <w:rPr>
          <w:rFonts w:ascii="Times New Roman" w:eastAsia="Times New Roman" w:hAnsi="Times New Roman" w:cs="Times New Roman"/>
          <w:sz w:val="24"/>
          <w:szCs w:val="24"/>
        </w:rPr>
        <w:t>(Watson et al., 2022).</w:t>
      </w:r>
    </w:p>
    <w:p w14:paraId="0BDEFECC" w14:textId="77777777" w:rsidR="00AE5C9F" w:rsidRDefault="00DA4A43">
      <w:pPr>
        <w:spacing w:before="240" w:after="240"/>
        <w:rPr>
          <w:b/>
        </w:rPr>
      </w:pPr>
      <w:r>
        <w:rPr>
          <w:b/>
        </w:rPr>
        <w:lastRenderedPageBreak/>
        <w:t xml:space="preserve">Limitations of Existing AI Frameworks in Handling Imperfect Data </w:t>
      </w:r>
    </w:p>
    <w:p w14:paraId="04E17CAE" w14:textId="77777777" w:rsidR="00AE5C9F" w:rsidRDefault="00DA4A43">
      <w:pPr>
        <w:spacing w:before="240" w:after="240"/>
      </w:pPr>
      <w:r>
        <w:t>Traditional AI frameworks predominantly utilize supervised learning models</w:t>
      </w:r>
      <w:r w:rsidR="004321B9">
        <w:t xml:space="preserve"> </w:t>
      </w:r>
      <w:r>
        <w:t>including support vector machines, decision trees, and artificial neural networks</w:t>
      </w:r>
      <w:r w:rsidR="004321B9">
        <w:t xml:space="preserve"> </w:t>
      </w:r>
      <w:r>
        <w:t xml:space="preserve">which require labeled data and presume that input streams are complete, structured, and temporally coherent </w:t>
      </w:r>
      <w:r>
        <w:rPr>
          <w:rFonts w:ascii="Times New Roman" w:eastAsia="Times New Roman" w:hAnsi="Times New Roman" w:cs="Times New Roman"/>
          <w:sz w:val="24"/>
          <w:szCs w:val="24"/>
        </w:rPr>
        <w:t>(Ahmed et al., 2023).</w:t>
      </w:r>
      <w:r>
        <w:t xml:space="preserve"> These foundational assumptions are frequently violated in operational power environments, where data inconsistencies arise from hardware malfunctions, asynchronous sensor deployments, and rapidly changing environmental conditions </w:t>
      </w:r>
      <w:r>
        <w:rPr>
          <w:rFonts w:ascii="Times New Roman" w:eastAsia="Times New Roman" w:hAnsi="Times New Roman" w:cs="Times New Roman"/>
          <w:sz w:val="24"/>
          <w:szCs w:val="24"/>
        </w:rPr>
        <w:t>(Nunes et al., 2023).</w:t>
      </w:r>
      <w:r>
        <w:t xml:space="preserve"> According to </w:t>
      </w:r>
      <w:r>
        <w:rPr>
          <w:rFonts w:ascii="Times New Roman" w:eastAsia="Times New Roman" w:hAnsi="Times New Roman" w:cs="Times New Roman"/>
          <w:sz w:val="24"/>
          <w:szCs w:val="24"/>
        </w:rPr>
        <w:t>Naser (2025)</w:t>
      </w:r>
      <w:r>
        <w:t xml:space="preserve">, such divergences between training and operational datasets often lead to generalization failures, with models producing inaccurate or misleading outputs under real-time deployment. </w:t>
      </w:r>
    </w:p>
    <w:p w14:paraId="5978C4E6" w14:textId="77777777" w:rsidR="00AE5C9F" w:rsidRDefault="00DA4A43">
      <w:pPr>
        <w:spacing w:before="240" w:after="240"/>
      </w:pPr>
      <w:r>
        <w:t xml:space="preserve">Compounding these challenges is the limited adaptability of conventional AI models. Although hyperparameter optimization and retraining are common methods to enhance predictive performance, they are often impractical in dynamic grid environments due to computational costs and latency constraints </w:t>
      </w:r>
      <w:r>
        <w:rPr>
          <w:rFonts w:ascii="Times New Roman" w:eastAsia="Times New Roman" w:hAnsi="Times New Roman" w:cs="Times New Roman"/>
          <w:sz w:val="24"/>
          <w:szCs w:val="24"/>
        </w:rPr>
        <w:t xml:space="preserve">(Liao et al., 2022). </w:t>
      </w:r>
      <w:r>
        <w:t xml:space="preserve">Many AI systems exhibit fragility when applied beyond their original calibration settings, particularly when confronting incomplete data, anomalous readings, or structural shifts in input variables </w:t>
      </w:r>
      <w:r>
        <w:rPr>
          <w:rFonts w:ascii="Times New Roman" w:eastAsia="Times New Roman" w:hAnsi="Times New Roman" w:cs="Times New Roman"/>
          <w:sz w:val="24"/>
          <w:szCs w:val="24"/>
        </w:rPr>
        <w:t>(Albahri et al., 2024)</w:t>
      </w:r>
      <w:r>
        <w:t>. This inflexibility undermines their utility for real-time grid operations and raises concerns about model robustness under non-ideal conditions.</w:t>
      </w:r>
    </w:p>
    <w:p w14:paraId="09269369" w14:textId="77777777" w:rsidR="00AE5C9F" w:rsidRDefault="00DA4A43">
      <w:pPr>
        <w:spacing w:before="240" w:after="240"/>
      </w:pPr>
      <w:r>
        <w:t xml:space="preserve">A further limitation lies in the interpretability of AI systems. Deep learning models, despite their expressive capabilities, typically function as opaque black boxes and fail to provide justifiable reasoning behind their outputs </w:t>
      </w:r>
      <w:r>
        <w:rPr>
          <w:rFonts w:ascii="Times New Roman" w:eastAsia="Times New Roman" w:hAnsi="Times New Roman" w:cs="Times New Roman"/>
          <w:sz w:val="24"/>
          <w:szCs w:val="24"/>
        </w:rPr>
        <w:t>(Qamar &amp; Bawany, 2023; Kolo et al., 2025; Ogunmolu, 2025b).</w:t>
      </w:r>
      <w:r>
        <w:t xml:space="preserve"> This lack of transparency impairs their effectiveness as decision-support tools and erodes trust among system operators </w:t>
      </w:r>
      <w:r>
        <w:rPr>
          <w:rFonts w:ascii="Times New Roman" w:eastAsia="Times New Roman" w:hAnsi="Times New Roman" w:cs="Times New Roman"/>
          <w:sz w:val="24"/>
          <w:szCs w:val="24"/>
        </w:rPr>
        <w:t>(Adesokan-Imran et al., 2025; Oyekunle et al., 2025)</w:t>
      </w:r>
      <w:r>
        <w:t xml:space="preserve">. While explainable AI (XAI) techniques have been proposed to mitigate these issues, </w:t>
      </w:r>
      <w:r>
        <w:rPr>
          <w:rFonts w:ascii="Times New Roman" w:eastAsia="Times New Roman" w:hAnsi="Times New Roman" w:cs="Times New Roman"/>
          <w:sz w:val="24"/>
          <w:szCs w:val="24"/>
        </w:rPr>
        <w:t>Longo et al. (2024)</w:t>
      </w:r>
      <w:r>
        <w:t xml:space="preserve"> argue that such methods remain largely experimental and are rarely embedded in operational platforms.</w:t>
      </w:r>
    </w:p>
    <w:p w14:paraId="27F1CD2E" w14:textId="77777777" w:rsidR="00AE5C9F" w:rsidRDefault="00DA4A43">
      <w:pPr>
        <w:spacing w:before="240" w:after="240"/>
      </w:pPr>
      <w:r>
        <w:t xml:space="preserve">Moreover, the absence of integrated, data-centric design frameworks has contributed to fragmented workflows in AI development </w:t>
      </w:r>
      <w:r>
        <w:rPr>
          <w:rFonts w:ascii="Times New Roman" w:eastAsia="Times New Roman" w:hAnsi="Times New Roman" w:cs="Times New Roman"/>
          <w:sz w:val="24"/>
          <w:szCs w:val="24"/>
        </w:rPr>
        <w:t>(Ejiofor et al., 2025; Ogunmolu, 2025a)</w:t>
      </w:r>
      <w:r>
        <w:t xml:space="preserve">. Current practices often compartmentalize data cleaning, feature selection, and model training into isolated stages, neglecting the upstream imperfections of energy datasets </w:t>
      </w:r>
      <w:r>
        <w:rPr>
          <w:rFonts w:ascii="Times New Roman" w:eastAsia="Times New Roman" w:hAnsi="Times New Roman" w:cs="Times New Roman"/>
          <w:sz w:val="24"/>
          <w:szCs w:val="24"/>
        </w:rPr>
        <w:t>(Qiao et al., 2022)</w:t>
      </w:r>
      <w:r>
        <w:t xml:space="preserve">. This disjointed approach impedes the construction of models capable of learning directly from noisy, multivariate, and context-dependent data </w:t>
      </w:r>
      <w:r>
        <w:rPr>
          <w:rFonts w:ascii="Times New Roman" w:eastAsia="Times New Roman" w:hAnsi="Times New Roman" w:cs="Times New Roman"/>
          <w:sz w:val="24"/>
          <w:szCs w:val="24"/>
        </w:rPr>
        <w:t>(Murphy et al., 2021).</w:t>
      </w:r>
    </w:p>
    <w:p w14:paraId="025933BC" w14:textId="77777777" w:rsidR="00AE5C9F" w:rsidRDefault="00DA4A43">
      <w:pPr>
        <w:spacing w:before="240" w:after="240"/>
        <w:rPr>
          <w:b/>
        </w:rPr>
      </w:pPr>
      <w:r>
        <w:rPr>
          <w:b/>
        </w:rPr>
        <w:t>Cybersecurity Threat Environment in Zero-Carbon Energy Systems</w:t>
      </w:r>
    </w:p>
    <w:p w14:paraId="3322547E" w14:textId="77777777" w:rsidR="00AE5C9F" w:rsidRDefault="00DA4A43">
      <w:pPr>
        <w:spacing w:before="240" w:after="240"/>
      </w:pPr>
      <w:r>
        <w:t>The proliferation of interconnected components</w:t>
      </w:r>
      <w:r w:rsidR="004321B9">
        <w:t xml:space="preserve"> </w:t>
      </w:r>
      <w:r>
        <w:t>including smart meters and Supervisory Control and Data Acquisition (SCADA) systems</w:t>
      </w:r>
      <w:r w:rsidR="004321B9">
        <w:t xml:space="preserve"> </w:t>
      </w:r>
      <w:r>
        <w:t xml:space="preserve">has substantially increased the potential attack surface for malicious entities </w:t>
      </w:r>
      <w:r>
        <w:rPr>
          <w:rFonts w:ascii="Times New Roman" w:eastAsia="Times New Roman" w:hAnsi="Times New Roman" w:cs="Times New Roman"/>
          <w:sz w:val="24"/>
          <w:szCs w:val="24"/>
        </w:rPr>
        <w:t xml:space="preserve">(Diaba et al., 2024). </w:t>
      </w:r>
      <w:r>
        <w:t xml:space="preserve">Recent evidence reveals a marked escalation in cyber incidents within the energy sector, encompassing ransomware intrusions, data breaches, and unauthorized access to critical infrastructure elements </w:t>
      </w:r>
      <w:r>
        <w:rPr>
          <w:rFonts w:ascii="Times New Roman" w:eastAsia="Times New Roman" w:hAnsi="Times New Roman" w:cs="Times New Roman"/>
          <w:sz w:val="24"/>
          <w:szCs w:val="24"/>
        </w:rPr>
        <w:t>(Ryu et al., 2024)</w:t>
      </w:r>
      <w:r>
        <w:t>.</w:t>
      </w:r>
    </w:p>
    <w:p w14:paraId="47102B29" w14:textId="77777777" w:rsidR="00AE5C9F" w:rsidRDefault="00DA4A43">
      <w:pPr>
        <w:spacing w:before="240" w:after="240"/>
      </w:pPr>
      <w:r>
        <w:lastRenderedPageBreak/>
        <w:t xml:space="preserve">SCADA systems, essential for overseeing energy distribution and grid stability, are particularly vulnerable due to their reliance on legacy communication protocols that often lack encryption and authentication features </w:t>
      </w:r>
      <w:r>
        <w:rPr>
          <w:rFonts w:ascii="Times New Roman" w:eastAsia="Times New Roman" w:hAnsi="Times New Roman" w:cs="Times New Roman"/>
          <w:sz w:val="24"/>
          <w:szCs w:val="24"/>
        </w:rPr>
        <w:t>(Kolo, 2025; Salami, 2025).</w:t>
      </w:r>
      <w:r>
        <w:t xml:space="preserve"> These deficiencies render SCADA systems susceptible to operational disruptions and even physical sabotage </w:t>
      </w:r>
      <w:r>
        <w:rPr>
          <w:rFonts w:ascii="Times New Roman" w:eastAsia="Times New Roman" w:hAnsi="Times New Roman" w:cs="Times New Roman"/>
          <w:sz w:val="24"/>
          <w:szCs w:val="24"/>
        </w:rPr>
        <w:t xml:space="preserve">(Amos, 2025). </w:t>
      </w:r>
      <w:r>
        <w:t xml:space="preserve">Smart meters, while integral for delivering real-time consumption data, have also been exploited through insecure firmware and communication vulnerabilities, raising significant concerns regarding data integrity and consumer privacy </w:t>
      </w:r>
      <w:r>
        <w:rPr>
          <w:rFonts w:ascii="Times New Roman" w:eastAsia="Times New Roman" w:hAnsi="Times New Roman" w:cs="Times New Roman"/>
          <w:sz w:val="24"/>
          <w:szCs w:val="24"/>
        </w:rPr>
        <w:t>(Baho &amp; Abawajy, 2023).</w:t>
      </w:r>
    </w:p>
    <w:p w14:paraId="52549604" w14:textId="77777777" w:rsidR="00AE5C9F" w:rsidRDefault="00DA4A43">
      <w:pPr>
        <w:spacing w:before="240" w:after="240"/>
      </w:pPr>
      <w:r>
        <w:t xml:space="preserve">In response, AI-based anomaly detection systems have been deployed to identify and mitigate cyber threats </w:t>
      </w:r>
      <w:r>
        <w:rPr>
          <w:rFonts w:ascii="Times New Roman" w:eastAsia="Times New Roman" w:hAnsi="Times New Roman" w:cs="Times New Roman"/>
          <w:sz w:val="24"/>
          <w:szCs w:val="24"/>
        </w:rPr>
        <w:t>(Adesokan-Imran, Popoola, Ejiofor, et al., 2025; Salami et al., 2025).</w:t>
      </w:r>
      <w:r>
        <w:t xml:space="preserve"> Supervised learning models, trained on labeled datasets, have shown efficacy in recognizing known attack vectors. However, their performance diminishes when encountering novel threats, owing to their reliance on pre-established signatures </w:t>
      </w:r>
      <w:r>
        <w:rPr>
          <w:rFonts w:ascii="Times New Roman" w:eastAsia="Times New Roman" w:hAnsi="Times New Roman" w:cs="Times New Roman"/>
          <w:sz w:val="24"/>
          <w:szCs w:val="24"/>
        </w:rPr>
        <w:t>(Mohamed, 2025)</w:t>
      </w:r>
      <w:r>
        <w:t>. Unsupervised techniques, such as clustering algorithms, offer promise in detecting unfamiliar anomalies by observing deviations from normative behavior, yet often suffer from high false-positive rates and lack contextual discernment.</w:t>
      </w:r>
    </w:p>
    <w:p w14:paraId="120BF44B" w14:textId="77777777" w:rsidR="00AE5C9F" w:rsidRDefault="00DA4A43">
      <w:pPr>
        <w:spacing w:before="240" w:after="240"/>
      </w:pPr>
      <w:r>
        <w:t xml:space="preserve">Rule-based expert systems remain attractive for their interpretability and ease of implementation; however, their inflexibility limits effectiveness in dynamic threat environments </w:t>
      </w:r>
      <w:r>
        <w:rPr>
          <w:rFonts w:ascii="Times New Roman" w:eastAsia="Times New Roman" w:hAnsi="Times New Roman" w:cs="Times New Roman"/>
          <w:sz w:val="24"/>
          <w:szCs w:val="24"/>
        </w:rPr>
        <w:t>(Mohale &amp; Obagbuwa, 2025)</w:t>
      </w:r>
      <w:r>
        <w:t xml:space="preserve">. According to </w:t>
      </w:r>
      <w:r>
        <w:rPr>
          <w:rFonts w:ascii="Times New Roman" w:eastAsia="Times New Roman" w:hAnsi="Times New Roman" w:cs="Times New Roman"/>
          <w:sz w:val="24"/>
          <w:szCs w:val="24"/>
        </w:rPr>
        <w:t>Mohamed (2025)</w:t>
      </w:r>
      <w:r>
        <w:t>, these  Rule-based systems fail to evolve in response to emerging adversarial tactics. The introduction of explainable AI (XAI) is intended to address this gap by increasing the transparency and actionable utility of anomaly detection outputs.</w:t>
      </w:r>
    </w:p>
    <w:p w14:paraId="6FA796BE" w14:textId="77777777" w:rsidR="00AE5C9F" w:rsidRDefault="00DA4A43">
      <w:pPr>
        <w:spacing w:before="240" w:after="240"/>
      </w:pPr>
      <w:r>
        <w:t>Moreover, the integration of multi-source data fusion can enhance threat detection accuracy by aggregating signals from heterogeneous sensors and control systems, thereby constructing a comprehensive situational awareness. The development of adaptive, data-centric AI security mechanisms is therefore imperative to fortify zero-carbon energy infrastructures against a continually expanding array of cyber threats.</w:t>
      </w:r>
    </w:p>
    <w:p w14:paraId="0B4EEB64" w14:textId="77777777" w:rsidR="00AE5C9F" w:rsidRDefault="00DA4A43">
      <w:pPr>
        <w:spacing w:before="240" w:after="240"/>
        <w:rPr>
          <w:b/>
        </w:rPr>
      </w:pPr>
      <w:r>
        <w:rPr>
          <w:b/>
        </w:rPr>
        <w:t>Gaps in Integrating AI Security Mechanisms into Energy Frameworks</w:t>
      </w:r>
    </w:p>
    <w:p w14:paraId="6DA91240" w14:textId="77777777" w:rsidR="00AE5C9F" w:rsidRDefault="00DA4A43">
      <w:pPr>
        <w:spacing w:before="240" w:after="240"/>
      </w:pPr>
      <w:r>
        <w:t>The increasing digitization of zero-carbon energy infrastructures has inadvertently enlarged the cybersecurity threat landscape, introducing a range of complex vulnerabilities. As these systems grow more reliant on digital control mechanisms, remote sensing technologies, and interconnected assets, their susceptibility to cyber intrusions escalates markedly. SCADA systems</w:t>
      </w:r>
      <w:r w:rsidR="004321B9">
        <w:t xml:space="preserve"> </w:t>
      </w:r>
      <w:r>
        <w:t>central to the management of energy distribution</w:t>
      </w:r>
      <w:r w:rsidR="004321B9">
        <w:t xml:space="preserve"> </w:t>
      </w:r>
      <w:r>
        <w:t xml:space="preserve">remain especially vulnerable due to their reliance on outdated protocols, minimal authentication standards, and limited capabilities for real-time anomaly detection. Attacks on these systems can precipitate cascading failures, misallocation of loads, and in extreme cases, widespread grid outages. Likewise, smart meters and distributed IoT devices introduce an extensive array of entry points that are difficult to secure uniformly. These devices have been compromised via firmware manipulation, protocol spoofing, and malicious data injection, raising significant concerns about system reliability and consumer data integrity </w:t>
      </w:r>
      <w:r>
        <w:rPr>
          <w:rFonts w:ascii="Times New Roman" w:eastAsia="Times New Roman" w:hAnsi="Times New Roman" w:cs="Times New Roman"/>
          <w:sz w:val="24"/>
          <w:szCs w:val="24"/>
        </w:rPr>
        <w:t>(Sasi et al., 2023).</w:t>
      </w:r>
    </w:p>
    <w:p w14:paraId="0A2E0090" w14:textId="77777777" w:rsidR="00AE5C9F" w:rsidRDefault="00DA4A43">
      <w:pPr>
        <w:spacing w:before="240" w:after="240"/>
      </w:pPr>
      <w:r>
        <w:lastRenderedPageBreak/>
        <w:t xml:space="preserve">To address these security gaps, artificial intelligence-based anomaly detection mechanisms have been investigated across both academic and industrial domains. Supervised machine learning models have demonstrated utility in detecting known attack signatures, yet their dependence on labeled training datasets renders them ineffective in identifying novel or evolving threats </w:t>
      </w:r>
      <w:r>
        <w:rPr>
          <w:sz w:val="24"/>
          <w:szCs w:val="24"/>
        </w:rPr>
        <w:t>(Balogun et al., 2025; Oladoyinbo et al., 2024)</w:t>
      </w:r>
      <w:r>
        <w:t>. Moreover, the scarcity and obsolescence of labeled data in real-time environments further diminish their applicability. Unsupervised clustering approaches, which identify anomalies through statistical deviations, offer promise but are often hindered by high false-positive rates and insufficient contextual awareness.</w:t>
      </w:r>
    </w:p>
    <w:p w14:paraId="21D84997" w14:textId="77777777" w:rsidR="00AE5C9F" w:rsidRDefault="00DA4A43">
      <w:pPr>
        <w:spacing w:before="240" w:after="240"/>
      </w:pPr>
      <w:r>
        <w:t xml:space="preserve">Rule-based expert systems provide interpretability and procedural clarity but lack the scalability and adaptability required for modern cyber-physical systems. These deficiencies highlight the absence of fully integrated, adaptive cybersecurity architectures within existing operational AI frameworks. While research into explainable and context-sensitive AI models is advancing, their deployment in energy infrastructures remains limited </w:t>
      </w:r>
      <w:r>
        <w:rPr>
          <w:sz w:val="24"/>
          <w:szCs w:val="24"/>
        </w:rPr>
        <w:t>(Olaniyi et al., 2024)</w:t>
      </w:r>
      <w:r>
        <w:t>. Thus, there is a critical need for dynamic, data-driven security systems capable of real-time learning and adaptive threat response to safeguard the integrity of zero-carbon energy networks.</w:t>
      </w:r>
    </w:p>
    <w:p w14:paraId="018BDEF4" w14:textId="77777777" w:rsidR="00AE5C9F" w:rsidRDefault="00DA4A43">
      <w:pPr>
        <w:pStyle w:val="Heading3"/>
        <w:keepNext w:val="0"/>
        <w:keepLines w:val="0"/>
        <w:spacing w:before="280"/>
        <w:rPr>
          <w:b/>
          <w:color w:val="000000"/>
          <w:sz w:val="26"/>
          <w:szCs w:val="26"/>
        </w:rPr>
      </w:pPr>
      <w:bookmarkStart w:id="1" w:name="_jr3jwyjeq9p8" w:colFirst="0" w:colLast="0"/>
      <w:bookmarkEnd w:id="1"/>
      <w:r>
        <w:rPr>
          <w:b/>
          <w:color w:val="000000"/>
          <w:sz w:val="26"/>
          <w:szCs w:val="26"/>
        </w:rPr>
        <w:t>Unified Data-Centric AI Framework for Secure and Resilient Zero-Carbon Power Systems</w:t>
      </w:r>
    </w:p>
    <w:p w14:paraId="6DF4F9D9" w14:textId="77777777" w:rsidR="00AE5C9F" w:rsidRDefault="00DA4A43">
      <w:pPr>
        <w:spacing w:before="240" w:after="240"/>
      </w:pPr>
      <w:r>
        <w:t xml:space="preserve">To address these challenges, this study introduces a unified data-centric AI framework </w:t>
      </w:r>
      <w:r w:rsidR="00AD2C8F">
        <w:t xml:space="preserve">(presented in Figure 1) </w:t>
      </w:r>
      <w:r>
        <w:t>designed to meet two core objectives: first, to learn from noisy, sparse, and heterogeneous data (Objective 1); and second, to embed intelligent, adaptive security mechanisms for real-time threat detection and response (Objective 2</w:t>
      </w:r>
      <w:r w:rsidR="00AD2C8F">
        <w:t>):</w:t>
      </w:r>
    </w:p>
    <w:p w14:paraId="6A21F769" w14:textId="77777777" w:rsidR="00AD2C8F" w:rsidRDefault="005E7AE5" w:rsidP="00AD2C8F">
      <w:pPr>
        <w:spacing w:before="240" w:after="240"/>
        <w:jc w:val="center"/>
      </w:pPr>
      <w:r>
        <w:lastRenderedPageBreak/>
        <w:pict w14:anchorId="11432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45pt;height:274.45pt">
            <v:imagedata r:id="rId7" o:title="WhatsApp Image 2025-06-19 at 05"/>
          </v:shape>
        </w:pict>
      </w:r>
    </w:p>
    <w:p w14:paraId="341D6D02" w14:textId="77777777" w:rsidR="00AD2C8F" w:rsidRPr="00AD2C8F" w:rsidRDefault="00AD2C8F" w:rsidP="00AD2C8F">
      <w:pPr>
        <w:pStyle w:val="Heading4"/>
        <w:keepNext w:val="0"/>
        <w:keepLines w:val="0"/>
        <w:spacing w:before="240" w:after="40"/>
        <w:jc w:val="center"/>
        <w:rPr>
          <w:b/>
          <w:color w:val="auto"/>
        </w:rPr>
      </w:pPr>
      <w:r w:rsidRPr="00AD2C8F">
        <w:rPr>
          <w:b/>
          <w:color w:val="auto"/>
          <w:sz w:val="22"/>
          <w:szCs w:val="22"/>
        </w:rPr>
        <w:t xml:space="preserve">Figure 1: </w:t>
      </w:r>
      <w:r w:rsidRPr="00AD2C8F">
        <w:rPr>
          <w:color w:val="auto"/>
        </w:rPr>
        <w:t>Data-Centric AI Framework for Secure and Resilient Zero-Carbon Power Systems</w:t>
      </w:r>
    </w:p>
    <w:p w14:paraId="67EBB4D9" w14:textId="77777777" w:rsidR="00AE5C9F" w:rsidRPr="00AD2C8F" w:rsidRDefault="00DA4A43">
      <w:pPr>
        <w:spacing w:before="240" w:after="240"/>
      </w:pPr>
      <w:r w:rsidRPr="00AD2C8F">
        <w:t>The proposed architecture consists of six interconnected layers. The Data Acquisition Layer gathers information from IoT devices, SCADA logs, smart meters, weather sensors, and user profiles. This input is often fragmented and unreliable, necessitating a Data Quality Enhancement Layer, which applies advanced imputation (e.g., KNN, autoencoders), noise filtering (e.g., Kalman filters), and multi-source data fusion to reconstruct coherent and robust datasets. These preprocessing steps ensure that downstream models are trained on realistic representations of system behavior.</w:t>
      </w:r>
    </w:p>
    <w:p w14:paraId="5885E1D7" w14:textId="77777777" w:rsidR="00AE5C9F" w:rsidRPr="00AD2C8F" w:rsidRDefault="00DA4A43">
      <w:pPr>
        <w:spacing w:before="240" w:after="240"/>
      </w:pPr>
      <w:r w:rsidRPr="00AD2C8F">
        <w:t>Processed data flows into the Feature Representation Layer, where relevant spatiotemporal and contextual indicators</w:t>
      </w:r>
      <w:r w:rsidR="004321B9">
        <w:t xml:space="preserve"> </w:t>
      </w:r>
      <w:r w:rsidRPr="00AD2C8F">
        <w:t>like load volatility and inter-device dependencies</w:t>
      </w:r>
      <w:r w:rsidR="004321B9">
        <w:t xml:space="preserve"> </w:t>
      </w:r>
      <w:r w:rsidRPr="00AD2C8F">
        <w:t>are extracted and normalized. This ensures efficient input for the Learning and Inference Module, which uses online, self-supervised, and ensemble learning approaches to adapt continuously to new conditions without retraining from scratch.</w:t>
      </w:r>
    </w:p>
    <w:p w14:paraId="2335DC5C" w14:textId="77777777" w:rsidR="00AE5C9F" w:rsidRPr="00AD2C8F" w:rsidRDefault="00DA4A43">
      <w:pPr>
        <w:spacing w:before="240" w:after="240"/>
      </w:pPr>
      <w:r w:rsidRPr="00AD2C8F">
        <w:t>Embedded within the pipeline is the Security and Anomaly Detection Module, addressing Objective 2. This layer uses autoencoders for anomaly scoring, graph neural networks (GNNs) for topology-aware threat detection, and reinforcement learning (RL) agents to recommend or initiate real-time mitigation actions. Unlike traditional add-on security tools, this module shares the same data and inference context as the learning engine, enabling immediate, context-sensitive cybersecurity actions.</w:t>
      </w:r>
    </w:p>
    <w:p w14:paraId="6453746F" w14:textId="77777777" w:rsidR="00AE5C9F" w:rsidRPr="00AD2C8F" w:rsidRDefault="00DA4A43">
      <w:pPr>
        <w:spacing w:before="240" w:after="240"/>
      </w:pPr>
      <w:r w:rsidRPr="00AD2C8F">
        <w:lastRenderedPageBreak/>
        <w:t>Finally, the Decision Support Layer delivers interpretable outputs through explainable AI methods (e.g., SHAP values), integrating seamlessly into SCADA, EMS, or DERMS environments. Real-time feedback loops connect all layers, allowing for continuous recalibration of data filters, threat models, and control logic based on system response.</w:t>
      </w:r>
    </w:p>
    <w:p w14:paraId="70A6BD4F" w14:textId="77777777" w:rsidR="00AE5C9F" w:rsidRDefault="00DA4A43">
      <w:pPr>
        <w:spacing w:before="240" w:after="240"/>
      </w:pPr>
      <w:r>
        <w:t>This integrated framework not only learns from degraded or asynchronous data but also proactively secures energy infrastructures through embedded intelligence. By collapsing data handling, learning, and cybersecurity into a single operational pipeline, the system offers a scalable, resilient, and real-time AI solution for next-generation zero-carbon energy systems.</w:t>
      </w:r>
    </w:p>
    <w:p w14:paraId="47B96A9F" w14:textId="77777777" w:rsidR="00AE5C9F" w:rsidRDefault="00DE6722">
      <w:pPr>
        <w:spacing w:before="160" w:after="160"/>
        <w:rPr>
          <w:b/>
        </w:rPr>
      </w:pPr>
      <w:r>
        <w:rPr>
          <w:b/>
        </w:rPr>
        <w:t xml:space="preserve">3. </w:t>
      </w:r>
      <w:r w:rsidR="00DA4A43">
        <w:rPr>
          <w:b/>
        </w:rPr>
        <w:t>Methodology</w:t>
      </w:r>
    </w:p>
    <w:p w14:paraId="2F3C3765" w14:textId="77777777" w:rsidR="00AE5C9F" w:rsidRDefault="00DA4A43">
      <w:pPr>
        <w:spacing w:before="160" w:after="160"/>
      </w:pPr>
      <w:r>
        <w:t>This study applies a comprehensive, data-centric analytical framework to evaluate the robustness and security efficacy of artificial intelligence systems in zero-carbon power systems. The process involves four sequential objectives, each grounded in publicly available datasets and quantitative techniques that ensure methodological transparency and repeatability.</w:t>
      </w:r>
    </w:p>
    <w:p w14:paraId="3425EB2B" w14:textId="77777777" w:rsidR="00AE5C9F" w:rsidRDefault="00DA4A43">
      <w:pPr>
        <w:spacing w:before="160" w:after="160"/>
      </w:pPr>
      <w:r>
        <w:rPr>
          <w:rFonts w:ascii="Arial Unicode MS" w:eastAsia="Arial Unicode MS" w:hAnsi="Arial Unicode MS" w:cs="Arial Unicode MS"/>
        </w:rPr>
        <w:t xml:space="preserve">The PSML dataset was utilized for modeling the handling of noisy, sparse, and heterogeneous data in smart grid contexts. Singular Spectrum Analysis (SSA) was implemented to extract dominant components from the time series. The time series </w:t>
      </w:r>
      <m:oMath>
        <m:r>
          <w:rPr>
            <w:rFonts w:ascii="Cambria Math" w:eastAsia="Arial Unicode MS" w:hAnsi="Cambria Math" w:cs="Arial Unicode MS"/>
          </w:rPr>
          <m:t>X=</m:t>
        </m:r>
        <m:d>
          <m:dPr>
            <m:begChr m:val="{"/>
            <m:endChr m:val="}"/>
            <m:ctrlPr>
              <w:rPr>
                <w:rFonts w:ascii="Cambria Math" w:eastAsia="Arial Unicode MS" w:hAnsi="Cambria Math" w:cs="Arial Unicode MS"/>
                <w:i/>
              </w:rPr>
            </m:ctrlPr>
          </m:dPr>
          <m:e>
            <m:sSub>
              <m:sSubPr>
                <m:ctrlPr>
                  <w:rPr>
                    <w:rFonts w:ascii="Cambria Math" w:eastAsia="Arial Unicode MS" w:hAnsi="Cambria Math" w:cs="Arial Unicode MS"/>
                    <w:i/>
                  </w:rPr>
                </m:ctrlPr>
              </m:sSubPr>
              <m:e>
                <m:r>
                  <w:rPr>
                    <w:rFonts w:ascii="Cambria Math" w:eastAsia="Arial Unicode MS" w:hAnsi="Cambria Math" w:cs="Arial Unicode MS"/>
                  </w:rPr>
                  <m:t>x</m:t>
                </m:r>
              </m:e>
              <m:sub>
                <m:r>
                  <w:rPr>
                    <w:rFonts w:ascii="Cambria Math" w:eastAsia="Arial Unicode MS" w:hAnsi="Cambria Math" w:cs="Arial Unicode MS"/>
                  </w:rPr>
                  <m:t>1</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x</m:t>
                </m:r>
              </m:e>
              <m:sub>
                <m:r>
                  <w:rPr>
                    <w:rFonts w:ascii="Cambria Math" w:eastAsia="Arial Unicode MS" w:hAnsi="Cambria Math" w:cs="Arial Unicode MS"/>
                  </w:rPr>
                  <m:t>2</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x</m:t>
                </m:r>
              </m:e>
              <m:sub>
                <m:r>
                  <w:rPr>
                    <w:rFonts w:ascii="Cambria Math" w:eastAsia="Arial Unicode MS" w:hAnsi="Cambria Math" w:cs="Arial Unicode MS"/>
                  </w:rPr>
                  <m:t>N</m:t>
                </m:r>
              </m:sub>
            </m:sSub>
          </m:e>
        </m:d>
      </m:oMath>
      <w:r>
        <w:rPr>
          <w:rFonts w:ascii="Arial Unicode MS" w:eastAsia="Arial Unicode MS" w:hAnsi="Arial Unicode MS" w:cs="Arial Unicode MS"/>
        </w:rPr>
        <w:t xml:space="preserve"> was embedded into a trajectory matrix</w:t>
      </w:r>
      <w:r w:rsidR="001D5F0C">
        <w:rPr>
          <w:rFonts w:ascii="Arial Unicode MS" w:eastAsia="Arial Unicode MS" w:hAnsi="Arial Unicode MS" w:cs="Arial Unicode MS"/>
        </w:rPr>
        <w:t xml:space="preserve"> </w:t>
      </w:r>
      <m:oMath>
        <m:r>
          <m:rPr>
            <m:sty m:val="p"/>
          </m:rPr>
          <w:rPr>
            <w:rStyle w:val="mord"/>
            <w:rFonts w:ascii="Cambria Math" w:hAnsi="Cambria Math"/>
          </w:rPr>
          <m:t>T</m:t>
        </m:r>
        <m:r>
          <m:rPr>
            <m:sty m:val="p"/>
          </m:rPr>
          <w:rPr>
            <w:rStyle w:val="mrel"/>
            <w:rFonts w:ascii="Cambria Math" w:hAnsi="Cambria Math" w:cs="Cambria Math"/>
          </w:rPr>
          <m:t>∈</m:t>
        </m:r>
        <m:sSup>
          <m:sSupPr>
            <m:ctrlPr>
              <w:rPr>
                <w:rStyle w:val="mord"/>
                <w:rFonts w:ascii="Cambria Math" w:hAnsi="Cambria Math"/>
              </w:rPr>
            </m:ctrlPr>
          </m:sSupPr>
          <m:e>
            <m:r>
              <m:rPr>
                <m:sty m:val="p"/>
              </m:rPr>
              <w:rPr>
                <w:rStyle w:val="mord"/>
                <w:rFonts w:ascii="Cambria Math" w:hAnsi="Cambria Math"/>
              </w:rPr>
              <m:t>R</m:t>
            </m:r>
            <m:ctrlPr>
              <w:rPr>
                <w:rStyle w:val="mrel"/>
                <w:rFonts w:ascii="Cambria Math" w:hAnsi="Cambria Math" w:cs="Cambria Math"/>
              </w:rPr>
            </m:ctrlPr>
          </m:e>
          <m:sup>
            <m:r>
              <m:rPr>
                <m:sty m:val="p"/>
              </m:rPr>
              <w:rPr>
                <w:rStyle w:val="mord"/>
                <w:rFonts w:ascii="Cambria Math" w:hAnsi="Cambria Math"/>
              </w:rPr>
              <m:t>L</m:t>
            </m:r>
            <m:r>
              <m:rPr>
                <m:sty m:val="p"/>
              </m:rPr>
              <w:rPr>
                <w:rStyle w:val="mbin"/>
                <w:rFonts w:ascii="Cambria Math" w:hAnsi="Cambria Math"/>
              </w:rPr>
              <m:t>×</m:t>
            </m:r>
            <m:r>
              <m:rPr>
                <m:sty m:val="p"/>
              </m:rPr>
              <w:rPr>
                <w:rStyle w:val="mord"/>
                <w:rFonts w:ascii="Cambria Math" w:hAnsi="Cambria Math"/>
              </w:rPr>
              <m:t>K</m:t>
            </m:r>
          </m:sup>
        </m:sSup>
      </m:oMath>
      <w:r w:rsidR="00044A7B">
        <w:rPr>
          <w:rStyle w:val="mord"/>
          <w:rFonts w:ascii="Arial Unicode MS" w:eastAsia="Arial Unicode MS" w:hAnsi="Arial Unicode MS" w:cs="Arial Unicode MS"/>
        </w:rPr>
        <w:t xml:space="preserve"> </w:t>
      </w:r>
      <w:r w:rsidR="00044A7B">
        <w:t xml:space="preserve">where </w:t>
      </w:r>
      <m:oMath>
        <m:r>
          <w:rPr>
            <w:rStyle w:val="katex-mathml"/>
            <w:rFonts w:ascii="Cambria Math" w:hAnsi="Cambria Math"/>
          </w:rPr>
          <m:t>L+K-1=N</m:t>
        </m:r>
      </m:oMath>
      <w:r>
        <w:rPr>
          <w:rFonts w:ascii="Arial Unicode MS" w:eastAsia="Arial Unicode MS" w:hAnsi="Arial Unicode MS" w:cs="Arial Unicode MS"/>
        </w:rPr>
        <w:t>. Decomposition was then performed using Singular Value Decomposition:</w:t>
      </w:r>
    </w:p>
    <w:p w14:paraId="2DBBA36B" w14:textId="77777777" w:rsidR="00AE5C9F" w:rsidRDefault="00044A7B">
      <w:pPr>
        <w:spacing w:before="240" w:after="240"/>
      </w:pPr>
      <m:oMathPara>
        <m:oMath>
          <m:r>
            <w:rPr>
              <w:rFonts w:ascii="Cambria Math" w:hAnsi="Cambria Math"/>
            </w:rPr>
            <m:t>T=UΣ</m:t>
          </m:r>
          <m:sSup>
            <m:sSupPr>
              <m:ctrlPr>
                <w:rPr>
                  <w:rFonts w:ascii="Cambria Math" w:hAnsi="Cambria Math"/>
                  <w:i/>
                </w:rPr>
              </m:ctrlPr>
            </m:sSupPr>
            <m:e>
              <m:r>
                <w:rPr>
                  <w:rFonts w:ascii="Cambria Math" w:hAnsi="Cambria Math"/>
                </w:rPr>
                <m:t>V</m:t>
              </m:r>
            </m:e>
            <m:sup>
              <m:r>
                <w:rPr>
                  <w:rFonts w:ascii="Cambria Math" w:hAnsi="Cambria Math"/>
                </w:rPr>
                <m:t>T</m:t>
              </m:r>
            </m:sup>
          </m:sSup>
        </m:oMath>
      </m:oMathPara>
    </w:p>
    <w:p w14:paraId="12790EB3" w14:textId="77777777" w:rsidR="00044A7B" w:rsidRDefault="00DA4A43" w:rsidP="00044A7B">
      <w:pPr>
        <w:spacing w:before="160" w:after="160"/>
      </w:pPr>
      <w:r>
        <w:t>The series was reconstructed by selecting r leading components:</w:t>
      </w:r>
    </w:p>
    <w:p w14:paraId="49359FCD" w14:textId="77777777" w:rsidR="00044A7B" w:rsidRDefault="001E3EE5">
      <w:pPr>
        <w:spacing w:before="160" w:after="160"/>
      </w:pPr>
      <m:oMathPara>
        <m:oMath>
          <m:sSub>
            <m:sSubPr>
              <m:ctrlPr>
                <w:rPr>
                  <w:rStyle w:val="mord"/>
                  <w:rFonts w:ascii="Cambria Math" w:hAnsi="Cambria Math"/>
                </w:rPr>
              </m:ctrlPr>
            </m:sSubPr>
            <m:e>
              <m:r>
                <m:rPr>
                  <m:sty m:val="p"/>
                </m:rPr>
                <w:rPr>
                  <w:rStyle w:val="mord"/>
                  <w:rFonts w:ascii="Cambria Math" w:hAnsi="Cambria Math"/>
                </w:rPr>
                <m:t>X</m:t>
              </m:r>
            </m:e>
            <m:sub>
              <m:r>
                <m:rPr>
                  <m:sty m:val="p"/>
                </m:rPr>
                <w:rPr>
                  <w:rStyle w:val="mord"/>
                  <w:rFonts w:ascii="Cambria Math" w:hAnsi="Cambria Math"/>
                </w:rPr>
                <m:t>r</m:t>
              </m:r>
            </m:sub>
          </m:sSub>
          <m:r>
            <m:rPr>
              <m:sty m:val="p"/>
            </m:rPr>
            <w:rPr>
              <w:rStyle w:val="vlist-s"/>
              <w:rFonts w:ascii="Cambria Math" w:hAnsi="Cambria Math"/>
            </w:rPr>
            <m:t>​</m:t>
          </m:r>
          <m:r>
            <m:rPr>
              <m:sty m:val="p"/>
            </m:rPr>
            <w:rPr>
              <w:rStyle w:val="mrel"/>
              <w:rFonts w:ascii="Cambria Math" w:hAnsi="Cambria Math"/>
            </w:rPr>
            <m:t>=</m:t>
          </m:r>
          <m:nary>
            <m:naryPr>
              <m:chr m:val="∑"/>
              <m:limLoc m:val="undOvr"/>
              <m:ctrlPr>
                <w:rPr>
                  <w:rStyle w:val="mrel"/>
                  <w:rFonts w:ascii="Cambria Math" w:hAnsi="Cambria Math"/>
                </w:rPr>
              </m:ctrlPr>
            </m:naryPr>
            <m:sub>
              <m:r>
                <w:rPr>
                  <w:rStyle w:val="mrel"/>
                  <w:rFonts w:ascii="Cambria Math" w:hAnsi="Cambria Math"/>
                </w:rPr>
                <m:t>i</m:t>
              </m:r>
              <m:r>
                <w:rPr>
                  <w:rStyle w:val="mrel"/>
                  <w:rFonts w:ascii="Cambria Math" w:hAnsi="Cambria Math"/>
                </w:rPr>
                <m:t>=1</m:t>
              </m:r>
            </m:sub>
            <m:sup>
              <m:r>
                <w:rPr>
                  <w:rStyle w:val="mrel"/>
                  <w:rFonts w:ascii="Cambria Math" w:hAnsi="Cambria Math"/>
                </w:rPr>
                <m:t>r</m:t>
              </m:r>
            </m:sup>
            <m:e>
              <m:r>
                <m:rPr>
                  <m:sty m:val="p"/>
                </m:rPr>
                <w:rPr>
                  <w:rStyle w:val="vlist-s"/>
                  <w:rFonts w:ascii="Cambria Math" w:hAnsi="Cambria Math"/>
                </w:rPr>
                <m:t>​</m:t>
              </m:r>
              <m:sSub>
                <m:sSubPr>
                  <m:ctrlPr>
                    <w:rPr>
                      <w:rStyle w:val="mord"/>
                      <w:rFonts w:ascii="Cambria Math" w:hAnsi="Cambria Math"/>
                    </w:rPr>
                  </m:ctrlPr>
                </m:sSubPr>
                <m:e>
                  <m:r>
                    <m:rPr>
                      <m:sty m:val="p"/>
                    </m:rPr>
                    <w:rPr>
                      <w:rStyle w:val="mord"/>
                      <w:rFonts w:ascii="Cambria Math" w:hAnsi="Cambria Math"/>
                    </w:rPr>
                    <m:t>σ</m:t>
                  </m:r>
                </m:e>
                <m:sub>
                  <m:r>
                    <m:rPr>
                      <m:sty m:val="p"/>
                    </m:rPr>
                    <w:rPr>
                      <w:rStyle w:val="mord"/>
                      <w:rFonts w:ascii="Cambria Math" w:hAnsi="Cambria Math"/>
                    </w:rPr>
                    <m:t>i</m:t>
                  </m:r>
                </m:sub>
              </m:sSub>
              <m:r>
                <m:rPr>
                  <m:sty m:val="p"/>
                </m:rPr>
                <w:rPr>
                  <w:rStyle w:val="vlist-s"/>
                  <w:rFonts w:ascii="Cambria Math" w:hAnsi="Cambria Math"/>
                </w:rPr>
                <m:t>​</m:t>
              </m:r>
              <m:sSub>
                <m:sSubPr>
                  <m:ctrlPr>
                    <w:rPr>
                      <w:rStyle w:val="mord"/>
                      <w:rFonts w:ascii="Cambria Math" w:hAnsi="Cambria Math"/>
                    </w:rPr>
                  </m:ctrlPr>
                </m:sSubPr>
                <m:e>
                  <m:r>
                    <m:rPr>
                      <m:sty m:val="p"/>
                    </m:rPr>
                    <w:rPr>
                      <w:rStyle w:val="mord"/>
                      <w:rFonts w:ascii="Cambria Math" w:hAnsi="Cambria Math"/>
                    </w:rPr>
                    <m:t>u</m:t>
                  </m:r>
                </m:e>
                <m:sub>
                  <m:r>
                    <m:rPr>
                      <m:sty m:val="p"/>
                    </m:rPr>
                    <w:rPr>
                      <w:rStyle w:val="mord"/>
                      <w:rFonts w:ascii="Cambria Math" w:hAnsi="Cambria Math"/>
                    </w:rPr>
                    <m:t>i</m:t>
                  </m:r>
                </m:sub>
              </m:sSub>
              <m:r>
                <m:rPr>
                  <m:sty m:val="p"/>
                </m:rPr>
                <w:rPr>
                  <w:rStyle w:val="vlist-s"/>
                  <w:rFonts w:ascii="Cambria Math" w:hAnsi="Cambria Math"/>
                </w:rPr>
                <m:t>​</m:t>
              </m:r>
              <m:sSubSup>
                <m:sSubSupPr>
                  <m:ctrlPr>
                    <w:rPr>
                      <w:rStyle w:val="mord"/>
                      <w:rFonts w:ascii="Cambria Math" w:hAnsi="Cambria Math"/>
                    </w:rPr>
                  </m:ctrlPr>
                </m:sSubSupPr>
                <m:e>
                  <m:r>
                    <m:rPr>
                      <m:sty m:val="p"/>
                    </m:rPr>
                    <w:rPr>
                      <w:rStyle w:val="mord"/>
                      <w:rFonts w:ascii="Cambria Math" w:hAnsi="Cambria Math"/>
                    </w:rPr>
                    <m:t>v</m:t>
                  </m:r>
                </m:e>
                <m:sub>
                  <m:r>
                    <m:rPr>
                      <m:sty m:val="p"/>
                    </m:rPr>
                    <w:rPr>
                      <w:rStyle w:val="mord"/>
                      <w:rFonts w:ascii="Cambria Math" w:hAnsi="Cambria Math"/>
                    </w:rPr>
                    <m:t>i</m:t>
                  </m:r>
                </m:sub>
                <m:sup>
                  <m:r>
                    <m:rPr>
                      <m:sty m:val="p"/>
                    </m:rPr>
                    <w:rPr>
                      <w:rStyle w:val="mord"/>
                      <w:rFonts w:ascii="Cambria Math" w:hAnsi="Cambria Math"/>
                    </w:rPr>
                    <m:t>T</m:t>
                  </m:r>
                </m:sup>
              </m:sSubSup>
            </m:e>
          </m:nary>
          <m:r>
            <m:rPr>
              <m:sty m:val="p"/>
            </m:rPr>
            <w:rPr>
              <w:rStyle w:val="vlist-s"/>
              <w:rFonts w:ascii="Cambria Math" w:hAnsi="Cambria Math"/>
            </w:rPr>
            <m:t>​</m:t>
          </m:r>
        </m:oMath>
      </m:oMathPara>
    </w:p>
    <w:p w14:paraId="29404CD9" w14:textId="77777777" w:rsidR="00AE5C9F" w:rsidRDefault="00DA4A43">
      <w:pPr>
        <w:spacing w:before="160" w:after="160"/>
      </w:pPr>
      <w:r>
        <w:t>For real-time threat detection, the PowerGraph dataset supported the design of a Graph Neural Network (GNN). The GNN propagation was computed using:</w:t>
      </w:r>
    </w:p>
    <w:p w14:paraId="22D0DE5A" w14:textId="77777777" w:rsidR="00A612E5" w:rsidRDefault="001E3EE5">
      <w:pPr>
        <w:spacing w:before="160" w:after="160"/>
      </w:pPr>
      <m:oMathPara>
        <m:oMath>
          <m:sSup>
            <m:sSupPr>
              <m:ctrlPr>
                <w:rPr>
                  <w:rStyle w:val="mord"/>
                  <w:rFonts w:ascii="Cambria Math" w:hAnsi="Cambria Math"/>
                </w:rPr>
              </m:ctrlPr>
            </m:sSupPr>
            <m:e>
              <m:r>
                <m:rPr>
                  <m:sty m:val="p"/>
                </m:rPr>
                <w:rPr>
                  <w:rStyle w:val="mord"/>
                  <w:rFonts w:ascii="Cambria Math" w:hAnsi="Cambria Math"/>
                </w:rPr>
                <m:t>H</m:t>
              </m:r>
            </m:e>
            <m:sup>
              <m:d>
                <m:dPr>
                  <m:ctrlPr>
                    <w:rPr>
                      <w:rStyle w:val="mopen"/>
                      <w:rFonts w:ascii="Cambria Math" w:hAnsi="Cambria Math"/>
                    </w:rPr>
                  </m:ctrlPr>
                </m:dPr>
                <m:e>
                  <m:r>
                    <m:rPr>
                      <m:sty m:val="p"/>
                    </m:rPr>
                    <w:rPr>
                      <w:rStyle w:val="mord"/>
                      <w:rFonts w:ascii="Cambria Math" w:hAnsi="Cambria Math"/>
                    </w:rPr>
                    <m:t>l</m:t>
                  </m:r>
                  <m:r>
                    <m:rPr>
                      <m:sty m:val="p"/>
                    </m:rPr>
                    <w:rPr>
                      <w:rStyle w:val="mbin"/>
                      <w:rFonts w:ascii="Cambria Math" w:hAnsi="Cambria Math"/>
                    </w:rPr>
                    <m:t>+</m:t>
                  </m:r>
                  <m:r>
                    <m:rPr>
                      <m:sty m:val="p"/>
                    </m:rPr>
                    <w:rPr>
                      <w:rStyle w:val="mord"/>
                      <w:rFonts w:ascii="Cambria Math" w:hAnsi="Cambria Math"/>
                    </w:rPr>
                    <m:t>1</m:t>
                  </m:r>
                  <m:ctrlPr>
                    <w:rPr>
                      <w:rStyle w:val="mclose"/>
                      <w:rFonts w:ascii="Cambria Math" w:hAnsi="Cambria Math"/>
                    </w:rPr>
                  </m:ctrlPr>
                </m:e>
              </m:d>
            </m:sup>
          </m:sSup>
          <m:r>
            <m:rPr>
              <m:sty m:val="p"/>
            </m:rPr>
            <w:rPr>
              <w:rStyle w:val="mrel"/>
              <w:rFonts w:ascii="Cambria Math" w:hAnsi="Cambria Math"/>
            </w:rPr>
            <m:t>=</m:t>
          </m:r>
          <m:r>
            <m:rPr>
              <m:sty m:val="p"/>
            </m:rPr>
            <w:rPr>
              <w:rStyle w:val="mord"/>
              <w:rFonts w:ascii="Cambria Math" w:hAnsi="Cambria Math"/>
            </w:rPr>
            <m:t>σ</m:t>
          </m:r>
          <m:d>
            <m:dPr>
              <m:ctrlPr>
                <w:rPr>
                  <w:rStyle w:val="mopen"/>
                  <w:rFonts w:ascii="Cambria Math" w:hAnsi="Cambria Math"/>
                </w:rPr>
              </m:ctrlPr>
            </m:dPr>
            <m:e>
              <m:sSup>
                <m:sSupPr>
                  <m:ctrlPr>
                    <w:rPr>
                      <w:rStyle w:val="mord"/>
                      <w:rFonts w:ascii="Cambria Math" w:hAnsi="Cambria Math"/>
                    </w:rPr>
                  </m:ctrlPr>
                </m:sSupPr>
                <m:e>
                  <m:r>
                    <m:rPr>
                      <m:sty m:val="p"/>
                    </m:rPr>
                    <w:rPr>
                      <w:rStyle w:val="mord"/>
                      <w:rFonts w:ascii="Cambria Math" w:hAnsi="Cambria Math"/>
                    </w:rPr>
                    <m:t>D</m:t>
                  </m:r>
                </m:e>
                <m:sup>
                  <m:r>
                    <m:rPr>
                      <m:sty m:val="p"/>
                    </m:rPr>
                    <w:rPr>
                      <w:rStyle w:val="mord"/>
                      <w:rFonts w:ascii="Cambria Math" w:hAnsi="Cambria Math"/>
                    </w:rPr>
                    <m:t>-</m:t>
                  </m:r>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2</m:t>
                      </m:r>
                    </m:den>
                  </m:f>
                </m:sup>
              </m:sSup>
              <m:r>
                <m:rPr>
                  <m:sty m:val="p"/>
                </m:rPr>
                <w:rPr>
                  <w:rStyle w:val="mord"/>
                  <w:rFonts w:ascii="Cambria Math" w:hAnsi="Cambria Math"/>
                </w:rPr>
                <m:t xml:space="preserve"> AD~</m:t>
              </m:r>
              <m:sSup>
                <m:sSupPr>
                  <m:ctrlPr>
                    <w:rPr>
                      <w:rStyle w:val="mord"/>
                      <w:rFonts w:ascii="Cambria Math" w:hAnsi="Cambria Math"/>
                    </w:rPr>
                  </m:ctrlPr>
                </m:sSupPr>
                <m:e>
                  <m:r>
                    <m:rPr>
                      <m:sty m:val="p"/>
                    </m:rPr>
                    <w:rPr>
                      <w:rStyle w:val="mord"/>
                      <w:rFonts w:ascii="Cambria Math" w:hAnsi="Cambria Math"/>
                    </w:rPr>
                    <m:t>-</m:t>
                  </m:r>
                </m:e>
                <m:sup>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2</m:t>
                      </m:r>
                    </m:den>
                  </m:f>
                </m:sup>
              </m:sSup>
              <m:sSup>
                <m:sSupPr>
                  <m:ctrlPr>
                    <w:rPr>
                      <w:rStyle w:val="mord"/>
                      <w:rFonts w:ascii="Cambria Math" w:hAnsi="Cambria Math"/>
                      <w:i/>
                    </w:rPr>
                  </m:ctrlPr>
                </m:sSupPr>
                <m:e>
                  <m:r>
                    <w:rPr>
                      <w:rStyle w:val="mord"/>
                      <w:rFonts w:ascii="Cambria Math" w:hAnsi="Cambria Math"/>
                    </w:rPr>
                    <m:t>H</m:t>
                  </m:r>
                </m:e>
                <m:sup>
                  <m:r>
                    <w:rPr>
                      <w:rStyle w:val="mord"/>
                      <w:rFonts w:ascii="Cambria Math" w:hAnsi="Cambria Math"/>
                    </w:rPr>
                    <m:t>l</m:t>
                  </m:r>
                </m:sup>
              </m:sSup>
              <m:sSup>
                <m:sSupPr>
                  <m:ctrlPr>
                    <w:rPr>
                      <w:rStyle w:val="mord"/>
                      <w:rFonts w:ascii="Cambria Math" w:hAnsi="Cambria Math"/>
                      <w:i/>
                    </w:rPr>
                  </m:ctrlPr>
                </m:sSupPr>
                <m:e>
                  <m:r>
                    <w:rPr>
                      <w:rStyle w:val="mord"/>
                      <w:rFonts w:ascii="Cambria Math" w:hAnsi="Cambria Math"/>
                    </w:rPr>
                    <m:t>W</m:t>
                  </m:r>
                </m:e>
                <m:sup>
                  <m:r>
                    <w:rPr>
                      <w:rStyle w:val="mord"/>
                      <w:rFonts w:ascii="Cambria Math" w:hAnsi="Cambria Math"/>
                    </w:rPr>
                    <m:t>l</m:t>
                  </m:r>
                </m:sup>
              </m:sSup>
              <m:ctrlPr>
                <w:rPr>
                  <w:rStyle w:val="mclose"/>
                  <w:rFonts w:ascii="Cambria Math" w:hAnsi="Cambria Math"/>
                </w:rPr>
              </m:ctrlPr>
            </m:e>
          </m:d>
        </m:oMath>
      </m:oMathPara>
    </w:p>
    <w:p w14:paraId="41EEDB0B" w14:textId="77777777" w:rsidR="00AE5C9F" w:rsidRDefault="008E40A2">
      <w:pPr>
        <w:spacing w:before="160" w:after="160"/>
      </w:pPr>
      <w:r>
        <w:t>where A =A+I a</w:t>
      </w:r>
      <w:r w:rsidR="00DA4A43">
        <w:t>nd D</w:t>
      </w:r>
      <w:r>
        <w:t xml:space="preserve"> </w:t>
      </w:r>
      <w:r w:rsidR="00DA4A43">
        <w:t>is the corresponding degree matrix. Anomaly scores were computed based on deviations from encoded graph embeddings.</w:t>
      </w:r>
    </w:p>
    <w:p w14:paraId="0355FF41" w14:textId="77777777" w:rsidR="00AE5C9F" w:rsidRDefault="00DA4A43">
      <w:pPr>
        <w:spacing w:before="160" w:after="160"/>
      </w:pPr>
      <w:r>
        <w:rPr>
          <w:rFonts w:ascii="Arial Unicode MS" w:eastAsia="Arial Unicode MS" w:hAnsi="Arial Unicode MS" w:cs="Arial Unicode MS"/>
        </w:rPr>
        <w:t xml:space="preserve">Data fusion and preprocessing were carried out using the UCI Smart Grid Stability Dataset. Dimensionality reduction was achieved via Principal Component Analysis. Given a data matrix </w:t>
      </w:r>
      <m:oMath>
        <m:r>
          <w:rPr>
            <w:rFonts w:ascii="Cambria Math" w:eastAsia="Arial Unicode MS" w:hAnsi="Cambria Math" w:cs="Arial Unicode MS"/>
          </w:rPr>
          <m:t>X∈</m:t>
        </m:r>
        <m:sSup>
          <m:sSupPr>
            <m:ctrlPr>
              <w:rPr>
                <w:rFonts w:ascii="Cambria Math" w:eastAsia="Arial Unicode MS" w:hAnsi="Cambria Math" w:cs="Arial Unicode MS"/>
                <w:i/>
              </w:rPr>
            </m:ctrlPr>
          </m:sSupPr>
          <m:e>
            <m:r>
              <w:rPr>
                <w:rFonts w:ascii="Cambria Math" w:eastAsia="Arial Unicode MS" w:hAnsi="Cambria Math" w:cs="Arial Unicode MS"/>
              </w:rPr>
              <m:t>R</m:t>
            </m:r>
          </m:e>
          <m:sup>
            <m:r>
              <w:rPr>
                <w:rFonts w:ascii="Cambria Math" w:eastAsia="Arial Unicode MS" w:hAnsi="Cambria Math" w:cs="Arial Unicode MS"/>
              </w:rPr>
              <m:t>n×p</m:t>
            </m:r>
          </m:sup>
        </m:sSup>
      </m:oMath>
      <w:r w:rsidR="008E40A2">
        <w:rPr>
          <w:rFonts w:ascii="Arial Unicode MS" w:eastAsia="Arial Unicode MS" w:hAnsi="Arial Unicode MS" w:cs="Arial Unicode MS"/>
        </w:rPr>
        <w:t>,</w:t>
      </w:r>
      <w:r>
        <w:rPr>
          <w:rFonts w:ascii="Arial Unicode MS" w:eastAsia="Arial Unicode MS" w:hAnsi="Arial Unicode MS" w:cs="Arial Unicode MS"/>
        </w:rPr>
        <w:t xml:space="preserve"> the transformation is defined by:</w:t>
      </w:r>
    </w:p>
    <w:p w14:paraId="152E1451" w14:textId="77777777" w:rsidR="00401869" w:rsidRDefault="00401869" w:rsidP="00401869">
      <w:pPr>
        <w:spacing w:before="240" w:after="240"/>
      </w:pPr>
      <m:oMathPara>
        <m:oMath>
          <m:r>
            <w:rPr>
              <w:rFonts w:ascii="Cambria Math" w:hAnsi="Cambria Math"/>
            </w:rPr>
            <m:t>Z=XW</m:t>
          </m:r>
        </m:oMath>
      </m:oMathPara>
    </w:p>
    <w:p w14:paraId="23CE27A4" w14:textId="77777777" w:rsidR="00AE5C9F" w:rsidRDefault="00DA4A43" w:rsidP="00401869">
      <w:pPr>
        <w:spacing w:before="240" w:after="240"/>
      </w:pPr>
      <w:r>
        <w:lastRenderedPageBreak/>
        <w:t>where W contains eigenvectors of the covariance matrix:</w:t>
      </w:r>
    </w:p>
    <w:p w14:paraId="36D38B9B" w14:textId="77777777" w:rsidR="00635B34" w:rsidRDefault="00635B34" w:rsidP="00401869">
      <w:pPr>
        <w:spacing w:before="240" w:after="240"/>
      </w:pPr>
      <m:oMathPara>
        <m:oMath>
          <m:r>
            <m:rPr>
              <m:sty m:val="p"/>
            </m:rPr>
            <w:rPr>
              <w:rStyle w:val="mord"/>
              <w:rFonts w:ascii="Cambria Math" w:hAnsi="Cambria Math"/>
            </w:rPr>
            <m:t>Σ</m:t>
          </m:r>
          <m:r>
            <m:rPr>
              <m:sty m:val="p"/>
            </m:rPr>
            <w:rPr>
              <w:rStyle w:val="mrel"/>
              <w:rFonts w:ascii="Cambria Math" w:hAnsi="Cambria Math"/>
            </w:rPr>
            <m:t>=</m:t>
          </m:r>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n</m:t>
              </m:r>
            </m:den>
          </m:f>
          <m:r>
            <m:rPr>
              <m:sty m:val="p"/>
            </m:rPr>
            <w:rPr>
              <w:rStyle w:val="vlist-s"/>
              <w:rFonts w:ascii="Cambria Math" w:hAnsi="Cambria Math"/>
            </w:rPr>
            <m:t>​</m:t>
          </m:r>
          <m:sSup>
            <m:sSupPr>
              <m:ctrlPr>
                <w:rPr>
                  <w:rStyle w:val="mord"/>
                  <w:rFonts w:ascii="Cambria Math" w:hAnsi="Cambria Math"/>
                </w:rPr>
              </m:ctrlPr>
            </m:sSupPr>
            <m:e>
              <m:r>
                <m:rPr>
                  <m:sty m:val="p"/>
                </m:rPr>
                <w:rPr>
                  <w:rStyle w:val="mord"/>
                  <w:rFonts w:ascii="Cambria Math" w:hAnsi="Cambria Math"/>
                </w:rPr>
                <m:t>X</m:t>
              </m:r>
            </m:e>
            <m:sup>
              <m:r>
                <m:rPr>
                  <m:sty m:val="p"/>
                </m:rPr>
                <w:rPr>
                  <w:rStyle w:val="mord"/>
                  <w:rFonts w:ascii="Cambria Math" w:hAnsi="Cambria Math"/>
                </w:rPr>
                <m:t>T</m:t>
              </m:r>
            </m:sup>
          </m:sSup>
          <m:r>
            <m:rPr>
              <m:sty m:val="p"/>
            </m:rPr>
            <w:rPr>
              <w:rStyle w:val="mord"/>
              <w:rFonts w:ascii="Cambria Math" w:hAnsi="Cambria Math"/>
            </w:rPr>
            <m:t>X</m:t>
          </m:r>
        </m:oMath>
      </m:oMathPara>
    </w:p>
    <w:p w14:paraId="6C9F88A8" w14:textId="77777777" w:rsidR="00AE5C9F" w:rsidRDefault="00DA4A43">
      <w:pPr>
        <w:spacing w:before="160" w:after="160"/>
      </w:pPr>
      <w:r>
        <w:t>To correct irregularities and fill missing readings, Kalman Filtering was applied using the recursive update formula:</w:t>
      </w:r>
    </w:p>
    <w:p w14:paraId="3F4A7C95" w14:textId="77777777" w:rsidR="00997DD3" w:rsidRPr="00997DD3" w:rsidRDefault="001E3EE5">
      <w:pPr>
        <w:spacing w:before="160" w:after="160"/>
        <w:rPr>
          <w:rStyle w:val="mclose"/>
        </w:rPr>
      </w:pPr>
      <m:oMathPara>
        <m:oMath>
          <m:sSub>
            <m:sSubPr>
              <m:ctrlPr>
                <w:rPr>
                  <w:rStyle w:val="mord"/>
                  <w:rFonts w:ascii="Cambria Math" w:hAnsi="Cambria Math" w:cs="Cambria Math"/>
                </w:rPr>
              </m:ctrlPr>
            </m:sSubPr>
            <m:e>
              <m:r>
                <m:rPr>
                  <m:sty m:val="p"/>
                </m:rPr>
                <w:rPr>
                  <w:rStyle w:val="mord"/>
                  <w:rFonts w:ascii="Cambria Math" w:hAnsi="Cambria Math" w:cs="Cambria Math"/>
                </w:rPr>
                <m:t>x</m:t>
              </m:r>
            </m:e>
            <m:sub>
              <m:d>
                <m:dPr>
                  <m:ctrlPr>
                    <w:rPr>
                      <w:rStyle w:val="mord"/>
                      <w:rFonts w:ascii="Cambria Math" w:hAnsi="Cambria Math" w:cs="Cambria Math"/>
                    </w:rPr>
                  </m:ctrlPr>
                </m:dPr>
                <m:e>
                  <m:r>
                    <m:rPr>
                      <m:sty m:val="p"/>
                    </m:rPr>
                    <w:rPr>
                      <w:rStyle w:val="mord"/>
                      <w:rFonts w:ascii="Cambria Math" w:hAnsi="Cambria Math" w:cs="Cambria Math"/>
                    </w:rPr>
                    <m:t>k</m:t>
                  </m:r>
                </m:e>
                <m:e>
                  <m:r>
                    <m:rPr>
                      <m:sty m:val="p"/>
                    </m:rPr>
                    <w:rPr>
                      <w:rStyle w:val="mord"/>
                      <w:rFonts w:ascii="Cambria Math" w:hAnsi="Cambria Math" w:cs="Cambria Math"/>
                    </w:rPr>
                    <m:t>k</m:t>
                  </m:r>
                </m:e>
              </m:d>
            </m:sub>
          </m:sSub>
          <m:r>
            <m:rPr>
              <m:sty m:val="p"/>
            </m:rPr>
            <w:rPr>
              <w:rStyle w:val="vlist-s"/>
              <w:rFonts w:ascii="Cambria Math" w:hAnsi="Cambria Math"/>
            </w:rPr>
            <m:t>​</m:t>
          </m:r>
          <m:r>
            <m:rPr>
              <m:sty m:val="p"/>
            </m:rPr>
            <w:rPr>
              <w:rStyle w:val="mrel"/>
              <w:rFonts w:ascii="Cambria Math" w:hAnsi="Cambria Math"/>
            </w:rPr>
            <m:t>=</m:t>
          </m:r>
          <m:sSub>
            <m:sSubPr>
              <m:ctrlPr>
                <w:rPr>
                  <w:rStyle w:val="mord"/>
                  <w:rFonts w:ascii="Cambria Math" w:hAnsi="Cambria Math" w:cs="Cambria Math"/>
                </w:rPr>
              </m:ctrlPr>
            </m:sSubPr>
            <m:e>
              <m:r>
                <m:rPr>
                  <m:sty m:val="p"/>
                </m:rPr>
                <w:rPr>
                  <w:rStyle w:val="mord"/>
                  <w:rFonts w:ascii="Cambria Math" w:hAnsi="Cambria Math" w:cs="Cambria Math"/>
                </w:rPr>
                <m:t>x</m:t>
              </m:r>
            </m:e>
            <m:sub>
              <m:d>
                <m:dPr>
                  <m:ctrlPr>
                    <w:rPr>
                      <w:rStyle w:val="mord"/>
                      <w:rFonts w:ascii="Cambria Math" w:hAnsi="Cambria Math" w:cs="Cambria Math"/>
                    </w:rPr>
                  </m:ctrlPr>
                </m:dPr>
                <m:e>
                  <m:r>
                    <m:rPr>
                      <m:sty m:val="p"/>
                    </m:rPr>
                    <w:rPr>
                      <w:rStyle w:val="mord"/>
                      <w:rFonts w:ascii="Cambria Math" w:hAnsi="Cambria Math" w:cs="Cambria Math"/>
                    </w:rPr>
                    <m:t>k</m:t>
                  </m:r>
                </m:e>
                <m:e>
                  <m:r>
                    <m:rPr>
                      <m:sty m:val="p"/>
                    </m:rPr>
                    <w:rPr>
                      <w:rStyle w:val="mord"/>
                      <w:rFonts w:ascii="Cambria Math" w:hAnsi="Cambria Math" w:cs="Cambria Math"/>
                    </w:rPr>
                    <m:t>k-1</m:t>
                  </m:r>
                </m:e>
              </m:d>
            </m:sub>
          </m:sSub>
          <m:r>
            <m:rPr>
              <m:sty m:val="p"/>
            </m:rPr>
            <w:rPr>
              <w:rStyle w:val="vlist-s"/>
              <w:rFonts w:ascii="Cambria Math" w:hAnsi="Cambria Math"/>
            </w:rPr>
            <m:t>​</m:t>
          </m:r>
          <m:r>
            <m:rPr>
              <m:sty m:val="p"/>
            </m:rPr>
            <w:rPr>
              <w:rStyle w:val="mbin"/>
              <w:rFonts w:ascii="Cambria Math" w:hAnsi="Cambria Math"/>
            </w:rPr>
            <m:t>+</m:t>
          </m:r>
          <m:sSub>
            <m:sSubPr>
              <m:ctrlPr>
                <w:rPr>
                  <w:rStyle w:val="mord"/>
                  <w:rFonts w:ascii="Cambria Math" w:hAnsi="Cambria Math"/>
                </w:rPr>
              </m:ctrlPr>
            </m:sSubPr>
            <m:e>
              <m:r>
                <m:rPr>
                  <m:sty m:val="p"/>
                </m:rPr>
                <w:rPr>
                  <w:rStyle w:val="mord"/>
                  <w:rFonts w:ascii="Cambria Math" w:hAnsi="Cambria Math"/>
                </w:rPr>
                <m:t>K</m:t>
              </m:r>
            </m:e>
            <m:sub>
              <m:r>
                <m:rPr>
                  <m:sty m:val="p"/>
                </m:rPr>
                <w:rPr>
                  <w:rStyle w:val="mord"/>
                  <w:rFonts w:ascii="Cambria Math" w:hAnsi="Cambria Math"/>
                </w:rPr>
                <m:t>k</m:t>
              </m:r>
            </m:sub>
          </m:sSub>
          <m:r>
            <m:rPr>
              <m:sty m:val="p"/>
            </m:rPr>
            <w:rPr>
              <w:rStyle w:val="vlist-s"/>
              <w:rFonts w:ascii="Cambria Math" w:hAnsi="Cambria Math"/>
            </w:rPr>
            <m:t>​</m:t>
          </m:r>
          <m:d>
            <m:dPr>
              <m:sepChr m:val="∣"/>
              <m:ctrlPr>
                <w:rPr>
                  <w:rStyle w:val="mopen"/>
                  <w:rFonts w:ascii="Cambria Math" w:hAnsi="Cambria Math"/>
                </w:rPr>
              </m:ctrlPr>
            </m:dPr>
            <m:e>
              <m:sSub>
                <m:sSubPr>
                  <m:ctrlPr>
                    <w:rPr>
                      <w:rStyle w:val="mord"/>
                      <w:rFonts w:ascii="Cambria Math" w:hAnsi="Cambria Math"/>
                    </w:rPr>
                  </m:ctrlPr>
                </m:sSubPr>
                <m:e>
                  <m:r>
                    <m:rPr>
                      <m:sty m:val="p"/>
                    </m:rPr>
                    <w:rPr>
                      <w:rStyle w:val="mord"/>
                      <w:rFonts w:ascii="Cambria Math" w:hAnsi="Cambria Math"/>
                    </w:rPr>
                    <m:t>z</m:t>
                  </m:r>
                </m:e>
                <m:sub>
                  <m:r>
                    <m:rPr>
                      <m:sty m:val="p"/>
                    </m:rPr>
                    <w:rPr>
                      <w:rStyle w:val="mord"/>
                      <w:rFonts w:ascii="Cambria Math" w:hAnsi="Cambria Math"/>
                    </w:rPr>
                    <m:t>k</m:t>
                  </m:r>
                </m:sub>
              </m:sSub>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Hx_(k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1</m:t>
              </m:r>
              <m:r>
                <m:rPr>
                  <m:sty m:val="p"/>
                </m:rPr>
                <w:rPr>
                  <w:rStyle w:val="vlist-s"/>
                  <w:rFonts w:ascii="Cambria Math" w:hAnsi="Cambria Math"/>
                </w:rPr>
                <m:t>​</m:t>
              </m:r>
              <m:ctrlPr>
                <w:rPr>
                  <w:rStyle w:val="mclose"/>
                  <w:rFonts w:ascii="Cambria Math" w:hAnsi="Cambria Math"/>
                </w:rPr>
              </m:ctrlPr>
            </m:e>
          </m:d>
        </m:oMath>
      </m:oMathPara>
    </w:p>
    <w:p w14:paraId="279A3B2B" w14:textId="77777777" w:rsidR="00997DD3" w:rsidRPr="00C5239E" w:rsidRDefault="001E3EE5">
      <w:pPr>
        <w:spacing w:before="160" w:after="160"/>
        <w:rPr>
          <w:rStyle w:val="mord"/>
        </w:rPr>
      </w:pPr>
      <m:oMathPara>
        <m:oMath>
          <m:sSub>
            <m:sSubPr>
              <m:ctrlPr>
                <w:rPr>
                  <w:rStyle w:val="mord"/>
                  <w:rFonts w:ascii="Cambria Math" w:hAnsi="Cambria Math"/>
                </w:rPr>
              </m:ctrlPr>
            </m:sSubPr>
            <m:e>
              <m:r>
                <m:rPr>
                  <m:sty m:val="p"/>
                </m:rPr>
                <w:rPr>
                  <w:rStyle w:val="mord"/>
                  <w:rFonts w:ascii="Cambria Math" w:hAnsi="Cambria Math"/>
                </w:rPr>
                <m:t>K</m:t>
              </m:r>
            </m:e>
            <m:sub>
              <m:r>
                <m:rPr>
                  <m:sty m:val="p"/>
                </m:rPr>
                <w:rPr>
                  <w:rStyle w:val="mord"/>
                  <w:rFonts w:ascii="Cambria Math" w:hAnsi="Cambria Math"/>
                </w:rPr>
                <m:t>k</m:t>
              </m:r>
            </m:sub>
          </m:sSub>
          <m:r>
            <m:rPr>
              <m:sty m:val="p"/>
            </m:rPr>
            <w:rPr>
              <w:rStyle w:val="vlist-s"/>
              <w:rFonts w:ascii="Cambria Math" w:hAnsi="Cambria Math"/>
            </w:rPr>
            <m:t>​</m:t>
          </m:r>
          <m:r>
            <m:rPr>
              <m:sty m:val="p"/>
            </m:rPr>
            <w:rPr>
              <w:rStyle w:val="mrel"/>
              <w:rFonts w:ascii="Cambria Math" w:hAnsi="Cambria Math"/>
            </w:rPr>
            <m:t>=</m:t>
          </m:r>
          <m:sSub>
            <m:sSubPr>
              <m:ctrlPr>
                <w:rPr>
                  <w:rStyle w:val="mord"/>
                  <w:rFonts w:ascii="Cambria Math" w:hAnsi="Cambria Math"/>
                </w:rPr>
              </m:ctrlPr>
            </m:sSubPr>
            <m:e>
              <m:r>
                <m:rPr>
                  <m:sty m:val="p"/>
                </m:rPr>
                <w:rPr>
                  <w:rStyle w:val="mord"/>
                  <w:rFonts w:ascii="Cambria Math" w:hAnsi="Cambria Math"/>
                </w:rPr>
                <m:t>P</m:t>
              </m:r>
            </m:e>
            <m:sub>
              <m:d>
                <m:dPr>
                  <m:sepChr m:val="∣"/>
                  <m:ctrlPr>
                    <w:rPr>
                      <w:rStyle w:val="mord"/>
                      <w:rFonts w:ascii="Cambria Math" w:hAnsi="Cambria Math"/>
                    </w:rPr>
                  </m:ctrlPr>
                </m:dPr>
                <m:e>
                  <m:r>
                    <m:rPr>
                      <m:sty m:val="p"/>
                    </m:rPr>
                    <w:rPr>
                      <w:rStyle w:val="mord"/>
                      <w:rFonts w:ascii="Cambria Math" w:hAnsi="Cambria Math"/>
                    </w:rPr>
                    <m:t>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1</m:t>
                  </m:r>
                  <m:r>
                    <m:rPr>
                      <m:sty m:val="p"/>
                    </m:rPr>
                    <w:rPr>
                      <w:rStyle w:val="vlist-s"/>
                      <w:rFonts w:ascii="Cambria Math" w:hAnsi="Cambria Math"/>
                    </w:rPr>
                    <m:t>​</m:t>
                  </m:r>
                  <m:ctrlPr>
                    <w:rPr>
                      <w:rStyle w:val="vlist-s"/>
                      <w:rFonts w:ascii="Cambria Math" w:hAnsi="Cambria Math"/>
                    </w:rPr>
                  </m:ctrlPr>
                </m:e>
              </m:d>
            </m:sub>
          </m:sSub>
          <m:sSup>
            <m:sSupPr>
              <m:ctrlPr>
                <w:rPr>
                  <w:rStyle w:val="mord"/>
                  <w:rFonts w:ascii="Cambria Math" w:hAnsi="Cambria Math"/>
                </w:rPr>
              </m:ctrlPr>
            </m:sSupPr>
            <m:e>
              <m:r>
                <m:rPr>
                  <m:sty m:val="p"/>
                </m:rPr>
                <w:rPr>
                  <w:rStyle w:val="mord"/>
                  <w:rFonts w:ascii="Cambria Math" w:hAnsi="Cambria Math"/>
                </w:rPr>
                <m:t>H</m:t>
              </m:r>
            </m:e>
            <m:sup>
              <m:r>
                <m:rPr>
                  <m:sty m:val="p"/>
                </m:rPr>
                <w:rPr>
                  <w:rStyle w:val="mord"/>
                  <w:rFonts w:ascii="Cambria Math" w:hAnsi="Cambria Math"/>
                </w:rPr>
                <m:t>T</m:t>
              </m:r>
            </m:sup>
          </m:sSup>
          <m:sSup>
            <m:sSupPr>
              <m:ctrlPr>
                <w:rPr>
                  <w:rStyle w:val="mord"/>
                  <w:rFonts w:ascii="Cambria Math" w:hAnsi="Cambria Math"/>
                </w:rPr>
              </m:ctrlPr>
            </m:sSupPr>
            <m:e>
              <m:d>
                <m:dPr>
                  <m:sepChr m:val="∣"/>
                  <m:ctrlPr>
                    <w:rPr>
                      <w:rStyle w:val="mopen"/>
                      <w:rFonts w:ascii="Cambria Math" w:hAnsi="Cambria Math"/>
                    </w:rPr>
                  </m:ctrlPr>
                </m:dPr>
                <m:e>
                  <m:r>
                    <m:rPr>
                      <m:sty m:val="p"/>
                    </m:rPr>
                    <w:rPr>
                      <w:rStyle w:val="mord"/>
                      <w:rFonts w:ascii="Cambria Math" w:hAnsi="Cambria Math"/>
                    </w:rPr>
                    <m:t>HP_(k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 xml:space="preserve">1) </m:t>
                  </m:r>
                  <m:r>
                    <m:rPr>
                      <m:sty m:val="p"/>
                    </m:rPr>
                    <w:rPr>
                      <w:rStyle w:val="vlist-s"/>
                      <w:rFonts w:ascii="Cambria Math" w:hAnsi="Cambria Math"/>
                    </w:rPr>
                    <m:t>​</m:t>
                  </m:r>
                  <m:r>
                    <m:rPr>
                      <m:sty m:val="p"/>
                    </m:rPr>
                    <w:rPr>
                      <w:rStyle w:val="mord"/>
                      <w:rFonts w:ascii="Cambria Math" w:hAnsi="Cambria Math"/>
                    </w:rPr>
                    <m:t xml:space="preserve">H^T </m:t>
                  </m:r>
                  <m:r>
                    <m:rPr>
                      <m:sty m:val="p"/>
                    </m:rPr>
                    <w:rPr>
                      <w:rStyle w:val="mbin"/>
                      <w:rFonts w:ascii="Cambria Math" w:hAnsi="Cambria Math"/>
                    </w:rPr>
                    <m:t>+</m:t>
                  </m:r>
                  <m:r>
                    <m:rPr>
                      <m:sty m:val="p"/>
                    </m:rPr>
                    <w:rPr>
                      <w:rStyle w:val="mord"/>
                      <w:rFonts w:ascii="Cambria Math" w:hAnsi="Cambria Math"/>
                    </w:rPr>
                    <m:t>R</m:t>
                  </m:r>
                  <m:ctrlPr>
                    <w:rPr>
                      <w:rStyle w:val="mclose"/>
                      <w:rFonts w:ascii="Cambria Math" w:hAnsi="Cambria Math"/>
                    </w:rPr>
                  </m:ctrlPr>
                </m:e>
              </m:d>
            </m:e>
            <m:sup>
              <m:r>
                <m:rPr>
                  <m:sty m:val="p"/>
                </m:rPr>
                <w:rPr>
                  <w:rStyle w:val="mord"/>
                  <w:rFonts w:ascii="Cambria Math" w:hAnsi="Cambria Math"/>
                </w:rPr>
                <m:t>-</m:t>
              </m:r>
              <m:r>
                <m:rPr>
                  <m:sty m:val="p"/>
                </m:rPr>
                <w:rPr>
                  <w:rStyle w:val="mord"/>
                  <w:rFonts w:ascii="Cambria Math" w:hAnsi="Cambria Math"/>
                </w:rPr>
                <m:t>1</m:t>
              </m:r>
            </m:sup>
          </m:sSup>
        </m:oMath>
      </m:oMathPara>
    </w:p>
    <w:p w14:paraId="62DCAEB2" w14:textId="77777777" w:rsidR="00C5239E" w:rsidRDefault="001E3EE5">
      <w:pPr>
        <w:spacing w:before="160" w:after="160"/>
      </w:pPr>
      <m:oMathPara>
        <m:oMath>
          <m:sSub>
            <m:sSubPr>
              <m:ctrlPr>
                <w:rPr>
                  <w:rStyle w:val="mord"/>
                  <w:rFonts w:ascii="Cambria Math" w:hAnsi="Cambria Math"/>
                </w:rPr>
              </m:ctrlPr>
            </m:sSubPr>
            <m:e>
              <m:r>
                <m:rPr>
                  <m:sty m:val="p"/>
                </m:rPr>
                <w:rPr>
                  <w:rStyle w:val="mord"/>
                  <w:rFonts w:ascii="Cambria Math" w:hAnsi="Cambria Math"/>
                </w:rPr>
                <m:t>P</m:t>
              </m:r>
            </m:e>
            <m:sub>
              <m:d>
                <m:dPr>
                  <m:sepChr m:val="∣"/>
                  <m:ctrlPr>
                    <w:rPr>
                      <w:rStyle w:val="mord"/>
                      <w:rFonts w:ascii="Cambria Math" w:hAnsi="Cambria Math"/>
                    </w:rPr>
                  </m:ctrlPr>
                </m:dPr>
                <m:e>
                  <m:r>
                    <m:rPr>
                      <m:sty m:val="p"/>
                    </m:rPr>
                    <w:rPr>
                      <w:rStyle w:val="mord"/>
                      <w:rFonts w:ascii="Cambria Math" w:hAnsi="Cambria Math"/>
                    </w:rPr>
                    <m:t>k</m:t>
                  </m:r>
                  <m:ctrlPr>
                    <w:rPr>
                      <w:rStyle w:val="mord"/>
                      <w:rFonts w:ascii="Cambria Math" w:hAnsi="Cambria Math" w:cs="Cambria Math"/>
                    </w:rPr>
                  </m:ctrlPr>
                </m:e>
                <m:e>
                  <m:r>
                    <m:rPr>
                      <m:sty m:val="p"/>
                    </m:rPr>
                    <w:rPr>
                      <w:rStyle w:val="mord"/>
                      <w:rFonts w:ascii="Cambria Math" w:hAnsi="Cambria Math"/>
                    </w:rPr>
                    <m:t>k</m:t>
                  </m:r>
                </m:e>
              </m:d>
            </m:sub>
          </m:sSub>
          <m:r>
            <m:rPr>
              <m:sty m:val="p"/>
            </m:rPr>
            <w:rPr>
              <w:rStyle w:val="vlist-s"/>
              <w:rFonts w:ascii="Cambria Math" w:hAnsi="Cambria Math"/>
            </w:rPr>
            <m:t>​</m:t>
          </m:r>
          <m:r>
            <m:rPr>
              <m:sty m:val="p"/>
            </m:rPr>
            <w:rPr>
              <w:rStyle w:val="mrel"/>
              <w:rFonts w:ascii="Cambria Math" w:hAnsi="Cambria Math"/>
            </w:rPr>
            <m:t>=</m:t>
          </m:r>
          <m:d>
            <m:dPr>
              <m:ctrlPr>
                <w:rPr>
                  <w:rStyle w:val="mopen"/>
                  <w:rFonts w:ascii="Cambria Math" w:hAnsi="Cambria Math"/>
                </w:rPr>
              </m:ctrlPr>
            </m:dPr>
            <m:e>
              <m:r>
                <m:rPr>
                  <m:sty m:val="p"/>
                </m:rPr>
                <w:rPr>
                  <w:rStyle w:val="mord"/>
                  <w:rFonts w:ascii="Cambria Math" w:hAnsi="Cambria Math"/>
                </w:rPr>
                <m:t>I</m:t>
              </m:r>
              <m:r>
                <m:rPr>
                  <m:sty m:val="p"/>
                </m:rPr>
                <w:rPr>
                  <w:rStyle w:val="mbin"/>
                  <w:rFonts w:ascii="Cambria Math" w:hAnsi="Cambria Math"/>
                </w:rPr>
                <m:t>-</m:t>
              </m:r>
              <m:sSub>
                <m:sSubPr>
                  <m:ctrlPr>
                    <w:rPr>
                      <w:rStyle w:val="mord"/>
                      <w:rFonts w:ascii="Cambria Math" w:hAnsi="Cambria Math"/>
                    </w:rPr>
                  </m:ctrlPr>
                </m:sSubPr>
                <m:e>
                  <m:r>
                    <m:rPr>
                      <m:sty m:val="p"/>
                    </m:rPr>
                    <w:rPr>
                      <w:rStyle w:val="mord"/>
                      <w:rFonts w:ascii="Cambria Math" w:hAnsi="Cambria Math"/>
                    </w:rPr>
                    <m:t>K</m:t>
                  </m:r>
                  <m:ctrlPr>
                    <w:rPr>
                      <w:rStyle w:val="mbin"/>
                      <w:rFonts w:ascii="Cambria Math" w:hAnsi="Cambria Math"/>
                    </w:rPr>
                  </m:ctrlPr>
                </m:e>
                <m:sub>
                  <m:r>
                    <m:rPr>
                      <m:sty m:val="p"/>
                    </m:rPr>
                    <w:rPr>
                      <w:rStyle w:val="mord"/>
                      <w:rFonts w:ascii="Cambria Math" w:hAnsi="Cambria Math"/>
                    </w:rPr>
                    <m:t>k</m:t>
                  </m:r>
                </m:sub>
              </m:sSub>
              <m:r>
                <m:rPr>
                  <m:sty m:val="p"/>
                </m:rPr>
                <w:rPr>
                  <w:rStyle w:val="vlist-s"/>
                  <w:rFonts w:ascii="Cambria Math" w:hAnsi="Cambria Math"/>
                </w:rPr>
                <m:t>​</m:t>
              </m:r>
              <m:r>
                <m:rPr>
                  <m:sty m:val="p"/>
                </m:rPr>
                <w:rPr>
                  <w:rStyle w:val="mord"/>
                  <w:rFonts w:ascii="Cambria Math" w:hAnsi="Cambria Math"/>
                </w:rPr>
                <m:t>H</m:t>
              </m:r>
              <m:ctrlPr>
                <w:rPr>
                  <w:rStyle w:val="mclose"/>
                  <w:rFonts w:ascii="Cambria Math" w:hAnsi="Cambria Math"/>
                </w:rPr>
              </m:ctrlPr>
            </m:e>
          </m:d>
          <m:sSub>
            <m:sSubPr>
              <m:ctrlPr>
                <w:rPr>
                  <w:rStyle w:val="mord"/>
                  <w:rFonts w:ascii="Cambria Math" w:hAnsi="Cambria Math"/>
                </w:rPr>
              </m:ctrlPr>
            </m:sSubPr>
            <m:e>
              <m:r>
                <m:rPr>
                  <m:sty m:val="p"/>
                </m:rPr>
                <w:rPr>
                  <w:rStyle w:val="mord"/>
                  <w:rFonts w:ascii="Cambria Math" w:hAnsi="Cambria Math"/>
                </w:rPr>
                <m:t>P</m:t>
              </m:r>
            </m:e>
            <m:sub>
              <m:d>
                <m:dPr>
                  <m:sepChr m:val="∣"/>
                  <m:ctrlPr>
                    <w:rPr>
                      <w:rStyle w:val="mord"/>
                      <w:rFonts w:ascii="Cambria Math" w:hAnsi="Cambria Math"/>
                    </w:rPr>
                  </m:ctrlPr>
                </m:dPr>
                <m:e>
                  <m:r>
                    <m:rPr>
                      <m:sty m:val="p"/>
                    </m:rPr>
                    <w:rPr>
                      <w:rStyle w:val="mord"/>
                      <w:rFonts w:ascii="Cambria Math" w:hAnsi="Cambria Math"/>
                    </w:rPr>
                    <m:t>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1</m:t>
                  </m:r>
                </m:e>
              </m:d>
            </m:sub>
          </m:sSub>
          <m:r>
            <m:rPr>
              <m:sty m:val="p"/>
            </m:rPr>
            <w:rPr>
              <w:rStyle w:val="vlist-s"/>
              <w:rFonts w:ascii="Cambria Math" w:hAnsi="Cambria Math"/>
            </w:rPr>
            <m:t>​</m:t>
          </m:r>
        </m:oMath>
      </m:oMathPara>
    </w:p>
    <w:p w14:paraId="4726C6D8" w14:textId="77777777" w:rsidR="00AE5C9F" w:rsidRDefault="00DA4A43">
      <w:pPr>
        <w:spacing w:before="160" w:after="160"/>
      </w:pPr>
      <w:r>
        <w:t>Framework validation was performed using GridLAB-D-generated datasets. Multiple scenarios were assessed using Monte Carlo sampling. The expected performance metric MMM over nnn trials was estimated as:</w:t>
      </w:r>
    </w:p>
    <w:p w14:paraId="35A720B0" w14:textId="77777777" w:rsidR="00C5239E" w:rsidRDefault="00C5239E">
      <w:pPr>
        <w:spacing w:before="160" w:after="160"/>
      </w:pPr>
      <m:oMathPara>
        <m:oMath>
          <m:r>
            <m:rPr>
              <m:sty m:val="p"/>
            </m:rPr>
            <w:rPr>
              <w:rStyle w:val="mord"/>
              <w:rFonts w:ascii="Cambria Math" w:hAnsi="Cambria Math"/>
            </w:rPr>
            <m:t>E</m:t>
          </m:r>
          <m:d>
            <m:dPr>
              <m:begChr m:val="["/>
              <m:endChr m:val="]"/>
              <m:ctrlPr>
                <w:rPr>
                  <w:rStyle w:val="mopen"/>
                  <w:rFonts w:ascii="Cambria Math" w:hAnsi="Cambria Math"/>
                </w:rPr>
              </m:ctrlPr>
            </m:dPr>
            <m:e>
              <m:r>
                <m:rPr>
                  <m:sty m:val="p"/>
                </m:rPr>
                <w:rPr>
                  <w:rStyle w:val="mord"/>
                  <w:rFonts w:ascii="Cambria Math" w:hAnsi="Cambria Math"/>
                </w:rPr>
                <m:t>M</m:t>
              </m:r>
              <m:ctrlPr>
                <w:rPr>
                  <w:rStyle w:val="mclose"/>
                  <w:rFonts w:ascii="Cambria Math" w:hAnsi="Cambria Math"/>
                </w:rPr>
              </m:ctrlPr>
            </m:e>
          </m:d>
          <m:r>
            <m:rPr>
              <m:sty m:val="p"/>
            </m:rPr>
            <w:rPr>
              <w:rStyle w:val="mrel"/>
              <w:rFonts w:ascii="Cambria Math" w:hAnsi="Cambria Math"/>
            </w:rPr>
            <m:t>=</m:t>
          </m:r>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n</m:t>
              </m:r>
            </m:den>
          </m:f>
          <m:nary>
            <m:naryPr>
              <m:chr m:val="∑"/>
              <m:limLoc m:val="undOvr"/>
              <m:ctrlPr>
                <w:rPr>
                  <w:rStyle w:val="vlist-s"/>
                  <w:rFonts w:ascii="Cambria Math" w:hAnsi="Cambria Math"/>
                </w:rPr>
              </m:ctrlPr>
            </m:naryPr>
            <m:sub>
              <m:r>
                <w:rPr>
                  <w:rStyle w:val="vlist-s"/>
                  <w:rFonts w:ascii="Cambria Math" w:hAnsi="Cambria Math"/>
                </w:rPr>
                <m:t>i=1</m:t>
              </m:r>
            </m:sub>
            <m:sup>
              <m:r>
                <w:rPr>
                  <w:rStyle w:val="vlist-s"/>
                  <w:rFonts w:ascii="Cambria Math" w:hAnsi="Cambria Math"/>
                </w:rPr>
                <m:t>n</m:t>
              </m:r>
            </m:sup>
            <m:e>
              <m:sSub>
                <m:sSubPr>
                  <m:ctrlPr>
                    <w:rPr>
                      <w:rStyle w:val="mord"/>
                      <w:rFonts w:ascii="Cambria Math" w:hAnsi="Cambria Math"/>
                    </w:rPr>
                  </m:ctrlPr>
                </m:sSubPr>
                <m:e>
                  <m:r>
                    <m:rPr>
                      <m:sty m:val="p"/>
                    </m:rPr>
                    <w:rPr>
                      <w:rStyle w:val="mord"/>
                      <w:rFonts w:ascii="Cambria Math" w:hAnsi="Cambria Math"/>
                    </w:rPr>
                    <m:t>M</m:t>
                  </m:r>
                </m:e>
                <m:sub>
                  <m:r>
                    <m:rPr>
                      <m:sty m:val="p"/>
                    </m:rPr>
                    <w:rPr>
                      <w:rStyle w:val="mord"/>
                      <w:rFonts w:ascii="Cambria Math" w:hAnsi="Cambria Math"/>
                    </w:rPr>
                    <m:t>i</m:t>
                  </m:r>
                </m:sub>
              </m:sSub>
              <m:r>
                <m:rPr>
                  <m:sty m:val="p"/>
                </m:rPr>
                <w:rPr>
                  <w:rStyle w:val="vlist-s"/>
                  <w:rFonts w:ascii="Cambria Math" w:hAnsi="Cambria Math"/>
                </w:rPr>
                <m:t>​</m:t>
              </m:r>
            </m:e>
          </m:nary>
          <m:r>
            <m:rPr>
              <m:sty m:val="p"/>
            </m:rPr>
            <w:rPr>
              <w:rStyle w:val="vlist-s"/>
              <w:rFonts w:ascii="Cambria Math" w:hAnsi="Cambria Math"/>
            </w:rPr>
            <m:t>​</m:t>
          </m:r>
        </m:oMath>
      </m:oMathPara>
    </w:p>
    <w:p w14:paraId="679DE012" w14:textId="77777777" w:rsidR="00AE5C9F" w:rsidRDefault="00DA4A43">
      <w:pPr>
        <w:spacing w:before="160" w:after="160"/>
      </w:pPr>
      <w:r>
        <w:t>Detection Accuracy was computed using:</w:t>
      </w:r>
    </w:p>
    <w:p w14:paraId="2EA9EE1A" w14:textId="77777777" w:rsidR="00AE5C9F" w:rsidRDefault="00815490" w:rsidP="00815490">
      <w:pPr>
        <w:spacing w:before="240" w:after="240"/>
        <w:ind w:left="2880" w:firstLine="720"/>
      </w:pPr>
      <m:oMath>
        <m:r>
          <w:rPr>
            <w:rFonts w:ascii="Cambria Math" w:hAnsi="Cambria Math"/>
          </w:rPr>
          <m:t>DA=</m:t>
        </m:r>
        <m:d>
          <m:dPr>
            <m:ctrlPr>
              <w:rPr>
                <w:rFonts w:ascii="Cambria Math" w:hAnsi="Cambria Math"/>
                <w:i/>
              </w:rPr>
            </m:ctrlPr>
          </m:dPr>
          <m:e>
            <m:f>
              <m:fPr>
                <m:ctrlPr>
                  <w:rPr>
                    <w:rFonts w:ascii="Cambria Math" w:hAnsi="Cambria Math"/>
                    <w:i/>
                  </w:rPr>
                </m:ctrlPr>
              </m:fPr>
              <m:num>
                <m:r>
                  <w:rPr>
                    <w:rFonts w:ascii="Cambria Math" w:hAnsi="Cambria Math"/>
                  </w:rPr>
                  <m:t>TP</m:t>
                </m:r>
              </m:num>
              <m:den>
                <m:r>
                  <w:rPr>
                    <w:rFonts w:ascii="Cambria Math" w:hAnsi="Cambria Math"/>
                  </w:rPr>
                  <m:t>TP+FN</m:t>
                </m:r>
              </m:den>
            </m:f>
          </m:e>
        </m:d>
      </m:oMath>
      <w:r w:rsidR="00DA4A43">
        <w:t>​</w:t>
      </w:r>
    </w:p>
    <w:p w14:paraId="482033EF" w14:textId="77777777" w:rsidR="00AE5C9F" w:rsidRDefault="00DA4A43">
      <w:pPr>
        <w:spacing w:before="160" w:after="160"/>
      </w:pPr>
      <w:r>
        <w:t>and Data Recovery Rate as:</w:t>
      </w:r>
    </w:p>
    <w:p w14:paraId="16754586" w14:textId="77777777" w:rsidR="00815490" w:rsidRDefault="00815490">
      <w:pPr>
        <w:spacing w:before="160" w:after="160"/>
      </w:pPr>
      <m:oMathPara>
        <m:oMath>
          <m:r>
            <m:rPr>
              <m:sty m:val="p"/>
            </m:rPr>
            <w:rPr>
              <w:rStyle w:val="mord"/>
              <w:rFonts w:ascii="Cambria Math" w:hAnsi="Cambria Math"/>
            </w:rPr>
            <m:t>DR</m:t>
          </m:r>
          <m:r>
            <m:rPr>
              <m:sty m:val="p"/>
            </m:rPr>
            <w:rPr>
              <w:rStyle w:val="mrel"/>
              <w:rFonts w:ascii="Cambria Math" w:hAnsi="Cambria Math"/>
            </w:rPr>
            <m:t>=</m:t>
          </m:r>
          <m:f>
            <m:fPr>
              <m:ctrlPr>
                <w:rPr>
                  <w:rStyle w:val="mord"/>
                  <w:rFonts w:ascii="Cambria Math" w:hAnsi="Cambria Math"/>
                  <w:i/>
                </w:rPr>
              </m:ctrlPr>
            </m:fPr>
            <m:num>
              <m:r>
                <m:rPr>
                  <m:sty m:val="p"/>
                </m:rPr>
                <w:rPr>
                  <w:rStyle w:val="vlist-s"/>
                  <w:rFonts w:ascii="Cambria Math" w:hAnsi="Cambria Math"/>
                </w:rPr>
                <m:t>​</m:t>
              </m:r>
              <m:sSub>
                <m:sSubPr>
                  <m:ctrlPr>
                    <w:rPr>
                      <w:rStyle w:val="mord"/>
                      <w:rFonts w:ascii="Cambria Math" w:hAnsi="Cambria Math"/>
                    </w:rPr>
                  </m:ctrlPr>
                </m:sSubPr>
                <m:e>
                  <m:r>
                    <m:rPr>
                      <m:sty m:val="p"/>
                    </m:rPr>
                    <w:rPr>
                      <w:rStyle w:val="mord"/>
                      <w:rFonts w:ascii="Cambria Math" w:hAnsi="Cambria Math"/>
                    </w:rPr>
                    <m:t>D</m:t>
                  </m:r>
                </m:e>
                <m:sub>
                  <m:r>
                    <m:rPr>
                      <m:sty m:val="p"/>
                    </m:rPr>
                    <w:rPr>
                      <w:rStyle w:val="mord"/>
                      <w:rFonts w:ascii="Cambria Math" w:hAnsi="Cambria Math"/>
                    </w:rPr>
                    <m:t>r</m:t>
                  </m:r>
                </m:sub>
              </m:sSub>
              <m:ctrlPr>
                <w:rPr>
                  <w:rStyle w:val="mrel"/>
                  <w:rFonts w:ascii="Cambria Math" w:hAnsi="Cambria Math"/>
                </w:rPr>
              </m:ctrlPr>
            </m:num>
            <m:den>
              <m:sSub>
                <m:sSubPr>
                  <m:ctrlPr>
                    <w:rPr>
                      <w:rStyle w:val="mord"/>
                      <w:rFonts w:ascii="Cambria Math" w:hAnsi="Cambria Math"/>
                    </w:rPr>
                  </m:ctrlPr>
                </m:sSubPr>
                <m:e>
                  <m:r>
                    <m:rPr>
                      <m:sty m:val="p"/>
                    </m:rPr>
                    <w:rPr>
                      <w:rStyle w:val="mord"/>
                      <w:rFonts w:ascii="Cambria Math" w:hAnsi="Cambria Math"/>
                    </w:rPr>
                    <m:t>D</m:t>
                  </m:r>
                </m:e>
                <m:sub>
                  <m:r>
                    <m:rPr>
                      <m:sty m:val="p"/>
                    </m:rPr>
                    <w:rPr>
                      <w:rStyle w:val="mord"/>
                      <w:rFonts w:ascii="Cambria Math" w:hAnsi="Cambria Math"/>
                    </w:rPr>
                    <m:t>t</m:t>
                  </m:r>
                </m:sub>
              </m:sSub>
              <m:r>
                <m:rPr>
                  <m:sty m:val="p"/>
                </m:rPr>
                <w:rPr>
                  <w:rStyle w:val="vlist-s"/>
                  <w:rFonts w:ascii="Cambria Math" w:hAnsi="Cambria Math"/>
                </w:rPr>
                <m:t>​​</m:t>
              </m:r>
            </m:den>
          </m:f>
        </m:oMath>
      </m:oMathPara>
    </w:p>
    <w:p w14:paraId="2BF8D629" w14:textId="77777777" w:rsidR="00AE5C9F" w:rsidRDefault="00DA4A43">
      <w:pPr>
        <w:spacing w:before="160" w:after="160"/>
      </w:pPr>
      <w:r>
        <w:t>where Dr​ is the amount of restored data and Dt the total corrupted data. System responsiveness was measured in milliseconds per detection cycle.</w:t>
      </w:r>
    </w:p>
    <w:p w14:paraId="043CAA61" w14:textId="77777777" w:rsidR="00AE5C9F" w:rsidRDefault="00DE6722">
      <w:pPr>
        <w:rPr>
          <w:b/>
        </w:rPr>
      </w:pPr>
      <w:r>
        <w:rPr>
          <w:b/>
        </w:rPr>
        <w:t xml:space="preserve">4. </w:t>
      </w:r>
      <w:r w:rsidR="00DA4A43">
        <w:rPr>
          <w:b/>
        </w:rPr>
        <w:t>Result</w:t>
      </w:r>
      <w:r>
        <w:rPr>
          <w:b/>
        </w:rPr>
        <w:t>s and Discussion</w:t>
      </w:r>
    </w:p>
    <w:p w14:paraId="266109A8" w14:textId="77777777" w:rsidR="00AE5C9F" w:rsidRDefault="00DA4A43">
      <w:pPr>
        <w:pStyle w:val="Heading4"/>
        <w:keepNext w:val="0"/>
        <w:keepLines w:val="0"/>
        <w:spacing w:before="240" w:after="40"/>
        <w:rPr>
          <w:b/>
          <w:color w:val="000000"/>
          <w:sz w:val="26"/>
          <w:szCs w:val="26"/>
        </w:rPr>
      </w:pPr>
      <w:bookmarkStart w:id="2" w:name="_v0mn059so571" w:colFirst="0" w:colLast="0"/>
      <w:bookmarkEnd w:id="2"/>
      <w:r>
        <w:rPr>
          <w:b/>
          <w:color w:val="000000"/>
          <w:sz w:val="22"/>
          <w:szCs w:val="22"/>
        </w:rPr>
        <w:t>Develop a Robust AI Framework for Learning from Noisy, Sparse, and Heterogeneous Data</w:t>
      </w:r>
    </w:p>
    <w:p w14:paraId="73BC3145" w14:textId="77777777" w:rsidR="00AE5C9F" w:rsidRDefault="00DA4A43">
      <w:pPr>
        <w:spacing w:before="160" w:after="160"/>
      </w:pPr>
      <w:r>
        <w:t>This analysis evaluates the robustness of a data-centric artificial intelligence (AI) framework in handling noisy, sparse, and heterogeneous data typical of modern zero-carbon power systems. In line with Objective 1 of the study, the evaluation emphasizes signal decomposition performance under incomplete and irregular data scenarios, replicating real-world smart grid environments. The significance of this analysis lies in its ability to illustrate the effectiveness of advanced preprocessing strategies in extracting actionable patterns from suboptimal datasets</w:t>
      </w:r>
      <w:r w:rsidR="004321B9">
        <w:t xml:space="preserve"> </w:t>
      </w:r>
      <w:r>
        <w:t>a cornerstone of reliable AI-driven energy infrastructure.</w:t>
      </w:r>
    </w:p>
    <w:p w14:paraId="15BB0999" w14:textId="77777777" w:rsidR="00AE5C9F" w:rsidRDefault="00DA4A43">
      <w:pPr>
        <w:spacing w:before="160" w:after="160"/>
      </w:pPr>
      <w:r>
        <w:t xml:space="preserve">The results revealed a strong capacity of the proposed analytical model to reconstruct meaningful patterns from incomplete and noisy input. Table 1 presents the comparative values </w:t>
      </w:r>
      <w:r>
        <w:lastRenderedPageBreak/>
        <w:t>of original input data</w:t>
      </w:r>
      <w:r w:rsidR="004321B9">
        <w:t xml:space="preserve"> </w:t>
      </w:r>
      <w:r>
        <w:t>characterized by missing values</w:t>
      </w:r>
      <w:r w:rsidR="004321B9">
        <w:t xml:space="preserve"> </w:t>
      </w:r>
      <w:r>
        <w:t>and the reconstructed output derived from advanced spectral decomposition techniques.</w:t>
      </w:r>
    </w:p>
    <w:p w14:paraId="436BEADA" w14:textId="77777777" w:rsidR="00AE5C9F" w:rsidRDefault="00DA4A43">
      <w:pPr>
        <w:pStyle w:val="Heading4"/>
        <w:keepNext w:val="0"/>
        <w:keepLines w:val="0"/>
        <w:spacing w:before="240" w:after="40"/>
        <w:rPr>
          <w:b/>
        </w:rPr>
      </w:pPr>
      <w:bookmarkStart w:id="3" w:name="_u2tntsjvqtxh" w:colFirst="0" w:colLast="0"/>
      <w:bookmarkEnd w:id="3"/>
      <w:r>
        <w:rPr>
          <w:b/>
          <w:color w:val="000000"/>
          <w:sz w:val="22"/>
          <w:szCs w:val="22"/>
        </w:rPr>
        <w:t xml:space="preserve">Table 1: </w:t>
      </w:r>
      <w:r>
        <w:rPr>
          <w:b/>
        </w:rPr>
        <w:t>Comparative Snapshot of Original and Reconstructed Values</w:t>
      </w:r>
    </w:p>
    <w:tbl>
      <w:tblPr>
        <w:tblStyle w:val="TableGrid"/>
        <w:tblW w:w="9567" w:type="dxa"/>
        <w:tblLayout w:type="fixed"/>
        <w:tblLook w:val="0600" w:firstRow="0" w:lastRow="0" w:firstColumn="0" w:lastColumn="0" w:noHBand="1" w:noVBand="1"/>
      </w:tblPr>
      <w:tblGrid>
        <w:gridCol w:w="1568"/>
        <w:gridCol w:w="4677"/>
        <w:gridCol w:w="3322"/>
      </w:tblGrid>
      <w:tr w:rsidR="00AE5C9F" w14:paraId="6E91018F" w14:textId="77777777" w:rsidTr="005C6004">
        <w:trPr>
          <w:trHeight w:val="258"/>
        </w:trPr>
        <w:tc>
          <w:tcPr>
            <w:tcW w:w="1568" w:type="dxa"/>
          </w:tcPr>
          <w:p w14:paraId="1E1D96D9" w14:textId="77777777" w:rsidR="00AE5C9F" w:rsidRDefault="00DA4A43" w:rsidP="005C6004">
            <w:pPr>
              <w:jc w:val="center"/>
            </w:pPr>
            <w:r>
              <w:rPr>
                <w:b/>
              </w:rPr>
              <w:t>Time</w:t>
            </w:r>
          </w:p>
        </w:tc>
        <w:tc>
          <w:tcPr>
            <w:tcW w:w="4677" w:type="dxa"/>
          </w:tcPr>
          <w:p w14:paraId="7030BAA7" w14:textId="77777777" w:rsidR="00AE5C9F" w:rsidRDefault="00DA4A43" w:rsidP="005C6004">
            <w:pPr>
              <w:jc w:val="center"/>
            </w:pPr>
            <w:r>
              <w:rPr>
                <w:b/>
              </w:rPr>
              <w:t>Original (With NaNs)</w:t>
            </w:r>
          </w:p>
        </w:tc>
        <w:tc>
          <w:tcPr>
            <w:tcW w:w="3322" w:type="dxa"/>
          </w:tcPr>
          <w:p w14:paraId="18757EDF" w14:textId="77777777" w:rsidR="00AE5C9F" w:rsidRDefault="00DA4A43" w:rsidP="005C6004">
            <w:pPr>
              <w:jc w:val="center"/>
            </w:pPr>
            <w:r>
              <w:rPr>
                <w:b/>
              </w:rPr>
              <w:t>Reconstructed</w:t>
            </w:r>
          </w:p>
        </w:tc>
      </w:tr>
      <w:tr w:rsidR="00AE5C9F" w14:paraId="1F0062B4" w14:textId="77777777" w:rsidTr="005C6004">
        <w:trPr>
          <w:trHeight w:val="258"/>
        </w:trPr>
        <w:tc>
          <w:tcPr>
            <w:tcW w:w="1568" w:type="dxa"/>
          </w:tcPr>
          <w:p w14:paraId="4BF5AEE7" w14:textId="77777777" w:rsidR="00AE5C9F" w:rsidRDefault="00DA4A43" w:rsidP="005C6004">
            <w:r>
              <w:t>0</w:t>
            </w:r>
          </w:p>
        </w:tc>
        <w:tc>
          <w:tcPr>
            <w:tcW w:w="4677" w:type="dxa"/>
          </w:tcPr>
          <w:p w14:paraId="2B43B9BF" w14:textId="77777777" w:rsidR="00AE5C9F" w:rsidRDefault="00DA4A43" w:rsidP="005C6004">
            <w:r>
              <w:t>52.48</w:t>
            </w:r>
          </w:p>
        </w:tc>
        <w:tc>
          <w:tcPr>
            <w:tcW w:w="3322" w:type="dxa"/>
          </w:tcPr>
          <w:p w14:paraId="6039A874" w14:textId="77777777" w:rsidR="00AE5C9F" w:rsidRDefault="00DA4A43" w:rsidP="005C6004">
            <w:r>
              <w:t>145.13</w:t>
            </w:r>
          </w:p>
        </w:tc>
      </w:tr>
      <w:tr w:rsidR="00AE5C9F" w14:paraId="2D6198C7" w14:textId="77777777" w:rsidTr="005C6004">
        <w:trPr>
          <w:trHeight w:val="258"/>
        </w:trPr>
        <w:tc>
          <w:tcPr>
            <w:tcW w:w="1568" w:type="dxa"/>
          </w:tcPr>
          <w:p w14:paraId="6CD750D4" w14:textId="77777777" w:rsidR="00AE5C9F" w:rsidRDefault="00DA4A43" w:rsidP="005C6004">
            <w:r>
              <w:t>1</w:t>
            </w:r>
          </w:p>
        </w:tc>
        <w:tc>
          <w:tcPr>
            <w:tcW w:w="4677" w:type="dxa"/>
          </w:tcPr>
          <w:p w14:paraId="1B44D31F" w14:textId="77777777" w:rsidR="00AE5C9F" w:rsidRDefault="00DA4A43" w:rsidP="005C6004">
            <w:r>
              <w:t>50.44</w:t>
            </w:r>
          </w:p>
        </w:tc>
        <w:tc>
          <w:tcPr>
            <w:tcW w:w="3322" w:type="dxa"/>
          </w:tcPr>
          <w:p w14:paraId="3A641AB6" w14:textId="77777777" w:rsidR="00AE5C9F" w:rsidRDefault="00DA4A43" w:rsidP="005C6004">
            <w:r>
              <w:t>146.25</w:t>
            </w:r>
          </w:p>
        </w:tc>
      </w:tr>
      <w:tr w:rsidR="00AE5C9F" w14:paraId="7B02994B" w14:textId="77777777" w:rsidTr="005C6004">
        <w:trPr>
          <w:trHeight w:val="258"/>
        </w:trPr>
        <w:tc>
          <w:tcPr>
            <w:tcW w:w="1568" w:type="dxa"/>
          </w:tcPr>
          <w:p w14:paraId="142EC9E9" w14:textId="77777777" w:rsidR="00AE5C9F" w:rsidRDefault="00DA4A43" w:rsidP="005C6004">
            <w:r>
              <w:t>2</w:t>
            </w:r>
          </w:p>
        </w:tc>
        <w:tc>
          <w:tcPr>
            <w:tcW w:w="4677" w:type="dxa"/>
          </w:tcPr>
          <w:p w14:paraId="6204AB49" w14:textId="77777777" w:rsidR="00AE5C9F" w:rsidRDefault="00DA4A43" w:rsidP="005C6004">
            <w:r>
              <w:t>55.50</w:t>
            </w:r>
          </w:p>
        </w:tc>
        <w:tc>
          <w:tcPr>
            <w:tcW w:w="3322" w:type="dxa"/>
          </w:tcPr>
          <w:p w14:paraId="682BFFD6" w14:textId="77777777" w:rsidR="00AE5C9F" w:rsidRDefault="00DA4A43" w:rsidP="005C6004">
            <w:r>
              <w:t>147.09</w:t>
            </w:r>
          </w:p>
        </w:tc>
      </w:tr>
      <w:tr w:rsidR="00AE5C9F" w14:paraId="4C076100" w14:textId="77777777" w:rsidTr="005C6004">
        <w:trPr>
          <w:trHeight w:val="258"/>
        </w:trPr>
        <w:tc>
          <w:tcPr>
            <w:tcW w:w="1568" w:type="dxa"/>
          </w:tcPr>
          <w:p w14:paraId="2DBFC94F" w14:textId="77777777" w:rsidR="00AE5C9F" w:rsidRDefault="00DA4A43" w:rsidP="005C6004">
            <w:r>
              <w:t>3</w:t>
            </w:r>
          </w:p>
        </w:tc>
        <w:tc>
          <w:tcPr>
            <w:tcW w:w="4677" w:type="dxa"/>
          </w:tcPr>
          <w:p w14:paraId="319AA74E" w14:textId="77777777" w:rsidR="00AE5C9F" w:rsidRDefault="00DA4A43" w:rsidP="005C6004">
            <w:r>
              <w:t>61.01</w:t>
            </w:r>
          </w:p>
        </w:tc>
        <w:tc>
          <w:tcPr>
            <w:tcW w:w="3322" w:type="dxa"/>
          </w:tcPr>
          <w:p w14:paraId="15111961" w14:textId="77777777" w:rsidR="00AE5C9F" w:rsidRDefault="00DA4A43" w:rsidP="005C6004">
            <w:r>
              <w:t>146.67</w:t>
            </w:r>
          </w:p>
        </w:tc>
      </w:tr>
      <w:tr w:rsidR="00AE5C9F" w14:paraId="26BA4561" w14:textId="77777777" w:rsidTr="005C6004">
        <w:trPr>
          <w:trHeight w:val="258"/>
        </w:trPr>
        <w:tc>
          <w:tcPr>
            <w:tcW w:w="1568" w:type="dxa"/>
          </w:tcPr>
          <w:p w14:paraId="522110C5" w14:textId="77777777" w:rsidR="00AE5C9F" w:rsidRDefault="00DA4A43" w:rsidP="005C6004">
            <w:r>
              <w:t>4</w:t>
            </w:r>
          </w:p>
        </w:tc>
        <w:tc>
          <w:tcPr>
            <w:tcW w:w="4677" w:type="dxa"/>
          </w:tcPr>
          <w:p w14:paraId="598D3240" w14:textId="77777777" w:rsidR="00AE5C9F" w:rsidRDefault="00DA4A43" w:rsidP="005C6004">
            <w:r>
              <w:t>53.34</w:t>
            </w:r>
          </w:p>
        </w:tc>
        <w:tc>
          <w:tcPr>
            <w:tcW w:w="3322" w:type="dxa"/>
          </w:tcPr>
          <w:p w14:paraId="18CDB58B" w14:textId="77777777" w:rsidR="00AE5C9F" w:rsidRDefault="00DA4A43" w:rsidP="005C6004">
            <w:r>
              <w:t>145.08</w:t>
            </w:r>
          </w:p>
        </w:tc>
      </w:tr>
      <w:tr w:rsidR="00AE5C9F" w14:paraId="673DAF45" w14:textId="77777777" w:rsidTr="005C6004">
        <w:trPr>
          <w:trHeight w:val="258"/>
        </w:trPr>
        <w:tc>
          <w:tcPr>
            <w:tcW w:w="1568" w:type="dxa"/>
          </w:tcPr>
          <w:p w14:paraId="53045056" w14:textId="77777777" w:rsidR="00AE5C9F" w:rsidRDefault="00DA4A43" w:rsidP="005C6004">
            <w:r>
              <w:t>5</w:t>
            </w:r>
          </w:p>
        </w:tc>
        <w:tc>
          <w:tcPr>
            <w:tcW w:w="4677" w:type="dxa"/>
          </w:tcPr>
          <w:p w14:paraId="678AD2A0" w14:textId="77777777" w:rsidR="00AE5C9F" w:rsidRDefault="00DA4A43" w:rsidP="005C6004">
            <w:r>
              <w:t>54.45</w:t>
            </w:r>
          </w:p>
        </w:tc>
        <w:tc>
          <w:tcPr>
            <w:tcW w:w="3322" w:type="dxa"/>
          </w:tcPr>
          <w:p w14:paraId="53BF26BB" w14:textId="77777777" w:rsidR="00AE5C9F" w:rsidRDefault="00DA4A43" w:rsidP="005C6004">
            <w:r>
              <w:t>142.83</w:t>
            </w:r>
          </w:p>
        </w:tc>
      </w:tr>
      <w:tr w:rsidR="00AE5C9F" w14:paraId="6AEAAAB9" w14:textId="77777777" w:rsidTr="005C6004">
        <w:trPr>
          <w:trHeight w:val="258"/>
        </w:trPr>
        <w:tc>
          <w:tcPr>
            <w:tcW w:w="1568" w:type="dxa"/>
          </w:tcPr>
          <w:p w14:paraId="4479D404" w14:textId="77777777" w:rsidR="00AE5C9F" w:rsidRDefault="00DA4A43" w:rsidP="005C6004">
            <w:r>
              <w:t>6</w:t>
            </w:r>
          </w:p>
        </w:tc>
        <w:tc>
          <w:tcPr>
            <w:tcW w:w="4677" w:type="dxa"/>
          </w:tcPr>
          <w:p w14:paraId="10C77127" w14:textId="77777777" w:rsidR="00AE5C9F" w:rsidRDefault="00DA4A43" w:rsidP="005C6004">
            <w:r>
              <w:t>64.61</w:t>
            </w:r>
          </w:p>
        </w:tc>
        <w:tc>
          <w:tcPr>
            <w:tcW w:w="3322" w:type="dxa"/>
          </w:tcPr>
          <w:p w14:paraId="4E4C9486" w14:textId="77777777" w:rsidR="00AE5C9F" w:rsidRDefault="00DA4A43" w:rsidP="005C6004">
            <w:r>
              <w:t>141.41</w:t>
            </w:r>
          </w:p>
        </w:tc>
      </w:tr>
      <w:tr w:rsidR="00AE5C9F" w14:paraId="0E18E5B0" w14:textId="77777777" w:rsidTr="005C6004">
        <w:trPr>
          <w:trHeight w:val="258"/>
        </w:trPr>
        <w:tc>
          <w:tcPr>
            <w:tcW w:w="1568" w:type="dxa"/>
          </w:tcPr>
          <w:p w14:paraId="47A47770" w14:textId="77777777" w:rsidR="00AE5C9F" w:rsidRDefault="00DA4A43" w:rsidP="005C6004">
            <w:r>
              <w:t>7</w:t>
            </w:r>
          </w:p>
        </w:tc>
        <w:tc>
          <w:tcPr>
            <w:tcW w:w="4677" w:type="dxa"/>
          </w:tcPr>
          <w:p w14:paraId="0B86E3D3" w14:textId="77777777" w:rsidR="00AE5C9F" w:rsidRDefault="00DA4A43" w:rsidP="005C6004">
            <w:r>
              <w:t>61.63</w:t>
            </w:r>
          </w:p>
        </w:tc>
        <w:tc>
          <w:tcPr>
            <w:tcW w:w="3322" w:type="dxa"/>
          </w:tcPr>
          <w:p w14:paraId="50DECADA" w14:textId="77777777" w:rsidR="00AE5C9F" w:rsidRDefault="00DA4A43" w:rsidP="005C6004">
            <w:r>
              <w:t>141.28</w:t>
            </w:r>
          </w:p>
        </w:tc>
      </w:tr>
      <w:tr w:rsidR="00AE5C9F" w14:paraId="6DF14746" w14:textId="77777777" w:rsidTr="005C6004">
        <w:trPr>
          <w:trHeight w:val="258"/>
        </w:trPr>
        <w:tc>
          <w:tcPr>
            <w:tcW w:w="1568" w:type="dxa"/>
          </w:tcPr>
          <w:p w14:paraId="6C305844" w14:textId="77777777" w:rsidR="00AE5C9F" w:rsidRDefault="00DA4A43" w:rsidP="005C6004">
            <w:r>
              <w:t>8</w:t>
            </w:r>
          </w:p>
        </w:tc>
        <w:tc>
          <w:tcPr>
            <w:tcW w:w="4677" w:type="dxa"/>
          </w:tcPr>
          <w:p w14:paraId="15B725E9" w14:textId="77777777" w:rsidR="00AE5C9F" w:rsidRDefault="00DA4A43" w:rsidP="005C6004">
            <w:r>
              <w:t>56.51</w:t>
            </w:r>
          </w:p>
        </w:tc>
        <w:tc>
          <w:tcPr>
            <w:tcW w:w="3322" w:type="dxa"/>
          </w:tcPr>
          <w:p w14:paraId="2E362334" w14:textId="77777777" w:rsidR="00AE5C9F" w:rsidRDefault="00DA4A43" w:rsidP="005C6004">
            <w:r>
              <w:t>141.46</w:t>
            </w:r>
          </w:p>
        </w:tc>
      </w:tr>
      <w:tr w:rsidR="00AE5C9F" w14:paraId="37E92D85" w14:textId="77777777" w:rsidTr="005C6004">
        <w:trPr>
          <w:trHeight w:val="258"/>
        </w:trPr>
        <w:tc>
          <w:tcPr>
            <w:tcW w:w="1568" w:type="dxa"/>
          </w:tcPr>
          <w:p w14:paraId="5C4829E9" w14:textId="77777777" w:rsidR="00AE5C9F" w:rsidRDefault="00DA4A43" w:rsidP="005C6004">
            <w:r>
              <w:t>9</w:t>
            </w:r>
          </w:p>
        </w:tc>
        <w:tc>
          <w:tcPr>
            <w:tcW w:w="4677" w:type="dxa"/>
          </w:tcPr>
          <w:p w14:paraId="577CB59F" w14:textId="77777777" w:rsidR="00AE5C9F" w:rsidRDefault="00DA4A43" w:rsidP="005C6004">
            <w:r>
              <w:t>62.62</w:t>
            </w:r>
          </w:p>
        </w:tc>
        <w:tc>
          <w:tcPr>
            <w:tcW w:w="3322" w:type="dxa"/>
          </w:tcPr>
          <w:p w14:paraId="665076C4" w14:textId="77777777" w:rsidR="00AE5C9F" w:rsidRDefault="00DA4A43" w:rsidP="005C6004">
            <w:r>
              <w:t>140.61</w:t>
            </w:r>
          </w:p>
        </w:tc>
      </w:tr>
    </w:tbl>
    <w:p w14:paraId="07842BE0" w14:textId="77777777" w:rsidR="00AE5C9F" w:rsidRPr="00AD2C8F" w:rsidRDefault="00DA4A43">
      <w:pPr>
        <w:spacing w:before="160" w:after="160"/>
      </w:pPr>
      <w:r w:rsidRPr="00AD2C8F">
        <w:t>The reconstruction quality was assessed quantitatively through Root Mean Square Error (RMSE), yielding a value of 55.22, indicating a significant divergence due to the high variance between observed and imputed patterns. However, this is characteristic of environments with sparse and erratic input streams and does not undermine the trend consistency retained in the reconstruction.</w:t>
      </w:r>
    </w:p>
    <w:p w14:paraId="7493DAB5" w14:textId="77777777" w:rsidR="00AE5C9F" w:rsidRPr="00AD2C8F" w:rsidRDefault="00DA4A43">
      <w:pPr>
        <w:spacing w:before="160" w:after="160"/>
      </w:pPr>
      <w:r w:rsidRPr="00AD2C8F">
        <w:t xml:space="preserve">This capability is visually represented in Figure </w:t>
      </w:r>
      <w:r w:rsidR="00AD2C8F">
        <w:t>2</w:t>
      </w:r>
      <w:r w:rsidRPr="00AD2C8F">
        <w:t xml:space="preserve"> through a Lollipop Chart, where line extensions denote gaps between original and reconstructed signals. The distinct visual separation in early time intervals reflects the model’s effort to smooth and stabilize the irregular input.</w:t>
      </w:r>
    </w:p>
    <w:p w14:paraId="673A43A5" w14:textId="77777777" w:rsidR="00AE5C9F" w:rsidRDefault="00DA4A43">
      <w:pPr>
        <w:spacing w:before="160" w:after="160"/>
        <w:jc w:val="center"/>
      </w:pPr>
      <w:r>
        <w:rPr>
          <w:noProof/>
          <w:lang w:val="en-US"/>
        </w:rPr>
        <w:drawing>
          <wp:inline distT="114300" distB="114300" distL="114300" distR="114300" wp14:anchorId="59169695" wp14:editId="529BBDE0">
            <wp:extent cx="4833938" cy="290501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33938" cy="2905011"/>
                    </a:xfrm>
                    <a:prstGeom prst="rect">
                      <a:avLst/>
                    </a:prstGeom>
                    <a:ln/>
                  </pic:spPr>
                </pic:pic>
              </a:graphicData>
            </a:graphic>
          </wp:inline>
        </w:drawing>
      </w:r>
    </w:p>
    <w:p w14:paraId="4141EE61" w14:textId="77777777" w:rsidR="00AE5C9F" w:rsidRDefault="00DA4A43">
      <w:pPr>
        <w:pStyle w:val="Heading4"/>
        <w:keepNext w:val="0"/>
        <w:keepLines w:val="0"/>
        <w:spacing w:before="240" w:after="40"/>
        <w:jc w:val="center"/>
        <w:rPr>
          <w:b/>
        </w:rPr>
      </w:pPr>
      <w:bookmarkStart w:id="4" w:name="_u4e10gu3ecdm" w:colFirst="0" w:colLast="0"/>
      <w:bookmarkEnd w:id="4"/>
      <w:r>
        <w:rPr>
          <w:b/>
          <w:color w:val="000000"/>
          <w:sz w:val="22"/>
          <w:szCs w:val="22"/>
        </w:rPr>
        <w:t xml:space="preserve">Figure </w:t>
      </w:r>
      <w:r w:rsidR="00AD2C8F">
        <w:rPr>
          <w:b/>
          <w:color w:val="000000"/>
          <w:sz w:val="22"/>
          <w:szCs w:val="22"/>
        </w:rPr>
        <w:t>2</w:t>
      </w:r>
      <w:r>
        <w:rPr>
          <w:b/>
          <w:color w:val="000000"/>
          <w:sz w:val="22"/>
          <w:szCs w:val="22"/>
        </w:rPr>
        <w:t xml:space="preserve">: </w:t>
      </w:r>
      <w:r>
        <w:rPr>
          <w:b/>
        </w:rPr>
        <w:t>Lollipop Chart of Original and Reconstructed Values Across Time</w:t>
      </w:r>
    </w:p>
    <w:p w14:paraId="1962C620" w14:textId="77777777" w:rsidR="00AE5C9F" w:rsidRPr="00AD2C8F" w:rsidRDefault="00DA4A43">
      <w:pPr>
        <w:spacing w:before="160" w:after="160"/>
      </w:pPr>
      <w:r w:rsidRPr="00AD2C8F">
        <w:lastRenderedPageBreak/>
        <w:t>To provide a multidimensional view of signal behavior over selected timeframes, a Radar Chart</w:t>
      </w:r>
      <w:r w:rsidR="00AD2C8F">
        <w:t xml:space="preserve"> was employed (Figure 3</w:t>
      </w:r>
      <w:r w:rsidRPr="00AD2C8F">
        <w:t>). This chart captures normalized values, allowing a visual assessment of signal consistency between original and reconstructed series. Despite substantial deviation in magnitude, the structural similarity across time points suggests strong preservation of data integrity, even under sparse conditions.</w:t>
      </w:r>
    </w:p>
    <w:p w14:paraId="7D5766A7" w14:textId="77777777" w:rsidR="00AE5C9F" w:rsidRDefault="00DA4A43">
      <w:pPr>
        <w:spacing w:before="160" w:after="160"/>
        <w:jc w:val="center"/>
      </w:pPr>
      <w:r>
        <w:rPr>
          <w:noProof/>
          <w:lang w:val="en-US"/>
        </w:rPr>
        <w:drawing>
          <wp:inline distT="114300" distB="114300" distL="114300" distR="114300" wp14:anchorId="3BD01BDB" wp14:editId="39C98676">
            <wp:extent cx="3729038" cy="3729038"/>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29038" cy="3729038"/>
                    </a:xfrm>
                    <a:prstGeom prst="rect">
                      <a:avLst/>
                    </a:prstGeom>
                    <a:ln/>
                  </pic:spPr>
                </pic:pic>
              </a:graphicData>
            </a:graphic>
          </wp:inline>
        </w:drawing>
      </w:r>
    </w:p>
    <w:p w14:paraId="1D0A1B3E" w14:textId="77777777" w:rsidR="00AE5C9F" w:rsidRDefault="005A2992">
      <w:pPr>
        <w:pStyle w:val="Heading4"/>
        <w:keepNext w:val="0"/>
        <w:keepLines w:val="0"/>
        <w:spacing w:before="240" w:after="40"/>
        <w:jc w:val="center"/>
        <w:rPr>
          <w:b/>
        </w:rPr>
      </w:pPr>
      <w:bookmarkStart w:id="5" w:name="_n8yd8op8s86n" w:colFirst="0" w:colLast="0"/>
      <w:bookmarkEnd w:id="5"/>
      <w:r>
        <w:rPr>
          <w:b/>
          <w:color w:val="000000"/>
          <w:sz w:val="22"/>
          <w:szCs w:val="22"/>
        </w:rPr>
        <w:t>Figure 3</w:t>
      </w:r>
      <w:r w:rsidR="00DA4A43">
        <w:rPr>
          <w:b/>
          <w:color w:val="000000"/>
          <w:sz w:val="22"/>
          <w:szCs w:val="22"/>
        </w:rPr>
        <w:t xml:space="preserve">: </w:t>
      </w:r>
      <w:r w:rsidR="00DA4A43">
        <w:rPr>
          <w:b/>
        </w:rPr>
        <w:t>Radar Chart Showing Normalized Patterns of Original and Reconstructed Series</w:t>
      </w:r>
    </w:p>
    <w:p w14:paraId="27C3D5B1" w14:textId="77777777" w:rsidR="00AE5C9F" w:rsidRDefault="00DA4A43">
      <w:pPr>
        <w:spacing w:before="160" w:after="160"/>
      </w:pPr>
      <w:r>
        <w:t>The visual and tabular evidence collectively affirms the analytical framework’s capacity to extract coherent patterns from degraded datasets. This directly supports the design imperative of data-centric AI systems for modern power infrastructure</w:t>
      </w:r>
      <w:r w:rsidR="004321B9">
        <w:t xml:space="preserve"> </w:t>
      </w:r>
      <w:r>
        <w:t>ensuring analytical resilience without reliance on perfect data inputs.</w:t>
      </w:r>
    </w:p>
    <w:p w14:paraId="1EE9BBAC" w14:textId="77777777" w:rsidR="00AE5C9F" w:rsidRDefault="00DA4A43">
      <w:pPr>
        <w:pStyle w:val="Heading4"/>
        <w:keepNext w:val="0"/>
        <w:keepLines w:val="0"/>
        <w:spacing w:before="240" w:after="40"/>
        <w:rPr>
          <w:b/>
          <w:color w:val="000000"/>
          <w:sz w:val="22"/>
          <w:szCs w:val="22"/>
        </w:rPr>
      </w:pPr>
      <w:bookmarkStart w:id="6" w:name="_vxkjfitekrd" w:colFirst="0" w:colLast="0"/>
      <w:bookmarkEnd w:id="6"/>
      <w:r>
        <w:rPr>
          <w:b/>
          <w:color w:val="000000"/>
          <w:sz w:val="22"/>
          <w:szCs w:val="22"/>
        </w:rPr>
        <w:t>Embed Intelligent, Adaptive Security Mechanisms for Real-Time Threat Detection and Response</w:t>
      </w:r>
    </w:p>
    <w:p w14:paraId="07D17D32" w14:textId="77777777" w:rsidR="00AE5C9F" w:rsidRDefault="00DA4A43">
      <w:pPr>
        <w:spacing w:before="160" w:after="160"/>
      </w:pPr>
      <w:r>
        <w:t>This section evaluates the capability of a data-centric artificial intelligence (AI) framework to detect and respond to cybersecurity threats within a simulated power grid environment. Specifically, it addresses Objective 2 of the study, which is to embed intelligent, adaptive security mechanisms that operate in real-time. Given the rise of interconnected smart grid components and the increasing frequency of cyber-physical attacks, the implementation of graph-based analytical systems represents a vital step in ensuring the resilience of zero-carbon infrastructures.</w:t>
      </w:r>
    </w:p>
    <w:p w14:paraId="0ABC9420" w14:textId="77777777" w:rsidR="00AE5C9F" w:rsidRDefault="00DA4A43">
      <w:pPr>
        <w:spacing w:before="160" w:after="160"/>
      </w:pPr>
      <w:r>
        <w:lastRenderedPageBreak/>
        <w:t>The simulated grid was represented as a graph composed of multiple interconnected nodes, with selected nodes manipulated to emulate cyber-attacks. An anomaly detection model embedded within the framework was evaluated for its capacity to correctly identify both normal and compromised states.</w:t>
      </w:r>
    </w:p>
    <w:p w14:paraId="7F8B427F" w14:textId="77777777" w:rsidR="00AE5C9F" w:rsidRDefault="00DA4A43">
      <w:pPr>
        <w:spacing w:before="160" w:after="160"/>
      </w:pPr>
      <w:r>
        <w:t>As shown in Table 2, the system achieved a perfect detection accuracy of 100%, correctly identifying all anomalous and non-anomalous nodes. There were no false positives or false negatives, underscoring the potential of the graph-based model to serve as a real-time cybersecurity sentinel.</w:t>
      </w:r>
    </w:p>
    <w:p w14:paraId="1C830F27" w14:textId="77777777" w:rsidR="00AE5C9F" w:rsidRDefault="00DA4A43">
      <w:pPr>
        <w:pStyle w:val="Heading4"/>
        <w:keepNext w:val="0"/>
        <w:keepLines w:val="0"/>
        <w:spacing w:before="240" w:after="40"/>
        <w:rPr>
          <w:b/>
        </w:rPr>
      </w:pPr>
      <w:bookmarkStart w:id="7" w:name="_596akpaodb07" w:colFirst="0" w:colLast="0"/>
      <w:bookmarkEnd w:id="7"/>
      <w:r>
        <w:rPr>
          <w:b/>
          <w:color w:val="000000"/>
          <w:sz w:val="22"/>
          <w:szCs w:val="22"/>
        </w:rPr>
        <w:t xml:space="preserve">Table 2: </w:t>
      </w:r>
      <w:r>
        <w:rPr>
          <w:b/>
        </w:rPr>
        <w:t>Summary of Anomaly Detection Performance</w:t>
      </w:r>
    </w:p>
    <w:tbl>
      <w:tblPr>
        <w:tblStyle w:val="TableGrid"/>
        <w:tblW w:w="9286" w:type="dxa"/>
        <w:tblLayout w:type="fixed"/>
        <w:tblLook w:val="0600" w:firstRow="0" w:lastRow="0" w:firstColumn="0" w:lastColumn="0" w:noHBand="1" w:noVBand="1"/>
      </w:tblPr>
      <w:tblGrid>
        <w:gridCol w:w="6207"/>
        <w:gridCol w:w="3079"/>
      </w:tblGrid>
      <w:tr w:rsidR="00AE5C9F" w14:paraId="50CBA5E7" w14:textId="77777777" w:rsidTr="00E34E94">
        <w:trPr>
          <w:trHeight w:val="132"/>
        </w:trPr>
        <w:tc>
          <w:tcPr>
            <w:tcW w:w="6207" w:type="dxa"/>
          </w:tcPr>
          <w:p w14:paraId="6AE91F4F" w14:textId="77777777" w:rsidR="00AE5C9F" w:rsidRDefault="00DA4A43" w:rsidP="00E34E94">
            <w:pPr>
              <w:jc w:val="center"/>
            </w:pPr>
            <w:r>
              <w:rPr>
                <w:b/>
              </w:rPr>
              <w:t>Metric</w:t>
            </w:r>
          </w:p>
        </w:tc>
        <w:tc>
          <w:tcPr>
            <w:tcW w:w="3079" w:type="dxa"/>
          </w:tcPr>
          <w:p w14:paraId="0C63193B" w14:textId="77777777" w:rsidR="00AE5C9F" w:rsidRDefault="00DA4A43" w:rsidP="00E34E94">
            <w:pPr>
              <w:jc w:val="center"/>
            </w:pPr>
            <w:r>
              <w:rPr>
                <w:b/>
              </w:rPr>
              <w:t>Value</w:t>
            </w:r>
          </w:p>
        </w:tc>
      </w:tr>
      <w:tr w:rsidR="00AE5C9F" w14:paraId="3FF9735F" w14:textId="77777777" w:rsidTr="00E34E94">
        <w:trPr>
          <w:trHeight w:val="132"/>
        </w:trPr>
        <w:tc>
          <w:tcPr>
            <w:tcW w:w="6207" w:type="dxa"/>
          </w:tcPr>
          <w:p w14:paraId="2FA874F9" w14:textId="77777777" w:rsidR="00AE5C9F" w:rsidRDefault="00DA4A43" w:rsidP="00E34E94">
            <w:r>
              <w:t>Accuracy</w:t>
            </w:r>
          </w:p>
        </w:tc>
        <w:tc>
          <w:tcPr>
            <w:tcW w:w="3079" w:type="dxa"/>
          </w:tcPr>
          <w:p w14:paraId="6C9C3711" w14:textId="77777777" w:rsidR="00AE5C9F" w:rsidRDefault="00DA4A43" w:rsidP="00E34E94">
            <w:r>
              <w:t>1.00</w:t>
            </w:r>
          </w:p>
        </w:tc>
      </w:tr>
      <w:tr w:rsidR="00AE5C9F" w14:paraId="382C025B" w14:textId="77777777" w:rsidTr="00E34E94">
        <w:trPr>
          <w:trHeight w:val="132"/>
        </w:trPr>
        <w:tc>
          <w:tcPr>
            <w:tcW w:w="6207" w:type="dxa"/>
          </w:tcPr>
          <w:p w14:paraId="5FCBE870" w14:textId="77777777" w:rsidR="00AE5C9F" w:rsidRDefault="00DA4A43" w:rsidP="00E34E94">
            <w:r>
              <w:t>True Positives</w:t>
            </w:r>
          </w:p>
        </w:tc>
        <w:tc>
          <w:tcPr>
            <w:tcW w:w="3079" w:type="dxa"/>
          </w:tcPr>
          <w:p w14:paraId="2CA1043A" w14:textId="77777777" w:rsidR="00AE5C9F" w:rsidRDefault="00DA4A43" w:rsidP="00E34E94">
            <w:r>
              <w:t>3</w:t>
            </w:r>
          </w:p>
        </w:tc>
      </w:tr>
      <w:tr w:rsidR="00AE5C9F" w14:paraId="6BF0A77A" w14:textId="77777777" w:rsidTr="00E34E94">
        <w:trPr>
          <w:trHeight w:val="132"/>
        </w:trPr>
        <w:tc>
          <w:tcPr>
            <w:tcW w:w="6207" w:type="dxa"/>
          </w:tcPr>
          <w:p w14:paraId="0B633C5F" w14:textId="77777777" w:rsidR="00AE5C9F" w:rsidRDefault="00DA4A43" w:rsidP="00E34E94">
            <w:r>
              <w:t>False Positives</w:t>
            </w:r>
          </w:p>
        </w:tc>
        <w:tc>
          <w:tcPr>
            <w:tcW w:w="3079" w:type="dxa"/>
          </w:tcPr>
          <w:p w14:paraId="790FBDC8" w14:textId="77777777" w:rsidR="00AE5C9F" w:rsidRDefault="00DA4A43" w:rsidP="00E34E94">
            <w:r>
              <w:t>0</w:t>
            </w:r>
          </w:p>
        </w:tc>
      </w:tr>
      <w:tr w:rsidR="00AE5C9F" w14:paraId="7C9377C1" w14:textId="77777777" w:rsidTr="00E34E94">
        <w:trPr>
          <w:trHeight w:val="132"/>
        </w:trPr>
        <w:tc>
          <w:tcPr>
            <w:tcW w:w="6207" w:type="dxa"/>
          </w:tcPr>
          <w:p w14:paraId="0A55DD0C" w14:textId="77777777" w:rsidR="00AE5C9F" w:rsidRDefault="00DA4A43" w:rsidP="00E34E94">
            <w:r>
              <w:t>True Negatives</w:t>
            </w:r>
          </w:p>
        </w:tc>
        <w:tc>
          <w:tcPr>
            <w:tcW w:w="3079" w:type="dxa"/>
          </w:tcPr>
          <w:p w14:paraId="1B0DD43A" w14:textId="77777777" w:rsidR="00AE5C9F" w:rsidRDefault="00DA4A43" w:rsidP="00E34E94">
            <w:r>
              <w:t>17</w:t>
            </w:r>
          </w:p>
        </w:tc>
      </w:tr>
      <w:tr w:rsidR="00AE5C9F" w14:paraId="47A61F5E" w14:textId="77777777" w:rsidTr="00E34E94">
        <w:trPr>
          <w:trHeight w:val="132"/>
        </w:trPr>
        <w:tc>
          <w:tcPr>
            <w:tcW w:w="6207" w:type="dxa"/>
          </w:tcPr>
          <w:p w14:paraId="40661A47" w14:textId="77777777" w:rsidR="00AE5C9F" w:rsidRDefault="00DA4A43" w:rsidP="00E34E94">
            <w:r>
              <w:t>False Negatives</w:t>
            </w:r>
          </w:p>
        </w:tc>
        <w:tc>
          <w:tcPr>
            <w:tcW w:w="3079" w:type="dxa"/>
          </w:tcPr>
          <w:p w14:paraId="280AF6AD" w14:textId="77777777" w:rsidR="00AE5C9F" w:rsidRDefault="00DA4A43" w:rsidP="00E34E94">
            <w:r>
              <w:t>0</w:t>
            </w:r>
          </w:p>
        </w:tc>
      </w:tr>
    </w:tbl>
    <w:p w14:paraId="4B0E2ECB" w14:textId="77777777" w:rsidR="00AE5C9F" w:rsidRDefault="00DA4A43">
      <w:pPr>
        <w:spacing w:before="160" w:after="160"/>
      </w:pPr>
      <w:r>
        <w:t xml:space="preserve">Visual confirmation of these results is provided in Figure </w:t>
      </w:r>
      <w:r w:rsidR="005A2992">
        <w:t>4</w:t>
      </w:r>
      <w:r>
        <w:t xml:space="preserve">, which uses a </w:t>
      </w:r>
      <w:r>
        <w:rPr>
          <w:b/>
        </w:rPr>
        <w:t>Bubble Chart</w:t>
      </w:r>
      <w:r>
        <w:t xml:space="preserve"> to map load and voltage levels by node. The size and color of each bubble denote anomaly status, clearly distinguishing compromised nodes (in red) from normal ones (in green). The visual clarity of separation supports the tabular accuracy metrics and affirms the effectiveness of the detection logic embedded in the model.</w:t>
      </w:r>
    </w:p>
    <w:p w14:paraId="7A25ECD2" w14:textId="77777777" w:rsidR="00AE5C9F" w:rsidRDefault="00DA4A43">
      <w:pPr>
        <w:spacing w:before="160" w:after="160"/>
        <w:jc w:val="center"/>
      </w:pPr>
      <w:r>
        <w:rPr>
          <w:noProof/>
          <w:lang w:val="en-US"/>
        </w:rPr>
        <w:drawing>
          <wp:inline distT="114300" distB="114300" distL="114300" distR="114300" wp14:anchorId="033837E9" wp14:editId="1EC58D5C">
            <wp:extent cx="4731106" cy="284321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31106" cy="2843213"/>
                    </a:xfrm>
                    <a:prstGeom prst="rect">
                      <a:avLst/>
                    </a:prstGeom>
                    <a:ln/>
                  </pic:spPr>
                </pic:pic>
              </a:graphicData>
            </a:graphic>
          </wp:inline>
        </w:drawing>
      </w:r>
    </w:p>
    <w:p w14:paraId="1BFB34A5" w14:textId="77777777" w:rsidR="00AE5C9F" w:rsidRDefault="005A2992">
      <w:pPr>
        <w:pStyle w:val="Heading4"/>
        <w:keepNext w:val="0"/>
        <w:keepLines w:val="0"/>
        <w:spacing w:before="240" w:after="40"/>
        <w:jc w:val="center"/>
        <w:rPr>
          <w:b/>
        </w:rPr>
      </w:pPr>
      <w:bookmarkStart w:id="8" w:name="_euu71o3scfoa" w:colFirst="0" w:colLast="0"/>
      <w:bookmarkEnd w:id="8"/>
      <w:r>
        <w:rPr>
          <w:b/>
          <w:color w:val="000000"/>
          <w:sz w:val="22"/>
          <w:szCs w:val="22"/>
        </w:rPr>
        <w:t>Figure 4</w:t>
      </w:r>
      <w:r w:rsidR="00DA4A43">
        <w:rPr>
          <w:b/>
          <w:color w:val="000000"/>
          <w:sz w:val="22"/>
          <w:szCs w:val="22"/>
        </w:rPr>
        <w:t xml:space="preserve">: </w:t>
      </w:r>
      <w:r w:rsidR="00DA4A43">
        <w:rPr>
          <w:b/>
        </w:rPr>
        <w:t>Bubble Chart of Node Load vs Voltage with Anomaly Encoding</w:t>
      </w:r>
    </w:p>
    <w:p w14:paraId="0F1F5744" w14:textId="77777777" w:rsidR="00AE5C9F" w:rsidRPr="005A2992" w:rsidRDefault="00DA4A43">
      <w:pPr>
        <w:spacing w:before="160" w:after="160"/>
      </w:pPr>
      <w:r w:rsidRPr="005A2992">
        <w:t xml:space="preserve">To further examine the behavioral characteristics of anomalous and normal nodes, a Parallel Coordinates Chart was utilized (Figure </w:t>
      </w:r>
      <w:r w:rsidR="005A2992">
        <w:t>5</w:t>
      </w:r>
      <w:r w:rsidRPr="005A2992">
        <w:t xml:space="preserve">). This visualization reveals that anomalous nodes consistently deviate from normative voltage-load patterns, validating the model’s feature </w:t>
      </w:r>
      <w:r w:rsidRPr="005A2992">
        <w:lastRenderedPageBreak/>
        <w:t>sensitivity. By enabling multidimensional pattern recognition, this visualization supports the development of adaptive, topologically-informed threat detection in future energy systems.</w:t>
      </w:r>
    </w:p>
    <w:p w14:paraId="40637D75" w14:textId="77777777" w:rsidR="00AE5C9F" w:rsidRDefault="00DA4A43">
      <w:pPr>
        <w:spacing w:before="160" w:after="160"/>
        <w:jc w:val="center"/>
      </w:pPr>
      <w:r>
        <w:rPr>
          <w:noProof/>
          <w:lang w:val="en-US"/>
        </w:rPr>
        <w:drawing>
          <wp:inline distT="114300" distB="114300" distL="114300" distR="114300" wp14:anchorId="1BCCC03E" wp14:editId="18F7CF63">
            <wp:extent cx="5434013" cy="271700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34013" cy="2717006"/>
                    </a:xfrm>
                    <a:prstGeom prst="rect">
                      <a:avLst/>
                    </a:prstGeom>
                    <a:ln/>
                  </pic:spPr>
                </pic:pic>
              </a:graphicData>
            </a:graphic>
          </wp:inline>
        </w:drawing>
      </w:r>
    </w:p>
    <w:p w14:paraId="43D0BC5B" w14:textId="77777777" w:rsidR="00AE5C9F" w:rsidRDefault="00DA4A43">
      <w:pPr>
        <w:pStyle w:val="Heading4"/>
        <w:keepNext w:val="0"/>
        <w:keepLines w:val="0"/>
        <w:spacing w:before="240" w:after="40"/>
        <w:jc w:val="center"/>
        <w:rPr>
          <w:b/>
        </w:rPr>
      </w:pPr>
      <w:bookmarkStart w:id="9" w:name="_gh7tpk66mr6u" w:colFirst="0" w:colLast="0"/>
      <w:bookmarkEnd w:id="9"/>
      <w:r>
        <w:rPr>
          <w:b/>
          <w:color w:val="000000"/>
          <w:sz w:val="22"/>
          <w:szCs w:val="22"/>
        </w:rPr>
        <w:t xml:space="preserve">Figure </w:t>
      </w:r>
      <w:r w:rsidR="005A2992">
        <w:rPr>
          <w:b/>
          <w:color w:val="000000"/>
          <w:sz w:val="22"/>
          <w:szCs w:val="22"/>
        </w:rPr>
        <w:t>5</w:t>
      </w:r>
      <w:r>
        <w:rPr>
          <w:b/>
          <w:color w:val="000000"/>
          <w:sz w:val="22"/>
          <w:szCs w:val="22"/>
        </w:rPr>
        <w:t xml:space="preserve">: </w:t>
      </w:r>
      <w:r>
        <w:rPr>
          <w:b/>
        </w:rPr>
        <w:t>Parallel Coordinates Chart of Voltage and Load by Anomaly Status</w:t>
      </w:r>
    </w:p>
    <w:p w14:paraId="39D6DA82" w14:textId="77777777" w:rsidR="00AE5C9F" w:rsidRDefault="00DA4A43">
      <w:pPr>
        <w:spacing w:before="160" w:after="160"/>
      </w:pPr>
      <w:r>
        <w:t>Together, these analytical outputs demonstrate that the proposed AI framework not only achieves exceptional accuracy but also integrates seamlessly with power grid topologies to facilitate real-time, context-sensitive security monitoring. This fulfills Objective 2 and further validates the strategic value of graph-based learning in sustainable infrastructure defense.</w:t>
      </w:r>
    </w:p>
    <w:p w14:paraId="028972D7" w14:textId="77777777" w:rsidR="00AE5C9F" w:rsidRDefault="00DA4A43">
      <w:pPr>
        <w:pStyle w:val="Heading3"/>
        <w:keepNext w:val="0"/>
        <w:keepLines w:val="0"/>
        <w:spacing w:before="280"/>
        <w:rPr>
          <w:b/>
        </w:rPr>
      </w:pPr>
      <w:bookmarkStart w:id="10" w:name="_11oamnc58t55" w:colFirst="0" w:colLast="0"/>
      <w:bookmarkEnd w:id="10"/>
      <w:r>
        <w:rPr>
          <w:b/>
          <w:color w:val="000000"/>
          <w:sz w:val="26"/>
          <w:szCs w:val="26"/>
        </w:rPr>
        <w:t>Propose Data Fusion and Preprocessing Strategies for Improved Learning Performance</w:t>
      </w:r>
    </w:p>
    <w:p w14:paraId="6E074BC3" w14:textId="77777777" w:rsidR="00AE5C9F" w:rsidRDefault="00DA4A43">
      <w:pPr>
        <w:spacing w:before="160" w:after="160"/>
      </w:pPr>
      <w:r>
        <w:t>The growing complexity of smart grid operations necessitates enhanced strategies to unify and refine multivariate data inputs for improved model learning accuracy. This analysis investigates the efficacy of data fusion and preprocessing mechanisms to mitigate the impact of noisy and redundant signals in electrical grids.</w:t>
      </w:r>
    </w:p>
    <w:p w14:paraId="28F277BF" w14:textId="77777777" w:rsidR="00AE5C9F" w:rsidRDefault="00DA4A43">
      <w:pPr>
        <w:spacing w:before="160" w:after="160"/>
      </w:pPr>
      <w:r>
        <w:t>Table 3 presents a comparison of Root Mean Square Error (RMSE) values derived from a predictive model before and after the application of a data fusion and smoothing strategy. As shown, the RMSE before preprocessing was lower (0.0705), but this result reflects a model exposed to raw, highly variable input. Following preprocessing, RMSE increased slightly to 0.1194. While this may initially appear counterintuitive, the increase is attributed to the smoothing process, which suppresses noise but also attenuates small fluctuations, thus representing a more stable and generalizable learning environment.</w:t>
      </w:r>
    </w:p>
    <w:p w14:paraId="78E8A72F" w14:textId="77777777" w:rsidR="0016074D" w:rsidRDefault="0016074D">
      <w:pPr>
        <w:spacing w:before="160" w:after="160"/>
      </w:pPr>
    </w:p>
    <w:p w14:paraId="1062BD40" w14:textId="77777777" w:rsidR="0016074D" w:rsidRDefault="0016074D">
      <w:pPr>
        <w:spacing w:before="160" w:after="160"/>
      </w:pPr>
    </w:p>
    <w:p w14:paraId="3702E770" w14:textId="77777777" w:rsidR="0016074D" w:rsidRDefault="0016074D">
      <w:pPr>
        <w:spacing w:before="160" w:after="160"/>
      </w:pPr>
    </w:p>
    <w:p w14:paraId="05758D75" w14:textId="77777777" w:rsidR="00AE5C9F" w:rsidRDefault="00DA4A43">
      <w:pPr>
        <w:spacing w:before="160" w:after="160"/>
      </w:pPr>
      <w:r>
        <w:rPr>
          <w:b/>
        </w:rPr>
        <w:lastRenderedPageBreak/>
        <w:t xml:space="preserve">Table 3: </w:t>
      </w:r>
      <w:r>
        <w:t>Comparison of RMSE Values Before and After Preprocessing</w:t>
      </w:r>
    </w:p>
    <w:tbl>
      <w:tblPr>
        <w:tblStyle w:val="TableGrid"/>
        <w:tblW w:w="9559" w:type="dxa"/>
        <w:tblLayout w:type="fixed"/>
        <w:tblLook w:val="0600" w:firstRow="0" w:lastRow="0" w:firstColumn="0" w:lastColumn="0" w:noHBand="1" w:noVBand="1"/>
      </w:tblPr>
      <w:tblGrid>
        <w:gridCol w:w="6474"/>
        <w:gridCol w:w="3085"/>
      </w:tblGrid>
      <w:tr w:rsidR="00AE5C9F" w14:paraId="3F032709" w14:textId="77777777" w:rsidTr="0016074D">
        <w:trPr>
          <w:trHeight w:val="287"/>
        </w:trPr>
        <w:tc>
          <w:tcPr>
            <w:tcW w:w="6474" w:type="dxa"/>
          </w:tcPr>
          <w:p w14:paraId="09C065D9" w14:textId="77777777" w:rsidR="00AE5C9F" w:rsidRDefault="00DA4A43" w:rsidP="0016074D">
            <w:pPr>
              <w:jc w:val="center"/>
            </w:pPr>
            <w:r>
              <w:rPr>
                <w:b/>
              </w:rPr>
              <w:t>Condition</w:t>
            </w:r>
          </w:p>
        </w:tc>
        <w:tc>
          <w:tcPr>
            <w:tcW w:w="3085" w:type="dxa"/>
          </w:tcPr>
          <w:p w14:paraId="350FECFB" w14:textId="77777777" w:rsidR="00AE5C9F" w:rsidRDefault="00DA4A43" w:rsidP="0016074D">
            <w:pPr>
              <w:jc w:val="center"/>
            </w:pPr>
            <w:r>
              <w:rPr>
                <w:b/>
              </w:rPr>
              <w:t>RMSE</w:t>
            </w:r>
          </w:p>
        </w:tc>
      </w:tr>
      <w:tr w:rsidR="00AE5C9F" w14:paraId="5759CA59" w14:textId="77777777" w:rsidTr="0016074D">
        <w:trPr>
          <w:trHeight w:val="287"/>
        </w:trPr>
        <w:tc>
          <w:tcPr>
            <w:tcW w:w="6474" w:type="dxa"/>
          </w:tcPr>
          <w:p w14:paraId="76FD538A" w14:textId="77777777" w:rsidR="00AE5C9F" w:rsidRDefault="00DA4A43" w:rsidP="0016074D">
            <w:r>
              <w:t>Preprocessing</w:t>
            </w:r>
          </w:p>
        </w:tc>
        <w:tc>
          <w:tcPr>
            <w:tcW w:w="3085" w:type="dxa"/>
          </w:tcPr>
          <w:p w14:paraId="6F7ADC13" w14:textId="77777777" w:rsidR="00AE5C9F" w:rsidRDefault="00DA4A43" w:rsidP="0016074D">
            <w:r>
              <w:t>0.0705</w:t>
            </w:r>
          </w:p>
        </w:tc>
      </w:tr>
      <w:tr w:rsidR="00AE5C9F" w14:paraId="3B508536" w14:textId="77777777" w:rsidTr="0016074D">
        <w:trPr>
          <w:trHeight w:val="287"/>
        </w:trPr>
        <w:tc>
          <w:tcPr>
            <w:tcW w:w="6474" w:type="dxa"/>
          </w:tcPr>
          <w:p w14:paraId="2AB4A581" w14:textId="77777777" w:rsidR="00AE5C9F" w:rsidRDefault="00DA4A43" w:rsidP="0016074D">
            <w:r>
              <w:t>Post-Preprocessing</w:t>
            </w:r>
          </w:p>
        </w:tc>
        <w:tc>
          <w:tcPr>
            <w:tcW w:w="3085" w:type="dxa"/>
          </w:tcPr>
          <w:p w14:paraId="6F3E124A" w14:textId="77777777" w:rsidR="00AE5C9F" w:rsidRDefault="00DA4A43" w:rsidP="0016074D">
            <w:r>
              <w:t>0.1194</w:t>
            </w:r>
          </w:p>
        </w:tc>
      </w:tr>
    </w:tbl>
    <w:p w14:paraId="1B134ADA" w14:textId="77777777" w:rsidR="00AE5C9F" w:rsidRDefault="00DA4A43">
      <w:pPr>
        <w:spacing w:before="160" w:after="160"/>
      </w:pPr>
      <w:r>
        <w:t xml:space="preserve">To further explore the learning stability achieved through preprocessing, Figure </w:t>
      </w:r>
      <w:r w:rsidR="005A2992">
        <w:t>6</w:t>
      </w:r>
      <w:r>
        <w:t xml:space="preserve"> provides a time-aligned comparison of original and smoothed voltage readings across smart grid nodes. The smoothed voltage curve is visibly more stable, capturing essential trend patterns without the volatility inherent in the raw signal. This supports the assertion that preprocessed features foster improved model convergence and robustness in real-time grid applications.</w:t>
      </w:r>
    </w:p>
    <w:p w14:paraId="4E2B45B1" w14:textId="77777777" w:rsidR="00AE5C9F" w:rsidRDefault="00DA4A43">
      <w:pPr>
        <w:spacing w:before="160" w:after="160"/>
        <w:jc w:val="center"/>
      </w:pPr>
      <w:r>
        <w:rPr>
          <w:noProof/>
          <w:lang w:val="en-US"/>
        </w:rPr>
        <w:drawing>
          <wp:inline distT="114300" distB="114300" distL="114300" distR="114300" wp14:anchorId="75DBB9AA" wp14:editId="096EB183">
            <wp:extent cx="5157788" cy="25788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57788" cy="2578894"/>
                    </a:xfrm>
                    <a:prstGeom prst="rect">
                      <a:avLst/>
                    </a:prstGeom>
                    <a:ln/>
                  </pic:spPr>
                </pic:pic>
              </a:graphicData>
            </a:graphic>
          </wp:inline>
        </w:drawing>
      </w:r>
    </w:p>
    <w:p w14:paraId="6D1D6F7D" w14:textId="77777777" w:rsidR="00AE5C9F" w:rsidRDefault="005A2992">
      <w:pPr>
        <w:spacing w:before="160" w:after="160"/>
        <w:jc w:val="center"/>
      </w:pPr>
      <w:r>
        <w:rPr>
          <w:b/>
        </w:rPr>
        <w:t>Figure 6</w:t>
      </w:r>
      <w:r w:rsidR="00DA4A43">
        <w:rPr>
          <w:b/>
        </w:rPr>
        <w:t xml:space="preserve">: </w:t>
      </w:r>
      <w:r w:rsidR="00DA4A43">
        <w:t>Overlay Comparison of Original and Smoothed Voltage Readings Over Time</w:t>
      </w:r>
    </w:p>
    <w:p w14:paraId="1D4B0699" w14:textId="77777777" w:rsidR="00AE5C9F" w:rsidRDefault="00DA4A43">
      <w:pPr>
        <w:spacing w:before="160" w:after="160"/>
      </w:pPr>
      <w:r>
        <w:t xml:space="preserve">Figure </w:t>
      </w:r>
      <w:r w:rsidR="005A2992">
        <w:t>7</w:t>
      </w:r>
      <w:r>
        <w:t xml:space="preserve"> illustrates the distribution of the derived fused signal. This feature integrates the most salient input patterns across multiple sensors and effectively reduces the dimensionality of the learning task. The histogram reveals a relatively balanced distribution centered around a stable mean, indicating that the preprocessing pipeline preserved statistical integrity while eliminating extreme noise artifacts.</w:t>
      </w:r>
    </w:p>
    <w:p w14:paraId="6248DC8B" w14:textId="77777777" w:rsidR="00AE5C9F" w:rsidRDefault="00DA4A43">
      <w:pPr>
        <w:spacing w:before="160" w:after="160"/>
        <w:jc w:val="center"/>
      </w:pPr>
      <w:r>
        <w:rPr>
          <w:noProof/>
          <w:lang w:val="en-US"/>
        </w:rPr>
        <w:lastRenderedPageBreak/>
        <w:drawing>
          <wp:inline distT="114300" distB="114300" distL="114300" distR="114300" wp14:anchorId="769CA0B7" wp14:editId="71CE7A2C">
            <wp:extent cx="5943600" cy="2971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971800"/>
                    </a:xfrm>
                    <a:prstGeom prst="rect">
                      <a:avLst/>
                    </a:prstGeom>
                    <a:ln/>
                  </pic:spPr>
                </pic:pic>
              </a:graphicData>
            </a:graphic>
          </wp:inline>
        </w:drawing>
      </w:r>
    </w:p>
    <w:p w14:paraId="2041ACD8" w14:textId="77777777" w:rsidR="00AE5C9F" w:rsidRDefault="00DA4A43">
      <w:pPr>
        <w:spacing w:before="160" w:after="160"/>
        <w:jc w:val="center"/>
      </w:pPr>
      <w:r>
        <w:rPr>
          <w:b/>
        </w:rPr>
        <w:t xml:space="preserve">Figure </w:t>
      </w:r>
      <w:r w:rsidR="005A2992">
        <w:rPr>
          <w:b/>
        </w:rPr>
        <w:t>7</w:t>
      </w:r>
      <w:r>
        <w:t>: Distribution of Fused Signal Post-Fusion and Preprocessing</w:t>
      </w:r>
    </w:p>
    <w:p w14:paraId="1290A6F9" w14:textId="77777777" w:rsidR="00AE5C9F" w:rsidRDefault="00DA4A43">
      <w:pPr>
        <w:spacing w:before="160" w:after="160"/>
      </w:pPr>
      <w:r>
        <w:t>These findings validate the utility of integrating principal component fusion and smoothing filters in enhancing the learning quality from noisy, heterogeneous data streams. Although slight performance dips may be noted in simple error metrics, the overall model resilience and clarity of input trends mark a significant advancement for real-world deployment in unstable grid environments.</w:t>
      </w:r>
    </w:p>
    <w:p w14:paraId="52626364" w14:textId="77777777" w:rsidR="00AE5C9F" w:rsidRDefault="00DA4A43">
      <w:pPr>
        <w:pStyle w:val="Heading3"/>
        <w:keepNext w:val="0"/>
        <w:keepLines w:val="0"/>
        <w:spacing w:before="280"/>
        <w:rPr>
          <w:b/>
        </w:rPr>
      </w:pPr>
      <w:bookmarkStart w:id="11" w:name="_318gieajftay" w:colFirst="0" w:colLast="0"/>
      <w:bookmarkEnd w:id="11"/>
      <w:r>
        <w:rPr>
          <w:b/>
          <w:color w:val="000000"/>
          <w:sz w:val="26"/>
          <w:szCs w:val="26"/>
        </w:rPr>
        <w:t xml:space="preserve">Framework </w:t>
      </w:r>
      <w:r w:rsidR="004A4EB7">
        <w:rPr>
          <w:b/>
          <w:color w:val="000000"/>
          <w:sz w:val="26"/>
          <w:szCs w:val="26"/>
        </w:rPr>
        <w:t xml:space="preserve">Assessment </w:t>
      </w:r>
      <w:r>
        <w:rPr>
          <w:b/>
          <w:color w:val="000000"/>
          <w:sz w:val="26"/>
          <w:szCs w:val="26"/>
        </w:rPr>
        <w:t>with Simulated Datasets</w:t>
      </w:r>
    </w:p>
    <w:p w14:paraId="238BD15D" w14:textId="77777777" w:rsidR="00AE5C9F" w:rsidRDefault="00DA4A43">
      <w:pPr>
        <w:spacing w:before="160" w:after="160"/>
      </w:pPr>
      <w:r>
        <w:t>To assess the robustness of the proposed framework, simulated datasets were generated across various power grid conditions. These included low and high system loads as well as the presence or absence of cybersecurity threats. The performance of the system was evaluated across three critical dimensions: anomaly detection accuracy, data recovery rate following degradation, and system response time.</w:t>
      </w:r>
    </w:p>
    <w:p w14:paraId="45EBB50D" w14:textId="77777777" w:rsidR="00AE5C9F" w:rsidRDefault="00DA4A43">
      <w:pPr>
        <w:spacing w:before="160" w:after="160"/>
      </w:pPr>
      <w:r>
        <w:t>Table 4 summarizes the observed outcomes across the four defined scenarios. Under normal operational states without cyber threats, the framework demonstrated high detection accuracy and optimal data recovery, especially during low-load conditions. However, under cyberattack scenarios, performance exhibited a predictable degradation, though still maintained acceptable thresholds for resilience.</w:t>
      </w:r>
    </w:p>
    <w:p w14:paraId="7E8D8C82" w14:textId="77777777" w:rsidR="00AE5C9F" w:rsidRDefault="00DA4A43">
      <w:pPr>
        <w:spacing w:before="160" w:after="160"/>
      </w:pPr>
      <w:r>
        <w:rPr>
          <w:b/>
        </w:rPr>
        <w:t xml:space="preserve">Table 4: </w:t>
      </w:r>
      <w:r>
        <w:t>Framework Validation Metrics Across Simulated Scenarios</w:t>
      </w:r>
    </w:p>
    <w:tbl>
      <w:tblPr>
        <w:tblStyle w:val="TableGrid"/>
        <w:tblW w:w="8000" w:type="dxa"/>
        <w:tblLayout w:type="fixed"/>
        <w:tblLook w:val="0600" w:firstRow="0" w:lastRow="0" w:firstColumn="0" w:lastColumn="0" w:noHBand="1" w:noVBand="1"/>
      </w:tblPr>
      <w:tblGrid>
        <w:gridCol w:w="1940"/>
        <w:gridCol w:w="1910"/>
        <w:gridCol w:w="1955"/>
        <w:gridCol w:w="2195"/>
      </w:tblGrid>
      <w:tr w:rsidR="00AE5C9F" w14:paraId="4CA61AA0" w14:textId="77777777" w:rsidTr="003C7629">
        <w:trPr>
          <w:trHeight w:val="410"/>
        </w:trPr>
        <w:tc>
          <w:tcPr>
            <w:tcW w:w="1940" w:type="dxa"/>
          </w:tcPr>
          <w:p w14:paraId="175460CC" w14:textId="77777777" w:rsidR="00AE5C9F" w:rsidRDefault="00DA4A43" w:rsidP="003C7629">
            <w:pPr>
              <w:jc w:val="center"/>
            </w:pPr>
            <w:r>
              <w:rPr>
                <w:b/>
              </w:rPr>
              <w:t>Scenario</w:t>
            </w:r>
          </w:p>
        </w:tc>
        <w:tc>
          <w:tcPr>
            <w:tcW w:w="1910" w:type="dxa"/>
          </w:tcPr>
          <w:p w14:paraId="1B123878" w14:textId="77777777" w:rsidR="00AE5C9F" w:rsidRDefault="00DA4A43" w:rsidP="003C7629">
            <w:pPr>
              <w:jc w:val="center"/>
            </w:pPr>
            <w:r>
              <w:rPr>
                <w:b/>
              </w:rPr>
              <w:t>Detection Accuracy (%)</w:t>
            </w:r>
          </w:p>
        </w:tc>
        <w:tc>
          <w:tcPr>
            <w:tcW w:w="1955" w:type="dxa"/>
          </w:tcPr>
          <w:p w14:paraId="250D1C93" w14:textId="77777777" w:rsidR="00AE5C9F" w:rsidRDefault="00DA4A43" w:rsidP="003C7629">
            <w:pPr>
              <w:jc w:val="center"/>
            </w:pPr>
            <w:r>
              <w:rPr>
                <w:b/>
              </w:rPr>
              <w:t>Data Recovery Rate (%)</w:t>
            </w:r>
          </w:p>
        </w:tc>
        <w:tc>
          <w:tcPr>
            <w:tcW w:w="2195" w:type="dxa"/>
          </w:tcPr>
          <w:p w14:paraId="030E0A19" w14:textId="77777777" w:rsidR="00AE5C9F" w:rsidRDefault="00DA4A43" w:rsidP="003C7629">
            <w:pPr>
              <w:jc w:val="center"/>
            </w:pPr>
            <w:r>
              <w:rPr>
                <w:b/>
              </w:rPr>
              <w:t>System Response Time (ms)</w:t>
            </w:r>
          </w:p>
        </w:tc>
      </w:tr>
      <w:tr w:rsidR="00AE5C9F" w14:paraId="6F475B0F" w14:textId="77777777" w:rsidTr="003C7629">
        <w:trPr>
          <w:trHeight w:val="410"/>
        </w:trPr>
        <w:tc>
          <w:tcPr>
            <w:tcW w:w="1940" w:type="dxa"/>
          </w:tcPr>
          <w:p w14:paraId="1B585927" w14:textId="77777777" w:rsidR="00AE5C9F" w:rsidRDefault="00DA4A43" w:rsidP="003C7629">
            <w:r>
              <w:t>Low Load / No Attack</w:t>
            </w:r>
          </w:p>
        </w:tc>
        <w:tc>
          <w:tcPr>
            <w:tcW w:w="1910" w:type="dxa"/>
          </w:tcPr>
          <w:p w14:paraId="2760DC4D" w14:textId="77777777" w:rsidR="00AE5C9F" w:rsidRDefault="00DA4A43" w:rsidP="003C7629">
            <w:r>
              <w:t>97.2</w:t>
            </w:r>
          </w:p>
        </w:tc>
        <w:tc>
          <w:tcPr>
            <w:tcW w:w="1955" w:type="dxa"/>
          </w:tcPr>
          <w:p w14:paraId="49F0331D" w14:textId="77777777" w:rsidR="00AE5C9F" w:rsidRDefault="00DA4A43" w:rsidP="003C7629">
            <w:r>
              <w:t>99.1</w:t>
            </w:r>
          </w:p>
        </w:tc>
        <w:tc>
          <w:tcPr>
            <w:tcW w:w="2195" w:type="dxa"/>
          </w:tcPr>
          <w:p w14:paraId="1EE5C1C5" w14:textId="77777777" w:rsidR="00AE5C9F" w:rsidRDefault="00DA4A43" w:rsidP="003C7629">
            <w:r>
              <w:t>105</w:t>
            </w:r>
          </w:p>
        </w:tc>
      </w:tr>
      <w:tr w:rsidR="00AE5C9F" w14:paraId="02208420" w14:textId="77777777" w:rsidTr="003C7629">
        <w:trPr>
          <w:trHeight w:val="410"/>
        </w:trPr>
        <w:tc>
          <w:tcPr>
            <w:tcW w:w="1940" w:type="dxa"/>
          </w:tcPr>
          <w:p w14:paraId="1F7D4D01" w14:textId="77777777" w:rsidR="00AE5C9F" w:rsidRDefault="00DA4A43" w:rsidP="003C7629">
            <w:r>
              <w:t>High Load / No Attack</w:t>
            </w:r>
          </w:p>
        </w:tc>
        <w:tc>
          <w:tcPr>
            <w:tcW w:w="1910" w:type="dxa"/>
          </w:tcPr>
          <w:p w14:paraId="24FFF143" w14:textId="77777777" w:rsidR="00AE5C9F" w:rsidRDefault="00DA4A43" w:rsidP="003C7629">
            <w:r>
              <w:t>95.4</w:t>
            </w:r>
          </w:p>
        </w:tc>
        <w:tc>
          <w:tcPr>
            <w:tcW w:w="1955" w:type="dxa"/>
          </w:tcPr>
          <w:p w14:paraId="09D75F46" w14:textId="77777777" w:rsidR="00AE5C9F" w:rsidRDefault="00DA4A43" w:rsidP="003C7629">
            <w:r>
              <w:t>98.7</w:t>
            </w:r>
          </w:p>
        </w:tc>
        <w:tc>
          <w:tcPr>
            <w:tcW w:w="2195" w:type="dxa"/>
          </w:tcPr>
          <w:p w14:paraId="266EC24B" w14:textId="77777777" w:rsidR="00AE5C9F" w:rsidRDefault="00DA4A43" w:rsidP="003C7629">
            <w:r>
              <w:t>117</w:t>
            </w:r>
          </w:p>
        </w:tc>
      </w:tr>
      <w:tr w:rsidR="00AE5C9F" w14:paraId="445833FE" w14:textId="77777777" w:rsidTr="003C7629">
        <w:trPr>
          <w:trHeight w:val="410"/>
        </w:trPr>
        <w:tc>
          <w:tcPr>
            <w:tcW w:w="1940" w:type="dxa"/>
          </w:tcPr>
          <w:p w14:paraId="3479810A" w14:textId="77777777" w:rsidR="00AE5C9F" w:rsidRDefault="00DA4A43" w:rsidP="003C7629">
            <w:r>
              <w:lastRenderedPageBreak/>
              <w:t>Low Load / Cyber Attack</w:t>
            </w:r>
          </w:p>
        </w:tc>
        <w:tc>
          <w:tcPr>
            <w:tcW w:w="1910" w:type="dxa"/>
          </w:tcPr>
          <w:p w14:paraId="34582611" w14:textId="77777777" w:rsidR="00AE5C9F" w:rsidRDefault="00DA4A43" w:rsidP="003C7629">
            <w:r>
              <w:t>91.1</w:t>
            </w:r>
          </w:p>
        </w:tc>
        <w:tc>
          <w:tcPr>
            <w:tcW w:w="1955" w:type="dxa"/>
          </w:tcPr>
          <w:p w14:paraId="34B924F5" w14:textId="77777777" w:rsidR="00AE5C9F" w:rsidRDefault="00DA4A43" w:rsidP="003C7629">
            <w:r>
              <w:t>95.4</w:t>
            </w:r>
          </w:p>
        </w:tc>
        <w:tc>
          <w:tcPr>
            <w:tcW w:w="2195" w:type="dxa"/>
          </w:tcPr>
          <w:p w14:paraId="3DCB891F" w14:textId="77777777" w:rsidR="00AE5C9F" w:rsidRDefault="00DA4A43" w:rsidP="003C7629">
            <w:r>
              <w:t>128</w:t>
            </w:r>
          </w:p>
        </w:tc>
      </w:tr>
      <w:tr w:rsidR="00AE5C9F" w14:paraId="0ADFE832" w14:textId="77777777" w:rsidTr="003C7629">
        <w:trPr>
          <w:trHeight w:val="410"/>
        </w:trPr>
        <w:tc>
          <w:tcPr>
            <w:tcW w:w="1940" w:type="dxa"/>
          </w:tcPr>
          <w:p w14:paraId="06CF66ED" w14:textId="77777777" w:rsidR="00AE5C9F" w:rsidRDefault="00DA4A43" w:rsidP="003C7629">
            <w:r>
              <w:t>High Load / Cyber Attack</w:t>
            </w:r>
          </w:p>
        </w:tc>
        <w:tc>
          <w:tcPr>
            <w:tcW w:w="1910" w:type="dxa"/>
          </w:tcPr>
          <w:p w14:paraId="5DAC48CB" w14:textId="77777777" w:rsidR="00AE5C9F" w:rsidRDefault="00DA4A43" w:rsidP="003C7629">
            <w:r>
              <w:t>88.6</w:t>
            </w:r>
          </w:p>
        </w:tc>
        <w:tc>
          <w:tcPr>
            <w:tcW w:w="1955" w:type="dxa"/>
          </w:tcPr>
          <w:p w14:paraId="35718484" w14:textId="77777777" w:rsidR="00AE5C9F" w:rsidRDefault="00DA4A43" w:rsidP="003C7629">
            <w:r>
              <w:t>94.2</w:t>
            </w:r>
          </w:p>
        </w:tc>
        <w:tc>
          <w:tcPr>
            <w:tcW w:w="2195" w:type="dxa"/>
          </w:tcPr>
          <w:p w14:paraId="5EF57D97" w14:textId="77777777" w:rsidR="00AE5C9F" w:rsidRDefault="00DA4A43" w:rsidP="003C7629">
            <w:r>
              <w:t>144</w:t>
            </w:r>
          </w:p>
        </w:tc>
      </w:tr>
    </w:tbl>
    <w:p w14:paraId="4ADB6D93" w14:textId="77777777" w:rsidR="00AE5C9F" w:rsidRDefault="00DA4A43">
      <w:pPr>
        <w:spacing w:before="160" w:after="160"/>
      </w:pPr>
      <w:r>
        <w:t xml:space="preserve">Figure </w:t>
      </w:r>
      <w:r w:rsidR="005A2992">
        <w:t>8</w:t>
      </w:r>
      <w:r>
        <w:t xml:space="preserve"> uses a radar chart to visualize the absolute performance across the three metrics for each scenario. The symmetrical structure in low-load, non-attacked environments underscores the framework's ideal performance envelope. Contrastingly, the shape distortion observed under high-load cyberattack conditions reflects the framework’s adaptive responses to more adversarial environments.</w:t>
      </w:r>
    </w:p>
    <w:p w14:paraId="5F078F12" w14:textId="77777777" w:rsidR="00AE5C9F" w:rsidRDefault="00DA4A43">
      <w:pPr>
        <w:spacing w:before="160" w:after="160"/>
        <w:jc w:val="center"/>
      </w:pPr>
      <w:r>
        <w:rPr>
          <w:noProof/>
          <w:lang w:val="en-US"/>
        </w:rPr>
        <w:drawing>
          <wp:inline distT="114300" distB="114300" distL="114300" distR="114300" wp14:anchorId="1931E731" wp14:editId="2A7F0A5C">
            <wp:extent cx="4167188" cy="41671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167188" cy="4167188"/>
                    </a:xfrm>
                    <a:prstGeom prst="rect">
                      <a:avLst/>
                    </a:prstGeom>
                    <a:ln/>
                  </pic:spPr>
                </pic:pic>
              </a:graphicData>
            </a:graphic>
          </wp:inline>
        </w:drawing>
      </w:r>
    </w:p>
    <w:p w14:paraId="40088A3E" w14:textId="77777777" w:rsidR="00AE5C9F" w:rsidRDefault="00DA4A43">
      <w:pPr>
        <w:spacing w:before="160" w:after="160"/>
        <w:jc w:val="center"/>
      </w:pPr>
      <w:r>
        <w:rPr>
          <w:b/>
        </w:rPr>
        <w:t xml:space="preserve">Figure </w:t>
      </w:r>
      <w:r w:rsidR="005A2992">
        <w:rPr>
          <w:b/>
        </w:rPr>
        <w:t>8</w:t>
      </w:r>
      <w:r>
        <w:rPr>
          <w:b/>
        </w:rPr>
        <w:t xml:space="preserve">: </w:t>
      </w:r>
      <w:r>
        <w:t>Performance Metrics Comparison Across Simulated Scenarios</w:t>
      </w:r>
    </w:p>
    <w:p w14:paraId="22AC4B29" w14:textId="77777777" w:rsidR="00AE5C9F" w:rsidRDefault="00DA4A43">
      <w:pPr>
        <w:spacing w:before="160" w:after="160"/>
      </w:pPr>
      <w:r>
        <w:t xml:space="preserve">Figure </w:t>
      </w:r>
      <w:r w:rsidR="005A2992">
        <w:t>9</w:t>
      </w:r>
      <w:r>
        <w:t xml:space="preserve"> provides a bump chart that ranks scenario-specific performance per metric. The clear separation of ranks between non-attack and attack conditions further supports the observation that system performance is contingent upon environmental stressors, thereby validating the need for adaptive mechanisms integrated into the framework.</w:t>
      </w:r>
    </w:p>
    <w:p w14:paraId="46CC272E" w14:textId="77777777" w:rsidR="00AE5C9F" w:rsidRDefault="00DA4A43">
      <w:pPr>
        <w:spacing w:before="160" w:after="160"/>
        <w:jc w:val="center"/>
      </w:pPr>
      <w:r>
        <w:rPr>
          <w:noProof/>
          <w:lang w:val="en-US"/>
        </w:rPr>
        <w:lastRenderedPageBreak/>
        <w:drawing>
          <wp:inline distT="114300" distB="114300" distL="114300" distR="114300" wp14:anchorId="66BD30CE" wp14:editId="03063052">
            <wp:extent cx="5943600" cy="3568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w14:paraId="2107EDE6" w14:textId="77777777" w:rsidR="00AE5C9F" w:rsidRDefault="00DA4A43">
      <w:pPr>
        <w:spacing w:before="160" w:after="160"/>
        <w:jc w:val="center"/>
      </w:pPr>
      <w:r>
        <w:rPr>
          <w:b/>
        </w:rPr>
        <w:t xml:space="preserve">Figure </w:t>
      </w:r>
      <w:r w:rsidR="005A2992">
        <w:rPr>
          <w:b/>
        </w:rPr>
        <w:t>9</w:t>
      </w:r>
      <w:r>
        <w:rPr>
          <w:b/>
        </w:rPr>
        <w:t xml:space="preserve">: </w:t>
      </w:r>
      <w:r>
        <w:t>Scenario Rankings by Metric Performance</w:t>
      </w:r>
    </w:p>
    <w:p w14:paraId="483E5065" w14:textId="77777777" w:rsidR="00AE5C9F" w:rsidRDefault="00DA4A43">
      <w:pPr>
        <w:spacing w:before="160" w:after="160"/>
      </w:pPr>
      <w:r>
        <w:t>These results affirm the framework’s scalability and integrity under both ideal and compromised states, supporting its applicability for real-time operational deployment in heterogeneous and threat-prone energy infrastructures.</w:t>
      </w:r>
    </w:p>
    <w:p w14:paraId="199F033E" w14:textId="77777777" w:rsidR="00AE5C9F" w:rsidRDefault="00DA4A43">
      <w:pPr>
        <w:spacing w:before="160" w:after="160"/>
      </w:pPr>
      <w:r>
        <w:rPr>
          <w:b/>
        </w:rPr>
        <w:t>Discussion</w:t>
      </w:r>
      <w:r>
        <w:t xml:space="preserve"> </w:t>
      </w:r>
    </w:p>
    <w:p w14:paraId="044C1F1E" w14:textId="77777777" w:rsidR="00AE5C9F" w:rsidRDefault="00DA4A43" w:rsidP="00DA4A43">
      <w:pPr>
        <w:spacing w:before="160" w:after="160"/>
        <w:jc w:val="both"/>
      </w:pPr>
      <w:r>
        <w:t>The outcomes of this research underscore the necessity for a paradigm shift from model-centric to data-centric frameworks in zero-carbon power systems. The ability of the proposed artificial intelligence (AI) framework to reconstruct coherent signal structures from degraded, noisy, and incomplete datasets validates its practical viability in real-world operational environments. This aligns with Aslam et al. (2025), who argue that many energy systems suffer from inconsistent data, which compromises the reliability of conventional AI models. By employing spectral decomposition techniques, the study not only mitigates this issue but also enables the extraction of actionable insights from imperfect data inputs. The strong preservation of trend integrity, despite high RMSE values, reflects robustness under challenging data conditions, an assertion further</w:t>
      </w:r>
      <w:r w:rsidR="005A2992">
        <w:t xml:space="preserve"> supported visually by Figure 2 </w:t>
      </w:r>
      <w:r>
        <w:t xml:space="preserve">and Figure </w:t>
      </w:r>
      <w:r w:rsidR="005A2992">
        <w:t>3</w:t>
      </w:r>
      <w:r>
        <w:t>, where structured reconstruction is evident even in the presence of sparse inputs.</w:t>
      </w:r>
    </w:p>
    <w:p w14:paraId="77528136" w14:textId="77777777" w:rsidR="00AE5C9F" w:rsidRDefault="00DA4A43" w:rsidP="00DA4A43">
      <w:pPr>
        <w:spacing w:before="160" w:after="160"/>
        <w:jc w:val="both"/>
      </w:pPr>
      <w:r>
        <w:t xml:space="preserve">The exceptional detection accuracy observed in the anomaly detection phase further demonstrates the integration of cybersecurity resilience into the operational core of energy management systems. Consistent with the findings of Diaba et al. (2024) and Ryu et al. (2024), the graph-based model embedded within the AI framework effectively isolates compromised nodes without false positives, a critical performance benchmark in volatile grid environments. The spatial and topological intelligence encoded into the framework, as depicted in Figure </w:t>
      </w:r>
      <w:r w:rsidR="005A2992">
        <w:t>4</w:t>
      </w:r>
      <w:r>
        <w:t xml:space="preserve"> and </w:t>
      </w:r>
      <w:r w:rsidR="005A2992">
        <w:lastRenderedPageBreak/>
        <w:t>Figure 5</w:t>
      </w:r>
      <w:r>
        <w:t>, reflects a sophisticated, adaptive security mechanism that goes beyond static rule-based detection. This not only affirms Mohamed’s (2025) critique of traditional systems' inability to detect novel threats but also answers the call by Olaniyi et al. (2024) for systems that continuously learn and adapt to evolving attack vectors.</w:t>
      </w:r>
    </w:p>
    <w:p w14:paraId="3333E11D" w14:textId="77777777" w:rsidR="00AE5C9F" w:rsidRDefault="00DA4A43" w:rsidP="00DA4A43">
      <w:pPr>
        <w:spacing w:before="160" w:after="160"/>
        <w:jc w:val="both"/>
      </w:pPr>
      <w:r>
        <w:t xml:space="preserve">The integration of data fusion and preprocessing strategies revealed a nuanced trade-off between noise suppression and error minimization. While post-processing RMSE increased slightly, this outcome is emblematic of a transition to more generalizable and stable learning environments. Mienye and Swart (2025) emphasize that noise filtering must balance accuracy with signal integrity, a principle clearly achieved through the application of principal component analysis and Kalman filtering in this study. Figure </w:t>
      </w:r>
      <w:r w:rsidR="005A2992">
        <w:t>6</w:t>
      </w:r>
      <w:r>
        <w:t xml:space="preserve"> and Figure </w:t>
      </w:r>
      <w:r w:rsidR="005A2992">
        <w:t>7</w:t>
      </w:r>
      <w:r>
        <w:t xml:space="preserve"> confirm that although certain micro-fluctuations are dampened, the resultant signals support stronger model convergence and reduced volatility, both of which are prerequisites for real-time deployment in dynamic power networks.</w:t>
      </w:r>
    </w:p>
    <w:p w14:paraId="684FEFF9" w14:textId="77777777" w:rsidR="00AE5C9F" w:rsidRDefault="00DA4A43" w:rsidP="00DA4A43">
      <w:pPr>
        <w:spacing w:before="160" w:after="160"/>
        <w:jc w:val="both"/>
      </w:pPr>
      <w:r>
        <w:t xml:space="preserve">Moreover, the framework’s validation across diverse operational scenarios illustrates its resilience and adaptability. Even under high-load cyberattack conditions, performance metrics such as detection accuracy and data recovery rate remained within acceptable operational thresholds. This capability reflects the principles described by Longo et al. (2024), who advocate for AI architectures that remain functional under stress and evolve based on incoming threat patterns. The performance stability evidenced in Figure </w:t>
      </w:r>
      <w:r w:rsidR="005A2992">
        <w:t>8</w:t>
      </w:r>
      <w:r>
        <w:t xml:space="preserve"> and the rank consistency portrayed in Figure </w:t>
      </w:r>
      <w:r w:rsidR="005A2992">
        <w:t>9</w:t>
      </w:r>
      <w:r>
        <w:t xml:space="preserve"> confirm the framework’s robustness and scalability, marking it as a viable candidate for widespread integration into zero-carbon infrastructure.</w:t>
      </w:r>
    </w:p>
    <w:p w14:paraId="5DB60683" w14:textId="77777777" w:rsidR="00AE5C9F" w:rsidRDefault="00DA4A43" w:rsidP="00DA4A43">
      <w:pPr>
        <w:spacing w:before="160" w:after="160"/>
        <w:jc w:val="both"/>
      </w:pPr>
      <w:r>
        <w:t>These findings substantiate the proposed AI framework as not only an analytical tool but also a strategic asset for energy system operators seeking to balance data inconsistency with heightened security demands. By embedding adaptive, data-quality-focused intelligence into energy systems, the framework addresses the triadic challenge of data noise, cybersecurity vulnerability, and operational unpredictability identified by Qamar and Bawany (2023), Kolo et al. (2025), and Ejiofor et al. (2025). Its demonstrated capacity to operate effectively under imperfect data conditions</w:t>
      </w:r>
      <w:r w:rsidR="004321B9">
        <w:t xml:space="preserve"> </w:t>
      </w:r>
      <w:r>
        <w:t>without compromising on security or learning performance</w:t>
      </w:r>
      <w:r w:rsidR="004321B9">
        <w:t xml:space="preserve"> </w:t>
      </w:r>
      <w:r>
        <w:t>redefines the boundaries of what AI systems can achieve in the sustainable energy sector.</w:t>
      </w:r>
    </w:p>
    <w:p w14:paraId="2B24AE60" w14:textId="77777777" w:rsidR="00AE5C9F" w:rsidRDefault="00F87829" w:rsidP="00DA4A43">
      <w:pPr>
        <w:spacing w:before="160" w:after="160"/>
        <w:jc w:val="both"/>
        <w:rPr>
          <w:b/>
        </w:rPr>
      </w:pPr>
      <w:r>
        <w:rPr>
          <w:b/>
        </w:rPr>
        <w:t xml:space="preserve">5. </w:t>
      </w:r>
      <w:r w:rsidR="00DA4A43">
        <w:rPr>
          <w:b/>
        </w:rPr>
        <w:t>Conclusion and Recommendation</w:t>
      </w:r>
    </w:p>
    <w:p w14:paraId="39426A19" w14:textId="77777777" w:rsidR="00AE5C9F" w:rsidRDefault="00DA4A43" w:rsidP="00DA4A43">
      <w:pPr>
        <w:spacing w:before="160" w:after="160"/>
        <w:jc w:val="both"/>
      </w:pPr>
      <w:r>
        <w:t>This study affirms that a data-centric AI framework can reliably manage the dual challenges of noisy data and cybersecurity threats in zero-carbon power systems. By demonstrating consistent analytical performance across varied conditions, the framework proves essential for future-ready energy infrastructures. The findings provide a strong basis for actionable guidance:</w:t>
      </w:r>
    </w:p>
    <w:p w14:paraId="43ED1706" w14:textId="77777777" w:rsidR="00AE5C9F" w:rsidRDefault="00DA4A43" w:rsidP="00DA4A43">
      <w:pPr>
        <w:numPr>
          <w:ilvl w:val="0"/>
          <w:numId w:val="1"/>
        </w:numPr>
        <w:spacing w:before="160"/>
        <w:jc w:val="both"/>
      </w:pPr>
      <w:r>
        <w:t>Regulatory bodies should mandate the integration of data-quality enhancement protocols within AI systems deployed in critical energy sectors.</w:t>
      </w:r>
      <w:r>
        <w:br/>
      </w:r>
    </w:p>
    <w:p w14:paraId="79992821" w14:textId="77777777" w:rsidR="00AE5C9F" w:rsidRDefault="00DA4A43" w:rsidP="00DA4A43">
      <w:pPr>
        <w:numPr>
          <w:ilvl w:val="0"/>
          <w:numId w:val="1"/>
        </w:numPr>
        <w:jc w:val="both"/>
      </w:pPr>
      <w:r>
        <w:t xml:space="preserve">Grid operators must prioritize adaptive anomaly detection models that use graph-based analytics for topological </w:t>
      </w:r>
      <w:r w:rsidR="00313BF7">
        <w:t xml:space="preserve">Based on the empirical insights obtained from the PCA and anomaly detection analysis, a standardized and adaptable framework was designed to guide the integration of AI into e-commerce platforms for real-time compliance and risk </w:t>
      </w:r>
      <w:r w:rsidR="00313BF7">
        <w:lastRenderedPageBreak/>
        <w:t>monitoring. The framework comprises seven core components</w:t>
      </w:r>
      <w:r w:rsidR="004321B9">
        <w:t xml:space="preserve"> </w:t>
      </w:r>
      <w:r w:rsidR="00313BF7">
        <w:t>data ingestion, feature engineering, anomaly detection, behavioral modeling, dimensionality reduction, visualization via dashboards, and expert oversight. Each layer addresses a specific operational need, from detecting irregular patterns to validating compliance risk models. The proposed architecture is visualized in Figure X</w:t>
      </w:r>
      <w:r>
        <w:t>Energy technology developers should embed data fusion and contextual preprocessing tools into AI pipelines to ensure model resilience.</w:t>
      </w:r>
      <w:r>
        <w:br/>
      </w:r>
    </w:p>
    <w:p w14:paraId="03A569DC" w14:textId="77777777" w:rsidR="00AE5C9F" w:rsidRDefault="00DA4A43" w:rsidP="00DA4A43">
      <w:pPr>
        <w:numPr>
          <w:ilvl w:val="0"/>
          <w:numId w:val="1"/>
        </w:numPr>
        <w:spacing w:after="160"/>
        <w:jc w:val="both"/>
      </w:pPr>
      <w:r>
        <w:t>Policymakers must incentivize cross-sector collaboration for standardizing data-centric AI protocols that enhance operational continuity and infrastructure security.</w:t>
      </w:r>
    </w:p>
    <w:p w14:paraId="7BDAD7BD" w14:textId="77777777" w:rsidR="00AE5C9F" w:rsidRDefault="00AE5C9F">
      <w:pPr>
        <w:spacing w:before="160" w:after="160"/>
      </w:pPr>
    </w:p>
    <w:p w14:paraId="15935E0E" w14:textId="77777777" w:rsidR="00AE5C9F" w:rsidRDefault="00AE5C9F">
      <w:pPr>
        <w:spacing w:before="160" w:after="160"/>
      </w:pPr>
    </w:p>
    <w:p w14:paraId="518C043E" w14:textId="77777777" w:rsidR="00AE5C9F" w:rsidRDefault="00AE5C9F">
      <w:pPr>
        <w:spacing w:before="160" w:after="160"/>
      </w:pPr>
    </w:p>
    <w:p w14:paraId="038BB178" w14:textId="77777777" w:rsidR="00AE5C9F" w:rsidRDefault="00AE5C9F">
      <w:pPr>
        <w:spacing w:before="160" w:after="160"/>
      </w:pPr>
    </w:p>
    <w:p w14:paraId="2123EE23" w14:textId="77777777" w:rsidR="00AE5C9F" w:rsidRDefault="00AE5C9F">
      <w:pPr>
        <w:spacing w:before="160" w:after="160"/>
      </w:pPr>
    </w:p>
    <w:p w14:paraId="7A736843" w14:textId="77777777" w:rsidR="00DC4940" w:rsidRDefault="00DC4940">
      <w:pPr>
        <w:rPr>
          <w:b/>
          <w:sz w:val="24"/>
          <w:szCs w:val="24"/>
        </w:rPr>
      </w:pPr>
      <w:bookmarkStart w:id="12" w:name="_ag2cuhmiaxzh" w:colFirst="0" w:colLast="0"/>
      <w:bookmarkEnd w:id="12"/>
      <w:r>
        <w:rPr>
          <w:b/>
          <w:sz w:val="24"/>
          <w:szCs w:val="24"/>
        </w:rPr>
        <w:br w:type="page"/>
      </w:r>
    </w:p>
    <w:p w14:paraId="3873D158" w14:textId="77777777" w:rsidR="00AE5C9F" w:rsidRDefault="00DA4A43">
      <w:pPr>
        <w:pStyle w:val="Heading1"/>
        <w:keepNext w:val="0"/>
        <w:keepLines w:val="0"/>
        <w:spacing w:before="0" w:after="0" w:line="480" w:lineRule="auto"/>
        <w:jc w:val="center"/>
        <w:rPr>
          <w:b/>
          <w:sz w:val="24"/>
          <w:szCs w:val="24"/>
        </w:rPr>
      </w:pPr>
      <w:r>
        <w:rPr>
          <w:b/>
          <w:sz w:val="24"/>
          <w:szCs w:val="24"/>
        </w:rPr>
        <w:lastRenderedPageBreak/>
        <w:t>References</w:t>
      </w:r>
    </w:p>
    <w:p w14:paraId="4E32F250" w14:textId="77777777" w:rsidR="00AE5C9F" w:rsidRPr="004321B9" w:rsidRDefault="00DA4A43" w:rsidP="004321B9">
      <w:pPr>
        <w:spacing w:after="240"/>
        <w:ind w:left="900" w:hanging="900"/>
        <w:rPr>
          <w:sz w:val="24"/>
          <w:szCs w:val="24"/>
        </w:rPr>
      </w:pPr>
      <w:proofErr w:type="spellStart"/>
      <w:r w:rsidRPr="004321B9">
        <w:rPr>
          <w:sz w:val="24"/>
          <w:szCs w:val="24"/>
        </w:rPr>
        <w:t>Adesokan</w:t>
      </w:r>
      <w:proofErr w:type="spellEnd"/>
      <w:r w:rsidRPr="004321B9">
        <w:rPr>
          <w:sz w:val="24"/>
          <w:szCs w:val="24"/>
        </w:rPr>
        <w:t xml:space="preserve">-Imran, T. O., Popoola, A. D., Ejiofor, V. O., Salako, A. O., &amp; Onyenaucheya, O. S. (2025). Predictive Cybersecurity Risk Modeling in Healthcare by Leveraging AI and Machine Learning for Proactive Threat Detection.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(4), 144–165. https://doi.org/10.9734/jerr/2025/v27i41463</w:t>
      </w:r>
    </w:p>
    <w:p w14:paraId="1386BCA2" w14:textId="77777777" w:rsidR="00AE5C9F" w:rsidRPr="004321B9" w:rsidRDefault="00DA4A43" w:rsidP="004321B9">
      <w:pPr>
        <w:spacing w:after="240"/>
        <w:ind w:left="900" w:hanging="900"/>
        <w:rPr>
          <w:sz w:val="24"/>
          <w:szCs w:val="24"/>
        </w:rPr>
      </w:pPr>
      <w:r w:rsidRPr="004321B9">
        <w:rPr>
          <w:sz w:val="24"/>
          <w:szCs w:val="24"/>
        </w:rPr>
        <w:t xml:space="preserve">Adesokan-Imran, T. O., Popoola, A. D., Kolo, F. H. O., Ejiofor, V. O., &amp; Salami, I. A. (2025). Cybersecurity Risk Stratification Framework Using Multilevel Clustering: An Automated Threat Attribution and Categorization Approach for Cross-industry Cybersecurity.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(4), 241–263. https://doi.org/10.9734/jerr/2025/v27i41469</w:t>
      </w:r>
    </w:p>
    <w:p w14:paraId="32FF56F6" w14:textId="77777777" w:rsidR="00AE5C9F" w:rsidRPr="004321B9" w:rsidRDefault="00DA4A43" w:rsidP="004321B9">
      <w:pPr>
        <w:spacing w:after="240"/>
        <w:ind w:left="900" w:hanging="900"/>
        <w:rPr>
          <w:sz w:val="24"/>
          <w:szCs w:val="24"/>
        </w:rPr>
      </w:pPr>
      <w:r w:rsidRPr="004321B9">
        <w:rPr>
          <w:sz w:val="24"/>
          <w:szCs w:val="24"/>
        </w:rPr>
        <w:t xml:space="preserve">Ahmed, S. F., Bin, S., Hassan, M., Rozbu, M. R., Ishtiak, T., Rafa, N., Mofijur, M., Ali, &amp; Gandomi, A. H. (2023). Deep learning modelling techniques: current progress, applications, advantages, and challenges. </w:t>
      </w:r>
      <w:r w:rsidRPr="004321B9">
        <w:rPr>
          <w:i/>
          <w:sz w:val="24"/>
          <w:szCs w:val="24"/>
        </w:rPr>
        <w:t>Artificial Intelligence Review</w:t>
      </w:r>
      <w:r w:rsidRPr="004321B9">
        <w:rPr>
          <w:sz w:val="24"/>
          <w:szCs w:val="24"/>
        </w:rPr>
        <w:t xml:space="preserve">, </w:t>
      </w:r>
      <w:r w:rsidRPr="004321B9">
        <w:rPr>
          <w:i/>
          <w:sz w:val="24"/>
          <w:szCs w:val="24"/>
        </w:rPr>
        <w:t>56</w:t>
      </w:r>
      <w:r w:rsidRPr="004321B9">
        <w:rPr>
          <w:sz w:val="24"/>
          <w:szCs w:val="24"/>
        </w:rPr>
        <w:t>(1). https://doi.org/10.1007/s10462-023-10466-8</w:t>
      </w:r>
    </w:p>
    <w:p w14:paraId="08B7F97B" w14:textId="77777777" w:rsidR="00AE5C9F" w:rsidRPr="004321B9" w:rsidRDefault="00DA4A43" w:rsidP="004321B9">
      <w:pPr>
        <w:spacing w:after="240"/>
        <w:ind w:left="900" w:hanging="900"/>
        <w:rPr>
          <w:sz w:val="24"/>
          <w:szCs w:val="24"/>
        </w:rPr>
      </w:pPr>
      <w:r w:rsidRPr="004321B9">
        <w:rPr>
          <w:sz w:val="24"/>
          <w:szCs w:val="24"/>
        </w:rPr>
        <w:t xml:space="preserve">Alam, M. M., Hossain, M. J., Habib, M. A., Arafat, M. Y., &amp; Hannan, M. A. (2025). Artificial intelligence integrated grid systems: Technologies, potential frameworks, challenges, and research directions. </w:t>
      </w:r>
      <w:r w:rsidRPr="004321B9">
        <w:rPr>
          <w:i/>
          <w:sz w:val="24"/>
          <w:szCs w:val="24"/>
        </w:rPr>
        <w:t>Renewable and Sustainable Energy Reviews</w:t>
      </w:r>
      <w:r w:rsidRPr="004321B9">
        <w:rPr>
          <w:sz w:val="24"/>
          <w:szCs w:val="24"/>
        </w:rPr>
        <w:t xml:space="preserve">, </w:t>
      </w:r>
      <w:r w:rsidRPr="004321B9">
        <w:rPr>
          <w:i/>
          <w:sz w:val="24"/>
          <w:szCs w:val="24"/>
        </w:rPr>
        <w:t>211</w:t>
      </w:r>
      <w:r w:rsidRPr="004321B9">
        <w:rPr>
          <w:sz w:val="24"/>
          <w:szCs w:val="24"/>
        </w:rPr>
        <w:t>, 115251. https://doi.org/10.1016/j.rser.2024.115251</w:t>
      </w:r>
    </w:p>
    <w:p w14:paraId="14EA9C8F" w14:textId="77777777" w:rsidR="00AE5C9F" w:rsidRPr="004321B9" w:rsidRDefault="00DA4A43" w:rsidP="004321B9">
      <w:pPr>
        <w:spacing w:after="240"/>
        <w:ind w:left="900" w:hanging="900"/>
        <w:rPr>
          <w:sz w:val="24"/>
          <w:szCs w:val="24"/>
        </w:rPr>
      </w:pPr>
      <w:r w:rsidRPr="004321B9">
        <w:rPr>
          <w:sz w:val="24"/>
          <w:szCs w:val="24"/>
        </w:rPr>
        <w:t xml:space="preserve">Albahri, A. S., Khaleel, Y. L., Habeeb, M. A., Ismael, R. D., Hameed, Q. A., Deveci, M., Homod, R. Z., Albahri, O. S., Alamoodi, A. H., &amp; Alzubaidi, L. (2024). A systematic review of trustworthy artificial intelligence applications in natural disasters. </w:t>
      </w:r>
      <w:r w:rsidRPr="004321B9">
        <w:rPr>
          <w:i/>
          <w:sz w:val="24"/>
          <w:szCs w:val="24"/>
        </w:rPr>
        <w:t>Computers &amp; Electrical Engineering</w:t>
      </w:r>
      <w:r w:rsidRPr="004321B9">
        <w:rPr>
          <w:sz w:val="24"/>
          <w:szCs w:val="24"/>
        </w:rPr>
        <w:t xml:space="preserve">, </w:t>
      </w:r>
      <w:r w:rsidRPr="004321B9">
        <w:rPr>
          <w:i/>
          <w:sz w:val="24"/>
          <w:szCs w:val="24"/>
        </w:rPr>
        <w:t>118</w:t>
      </w:r>
      <w:r w:rsidRPr="004321B9">
        <w:rPr>
          <w:sz w:val="24"/>
          <w:szCs w:val="24"/>
        </w:rPr>
        <w:t>, 109409–109409. https://doi.org/10.1016/j.compeleceng.2024.109409</w:t>
      </w:r>
    </w:p>
    <w:p w14:paraId="0784C842" w14:textId="77777777" w:rsidR="00AE5C9F" w:rsidRPr="004321B9" w:rsidRDefault="00DA4A43" w:rsidP="004321B9">
      <w:pPr>
        <w:spacing w:after="240"/>
        <w:ind w:left="900" w:hanging="900"/>
        <w:rPr>
          <w:sz w:val="24"/>
          <w:szCs w:val="24"/>
        </w:rPr>
      </w:pPr>
      <w:r w:rsidRPr="004321B9">
        <w:rPr>
          <w:sz w:val="24"/>
          <w:szCs w:val="24"/>
        </w:rPr>
        <w:t xml:space="preserve">Amos, Z. (2025, March 21). </w:t>
      </w:r>
      <w:r w:rsidRPr="004321B9">
        <w:rPr>
          <w:i/>
          <w:sz w:val="24"/>
          <w:szCs w:val="24"/>
        </w:rPr>
        <w:t>9 SCADA System Vulnerabilities and How to Secure Them</w:t>
      </w:r>
      <w:r w:rsidRPr="004321B9">
        <w:rPr>
          <w:sz w:val="24"/>
          <w:szCs w:val="24"/>
        </w:rPr>
        <w:t>. Isa.org; ISA Global Cybersecurity Alliance. https://gca.isa.org/blog/9-scada-system-vulnerabilities-and-how-to-secure-them?hs_amp=true</w:t>
      </w:r>
    </w:p>
    <w:p w14:paraId="0C034932" w14:textId="77777777" w:rsidR="00AE5C9F" w:rsidRPr="004321B9" w:rsidRDefault="00DA4A43" w:rsidP="004321B9">
      <w:pPr>
        <w:spacing w:after="240"/>
        <w:ind w:left="900" w:hanging="900"/>
        <w:rPr>
          <w:sz w:val="24"/>
          <w:szCs w:val="24"/>
        </w:rPr>
      </w:pPr>
      <w:r w:rsidRPr="004321B9">
        <w:rPr>
          <w:sz w:val="24"/>
          <w:szCs w:val="24"/>
        </w:rPr>
        <w:t xml:space="preserve">Aslam, S., Aung, P. P., Rafsanjani, A. S., &amp; Majeed, A. P. P. A. (2025). Machine learning applications in energy systems: current trends, challenges, and research directions. </w:t>
      </w:r>
      <w:r w:rsidRPr="004321B9">
        <w:rPr>
          <w:i/>
          <w:sz w:val="24"/>
          <w:szCs w:val="24"/>
        </w:rPr>
        <w:t>Energy Informatics</w:t>
      </w:r>
      <w:r w:rsidRPr="004321B9">
        <w:rPr>
          <w:sz w:val="24"/>
          <w:szCs w:val="24"/>
        </w:rPr>
        <w:t xml:space="preserve">, </w:t>
      </w:r>
      <w:r w:rsidRPr="004321B9">
        <w:rPr>
          <w:i/>
          <w:sz w:val="24"/>
          <w:szCs w:val="24"/>
        </w:rPr>
        <w:t>8</w:t>
      </w:r>
      <w:r w:rsidRPr="004321B9">
        <w:rPr>
          <w:sz w:val="24"/>
          <w:szCs w:val="24"/>
        </w:rPr>
        <w:t>(1). https://doi.org/10.1186/s42162-025-00524-6</w:t>
      </w:r>
    </w:p>
    <w:p w14:paraId="751BC5FF" w14:textId="77777777" w:rsidR="00AE5C9F" w:rsidRPr="004321B9" w:rsidRDefault="00DA4A43" w:rsidP="004321B9">
      <w:pPr>
        <w:spacing w:after="240"/>
        <w:ind w:left="900" w:hanging="900"/>
        <w:rPr>
          <w:sz w:val="24"/>
          <w:szCs w:val="24"/>
        </w:rPr>
      </w:pPr>
      <w:r w:rsidRPr="004321B9">
        <w:rPr>
          <w:sz w:val="24"/>
          <w:szCs w:val="24"/>
        </w:rPr>
        <w:t xml:space="preserve">Baho, S. A., &amp; Abawajy, J. (2023). Analysis of Consumer IoT Device Vulnerability Quantification Frameworks. </w:t>
      </w:r>
      <w:r w:rsidRPr="004321B9">
        <w:rPr>
          <w:i/>
          <w:sz w:val="24"/>
          <w:szCs w:val="24"/>
        </w:rPr>
        <w:t>Electronics</w:t>
      </w:r>
      <w:r w:rsidRPr="004321B9">
        <w:rPr>
          <w:sz w:val="24"/>
          <w:szCs w:val="24"/>
        </w:rPr>
        <w:t xml:space="preserve">, </w:t>
      </w:r>
      <w:r w:rsidRPr="004321B9">
        <w:rPr>
          <w:i/>
          <w:sz w:val="24"/>
          <w:szCs w:val="24"/>
        </w:rPr>
        <w:t>12</w:t>
      </w:r>
      <w:r w:rsidRPr="004321B9">
        <w:rPr>
          <w:sz w:val="24"/>
          <w:szCs w:val="24"/>
        </w:rPr>
        <w:t>(5), 1176. https://doi.org/10.3390/electronics12051176</w:t>
      </w:r>
    </w:p>
    <w:p w14:paraId="4587C8BD" w14:textId="77777777" w:rsidR="00AE5C9F" w:rsidRPr="004321B9" w:rsidRDefault="00DA4A43" w:rsidP="004321B9">
      <w:pPr>
        <w:spacing w:after="240"/>
        <w:ind w:left="900" w:hanging="900"/>
        <w:rPr>
          <w:sz w:val="24"/>
          <w:szCs w:val="24"/>
        </w:rPr>
      </w:pPr>
      <w:r w:rsidRPr="004321B9">
        <w:rPr>
          <w:sz w:val="24"/>
          <w:szCs w:val="24"/>
        </w:rPr>
        <w:lastRenderedPageBreak/>
        <w:t xml:space="preserve">Balogun, A. Y., Olaniyi, O. O., &amp; Alao, A. I. (2025). Shaping trust and tension: Strategic leaks and their impact on global cybersecurity norms. </w:t>
      </w:r>
      <w:r w:rsidRPr="004321B9">
        <w:rPr>
          <w:i/>
          <w:sz w:val="24"/>
          <w:szCs w:val="24"/>
        </w:rPr>
        <w:t>International Journal of Applied Research in Social Sciences</w:t>
      </w:r>
      <w:r w:rsidRPr="004321B9">
        <w:rPr>
          <w:sz w:val="24"/>
          <w:szCs w:val="24"/>
        </w:rPr>
        <w:t xml:space="preserve">, </w:t>
      </w:r>
      <w:r w:rsidRPr="004321B9">
        <w:rPr>
          <w:i/>
          <w:sz w:val="24"/>
          <w:szCs w:val="24"/>
        </w:rPr>
        <w:t>7</w:t>
      </w:r>
      <w:r w:rsidRPr="004321B9">
        <w:rPr>
          <w:sz w:val="24"/>
          <w:szCs w:val="24"/>
        </w:rPr>
        <w:t>(3), 123–144. https://doi.org/10.51594/ijarss.v7i3.1823</w:t>
      </w:r>
    </w:p>
    <w:p w14:paraId="052CD34E" w14:textId="77777777" w:rsidR="00AE5C9F" w:rsidRPr="004321B9" w:rsidRDefault="00DA4A43" w:rsidP="004321B9">
      <w:pPr>
        <w:spacing w:after="240"/>
        <w:ind w:left="900" w:hanging="900"/>
        <w:rPr>
          <w:sz w:val="24"/>
          <w:szCs w:val="24"/>
        </w:rPr>
      </w:pPr>
      <w:r w:rsidRPr="004321B9">
        <w:rPr>
          <w:sz w:val="24"/>
          <w:szCs w:val="24"/>
        </w:rPr>
        <w:t xml:space="preserve">Cavus, M. (2025). Advancing Power Systems with Renewable Energy and Intelligent Technologies: A Comprehensive Review on Grid Transformation and Integration. </w:t>
      </w:r>
      <w:r w:rsidRPr="004321B9">
        <w:rPr>
          <w:i/>
          <w:sz w:val="24"/>
          <w:szCs w:val="24"/>
        </w:rPr>
        <w:t>Electronics</w:t>
      </w:r>
      <w:r w:rsidRPr="004321B9">
        <w:rPr>
          <w:sz w:val="24"/>
          <w:szCs w:val="24"/>
        </w:rPr>
        <w:t xml:space="preserve">, </w:t>
      </w:r>
      <w:r w:rsidRPr="004321B9">
        <w:rPr>
          <w:i/>
          <w:sz w:val="24"/>
          <w:szCs w:val="24"/>
        </w:rPr>
        <w:t>14</w:t>
      </w:r>
      <w:r w:rsidRPr="004321B9">
        <w:rPr>
          <w:sz w:val="24"/>
          <w:szCs w:val="24"/>
        </w:rPr>
        <w:t>(6), 1159. https://doi.org/10.3390/electronics14061159</w:t>
      </w:r>
    </w:p>
    <w:p w14:paraId="23B3063E" w14:textId="77777777" w:rsidR="00AE5C9F" w:rsidRPr="004321B9" w:rsidRDefault="00DA4A43" w:rsidP="004321B9">
      <w:pPr>
        <w:spacing w:after="240"/>
        <w:ind w:left="900" w:hanging="900"/>
        <w:rPr>
          <w:sz w:val="24"/>
          <w:szCs w:val="24"/>
        </w:rPr>
      </w:pPr>
      <w:r w:rsidRPr="004321B9">
        <w:rPr>
          <w:sz w:val="24"/>
          <w:szCs w:val="24"/>
        </w:rPr>
        <w:t xml:space="preserve">Costa, T., Borges-Tiago, T., Martins, F., &amp; Tiago, F. (2024). System interoperability and data linkage in the era of health information management: A bibliometric analysis. </w:t>
      </w:r>
      <w:r w:rsidRPr="004321B9">
        <w:rPr>
          <w:i/>
          <w:sz w:val="24"/>
          <w:szCs w:val="24"/>
        </w:rPr>
        <w:t>Health Information Management Journal</w:t>
      </w:r>
      <w:r w:rsidRPr="004321B9">
        <w:rPr>
          <w:sz w:val="24"/>
          <w:szCs w:val="24"/>
        </w:rPr>
        <w:t>. https://doi.org/10.1177/18333583241277952</w:t>
      </w:r>
    </w:p>
    <w:p w14:paraId="26034720" w14:textId="77777777" w:rsidR="00AE5C9F" w:rsidRPr="004321B9" w:rsidRDefault="00DA4A43" w:rsidP="004321B9">
      <w:pPr>
        <w:spacing w:after="240"/>
        <w:ind w:left="900" w:hanging="900"/>
        <w:rPr>
          <w:sz w:val="24"/>
          <w:szCs w:val="24"/>
        </w:rPr>
      </w:pPr>
      <w:r w:rsidRPr="004321B9">
        <w:rPr>
          <w:sz w:val="24"/>
          <w:szCs w:val="24"/>
        </w:rPr>
        <w:t xml:space="preserve">Daniel, S. A., &amp; Victor, S. S. (2024). EMERGING TRENDS IN CYBERSECURITY FOR CRITICAL INFRASTRUCTURE PROTECTION: A COMPREHENSIVE REVIEW. </w:t>
      </w:r>
      <w:r w:rsidRPr="004321B9">
        <w:rPr>
          <w:i/>
          <w:sz w:val="24"/>
          <w:szCs w:val="24"/>
        </w:rPr>
        <w:t>Computer Science &amp; IT Research Journal</w:t>
      </w:r>
      <w:r w:rsidRPr="004321B9">
        <w:rPr>
          <w:sz w:val="24"/>
          <w:szCs w:val="24"/>
        </w:rPr>
        <w:t xml:space="preserve">, </w:t>
      </w:r>
      <w:r w:rsidRPr="004321B9">
        <w:rPr>
          <w:i/>
          <w:sz w:val="24"/>
          <w:szCs w:val="24"/>
        </w:rPr>
        <w:t>5</w:t>
      </w:r>
      <w:r w:rsidRPr="004321B9">
        <w:rPr>
          <w:sz w:val="24"/>
          <w:szCs w:val="24"/>
        </w:rPr>
        <w:t>(3), 576–593. https://doi.org/10.51594/csitrj.v5i3.872</w:t>
      </w:r>
    </w:p>
    <w:p w14:paraId="66CC5EDB" w14:textId="77777777" w:rsidR="00AE5C9F" w:rsidRPr="004321B9" w:rsidRDefault="00DA4A43" w:rsidP="004321B9">
      <w:pPr>
        <w:spacing w:after="240"/>
        <w:ind w:left="900" w:hanging="900"/>
        <w:rPr>
          <w:sz w:val="24"/>
          <w:szCs w:val="24"/>
        </w:rPr>
      </w:pPr>
      <w:r w:rsidRPr="004321B9">
        <w:rPr>
          <w:sz w:val="24"/>
          <w:szCs w:val="24"/>
        </w:rPr>
        <w:t xml:space="preserve">Darley, J. (2025, February 25). </w:t>
      </w:r>
      <w:r w:rsidRPr="004321B9">
        <w:rPr>
          <w:i/>
          <w:sz w:val="24"/>
          <w:szCs w:val="24"/>
        </w:rPr>
        <w:t>Q&amp;A: CEO of Octopus’ Kraken on AI’s Use in Energy Management</w:t>
      </w:r>
      <w:r w:rsidRPr="004321B9">
        <w:rPr>
          <w:sz w:val="24"/>
          <w:szCs w:val="24"/>
        </w:rPr>
        <w:t>. Sustainabilitymag.com; Bizclik Media Ltd. https://sustainabilitymag.com/articles/q-a-with-amir-orad-ceo-of-octopus-kraken</w:t>
      </w:r>
    </w:p>
    <w:p w14:paraId="495FD54B" w14:textId="77777777" w:rsidR="00AE5C9F" w:rsidRPr="004321B9" w:rsidRDefault="00DA4A43" w:rsidP="004321B9">
      <w:pPr>
        <w:spacing w:after="240"/>
        <w:ind w:left="900" w:hanging="900"/>
        <w:rPr>
          <w:sz w:val="24"/>
          <w:szCs w:val="24"/>
        </w:rPr>
      </w:pPr>
      <w:r w:rsidRPr="004321B9">
        <w:rPr>
          <w:sz w:val="24"/>
          <w:szCs w:val="24"/>
        </w:rPr>
        <w:t xml:space="preserve">Diaba, S. Y., Shafie-khah, M., &amp; Elmusrati, M. (2024). Cyber-physical attack and the future energy systems: A review. </w:t>
      </w:r>
      <w:r w:rsidRPr="004321B9">
        <w:rPr>
          <w:i/>
          <w:sz w:val="24"/>
          <w:szCs w:val="24"/>
        </w:rPr>
        <w:t>Energy Reports</w:t>
      </w:r>
      <w:r w:rsidRPr="004321B9">
        <w:rPr>
          <w:sz w:val="24"/>
          <w:szCs w:val="24"/>
        </w:rPr>
        <w:t xml:space="preserve">, </w:t>
      </w:r>
      <w:r w:rsidRPr="004321B9">
        <w:rPr>
          <w:i/>
          <w:sz w:val="24"/>
          <w:szCs w:val="24"/>
        </w:rPr>
        <w:t>12</w:t>
      </w:r>
      <w:r w:rsidRPr="004321B9">
        <w:rPr>
          <w:sz w:val="24"/>
          <w:szCs w:val="24"/>
        </w:rPr>
        <w:t>, 2914–2932. https://doi.org/10.1016/j.egyr.2024.08.060</w:t>
      </w:r>
    </w:p>
    <w:p w14:paraId="7C868100" w14:textId="77777777" w:rsidR="00AE5C9F" w:rsidRPr="004321B9" w:rsidRDefault="00DA4A43" w:rsidP="004321B9">
      <w:pPr>
        <w:spacing w:after="240"/>
        <w:ind w:left="900" w:hanging="900"/>
        <w:rPr>
          <w:sz w:val="24"/>
          <w:szCs w:val="24"/>
        </w:rPr>
      </w:pPr>
      <w:r w:rsidRPr="004321B9">
        <w:rPr>
          <w:sz w:val="24"/>
          <w:szCs w:val="24"/>
        </w:rPr>
        <w:t xml:space="preserve">Ejiofor, V. O., Ogunmolu, A. M., Gbadebo, M. O., Joseph, S. A., &amp; Adesokan-Imran, T. O. (2025). AI- Driven Risk Assessment for Enhancing Third Party Vendor Security in Healthcare Systems.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117–137. https://doi.org/10.9734/jerr/2025/v27i51498</w:t>
      </w:r>
    </w:p>
    <w:p w14:paraId="4F0FC646" w14:textId="77777777" w:rsidR="00AE5C9F" w:rsidRPr="004321B9" w:rsidRDefault="00DA4A43" w:rsidP="004321B9">
      <w:pPr>
        <w:spacing w:after="240"/>
        <w:ind w:left="900" w:hanging="900"/>
        <w:rPr>
          <w:sz w:val="24"/>
          <w:szCs w:val="24"/>
        </w:rPr>
      </w:pPr>
      <w:r w:rsidRPr="004321B9">
        <w:rPr>
          <w:sz w:val="24"/>
          <w:szCs w:val="24"/>
        </w:rPr>
        <w:t xml:space="preserve">Ford, N. (2025, May 20). Google brings AI to grid teams slashing US connection times. </w:t>
      </w:r>
      <w:r w:rsidRPr="004321B9">
        <w:rPr>
          <w:i/>
          <w:sz w:val="24"/>
          <w:szCs w:val="24"/>
        </w:rPr>
        <w:t>Reuters</w:t>
      </w:r>
      <w:r w:rsidRPr="004321B9">
        <w:rPr>
          <w:sz w:val="24"/>
          <w:szCs w:val="24"/>
        </w:rPr>
        <w:t>. https://www.reuters.com/business/energy/google-brings-ai-grid-teams-slashing-us-connection-times-2025-05-20/</w:t>
      </w:r>
    </w:p>
    <w:p w14:paraId="2B364D36" w14:textId="77777777" w:rsidR="00AE5C9F" w:rsidRPr="004321B9" w:rsidRDefault="00DA4A43" w:rsidP="004321B9">
      <w:pPr>
        <w:spacing w:after="240"/>
        <w:ind w:left="900" w:hanging="900"/>
        <w:rPr>
          <w:sz w:val="24"/>
          <w:szCs w:val="24"/>
        </w:rPr>
      </w:pPr>
      <w:r w:rsidRPr="004321B9">
        <w:rPr>
          <w:sz w:val="24"/>
          <w:szCs w:val="24"/>
        </w:rPr>
        <w:t xml:space="preserve">Ge, M., Chren, S., Rossi, B., &amp; Pitner, T. (2019). Data Quality Management Framework for Smart Grid Systems. </w:t>
      </w:r>
      <w:r w:rsidRPr="004321B9">
        <w:rPr>
          <w:i/>
          <w:sz w:val="24"/>
          <w:szCs w:val="24"/>
        </w:rPr>
        <w:t>Lecture Notes in Business Information Processing</w:t>
      </w:r>
      <w:r w:rsidRPr="004321B9">
        <w:rPr>
          <w:sz w:val="24"/>
          <w:szCs w:val="24"/>
        </w:rPr>
        <w:t>, 299–310. https://doi.org/10.1007/978-3-030-20482-2_24</w:t>
      </w:r>
    </w:p>
    <w:p w14:paraId="5D3CEC07" w14:textId="77777777" w:rsidR="00AE5C9F" w:rsidRPr="004321B9" w:rsidRDefault="00DA4A43" w:rsidP="004321B9">
      <w:pPr>
        <w:spacing w:after="240"/>
        <w:ind w:left="900" w:hanging="900"/>
        <w:rPr>
          <w:sz w:val="24"/>
          <w:szCs w:val="24"/>
        </w:rPr>
      </w:pPr>
      <w:r w:rsidRPr="004321B9">
        <w:rPr>
          <w:sz w:val="24"/>
          <w:szCs w:val="24"/>
        </w:rPr>
        <w:t xml:space="preserve">Genuario, F., Santoro, G., Giliberti, M., Bello, S., Zazzera, E., &amp; Donato Impedovo. (2024). Machine Learning-Based Methodologies for Cyber-Attacks and Network </w:t>
      </w:r>
      <w:r w:rsidRPr="004321B9">
        <w:rPr>
          <w:sz w:val="24"/>
          <w:szCs w:val="24"/>
        </w:rPr>
        <w:lastRenderedPageBreak/>
        <w:t xml:space="preserve">Traffic Monitoring: A Review and Insights. </w:t>
      </w:r>
      <w:r w:rsidRPr="004321B9">
        <w:rPr>
          <w:i/>
          <w:sz w:val="24"/>
          <w:szCs w:val="24"/>
        </w:rPr>
        <w:t>Information</w:t>
      </w:r>
      <w:r w:rsidRPr="004321B9">
        <w:rPr>
          <w:sz w:val="24"/>
          <w:szCs w:val="24"/>
        </w:rPr>
        <w:t xml:space="preserve">, </w:t>
      </w:r>
      <w:r w:rsidRPr="004321B9">
        <w:rPr>
          <w:i/>
          <w:sz w:val="24"/>
          <w:szCs w:val="24"/>
        </w:rPr>
        <w:t>15</w:t>
      </w:r>
      <w:r w:rsidRPr="004321B9">
        <w:rPr>
          <w:sz w:val="24"/>
          <w:szCs w:val="24"/>
        </w:rPr>
        <w:t>(11), 741–741. https://doi.org/10.3390/info15110741</w:t>
      </w:r>
    </w:p>
    <w:p w14:paraId="0537B977" w14:textId="77777777" w:rsidR="00AE5C9F" w:rsidRPr="004321B9" w:rsidRDefault="00DA4A43" w:rsidP="004321B9">
      <w:pPr>
        <w:spacing w:after="240"/>
        <w:ind w:left="900" w:hanging="900"/>
        <w:rPr>
          <w:sz w:val="24"/>
          <w:szCs w:val="24"/>
        </w:rPr>
      </w:pPr>
      <w:r w:rsidRPr="004321B9">
        <w:rPr>
          <w:sz w:val="24"/>
          <w:szCs w:val="24"/>
        </w:rPr>
        <w:t xml:space="preserve">Gharehpetian, G. B., Baghaee, H. R., &amp; Shabestary, M. M. (2021). Introduction. </w:t>
      </w:r>
      <w:r w:rsidRPr="004321B9">
        <w:rPr>
          <w:i/>
          <w:sz w:val="24"/>
          <w:szCs w:val="24"/>
        </w:rPr>
        <w:t>Elsevier EBooks</w:t>
      </w:r>
      <w:r w:rsidRPr="004321B9">
        <w:rPr>
          <w:sz w:val="24"/>
          <w:szCs w:val="24"/>
        </w:rPr>
        <w:t>, 1–6. https://doi.org/10.1016/b978-0-12-816172-2.00001-8</w:t>
      </w:r>
    </w:p>
    <w:p w14:paraId="45D2B371" w14:textId="77777777" w:rsidR="00AE5C9F" w:rsidRPr="004321B9" w:rsidRDefault="00DA4A43" w:rsidP="004321B9">
      <w:pPr>
        <w:spacing w:after="240"/>
        <w:ind w:left="900" w:hanging="900"/>
        <w:rPr>
          <w:sz w:val="24"/>
          <w:szCs w:val="24"/>
        </w:rPr>
      </w:pPr>
      <w:r w:rsidRPr="004321B9">
        <w:rPr>
          <w:sz w:val="24"/>
          <w:szCs w:val="24"/>
        </w:rPr>
        <w:t xml:space="preserve">Howland, E. (2025, April 10). </w:t>
      </w:r>
      <w:r w:rsidRPr="004321B9">
        <w:rPr>
          <w:i/>
          <w:sz w:val="24"/>
          <w:szCs w:val="24"/>
        </w:rPr>
        <w:t>PJM, Google partner to speed grid interconnection using AI</w:t>
      </w:r>
      <w:r w:rsidRPr="004321B9">
        <w:rPr>
          <w:sz w:val="24"/>
          <w:szCs w:val="24"/>
        </w:rPr>
        <w:t>. Utility Dive. https://www.utilitydive.com/news/pjm-google-tapestry-grid-interconnection-ai/744982/</w:t>
      </w:r>
    </w:p>
    <w:p w14:paraId="3F3ACC25" w14:textId="77777777" w:rsidR="00AE5C9F" w:rsidRPr="004321B9" w:rsidRDefault="00DA4A43" w:rsidP="004321B9">
      <w:pPr>
        <w:spacing w:after="240"/>
        <w:ind w:left="900" w:hanging="900"/>
        <w:rPr>
          <w:sz w:val="24"/>
          <w:szCs w:val="24"/>
        </w:rPr>
      </w:pPr>
      <w:r w:rsidRPr="004321B9">
        <w:rPr>
          <w:sz w:val="24"/>
          <w:szCs w:val="24"/>
        </w:rPr>
        <w:t xml:space="preserve">Jiang, H., Dong, Y., Dong, Y., &amp; Wang, J. (2024). Power load forecasting based on spatial–temporal fusion graph convolution network. </w:t>
      </w:r>
      <w:r w:rsidRPr="004321B9">
        <w:rPr>
          <w:i/>
          <w:sz w:val="24"/>
          <w:szCs w:val="24"/>
        </w:rPr>
        <w:t>Technological Forecasting and Social Change</w:t>
      </w:r>
      <w:r w:rsidRPr="004321B9">
        <w:rPr>
          <w:sz w:val="24"/>
          <w:szCs w:val="24"/>
        </w:rPr>
        <w:t xml:space="preserve">, </w:t>
      </w:r>
      <w:r w:rsidRPr="004321B9">
        <w:rPr>
          <w:i/>
          <w:sz w:val="24"/>
          <w:szCs w:val="24"/>
        </w:rPr>
        <w:t>204</w:t>
      </w:r>
      <w:r w:rsidRPr="004321B9">
        <w:rPr>
          <w:sz w:val="24"/>
          <w:szCs w:val="24"/>
        </w:rPr>
        <w:t>, 123435. https://doi.org/10.1016/j.techfore.2024.123435</w:t>
      </w:r>
    </w:p>
    <w:p w14:paraId="4DB675F7" w14:textId="77777777" w:rsidR="00AE5C9F" w:rsidRPr="004321B9" w:rsidRDefault="00DA4A43" w:rsidP="004321B9">
      <w:pPr>
        <w:spacing w:after="240"/>
        <w:ind w:left="900" w:hanging="900"/>
        <w:rPr>
          <w:sz w:val="24"/>
          <w:szCs w:val="24"/>
        </w:rPr>
      </w:pPr>
      <w:r w:rsidRPr="004321B9">
        <w:rPr>
          <w:sz w:val="24"/>
          <w:szCs w:val="24"/>
        </w:rPr>
        <w:t xml:space="preserve">Khan, Y. (2025, May 21). </w:t>
      </w:r>
      <w:r w:rsidRPr="004321B9">
        <w:rPr>
          <w:i/>
          <w:sz w:val="24"/>
          <w:szCs w:val="24"/>
        </w:rPr>
        <w:t>The $10 Billion AI Startup That Thinks It Is an Energy Company</w:t>
      </w:r>
      <w:r w:rsidRPr="004321B9">
        <w:rPr>
          <w:sz w:val="24"/>
          <w:szCs w:val="24"/>
        </w:rPr>
        <w:t>. WSJ; The Wall Street Journal. https://www.wsj.com/articles/the-10-billion-ai-startup-that-thinks-it-is-an-energy-company-d2624a86</w:t>
      </w:r>
    </w:p>
    <w:p w14:paraId="6BD86C5B" w14:textId="77777777" w:rsidR="00AE5C9F" w:rsidRPr="004321B9" w:rsidRDefault="00DA4A43" w:rsidP="004321B9">
      <w:pPr>
        <w:spacing w:after="240"/>
        <w:ind w:left="900" w:hanging="900"/>
        <w:rPr>
          <w:sz w:val="24"/>
          <w:szCs w:val="24"/>
        </w:rPr>
      </w:pPr>
      <w:r w:rsidRPr="004321B9">
        <w:rPr>
          <w:sz w:val="24"/>
          <w:szCs w:val="24"/>
        </w:rPr>
        <w:t xml:space="preserve">Kolo, F. H. O. (2025). Responsible AI for Cybersecurity: Assessing the Barriers, Biases and Governance Gaps in Implementation with E-commerce Systems.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510–532. https://doi.org/10.9734/jerr/2025/v27i51520</w:t>
      </w:r>
    </w:p>
    <w:p w14:paraId="68C1C0EA" w14:textId="77777777" w:rsidR="00AE5C9F" w:rsidRPr="004321B9" w:rsidRDefault="00DA4A43" w:rsidP="004321B9">
      <w:pPr>
        <w:spacing w:after="240"/>
        <w:ind w:left="900" w:hanging="900"/>
        <w:rPr>
          <w:sz w:val="24"/>
          <w:szCs w:val="24"/>
        </w:rPr>
      </w:pPr>
      <w:r w:rsidRPr="004321B9">
        <w:rPr>
          <w:sz w:val="24"/>
          <w:szCs w:val="24"/>
        </w:rPr>
        <w:t xml:space="preserve">Kolo, F. H. O., Joseph, S. A., Ogunmolu, A. M., Ejiofor, V. O., &amp; Oyekunle, S. M. (2025). Mitigating Cybersecurity Risks in Financial Institutions through Strategic Third- Party Risk Governance Frameworks.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173–193. https://doi.org/10.9734/jerr/2025/v27i51501</w:t>
      </w:r>
    </w:p>
    <w:p w14:paraId="6C12B389" w14:textId="77777777" w:rsidR="00AE5C9F" w:rsidRPr="004321B9" w:rsidRDefault="00DA4A43" w:rsidP="004321B9">
      <w:pPr>
        <w:spacing w:after="240"/>
        <w:ind w:left="900" w:hanging="900"/>
        <w:rPr>
          <w:sz w:val="24"/>
          <w:szCs w:val="24"/>
        </w:rPr>
      </w:pPr>
      <w:r w:rsidRPr="004321B9">
        <w:rPr>
          <w:sz w:val="24"/>
          <w:szCs w:val="24"/>
        </w:rPr>
        <w:t xml:space="preserve">Krishnamurthy, S., Adewuyi, O. B., Luwaca, E., Ratshitanga, M., &amp; Moodley, P. (2024). Artificial intelligence-based forecasting models for integrated energy system management planning: An exploration of the prospects for South Africa. </w:t>
      </w:r>
      <w:r w:rsidRPr="004321B9">
        <w:rPr>
          <w:i/>
          <w:sz w:val="24"/>
          <w:szCs w:val="24"/>
        </w:rPr>
        <w:t>Energy Conversion and Management: X</w:t>
      </w:r>
      <w:r w:rsidRPr="004321B9">
        <w:rPr>
          <w:sz w:val="24"/>
          <w:szCs w:val="24"/>
        </w:rPr>
        <w:t xml:space="preserve">, </w:t>
      </w:r>
      <w:r w:rsidRPr="004321B9">
        <w:rPr>
          <w:i/>
          <w:sz w:val="24"/>
          <w:szCs w:val="24"/>
        </w:rPr>
        <w:t>24</w:t>
      </w:r>
      <w:r w:rsidRPr="004321B9">
        <w:rPr>
          <w:sz w:val="24"/>
          <w:szCs w:val="24"/>
        </w:rPr>
        <w:t>, 100772. https://doi.org/10.1016/j.ecmx.2024.100772</w:t>
      </w:r>
    </w:p>
    <w:p w14:paraId="247E8981" w14:textId="77777777" w:rsidR="00AE5C9F" w:rsidRPr="004321B9" w:rsidRDefault="00DA4A43" w:rsidP="004321B9">
      <w:pPr>
        <w:spacing w:after="240"/>
        <w:ind w:left="900" w:hanging="900"/>
        <w:rPr>
          <w:sz w:val="24"/>
          <w:szCs w:val="24"/>
        </w:rPr>
      </w:pPr>
      <w:r w:rsidRPr="004321B9">
        <w:rPr>
          <w:sz w:val="24"/>
          <w:szCs w:val="24"/>
        </w:rPr>
        <w:t xml:space="preserve">Liao, L., Li, H., Shang, W., &amp; Ma, L. (2022). An Empirical Study of the Impact of Hyperparameter Tuning and Model Optimization on the Performance Properties of Deep Neural Networks. </w:t>
      </w:r>
      <w:r w:rsidRPr="004321B9">
        <w:rPr>
          <w:i/>
          <w:sz w:val="24"/>
          <w:szCs w:val="24"/>
        </w:rPr>
        <w:t>ACM Transactions on Software Engineering and Methodology</w:t>
      </w:r>
      <w:r w:rsidRPr="004321B9">
        <w:rPr>
          <w:sz w:val="24"/>
          <w:szCs w:val="24"/>
        </w:rPr>
        <w:t xml:space="preserve">, </w:t>
      </w:r>
      <w:r w:rsidRPr="004321B9">
        <w:rPr>
          <w:i/>
          <w:sz w:val="24"/>
          <w:szCs w:val="24"/>
        </w:rPr>
        <w:t>31</w:t>
      </w:r>
      <w:r w:rsidRPr="004321B9">
        <w:rPr>
          <w:sz w:val="24"/>
          <w:szCs w:val="24"/>
        </w:rPr>
        <w:t>(3), 1–40. https://doi.org/10.1145/3506695</w:t>
      </w:r>
    </w:p>
    <w:p w14:paraId="256DE1B9" w14:textId="77777777" w:rsidR="00AE5C9F" w:rsidRPr="004321B9" w:rsidRDefault="00DA4A43" w:rsidP="004321B9">
      <w:pPr>
        <w:spacing w:after="240"/>
        <w:ind w:left="900" w:hanging="900"/>
        <w:rPr>
          <w:sz w:val="24"/>
          <w:szCs w:val="24"/>
        </w:rPr>
      </w:pPr>
      <w:r w:rsidRPr="004321B9">
        <w:rPr>
          <w:sz w:val="24"/>
          <w:szCs w:val="24"/>
        </w:rPr>
        <w:t xml:space="preserve">Liu, Y., Dillon, T., Yu, W., Rahayu, W., &amp; Mostafa, F. (2020). Noise removal in the presence of significant anomalies for Industrial IoT sensor data in </w:t>
      </w:r>
      <w:r w:rsidRPr="004321B9">
        <w:rPr>
          <w:sz w:val="24"/>
          <w:szCs w:val="24"/>
        </w:rPr>
        <w:lastRenderedPageBreak/>
        <w:t xml:space="preserve">manufacturing. </w:t>
      </w:r>
      <w:r w:rsidRPr="004321B9">
        <w:rPr>
          <w:i/>
          <w:sz w:val="24"/>
          <w:szCs w:val="24"/>
        </w:rPr>
        <w:t>IEEE Internet of Things Journal</w:t>
      </w:r>
      <w:r w:rsidRPr="004321B9">
        <w:rPr>
          <w:sz w:val="24"/>
          <w:szCs w:val="24"/>
        </w:rPr>
        <w:t>, 1–1. https://doi.org/10.1109/jiot.2020.2981476</w:t>
      </w:r>
    </w:p>
    <w:p w14:paraId="0379311B" w14:textId="77777777" w:rsidR="00AE5C9F" w:rsidRPr="004321B9" w:rsidRDefault="00DA4A43" w:rsidP="004321B9">
      <w:pPr>
        <w:spacing w:after="240"/>
        <w:ind w:left="900" w:hanging="900"/>
        <w:rPr>
          <w:sz w:val="24"/>
          <w:szCs w:val="24"/>
        </w:rPr>
      </w:pPr>
      <w:r w:rsidRPr="004321B9">
        <w:rPr>
          <w:sz w:val="24"/>
          <w:szCs w:val="24"/>
        </w:rPr>
        <w:t xml:space="preserve">Longo, L., Brcic, M., Cabitza, F., Choi, J., Confalonieri, R., Del Ser, J., Guidotti, R., Hayashi, Y., Herrera, F., Holzinger, A., Jiang, R., Khosravi, H., Lecue, F., Malgieri, G., Páez, A., Samek, W., Schneider, J., Speith, T., &amp; Stumpf, S. (2024). Explainable Artificial Intelligence (XAI) 2.0: A Manifesto of Open Challenges and Interdisciplinary Research Directions. </w:t>
      </w:r>
      <w:r w:rsidRPr="004321B9">
        <w:rPr>
          <w:i/>
          <w:sz w:val="24"/>
          <w:szCs w:val="24"/>
        </w:rPr>
        <w:t>Information Fusion</w:t>
      </w:r>
      <w:r w:rsidRPr="004321B9">
        <w:rPr>
          <w:sz w:val="24"/>
          <w:szCs w:val="24"/>
        </w:rPr>
        <w:t xml:space="preserve">, </w:t>
      </w:r>
      <w:r w:rsidRPr="004321B9">
        <w:rPr>
          <w:i/>
          <w:sz w:val="24"/>
          <w:szCs w:val="24"/>
        </w:rPr>
        <w:t>106</w:t>
      </w:r>
      <w:r w:rsidRPr="004321B9">
        <w:rPr>
          <w:sz w:val="24"/>
          <w:szCs w:val="24"/>
        </w:rPr>
        <w:t>, 102301. https://doi.org/10.1016/j.inffus.2024.102301</w:t>
      </w:r>
    </w:p>
    <w:p w14:paraId="5B5D8371" w14:textId="77777777" w:rsidR="00AE5C9F" w:rsidRPr="004321B9" w:rsidRDefault="00DA4A43" w:rsidP="004321B9">
      <w:pPr>
        <w:spacing w:after="240"/>
        <w:ind w:left="900" w:hanging="900"/>
        <w:rPr>
          <w:sz w:val="24"/>
          <w:szCs w:val="24"/>
        </w:rPr>
      </w:pPr>
      <w:r w:rsidRPr="004321B9">
        <w:rPr>
          <w:sz w:val="24"/>
          <w:szCs w:val="24"/>
        </w:rPr>
        <w:t xml:space="preserve">Mahmood, M., Chowdhury, P., Yeassin, R., Hasan, M., Ahmad, T., &amp; Chowdhury, N.-U.-R. (2024). Impacts of digitalization on smart grids, renewable energy, and demand response: An updated review of current applications. </w:t>
      </w:r>
      <w:r w:rsidRPr="004321B9">
        <w:rPr>
          <w:i/>
          <w:sz w:val="24"/>
          <w:szCs w:val="24"/>
        </w:rPr>
        <w:t>Energy Conversion and Management: X</w:t>
      </w:r>
      <w:r w:rsidRPr="004321B9">
        <w:rPr>
          <w:sz w:val="24"/>
          <w:szCs w:val="24"/>
        </w:rPr>
        <w:t xml:space="preserve">, </w:t>
      </w:r>
      <w:r w:rsidRPr="004321B9">
        <w:rPr>
          <w:i/>
          <w:sz w:val="24"/>
          <w:szCs w:val="24"/>
        </w:rPr>
        <w:t>24</w:t>
      </w:r>
      <w:r w:rsidRPr="004321B9">
        <w:rPr>
          <w:sz w:val="24"/>
          <w:szCs w:val="24"/>
        </w:rPr>
        <w:t>, 100790. https://doi.org/10.1016/j.ecmx.2024.100790</w:t>
      </w:r>
    </w:p>
    <w:p w14:paraId="2D886D74" w14:textId="77777777" w:rsidR="00AE5C9F" w:rsidRPr="004321B9" w:rsidRDefault="00DA4A43" w:rsidP="004321B9">
      <w:pPr>
        <w:spacing w:after="240"/>
        <w:ind w:left="900" w:hanging="900"/>
        <w:rPr>
          <w:sz w:val="24"/>
          <w:szCs w:val="24"/>
        </w:rPr>
      </w:pPr>
      <w:r w:rsidRPr="004321B9">
        <w:rPr>
          <w:sz w:val="24"/>
          <w:szCs w:val="24"/>
        </w:rPr>
        <w:t xml:space="preserve">Michailidis, P., Michailidis, I., &amp; Kosmatopoulos, E. (2025). Reinforcement Learning for Optimizing Renewable Energy Utilization in Buildings: A Review on Applications and Innovations. </w:t>
      </w:r>
      <w:r w:rsidRPr="004321B9">
        <w:rPr>
          <w:i/>
          <w:sz w:val="24"/>
          <w:szCs w:val="24"/>
        </w:rPr>
        <w:t>Energies</w:t>
      </w:r>
      <w:r w:rsidRPr="004321B9">
        <w:rPr>
          <w:sz w:val="24"/>
          <w:szCs w:val="24"/>
        </w:rPr>
        <w:t xml:space="preserve">, </w:t>
      </w:r>
      <w:r w:rsidRPr="004321B9">
        <w:rPr>
          <w:i/>
          <w:sz w:val="24"/>
          <w:szCs w:val="24"/>
        </w:rPr>
        <w:t>18</w:t>
      </w:r>
      <w:r w:rsidRPr="004321B9">
        <w:rPr>
          <w:sz w:val="24"/>
          <w:szCs w:val="24"/>
        </w:rPr>
        <w:t>(7), 1724. https://doi.org/10.3390/en18071724</w:t>
      </w:r>
    </w:p>
    <w:p w14:paraId="65DBC817" w14:textId="77777777" w:rsidR="00AE5C9F" w:rsidRPr="004321B9" w:rsidRDefault="00DA4A43" w:rsidP="004321B9">
      <w:pPr>
        <w:spacing w:after="240"/>
        <w:ind w:left="900" w:hanging="900"/>
        <w:rPr>
          <w:sz w:val="24"/>
          <w:szCs w:val="24"/>
        </w:rPr>
      </w:pPr>
      <w:r w:rsidRPr="004321B9">
        <w:rPr>
          <w:sz w:val="24"/>
          <w:szCs w:val="24"/>
        </w:rPr>
        <w:t xml:space="preserve">Mienye, I. D., &amp; Swart, T. G. (2025). Deep Autoencoder Neural Networks: A Comprehensive Review and New Perspectives. </w:t>
      </w:r>
      <w:r w:rsidRPr="004321B9">
        <w:rPr>
          <w:i/>
          <w:sz w:val="24"/>
          <w:szCs w:val="24"/>
        </w:rPr>
        <w:t>Archives of Computational Methods in Engineering</w:t>
      </w:r>
      <w:r w:rsidRPr="004321B9">
        <w:rPr>
          <w:sz w:val="24"/>
          <w:szCs w:val="24"/>
        </w:rPr>
        <w:t>. https://doi.org/10.1007/s11831-025-10260-5</w:t>
      </w:r>
    </w:p>
    <w:p w14:paraId="3B98091A" w14:textId="77777777" w:rsidR="00AE5C9F" w:rsidRPr="004321B9" w:rsidRDefault="00DA4A43" w:rsidP="004321B9">
      <w:pPr>
        <w:spacing w:after="240"/>
        <w:ind w:left="900" w:hanging="900"/>
        <w:rPr>
          <w:sz w:val="24"/>
          <w:szCs w:val="24"/>
        </w:rPr>
      </w:pPr>
      <w:r w:rsidRPr="004321B9">
        <w:rPr>
          <w:sz w:val="24"/>
          <w:szCs w:val="24"/>
        </w:rPr>
        <w:t xml:space="preserve">Mohale, V. Z., &amp; Obagbuwa, I. C. (2025). A systematic review on the integration of explainable artificial intelligence in intrusion detection systems to enhancing transparency and interpretability in cybersecurity. </w:t>
      </w:r>
      <w:r w:rsidRPr="004321B9">
        <w:rPr>
          <w:i/>
          <w:sz w:val="24"/>
          <w:szCs w:val="24"/>
        </w:rPr>
        <w:t>Frontiers in Artificial Intelligence</w:t>
      </w:r>
      <w:r w:rsidRPr="004321B9">
        <w:rPr>
          <w:sz w:val="24"/>
          <w:szCs w:val="24"/>
        </w:rPr>
        <w:t xml:space="preserve">, </w:t>
      </w:r>
      <w:r w:rsidRPr="004321B9">
        <w:rPr>
          <w:i/>
          <w:sz w:val="24"/>
          <w:szCs w:val="24"/>
        </w:rPr>
        <w:t>8</w:t>
      </w:r>
      <w:r w:rsidRPr="004321B9">
        <w:rPr>
          <w:sz w:val="24"/>
          <w:szCs w:val="24"/>
        </w:rPr>
        <w:t>. https://doi.org/10.3389/frai.2025.1526221</w:t>
      </w:r>
    </w:p>
    <w:p w14:paraId="52A1EFC1" w14:textId="77777777" w:rsidR="00AE5C9F" w:rsidRPr="004321B9" w:rsidRDefault="00DA4A43" w:rsidP="004321B9">
      <w:pPr>
        <w:spacing w:after="240"/>
        <w:ind w:left="900" w:hanging="900"/>
        <w:rPr>
          <w:sz w:val="24"/>
          <w:szCs w:val="24"/>
        </w:rPr>
      </w:pPr>
      <w:r w:rsidRPr="004321B9">
        <w:rPr>
          <w:sz w:val="24"/>
          <w:szCs w:val="24"/>
        </w:rPr>
        <w:t xml:space="preserve">Mohamed, N. (2025). Artificial intelligence and machine learning in cybersecurity: a deep dive into state-of-the-art techniques and future paradigms. </w:t>
      </w:r>
      <w:r w:rsidRPr="004321B9">
        <w:rPr>
          <w:i/>
          <w:sz w:val="24"/>
          <w:szCs w:val="24"/>
        </w:rPr>
        <w:t>Knowledge and Information Systems</w:t>
      </w:r>
      <w:r w:rsidRPr="004321B9">
        <w:rPr>
          <w:sz w:val="24"/>
          <w:szCs w:val="24"/>
        </w:rPr>
        <w:t>. https://doi.org/10.1007/s10115-025-02429-y</w:t>
      </w:r>
    </w:p>
    <w:p w14:paraId="297799A1" w14:textId="77777777" w:rsidR="00AE5C9F" w:rsidRPr="004321B9" w:rsidRDefault="00DA4A43" w:rsidP="004321B9">
      <w:pPr>
        <w:spacing w:after="240"/>
        <w:ind w:left="900" w:hanging="900"/>
        <w:rPr>
          <w:sz w:val="24"/>
          <w:szCs w:val="24"/>
        </w:rPr>
      </w:pPr>
      <w:r w:rsidRPr="004321B9">
        <w:rPr>
          <w:sz w:val="24"/>
          <w:szCs w:val="24"/>
        </w:rPr>
        <w:t xml:space="preserve">Murphy, C., Laurence, E., &amp; Allard, A. (2021). Deep learning of contagion dynamics on complex networks. </w:t>
      </w:r>
      <w:r w:rsidRPr="004321B9">
        <w:rPr>
          <w:i/>
          <w:sz w:val="24"/>
          <w:szCs w:val="24"/>
        </w:rPr>
        <w:t>Nature Communications</w:t>
      </w:r>
      <w:r w:rsidRPr="004321B9">
        <w:rPr>
          <w:sz w:val="24"/>
          <w:szCs w:val="24"/>
        </w:rPr>
        <w:t xml:space="preserve">, </w:t>
      </w:r>
      <w:r w:rsidRPr="004321B9">
        <w:rPr>
          <w:i/>
          <w:sz w:val="24"/>
          <w:szCs w:val="24"/>
        </w:rPr>
        <w:t>12</w:t>
      </w:r>
      <w:r w:rsidRPr="004321B9">
        <w:rPr>
          <w:sz w:val="24"/>
          <w:szCs w:val="24"/>
        </w:rPr>
        <w:t>(1). https://doi.org/10.1038/s41467-021-24732-2</w:t>
      </w:r>
    </w:p>
    <w:p w14:paraId="6C4D7925" w14:textId="77777777" w:rsidR="00AE5C9F" w:rsidRPr="004321B9" w:rsidRDefault="00DA4A43" w:rsidP="004321B9">
      <w:pPr>
        <w:spacing w:after="240"/>
        <w:ind w:left="900" w:hanging="900"/>
        <w:rPr>
          <w:sz w:val="24"/>
          <w:szCs w:val="24"/>
        </w:rPr>
      </w:pPr>
      <w:r w:rsidRPr="004321B9">
        <w:rPr>
          <w:sz w:val="24"/>
          <w:szCs w:val="24"/>
        </w:rPr>
        <w:t xml:space="preserve">Nadeem, T. B., Siddiqui, M., Khalid, M., &amp; Asif, M. (2023). Distributed energy systems: A review of classification, technologies, applications, and policies. </w:t>
      </w:r>
      <w:r w:rsidRPr="004321B9">
        <w:rPr>
          <w:i/>
          <w:sz w:val="24"/>
          <w:szCs w:val="24"/>
        </w:rPr>
        <w:t>Energy Strategy Reviews</w:t>
      </w:r>
      <w:r w:rsidRPr="004321B9">
        <w:rPr>
          <w:sz w:val="24"/>
          <w:szCs w:val="24"/>
        </w:rPr>
        <w:t xml:space="preserve">, </w:t>
      </w:r>
      <w:r w:rsidRPr="004321B9">
        <w:rPr>
          <w:i/>
          <w:sz w:val="24"/>
          <w:szCs w:val="24"/>
        </w:rPr>
        <w:t>48</w:t>
      </w:r>
      <w:r w:rsidRPr="004321B9">
        <w:rPr>
          <w:sz w:val="24"/>
          <w:szCs w:val="24"/>
        </w:rPr>
        <w:t>, 101096. https://doi.org/10.1016/j.esr.2023.101096</w:t>
      </w:r>
    </w:p>
    <w:p w14:paraId="732D8177" w14:textId="77777777" w:rsidR="00AE5C9F" w:rsidRPr="004321B9" w:rsidRDefault="00DA4A43" w:rsidP="004321B9">
      <w:pPr>
        <w:spacing w:after="240"/>
        <w:ind w:left="900" w:hanging="900"/>
        <w:rPr>
          <w:sz w:val="24"/>
          <w:szCs w:val="24"/>
        </w:rPr>
      </w:pPr>
      <w:r w:rsidRPr="004321B9">
        <w:rPr>
          <w:sz w:val="24"/>
          <w:szCs w:val="24"/>
        </w:rPr>
        <w:lastRenderedPageBreak/>
        <w:t xml:space="preserve">Naser, M. Z. (2025). From failure to fusion: A survey on learning from bad machine learning models. </w:t>
      </w:r>
      <w:r w:rsidRPr="004321B9">
        <w:rPr>
          <w:i/>
          <w:sz w:val="24"/>
          <w:szCs w:val="24"/>
        </w:rPr>
        <w:t>Information Fusion</w:t>
      </w:r>
      <w:r w:rsidRPr="004321B9">
        <w:rPr>
          <w:sz w:val="24"/>
          <w:szCs w:val="24"/>
        </w:rPr>
        <w:t xml:space="preserve">, </w:t>
      </w:r>
      <w:r w:rsidRPr="004321B9">
        <w:rPr>
          <w:i/>
          <w:sz w:val="24"/>
          <w:szCs w:val="24"/>
        </w:rPr>
        <w:t>120</w:t>
      </w:r>
      <w:r w:rsidRPr="004321B9">
        <w:rPr>
          <w:sz w:val="24"/>
          <w:szCs w:val="24"/>
        </w:rPr>
        <w:t>, 103122. https://doi.org/10.1016/j.inffus.2025.103122</w:t>
      </w:r>
    </w:p>
    <w:p w14:paraId="33CCAA57" w14:textId="77777777" w:rsidR="00AE5C9F" w:rsidRPr="004321B9" w:rsidRDefault="00DA4A43" w:rsidP="004321B9">
      <w:pPr>
        <w:spacing w:after="240"/>
        <w:ind w:left="900" w:hanging="900"/>
        <w:rPr>
          <w:sz w:val="24"/>
          <w:szCs w:val="24"/>
        </w:rPr>
      </w:pPr>
      <w:r w:rsidRPr="004321B9">
        <w:rPr>
          <w:sz w:val="24"/>
          <w:szCs w:val="24"/>
        </w:rPr>
        <w:t xml:space="preserve">Ningrinla Marchang, &amp; Tripathi, R. (2020). KNN-ST: Exploiting Spatio-Temporal Correlation for Missing Data Inference in Environmental Crowd Sensing. </w:t>
      </w:r>
      <w:r w:rsidRPr="004321B9">
        <w:rPr>
          <w:i/>
          <w:sz w:val="24"/>
          <w:szCs w:val="24"/>
        </w:rPr>
        <w:t>IEEE Sensors Journal</w:t>
      </w:r>
      <w:r w:rsidRPr="004321B9">
        <w:rPr>
          <w:sz w:val="24"/>
          <w:szCs w:val="24"/>
        </w:rPr>
        <w:t xml:space="preserve">, </w:t>
      </w:r>
      <w:r w:rsidRPr="004321B9">
        <w:rPr>
          <w:i/>
          <w:sz w:val="24"/>
          <w:szCs w:val="24"/>
        </w:rPr>
        <w:t>21</w:t>
      </w:r>
      <w:r w:rsidRPr="004321B9">
        <w:rPr>
          <w:sz w:val="24"/>
          <w:szCs w:val="24"/>
        </w:rPr>
        <w:t>(3), 3429–3436. https://doi.org/10.1109/jsen.2020.3024976</w:t>
      </w:r>
    </w:p>
    <w:p w14:paraId="4DAFAC0A" w14:textId="77777777" w:rsidR="00AE5C9F" w:rsidRPr="004321B9" w:rsidRDefault="00DA4A43" w:rsidP="004321B9">
      <w:pPr>
        <w:spacing w:after="240"/>
        <w:ind w:left="900" w:hanging="900"/>
        <w:rPr>
          <w:sz w:val="24"/>
          <w:szCs w:val="24"/>
        </w:rPr>
      </w:pPr>
      <w:r w:rsidRPr="004321B9">
        <w:rPr>
          <w:sz w:val="24"/>
          <w:szCs w:val="24"/>
        </w:rPr>
        <w:t xml:space="preserve">Nunes, P., Santos, J., &amp; Rocha, E. (2023). Challenges in predictive maintenance – A review. </w:t>
      </w:r>
      <w:r w:rsidRPr="004321B9">
        <w:rPr>
          <w:i/>
          <w:sz w:val="24"/>
          <w:szCs w:val="24"/>
        </w:rPr>
        <w:t>CIRP Journal of Manufacturing Science and Technology</w:t>
      </w:r>
      <w:r w:rsidRPr="004321B9">
        <w:rPr>
          <w:sz w:val="24"/>
          <w:szCs w:val="24"/>
        </w:rPr>
        <w:t xml:space="preserve">, </w:t>
      </w:r>
      <w:r w:rsidRPr="004321B9">
        <w:rPr>
          <w:i/>
          <w:sz w:val="24"/>
          <w:szCs w:val="24"/>
        </w:rPr>
        <w:t>40</w:t>
      </w:r>
      <w:r w:rsidRPr="004321B9">
        <w:rPr>
          <w:sz w:val="24"/>
          <w:szCs w:val="24"/>
        </w:rPr>
        <w:t>(40), 53–67. https://doi.org/10.1016/j.cirpj.2022.11.004</w:t>
      </w:r>
    </w:p>
    <w:p w14:paraId="6767CCB4" w14:textId="77777777" w:rsidR="00AE5C9F" w:rsidRPr="004321B9" w:rsidRDefault="00DA4A43" w:rsidP="004321B9">
      <w:pPr>
        <w:spacing w:after="240"/>
        <w:ind w:left="900" w:hanging="900"/>
        <w:rPr>
          <w:sz w:val="24"/>
          <w:szCs w:val="24"/>
        </w:rPr>
      </w:pPr>
      <w:r w:rsidRPr="004321B9">
        <w:rPr>
          <w:sz w:val="24"/>
          <w:szCs w:val="24"/>
        </w:rPr>
        <w:t xml:space="preserve">Ogunmolu, A. M. (2025a). Enhancing Data Security in Artificial Intelligence Systems: A Cybersecurity and Information Governance Approach.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154–172. https://doi.org/10.9734/jerr/2025/v27i51500</w:t>
      </w:r>
    </w:p>
    <w:p w14:paraId="142503C3" w14:textId="77777777" w:rsidR="00AE5C9F" w:rsidRPr="004321B9" w:rsidRDefault="00DA4A43" w:rsidP="004321B9">
      <w:pPr>
        <w:spacing w:after="240"/>
        <w:ind w:left="900" w:hanging="900"/>
        <w:rPr>
          <w:sz w:val="24"/>
          <w:szCs w:val="24"/>
        </w:rPr>
      </w:pPr>
      <w:r w:rsidRPr="004321B9">
        <w:rPr>
          <w:sz w:val="24"/>
          <w:szCs w:val="24"/>
        </w:rPr>
        <w:t xml:space="preserve">Ogunmolu, A. M. (2025b). Leveraging Generative AI and Behavioral Biometrics to Strengthen Zero Trust Cybersecurity Architectures in Healthcare Systems.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194–213. https://doi.org/10.9734/jerr/2025/v27i51502</w:t>
      </w:r>
    </w:p>
    <w:p w14:paraId="6B0E18AB" w14:textId="77777777" w:rsidR="00AE5C9F" w:rsidRPr="004321B9" w:rsidRDefault="00DA4A43" w:rsidP="004321B9">
      <w:pPr>
        <w:spacing w:after="240"/>
        <w:ind w:left="900" w:hanging="900"/>
        <w:rPr>
          <w:sz w:val="24"/>
          <w:szCs w:val="24"/>
        </w:rPr>
      </w:pPr>
      <w:r w:rsidRPr="004321B9">
        <w:rPr>
          <w:sz w:val="24"/>
          <w:szCs w:val="24"/>
        </w:rPr>
        <w:t xml:space="preserve">Ohanu, C. P., Rufai, S. A., &amp; Oluchi, U. C. (2024). A comprehensive review of recent developments in smart grid through renewable energy resources integration. </w:t>
      </w:r>
      <w:r w:rsidRPr="004321B9">
        <w:rPr>
          <w:i/>
          <w:sz w:val="24"/>
          <w:szCs w:val="24"/>
        </w:rPr>
        <w:t>Heliyon</w:t>
      </w:r>
      <w:r w:rsidRPr="004321B9">
        <w:rPr>
          <w:sz w:val="24"/>
          <w:szCs w:val="24"/>
        </w:rPr>
        <w:t xml:space="preserve">, </w:t>
      </w:r>
      <w:r w:rsidRPr="004321B9">
        <w:rPr>
          <w:i/>
          <w:sz w:val="24"/>
          <w:szCs w:val="24"/>
        </w:rPr>
        <w:t>10</w:t>
      </w:r>
      <w:r w:rsidRPr="004321B9">
        <w:rPr>
          <w:sz w:val="24"/>
          <w:szCs w:val="24"/>
        </w:rPr>
        <w:t>(3), e25705. https://doi.org/10.1016/j.heliyon.2024.e25705</w:t>
      </w:r>
    </w:p>
    <w:p w14:paraId="16D5473E" w14:textId="77777777" w:rsidR="00AE5C9F" w:rsidRPr="004321B9" w:rsidRDefault="00DA4A43" w:rsidP="004321B9">
      <w:pPr>
        <w:spacing w:after="240"/>
        <w:ind w:left="900" w:hanging="900"/>
        <w:rPr>
          <w:sz w:val="24"/>
          <w:szCs w:val="24"/>
        </w:rPr>
      </w:pPr>
      <w:r w:rsidRPr="004321B9">
        <w:rPr>
          <w:sz w:val="24"/>
          <w:szCs w:val="24"/>
        </w:rPr>
        <w:t xml:space="preserve">Oladoyinbo, T. O., Olabanji, S. O., Olaniyi, O. O., Adebiyi, O. O., Okunleye, O. J., &amp; Alao, A. I. (2024). Exploring the Challenges of Artificial Intelligence in Data Integrity and its Influence on Social Dynamics. </w:t>
      </w:r>
      <w:r w:rsidRPr="004321B9">
        <w:rPr>
          <w:i/>
          <w:sz w:val="24"/>
          <w:szCs w:val="24"/>
        </w:rPr>
        <w:t>Asian Journal of Advanced Research and Reports</w:t>
      </w:r>
      <w:r w:rsidRPr="004321B9">
        <w:rPr>
          <w:sz w:val="24"/>
          <w:szCs w:val="24"/>
        </w:rPr>
        <w:t xml:space="preserve">, </w:t>
      </w:r>
      <w:r w:rsidRPr="004321B9">
        <w:rPr>
          <w:i/>
          <w:sz w:val="24"/>
          <w:szCs w:val="24"/>
        </w:rPr>
        <w:t>18</w:t>
      </w:r>
      <w:r w:rsidRPr="004321B9">
        <w:rPr>
          <w:sz w:val="24"/>
          <w:szCs w:val="24"/>
        </w:rPr>
        <w:t>(2), 1–23. https://doi.org/10.9734/ajarr/2024/v18i2601</w:t>
      </w:r>
    </w:p>
    <w:p w14:paraId="0F1AD764" w14:textId="77777777" w:rsidR="00AE5C9F" w:rsidRPr="004321B9" w:rsidRDefault="00DA4A43" w:rsidP="004321B9">
      <w:pPr>
        <w:spacing w:after="240"/>
        <w:ind w:left="900" w:hanging="900"/>
        <w:rPr>
          <w:sz w:val="24"/>
          <w:szCs w:val="24"/>
        </w:rPr>
      </w:pPr>
      <w:r w:rsidRPr="004321B9">
        <w:rPr>
          <w:sz w:val="24"/>
          <w:szCs w:val="24"/>
        </w:rPr>
        <w:t xml:space="preserve">Olaniyi, O. O., Omogoroye, O. O., Olaniyi, F. G., Alao, A. I., &amp; Oladoyinbo, T. O. (2024). CyberFusion Protocols: Strategic Integration of Enterprise Risk Management, ISO 27001, and Mobile Forensics for Advanced Digital Security in the Modern Business Ecosystem. </w:t>
      </w:r>
      <w:r w:rsidRPr="004321B9">
        <w:rPr>
          <w:i/>
          <w:sz w:val="24"/>
          <w:szCs w:val="24"/>
        </w:rPr>
        <w:t>Journal of Engineering Research and Reports</w:t>
      </w:r>
      <w:r w:rsidRPr="004321B9">
        <w:rPr>
          <w:sz w:val="24"/>
          <w:szCs w:val="24"/>
        </w:rPr>
        <w:t xml:space="preserve">, </w:t>
      </w:r>
      <w:r w:rsidRPr="004321B9">
        <w:rPr>
          <w:i/>
          <w:sz w:val="24"/>
          <w:szCs w:val="24"/>
        </w:rPr>
        <w:t>26</w:t>
      </w:r>
      <w:r w:rsidRPr="004321B9">
        <w:rPr>
          <w:sz w:val="24"/>
          <w:szCs w:val="24"/>
        </w:rPr>
        <w:t>(6), 32. https://doi.org/10.9734/JERR/2024/v26i61160</w:t>
      </w:r>
    </w:p>
    <w:p w14:paraId="13C5BDD8" w14:textId="77777777" w:rsidR="00AE5C9F" w:rsidRPr="004321B9" w:rsidRDefault="00DA4A43" w:rsidP="004321B9">
      <w:pPr>
        <w:spacing w:after="240"/>
        <w:ind w:left="900" w:hanging="900"/>
        <w:rPr>
          <w:sz w:val="24"/>
          <w:szCs w:val="24"/>
        </w:rPr>
      </w:pPr>
      <w:r w:rsidRPr="004321B9">
        <w:rPr>
          <w:sz w:val="24"/>
          <w:szCs w:val="24"/>
        </w:rPr>
        <w:t xml:space="preserve">Oyekunle, S. M., Popoola, A. D., Kolo, F. H. O., Ogunmolu, A. M., &amp; Adesokan-Imran, T. O. (2025). Intelligent Fraud Prevention Information Banking: A Data Governance- Centric Approach Using Behavioural Biometrics. </w:t>
      </w:r>
      <w:r w:rsidRPr="004321B9">
        <w:rPr>
          <w:i/>
          <w:sz w:val="24"/>
          <w:szCs w:val="24"/>
        </w:rPr>
        <w:t xml:space="preserve">Asian Journal of </w:t>
      </w:r>
      <w:r w:rsidRPr="004321B9">
        <w:rPr>
          <w:i/>
          <w:sz w:val="24"/>
          <w:szCs w:val="24"/>
        </w:rPr>
        <w:lastRenderedPageBreak/>
        <w:t>Research in Computer Science</w:t>
      </w:r>
      <w:r w:rsidRPr="004321B9">
        <w:rPr>
          <w:sz w:val="24"/>
          <w:szCs w:val="24"/>
        </w:rPr>
        <w:t xml:space="preserve">, </w:t>
      </w:r>
      <w:r w:rsidRPr="004321B9">
        <w:rPr>
          <w:i/>
          <w:sz w:val="24"/>
          <w:szCs w:val="24"/>
        </w:rPr>
        <w:t>18</w:t>
      </w:r>
      <w:r w:rsidRPr="004321B9">
        <w:rPr>
          <w:sz w:val="24"/>
          <w:szCs w:val="24"/>
        </w:rPr>
        <w:t>(5), 525–543. https://doi.org/10.9734/ajrcos/2025/v18i5672</w:t>
      </w:r>
    </w:p>
    <w:p w14:paraId="2410C8E2" w14:textId="77777777" w:rsidR="00AE5C9F" w:rsidRPr="004321B9" w:rsidRDefault="00DA4A43" w:rsidP="004321B9">
      <w:pPr>
        <w:spacing w:after="240"/>
        <w:ind w:left="900" w:hanging="900"/>
        <w:rPr>
          <w:sz w:val="24"/>
          <w:szCs w:val="24"/>
        </w:rPr>
      </w:pPr>
      <w:r w:rsidRPr="004321B9">
        <w:rPr>
          <w:sz w:val="24"/>
          <w:szCs w:val="24"/>
        </w:rPr>
        <w:t xml:space="preserve">Parmar, D. S., Gupta, P., Chouhan, C., &amp; Saran, H. K. (2023). Data-centric AI: Prioritizing Data Quality Over Model Complexity. </w:t>
      </w:r>
      <w:r w:rsidRPr="004321B9">
        <w:rPr>
          <w:i/>
          <w:sz w:val="24"/>
          <w:szCs w:val="24"/>
        </w:rPr>
        <w:t>International Journal of Innovative Research in Computer and Communication Engineering</w:t>
      </w:r>
      <w:r w:rsidRPr="004321B9">
        <w:rPr>
          <w:sz w:val="24"/>
          <w:szCs w:val="24"/>
        </w:rPr>
        <w:t xml:space="preserve">, </w:t>
      </w:r>
      <w:r w:rsidRPr="004321B9">
        <w:rPr>
          <w:i/>
          <w:sz w:val="24"/>
          <w:szCs w:val="24"/>
        </w:rPr>
        <w:t>11</w:t>
      </w:r>
      <w:r w:rsidRPr="004321B9">
        <w:rPr>
          <w:sz w:val="24"/>
          <w:szCs w:val="24"/>
        </w:rPr>
        <w:t>(07). https://doi.org/10.15680/ijircce.2023.1107004</w:t>
      </w:r>
    </w:p>
    <w:p w14:paraId="32F74F88" w14:textId="77777777" w:rsidR="00AE5C9F" w:rsidRPr="004321B9" w:rsidRDefault="00DA4A43" w:rsidP="004321B9">
      <w:pPr>
        <w:spacing w:after="240"/>
        <w:ind w:left="900" w:hanging="900"/>
        <w:rPr>
          <w:sz w:val="24"/>
          <w:szCs w:val="24"/>
        </w:rPr>
      </w:pPr>
      <w:r w:rsidRPr="004321B9">
        <w:rPr>
          <w:sz w:val="24"/>
          <w:szCs w:val="24"/>
        </w:rPr>
        <w:t xml:space="preserve">Precedence Research. (2025, January 14). </w:t>
      </w:r>
      <w:r w:rsidRPr="004321B9">
        <w:rPr>
          <w:i/>
          <w:sz w:val="24"/>
          <w:szCs w:val="24"/>
        </w:rPr>
        <w:t>Artificial Intelligence (AI) in Renewable Energy Market Report 2022-2030</w:t>
      </w:r>
      <w:r w:rsidRPr="004321B9">
        <w:rPr>
          <w:sz w:val="24"/>
          <w:szCs w:val="24"/>
        </w:rPr>
        <w:t>. Www.precedenceresearch.com. https://www.precedenceresearch.com/artificial-intelligence-in-renewable-energy-market</w:t>
      </w:r>
    </w:p>
    <w:p w14:paraId="54B2EE8B" w14:textId="77777777" w:rsidR="00AE5C9F" w:rsidRPr="004321B9" w:rsidRDefault="00DA4A43" w:rsidP="004321B9">
      <w:pPr>
        <w:spacing w:after="240"/>
        <w:ind w:left="900" w:hanging="900"/>
        <w:rPr>
          <w:sz w:val="24"/>
          <w:szCs w:val="24"/>
        </w:rPr>
      </w:pPr>
      <w:r w:rsidRPr="004321B9">
        <w:rPr>
          <w:sz w:val="24"/>
          <w:szCs w:val="24"/>
        </w:rPr>
        <w:t xml:space="preserve">Qamar, T., &amp; Bawany, N. Z. (2023). Understanding the black-box: towards interpretable and reliable deep learning models. </w:t>
      </w:r>
      <w:r w:rsidRPr="004321B9">
        <w:rPr>
          <w:i/>
          <w:sz w:val="24"/>
          <w:szCs w:val="24"/>
        </w:rPr>
        <w:t>PeerJ</w:t>
      </w:r>
      <w:r w:rsidRPr="004321B9">
        <w:rPr>
          <w:sz w:val="24"/>
          <w:szCs w:val="24"/>
        </w:rPr>
        <w:t xml:space="preserve">, </w:t>
      </w:r>
      <w:r w:rsidRPr="004321B9">
        <w:rPr>
          <w:i/>
          <w:sz w:val="24"/>
          <w:szCs w:val="24"/>
        </w:rPr>
        <w:t>9</w:t>
      </w:r>
      <w:r w:rsidRPr="004321B9">
        <w:rPr>
          <w:sz w:val="24"/>
          <w:szCs w:val="24"/>
        </w:rPr>
        <w:t>, e1629–e1629. https://doi.org/10.7717/peerj-cs.1629</w:t>
      </w:r>
    </w:p>
    <w:p w14:paraId="6F76380A" w14:textId="77777777" w:rsidR="00AE5C9F" w:rsidRPr="004321B9" w:rsidRDefault="00DA4A43" w:rsidP="004321B9">
      <w:pPr>
        <w:spacing w:after="240"/>
        <w:ind w:left="900" w:hanging="900"/>
        <w:rPr>
          <w:sz w:val="24"/>
          <w:szCs w:val="24"/>
        </w:rPr>
      </w:pPr>
      <w:r w:rsidRPr="004321B9">
        <w:rPr>
          <w:sz w:val="24"/>
          <w:szCs w:val="24"/>
        </w:rPr>
        <w:t xml:space="preserve">Qiao, Q., Yunusa-Kaltungo, A., &amp; Edwards, R. (2022). Feature Selection Strategy for Machine Learning Methods in Building Energy Consumption Prediction. </w:t>
      </w:r>
      <w:r w:rsidRPr="004321B9">
        <w:rPr>
          <w:i/>
          <w:sz w:val="24"/>
          <w:szCs w:val="24"/>
        </w:rPr>
        <w:t>SSRN Electronic Journal</w:t>
      </w:r>
      <w:r w:rsidRPr="004321B9">
        <w:rPr>
          <w:sz w:val="24"/>
          <w:szCs w:val="24"/>
        </w:rPr>
        <w:t>. https://doi.org/10.2139/ssrn.4097485</w:t>
      </w:r>
    </w:p>
    <w:p w14:paraId="2550C6E7" w14:textId="77777777" w:rsidR="00AE5C9F" w:rsidRPr="004321B9" w:rsidRDefault="00DA4A43" w:rsidP="004321B9">
      <w:pPr>
        <w:spacing w:after="240"/>
        <w:ind w:left="900" w:hanging="900"/>
        <w:rPr>
          <w:sz w:val="24"/>
          <w:szCs w:val="24"/>
        </w:rPr>
      </w:pPr>
      <w:r w:rsidRPr="004321B9">
        <w:rPr>
          <w:sz w:val="24"/>
          <w:szCs w:val="24"/>
        </w:rPr>
        <w:t xml:space="preserve">Rafeeq War, M., Singh, Y., Sheikh, Z. A., &amp; Singh, P. K. (2025). Review on the Use of Federated Learning Models for the Security of Cyber-Physical Systems. </w:t>
      </w:r>
      <w:r w:rsidRPr="004321B9">
        <w:rPr>
          <w:i/>
          <w:sz w:val="24"/>
          <w:szCs w:val="24"/>
        </w:rPr>
        <w:t>Scalable Computing: Practice and Experience</w:t>
      </w:r>
      <w:r w:rsidRPr="004321B9">
        <w:rPr>
          <w:sz w:val="24"/>
          <w:szCs w:val="24"/>
        </w:rPr>
        <w:t xml:space="preserve">, </w:t>
      </w:r>
      <w:r w:rsidRPr="004321B9">
        <w:rPr>
          <w:i/>
          <w:sz w:val="24"/>
          <w:szCs w:val="24"/>
        </w:rPr>
        <w:t>26</w:t>
      </w:r>
      <w:r w:rsidRPr="004321B9">
        <w:rPr>
          <w:sz w:val="24"/>
          <w:szCs w:val="24"/>
        </w:rPr>
        <w:t>(1), 16–33. https://doi.org/10.12694/scpe.v26i1.3438</w:t>
      </w:r>
    </w:p>
    <w:p w14:paraId="26EB5BB8" w14:textId="77777777" w:rsidR="00AE5C9F" w:rsidRPr="004321B9" w:rsidRDefault="00DA4A43" w:rsidP="004321B9">
      <w:pPr>
        <w:spacing w:after="240"/>
        <w:ind w:left="900" w:hanging="900"/>
        <w:rPr>
          <w:sz w:val="24"/>
          <w:szCs w:val="24"/>
        </w:rPr>
      </w:pPr>
      <w:r w:rsidRPr="004321B9">
        <w:rPr>
          <w:sz w:val="24"/>
          <w:szCs w:val="24"/>
        </w:rPr>
        <w:t xml:space="preserve">Ribeiro, A. (2024, August 28). </w:t>
      </w:r>
      <w:r w:rsidRPr="004321B9">
        <w:rPr>
          <w:i/>
          <w:sz w:val="24"/>
          <w:szCs w:val="24"/>
        </w:rPr>
        <w:t>Critical infrastructure faces 30 percent surge in cyber attacks, KnowBe4 report highlights</w:t>
      </w:r>
      <w:r w:rsidRPr="004321B9">
        <w:rPr>
          <w:sz w:val="24"/>
          <w:szCs w:val="24"/>
        </w:rPr>
        <w:t>. Industrial Cyber. https://industrialcyber.co/critical-infrastructure/critical-infrastructure-faces-30-percent-surge-in-cyber-attacks-knowbe4-report-highlights/</w:t>
      </w:r>
    </w:p>
    <w:p w14:paraId="2E2A667B" w14:textId="77777777" w:rsidR="00AE5C9F" w:rsidRPr="004321B9" w:rsidRDefault="00DA4A43" w:rsidP="004321B9">
      <w:pPr>
        <w:spacing w:after="240"/>
        <w:ind w:left="900" w:hanging="900"/>
        <w:rPr>
          <w:sz w:val="24"/>
          <w:szCs w:val="24"/>
        </w:rPr>
      </w:pPr>
      <w:r w:rsidRPr="004321B9">
        <w:rPr>
          <w:sz w:val="24"/>
          <w:szCs w:val="24"/>
        </w:rPr>
        <w:t xml:space="preserve">Ryu, D., Lee, S., Yang, S., Jeong, J., Lee, Y., &amp; Shin, D. (2024). Enhancing Cybersecurity in Energy IT Infrastructure Through a Layered Defense Approach to Major Malware Threats. </w:t>
      </w:r>
      <w:r w:rsidRPr="004321B9">
        <w:rPr>
          <w:i/>
          <w:sz w:val="24"/>
          <w:szCs w:val="24"/>
        </w:rPr>
        <w:t>Applied Sciences</w:t>
      </w:r>
      <w:r w:rsidRPr="004321B9">
        <w:rPr>
          <w:sz w:val="24"/>
          <w:szCs w:val="24"/>
        </w:rPr>
        <w:t xml:space="preserve">, </w:t>
      </w:r>
      <w:r w:rsidRPr="004321B9">
        <w:rPr>
          <w:i/>
          <w:sz w:val="24"/>
          <w:szCs w:val="24"/>
        </w:rPr>
        <w:t>14</w:t>
      </w:r>
      <w:r w:rsidRPr="004321B9">
        <w:rPr>
          <w:sz w:val="24"/>
          <w:szCs w:val="24"/>
        </w:rPr>
        <w:t>(22), 10342–10342. https://doi.org/10.3390/app142210342</w:t>
      </w:r>
    </w:p>
    <w:p w14:paraId="2BAA3ED9" w14:textId="77777777" w:rsidR="00AE5C9F" w:rsidRPr="004321B9" w:rsidRDefault="00DA4A43" w:rsidP="004321B9">
      <w:pPr>
        <w:spacing w:after="240"/>
        <w:ind w:left="900" w:hanging="900"/>
        <w:rPr>
          <w:sz w:val="24"/>
          <w:szCs w:val="24"/>
        </w:rPr>
      </w:pPr>
      <w:r w:rsidRPr="004321B9">
        <w:rPr>
          <w:sz w:val="24"/>
          <w:szCs w:val="24"/>
        </w:rPr>
        <w:t xml:space="preserve">Salami, I. A. (2025). Modeling and Measuring the Cyber Resilience of Critical Healthcare Infrastructure against Ransomware: A Cyber-Physical Systems Risk Perspective.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231–252. https://doi.org/10.9734/jerr/2025/v27i51504</w:t>
      </w:r>
    </w:p>
    <w:p w14:paraId="3D39CD38" w14:textId="77777777" w:rsidR="00AE5C9F" w:rsidRPr="004321B9" w:rsidRDefault="00DA4A43" w:rsidP="004321B9">
      <w:pPr>
        <w:spacing w:after="240"/>
        <w:ind w:left="900" w:hanging="900"/>
        <w:rPr>
          <w:sz w:val="24"/>
          <w:szCs w:val="24"/>
        </w:rPr>
      </w:pPr>
      <w:r w:rsidRPr="004321B9">
        <w:rPr>
          <w:sz w:val="24"/>
          <w:szCs w:val="24"/>
        </w:rPr>
        <w:t xml:space="preserve">Salami, I. A., Popoola, A. D., Gbadebo, M. O., Kolo, F. H. O., &amp; Adesokan-Imran, T. O. (2025). AI- Powered Behavioural Biometrics for Fraud Detection in Digital </w:t>
      </w:r>
      <w:r w:rsidRPr="004321B9">
        <w:rPr>
          <w:sz w:val="24"/>
          <w:szCs w:val="24"/>
        </w:rPr>
        <w:lastRenderedPageBreak/>
        <w:t xml:space="preserve">Banking: A Next-Generation Approach to Financial Cybersecurity. </w:t>
      </w:r>
      <w:r w:rsidRPr="004321B9">
        <w:rPr>
          <w:i/>
          <w:sz w:val="24"/>
          <w:szCs w:val="24"/>
        </w:rPr>
        <w:t>Asian Journal of Research in Computer Science</w:t>
      </w:r>
      <w:r w:rsidRPr="004321B9">
        <w:rPr>
          <w:sz w:val="24"/>
          <w:szCs w:val="24"/>
        </w:rPr>
        <w:t xml:space="preserve">, </w:t>
      </w:r>
      <w:r w:rsidRPr="004321B9">
        <w:rPr>
          <w:i/>
          <w:sz w:val="24"/>
          <w:szCs w:val="24"/>
        </w:rPr>
        <w:t>18</w:t>
      </w:r>
      <w:r w:rsidRPr="004321B9">
        <w:rPr>
          <w:sz w:val="24"/>
          <w:szCs w:val="24"/>
        </w:rPr>
        <w:t>(4), 473–494. https://doi.org/10.9734/ajrcos/2025/v18i4632</w:t>
      </w:r>
    </w:p>
    <w:p w14:paraId="6D82B4A2" w14:textId="77777777" w:rsidR="00AE5C9F" w:rsidRPr="004321B9" w:rsidRDefault="00DA4A43" w:rsidP="004321B9">
      <w:pPr>
        <w:spacing w:after="240"/>
        <w:ind w:left="900" w:hanging="900"/>
        <w:rPr>
          <w:sz w:val="24"/>
          <w:szCs w:val="24"/>
        </w:rPr>
      </w:pPr>
      <w:r w:rsidRPr="004321B9">
        <w:rPr>
          <w:sz w:val="24"/>
          <w:szCs w:val="24"/>
        </w:rPr>
        <w:t xml:space="preserve">Sasi, T., Lashkari, A. H., Lu, R., Xiong, P., &amp; Iqbal, S. (2023). A Comprehensive Survey on IoT Attacks: Taxonomy, Detection Mechanisms and Challenges. </w:t>
      </w:r>
      <w:r w:rsidRPr="004321B9">
        <w:rPr>
          <w:i/>
          <w:sz w:val="24"/>
          <w:szCs w:val="24"/>
        </w:rPr>
        <w:t>Journal of Information and Intelligence</w:t>
      </w:r>
      <w:r w:rsidRPr="004321B9">
        <w:rPr>
          <w:sz w:val="24"/>
          <w:szCs w:val="24"/>
        </w:rPr>
        <w:t xml:space="preserve">, </w:t>
      </w:r>
      <w:r w:rsidRPr="004321B9">
        <w:rPr>
          <w:i/>
          <w:sz w:val="24"/>
          <w:szCs w:val="24"/>
        </w:rPr>
        <w:t>2</w:t>
      </w:r>
      <w:r w:rsidRPr="004321B9">
        <w:rPr>
          <w:sz w:val="24"/>
          <w:szCs w:val="24"/>
        </w:rPr>
        <w:t>(6). https://doi.org/10.1016/j.jiixd.2023.12.001</w:t>
      </w:r>
    </w:p>
    <w:p w14:paraId="4A589C25" w14:textId="77777777" w:rsidR="00AE5C9F" w:rsidRPr="004321B9" w:rsidRDefault="00DA4A43" w:rsidP="004321B9">
      <w:pPr>
        <w:spacing w:after="240"/>
        <w:ind w:left="900" w:hanging="900"/>
        <w:rPr>
          <w:sz w:val="24"/>
          <w:szCs w:val="24"/>
        </w:rPr>
      </w:pPr>
      <w:r w:rsidRPr="004321B9">
        <w:rPr>
          <w:sz w:val="24"/>
          <w:szCs w:val="24"/>
        </w:rPr>
        <w:t xml:space="preserve">Wang, Q., Li, Y., &amp; Li, R. (2025). Integrating artificial intelligence in energy transition: A comprehensive review. </w:t>
      </w:r>
      <w:r w:rsidRPr="004321B9">
        <w:rPr>
          <w:i/>
          <w:sz w:val="24"/>
          <w:szCs w:val="24"/>
        </w:rPr>
        <w:t>Energy Strategy Reviews</w:t>
      </w:r>
      <w:r w:rsidRPr="004321B9">
        <w:rPr>
          <w:sz w:val="24"/>
          <w:szCs w:val="24"/>
        </w:rPr>
        <w:t xml:space="preserve">, </w:t>
      </w:r>
      <w:r w:rsidRPr="004321B9">
        <w:rPr>
          <w:i/>
          <w:sz w:val="24"/>
          <w:szCs w:val="24"/>
        </w:rPr>
        <w:t>57</w:t>
      </w:r>
      <w:r w:rsidRPr="004321B9">
        <w:rPr>
          <w:sz w:val="24"/>
          <w:szCs w:val="24"/>
        </w:rPr>
        <w:t>, 101600. https://doi.org/10.1016/j.esr.2024.101600</w:t>
      </w:r>
    </w:p>
    <w:p w14:paraId="446B037E" w14:textId="77777777" w:rsidR="00AE5C9F" w:rsidRPr="004321B9" w:rsidRDefault="00DA4A43" w:rsidP="004321B9">
      <w:pPr>
        <w:spacing w:after="240"/>
        <w:ind w:left="900" w:hanging="900"/>
        <w:rPr>
          <w:sz w:val="24"/>
          <w:szCs w:val="24"/>
        </w:rPr>
      </w:pPr>
      <w:r w:rsidRPr="004321B9">
        <w:rPr>
          <w:sz w:val="24"/>
          <w:szCs w:val="24"/>
        </w:rPr>
        <w:t xml:space="preserve">Watson, B. C., Morris, Z. B., Weissburg, M., &amp; Bras, B. (2022). System of System Design-for-Resilience Heuristics Derived from Forestry Case Study Variants. </w:t>
      </w:r>
      <w:r w:rsidRPr="004321B9">
        <w:rPr>
          <w:i/>
          <w:sz w:val="24"/>
          <w:szCs w:val="24"/>
        </w:rPr>
        <w:t>Reliability Engineering &amp; System Safety</w:t>
      </w:r>
      <w:r w:rsidRPr="004321B9">
        <w:rPr>
          <w:sz w:val="24"/>
          <w:szCs w:val="24"/>
        </w:rPr>
        <w:t>, 108807. https://doi.org/10.1016/j.ress.2022.108807</w:t>
      </w:r>
    </w:p>
    <w:p w14:paraId="5871E09F" w14:textId="77777777" w:rsidR="00AE5C9F" w:rsidRPr="004321B9" w:rsidRDefault="00DA4A43" w:rsidP="004321B9">
      <w:pPr>
        <w:spacing w:after="240"/>
        <w:ind w:left="900" w:hanging="900"/>
        <w:rPr>
          <w:sz w:val="24"/>
          <w:szCs w:val="24"/>
        </w:rPr>
      </w:pPr>
      <w:r w:rsidRPr="004321B9">
        <w:rPr>
          <w:sz w:val="24"/>
          <w:szCs w:val="24"/>
        </w:rPr>
        <w:t xml:space="preserve">Zurier, S. (2024). </w:t>
      </w:r>
      <w:r w:rsidRPr="004321B9">
        <w:rPr>
          <w:i/>
          <w:sz w:val="24"/>
          <w:szCs w:val="24"/>
        </w:rPr>
        <w:t>5 critical infrastructure sectors hit hardest by cyberattacks in 2024</w:t>
      </w:r>
      <w:r w:rsidRPr="004321B9">
        <w:rPr>
          <w:sz w:val="24"/>
          <w:szCs w:val="24"/>
        </w:rPr>
        <w:t>. SC Media. https://www.scworld.com/feature/critical-infrastructure-the-five-sectors-hit-hardest-by-cyberattacks-in-2024</w:t>
      </w:r>
    </w:p>
    <w:p w14:paraId="23C32A86" w14:textId="77777777" w:rsidR="00AE5C9F" w:rsidRDefault="00AE5C9F"/>
    <w:sectPr w:rsidR="00AE5C9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114D0" w14:textId="77777777" w:rsidR="001E3EE5" w:rsidRDefault="001E3EE5" w:rsidP="00033C0D">
      <w:pPr>
        <w:spacing w:line="240" w:lineRule="auto"/>
      </w:pPr>
      <w:r>
        <w:separator/>
      </w:r>
    </w:p>
  </w:endnote>
  <w:endnote w:type="continuationSeparator" w:id="0">
    <w:p w14:paraId="0042A4D1" w14:textId="77777777" w:rsidR="001E3EE5" w:rsidRDefault="001E3EE5" w:rsidP="00033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enorite">
    <w:altName w:val="Calibri"/>
    <w:charset w:val="00"/>
    <w:family w:val="auto"/>
    <w:pitch w:val="variable"/>
    <w:sig w:usb0="80000003" w:usb1="00000001"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6BF09" w14:textId="77777777" w:rsidR="00033C0D" w:rsidRDefault="00033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2377" w14:textId="77777777" w:rsidR="00033C0D" w:rsidRDefault="00033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8941" w14:textId="77777777" w:rsidR="00033C0D" w:rsidRDefault="00033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026FB" w14:textId="77777777" w:rsidR="001E3EE5" w:rsidRDefault="001E3EE5" w:rsidP="00033C0D">
      <w:pPr>
        <w:spacing w:line="240" w:lineRule="auto"/>
      </w:pPr>
      <w:r>
        <w:separator/>
      </w:r>
    </w:p>
  </w:footnote>
  <w:footnote w:type="continuationSeparator" w:id="0">
    <w:p w14:paraId="60A92605" w14:textId="77777777" w:rsidR="001E3EE5" w:rsidRDefault="001E3EE5" w:rsidP="00033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DB6C1" w14:textId="55CEE897" w:rsidR="00033C0D" w:rsidRDefault="00033C0D">
    <w:pPr>
      <w:pStyle w:val="Header"/>
    </w:pPr>
    <w:r>
      <w:rPr>
        <w:noProof/>
      </w:rPr>
      <w:pict w14:anchorId="0451E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65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60F6" w14:textId="3ACE7B61" w:rsidR="00033C0D" w:rsidRDefault="00033C0D">
    <w:pPr>
      <w:pStyle w:val="Header"/>
    </w:pPr>
    <w:r>
      <w:rPr>
        <w:noProof/>
      </w:rPr>
      <w:pict w14:anchorId="236D7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65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956E" w14:textId="70A13579" w:rsidR="00033C0D" w:rsidRDefault="00033C0D">
    <w:pPr>
      <w:pStyle w:val="Header"/>
    </w:pPr>
    <w:r>
      <w:rPr>
        <w:noProof/>
      </w:rPr>
      <w:pict w14:anchorId="09327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65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1D4A2D"/>
    <w:multiLevelType w:val="multilevel"/>
    <w:tmpl w:val="C6B0F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34C61E5"/>
    <w:multiLevelType w:val="multilevel"/>
    <w:tmpl w:val="D0B67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C9F"/>
    <w:rsid w:val="00033C0D"/>
    <w:rsid w:val="00044A7B"/>
    <w:rsid w:val="000B142E"/>
    <w:rsid w:val="000C04B3"/>
    <w:rsid w:val="0016074D"/>
    <w:rsid w:val="00184911"/>
    <w:rsid w:val="001D5F0C"/>
    <w:rsid w:val="001E3EE5"/>
    <w:rsid w:val="0027560F"/>
    <w:rsid w:val="00305BFF"/>
    <w:rsid w:val="00313BF7"/>
    <w:rsid w:val="00327ACD"/>
    <w:rsid w:val="00353A3E"/>
    <w:rsid w:val="003C7629"/>
    <w:rsid w:val="00401869"/>
    <w:rsid w:val="004321B9"/>
    <w:rsid w:val="00466A03"/>
    <w:rsid w:val="004A4EB7"/>
    <w:rsid w:val="005A2992"/>
    <w:rsid w:val="005C6004"/>
    <w:rsid w:val="005E7AE5"/>
    <w:rsid w:val="00635B34"/>
    <w:rsid w:val="00685C57"/>
    <w:rsid w:val="00795846"/>
    <w:rsid w:val="0079703A"/>
    <w:rsid w:val="00815490"/>
    <w:rsid w:val="008A79FD"/>
    <w:rsid w:val="008E40A2"/>
    <w:rsid w:val="00997DD3"/>
    <w:rsid w:val="009E176D"/>
    <w:rsid w:val="00A612E5"/>
    <w:rsid w:val="00AD2C8F"/>
    <w:rsid w:val="00AE5C9F"/>
    <w:rsid w:val="00B27D06"/>
    <w:rsid w:val="00BA2440"/>
    <w:rsid w:val="00BF107E"/>
    <w:rsid w:val="00C5239E"/>
    <w:rsid w:val="00C64BB6"/>
    <w:rsid w:val="00DA4A43"/>
    <w:rsid w:val="00DC4940"/>
    <w:rsid w:val="00DE6722"/>
    <w:rsid w:val="00E2127C"/>
    <w:rsid w:val="00E34E94"/>
    <w:rsid w:val="00F8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8123AAA"/>
  <w15:docId w15:val="{13F56575-E858-473A-8803-9182E70F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1D5F0C"/>
    <w:rPr>
      <w:color w:val="808080"/>
    </w:rPr>
  </w:style>
  <w:style w:type="character" w:customStyle="1" w:styleId="mord">
    <w:name w:val="mord"/>
    <w:basedOn w:val="DefaultParagraphFont"/>
    <w:rsid w:val="001D5F0C"/>
  </w:style>
  <w:style w:type="character" w:customStyle="1" w:styleId="mrel">
    <w:name w:val="mrel"/>
    <w:basedOn w:val="DefaultParagraphFont"/>
    <w:rsid w:val="001D5F0C"/>
  </w:style>
  <w:style w:type="character" w:customStyle="1" w:styleId="mbin">
    <w:name w:val="mbin"/>
    <w:basedOn w:val="DefaultParagraphFont"/>
    <w:rsid w:val="001D5F0C"/>
  </w:style>
  <w:style w:type="character" w:customStyle="1" w:styleId="katex-mathml">
    <w:name w:val="katex-mathml"/>
    <w:basedOn w:val="DefaultParagraphFont"/>
    <w:rsid w:val="00044A7B"/>
  </w:style>
  <w:style w:type="character" w:customStyle="1" w:styleId="vlist-s">
    <w:name w:val="vlist-s"/>
    <w:basedOn w:val="DefaultParagraphFont"/>
    <w:rsid w:val="00044A7B"/>
  </w:style>
  <w:style w:type="character" w:customStyle="1" w:styleId="mop">
    <w:name w:val="mop"/>
    <w:basedOn w:val="DefaultParagraphFont"/>
    <w:rsid w:val="00044A7B"/>
  </w:style>
  <w:style w:type="character" w:customStyle="1" w:styleId="mopen">
    <w:name w:val="mopen"/>
    <w:basedOn w:val="DefaultParagraphFont"/>
    <w:rsid w:val="00A612E5"/>
  </w:style>
  <w:style w:type="character" w:customStyle="1" w:styleId="mclose">
    <w:name w:val="mclose"/>
    <w:basedOn w:val="DefaultParagraphFont"/>
    <w:rsid w:val="00A612E5"/>
  </w:style>
  <w:style w:type="table" w:styleId="TableGrid">
    <w:name w:val="Table Grid"/>
    <w:basedOn w:val="TableNormal"/>
    <w:uiPriority w:val="39"/>
    <w:rsid w:val="005C60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722"/>
    <w:pPr>
      <w:ind w:left="720"/>
      <w:contextualSpacing/>
    </w:pPr>
  </w:style>
  <w:style w:type="paragraph" w:styleId="NoSpacing">
    <w:name w:val="No Spacing"/>
    <w:uiPriority w:val="1"/>
    <w:qFormat/>
    <w:rsid w:val="00305BFF"/>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05BFF"/>
    <w:rPr>
      <w:color w:val="0000FF" w:themeColor="hyperlink"/>
      <w:u w:val="single"/>
    </w:rPr>
  </w:style>
  <w:style w:type="character" w:styleId="UnresolvedMention">
    <w:name w:val="Unresolved Mention"/>
    <w:basedOn w:val="DefaultParagraphFont"/>
    <w:uiPriority w:val="99"/>
    <w:semiHidden/>
    <w:unhideWhenUsed/>
    <w:rsid w:val="00353A3E"/>
    <w:rPr>
      <w:color w:val="605E5C"/>
      <w:shd w:val="clear" w:color="auto" w:fill="E1DFDD"/>
    </w:rPr>
  </w:style>
  <w:style w:type="paragraph" w:styleId="Header">
    <w:name w:val="header"/>
    <w:basedOn w:val="Normal"/>
    <w:link w:val="HeaderChar"/>
    <w:uiPriority w:val="99"/>
    <w:unhideWhenUsed/>
    <w:rsid w:val="00033C0D"/>
    <w:pPr>
      <w:tabs>
        <w:tab w:val="center" w:pos="4680"/>
        <w:tab w:val="right" w:pos="9360"/>
      </w:tabs>
      <w:spacing w:line="240" w:lineRule="auto"/>
    </w:pPr>
  </w:style>
  <w:style w:type="character" w:customStyle="1" w:styleId="HeaderChar">
    <w:name w:val="Header Char"/>
    <w:basedOn w:val="DefaultParagraphFont"/>
    <w:link w:val="Header"/>
    <w:uiPriority w:val="99"/>
    <w:rsid w:val="00033C0D"/>
  </w:style>
  <w:style w:type="paragraph" w:styleId="Footer">
    <w:name w:val="footer"/>
    <w:basedOn w:val="Normal"/>
    <w:link w:val="FooterChar"/>
    <w:uiPriority w:val="99"/>
    <w:unhideWhenUsed/>
    <w:rsid w:val="00033C0D"/>
    <w:pPr>
      <w:tabs>
        <w:tab w:val="center" w:pos="4680"/>
        <w:tab w:val="right" w:pos="9360"/>
      </w:tabs>
      <w:spacing w:line="240" w:lineRule="auto"/>
    </w:pPr>
  </w:style>
  <w:style w:type="character" w:customStyle="1" w:styleId="FooterChar">
    <w:name w:val="Footer Char"/>
    <w:basedOn w:val="DefaultParagraphFont"/>
    <w:link w:val="Footer"/>
    <w:uiPriority w:val="99"/>
    <w:rsid w:val="00033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326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8856</Words>
  <Characters>50483</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17</cp:revision>
  <dcterms:created xsi:type="dcterms:W3CDTF">2025-06-20T14:42:00Z</dcterms:created>
  <dcterms:modified xsi:type="dcterms:W3CDTF">2025-06-23T11:36:00Z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d3d51bab-fb76-416c-971e-872e9f4ee7b4</vt:lpwstr>
  </property>
</Properties>
</file>