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54A8F" w14:textId="4A6960AD" w:rsidR="00244390" w:rsidRPr="005C371A" w:rsidRDefault="00E04C34" w:rsidP="009C69CA">
      <w:pPr>
        <w:pStyle w:val="MDPI13authornames"/>
        <w:spacing w:line="240" w:lineRule="auto"/>
        <w:jc w:val="both"/>
        <w:rPr>
          <w:rFonts w:ascii="Times New Roman" w:hAnsi="Times New Roman"/>
          <w:sz w:val="36"/>
          <w:szCs w:val="36"/>
          <w:lang w:val="en-GB" w:eastAsia="zh-CN"/>
        </w:rPr>
      </w:pPr>
      <w:bookmarkStart w:id="0" w:name="_GoBack"/>
      <w:bookmarkEnd w:id="0"/>
      <w:r w:rsidRPr="00E04C34">
        <w:rPr>
          <w:rFonts w:ascii="Times New Roman" w:hAnsi="Times New Roman"/>
          <w:sz w:val="36"/>
          <w:szCs w:val="36"/>
          <w:lang w:val="en-GB" w:eastAsia="zh-CN"/>
        </w:rPr>
        <w:t xml:space="preserve">Evaluating the Economic Performance of Enterprises Established </w:t>
      </w:r>
      <w:r w:rsidR="000B79D8">
        <w:rPr>
          <w:rFonts w:ascii="Times New Roman" w:hAnsi="Times New Roman"/>
          <w:sz w:val="36"/>
          <w:szCs w:val="36"/>
          <w:lang w:val="en-GB" w:eastAsia="zh-CN"/>
        </w:rPr>
        <w:t>t</w:t>
      </w:r>
      <w:r w:rsidRPr="00E04C34">
        <w:rPr>
          <w:rFonts w:ascii="Times New Roman" w:hAnsi="Times New Roman"/>
          <w:sz w:val="36"/>
          <w:szCs w:val="36"/>
          <w:lang w:val="en-GB" w:eastAsia="zh-CN"/>
        </w:rPr>
        <w:t>hrough Economic Empowerment Schemes in Tanzania:  Evidence from Mara and Arusha Regions</w:t>
      </w:r>
      <w:r w:rsidR="00244390" w:rsidRPr="005C371A">
        <w:rPr>
          <w:rFonts w:ascii="Times New Roman" w:hAnsi="Times New Roman"/>
          <w:sz w:val="36"/>
          <w:szCs w:val="36"/>
          <w:lang w:val="en-GB" w:eastAsia="zh-CN"/>
        </w:rPr>
        <w:t xml:space="preserve"> </w:t>
      </w:r>
    </w:p>
    <w:p w14:paraId="3B130FCC" w14:textId="5725DCF0" w:rsidR="00F519F5" w:rsidRDefault="00F519F5" w:rsidP="00872DF2">
      <w:pPr>
        <w:spacing w:after="0" w:line="360" w:lineRule="auto"/>
        <w:jc w:val="both"/>
        <w:rPr>
          <w:rFonts w:ascii="Times New Roman" w:hAnsi="Times New Roman" w:cs="Times New Roman"/>
          <w:sz w:val="24"/>
          <w:szCs w:val="24"/>
        </w:rPr>
      </w:pPr>
    </w:p>
    <w:p w14:paraId="6299CD49" w14:textId="77777777" w:rsidR="00391E00" w:rsidRPr="00872DF2" w:rsidRDefault="00391E00" w:rsidP="00872DF2">
      <w:pPr>
        <w:spacing w:after="0" w:line="360" w:lineRule="auto"/>
        <w:jc w:val="both"/>
        <w:rPr>
          <w:rFonts w:ascii="Times New Roman" w:hAnsi="Times New Roman" w:cs="Times New Roman"/>
          <w:sz w:val="24"/>
          <w:szCs w:val="24"/>
        </w:rPr>
      </w:pPr>
    </w:p>
    <w:p w14:paraId="6551C9E4" w14:textId="77777777" w:rsidR="004F26E5" w:rsidRPr="00872DF2" w:rsidRDefault="00C73B31" w:rsidP="00872DF2">
      <w:pPr>
        <w:pStyle w:val="Heading1"/>
        <w:spacing w:before="0" w:line="360" w:lineRule="auto"/>
        <w:jc w:val="both"/>
        <w:rPr>
          <w:rFonts w:ascii="Times New Roman" w:hAnsi="Times New Roman" w:cs="Times New Roman"/>
          <w:color w:val="auto"/>
          <w:sz w:val="24"/>
          <w:szCs w:val="24"/>
          <w:lang w:val="en-GB"/>
        </w:rPr>
      </w:pPr>
      <w:r w:rsidRPr="00872DF2">
        <w:rPr>
          <w:rFonts w:ascii="Times New Roman" w:hAnsi="Times New Roman" w:cs="Times New Roman"/>
          <w:color w:val="auto"/>
          <w:sz w:val="24"/>
          <w:szCs w:val="24"/>
          <w:lang w:val="en-GB"/>
        </w:rPr>
        <w:t>Abstract</w:t>
      </w:r>
    </w:p>
    <w:p w14:paraId="0DBB264B" w14:textId="1795A50F" w:rsidR="002F43D9" w:rsidRPr="00872DF2" w:rsidRDefault="006B409E" w:rsidP="00872DF2">
      <w:pPr>
        <w:spacing w:after="0" w:line="360" w:lineRule="auto"/>
        <w:jc w:val="both"/>
        <w:rPr>
          <w:rFonts w:ascii="Times New Roman" w:hAnsi="Times New Roman" w:cs="Times New Roman"/>
          <w:sz w:val="24"/>
          <w:szCs w:val="24"/>
          <w:lang w:val="en-GB"/>
        </w:rPr>
      </w:pPr>
      <w:r w:rsidRPr="00872DF2">
        <w:rPr>
          <w:rFonts w:ascii="Times New Roman" w:hAnsi="Times New Roman" w:cs="Times New Roman"/>
          <w:sz w:val="24"/>
          <w:szCs w:val="24"/>
          <w:lang w:val="en-GB"/>
        </w:rPr>
        <w:t xml:space="preserve">Economic empowerment schemes are pivotal in promoting inclusive growth and poverty reduction in developing countries. In Tanzania, Local Government Authorities (LGAs) implement revolving loan schemes targeting women, youth, and persons with disabilities to support micro, small, and medium-sized enterprises (MSMEs). However, there is limited empirical evidence on the economic performance of enterprises funded under these schemes across different regional contexts. This study aimed to evaluate the economic performance of enterprises established through Economic Empowerment Schemes (EES) in Tanzania, using cross-sectional data collected from 495 LGA loan beneficiaries in the Mara and Arusha regions through interviews and questionnaires. Analysis employed descriptive statistics, Net Profit Margin (NPM), Return on Investment (ROI), and Benefit-Cost Ratio (BCR). </w:t>
      </w:r>
      <w:r w:rsidR="002D707E">
        <w:rPr>
          <w:rFonts w:ascii="Times New Roman" w:hAnsi="Times New Roman" w:cs="Times New Roman"/>
          <w:sz w:val="24"/>
          <w:szCs w:val="24"/>
          <w:lang w:val="en-GB"/>
        </w:rPr>
        <w:t xml:space="preserve">Findings indicate that </w:t>
      </w:r>
      <w:r w:rsidR="002D707E" w:rsidRPr="002D707E">
        <w:rPr>
          <w:rFonts w:ascii="Times New Roman" w:hAnsi="Times New Roman" w:cs="Times New Roman"/>
          <w:sz w:val="24"/>
          <w:szCs w:val="24"/>
          <w:lang w:val="en-GB"/>
        </w:rPr>
        <w:t xml:space="preserve">enterprises funded under Tanzania’s LGA loan scheme demonstrated enhanced profitability, viability, employment generation, revenue growth, and business expansion. Profitability improved across sectors, with Mara showing high returns in crop production and transport due to lower operational costs, while Arusha’s construction and retail sectors recorded notable profitability despite higher costs. Viability, measured through BCR, confirmed that most enterprises remained economically sound post-loan, particularly in Mara’s agriculture and transport sectors. Employment generation increased, with Arusha recording gains in permanent and female employment, and Mara showing higher temporary employment, reflecting gender-inclusive and context-responsive income opportunities. Revenue growth was evident in both regions, with Arusha achieving higher total revenues in livestock and retail, while Mara leveraged its agricultural base for revenue gains. Business expansion followed loan disbursement, with increased capital and customer bases in both regions, and higher rates of business formalization and asset acquisition among women and youth in Arusha, while Mara beneficiaries, including PWDs, reported asset growth. These outcomes underscore the effectiveness of EES in promoting local economic development while highlighting the need for post-loan support and </w:t>
      </w:r>
      <w:r w:rsidR="002D707E" w:rsidRPr="002D707E">
        <w:rPr>
          <w:rFonts w:ascii="Times New Roman" w:hAnsi="Times New Roman" w:cs="Times New Roman"/>
          <w:sz w:val="24"/>
          <w:szCs w:val="24"/>
          <w:lang w:val="en-GB"/>
        </w:rPr>
        <w:lastRenderedPageBreak/>
        <w:t>market facilitation to sustain growth and address regional disparities in enterprise outcomes</w:t>
      </w:r>
      <w:r w:rsidRPr="00872DF2">
        <w:rPr>
          <w:rFonts w:ascii="Times New Roman" w:hAnsi="Times New Roman" w:cs="Times New Roman"/>
          <w:sz w:val="24"/>
          <w:szCs w:val="24"/>
          <w:lang w:val="en-GB"/>
        </w:rPr>
        <w:t>. Policymakers should complement EES loans with tailored post-loan support, training, and market facilitation to sustain enterprise growth and address regional disparities in economic empowerment outcomes.</w:t>
      </w:r>
    </w:p>
    <w:p w14:paraId="5FB8C564" w14:textId="5D1C244A" w:rsidR="00C412D6" w:rsidRPr="00872DF2" w:rsidRDefault="00C73B31" w:rsidP="00872DF2">
      <w:pPr>
        <w:pStyle w:val="Default"/>
        <w:spacing w:line="360" w:lineRule="auto"/>
        <w:ind w:left="1260" w:hanging="1260"/>
        <w:jc w:val="both"/>
        <w:rPr>
          <w:rFonts w:ascii="Times New Roman" w:hAnsi="Times New Roman" w:cs="Times New Roman"/>
          <w:lang w:val="en-GB"/>
        </w:rPr>
      </w:pPr>
      <w:r w:rsidRPr="00872DF2">
        <w:rPr>
          <w:rFonts w:ascii="Times New Roman" w:hAnsi="Times New Roman" w:cs="Times New Roman"/>
          <w:b/>
          <w:lang w:val="en-GB"/>
        </w:rPr>
        <w:t>Keywords:</w:t>
      </w:r>
      <w:r w:rsidR="00750546" w:rsidRPr="00872DF2">
        <w:rPr>
          <w:rFonts w:ascii="Times New Roman" w:hAnsi="Times New Roman" w:cs="Times New Roman"/>
          <w:lang w:val="en-GB"/>
        </w:rPr>
        <w:t xml:space="preserve"> </w:t>
      </w:r>
      <w:r w:rsidR="006B409E" w:rsidRPr="00872DF2">
        <w:rPr>
          <w:rFonts w:ascii="Times New Roman" w:hAnsi="Times New Roman" w:cs="Times New Roman"/>
          <w:lang w:val="en-GB"/>
        </w:rPr>
        <w:t>Economic Empowerment Schemes</w:t>
      </w:r>
      <w:r w:rsidR="0093065B" w:rsidRPr="00872DF2">
        <w:rPr>
          <w:rFonts w:ascii="Times New Roman" w:hAnsi="Times New Roman" w:cs="Times New Roman"/>
          <w:lang w:val="en-GB"/>
        </w:rPr>
        <w:t xml:space="preserve">, enterprise performance, </w:t>
      </w:r>
      <w:r w:rsidR="00A45C4C" w:rsidRPr="00872DF2">
        <w:rPr>
          <w:rFonts w:ascii="Times New Roman" w:hAnsi="Times New Roman" w:cs="Times New Roman"/>
          <w:lang w:val="en-GB"/>
        </w:rPr>
        <w:t>Net Profit Margin, Return on Investment, and Benefit-Cost Ratio</w:t>
      </w:r>
      <w:r w:rsidR="0093065B" w:rsidRPr="00872DF2">
        <w:rPr>
          <w:rFonts w:ascii="Times New Roman" w:hAnsi="Times New Roman" w:cs="Times New Roman"/>
          <w:lang w:val="en-GB"/>
        </w:rPr>
        <w:t>, local government loan schemes</w:t>
      </w:r>
      <w:r w:rsidR="00A45C4C" w:rsidRPr="00872DF2">
        <w:rPr>
          <w:rFonts w:ascii="Times New Roman" w:hAnsi="Times New Roman" w:cs="Times New Roman"/>
          <w:lang w:val="en-GB"/>
        </w:rPr>
        <w:t>, Tanzania.</w:t>
      </w:r>
    </w:p>
    <w:p w14:paraId="4E79655E" w14:textId="3B2FA8FC" w:rsidR="004F26E5" w:rsidRPr="00872DF2" w:rsidRDefault="00C73B31" w:rsidP="00872DF2">
      <w:pPr>
        <w:pStyle w:val="Heading1"/>
        <w:spacing w:before="0" w:line="360" w:lineRule="auto"/>
        <w:jc w:val="both"/>
        <w:rPr>
          <w:rFonts w:ascii="Times New Roman" w:hAnsi="Times New Roman" w:cs="Times New Roman"/>
          <w:color w:val="auto"/>
          <w:sz w:val="24"/>
          <w:szCs w:val="24"/>
          <w:lang w:val="en-GB"/>
        </w:rPr>
      </w:pPr>
      <w:r w:rsidRPr="00872DF2">
        <w:rPr>
          <w:rFonts w:ascii="Times New Roman" w:hAnsi="Times New Roman" w:cs="Times New Roman"/>
          <w:color w:val="auto"/>
          <w:sz w:val="24"/>
          <w:szCs w:val="24"/>
          <w:lang w:val="en-GB" w:eastAsia="zh-CN"/>
        </w:rPr>
        <w:t xml:space="preserve">1. </w:t>
      </w:r>
      <w:r w:rsidRPr="00872DF2">
        <w:rPr>
          <w:rFonts w:ascii="Times New Roman" w:hAnsi="Times New Roman" w:cs="Times New Roman"/>
          <w:color w:val="auto"/>
          <w:sz w:val="24"/>
          <w:szCs w:val="24"/>
          <w:lang w:val="en-GB"/>
        </w:rPr>
        <w:t>Introdu</w:t>
      </w:r>
      <w:r w:rsidR="005C4ABF" w:rsidRPr="00872DF2">
        <w:rPr>
          <w:rFonts w:ascii="Times New Roman" w:hAnsi="Times New Roman" w:cs="Times New Roman"/>
          <w:color w:val="auto"/>
          <w:sz w:val="24"/>
          <w:szCs w:val="24"/>
          <w:lang w:val="en-GB"/>
        </w:rPr>
        <w:t xml:space="preserve">ction </w:t>
      </w:r>
    </w:p>
    <w:p w14:paraId="02126D1F" w14:textId="77777777" w:rsidR="00E0583D" w:rsidRPr="00872DF2" w:rsidRDefault="00E0583D" w:rsidP="00872DF2">
      <w:pPr>
        <w:pStyle w:val="Default"/>
        <w:spacing w:line="360" w:lineRule="auto"/>
        <w:ind w:firstLine="450"/>
        <w:jc w:val="both"/>
        <w:rPr>
          <w:rFonts w:ascii="Times New Roman" w:hAnsi="Times New Roman" w:cs="Times New Roman"/>
          <w:lang w:val="en-GB"/>
        </w:rPr>
      </w:pPr>
      <w:r w:rsidRPr="00872DF2">
        <w:rPr>
          <w:rFonts w:ascii="Times New Roman" w:hAnsi="Times New Roman" w:cs="Times New Roman"/>
          <w:lang w:val="en-GB"/>
        </w:rPr>
        <w:t>Economic empowerment schemes are essential for promoting inclusive growth, poverty reduction, and sustainable livelihoods in developing countries. In Tanzania, local government authorities (LGAs) have operationalized various initiatives—including revolving loan schemes and grants—targeting women, youth, and persons with disabilities to enhance their participation in micro, small, and medium-sized enterprises (MSMEs) (URT, 2020). These interventions align with frameworks such as the Tanzania Development Vision 2025 and the Five-Year Development Plan III, aiming to foster equitable economic participation while addressing financial constraints among marginalized groups (URT, 2000; URT, 2019). However, despite these efforts, there remains limited empirical evidence on the measurable economic performance of enterprises funded under these schemes across different regional contexts.</w:t>
      </w:r>
    </w:p>
    <w:p w14:paraId="17F0F723" w14:textId="77777777" w:rsidR="00E0583D" w:rsidRPr="00872DF2" w:rsidRDefault="00E0583D" w:rsidP="00872DF2">
      <w:pPr>
        <w:pStyle w:val="Default"/>
        <w:spacing w:line="360" w:lineRule="auto"/>
        <w:ind w:firstLine="450"/>
        <w:jc w:val="both"/>
        <w:rPr>
          <w:rFonts w:ascii="Times New Roman" w:hAnsi="Times New Roman" w:cs="Times New Roman"/>
          <w:lang w:val="en-GB"/>
        </w:rPr>
      </w:pPr>
      <w:r w:rsidRPr="00872DF2">
        <w:rPr>
          <w:rFonts w:ascii="Times New Roman" w:hAnsi="Times New Roman" w:cs="Times New Roman"/>
          <w:lang w:val="en-GB"/>
        </w:rPr>
        <w:t>Microfinance and LGA-led credit programs have emerged as critical tools in addressing financial exclusion and supporting entrepreneurship among resource-poor populations (</w:t>
      </w:r>
      <w:proofErr w:type="spellStart"/>
      <w:r w:rsidRPr="00872DF2">
        <w:rPr>
          <w:rFonts w:ascii="Times New Roman" w:hAnsi="Times New Roman" w:cs="Times New Roman"/>
          <w:lang w:val="en-GB"/>
        </w:rPr>
        <w:t>Ledgerwood</w:t>
      </w:r>
      <w:proofErr w:type="spellEnd"/>
      <w:r w:rsidRPr="00872DF2">
        <w:rPr>
          <w:rFonts w:ascii="Times New Roman" w:hAnsi="Times New Roman" w:cs="Times New Roman"/>
          <w:lang w:val="en-GB"/>
        </w:rPr>
        <w:t>, 2013; Bateman &amp; Chang, 2012). Access to microcredit has been linked to improvements in income generation, asset accumulation, and business expansion among low-income entrepreneurs globally (</w:t>
      </w:r>
      <w:proofErr w:type="spellStart"/>
      <w:r w:rsidRPr="00872DF2">
        <w:rPr>
          <w:rFonts w:ascii="Times New Roman" w:hAnsi="Times New Roman" w:cs="Times New Roman"/>
          <w:lang w:val="en-GB"/>
        </w:rPr>
        <w:t>Karlan</w:t>
      </w:r>
      <w:proofErr w:type="spellEnd"/>
      <w:r w:rsidRPr="00872DF2">
        <w:rPr>
          <w:rFonts w:ascii="Times New Roman" w:hAnsi="Times New Roman" w:cs="Times New Roman"/>
          <w:lang w:val="en-GB"/>
        </w:rPr>
        <w:t xml:space="preserve"> &amp; Valdivia, 2011; </w:t>
      </w:r>
      <w:proofErr w:type="spellStart"/>
      <w:r w:rsidRPr="00872DF2">
        <w:rPr>
          <w:rFonts w:ascii="Times New Roman" w:hAnsi="Times New Roman" w:cs="Times New Roman"/>
          <w:lang w:val="en-GB"/>
        </w:rPr>
        <w:t>Khandker</w:t>
      </w:r>
      <w:proofErr w:type="spellEnd"/>
      <w:r w:rsidRPr="00872DF2">
        <w:rPr>
          <w:rFonts w:ascii="Times New Roman" w:hAnsi="Times New Roman" w:cs="Times New Roman"/>
          <w:lang w:val="en-GB"/>
        </w:rPr>
        <w:t xml:space="preserve"> &amp; Samad, 2014). However, the scale and consistency of these impacts often depend on complementary interventions, including training and market access, which are frequently lacking in many contexts (Bateman, 2010; </w:t>
      </w:r>
      <w:proofErr w:type="spellStart"/>
      <w:r w:rsidRPr="00872DF2">
        <w:rPr>
          <w:rFonts w:ascii="Times New Roman" w:hAnsi="Times New Roman" w:cs="Times New Roman"/>
          <w:lang w:val="en-GB"/>
        </w:rPr>
        <w:t>Duvendack</w:t>
      </w:r>
      <w:proofErr w:type="spellEnd"/>
      <w:r w:rsidRPr="00872DF2">
        <w:rPr>
          <w:rFonts w:ascii="Times New Roman" w:hAnsi="Times New Roman" w:cs="Times New Roman"/>
          <w:lang w:val="en-GB"/>
        </w:rPr>
        <w:t xml:space="preserve"> et al., 2011). In Tanzania, microcredit has shown potential in increasing business income and improving household welfare for women and youth, although persistent challenges such as high operational costs and limited market access continue to constrain enterprise sustainability (</w:t>
      </w:r>
      <w:proofErr w:type="spellStart"/>
      <w:r w:rsidRPr="00872DF2">
        <w:rPr>
          <w:rFonts w:ascii="Times New Roman" w:hAnsi="Times New Roman" w:cs="Times New Roman"/>
          <w:lang w:val="en-GB"/>
        </w:rPr>
        <w:t>Isaga</w:t>
      </w:r>
      <w:proofErr w:type="spellEnd"/>
      <w:r w:rsidRPr="00872DF2">
        <w:rPr>
          <w:rFonts w:ascii="Times New Roman" w:hAnsi="Times New Roman" w:cs="Times New Roman"/>
          <w:lang w:val="en-GB"/>
        </w:rPr>
        <w:t xml:space="preserve">, 2018; Cho &amp; </w:t>
      </w:r>
      <w:proofErr w:type="spellStart"/>
      <w:r w:rsidRPr="00872DF2">
        <w:rPr>
          <w:rFonts w:ascii="Times New Roman" w:hAnsi="Times New Roman" w:cs="Times New Roman"/>
          <w:lang w:val="en-GB"/>
        </w:rPr>
        <w:t>Honorati</w:t>
      </w:r>
      <w:proofErr w:type="spellEnd"/>
      <w:r w:rsidRPr="00872DF2">
        <w:rPr>
          <w:rFonts w:ascii="Times New Roman" w:hAnsi="Times New Roman" w:cs="Times New Roman"/>
          <w:lang w:val="en-GB"/>
        </w:rPr>
        <w:t>, 2014).</w:t>
      </w:r>
    </w:p>
    <w:p w14:paraId="1245A807" w14:textId="77777777" w:rsidR="00E0583D" w:rsidRPr="00872DF2" w:rsidRDefault="00E0583D" w:rsidP="00872DF2">
      <w:pPr>
        <w:pStyle w:val="Default"/>
        <w:spacing w:line="360" w:lineRule="auto"/>
        <w:ind w:firstLine="450"/>
        <w:jc w:val="both"/>
        <w:rPr>
          <w:rFonts w:ascii="Times New Roman" w:hAnsi="Times New Roman" w:cs="Times New Roman"/>
          <w:lang w:val="en-GB"/>
        </w:rPr>
      </w:pPr>
      <w:r w:rsidRPr="00872DF2">
        <w:rPr>
          <w:rFonts w:ascii="Times New Roman" w:hAnsi="Times New Roman" w:cs="Times New Roman"/>
          <w:lang w:val="en-GB"/>
        </w:rPr>
        <w:t xml:space="preserve">Assessing the effectiveness of economic empowerment initiatives requires examining indicators such as profitability, viability, business expansion, revenue growth, and employment </w:t>
      </w:r>
      <w:r w:rsidRPr="00872DF2">
        <w:rPr>
          <w:rFonts w:ascii="Times New Roman" w:hAnsi="Times New Roman" w:cs="Times New Roman"/>
          <w:lang w:val="en-GB"/>
        </w:rPr>
        <w:lastRenderedPageBreak/>
        <w:t>generation (</w:t>
      </w:r>
      <w:proofErr w:type="spellStart"/>
      <w:r w:rsidRPr="00872DF2">
        <w:rPr>
          <w:rFonts w:ascii="Times New Roman" w:hAnsi="Times New Roman" w:cs="Times New Roman"/>
          <w:lang w:val="en-GB"/>
        </w:rPr>
        <w:t>Ledgerwood</w:t>
      </w:r>
      <w:proofErr w:type="spellEnd"/>
      <w:r w:rsidRPr="00872DF2">
        <w:rPr>
          <w:rFonts w:ascii="Times New Roman" w:hAnsi="Times New Roman" w:cs="Times New Roman"/>
          <w:lang w:val="en-GB"/>
        </w:rPr>
        <w:t xml:space="preserve">, 2013; </w:t>
      </w:r>
      <w:proofErr w:type="spellStart"/>
      <w:r w:rsidRPr="00872DF2">
        <w:rPr>
          <w:rFonts w:ascii="Times New Roman" w:hAnsi="Times New Roman" w:cs="Times New Roman"/>
          <w:lang w:val="en-GB"/>
        </w:rPr>
        <w:t>Yunus</w:t>
      </w:r>
      <w:proofErr w:type="spellEnd"/>
      <w:r w:rsidRPr="00872DF2">
        <w:rPr>
          <w:rFonts w:ascii="Times New Roman" w:hAnsi="Times New Roman" w:cs="Times New Roman"/>
          <w:lang w:val="en-GB"/>
        </w:rPr>
        <w:t xml:space="preserve"> &amp; </w:t>
      </w:r>
      <w:proofErr w:type="spellStart"/>
      <w:r w:rsidRPr="00872DF2">
        <w:rPr>
          <w:rFonts w:ascii="Times New Roman" w:hAnsi="Times New Roman" w:cs="Times New Roman"/>
          <w:lang w:val="en-GB"/>
        </w:rPr>
        <w:t>Moingeon</w:t>
      </w:r>
      <w:proofErr w:type="spellEnd"/>
      <w:r w:rsidRPr="00872DF2">
        <w:rPr>
          <w:rFonts w:ascii="Times New Roman" w:hAnsi="Times New Roman" w:cs="Times New Roman"/>
          <w:lang w:val="en-GB"/>
        </w:rPr>
        <w:t>, 2010). These indicators are vital for evaluating enterprise sustainability and contributions to local economic development while aligning with Sustainable Development Goals (SDGs), particularly SDG 8 on Decent Work and Economic Growth and SDG 10 on Reduced Inequalities (ILO, 2017). Regional differences also play a significant role, as areas like Arusha may benefit from better infrastructure and market access, enhancing enterprise growth, while rural regions such as Mara often face limitations that can hinder business development (IFAD, 2020; Scoones, 2015). Additionally, socio-demographic factors, including gender, age, education, and household size, influence how beneficiaries utilize empowerment funds, with women and youth frequently encountering unique barriers in accessing and managing financial resources (</w:t>
      </w:r>
      <w:proofErr w:type="spellStart"/>
      <w:r w:rsidRPr="00872DF2">
        <w:rPr>
          <w:rFonts w:ascii="Times New Roman" w:hAnsi="Times New Roman" w:cs="Times New Roman"/>
          <w:lang w:val="en-GB"/>
        </w:rPr>
        <w:t>Mayoux</w:t>
      </w:r>
      <w:proofErr w:type="spellEnd"/>
      <w:r w:rsidRPr="00872DF2">
        <w:rPr>
          <w:rFonts w:ascii="Times New Roman" w:hAnsi="Times New Roman" w:cs="Times New Roman"/>
          <w:lang w:val="en-GB"/>
        </w:rPr>
        <w:t xml:space="preserve">, 2001; </w:t>
      </w:r>
      <w:proofErr w:type="spellStart"/>
      <w:r w:rsidRPr="00872DF2">
        <w:rPr>
          <w:rFonts w:ascii="Times New Roman" w:hAnsi="Times New Roman" w:cs="Times New Roman"/>
          <w:lang w:val="en-GB"/>
        </w:rPr>
        <w:t>Demirgüç-Kunt</w:t>
      </w:r>
      <w:proofErr w:type="spellEnd"/>
      <w:r w:rsidRPr="00872DF2">
        <w:rPr>
          <w:rFonts w:ascii="Times New Roman" w:hAnsi="Times New Roman" w:cs="Times New Roman"/>
          <w:lang w:val="en-GB"/>
        </w:rPr>
        <w:t xml:space="preserve"> et al., 2020).</w:t>
      </w:r>
    </w:p>
    <w:p w14:paraId="154BC267" w14:textId="77777777" w:rsidR="00E0583D" w:rsidRPr="00872DF2" w:rsidRDefault="00E0583D" w:rsidP="00872DF2">
      <w:pPr>
        <w:pStyle w:val="Default"/>
        <w:spacing w:line="360" w:lineRule="auto"/>
        <w:ind w:firstLine="450"/>
        <w:jc w:val="both"/>
        <w:rPr>
          <w:rFonts w:ascii="Times New Roman" w:hAnsi="Times New Roman" w:cs="Times New Roman"/>
          <w:lang w:val="en-GB"/>
        </w:rPr>
      </w:pPr>
      <w:r w:rsidRPr="00872DF2">
        <w:rPr>
          <w:rFonts w:ascii="Times New Roman" w:hAnsi="Times New Roman" w:cs="Times New Roman"/>
          <w:lang w:val="en-GB"/>
        </w:rPr>
        <w:t>To advance equitable economic participation, the Tanzanian government has operationalized a pro-poor Economic Empowerment Scheme (EES) since 1993, requiring LGAs to allocate 10% of their annual revenue for lending to women, youth, and persons with disabilities under the National Economic Empowerment Policy and financial regulations (URT, 2007; URT, 2019). Despite these initiatives, performance audits and reviews have revealed persistent challenges in the effectiveness of EES implementation, underscoring the need for systematic evaluation to inform improvements in the administration and outcomes of these schemes.</w:t>
      </w:r>
    </w:p>
    <w:p w14:paraId="166DA331" w14:textId="77777777" w:rsidR="00E0583D" w:rsidRPr="00872DF2" w:rsidRDefault="00E0583D" w:rsidP="00872DF2">
      <w:pPr>
        <w:pStyle w:val="Default"/>
        <w:spacing w:line="360" w:lineRule="auto"/>
        <w:ind w:firstLine="450"/>
        <w:jc w:val="both"/>
        <w:rPr>
          <w:rFonts w:ascii="Times New Roman" w:hAnsi="Times New Roman" w:cs="Times New Roman"/>
          <w:lang w:val="en-GB"/>
        </w:rPr>
      </w:pPr>
      <w:r w:rsidRPr="00872DF2">
        <w:rPr>
          <w:rFonts w:ascii="Times New Roman" w:hAnsi="Times New Roman" w:cs="Times New Roman"/>
          <w:lang w:val="en-GB"/>
        </w:rPr>
        <w:t>While studies have explored the general impacts of microfinance in Tanzania, there is a paucity of systematic, region-specific analyses focusing on the economic performance of enterprises funded under LGA-administered empowerment schemes, particularly concerning profitability, viability, business expansion, and employment generation (</w:t>
      </w:r>
      <w:proofErr w:type="spellStart"/>
      <w:r w:rsidRPr="00872DF2">
        <w:rPr>
          <w:rFonts w:ascii="Times New Roman" w:hAnsi="Times New Roman" w:cs="Times New Roman"/>
          <w:lang w:val="en-GB"/>
        </w:rPr>
        <w:t>Isaga</w:t>
      </w:r>
      <w:proofErr w:type="spellEnd"/>
      <w:r w:rsidRPr="00872DF2">
        <w:rPr>
          <w:rFonts w:ascii="Times New Roman" w:hAnsi="Times New Roman" w:cs="Times New Roman"/>
          <w:lang w:val="en-GB"/>
        </w:rPr>
        <w:t xml:space="preserve">, 2018; </w:t>
      </w:r>
      <w:proofErr w:type="spellStart"/>
      <w:r w:rsidRPr="00872DF2">
        <w:rPr>
          <w:rFonts w:ascii="Times New Roman" w:hAnsi="Times New Roman" w:cs="Times New Roman"/>
          <w:lang w:val="en-GB"/>
        </w:rPr>
        <w:t>Ngalemwa</w:t>
      </w:r>
      <w:proofErr w:type="spellEnd"/>
      <w:r w:rsidRPr="00872DF2">
        <w:rPr>
          <w:rFonts w:ascii="Times New Roman" w:hAnsi="Times New Roman" w:cs="Times New Roman"/>
          <w:lang w:val="en-GB"/>
        </w:rPr>
        <w:t>, 2017). Understanding these outcomes is crucial for optimizing the design and implementation of local economic empowerment frameworks to enhance sustainable livelihoods and enterprise growth in Tanzania.</w:t>
      </w:r>
    </w:p>
    <w:p w14:paraId="0DCC5F43" w14:textId="19F56AD1" w:rsidR="00E30F50" w:rsidRPr="00872DF2" w:rsidRDefault="00E0583D" w:rsidP="00872DF2">
      <w:pPr>
        <w:pStyle w:val="Default"/>
        <w:spacing w:line="360" w:lineRule="auto"/>
        <w:ind w:firstLine="450"/>
        <w:jc w:val="both"/>
        <w:rPr>
          <w:rFonts w:ascii="Times New Roman" w:eastAsia="SimSun" w:hAnsi="Times New Roman" w:cs="Times New Roman"/>
          <w:lang w:val="en-GB" w:eastAsia="zh-CN"/>
        </w:rPr>
      </w:pPr>
      <w:r w:rsidRPr="00872DF2">
        <w:rPr>
          <w:rFonts w:ascii="Times New Roman" w:hAnsi="Times New Roman" w:cs="Times New Roman"/>
          <w:lang w:val="en-GB"/>
        </w:rPr>
        <w:t xml:space="preserve">Against this background, this study aims to evaluate the economic performance of enterprises established through Economic Empowerment Schemes in Tanzania, using evidence from the Mara and Arusha regions. By </w:t>
      </w:r>
      <w:proofErr w:type="spellStart"/>
      <w:r w:rsidRPr="00872DF2">
        <w:rPr>
          <w:rFonts w:ascii="Times New Roman" w:hAnsi="Times New Roman" w:cs="Times New Roman"/>
          <w:lang w:val="en-GB"/>
        </w:rPr>
        <w:t>analyzing</w:t>
      </w:r>
      <w:proofErr w:type="spellEnd"/>
      <w:r w:rsidRPr="00872DF2">
        <w:rPr>
          <w:rFonts w:ascii="Times New Roman" w:hAnsi="Times New Roman" w:cs="Times New Roman"/>
          <w:lang w:val="en-GB"/>
        </w:rPr>
        <w:t xml:space="preserve"> profitability, viability, business expansion, employment generation, and revenue growth among LGA loan beneficiaries, the study provides context-specific insights to guide policy and programming aimed at strengthening the </w:t>
      </w:r>
      <w:r w:rsidRPr="00872DF2">
        <w:rPr>
          <w:rFonts w:ascii="Times New Roman" w:hAnsi="Times New Roman" w:cs="Times New Roman"/>
          <w:lang w:val="en-GB"/>
        </w:rPr>
        <w:lastRenderedPageBreak/>
        <w:t>effectiveness of economic empowerment initiatives in advancing inclusive economic development in Tanzania</w:t>
      </w:r>
      <w:r w:rsidR="00AD6D5E" w:rsidRPr="00872DF2">
        <w:rPr>
          <w:rFonts w:ascii="Times New Roman" w:hAnsi="Times New Roman" w:cs="Times New Roman"/>
          <w:lang w:val="en-GB"/>
        </w:rPr>
        <w:t>.</w:t>
      </w:r>
    </w:p>
    <w:p w14:paraId="746F5292" w14:textId="73B5716F" w:rsidR="00C412D6" w:rsidRPr="00872DF2" w:rsidRDefault="00C73B31" w:rsidP="00872DF2">
      <w:pPr>
        <w:pStyle w:val="Heading1"/>
        <w:spacing w:before="0" w:line="360" w:lineRule="auto"/>
        <w:jc w:val="both"/>
        <w:rPr>
          <w:rFonts w:ascii="Times New Roman" w:hAnsi="Times New Roman" w:cs="Times New Roman"/>
          <w:color w:val="auto"/>
          <w:sz w:val="24"/>
          <w:szCs w:val="24"/>
          <w:lang w:val="en-GB" w:eastAsia="zh-CN"/>
        </w:rPr>
      </w:pPr>
      <w:r w:rsidRPr="00872DF2">
        <w:rPr>
          <w:rFonts w:ascii="Times New Roman" w:hAnsi="Times New Roman" w:cs="Times New Roman"/>
          <w:color w:val="auto"/>
          <w:sz w:val="24"/>
          <w:szCs w:val="24"/>
          <w:lang w:val="en-GB" w:eastAsia="zh-CN"/>
        </w:rPr>
        <w:t xml:space="preserve">2. </w:t>
      </w:r>
      <w:r w:rsidR="00C9130A" w:rsidRPr="00872DF2">
        <w:rPr>
          <w:rFonts w:ascii="Times New Roman" w:hAnsi="Times New Roman" w:cs="Times New Roman"/>
          <w:color w:val="auto"/>
          <w:sz w:val="24"/>
          <w:szCs w:val="24"/>
          <w:lang w:val="en-GB" w:eastAsia="zh-CN"/>
        </w:rPr>
        <w:t>Methodology</w:t>
      </w:r>
    </w:p>
    <w:p w14:paraId="6DBFA4F2" w14:textId="4F25DDDF" w:rsidR="005F46A7" w:rsidRPr="00872DF2" w:rsidRDefault="00C73B31" w:rsidP="00872DF2">
      <w:pPr>
        <w:pStyle w:val="Heading2"/>
        <w:spacing w:before="0" w:line="360" w:lineRule="auto"/>
        <w:jc w:val="both"/>
        <w:rPr>
          <w:rFonts w:ascii="Times New Roman" w:hAnsi="Times New Roman" w:cs="Times New Roman"/>
          <w:color w:val="auto"/>
          <w:sz w:val="24"/>
          <w:szCs w:val="24"/>
          <w:lang w:val="en-GB"/>
        </w:rPr>
      </w:pPr>
      <w:r w:rsidRPr="00872DF2">
        <w:rPr>
          <w:rFonts w:ascii="Times New Roman" w:hAnsi="Times New Roman" w:cs="Times New Roman"/>
          <w:color w:val="auto"/>
          <w:sz w:val="24"/>
          <w:szCs w:val="24"/>
          <w:lang w:val="en-GB"/>
        </w:rPr>
        <w:t xml:space="preserve">2.1. </w:t>
      </w:r>
      <w:r w:rsidR="00C9130A" w:rsidRPr="00872DF2">
        <w:rPr>
          <w:rFonts w:ascii="Times New Roman" w:hAnsi="Times New Roman" w:cs="Times New Roman"/>
          <w:color w:val="auto"/>
          <w:sz w:val="24"/>
          <w:szCs w:val="24"/>
          <w:lang w:val="en-GB"/>
        </w:rPr>
        <w:t>Description of the Study Area</w:t>
      </w:r>
    </w:p>
    <w:p w14:paraId="22AD8240" w14:textId="01BBEBEB" w:rsidR="009E55F1" w:rsidRPr="00872DF2" w:rsidRDefault="009E55F1" w:rsidP="00872DF2">
      <w:pPr>
        <w:autoSpaceDE w:val="0"/>
        <w:autoSpaceDN w:val="0"/>
        <w:adjustRightInd w:val="0"/>
        <w:spacing w:after="0" w:line="360" w:lineRule="auto"/>
        <w:ind w:firstLine="450"/>
        <w:jc w:val="both"/>
        <w:rPr>
          <w:rFonts w:ascii="Times New Roman" w:eastAsia="SimSun" w:hAnsi="Times New Roman" w:cs="Times New Roman"/>
          <w:bCs/>
          <w:sz w:val="24"/>
          <w:szCs w:val="24"/>
          <w:shd w:val="clear" w:color="auto" w:fill="FFFFFF"/>
          <w:lang w:val="en-GB" w:eastAsia="zh-CN"/>
        </w:rPr>
      </w:pPr>
      <w:r w:rsidRPr="00872DF2">
        <w:rPr>
          <w:rFonts w:ascii="Times New Roman" w:eastAsia="SimSun" w:hAnsi="Times New Roman" w:cs="Times New Roman"/>
          <w:bCs/>
          <w:sz w:val="24"/>
          <w:szCs w:val="24"/>
          <w:shd w:val="clear" w:color="auto" w:fill="FFFFFF"/>
          <w:lang w:val="en-GB" w:eastAsia="zh-CN"/>
        </w:rPr>
        <w:t>This study was conducted in ten Local Government Authorities (LGAs) across Arusha and Mara regions, purposively selected for their active participation in the Economic Empowerment Scheme (EES) and the presence of private pro-poor loan initiatives, allowing comparative analysis under diverse credit support systems.</w:t>
      </w:r>
    </w:p>
    <w:p w14:paraId="14558F85" w14:textId="6709C150" w:rsidR="009E55F1" w:rsidRPr="00872DF2" w:rsidRDefault="009E55F1" w:rsidP="00872DF2">
      <w:pPr>
        <w:autoSpaceDE w:val="0"/>
        <w:autoSpaceDN w:val="0"/>
        <w:adjustRightInd w:val="0"/>
        <w:spacing w:after="0" w:line="360" w:lineRule="auto"/>
        <w:ind w:firstLine="450"/>
        <w:jc w:val="both"/>
        <w:rPr>
          <w:rFonts w:ascii="Times New Roman" w:eastAsia="SimSun" w:hAnsi="Times New Roman" w:cs="Times New Roman"/>
          <w:bCs/>
          <w:sz w:val="24"/>
          <w:szCs w:val="24"/>
          <w:shd w:val="clear" w:color="auto" w:fill="FFFFFF"/>
          <w:lang w:val="en-GB" w:eastAsia="zh-CN"/>
        </w:rPr>
      </w:pPr>
      <w:r w:rsidRPr="00872DF2">
        <w:rPr>
          <w:rFonts w:ascii="Times New Roman" w:eastAsia="SimSun" w:hAnsi="Times New Roman" w:cs="Times New Roman"/>
          <w:bCs/>
          <w:sz w:val="24"/>
          <w:szCs w:val="24"/>
          <w:shd w:val="clear" w:color="auto" w:fill="FFFFFF"/>
          <w:lang w:val="en-GB" w:eastAsia="zh-CN"/>
        </w:rPr>
        <w:t xml:space="preserve">Arusha Region was chosen for its mix of urban, peri-urban, and rural-pastoralist economies, its role as a hub for tourism and livestock trade, and its proximity to Kenya, which facilitates cross-border enterprise activities. Key locations in Arusha include Arusha City (Lat: 3.39° S, Long: 36.68° E, approximately 420 km from Dodoma), </w:t>
      </w:r>
      <w:proofErr w:type="spellStart"/>
      <w:r w:rsidRPr="00872DF2">
        <w:rPr>
          <w:rFonts w:ascii="Times New Roman" w:eastAsia="SimSun" w:hAnsi="Times New Roman" w:cs="Times New Roman"/>
          <w:bCs/>
          <w:sz w:val="24"/>
          <w:szCs w:val="24"/>
          <w:shd w:val="clear" w:color="auto" w:fill="FFFFFF"/>
          <w:lang w:val="en-GB" w:eastAsia="zh-CN"/>
        </w:rPr>
        <w:t>Monduli</w:t>
      </w:r>
      <w:proofErr w:type="spellEnd"/>
      <w:r w:rsidRPr="00872DF2">
        <w:rPr>
          <w:rFonts w:ascii="Times New Roman" w:eastAsia="SimSun" w:hAnsi="Times New Roman" w:cs="Times New Roman"/>
          <w:bCs/>
          <w:sz w:val="24"/>
          <w:szCs w:val="24"/>
          <w:shd w:val="clear" w:color="auto" w:fill="FFFFFF"/>
          <w:lang w:val="en-GB" w:eastAsia="zh-CN"/>
        </w:rPr>
        <w:t xml:space="preserve"> (3.30° S, 36.48° E, around 400 km from Dodoma), </w:t>
      </w:r>
      <w:proofErr w:type="spellStart"/>
      <w:r w:rsidRPr="00872DF2">
        <w:rPr>
          <w:rFonts w:ascii="Times New Roman" w:eastAsia="SimSun" w:hAnsi="Times New Roman" w:cs="Times New Roman"/>
          <w:bCs/>
          <w:sz w:val="24"/>
          <w:szCs w:val="24"/>
          <w:shd w:val="clear" w:color="auto" w:fill="FFFFFF"/>
          <w:lang w:val="en-GB" w:eastAsia="zh-CN"/>
        </w:rPr>
        <w:t>Longido</w:t>
      </w:r>
      <w:proofErr w:type="spellEnd"/>
      <w:r w:rsidRPr="00872DF2">
        <w:rPr>
          <w:rFonts w:ascii="Times New Roman" w:eastAsia="SimSun" w:hAnsi="Times New Roman" w:cs="Times New Roman"/>
          <w:bCs/>
          <w:sz w:val="24"/>
          <w:szCs w:val="24"/>
          <w:shd w:val="clear" w:color="auto" w:fill="FFFFFF"/>
          <w:lang w:val="en-GB" w:eastAsia="zh-CN"/>
        </w:rPr>
        <w:t xml:space="preserve"> (2.72° S, 36.72° E, about 480 km from Dodoma), and Ngorongoro (2.99° S, 35.54° E, approximately 570 km from Dodoma).</w:t>
      </w:r>
    </w:p>
    <w:p w14:paraId="50D834D4" w14:textId="77777777" w:rsidR="009E55F1" w:rsidRPr="00872DF2" w:rsidRDefault="009E55F1" w:rsidP="00872DF2">
      <w:pPr>
        <w:autoSpaceDE w:val="0"/>
        <w:autoSpaceDN w:val="0"/>
        <w:adjustRightInd w:val="0"/>
        <w:spacing w:after="0" w:line="360" w:lineRule="auto"/>
        <w:ind w:firstLine="450"/>
        <w:jc w:val="both"/>
        <w:rPr>
          <w:rFonts w:ascii="Times New Roman" w:eastAsia="SimSun" w:hAnsi="Times New Roman" w:cs="Times New Roman"/>
          <w:bCs/>
          <w:sz w:val="24"/>
          <w:szCs w:val="24"/>
          <w:shd w:val="clear" w:color="auto" w:fill="FFFFFF"/>
          <w:lang w:val="en-GB" w:eastAsia="zh-CN"/>
        </w:rPr>
      </w:pPr>
      <w:r w:rsidRPr="00872DF2">
        <w:rPr>
          <w:rFonts w:ascii="Times New Roman" w:eastAsia="SimSun" w:hAnsi="Times New Roman" w:cs="Times New Roman"/>
          <w:bCs/>
          <w:sz w:val="24"/>
          <w:szCs w:val="24"/>
          <w:shd w:val="clear" w:color="auto" w:fill="FFFFFF"/>
          <w:lang w:val="en-GB" w:eastAsia="zh-CN"/>
        </w:rPr>
        <w:t xml:space="preserve">Mara Region was selected for its strong agricultural base, including coffee, cotton, and subsistence crops, as well as fisheries and small-scale trade along Lake Victoria, offering a contrasting socio-economic setting to Arusha. Key locations in Mara include </w:t>
      </w:r>
      <w:proofErr w:type="spellStart"/>
      <w:r w:rsidRPr="00872DF2">
        <w:rPr>
          <w:rFonts w:ascii="Times New Roman" w:eastAsia="SimSun" w:hAnsi="Times New Roman" w:cs="Times New Roman"/>
          <w:bCs/>
          <w:sz w:val="24"/>
          <w:szCs w:val="24"/>
          <w:shd w:val="clear" w:color="auto" w:fill="FFFFFF"/>
          <w:lang w:val="en-GB" w:eastAsia="zh-CN"/>
        </w:rPr>
        <w:t>Musoma</w:t>
      </w:r>
      <w:proofErr w:type="spellEnd"/>
      <w:r w:rsidRPr="00872DF2">
        <w:rPr>
          <w:rFonts w:ascii="Times New Roman" w:eastAsia="SimSun" w:hAnsi="Times New Roman" w:cs="Times New Roman"/>
          <w:bCs/>
          <w:sz w:val="24"/>
          <w:szCs w:val="24"/>
          <w:shd w:val="clear" w:color="auto" w:fill="FFFFFF"/>
          <w:lang w:val="en-GB" w:eastAsia="zh-CN"/>
        </w:rPr>
        <w:t xml:space="preserve"> (1.50° S, 33.80° E, approximately 900 km from Dodoma), </w:t>
      </w:r>
      <w:proofErr w:type="spellStart"/>
      <w:r w:rsidRPr="00872DF2">
        <w:rPr>
          <w:rFonts w:ascii="Times New Roman" w:eastAsia="SimSun" w:hAnsi="Times New Roman" w:cs="Times New Roman"/>
          <w:bCs/>
          <w:sz w:val="24"/>
          <w:szCs w:val="24"/>
          <w:shd w:val="clear" w:color="auto" w:fill="FFFFFF"/>
          <w:lang w:val="en-GB" w:eastAsia="zh-CN"/>
        </w:rPr>
        <w:t>Bunda</w:t>
      </w:r>
      <w:proofErr w:type="spellEnd"/>
      <w:r w:rsidRPr="00872DF2">
        <w:rPr>
          <w:rFonts w:ascii="Times New Roman" w:eastAsia="SimSun" w:hAnsi="Times New Roman" w:cs="Times New Roman"/>
          <w:bCs/>
          <w:sz w:val="24"/>
          <w:szCs w:val="24"/>
          <w:shd w:val="clear" w:color="auto" w:fill="FFFFFF"/>
          <w:lang w:val="en-GB" w:eastAsia="zh-CN"/>
        </w:rPr>
        <w:t xml:space="preserve"> (2.00° S, 33.82° E, around 850 km), </w:t>
      </w:r>
      <w:proofErr w:type="spellStart"/>
      <w:r w:rsidRPr="00872DF2">
        <w:rPr>
          <w:rFonts w:ascii="Times New Roman" w:eastAsia="SimSun" w:hAnsi="Times New Roman" w:cs="Times New Roman"/>
          <w:bCs/>
          <w:sz w:val="24"/>
          <w:szCs w:val="24"/>
          <w:shd w:val="clear" w:color="auto" w:fill="FFFFFF"/>
          <w:lang w:val="en-GB" w:eastAsia="zh-CN"/>
        </w:rPr>
        <w:t>Butiama</w:t>
      </w:r>
      <w:proofErr w:type="spellEnd"/>
      <w:r w:rsidRPr="00872DF2">
        <w:rPr>
          <w:rFonts w:ascii="Times New Roman" w:eastAsia="SimSun" w:hAnsi="Times New Roman" w:cs="Times New Roman"/>
          <w:bCs/>
          <w:sz w:val="24"/>
          <w:szCs w:val="24"/>
          <w:shd w:val="clear" w:color="auto" w:fill="FFFFFF"/>
          <w:lang w:val="en-GB" w:eastAsia="zh-CN"/>
        </w:rPr>
        <w:t xml:space="preserve"> (1.76° S, 33.97° E, about 880 km), </w:t>
      </w:r>
      <w:proofErr w:type="spellStart"/>
      <w:r w:rsidRPr="00872DF2">
        <w:rPr>
          <w:rFonts w:ascii="Times New Roman" w:eastAsia="SimSun" w:hAnsi="Times New Roman" w:cs="Times New Roman"/>
          <w:bCs/>
          <w:sz w:val="24"/>
          <w:szCs w:val="24"/>
          <w:shd w:val="clear" w:color="auto" w:fill="FFFFFF"/>
          <w:lang w:val="en-GB" w:eastAsia="zh-CN"/>
        </w:rPr>
        <w:t>Rorya</w:t>
      </w:r>
      <w:proofErr w:type="spellEnd"/>
      <w:r w:rsidRPr="00872DF2">
        <w:rPr>
          <w:rFonts w:ascii="Times New Roman" w:eastAsia="SimSun" w:hAnsi="Times New Roman" w:cs="Times New Roman"/>
          <w:bCs/>
          <w:sz w:val="24"/>
          <w:szCs w:val="24"/>
          <w:shd w:val="clear" w:color="auto" w:fill="FFFFFF"/>
          <w:lang w:val="en-GB" w:eastAsia="zh-CN"/>
        </w:rPr>
        <w:t xml:space="preserve"> (1.15° S, 34.00° E, approximately 950 km), Serengeti (2.00° S, 34.78° E, around 830 km), and </w:t>
      </w:r>
      <w:proofErr w:type="spellStart"/>
      <w:r w:rsidRPr="00872DF2">
        <w:rPr>
          <w:rFonts w:ascii="Times New Roman" w:eastAsia="SimSun" w:hAnsi="Times New Roman" w:cs="Times New Roman"/>
          <w:bCs/>
          <w:sz w:val="24"/>
          <w:szCs w:val="24"/>
          <w:shd w:val="clear" w:color="auto" w:fill="FFFFFF"/>
          <w:lang w:val="en-GB" w:eastAsia="zh-CN"/>
        </w:rPr>
        <w:t>Tarime</w:t>
      </w:r>
      <w:proofErr w:type="spellEnd"/>
      <w:r w:rsidRPr="00872DF2">
        <w:rPr>
          <w:rFonts w:ascii="Times New Roman" w:eastAsia="SimSun" w:hAnsi="Times New Roman" w:cs="Times New Roman"/>
          <w:bCs/>
          <w:sz w:val="24"/>
          <w:szCs w:val="24"/>
          <w:shd w:val="clear" w:color="auto" w:fill="FFFFFF"/>
          <w:lang w:val="en-GB" w:eastAsia="zh-CN"/>
        </w:rPr>
        <w:t xml:space="preserve"> (1.35° S, 34.47° E, about 940 km from Dodoma).</w:t>
      </w:r>
    </w:p>
    <w:p w14:paraId="176FDF40" w14:textId="1F38606F" w:rsidR="00D62B7C" w:rsidRPr="00872DF2" w:rsidRDefault="009E55F1" w:rsidP="00872DF2">
      <w:pPr>
        <w:autoSpaceDE w:val="0"/>
        <w:autoSpaceDN w:val="0"/>
        <w:adjustRightInd w:val="0"/>
        <w:spacing w:after="0" w:line="360" w:lineRule="auto"/>
        <w:ind w:firstLine="450"/>
        <w:jc w:val="both"/>
        <w:rPr>
          <w:rFonts w:ascii="Times New Roman" w:eastAsia="SimSun" w:hAnsi="Times New Roman" w:cs="Times New Roman"/>
          <w:bCs/>
          <w:sz w:val="24"/>
          <w:szCs w:val="24"/>
          <w:shd w:val="clear" w:color="auto" w:fill="FFFFFF"/>
          <w:lang w:val="en-GB" w:eastAsia="zh-CN"/>
        </w:rPr>
      </w:pPr>
      <w:r w:rsidRPr="00872DF2">
        <w:rPr>
          <w:rFonts w:ascii="Times New Roman" w:eastAsia="SimSun" w:hAnsi="Times New Roman" w:cs="Times New Roman"/>
          <w:bCs/>
          <w:sz w:val="24"/>
          <w:szCs w:val="24"/>
          <w:shd w:val="clear" w:color="auto" w:fill="FFFFFF"/>
          <w:lang w:val="en-GB" w:eastAsia="zh-CN"/>
        </w:rPr>
        <w:t xml:space="preserve">These regions provide diverse </w:t>
      </w:r>
      <w:proofErr w:type="spellStart"/>
      <w:r w:rsidRPr="00872DF2">
        <w:rPr>
          <w:rFonts w:ascii="Times New Roman" w:eastAsia="SimSun" w:hAnsi="Times New Roman" w:cs="Times New Roman"/>
          <w:bCs/>
          <w:sz w:val="24"/>
          <w:szCs w:val="24"/>
          <w:shd w:val="clear" w:color="auto" w:fill="FFFFFF"/>
          <w:lang w:val="en-GB" w:eastAsia="zh-CN"/>
        </w:rPr>
        <w:t>agro</w:t>
      </w:r>
      <w:proofErr w:type="spellEnd"/>
      <w:r w:rsidRPr="00872DF2">
        <w:rPr>
          <w:rFonts w:ascii="Times New Roman" w:eastAsia="SimSun" w:hAnsi="Times New Roman" w:cs="Times New Roman"/>
          <w:bCs/>
          <w:sz w:val="24"/>
          <w:szCs w:val="24"/>
          <w:shd w:val="clear" w:color="auto" w:fill="FFFFFF"/>
          <w:lang w:val="en-GB" w:eastAsia="zh-CN"/>
        </w:rPr>
        <w:t>-ecological, infrastructural, and livelihood contexts, essential for examining how LGA loans influence enterprise profitability and viability across different environments in Tanzania</w:t>
      </w:r>
      <w:r w:rsidR="003F5DC1" w:rsidRPr="00872DF2">
        <w:rPr>
          <w:rFonts w:ascii="Times New Roman" w:eastAsia="SimSun" w:hAnsi="Times New Roman" w:cs="Times New Roman"/>
          <w:bCs/>
          <w:sz w:val="24"/>
          <w:szCs w:val="24"/>
          <w:shd w:val="clear" w:color="auto" w:fill="FFFFFF"/>
          <w:lang w:val="en-GB" w:eastAsia="zh-CN"/>
        </w:rPr>
        <w:t>.</w:t>
      </w:r>
    </w:p>
    <w:p w14:paraId="39D45B70" w14:textId="2820C57E" w:rsidR="001F6C18" w:rsidRPr="005C371A" w:rsidRDefault="00C73B31" w:rsidP="00872DF2">
      <w:pPr>
        <w:pStyle w:val="Heading2"/>
        <w:spacing w:before="0" w:line="360" w:lineRule="auto"/>
        <w:jc w:val="both"/>
        <w:rPr>
          <w:rFonts w:ascii="Times New Roman" w:hAnsi="Times New Roman" w:cs="Times New Roman"/>
          <w:color w:val="auto"/>
          <w:sz w:val="32"/>
          <w:szCs w:val="32"/>
          <w:shd w:val="clear" w:color="auto" w:fill="FFFFFF"/>
          <w:lang w:val="en-GB" w:eastAsia="zh-CN"/>
        </w:rPr>
      </w:pPr>
      <w:r w:rsidRPr="005C371A">
        <w:rPr>
          <w:rFonts w:ascii="Times New Roman" w:hAnsi="Times New Roman" w:cs="Times New Roman"/>
          <w:color w:val="auto"/>
          <w:sz w:val="32"/>
          <w:szCs w:val="32"/>
          <w:shd w:val="clear" w:color="auto" w:fill="FFFFFF"/>
          <w:lang w:val="en-GB" w:eastAsia="zh-CN"/>
        </w:rPr>
        <w:t xml:space="preserve">2.2. </w:t>
      </w:r>
      <w:r w:rsidR="00563E0C" w:rsidRPr="00563E0C">
        <w:rPr>
          <w:rFonts w:ascii="Times New Roman" w:hAnsi="Times New Roman" w:cs="Times New Roman"/>
          <w:color w:val="auto"/>
          <w:sz w:val="32"/>
          <w:szCs w:val="32"/>
          <w:shd w:val="clear" w:color="auto" w:fill="FFFFFF"/>
          <w:lang w:val="en-GB" w:eastAsia="zh-CN"/>
        </w:rPr>
        <w:t>Sampling Procedures and Sample Size</w:t>
      </w:r>
    </w:p>
    <w:p w14:paraId="4B1401DD" w14:textId="2BE1DE61" w:rsidR="00563E0C" w:rsidRDefault="00563E0C" w:rsidP="00872DF2">
      <w:pPr>
        <w:pStyle w:val="NormalWeb"/>
        <w:spacing w:before="0" w:beforeAutospacing="0" w:after="0" w:line="360" w:lineRule="auto"/>
        <w:jc w:val="both"/>
      </w:pPr>
      <w:r>
        <w:t>This study employed multistage sampling procedures to ensure diversity and proportionality in participant representation across the Arusha and Mara regions</w:t>
      </w:r>
      <w:r w:rsidR="007251E7">
        <w:t xml:space="preserve"> (Table 1)</w:t>
      </w:r>
      <w:r>
        <w:t>.</w:t>
      </w:r>
    </w:p>
    <w:p w14:paraId="5AABCF28" w14:textId="77777777" w:rsidR="00563E0C" w:rsidRDefault="00563E0C" w:rsidP="00872DF2">
      <w:pPr>
        <w:pStyle w:val="NormalWeb"/>
        <w:spacing w:after="0" w:line="360" w:lineRule="auto"/>
        <w:jc w:val="both"/>
      </w:pPr>
      <w:r>
        <w:t xml:space="preserve"> In the first stage, Arusha and Mara regions were purposively selected based on their significant engagement with Local Government Authority (LGA) loan schemes, diverse entrepreneurial activities, and varied </w:t>
      </w:r>
      <w:proofErr w:type="spellStart"/>
      <w:r>
        <w:t>agro</w:t>
      </w:r>
      <w:proofErr w:type="spellEnd"/>
      <w:r>
        <w:t xml:space="preserve">-ecological characteristics. These criteria ensured the regions would </w:t>
      </w:r>
      <w:r>
        <w:lastRenderedPageBreak/>
        <w:t xml:space="preserve">provide rich and relevant data for assessing the profitability and viability of enterprises among LGA loan beneficiaries. </w:t>
      </w:r>
    </w:p>
    <w:p w14:paraId="434FCC94" w14:textId="77777777" w:rsidR="00563E0C" w:rsidRDefault="00563E0C" w:rsidP="00872DF2">
      <w:pPr>
        <w:pStyle w:val="NormalWeb"/>
        <w:spacing w:after="0" w:line="360" w:lineRule="auto"/>
        <w:jc w:val="both"/>
      </w:pPr>
      <w:r>
        <w:t>In the second stage, districts within each region were purposively chosen to capture a range of urban, peri-urban, and rural settings relevant to LGA loan beneficiaries. This step allowed the study to reflect different business environments and socio-economic contexts within each region.</w:t>
      </w:r>
    </w:p>
    <w:p w14:paraId="5596A304" w14:textId="77777777" w:rsidR="007251E7" w:rsidRDefault="00563E0C" w:rsidP="00872DF2">
      <w:pPr>
        <w:pStyle w:val="NormalWeb"/>
        <w:spacing w:after="0" w:line="360" w:lineRule="auto"/>
        <w:jc w:val="both"/>
      </w:pPr>
      <w:r>
        <w:t>The third stage involved proportional stratified sampling within each district, based on administrative wards. This approach ensured fair representation of various economic activities among entrepreneurs while maintaining proportionality in the distribution of the sample.</w:t>
      </w:r>
    </w:p>
    <w:p w14:paraId="22C4B294" w14:textId="626EF415" w:rsidR="00994220" w:rsidRDefault="00563E0C" w:rsidP="00872DF2">
      <w:pPr>
        <w:pStyle w:val="NormalWeb"/>
        <w:spacing w:after="0" w:line="360" w:lineRule="auto"/>
        <w:jc w:val="both"/>
      </w:pPr>
      <w:r>
        <w:t xml:space="preserve"> In the fourth stage, systematic random sampling was applied to select individual participants from lists of LGA loan beneficiaries obtained from district LGA offices. A sampling interval was calculated based on the total number of beneficiaries in each district relative to the allocated district sample to guide the systematic selection of participants.</w:t>
      </w:r>
    </w:p>
    <w:p w14:paraId="47B18357" w14:textId="08FE86D1" w:rsidR="007251E7" w:rsidRDefault="007251E7" w:rsidP="00872DF2">
      <w:pPr>
        <w:pStyle w:val="NormalWeb"/>
        <w:spacing w:after="0" w:line="360" w:lineRule="auto"/>
        <w:jc w:val="both"/>
      </w:pPr>
      <w:r>
        <w:t>Hence, t</w:t>
      </w:r>
      <w:r w:rsidRPr="007251E7">
        <w:t>he sample size was determined using Yamane’s (1967) formula for known populations</w:t>
      </w:r>
      <w:r>
        <w:t xml:space="preserve"> (see Eq. </w:t>
      </w:r>
      <w:r w:rsidR="009E55F1">
        <w:t>1</w:t>
      </w:r>
      <w:r>
        <w:t>)</w:t>
      </w:r>
      <w:r w:rsidRPr="007251E7">
        <w:t>:</w:t>
      </w:r>
    </w:p>
    <w:p w14:paraId="2FA0D201" w14:textId="1BCB2937" w:rsidR="007251E7" w:rsidRPr="00195A8B" w:rsidRDefault="007251E7" w:rsidP="00872DF2">
      <w:pPr>
        <w:pStyle w:val="NormalWeb"/>
        <w:spacing w:after="0" w:line="360" w:lineRule="auto"/>
        <w:jc w:val="both"/>
      </w:pPr>
      <m:oMathPara>
        <m:oMath>
          <m:r>
            <w:rPr>
              <w:rFonts w:ascii="Cambria Math" w:hAnsi="Cambria Math"/>
            </w:rPr>
            <m:t>n=</m:t>
          </m:r>
          <m:f>
            <m:fPr>
              <m:ctrlPr>
                <w:rPr>
                  <w:rFonts w:ascii="Cambria Math" w:hAnsi="Cambria Math"/>
                  <w:i/>
                </w:rPr>
              </m:ctrlPr>
            </m:fPr>
            <m:num>
              <m:r>
                <w:rPr>
                  <w:rFonts w:ascii="Cambria Math" w:hAnsi="Cambria Math"/>
                </w:rPr>
                <m:t>N</m:t>
              </m:r>
            </m:num>
            <m:den>
              <m:r>
                <w:rPr>
                  <w:rFonts w:ascii="Cambria Math" w:hAnsi="Cambria Math"/>
                </w:rPr>
                <m:t>1+N</m:t>
              </m:r>
              <m:sSup>
                <m:sSupPr>
                  <m:ctrlPr>
                    <w:rPr>
                      <w:rFonts w:ascii="Cambria Math" w:hAnsi="Cambria Math"/>
                      <w:i/>
                    </w:rPr>
                  </m:ctrlPr>
                </m:sSupPr>
                <m:e>
                  <m:r>
                    <w:rPr>
                      <w:rFonts w:ascii="Cambria Math" w:hAnsi="Cambria Math"/>
                    </w:rPr>
                    <m:t>(e)</m:t>
                  </m:r>
                </m:e>
                <m:sup>
                  <m:r>
                    <w:rPr>
                      <w:rFonts w:ascii="Cambria Math" w:hAnsi="Cambria Math"/>
                    </w:rPr>
                    <m:t>2</m:t>
                  </m:r>
                </m:sup>
              </m:sSup>
            </m:den>
          </m:f>
          <m:r>
            <w:rPr>
              <w:rFonts w:ascii="Cambria Math" w:hAnsi="Cambria Math"/>
            </w:rPr>
            <m:t xml:space="preserve">                                                                             (1)</m:t>
          </m:r>
        </m:oMath>
      </m:oMathPara>
    </w:p>
    <w:p w14:paraId="3EF30BA2" w14:textId="77777777" w:rsidR="00E77EF6" w:rsidRPr="00E77EF6" w:rsidRDefault="00E77EF6" w:rsidP="00872DF2">
      <w:pPr>
        <w:pStyle w:val="NormalWeb"/>
        <w:spacing w:before="0" w:beforeAutospacing="0" w:after="0" w:afterAutospacing="0" w:line="360" w:lineRule="auto"/>
        <w:jc w:val="both"/>
      </w:pPr>
      <w:r w:rsidRPr="00E77EF6">
        <w:t>where:</w:t>
      </w:r>
    </w:p>
    <w:p w14:paraId="0D1219C6" w14:textId="7576196B" w:rsidR="00E77EF6" w:rsidRPr="00E77EF6" w:rsidRDefault="00E77EF6" w:rsidP="00872DF2">
      <w:pPr>
        <w:pStyle w:val="NormalWeb"/>
        <w:numPr>
          <w:ilvl w:val="0"/>
          <w:numId w:val="37"/>
        </w:numPr>
        <w:spacing w:before="0" w:beforeAutospacing="0" w:after="0" w:line="360" w:lineRule="auto"/>
        <w:jc w:val="both"/>
      </w:pPr>
      <w:r w:rsidRPr="00E77EF6">
        <w:rPr>
          <w:i/>
          <w:iCs/>
        </w:rPr>
        <w:t>n</w:t>
      </w:r>
      <w:r w:rsidRPr="00E77EF6">
        <w:t xml:space="preserve"> = sample size</w:t>
      </w:r>
    </w:p>
    <w:p w14:paraId="0A738531" w14:textId="143CA498" w:rsidR="00E77EF6" w:rsidRPr="00E77EF6" w:rsidRDefault="00E77EF6" w:rsidP="00872DF2">
      <w:pPr>
        <w:pStyle w:val="NormalWeb"/>
        <w:numPr>
          <w:ilvl w:val="0"/>
          <w:numId w:val="37"/>
        </w:numPr>
        <w:spacing w:before="0" w:beforeAutospacing="0" w:after="0" w:line="360" w:lineRule="auto"/>
        <w:jc w:val="both"/>
      </w:pPr>
      <w:r w:rsidRPr="00E77EF6">
        <w:rPr>
          <w:i/>
          <w:iCs/>
        </w:rPr>
        <w:t>N</w:t>
      </w:r>
      <w:r w:rsidRPr="00E77EF6">
        <w:t xml:space="preserve"> = population size</w:t>
      </w:r>
    </w:p>
    <w:p w14:paraId="0CC96E7D" w14:textId="01358C5C" w:rsidR="00E77EF6" w:rsidRPr="00E77EF6" w:rsidRDefault="00E77EF6" w:rsidP="00872DF2">
      <w:pPr>
        <w:pStyle w:val="NormalWeb"/>
        <w:numPr>
          <w:ilvl w:val="0"/>
          <w:numId w:val="37"/>
        </w:numPr>
        <w:spacing w:before="0" w:beforeAutospacing="0" w:after="0" w:line="360" w:lineRule="auto"/>
        <w:jc w:val="both"/>
      </w:pPr>
      <w:r w:rsidRPr="00E77EF6">
        <w:rPr>
          <w:i/>
          <w:iCs/>
        </w:rPr>
        <w:t>e</w:t>
      </w:r>
      <w:r w:rsidRPr="00E77EF6">
        <w:t xml:space="preserve"> = margin of error (5%)</w:t>
      </w:r>
    </w:p>
    <w:p w14:paraId="26A0620A" w14:textId="77777777" w:rsidR="00E77EF6" w:rsidRPr="00E77EF6" w:rsidRDefault="00E77EF6" w:rsidP="00872DF2">
      <w:pPr>
        <w:pStyle w:val="NormalWeb"/>
        <w:spacing w:after="0" w:line="360" w:lineRule="auto"/>
        <w:jc w:val="both"/>
      </w:pPr>
      <w:r w:rsidRPr="00E77EF6">
        <w:t xml:space="preserve">This calculation, alongside field realities, yielded a total sample of 495 respondents, strategically distributed across districts as shown in </w:t>
      </w:r>
      <w:r w:rsidRPr="00E77EF6">
        <w:rPr>
          <w:b/>
          <w:bCs/>
        </w:rPr>
        <w:t>Table 1</w:t>
      </w:r>
      <w:r w:rsidRPr="00E77EF6">
        <w:t>.</w:t>
      </w:r>
    </w:p>
    <w:p w14:paraId="5E7AEC6C" w14:textId="77777777" w:rsidR="00711E57" w:rsidRPr="00711E57" w:rsidRDefault="00711E57" w:rsidP="00711E57">
      <w:pPr>
        <w:spacing w:before="100" w:beforeAutospacing="1" w:after="0" w:line="240" w:lineRule="auto"/>
        <w:outlineLvl w:val="2"/>
        <w:rPr>
          <w:rFonts w:ascii="Times New Roman" w:eastAsia="Times New Roman" w:hAnsi="Times New Roman" w:cs="Times New Roman"/>
          <w:b/>
          <w:bCs/>
          <w:sz w:val="24"/>
          <w:szCs w:val="24"/>
          <w:lang w:eastAsia="zh-CN"/>
        </w:rPr>
      </w:pPr>
      <w:r w:rsidRPr="00711E57">
        <w:rPr>
          <w:rFonts w:ascii="Times New Roman" w:eastAsia="Times New Roman" w:hAnsi="Times New Roman" w:cs="Times New Roman"/>
          <w:b/>
          <w:bCs/>
          <w:sz w:val="24"/>
          <w:szCs w:val="24"/>
          <w:lang w:eastAsia="zh-CN"/>
        </w:rPr>
        <w:t>Table 1: Distribution of the Sample Size</w:t>
      </w:r>
    </w:p>
    <w:tbl>
      <w:tblPr>
        <w:tblStyle w:val="TableGrid2"/>
        <w:tblW w:w="5000" w:type="pct"/>
        <w:tblLook w:val="04A0" w:firstRow="1" w:lastRow="0" w:firstColumn="1" w:lastColumn="0" w:noHBand="0" w:noVBand="1"/>
      </w:tblPr>
      <w:tblGrid>
        <w:gridCol w:w="1836"/>
        <w:gridCol w:w="3910"/>
        <w:gridCol w:w="1568"/>
        <w:gridCol w:w="2262"/>
      </w:tblGrid>
      <w:tr w:rsidR="00711E57" w:rsidRPr="00711E57" w14:paraId="2FF01509" w14:textId="77777777" w:rsidTr="00711E57">
        <w:tc>
          <w:tcPr>
            <w:tcW w:w="938" w:type="pct"/>
            <w:hideMark/>
          </w:tcPr>
          <w:p w14:paraId="2CCCC29A" w14:textId="77777777" w:rsidR="00711E57" w:rsidRPr="00711E57" w:rsidRDefault="00711E57" w:rsidP="00711E57">
            <w:pPr>
              <w:jc w:val="center"/>
              <w:rPr>
                <w:rFonts w:ascii="Times New Roman" w:eastAsia="Times New Roman" w:hAnsi="Times New Roman" w:cs="Times New Roman"/>
                <w:b/>
                <w:bCs/>
                <w:sz w:val="24"/>
                <w:szCs w:val="24"/>
                <w:lang w:eastAsia="zh-CN"/>
              </w:rPr>
            </w:pPr>
            <w:r w:rsidRPr="00711E57">
              <w:rPr>
                <w:rFonts w:ascii="Times New Roman" w:eastAsia="Times New Roman" w:hAnsi="Times New Roman" w:cs="Times New Roman"/>
                <w:b/>
                <w:bCs/>
                <w:sz w:val="24"/>
                <w:szCs w:val="24"/>
                <w:lang w:eastAsia="zh-CN"/>
              </w:rPr>
              <w:t>Region</w:t>
            </w:r>
          </w:p>
        </w:tc>
        <w:tc>
          <w:tcPr>
            <w:tcW w:w="1998" w:type="pct"/>
            <w:hideMark/>
          </w:tcPr>
          <w:p w14:paraId="46525FD8" w14:textId="77777777" w:rsidR="00711E57" w:rsidRPr="00711E57" w:rsidRDefault="00711E57" w:rsidP="00711E57">
            <w:pPr>
              <w:jc w:val="center"/>
              <w:rPr>
                <w:rFonts w:ascii="Times New Roman" w:eastAsia="Times New Roman" w:hAnsi="Times New Roman" w:cs="Times New Roman"/>
                <w:b/>
                <w:bCs/>
                <w:sz w:val="24"/>
                <w:szCs w:val="24"/>
                <w:lang w:eastAsia="zh-CN"/>
              </w:rPr>
            </w:pPr>
            <w:r w:rsidRPr="00711E57">
              <w:rPr>
                <w:rFonts w:ascii="Times New Roman" w:eastAsia="Times New Roman" w:hAnsi="Times New Roman" w:cs="Times New Roman"/>
                <w:b/>
                <w:bCs/>
                <w:sz w:val="24"/>
                <w:szCs w:val="24"/>
                <w:lang w:eastAsia="zh-CN"/>
              </w:rPr>
              <w:t>Districts</w:t>
            </w:r>
          </w:p>
        </w:tc>
        <w:tc>
          <w:tcPr>
            <w:tcW w:w="801" w:type="pct"/>
            <w:hideMark/>
          </w:tcPr>
          <w:p w14:paraId="6133A966" w14:textId="77777777" w:rsidR="00711E57" w:rsidRPr="00711E57" w:rsidRDefault="00711E57" w:rsidP="00711E57">
            <w:pPr>
              <w:jc w:val="center"/>
              <w:rPr>
                <w:rFonts w:ascii="Times New Roman" w:eastAsia="Times New Roman" w:hAnsi="Times New Roman" w:cs="Times New Roman"/>
                <w:b/>
                <w:bCs/>
                <w:sz w:val="24"/>
                <w:szCs w:val="24"/>
                <w:lang w:eastAsia="zh-CN"/>
              </w:rPr>
            </w:pPr>
            <w:r w:rsidRPr="00711E57">
              <w:rPr>
                <w:rFonts w:ascii="Times New Roman" w:eastAsia="Times New Roman" w:hAnsi="Times New Roman" w:cs="Times New Roman"/>
                <w:b/>
                <w:bCs/>
                <w:sz w:val="24"/>
                <w:szCs w:val="24"/>
                <w:lang w:eastAsia="zh-CN"/>
              </w:rPr>
              <w:t>Frequency</w:t>
            </w:r>
          </w:p>
        </w:tc>
        <w:tc>
          <w:tcPr>
            <w:tcW w:w="1156" w:type="pct"/>
            <w:hideMark/>
          </w:tcPr>
          <w:p w14:paraId="15F69648" w14:textId="77777777" w:rsidR="00711E57" w:rsidRPr="00711E57" w:rsidRDefault="00711E57" w:rsidP="00711E57">
            <w:pPr>
              <w:jc w:val="center"/>
              <w:rPr>
                <w:rFonts w:ascii="Times New Roman" w:eastAsia="Times New Roman" w:hAnsi="Times New Roman" w:cs="Times New Roman"/>
                <w:b/>
                <w:bCs/>
                <w:sz w:val="24"/>
                <w:szCs w:val="24"/>
                <w:lang w:eastAsia="zh-CN"/>
              </w:rPr>
            </w:pPr>
            <w:r w:rsidRPr="00711E57">
              <w:rPr>
                <w:rFonts w:ascii="Times New Roman" w:eastAsia="Times New Roman" w:hAnsi="Times New Roman" w:cs="Times New Roman"/>
                <w:b/>
                <w:bCs/>
                <w:sz w:val="24"/>
                <w:szCs w:val="24"/>
                <w:lang w:eastAsia="zh-CN"/>
              </w:rPr>
              <w:t>Percentage (%)</w:t>
            </w:r>
          </w:p>
        </w:tc>
      </w:tr>
      <w:tr w:rsidR="00711E57" w:rsidRPr="00711E57" w14:paraId="04D97B45" w14:textId="77777777" w:rsidTr="00711E57">
        <w:tc>
          <w:tcPr>
            <w:tcW w:w="938" w:type="pct"/>
            <w:hideMark/>
          </w:tcPr>
          <w:p w14:paraId="2863BBAF"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b/>
                <w:bCs/>
                <w:sz w:val="24"/>
                <w:szCs w:val="24"/>
                <w:lang w:eastAsia="zh-CN"/>
              </w:rPr>
              <w:t>Arusha</w:t>
            </w:r>
          </w:p>
        </w:tc>
        <w:tc>
          <w:tcPr>
            <w:tcW w:w="1998" w:type="pct"/>
            <w:hideMark/>
          </w:tcPr>
          <w:p w14:paraId="1523F202"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Arusha City Council</w:t>
            </w:r>
          </w:p>
        </w:tc>
        <w:tc>
          <w:tcPr>
            <w:tcW w:w="801" w:type="pct"/>
            <w:hideMark/>
          </w:tcPr>
          <w:p w14:paraId="1F07EA81"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113</w:t>
            </w:r>
          </w:p>
        </w:tc>
        <w:tc>
          <w:tcPr>
            <w:tcW w:w="1156" w:type="pct"/>
            <w:hideMark/>
          </w:tcPr>
          <w:p w14:paraId="0DBC1E0C"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32.9</w:t>
            </w:r>
          </w:p>
        </w:tc>
      </w:tr>
      <w:tr w:rsidR="00711E57" w:rsidRPr="00711E57" w14:paraId="711B3113" w14:textId="77777777" w:rsidTr="00711E57">
        <w:tc>
          <w:tcPr>
            <w:tcW w:w="938" w:type="pct"/>
            <w:hideMark/>
          </w:tcPr>
          <w:p w14:paraId="265AAF6E" w14:textId="77777777" w:rsidR="00711E57" w:rsidRPr="00711E57" w:rsidRDefault="00711E57" w:rsidP="00711E57">
            <w:pPr>
              <w:rPr>
                <w:rFonts w:ascii="Times New Roman" w:eastAsia="Times New Roman" w:hAnsi="Times New Roman" w:cs="Times New Roman"/>
                <w:sz w:val="24"/>
                <w:szCs w:val="24"/>
                <w:lang w:eastAsia="zh-CN"/>
              </w:rPr>
            </w:pPr>
          </w:p>
        </w:tc>
        <w:tc>
          <w:tcPr>
            <w:tcW w:w="1998" w:type="pct"/>
            <w:hideMark/>
          </w:tcPr>
          <w:p w14:paraId="0008CCA2" w14:textId="77777777" w:rsidR="00711E57" w:rsidRPr="00711E57" w:rsidRDefault="00711E57" w:rsidP="00711E57">
            <w:pPr>
              <w:rPr>
                <w:rFonts w:ascii="Times New Roman" w:eastAsia="Times New Roman" w:hAnsi="Times New Roman" w:cs="Times New Roman"/>
                <w:sz w:val="24"/>
                <w:szCs w:val="24"/>
                <w:lang w:eastAsia="zh-CN"/>
              </w:rPr>
            </w:pPr>
            <w:proofErr w:type="spellStart"/>
            <w:r w:rsidRPr="00711E57">
              <w:rPr>
                <w:rFonts w:ascii="Times New Roman" w:eastAsia="Times New Roman" w:hAnsi="Times New Roman" w:cs="Times New Roman"/>
                <w:sz w:val="24"/>
                <w:szCs w:val="24"/>
                <w:lang w:eastAsia="zh-CN"/>
              </w:rPr>
              <w:t>Longido</w:t>
            </w:r>
            <w:proofErr w:type="spellEnd"/>
            <w:r w:rsidRPr="00711E57">
              <w:rPr>
                <w:rFonts w:ascii="Times New Roman" w:eastAsia="Times New Roman" w:hAnsi="Times New Roman" w:cs="Times New Roman"/>
                <w:sz w:val="24"/>
                <w:szCs w:val="24"/>
                <w:lang w:eastAsia="zh-CN"/>
              </w:rPr>
              <w:t xml:space="preserve"> District Council</w:t>
            </w:r>
          </w:p>
        </w:tc>
        <w:tc>
          <w:tcPr>
            <w:tcW w:w="801" w:type="pct"/>
            <w:hideMark/>
          </w:tcPr>
          <w:p w14:paraId="6C9F02C5"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59</w:t>
            </w:r>
          </w:p>
        </w:tc>
        <w:tc>
          <w:tcPr>
            <w:tcW w:w="1156" w:type="pct"/>
            <w:hideMark/>
          </w:tcPr>
          <w:p w14:paraId="2B3A27F2"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17.2</w:t>
            </w:r>
          </w:p>
        </w:tc>
      </w:tr>
      <w:tr w:rsidR="00711E57" w:rsidRPr="00711E57" w14:paraId="399815A7" w14:textId="77777777" w:rsidTr="00711E57">
        <w:tc>
          <w:tcPr>
            <w:tcW w:w="938" w:type="pct"/>
            <w:hideMark/>
          </w:tcPr>
          <w:p w14:paraId="3B368EA7" w14:textId="77777777" w:rsidR="00711E57" w:rsidRPr="00711E57" w:rsidRDefault="00711E57" w:rsidP="00711E57">
            <w:pPr>
              <w:rPr>
                <w:rFonts w:ascii="Times New Roman" w:eastAsia="Times New Roman" w:hAnsi="Times New Roman" w:cs="Times New Roman"/>
                <w:sz w:val="24"/>
                <w:szCs w:val="24"/>
                <w:lang w:eastAsia="zh-CN"/>
              </w:rPr>
            </w:pPr>
          </w:p>
        </w:tc>
        <w:tc>
          <w:tcPr>
            <w:tcW w:w="1998" w:type="pct"/>
            <w:hideMark/>
          </w:tcPr>
          <w:p w14:paraId="370B741C" w14:textId="77777777" w:rsidR="00711E57" w:rsidRPr="00711E57" w:rsidRDefault="00711E57" w:rsidP="00711E57">
            <w:pPr>
              <w:rPr>
                <w:rFonts w:ascii="Times New Roman" w:eastAsia="Times New Roman" w:hAnsi="Times New Roman" w:cs="Times New Roman"/>
                <w:sz w:val="24"/>
                <w:szCs w:val="24"/>
                <w:lang w:eastAsia="zh-CN"/>
              </w:rPr>
            </w:pPr>
            <w:proofErr w:type="spellStart"/>
            <w:r w:rsidRPr="00711E57">
              <w:rPr>
                <w:rFonts w:ascii="Times New Roman" w:eastAsia="Times New Roman" w:hAnsi="Times New Roman" w:cs="Times New Roman"/>
                <w:sz w:val="24"/>
                <w:szCs w:val="24"/>
                <w:lang w:eastAsia="zh-CN"/>
              </w:rPr>
              <w:t>Monduli</w:t>
            </w:r>
            <w:proofErr w:type="spellEnd"/>
            <w:r w:rsidRPr="00711E57">
              <w:rPr>
                <w:rFonts w:ascii="Times New Roman" w:eastAsia="Times New Roman" w:hAnsi="Times New Roman" w:cs="Times New Roman"/>
                <w:sz w:val="24"/>
                <w:szCs w:val="24"/>
                <w:lang w:eastAsia="zh-CN"/>
              </w:rPr>
              <w:t xml:space="preserve"> District Council</w:t>
            </w:r>
          </w:p>
        </w:tc>
        <w:tc>
          <w:tcPr>
            <w:tcW w:w="801" w:type="pct"/>
            <w:hideMark/>
          </w:tcPr>
          <w:p w14:paraId="4D722F09"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122</w:t>
            </w:r>
          </w:p>
        </w:tc>
        <w:tc>
          <w:tcPr>
            <w:tcW w:w="1156" w:type="pct"/>
            <w:hideMark/>
          </w:tcPr>
          <w:p w14:paraId="30835672"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35.6</w:t>
            </w:r>
          </w:p>
        </w:tc>
      </w:tr>
      <w:tr w:rsidR="00711E57" w:rsidRPr="00711E57" w14:paraId="1DD342A7" w14:textId="77777777" w:rsidTr="00711E57">
        <w:tc>
          <w:tcPr>
            <w:tcW w:w="938" w:type="pct"/>
            <w:hideMark/>
          </w:tcPr>
          <w:p w14:paraId="1A837106" w14:textId="77777777" w:rsidR="00711E57" w:rsidRPr="00711E57" w:rsidRDefault="00711E57" w:rsidP="00711E57">
            <w:pPr>
              <w:rPr>
                <w:rFonts w:ascii="Times New Roman" w:eastAsia="Times New Roman" w:hAnsi="Times New Roman" w:cs="Times New Roman"/>
                <w:sz w:val="24"/>
                <w:szCs w:val="24"/>
                <w:lang w:eastAsia="zh-CN"/>
              </w:rPr>
            </w:pPr>
          </w:p>
        </w:tc>
        <w:tc>
          <w:tcPr>
            <w:tcW w:w="1998" w:type="pct"/>
            <w:hideMark/>
          </w:tcPr>
          <w:p w14:paraId="3F93C65A"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Ngorongoro District Council</w:t>
            </w:r>
          </w:p>
        </w:tc>
        <w:tc>
          <w:tcPr>
            <w:tcW w:w="801" w:type="pct"/>
            <w:hideMark/>
          </w:tcPr>
          <w:p w14:paraId="232D3600"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49</w:t>
            </w:r>
          </w:p>
        </w:tc>
        <w:tc>
          <w:tcPr>
            <w:tcW w:w="1156" w:type="pct"/>
            <w:hideMark/>
          </w:tcPr>
          <w:p w14:paraId="187D6689"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14.3</w:t>
            </w:r>
          </w:p>
        </w:tc>
      </w:tr>
      <w:tr w:rsidR="00711E57" w:rsidRPr="00711E57" w14:paraId="086C0891" w14:textId="77777777" w:rsidTr="00711E57">
        <w:tc>
          <w:tcPr>
            <w:tcW w:w="938" w:type="pct"/>
            <w:hideMark/>
          </w:tcPr>
          <w:p w14:paraId="4CB0D2F0"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b/>
                <w:bCs/>
                <w:sz w:val="24"/>
                <w:szCs w:val="24"/>
                <w:lang w:eastAsia="zh-CN"/>
              </w:rPr>
              <w:t>Sub-total</w:t>
            </w:r>
          </w:p>
        </w:tc>
        <w:tc>
          <w:tcPr>
            <w:tcW w:w="1998" w:type="pct"/>
            <w:hideMark/>
          </w:tcPr>
          <w:p w14:paraId="36992BF6" w14:textId="77777777" w:rsidR="00711E57" w:rsidRPr="00711E57" w:rsidRDefault="00711E57" w:rsidP="00711E57">
            <w:pPr>
              <w:rPr>
                <w:rFonts w:ascii="Times New Roman" w:eastAsia="Times New Roman" w:hAnsi="Times New Roman" w:cs="Times New Roman"/>
                <w:sz w:val="24"/>
                <w:szCs w:val="24"/>
                <w:lang w:eastAsia="zh-CN"/>
              </w:rPr>
            </w:pPr>
          </w:p>
        </w:tc>
        <w:tc>
          <w:tcPr>
            <w:tcW w:w="801" w:type="pct"/>
            <w:hideMark/>
          </w:tcPr>
          <w:p w14:paraId="2D384FFD"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b/>
                <w:bCs/>
                <w:sz w:val="24"/>
                <w:szCs w:val="24"/>
                <w:lang w:eastAsia="zh-CN"/>
              </w:rPr>
              <w:t>343</w:t>
            </w:r>
          </w:p>
        </w:tc>
        <w:tc>
          <w:tcPr>
            <w:tcW w:w="1156" w:type="pct"/>
            <w:hideMark/>
          </w:tcPr>
          <w:p w14:paraId="64616BA8"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b/>
                <w:bCs/>
                <w:sz w:val="24"/>
                <w:szCs w:val="24"/>
                <w:lang w:eastAsia="zh-CN"/>
              </w:rPr>
              <w:t>100.0</w:t>
            </w:r>
          </w:p>
        </w:tc>
      </w:tr>
      <w:tr w:rsidR="00711E57" w:rsidRPr="00711E57" w14:paraId="33948A23" w14:textId="77777777" w:rsidTr="00711E57">
        <w:tc>
          <w:tcPr>
            <w:tcW w:w="938" w:type="pct"/>
            <w:hideMark/>
          </w:tcPr>
          <w:p w14:paraId="339151CF"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b/>
                <w:bCs/>
                <w:sz w:val="24"/>
                <w:szCs w:val="24"/>
                <w:lang w:eastAsia="zh-CN"/>
              </w:rPr>
              <w:t>Mara</w:t>
            </w:r>
          </w:p>
        </w:tc>
        <w:tc>
          <w:tcPr>
            <w:tcW w:w="1998" w:type="pct"/>
            <w:hideMark/>
          </w:tcPr>
          <w:p w14:paraId="68FC2F57" w14:textId="77777777" w:rsidR="00711E57" w:rsidRPr="00711E57" w:rsidRDefault="00711E57" w:rsidP="00711E57">
            <w:pPr>
              <w:rPr>
                <w:rFonts w:ascii="Times New Roman" w:eastAsia="Times New Roman" w:hAnsi="Times New Roman" w:cs="Times New Roman"/>
                <w:sz w:val="24"/>
                <w:szCs w:val="24"/>
                <w:lang w:eastAsia="zh-CN"/>
              </w:rPr>
            </w:pPr>
            <w:proofErr w:type="spellStart"/>
            <w:r w:rsidRPr="00711E57">
              <w:rPr>
                <w:rFonts w:ascii="Times New Roman" w:eastAsia="Times New Roman" w:hAnsi="Times New Roman" w:cs="Times New Roman"/>
                <w:sz w:val="24"/>
                <w:szCs w:val="24"/>
                <w:lang w:eastAsia="zh-CN"/>
              </w:rPr>
              <w:t>Bunda</w:t>
            </w:r>
            <w:proofErr w:type="spellEnd"/>
            <w:r w:rsidRPr="00711E57">
              <w:rPr>
                <w:rFonts w:ascii="Times New Roman" w:eastAsia="Times New Roman" w:hAnsi="Times New Roman" w:cs="Times New Roman"/>
                <w:sz w:val="24"/>
                <w:szCs w:val="24"/>
                <w:lang w:eastAsia="zh-CN"/>
              </w:rPr>
              <w:t xml:space="preserve"> District Council</w:t>
            </w:r>
          </w:p>
        </w:tc>
        <w:tc>
          <w:tcPr>
            <w:tcW w:w="801" w:type="pct"/>
            <w:hideMark/>
          </w:tcPr>
          <w:p w14:paraId="2DB0FED7"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32</w:t>
            </w:r>
          </w:p>
        </w:tc>
        <w:tc>
          <w:tcPr>
            <w:tcW w:w="1156" w:type="pct"/>
            <w:hideMark/>
          </w:tcPr>
          <w:p w14:paraId="7A2D3699"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21.1</w:t>
            </w:r>
          </w:p>
        </w:tc>
      </w:tr>
      <w:tr w:rsidR="00711E57" w:rsidRPr="00711E57" w14:paraId="0DFE1184" w14:textId="77777777" w:rsidTr="00711E57">
        <w:tc>
          <w:tcPr>
            <w:tcW w:w="938" w:type="pct"/>
            <w:hideMark/>
          </w:tcPr>
          <w:p w14:paraId="6484329C" w14:textId="77777777" w:rsidR="00711E57" w:rsidRPr="00711E57" w:rsidRDefault="00711E57" w:rsidP="00711E57">
            <w:pPr>
              <w:rPr>
                <w:rFonts w:ascii="Times New Roman" w:eastAsia="Times New Roman" w:hAnsi="Times New Roman" w:cs="Times New Roman"/>
                <w:sz w:val="24"/>
                <w:szCs w:val="24"/>
                <w:lang w:eastAsia="zh-CN"/>
              </w:rPr>
            </w:pPr>
          </w:p>
        </w:tc>
        <w:tc>
          <w:tcPr>
            <w:tcW w:w="1998" w:type="pct"/>
            <w:hideMark/>
          </w:tcPr>
          <w:p w14:paraId="3E9678F7" w14:textId="77777777" w:rsidR="00711E57" w:rsidRPr="00711E57" w:rsidRDefault="00711E57" w:rsidP="00711E57">
            <w:pPr>
              <w:rPr>
                <w:rFonts w:ascii="Times New Roman" w:eastAsia="Times New Roman" w:hAnsi="Times New Roman" w:cs="Times New Roman"/>
                <w:sz w:val="24"/>
                <w:szCs w:val="24"/>
                <w:lang w:eastAsia="zh-CN"/>
              </w:rPr>
            </w:pPr>
            <w:proofErr w:type="spellStart"/>
            <w:r w:rsidRPr="00711E57">
              <w:rPr>
                <w:rFonts w:ascii="Times New Roman" w:eastAsia="Times New Roman" w:hAnsi="Times New Roman" w:cs="Times New Roman"/>
                <w:sz w:val="24"/>
                <w:szCs w:val="24"/>
                <w:lang w:eastAsia="zh-CN"/>
              </w:rPr>
              <w:t>Butiama</w:t>
            </w:r>
            <w:proofErr w:type="spellEnd"/>
            <w:r w:rsidRPr="00711E57">
              <w:rPr>
                <w:rFonts w:ascii="Times New Roman" w:eastAsia="Times New Roman" w:hAnsi="Times New Roman" w:cs="Times New Roman"/>
                <w:sz w:val="24"/>
                <w:szCs w:val="24"/>
                <w:lang w:eastAsia="zh-CN"/>
              </w:rPr>
              <w:t xml:space="preserve"> District Council</w:t>
            </w:r>
          </w:p>
        </w:tc>
        <w:tc>
          <w:tcPr>
            <w:tcW w:w="801" w:type="pct"/>
            <w:hideMark/>
          </w:tcPr>
          <w:p w14:paraId="2DAB83F5"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14</w:t>
            </w:r>
          </w:p>
        </w:tc>
        <w:tc>
          <w:tcPr>
            <w:tcW w:w="1156" w:type="pct"/>
            <w:hideMark/>
          </w:tcPr>
          <w:p w14:paraId="27F21AE2"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9.2</w:t>
            </w:r>
          </w:p>
        </w:tc>
      </w:tr>
      <w:tr w:rsidR="00711E57" w:rsidRPr="00711E57" w14:paraId="790A919D" w14:textId="77777777" w:rsidTr="00711E57">
        <w:tc>
          <w:tcPr>
            <w:tcW w:w="938" w:type="pct"/>
            <w:hideMark/>
          </w:tcPr>
          <w:p w14:paraId="66F2BE61" w14:textId="77777777" w:rsidR="00711E57" w:rsidRPr="00711E57" w:rsidRDefault="00711E57" w:rsidP="00711E57">
            <w:pPr>
              <w:rPr>
                <w:rFonts w:ascii="Times New Roman" w:eastAsia="Times New Roman" w:hAnsi="Times New Roman" w:cs="Times New Roman"/>
                <w:sz w:val="24"/>
                <w:szCs w:val="24"/>
                <w:lang w:eastAsia="zh-CN"/>
              </w:rPr>
            </w:pPr>
          </w:p>
        </w:tc>
        <w:tc>
          <w:tcPr>
            <w:tcW w:w="1998" w:type="pct"/>
            <w:hideMark/>
          </w:tcPr>
          <w:p w14:paraId="097E8FBE" w14:textId="77777777" w:rsidR="00711E57" w:rsidRPr="00711E57" w:rsidRDefault="00711E57" w:rsidP="00711E57">
            <w:pPr>
              <w:rPr>
                <w:rFonts w:ascii="Times New Roman" w:eastAsia="Times New Roman" w:hAnsi="Times New Roman" w:cs="Times New Roman"/>
                <w:sz w:val="24"/>
                <w:szCs w:val="24"/>
                <w:lang w:eastAsia="zh-CN"/>
              </w:rPr>
            </w:pPr>
            <w:proofErr w:type="spellStart"/>
            <w:r w:rsidRPr="00711E57">
              <w:rPr>
                <w:rFonts w:ascii="Times New Roman" w:eastAsia="Times New Roman" w:hAnsi="Times New Roman" w:cs="Times New Roman"/>
                <w:sz w:val="24"/>
                <w:szCs w:val="24"/>
                <w:lang w:eastAsia="zh-CN"/>
              </w:rPr>
              <w:t>Musoma</w:t>
            </w:r>
            <w:proofErr w:type="spellEnd"/>
            <w:r w:rsidRPr="00711E57">
              <w:rPr>
                <w:rFonts w:ascii="Times New Roman" w:eastAsia="Times New Roman" w:hAnsi="Times New Roman" w:cs="Times New Roman"/>
                <w:sz w:val="24"/>
                <w:szCs w:val="24"/>
                <w:lang w:eastAsia="zh-CN"/>
              </w:rPr>
              <w:t xml:space="preserve"> Municipal Council</w:t>
            </w:r>
          </w:p>
        </w:tc>
        <w:tc>
          <w:tcPr>
            <w:tcW w:w="801" w:type="pct"/>
            <w:hideMark/>
          </w:tcPr>
          <w:p w14:paraId="575D3334"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29</w:t>
            </w:r>
          </w:p>
        </w:tc>
        <w:tc>
          <w:tcPr>
            <w:tcW w:w="1156" w:type="pct"/>
            <w:hideMark/>
          </w:tcPr>
          <w:p w14:paraId="2D824129"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19.1</w:t>
            </w:r>
          </w:p>
        </w:tc>
      </w:tr>
      <w:tr w:rsidR="00711E57" w:rsidRPr="00711E57" w14:paraId="21B339F6" w14:textId="77777777" w:rsidTr="00711E57">
        <w:tc>
          <w:tcPr>
            <w:tcW w:w="938" w:type="pct"/>
            <w:hideMark/>
          </w:tcPr>
          <w:p w14:paraId="25813E6E" w14:textId="77777777" w:rsidR="00711E57" w:rsidRPr="00711E57" w:rsidRDefault="00711E57" w:rsidP="00711E57">
            <w:pPr>
              <w:rPr>
                <w:rFonts w:ascii="Times New Roman" w:eastAsia="Times New Roman" w:hAnsi="Times New Roman" w:cs="Times New Roman"/>
                <w:sz w:val="24"/>
                <w:szCs w:val="24"/>
                <w:lang w:eastAsia="zh-CN"/>
              </w:rPr>
            </w:pPr>
          </w:p>
        </w:tc>
        <w:tc>
          <w:tcPr>
            <w:tcW w:w="1998" w:type="pct"/>
            <w:hideMark/>
          </w:tcPr>
          <w:p w14:paraId="6A44C851" w14:textId="77777777" w:rsidR="00711E57" w:rsidRPr="00711E57" w:rsidRDefault="00711E57" w:rsidP="00711E57">
            <w:pPr>
              <w:rPr>
                <w:rFonts w:ascii="Times New Roman" w:eastAsia="Times New Roman" w:hAnsi="Times New Roman" w:cs="Times New Roman"/>
                <w:sz w:val="24"/>
                <w:szCs w:val="24"/>
                <w:lang w:eastAsia="zh-CN"/>
              </w:rPr>
            </w:pPr>
            <w:proofErr w:type="spellStart"/>
            <w:r w:rsidRPr="00711E57">
              <w:rPr>
                <w:rFonts w:ascii="Times New Roman" w:eastAsia="Times New Roman" w:hAnsi="Times New Roman" w:cs="Times New Roman"/>
                <w:sz w:val="24"/>
                <w:szCs w:val="24"/>
                <w:lang w:eastAsia="zh-CN"/>
              </w:rPr>
              <w:t>Rorya</w:t>
            </w:r>
            <w:proofErr w:type="spellEnd"/>
            <w:r w:rsidRPr="00711E57">
              <w:rPr>
                <w:rFonts w:ascii="Times New Roman" w:eastAsia="Times New Roman" w:hAnsi="Times New Roman" w:cs="Times New Roman"/>
                <w:sz w:val="24"/>
                <w:szCs w:val="24"/>
                <w:lang w:eastAsia="zh-CN"/>
              </w:rPr>
              <w:t xml:space="preserve"> District Council</w:t>
            </w:r>
          </w:p>
        </w:tc>
        <w:tc>
          <w:tcPr>
            <w:tcW w:w="801" w:type="pct"/>
            <w:hideMark/>
          </w:tcPr>
          <w:p w14:paraId="6BC5BAC4"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25</w:t>
            </w:r>
          </w:p>
        </w:tc>
        <w:tc>
          <w:tcPr>
            <w:tcW w:w="1156" w:type="pct"/>
            <w:hideMark/>
          </w:tcPr>
          <w:p w14:paraId="1B9AEE43"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16.4</w:t>
            </w:r>
          </w:p>
        </w:tc>
      </w:tr>
      <w:tr w:rsidR="00711E57" w:rsidRPr="00711E57" w14:paraId="126641B7" w14:textId="77777777" w:rsidTr="00711E57">
        <w:tc>
          <w:tcPr>
            <w:tcW w:w="938" w:type="pct"/>
            <w:hideMark/>
          </w:tcPr>
          <w:p w14:paraId="73C35FFD" w14:textId="77777777" w:rsidR="00711E57" w:rsidRPr="00711E57" w:rsidRDefault="00711E57" w:rsidP="00711E57">
            <w:pPr>
              <w:rPr>
                <w:rFonts w:ascii="Times New Roman" w:eastAsia="Times New Roman" w:hAnsi="Times New Roman" w:cs="Times New Roman"/>
                <w:sz w:val="24"/>
                <w:szCs w:val="24"/>
                <w:lang w:eastAsia="zh-CN"/>
              </w:rPr>
            </w:pPr>
          </w:p>
        </w:tc>
        <w:tc>
          <w:tcPr>
            <w:tcW w:w="1998" w:type="pct"/>
            <w:hideMark/>
          </w:tcPr>
          <w:p w14:paraId="29467402"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Serengeti District Council</w:t>
            </w:r>
          </w:p>
        </w:tc>
        <w:tc>
          <w:tcPr>
            <w:tcW w:w="801" w:type="pct"/>
            <w:hideMark/>
          </w:tcPr>
          <w:p w14:paraId="0EDD3763"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36</w:t>
            </w:r>
          </w:p>
        </w:tc>
        <w:tc>
          <w:tcPr>
            <w:tcW w:w="1156" w:type="pct"/>
            <w:hideMark/>
          </w:tcPr>
          <w:p w14:paraId="57A28F74"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23.7</w:t>
            </w:r>
          </w:p>
        </w:tc>
      </w:tr>
      <w:tr w:rsidR="00711E57" w:rsidRPr="00711E57" w14:paraId="3C3387E1" w14:textId="77777777" w:rsidTr="00711E57">
        <w:tc>
          <w:tcPr>
            <w:tcW w:w="938" w:type="pct"/>
            <w:hideMark/>
          </w:tcPr>
          <w:p w14:paraId="77F3C485" w14:textId="77777777" w:rsidR="00711E57" w:rsidRPr="00711E57" w:rsidRDefault="00711E57" w:rsidP="00711E57">
            <w:pPr>
              <w:rPr>
                <w:rFonts w:ascii="Times New Roman" w:eastAsia="Times New Roman" w:hAnsi="Times New Roman" w:cs="Times New Roman"/>
                <w:sz w:val="24"/>
                <w:szCs w:val="24"/>
                <w:lang w:eastAsia="zh-CN"/>
              </w:rPr>
            </w:pPr>
          </w:p>
        </w:tc>
        <w:tc>
          <w:tcPr>
            <w:tcW w:w="1998" w:type="pct"/>
            <w:hideMark/>
          </w:tcPr>
          <w:p w14:paraId="5DC7279D" w14:textId="77777777" w:rsidR="00711E57" w:rsidRPr="00711E57" w:rsidRDefault="00711E57" w:rsidP="00711E57">
            <w:pPr>
              <w:rPr>
                <w:rFonts w:ascii="Times New Roman" w:eastAsia="Times New Roman" w:hAnsi="Times New Roman" w:cs="Times New Roman"/>
                <w:sz w:val="24"/>
                <w:szCs w:val="24"/>
                <w:lang w:eastAsia="zh-CN"/>
              </w:rPr>
            </w:pPr>
            <w:proofErr w:type="spellStart"/>
            <w:r w:rsidRPr="00711E57">
              <w:rPr>
                <w:rFonts w:ascii="Times New Roman" w:eastAsia="Times New Roman" w:hAnsi="Times New Roman" w:cs="Times New Roman"/>
                <w:sz w:val="24"/>
                <w:szCs w:val="24"/>
                <w:lang w:eastAsia="zh-CN"/>
              </w:rPr>
              <w:t>Tarime</w:t>
            </w:r>
            <w:proofErr w:type="spellEnd"/>
            <w:r w:rsidRPr="00711E57">
              <w:rPr>
                <w:rFonts w:ascii="Times New Roman" w:eastAsia="Times New Roman" w:hAnsi="Times New Roman" w:cs="Times New Roman"/>
                <w:sz w:val="24"/>
                <w:szCs w:val="24"/>
                <w:lang w:eastAsia="zh-CN"/>
              </w:rPr>
              <w:t xml:space="preserve"> Town Council</w:t>
            </w:r>
          </w:p>
        </w:tc>
        <w:tc>
          <w:tcPr>
            <w:tcW w:w="801" w:type="pct"/>
            <w:hideMark/>
          </w:tcPr>
          <w:p w14:paraId="3C479145"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16</w:t>
            </w:r>
          </w:p>
        </w:tc>
        <w:tc>
          <w:tcPr>
            <w:tcW w:w="1156" w:type="pct"/>
            <w:hideMark/>
          </w:tcPr>
          <w:p w14:paraId="209CD8BD"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sz w:val="24"/>
                <w:szCs w:val="24"/>
                <w:lang w:eastAsia="zh-CN"/>
              </w:rPr>
              <w:t>10.5</w:t>
            </w:r>
          </w:p>
        </w:tc>
      </w:tr>
      <w:tr w:rsidR="00711E57" w:rsidRPr="00711E57" w14:paraId="4C61693E" w14:textId="77777777" w:rsidTr="00711E57">
        <w:tc>
          <w:tcPr>
            <w:tcW w:w="938" w:type="pct"/>
            <w:hideMark/>
          </w:tcPr>
          <w:p w14:paraId="1FF08594"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b/>
                <w:bCs/>
                <w:sz w:val="24"/>
                <w:szCs w:val="24"/>
                <w:lang w:eastAsia="zh-CN"/>
              </w:rPr>
              <w:t>Sub-total</w:t>
            </w:r>
          </w:p>
        </w:tc>
        <w:tc>
          <w:tcPr>
            <w:tcW w:w="1998" w:type="pct"/>
            <w:hideMark/>
          </w:tcPr>
          <w:p w14:paraId="69413323" w14:textId="77777777" w:rsidR="00711E57" w:rsidRPr="00711E57" w:rsidRDefault="00711E57" w:rsidP="00711E57">
            <w:pPr>
              <w:rPr>
                <w:rFonts w:ascii="Times New Roman" w:eastAsia="Times New Roman" w:hAnsi="Times New Roman" w:cs="Times New Roman"/>
                <w:sz w:val="24"/>
                <w:szCs w:val="24"/>
                <w:lang w:eastAsia="zh-CN"/>
              </w:rPr>
            </w:pPr>
          </w:p>
        </w:tc>
        <w:tc>
          <w:tcPr>
            <w:tcW w:w="801" w:type="pct"/>
            <w:hideMark/>
          </w:tcPr>
          <w:p w14:paraId="0553C4A6"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b/>
                <w:bCs/>
                <w:sz w:val="24"/>
                <w:szCs w:val="24"/>
                <w:lang w:eastAsia="zh-CN"/>
              </w:rPr>
              <w:t>152</w:t>
            </w:r>
          </w:p>
        </w:tc>
        <w:tc>
          <w:tcPr>
            <w:tcW w:w="1156" w:type="pct"/>
            <w:hideMark/>
          </w:tcPr>
          <w:p w14:paraId="79ABBC3D"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b/>
                <w:bCs/>
                <w:sz w:val="24"/>
                <w:szCs w:val="24"/>
                <w:lang w:eastAsia="zh-CN"/>
              </w:rPr>
              <w:t>100.0</w:t>
            </w:r>
          </w:p>
        </w:tc>
      </w:tr>
      <w:tr w:rsidR="00711E57" w:rsidRPr="00711E57" w14:paraId="405B52DD" w14:textId="77777777" w:rsidTr="00711E57">
        <w:tc>
          <w:tcPr>
            <w:tcW w:w="938" w:type="pct"/>
            <w:hideMark/>
          </w:tcPr>
          <w:p w14:paraId="500F5DBE"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b/>
                <w:bCs/>
                <w:sz w:val="24"/>
                <w:szCs w:val="24"/>
                <w:lang w:eastAsia="zh-CN"/>
              </w:rPr>
              <w:t>Grand Total</w:t>
            </w:r>
          </w:p>
        </w:tc>
        <w:tc>
          <w:tcPr>
            <w:tcW w:w="1998" w:type="pct"/>
            <w:hideMark/>
          </w:tcPr>
          <w:p w14:paraId="788C2347" w14:textId="77777777" w:rsidR="00711E57" w:rsidRPr="00711E57" w:rsidRDefault="00711E57" w:rsidP="00711E57">
            <w:pPr>
              <w:rPr>
                <w:rFonts w:ascii="Times New Roman" w:eastAsia="Times New Roman" w:hAnsi="Times New Roman" w:cs="Times New Roman"/>
                <w:sz w:val="24"/>
                <w:szCs w:val="24"/>
                <w:lang w:eastAsia="zh-CN"/>
              </w:rPr>
            </w:pPr>
          </w:p>
        </w:tc>
        <w:tc>
          <w:tcPr>
            <w:tcW w:w="801" w:type="pct"/>
            <w:hideMark/>
          </w:tcPr>
          <w:p w14:paraId="33325228"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b/>
                <w:bCs/>
                <w:sz w:val="24"/>
                <w:szCs w:val="24"/>
                <w:lang w:eastAsia="zh-CN"/>
              </w:rPr>
              <w:t>495</w:t>
            </w:r>
          </w:p>
        </w:tc>
        <w:tc>
          <w:tcPr>
            <w:tcW w:w="1156" w:type="pct"/>
            <w:hideMark/>
          </w:tcPr>
          <w:p w14:paraId="2C8689A5" w14:textId="77777777" w:rsidR="00711E57" w:rsidRPr="00711E57" w:rsidRDefault="00711E57" w:rsidP="00711E57">
            <w:pPr>
              <w:rPr>
                <w:rFonts w:ascii="Times New Roman" w:eastAsia="Times New Roman" w:hAnsi="Times New Roman" w:cs="Times New Roman"/>
                <w:sz w:val="24"/>
                <w:szCs w:val="24"/>
                <w:lang w:eastAsia="zh-CN"/>
              </w:rPr>
            </w:pPr>
            <w:r w:rsidRPr="00711E57">
              <w:rPr>
                <w:rFonts w:ascii="Times New Roman" w:eastAsia="Times New Roman" w:hAnsi="Times New Roman" w:cs="Times New Roman"/>
                <w:b/>
                <w:bCs/>
                <w:sz w:val="24"/>
                <w:szCs w:val="24"/>
                <w:lang w:eastAsia="zh-CN"/>
              </w:rPr>
              <w:t>100.0</w:t>
            </w:r>
          </w:p>
        </w:tc>
      </w:tr>
    </w:tbl>
    <w:p w14:paraId="4A0F7EC8" w14:textId="0664C629" w:rsidR="00711E57" w:rsidRPr="00563E0C" w:rsidRDefault="00711E57" w:rsidP="009C69CA">
      <w:pPr>
        <w:spacing w:after="100" w:afterAutospacing="1" w:line="240" w:lineRule="auto"/>
        <w:rPr>
          <w:rFonts w:ascii="Times New Roman" w:eastAsia="Times New Roman" w:hAnsi="Times New Roman" w:cs="Times New Roman"/>
          <w:sz w:val="24"/>
          <w:szCs w:val="24"/>
          <w:lang w:eastAsia="zh-CN"/>
        </w:rPr>
      </w:pPr>
      <w:r w:rsidRPr="00711E57">
        <w:rPr>
          <w:rFonts w:ascii="Times New Roman" w:eastAsia="Times New Roman" w:hAnsi="Times New Roman" w:cs="Times New Roman"/>
          <w:b/>
          <w:bCs/>
          <w:sz w:val="24"/>
          <w:szCs w:val="24"/>
          <w:lang w:eastAsia="zh-CN"/>
        </w:rPr>
        <w:t>Source:</w:t>
      </w:r>
      <w:r w:rsidRPr="00711E57">
        <w:rPr>
          <w:rFonts w:ascii="Times New Roman" w:eastAsia="Times New Roman" w:hAnsi="Times New Roman" w:cs="Times New Roman"/>
          <w:sz w:val="24"/>
          <w:szCs w:val="24"/>
          <w:lang w:eastAsia="zh-CN"/>
        </w:rPr>
        <w:t xml:space="preserve"> Survey field data, 2023</w:t>
      </w:r>
      <w:r w:rsidR="009C69CA">
        <w:rPr>
          <w:rFonts w:ascii="Times New Roman" w:eastAsia="Times New Roman" w:hAnsi="Times New Roman" w:cs="Times New Roman"/>
          <w:sz w:val="24"/>
          <w:szCs w:val="24"/>
          <w:lang w:eastAsia="zh-CN"/>
        </w:rPr>
        <w:t>/2024</w:t>
      </w:r>
    </w:p>
    <w:p w14:paraId="6874F303" w14:textId="4677A56F" w:rsidR="00F978DD" w:rsidRPr="00F978DD" w:rsidRDefault="00F978DD" w:rsidP="00F978DD">
      <w:pPr>
        <w:autoSpaceDE w:val="0"/>
        <w:autoSpaceDN w:val="0"/>
        <w:adjustRightInd w:val="0"/>
        <w:spacing w:after="0" w:line="480" w:lineRule="auto"/>
        <w:jc w:val="both"/>
        <w:rPr>
          <w:rFonts w:ascii="Times New Roman" w:eastAsia="SimSun" w:hAnsi="Times New Roman" w:cs="Times New Roman"/>
          <w:b/>
          <w:sz w:val="24"/>
          <w:szCs w:val="24"/>
          <w:shd w:val="clear" w:color="auto" w:fill="FFFFFF"/>
          <w:lang w:val="en-GB" w:eastAsia="zh-CN"/>
        </w:rPr>
      </w:pPr>
      <w:r w:rsidRPr="00F978DD">
        <w:rPr>
          <w:rFonts w:ascii="Times New Roman" w:eastAsia="SimSun" w:hAnsi="Times New Roman" w:cs="Times New Roman"/>
          <w:b/>
          <w:sz w:val="24"/>
          <w:szCs w:val="24"/>
          <w:shd w:val="clear" w:color="auto" w:fill="FFFFFF"/>
          <w:lang w:val="en-GB" w:eastAsia="zh-CN"/>
        </w:rPr>
        <w:t>2.3. Data Collection</w:t>
      </w:r>
    </w:p>
    <w:p w14:paraId="4ABECBB0" w14:textId="3EE107EF" w:rsidR="00F978DD" w:rsidRDefault="00063922" w:rsidP="003B3386">
      <w:pPr>
        <w:autoSpaceDE w:val="0"/>
        <w:autoSpaceDN w:val="0"/>
        <w:adjustRightInd w:val="0"/>
        <w:spacing w:after="0" w:line="480" w:lineRule="auto"/>
        <w:ind w:firstLine="450"/>
        <w:jc w:val="both"/>
        <w:rPr>
          <w:rFonts w:ascii="Times New Roman" w:eastAsia="SimSun" w:hAnsi="Times New Roman" w:cs="Times New Roman"/>
          <w:bCs/>
          <w:sz w:val="24"/>
          <w:szCs w:val="24"/>
          <w:shd w:val="clear" w:color="auto" w:fill="FFFFFF"/>
          <w:lang w:val="en-GB" w:eastAsia="zh-CN"/>
        </w:rPr>
      </w:pPr>
      <w:r w:rsidRPr="00063922">
        <w:rPr>
          <w:rFonts w:ascii="Times New Roman" w:eastAsia="SimSun" w:hAnsi="Times New Roman" w:cs="Times New Roman"/>
          <w:bCs/>
          <w:sz w:val="24"/>
          <w:szCs w:val="24"/>
          <w:shd w:val="clear" w:color="auto" w:fill="FFFFFF"/>
          <w:lang w:val="en-GB" w:eastAsia="zh-CN"/>
        </w:rPr>
        <w:t>Data collection was conducted over a three-month cross-sectional period (January</w:t>
      </w:r>
      <w:r>
        <w:rPr>
          <w:rFonts w:ascii="Times New Roman" w:eastAsia="SimSun" w:hAnsi="Times New Roman" w:cs="Times New Roman"/>
          <w:bCs/>
          <w:sz w:val="24"/>
          <w:szCs w:val="24"/>
          <w:shd w:val="clear" w:color="auto" w:fill="FFFFFF"/>
          <w:lang w:val="en-GB" w:eastAsia="zh-CN"/>
        </w:rPr>
        <w:t xml:space="preserve"> 2023</w:t>
      </w:r>
      <w:r w:rsidRPr="00063922">
        <w:rPr>
          <w:rFonts w:ascii="Times New Roman" w:eastAsia="SimSun" w:hAnsi="Times New Roman" w:cs="Times New Roman"/>
          <w:bCs/>
          <w:sz w:val="24"/>
          <w:szCs w:val="24"/>
          <w:shd w:val="clear" w:color="auto" w:fill="FFFFFF"/>
          <w:lang w:val="en-GB" w:eastAsia="zh-CN"/>
        </w:rPr>
        <w:t>–April 202</w:t>
      </w:r>
      <w:r>
        <w:rPr>
          <w:rFonts w:ascii="Times New Roman" w:eastAsia="SimSun" w:hAnsi="Times New Roman" w:cs="Times New Roman"/>
          <w:bCs/>
          <w:sz w:val="24"/>
          <w:szCs w:val="24"/>
          <w:shd w:val="clear" w:color="auto" w:fill="FFFFFF"/>
          <w:lang w:val="en-GB" w:eastAsia="zh-CN"/>
        </w:rPr>
        <w:t>4</w:t>
      </w:r>
      <w:r w:rsidRPr="00063922">
        <w:rPr>
          <w:rFonts w:ascii="Times New Roman" w:eastAsia="SimSun" w:hAnsi="Times New Roman" w:cs="Times New Roman"/>
          <w:bCs/>
          <w:sz w:val="24"/>
          <w:szCs w:val="24"/>
          <w:shd w:val="clear" w:color="auto" w:fill="FFFFFF"/>
          <w:lang w:val="en-GB" w:eastAsia="zh-CN"/>
        </w:rPr>
        <w:t>) using a participatory approach. Pre-tested structured questionnaires, in-depth interviews, focus group discussions, checklists, and consent forms were utilized as data collection tools. Key stakeholders, including District Executive Directors, loan officers, and community development officers, participated in focus group discussions and in-depth interviews to inform the EES component.</w:t>
      </w:r>
    </w:p>
    <w:p w14:paraId="3D81D10C" w14:textId="3AF4CF1C" w:rsidR="008E4E21" w:rsidRPr="008E4E21" w:rsidRDefault="008E4E21" w:rsidP="008E4E21">
      <w:pPr>
        <w:autoSpaceDE w:val="0"/>
        <w:autoSpaceDN w:val="0"/>
        <w:adjustRightInd w:val="0"/>
        <w:spacing w:after="0" w:line="480" w:lineRule="auto"/>
        <w:jc w:val="both"/>
        <w:rPr>
          <w:rFonts w:ascii="Times New Roman" w:eastAsia="SimSun" w:hAnsi="Times New Roman" w:cs="Times New Roman"/>
          <w:b/>
          <w:sz w:val="24"/>
          <w:szCs w:val="24"/>
          <w:shd w:val="clear" w:color="auto" w:fill="FFFFFF"/>
          <w:lang w:val="en-GB" w:eastAsia="zh-CN"/>
        </w:rPr>
      </w:pPr>
      <w:r w:rsidRPr="008E4E21">
        <w:rPr>
          <w:rFonts w:ascii="Times New Roman" w:eastAsia="SimSun" w:hAnsi="Times New Roman" w:cs="Times New Roman"/>
          <w:b/>
          <w:sz w:val="24"/>
          <w:szCs w:val="24"/>
          <w:shd w:val="clear" w:color="auto" w:fill="FFFFFF"/>
          <w:lang w:val="en-GB" w:eastAsia="zh-CN"/>
        </w:rPr>
        <w:t>2.4. Ethical Considerations</w:t>
      </w:r>
    </w:p>
    <w:p w14:paraId="65037FFB" w14:textId="02EF6E58" w:rsidR="008E4E21" w:rsidRPr="005C371A" w:rsidRDefault="008E4E21" w:rsidP="003B3386">
      <w:pPr>
        <w:autoSpaceDE w:val="0"/>
        <w:autoSpaceDN w:val="0"/>
        <w:adjustRightInd w:val="0"/>
        <w:spacing w:after="0" w:line="480" w:lineRule="auto"/>
        <w:ind w:firstLine="450"/>
        <w:jc w:val="both"/>
        <w:rPr>
          <w:rFonts w:ascii="Times New Roman" w:eastAsia="SimSun" w:hAnsi="Times New Roman" w:cs="Times New Roman"/>
          <w:bCs/>
          <w:sz w:val="24"/>
          <w:szCs w:val="24"/>
          <w:shd w:val="clear" w:color="auto" w:fill="FFFFFF"/>
          <w:lang w:val="en-GB" w:eastAsia="zh-CN"/>
        </w:rPr>
      </w:pPr>
      <w:r w:rsidRPr="008E4E21">
        <w:rPr>
          <w:rFonts w:ascii="Times New Roman" w:eastAsia="SimSun" w:hAnsi="Times New Roman" w:cs="Times New Roman"/>
          <w:bCs/>
          <w:sz w:val="24"/>
          <w:szCs w:val="24"/>
          <w:shd w:val="clear" w:color="auto" w:fill="FFFFFF"/>
          <w:lang w:val="en-GB" w:eastAsia="zh-CN"/>
        </w:rPr>
        <w:t>To ensure ethical compliance, clearance was obtained from the Tanzania Commission for Science and Technology, and informed consent was sought from all participants, with interviews conducted privately to ensure confidentiality and impartiality. Data collection was supported by loan officers and community development officers for facilitation, but they were excluded during interviews to avoid bias.</w:t>
      </w:r>
    </w:p>
    <w:p w14:paraId="6F0397E7" w14:textId="3134ABC0" w:rsidR="004F26E5" w:rsidRPr="005C4ABF" w:rsidRDefault="008125B5">
      <w:pPr>
        <w:pStyle w:val="Heading2"/>
        <w:spacing w:before="0" w:line="480" w:lineRule="auto"/>
        <w:jc w:val="both"/>
        <w:rPr>
          <w:rFonts w:ascii="Times New Roman" w:hAnsi="Times New Roman" w:cs="Times New Roman"/>
          <w:color w:val="auto"/>
          <w:sz w:val="24"/>
          <w:szCs w:val="24"/>
          <w:lang w:val="en-GB"/>
        </w:rPr>
      </w:pPr>
      <w:r w:rsidRPr="005C4ABF">
        <w:rPr>
          <w:rFonts w:ascii="Times New Roman" w:hAnsi="Times New Roman" w:cs="Times New Roman"/>
          <w:color w:val="auto"/>
          <w:sz w:val="24"/>
          <w:szCs w:val="24"/>
          <w:lang w:val="en-GB"/>
        </w:rPr>
        <w:t>2.</w:t>
      </w:r>
      <w:r w:rsidR="008E4E21" w:rsidRPr="005C4ABF">
        <w:rPr>
          <w:rFonts w:ascii="Times New Roman" w:hAnsi="Times New Roman" w:cs="Times New Roman"/>
          <w:color w:val="auto"/>
          <w:sz w:val="24"/>
          <w:szCs w:val="24"/>
          <w:lang w:val="en-GB"/>
        </w:rPr>
        <w:t>5</w:t>
      </w:r>
      <w:r w:rsidR="00C73B31" w:rsidRPr="005C4ABF">
        <w:rPr>
          <w:rFonts w:ascii="Times New Roman" w:hAnsi="Times New Roman" w:cs="Times New Roman"/>
          <w:color w:val="auto"/>
          <w:sz w:val="24"/>
          <w:szCs w:val="24"/>
          <w:lang w:val="en-GB"/>
        </w:rPr>
        <w:t xml:space="preserve">. </w:t>
      </w:r>
      <w:r w:rsidR="00BC6367" w:rsidRPr="005C4ABF">
        <w:rPr>
          <w:rFonts w:ascii="Times New Roman" w:hAnsi="Times New Roman" w:cs="Times New Roman"/>
          <w:color w:val="auto"/>
          <w:sz w:val="24"/>
          <w:szCs w:val="24"/>
          <w:lang w:val="en-GB"/>
        </w:rPr>
        <w:t>Data Analysis</w:t>
      </w:r>
      <w:r w:rsidR="004E78D5" w:rsidRPr="005C4ABF">
        <w:rPr>
          <w:rFonts w:ascii="Times New Roman" w:hAnsi="Times New Roman" w:cs="Times New Roman"/>
          <w:color w:val="auto"/>
          <w:sz w:val="24"/>
          <w:szCs w:val="24"/>
          <w:lang w:val="en-GB"/>
        </w:rPr>
        <w:t xml:space="preserve"> Models</w:t>
      </w:r>
    </w:p>
    <w:p w14:paraId="77E76556" w14:textId="7FCBF3A2" w:rsidR="00A737E6" w:rsidRDefault="0000787D">
      <w:pPr>
        <w:autoSpaceDE w:val="0"/>
        <w:autoSpaceDN w:val="0"/>
        <w:adjustRightInd w:val="0"/>
        <w:spacing w:after="0" w:line="480" w:lineRule="auto"/>
        <w:ind w:firstLine="450"/>
        <w:jc w:val="both"/>
        <w:rPr>
          <w:rFonts w:ascii="Times New Roman" w:eastAsia="SimSun" w:hAnsi="Times New Roman" w:cs="Times New Roman"/>
          <w:bCs/>
          <w:sz w:val="24"/>
          <w:szCs w:val="24"/>
          <w:shd w:val="clear" w:color="auto" w:fill="FFFFFF"/>
          <w:lang w:val="en-GB" w:eastAsia="zh-CN"/>
        </w:rPr>
      </w:pPr>
      <w:r w:rsidRPr="005C371A">
        <w:rPr>
          <w:rFonts w:ascii="Times New Roman" w:eastAsia="SimSun" w:hAnsi="Times New Roman" w:cs="Times New Roman"/>
          <w:bCs/>
          <w:sz w:val="24"/>
          <w:szCs w:val="24"/>
          <w:shd w:val="clear" w:color="auto" w:fill="FFFFFF"/>
          <w:lang w:val="en-GB" w:eastAsia="zh-CN"/>
        </w:rPr>
        <w:t xml:space="preserve">This study used </w:t>
      </w:r>
      <w:r w:rsidR="008E4E21">
        <w:rPr>
          <w:rFonts w:ascii="Times New Roman" w:eastAsia="SimSun" w:hAnsi="Times New Roman" w:cs="Times New Roman"/>
          <w:bCs/>
          <w:sz w:val="24"/>
          <w:szCs w:val="24"/>
          <w:shd w:val="clear" w:color="auto" w:fill="FFFFFF"/>
          <w:lang w:val="en-GB" w:eastAsia="zh-CN"/>
        </w:rPr>
        <w:t>economic</w:t>
      </w:r>
      <w:r w:rsidRPr="005C371A">
        <w:rPr>
          <w:rFonts w:ascii="Times New Roman" w:eastAsia="SimSun" w:hAnsi="Times New Roman" w:cs="Times New Roman"/>
          <w:bCs/>
          <w:sz w:val="24"/>
          <w:szCs w:val="24"/>
          <w:shd w:val="clear" w:color="auto" w:fill="FFFFFF"/>
          <w:lang w:val="en-GB" w:eastAsia="zh-CN"/>
        </w:rPr>
        <w:t xml:space="preserve"> analysis models together with inferential and descriptive statistics to </w:t>
      </w:r>
      <w:proofErr w:type="spellStart"/>
      <w:r w:rsidRPr="005C371A">
        <w:rPr>
          <w:rFonts w:ascii="Times New Roman" w:eastAsia="SimSun" w:hAnsi="Times New Roman" w:cs="Times New Roman"/>
          <w:bCs/>
          <w:sz w:val="24"/>
          <w:szCs w:val="24"/>
          <w:shd w:val="clear" w:color="auto" w:fill="FFFFFF"/>
          <w:lang w:val="en-GB" w:eastAsia="zh-CN"/>
        </w:rPr>
        <w:t>analyze</w:t>
      </w:r>
      <w:proofErr w:type="spellEnd"/>
      <w:r w:rsidRPr="005C371A">
        <w:rPr>
          <w:rFonts w:ascii="Times New Roman" w:eastAsia="SimSun" w:hAnsi="Times New Roman" w:cs="Times New Roman"/>
          <w:bCs/>
          <w:sz w:val="24"/>
          <w:szCs w:val="24"/>
          <w:shd w:val="clear" w:color="auto" w:fill="FFFFFF"/>
          <w:lang w:val="en-GB" w:eastAsia="zh-CN"/>
        </w:rPr>
        <w:t xml:space="preserve"> data</w:t>
      </w:r>
      <w:r w:rsidR="00520373" w:rsidRPr="005C371A">
        <w:rPr>
          <w:rFonts w:ascii="Times New Roman" w:eastAsia="SimSun" w:hAnsi="Times New Roman" w:cs="Times New Roman"/>
          <w:bCs/>
          <w:sz w:val="24"/>
          <w:szCs w:val="24"/>
          <w:shd w:val="clear" w:color="auto" w:fill="FFFFFF"/>
          <w:lang w:val="en-GB" w:eastAsia="zh-CN"/>
        </w:rPr>
        <w:t>.</w:t>
      </w:r>
      <w:r w:rsidR="008E4E21">
        <w:rPr>
          <w:rFonts w:ascii="Times New Roman" w:eastAsia="SimSun" w:hAnsi="Times New Roman" w:cs="Times New Roman"/>
          <w:bCs/>
          <w:sz w:val="24"/>
          <w:szCs w:val="24"/>
          <w:shd w:val="clear" w:color="auto" w:fill="FFFFFF"/>
          <w:lang w:val="en-GB" w:eastAsia="zh-CN"/>
        </w:rPr>
        <w:t xml:space="preserve"> </w:t>
      </w:r>
      <w:r w:rsidR="008E4E21" w:rsidRPr="008E4E21">
        <w:rPr>
          <w:rFonts w:ascii="Times New Roman" w:eastAsia="SimSun" w:hAnsi="Times New Roman" w:cs="Times New Roman"/>
          <w:bCs/>
          <w:sz w:val="24"/>
          <w:szCs w:val="24"/>
          <w:shd w:val="clear" w:color="auto" w:fill="FFFFFF"/>
          <w:lang w:val="en-GB" w:eastAsia="zh-CN"/>
        </w:rPr>
        <w:t xml:space="preserve">Data were entered and cleaned using </w:t>
      </w:r>
      <w:proofErr w:type="spellStart"/>
      <w:r w:rsidR="008E4E21" w:rsidRPr="008E4E21">
        <w:rPr>
          <w:rFonts w:ascii="Times New Roman" w:eastAsia="SimSun" w:hAnsi="Times New Roman" w:cs="Times New Roman"/>
          <w:bCs/>
          <w:sz w:val="24"/>
          <w:szCs w:val="24"/>
          <w:shd w:val="clear" w:color="auto" w:fill="FFFFFF"/>
          <w:lang w:val="en-GB" w:eastAsia="zh-CN"/>
        </w:rPr>
        <w:t>CSPro</w:t>
      </w:r>
      <w:proofErr w:type="spellEnd"/>
      <w:r w:rsidR="008E4E21" w:rsidRPr="008E4E21">
        <w:rPr>
          <w:rFonts w:ascii="Times New Roman" w:eastAsia="SimSun" w:hAnsi="Times New Roman" w:cs="Times New Roman"/>
          <w:bCs/>
          <w:sz w:val="24"/>
          <w:szCs w:val="24"/>
          <w:shd w:val="clear" w:color="auto" w:fill="FFFFFF"/>
          <w:lang w:val="en-GB" w:eastAsia="zh-CN"/>
        </w:rPr>
        <w:t xml:space="preserve"> and further </w:t>
      </w:r>
      <w:proofErr w:type="spellStart"/>
      <w:r w:rsidR="008E4E21" w:rsidRPr="008E4E21">
        <w:rPr>
          <w:rFonts w:ascii="Times New Roman" w:eastAsia="SimSun" w:hAnsi="Times New Roman" w:cs="Times New Roman"/>
          <w:bCs/>
          <w:sz w:val="24"/>
          <w:szCs w:val="24"/>
          <w:shd w:val="clear" w:color="auto" w:fill="FFFFFF"/>
          <w:lang w:val="en-GB" w:eastAsia="zh-CN"/>
        </w:rPr>
        <w:t>analyzed</w:t>
      </w:r>
      <w:proofErr w:type="spellEnd"/>
      <w:r w:rsidR="008E4E21" w:rsidRPr="008E4E21">
        <w:rPr>
          <w:rFonts w:ascii="Times New Roman" w:eastAsia="SimSun" w:hAnsi="Times New Roman" w:cs="Times New Roman"/>
          <w:bCs/>
          <w:sz w:val="24"/>
          <w:szCs w:val="24"/>
          <w:shd w:val="clear" w:color="auto" w:fill="FFFFFF"/>
          <w:lang w:val="en-GB" w:eastAsia="zh-CN"/>
        </w:rPr>
        <w:t xml:space="preserve"> using </w:t>
      </w:r>
      <w:r w:rsidR="005B4A11">
        <w:rPr>
          <w:rFonts w:ascii="Times New Roman" w:eastAsia="SimSun" w:hAnsi="Times New Roman" w:cs="Times New Roman"/>
          <w:bCs/>
          <w:sz w:val="24"/>
          <w:szCs w:val="24"/>
          <w:shd w:val="clear" w:color="auto" w:fill="FFFFFF"/>
          <w:lang w:val="en-GB" w:eastAsia="zh-CN"/>
        </w:rPr>
        <w:t xml:space="preserve">Stata, and </w:t>
      </w:r>
      <w:r w:rsidR="008E4E21" w:rsidRPr="008E4E21">
        <w:rPr>
          <w:rFonts w:ascii="Times New Roman" w:eastAsia="SimSun" w:hAnsi="Times New Roman" w:cs="Times New Roman"/>
          <w:bCs/>
          <w:sz w:val="24"/>
          <w:szCs w:val="24"/>
          <w:shd w:val="clear" w:color="auto" w:fill="FFFFFF"/>
          <w:lang w:val="en-GB" w:eastAsia="zh-CN"/>
        </w:rPr>
        <w:t xml:space="preserve">SPSS for descriptive and inferential statistics. Key indicators for evaluating economic </w:t>
      </w:r>
      <w:r w:rsidR="008E4E21" w:rsidRPr="008E4E21">
        <w:rPr>
          <w:rFonts w:ascii="Times New Roman" w:eastAsia="SimSun" w:hAnsi="Times New Roman" w:cs="Times New Roman"/>
          <w:bCs/>
          <w:sz w:val="24"/>
          <w:szCs w:val="24"/>
          <w:shd w:val="clear" w:color="auto" w:fill="FFFFFF"/>
          <w:lang w:val="en-GB" w:eastAsia="zh-CN"/>
        </w:rPr>
        <w:lastRenderedPageBreak/>
        <w:t xml:space="preserve">performance included profitability, viability, </w:t>
      </w:r>
      <w:bookmarkStart w:id="1" w:name="_Hlk202907568"/>
      <w:r w:rsidR="008E4E21" w:rsidRPr="008E4E21">
        <w:rPr>
          <w:rFonts w:ascii="Times New Roman" w:eastAsia="SimSun" w:hAnsi="Times New Roman" w:cs="Times New Roman"/>
          <w:bCs/>
          <w:sz w:val="24"/>
          <w:szCs w:val="24"/>
          <w:shd w:val="clear" w:color="auto" w:fill="FFFFFF"/>
          <w:lang w:val="en-GB" w:eastAsia="zh-CN"/>
        </w:rPr>
        <w:t>business expansion, revenue growth, and employment generation</w:t>
      </w:r>
      <w:bookmarkEnd w:id="1"/>
      <w:r w:rsidR="008E4E21" w:rsidRPr="008E4E21">
        <w:rPr>
          <w:rFonts w:ascii="Times New Roman" w:eastAsia="SimSun" w:hAnsi="Times New Roman" w:cs="Times New Roman"/>
          <w:bCs/>
          <w:sz w:val="24"/>
          <w:szCs w:val="24"/>
          <w:shd w:val="clear" w:color="auto" w:fill="FFFFFF"/>
          <w:lang w:val="en-GB" w:eastAsia="zh-CN"/>
        </w:rPr>
        <w:t>.</w:t>
      </w:r>
    </w:p>
    <w:p w14:paraId="0CED7E46" w14:textId="0EF7857F" w:rsidR="008E4E21" w:rsidRDefault="005B4A11">
      <w:pPr>
        <w:autoSpaceDE w:val="0"/>
        <w:autoSpaceDN w:val="0"/>
        <w:adjustRightInd w:val="0"/>
        <w:spacing w:after="0" w:line="480" w:lineRule="auto"/>
        <w:ind w:firstLine="450"/>
        <w:jc w:val="both"/>
        <w:rPr>
          <w:rFonts w:ascii="Times New Roman" w:eastAsia="SimSun" w:hAnsi="Times New Roman" w:cs="Times New Roman"/>
          <w:bCs/>
          <w:sz w:val="24"/>
          <w:szCs w:val="24"/>
          <w:shd w:val="clear" w:color="auto" w:fill="FFFFFF"/>
          <w:lang w:val="en-GB" w:eastAsia="zh-CN"/>
        </w:rPr>
      </w:pPr>
      <w:r>
        <w:rPr>
          <w:rFonts w:ascii="Times New Roman" w:eastAsia="SimSun" w:hAnsi="Times New Roman" w:cs="Times New Roman"/>
          <w:bCs/>
          <w:sz w:val="24"/>
          <w:szCs w:val="24"/>
          <w:shd w:val="clear" w:color="auto" w:fill="FFFFFF"/>
          <w:lang w:val="en-GB" w:eastAsia="zh-CN"/>
        </w:rPr>
        <w:t>Notably, d</w:t>
      </w:r>
      <w:r w:rsidR="008E4E21">
        <w:rPr>
          <w:rFonts w:ascii="Times New Roman" w:eastAsia="SimSun" w:hAnsi="Times New Roman" w:cs="Times New Roman"/>
          <w:bCs/>
          <w:sz w:val="24"/>
          <w:szCs w:val="24"/>
          <w:shd w:val="clear" w:color="auto" w:fill="FFFFFF"/>
          <w:lang w:val="en-GB" w:eastAsia="zh-CN"/>
        </w:rPr>
        <w:t xml:space="preserve">escriptive analysis was used to analyse the </w:t>
      </w:r>
      <w:r w:rsidR="008E4E21" w:rsidRPr="008E4E21">
        <w:rPr>
          <w:rFonts w:ascii="Times New Roman" w:eastAsia="SimSun" w:hAnsi="Times New Roman" w:cs="Times New Roman"/>
          <w:bCs/>
          <w:sz w:val="24"/>
          <w:szCs w:val="24"/>
          <w:shd w:val="clear" w:color="auto" w:fill="FFFFFF"/>
          <w:lang w:val="en-GB" w:eastAsia="zh-CN"/>
        </w:rPr>
        <w:t>business expansion</w:t>
      </w:r>
      <w:r w:rsidR="008E4E21">
        <w:rPr>
          <w:rFonts w:ascii="Times New Roman" w:eastAsia="SimSun" w:hAnsi="Times New Roman" w:cs="Times New Roman"/>
          <w:bCs/>
          <w:sz w:val="24"/>
          <w:szCs w:val="24"/>
          <w:shd w:val="clear" w:color="auto" w:fill="FFFFFF"/>
          <w:lang w:val="en-GB" w:eastAsia="zh-CN"/>
        </w:rPr>
        <w:t xml:space="preserve"> an</w:t>
      </w:r>
      <w:r w:rsidR="008E4E21" w:rsidRPr="008E4E21">
        <w:rPr>
          <w:rFonts w:ascii="Times New Roman" w:eastAsia="SimSun" w:hAnsi="Times New Roman" w:cs="Times New Roman"/>
          <w:bCs/>
          <w:sz w:val="24"/>
          <w:szCs w:val="24"/>
          <w:shd w:val="clear" w:color="auto" w:fill="FFFFFF"/>
          <w:lang w:val="en-GB" w:eastAsia="zh-CN"/>
        </w:rPr>
        <w:t>d employment generation</w:t>
      </w:r>
      <w:r w:rsidR="008E4E21">
        <w:rPr>
          <w:rFonts w:ascii="Times New Roman" w:eastAsia="SimSun" w:hAnsi="Times New Roman" w:cs="Times New Roman"/>
          <w:bCs/>
          <w:sz w:val="24"/>
          <w:szCs w:val="24"/>
          <w:shd w:val="clear" w:color="auto" w:fill="FFFFFF"/>
          <w:lang w:val="en-GB" w:eastAsia="zh-CN"/>
        </w:rPr>
        <w:t xml:space="preserve">. </w:t>
      </w:r>
      <w:r w:rsidR="003E10B1">
        <w:rPr>
          <w:rFonts w:ascii="Times New Roman" w:eastAsia="SimSun" w:hAnsi="Times New Roman" w:cs="Times New Roman"/>
          <w:bCs/>
          <w:sz w:val="24"/>
          <w:szCs w:val="24"/>
          <w:shd w:val="clear" w:color="auto" w:fill="FFFFFF"/>
          <w:lang w:val="en-GB" w:eastAsia="zh-CN"/>
        </w:rPr>
        <w:t xml:space="preserve">Economic analysis was used to analyse the </w:t>
      </w:r>
      <w:r w:rsidR="003E10B1" w:rsidRPr="003E10B1">
        <w:rPr>
          <w:rFonts w:ascii="Times New Roman" w:eastAsia="SimSun" w:hAnsi="Times New Roman" w:cs="Times New Roman"/>
          <w:bCs/>
          <w:sz w:val="24"/>
          <w:szCs w:val="24"/>
          <w:shd w:val="clear" w:color="auto" w:fill="FFFFFF"/>
          <w:lang w:val="en-GB" w:eastAsia="zh-CN"/>
        </w:rPr>
        <w:t>revenue growth</w:t>
      </w:r>
      <w:r w:rsidR="003E10B1">
        <w:rPr>
          <w:rFonts w:ascii="Times New Roman" w:eastAsia="SimSun" w:hAnsi="Times New Roman" w:cs="Times New Roman"/>
          <w:bCs/>
          <w:sz w:val="24"/>
          <w:szCs w:val="24"/>
          <w:shd w:val="clear" w:color="auto" w:fill="FFFFFF"/>
          <w:lang w:val="en-GB" w:eastAsia="zh-CN"/>
        </w:rPr>
        <w:t>,</w:t>
      </w:r>
      <w:r w:rsidR="003E10B1" w:rsidRPr="003E10B1">
        <w:rPr>
          <w:rFonts w:ascii="Times New Roman" w:eastAsia="SimSun" w:hAnsi="Times New Roman" w:cs="Times New Roman"/>
          <w:bCs/>
          <w:sz w:val="24"/>
          <w:szCs w:val="24"/>
          <w:shd w:val="clear" w:color="auto" w:fill="FFFFFF"/>
          <w:lang w:val="en-GB" w:eastAsia="zh-CN"/>
        </w:rPr>
        <w:t xml:space="preserve"> profitability, </w:t>
      </w:r>
      <w:r w:rsidR="003E10B1">
        <w:rPr>
          <w:rFonts w:ascii="Times New Roman" w:eastAsia="SimSun" w:hAnsi="Times New Roman" w:cs="Times New Roman"/>
          <w:bCs/>
          <w:sz w:val="24"/>
          <w:szCs w:val="24"/>
          <w:shd w:val="clear" w:color="auto" w:fill="FFFFFF"/>
          <w:lang w:val="en-GB" w:eastAsia="zh-CN"/>
        </w:rPr>
        <w:t xml:space="preserve">and </w:t>
      </w:r>
      <w:r w:rsidR="003E10B1" w:rsidRPr="003E10B1">
        <w:rPr>
          <w:rFonts w:ascii="Times New Roman" w:eastAsia="SimSun" w:hAnsi="Times New Roman" w:cs="Times New Roman"/>
          <w:bCs/>
          <w:sz w:val="24"/>
          <w:szCs w:val="24"/>
          <w:shd w:val="clear" w:color="auto" w:fill="FFFFFF"/>
          <w:lang w:val="en-GB" w:eastAsia="zh-CN"/>
        </w:rPr>
        <w:t>viability</w:t>
      </w:r>
      <w:r w:rsidR="009A07F1">
        <w:rPr>
          <w:rFonts w:ascii="Times New Roman" w:eastAsia="SimSun" w:hAnsi="Times New Roman" w:cs="Times New Roman"/>
          <w:bCs/>
          <w:sz w:val="24"/>
          <w:szCs w:val="24"/>
          <w:shd w:val="clear" w:color="auto" w:fill="FFFFFF"/>
          <w:lang w:val="en-GB" w:eastAsia="zh-CN"/>
        </w:rPr>
        <w:t xml:space="preserve"> as stipulated below.</w:t>
      </w:r>
    </w:p>
    <w:p w14:paraId="797D1185" w14:textId="64A1D044" w:rsidR="003E10B1" w:rsidRPr="009A07F1" w:rsidRDefault="003E10B1" w:rsidP="009A07F1">
      <w:pPr>
        <w:autoSpaceDE w:val="0"/>
        <w:autoSpaceDN w:val="0"/>
        <w:adjustRightInd w:val="0"/>
        <w:spacing w:after="0" w:line="480" w:lineRule="auto"/>
        <w:jc w:val="both"/>
        <w:rPr>
          <w:rFonts w:ascii="Times New Roman" w:eastAsia="SimSun" w:hAnsi="Times New Roman" w:cs="Times New Roman"/>
          <w:b/>
          <w:sz w:val="24"/>
          <w:szCs w:val="24"/>
          <w:shd w:val="clear" w:color="auto" w:fill="FFFFFF"/>
          <w:lang w:val="en-GB" w:eastAsia="zh-CN"/>
        </w:rPr>
      </w:pPr>
      <w:bookmarkStart w:id="2" w:name="_Hlk202909290"/>
      <w:r w:rsidRPr="009A07F1">
        <w:rPr>
          <w:rFonts w:ascii="Times New Roman" w:eastAsia="SimSun" w:hAnsi="Times New Roman" w:cs="Times New Roman"/>
          <w:b/>
          <w:sz w:val="24"/>
          <w:szCs w:val="24"/>
          <w:shd w:val="clear" w:color="auto" w:fill="FFFFFF"/>
          <w:lang w:val="en-GB" w:eastAsia="zh-CN"/>
        </w:rPr>
        <w:t xml:space="preserve">2.5.1. </w:t>
      </w:r>
      <w:r w:rsidR="00470027" w:rsidRPr="009A07F1">
        <w:rPr>
          <w:rFonts w:ascii="Times New Roman" w:eastAsia="SimSun" w:hAnsi="Times New Roman" w:cs="Times New Roman"/>
          <w:b/>
          <w:sz w:val="24"/>
          <w:szCs w:val="24"/>
          <w:shd w:val="clear" w:color="auto" w:fill="FFFFFF"/>
          <w:lang w:val="en-GB" w:eastAsia="zh-CN"/>
        </w:rPr>
        <w:t xml:space="preserve">Profitability </w:t>
      </w:r>
      <w:r w:rsidR="00470027" w:rsidRPr="00F672E4">
        <w:rPr>
          <w:rFonts w:ascii="Times New Roman" w:eastAsia="SimSun" w:hAnsi="Times New Roman" w:cs="Times New Roman"/>
          <w:b/>
          <w:sz w:val="24"/>
          <w:szCs w:val="24"/>
          <w:shd w:val="clear" w:color="auto" w:fill="FFFFFF"/>
          <w:lang w:val="en-GB" w:eastAsia="zh-CN"/>
        </w:rPr>
        <w:t>Analysis</w:t>
      </w:r>
      <w:r w:rsidR="00F672E4" w:rsidRPr="00F672E4">
        <w:rPr>
          <w:rFonts w:ascii="Times New Roman" w:eastAsia="SimSun" w:hAnsi="Times New Roman" w:cs="Times New Roman"/>
          <w:b/>
          <w:sz w:val="24"/>
          <w:szCs w:val="24"/>
          <w:shd w:val="clear" w:color="auto" w:fill="FFFFFF"/>
          <w:lang w:val="en-GB" w:eastAsia="zh-CN"/>
        </w:rPr>
        <w:t xml:space="preserve"> </w:t>
      </w:r>
      <w:r w:rsidR="009A07F1" w:rsidRPr="009A07F1">
        <w:rPr>
          <w:rFonts w:ascii="Times New Roman" w:eastAsia="SimSun" w:hAnsi="Times New Roman" w:cs="Times New Roman"/>
          <w:b/>
          <w:sz w:val="24"/>
          <w:szCs w:val="24"/>
          <w:shd w:val="clear" w:color="auto" w:fill="FFFFFF"/>
          <w:lang w:val="en-GB" w:eastAsia="zh-CN"/>
        </w:rPr>
        <w:t xml:space="preserve">of Enterprises Established through Economic Empowerment Schemes </w:t>
      </w:r>
    </w:p>
    <w:bookmarkEnd w:id="2"/>
    <w:p w14:paraId="39690A09" w14:textId="4F7DF869" w:rsidR="009A07F1" w:rsidRPr="009A07F1" w:rsidRDefault="0024191A" w:rsidP="009A07F1">
      <w:pPr>
        <w:autoSpaceDE w:val="0"/>
        <w:autoSpaceDN w:val="0"/>
        <w:adjustRightInd w:val="0"/>
        <w:spacing w:after="0" w:line="480" w:lineRule="auto"/>
        <w:ind w:firstLine="450"/>
        <w:jc w:val="both"/>
        <w:rPr>
          <w:rFonts w:ascii="Times New Roman" w:eastAsia="SimSun" w:hAnsi="Times New Roman" w:cs="Times New Roman"/>
          <w:bCs/>
          <w:sz w:val="24"/>
          <w:szCs w:val="24"/>
          <w:shd w:val="clear" w:color="auto" w:fill="FFFFFF"/>
          <w:lang w:val="en-GB" w:eastAsia="zh-CN"/>
        </w:rPr>
      </w:pPr>
      <w:r w:rsidRPr="0024191A">
        <w:rPr>
          <w:rFonts w:ascii="Times New Roman" w:eastAsia="SimSun" w:hAnsi="Times New Roman" w:cs="Times New Roman"/>
          <w:bCs/>
          <w:sz w:val="24"/>
          <w:szCs w:val="24"/>
          <w:shd w:val="clear" w:color="auto" w:fill="FFFFFF"/>
          <w:lang w:val="en-GB" w:eastAsia="zh-CN"/>
        </w:rPr>
        <w:t xml:space="preserve">Profitability was </w:t>
      </w:r>
      <w:proofErr w:type="spellStart"/>
      <w:r w:rsidRPr="0024191A">
        <w:rPr>
          <w:rFonts w:ascii="Times New Roman" w:eastAsia="SimSun" w:hAnsi="Times New Roman" w:cs="Times New Roman"/>
          <w:bCs/>
          <w:sz w:val="24"/>
          <w:szCs w:val="24"/>
          <w:shd w:val="clear" w:color="auto" w:fill="FFFFFF"/>
          <w:lang w:val="en-GB" w:eastAsia="zh-CN"/>
        </w:rPr>
        <w:t>analyzed</w:t>
      </w:r>
      <w:proofErr w:type="spellEnd"/>
      <w:r w:rsidRPr="0024191A">
        <w:rPr>
          <w:rFonts w:ascii="Times New Roman" w:eastAsia="SimSun" w:hAnsi="Times New Roman" w:cs="Times New Roman"/>
          <w:bCs/>
          <w:sz w:val="24"/>
          <w:szCs w:val="24"/>
          <w:shd w:val="clear" w:color="auto" w:fill="FFFFFF"/>
          <w:lang w:val="en-GB" w:eastAsia="zh-CN"/>
        </w:rPr>
        <w:t xml:space="preserve"> using Net Profit Margin (NPM) and Return on Investment (ROI) to assess the financial health, operational efficiency, and investment effectiveness of the enterprises supported under Economic Empowerment Schemes</w:t>
      </w:r>
      <w:r w:rsidR="009A07F1" w:rsidRPr="009A07F1">
        <w:rPr>
          <w:rFonts w:ascii="Times New Roman" w:eastAsia="SimSun" w:hAnsi="Times New Roman" w:cs="Times New Roman"/>
          <w:bCs/>
          <w:sz w:val="24"/>
          <w:szCs w:val="24"/>
          <w:shd w:val="clear" w:color="auto" w:fill="FFFFFF"/>
          <w:lang w:val="en-GB" w:eastAsia="zh-CN"/>
        </w:rPr>
        <w:t>.</w:t>
      </w:r>
    </w:p>
    <w:p w14:paraId="6289BA9E" w14:textId="11FBD8A3" w:rsidR="009A07F1" w:rsidRDefault="0024191A" w:rsidP="009A07F1">
      <w:p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val="en-GB" w:eastAsia="zh-CN"/>
        </w:rPr>
      </w:pPr>
      <w:r w:rsidRPr="0024191A">
        <w:rPr>
          <w:rFonts w:ascii="Times New Roman" w:eastAsia="SimSun" w:hAnsi="Times New Roman" w:cs="Times New Roman"/>
          <w:b/>
          <w:sz w:val="24"/>
          <w:szCs w:val="24"/>
          <w:shd w:val="clear" w:color="auto" w:fill="FFFFFF"/>
          <w:lang w:val="en-GB" w:eastAsia="zh-CN"/>
        </w:rPr>
        <w:t>Net Profit Margin (NPM)</w:t>
      </w:r>
      <w:r w:rsidR="009A07F1" w:rsidRPr="009A07F1">
        <w:rPr>
          <w:rFonts w:ascii="Times New Roman" w:eastAsia="SimSun" w:hAnsi="Times New Roman" w:cs="Times New Roman"/>
          <w:bCs/>
          <w:sz w:val="24"/>
          <w:szCs w:val="24"/>
          <w:shd w:val="clear" w:color="auto" w:fill="FFFFFF"/>
          <w:lang w:val="en-GB" w:eastAsia="zh-CN"/>
        </w:rPr>
        <w:t>:</w:t>
      </w:r>
    </w:p>
    <w:p w14:paraId="0ADA1FF1" w14:textId="7235EE40" w:rsidR="0024191A" w:rsidRDefault="0024191A" w:rsidP="009A07F1">
      <w:p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val="en-GB" w:eastAsia="zh-CN"/>
        </w:rPr>
      </w:pPr>
      <w:r w:rsidRPr="0024191A">
        <w:rPr>
          <w:rFonts w:ascii="Times New Roman" w:eastAsia="SimSun" w:hAnsi="Times New Roman" w:cs="Times New Roman"/>
          <w:bCs/>
          <w:sz w:val="24"/>
          <w:szCs w:val="24"/>
          <w:shd w:val="clear" w:color="auto" w:fill="FFFFFF"/>
          <w:lang w:val="en-GB" w:eastAsia="zh-CN"/>
        </w:rPr>
        <w:t>The Net Profit Margin (NPM) evaluates the proportion of revenue that remains as profit after accounting for all costs, indicating the enterprise’s efficiency in managing both variable and fixed costs</w:t>
      </w:r>
      <w:r w:rsidR="00B60F84">
        <w:rPr>
          <w:rFonts w:ascii="Times New Roman" w:eastAsia="SimSun" w:hAnsi="Times New Roman" w:cs="Times New Roman"/>
          <w:bCs/>
          <w:sz w:val="24"/>
          <w:szCs w:val="24"/>
          <w:shd w:val="clear" w:color="auto" w:fill="FFFFFF"/>
          <w:lang w:val="en-GB" w:eastAsia="zh-CN"/>
        </w:rPr>
        <w:t xml:space="preserve"> (see Eq.</w:t>
      </w:r>
      <w:r w:rsidR="00253AAB">
        <w:rPr>
          <w:rFonts w:ascii="Times New Roman" w:eastAsia="SimSun" w:hAnsi="Times New Roman" w:cs="Times New Roman"/>
          <w:bCs/>
          <w:sz w:val="24"/>
          <w:szCs w:val="24"/>
          <w:shd w:val="clear" w:color="auto" w:fill="FFFFFF"/>
          <w:lang w:val="en-GB" w:eastAsia="zh-CN"/>
        </w:rPr>
        <w:t>2</w:t>
      </w:r>
      <w:r w:rsidR="00B60F84">
        <w:rPr>
          <w:rFonts w:ascii="Times New Roman" w:eastAsia="SimSun" w:hAnsi="Times New Roman" w:cs="Times New Roman"/>
          <w:bCs/>
          <w:sz w:val="24"/>
          <w:szCs w:val="24"/>
          <w:shd w:val="clear" w:color="auto" w:fill="FFFFFF"/>
          <w:lang w:val="en-GB" w:eastAsia="zh-CN"/>
        </w:rPr>
        <w:t>)</w:t>
      </w:r>
      <w:r w:rsidRPr="0024191A">
        <w:rPr>
          <w:rFonts w:ascii="Times New Roman" w:eastAsia="SimSun" w:hAnsi="Times New Roman" w:cs="Times New Roman"/>
          <w:bCs/>
          <w:sz w:val="24"/>
          <w:szCs w:val="24"/>
          <w:shd w:val="clear" w:color="auto" w:fill="FFFFFF"/>
          <w:lang w:val="en-GB" w:eastAsia="zh-CN"/>
        </w:rPr>
        <w:t>.</w:t>
      </w:r>
    </w:p>
    <w:p w14:paraId="3A779510" w14:textId="705F2D6E" w:rsidR="0024191A" w:rsidRPr="00B60F84" w:rsidRDefault="00B60F84" w:rsidP="009A07F1">
      <w:p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val="en-GB" w:eastAsia="zh-CN"/>
        </w:rPr>
      </w:pPr>
      <m:oMathPara>
        <m:oMath>
          <m:r>
            <w:rPr>
              <w:rFonts w:ascii="Cambria Math" w:eastAsia="SimSun" w:hAnsi="Cambria Math" w:cs="Times New Roman"/>
              <w:sz w:val="24"/>
              <w:szCs w:val="24"/>
              <w:shd w:val="clear" w:color="auto" w:fill="FFFFFF"/>
              <w:lang w:val="en-GB" w:eastAsia="zh-CN"/>
            </w:rPr>
            <m:t>NPM=TR-TC                                                                            (2)</m:t>
          </m:r>
        </m:oMath>
      </m:oMathPara>
    </w:p>
    <w:p w14:paraId="3D8CF733" w14:textId="77777777" w:rsidR="00B60F84" w:rsidRPr="00B60F84" w:rsidRDefault="00B60F84" w:rsidP="00B60F84">
      <w:p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B60F84">
        <w:rPr>
          <w:rFonts w:ascii="Times New Roman" w:eastAsia="SimSun" w:hAnsi="Times New Roman" w:cs="Times New Roman"/>
          <w:bCs/>
          <w:sz w:val="24"/>
          <w:szCs w:val="24"/>
          <w:shd w:val="clear" w:color="auto" w:fill="FFFFFF"/>
          <w:lang w:eastAsia="zh-CN"/>
        </w:rPr>
        <w:t>where:</w:t>
      </w:r>
    </w:p>
    <w:p w14:paraId="63F42A01" w14:textId="27F2FC01" w:rsidR="00B60F84" w:rsidRPr="00B60F84" w:rsidRDefault="00B60F84" w:rsidP="00B60F84">
      <w:pPr>
        <w:pStyle w:val="ListParagraph"/>
        <w:numPr>
          <w:ilvl w:val="0"/>
          <w:numId w:val="14"/>
        </w:num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B60F84">
        <w:rPr>
          <w:rFonts w:ascii="Times New Roman" w:eastAsia="SimSun" w:hAnsi="Times New Roman" w:cs="Times New Roman"/>
          <w:bCs/>
          <w:sz w:val="24"/>
          <w:szCs w:val="24"/>
          <w:shd w:val="clear" w:color="auto" w:fill="FFFFFF"/>
          <w:lang w:eastAsia="zh-CN"/>
        </w:rPr>
        <w:t>NPM = Net Profit Margin (TZS)</w:t>
      </w:r>
    </w:p>
    <w:p w14:paraId="28FC5755" w14:textId="23C53C0B" w:rsidR="00B60F84" w:rsidRPr="00B60F84" w:rsidRDefault="00B60F84" w:rsidP="00B60F84">
      <w:pPr>
        <w:pStyle w:val="ListParagraph"/>
        <w:numPr>
          <w:ilvl w:val="0"/>
          <w:numId w:val="14"/>
        </w:num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B60F84">
        <w:rPr>
          <w:rFonts w:ascii="Times New Roman" w:eastAsia="SimSun" w:hAnsi="Times New Roman" w:cs="Times New Roman"/>
          <w:bCs/>
          <w:sz w:val="24"/>
          <w:szCs w:val="24"/>
          <w:shd w:val="clear" w:color="auto" w:fill="FFFFFF"/>
          <w:lang w:eastAsia="zh-CN"/>
        </w:rPr>
        <w:t>TR = Total Revenue (TZS), representing the total monetary value of goods and services sold by the enterprise within the analysis period.</w:t>
      </w:r>
    </w:p>
    <w:p w14:paraId="582D3F49" w14:textId="6921E7B3" w:rsidR="00B60F84" w:rsidRDefault="00B60F84" w:rsidP="00B60F84">
      <w:pPr>
        <w:pStyle w:val="ListParagraph"/>
        <w:numPr>
          <w:ilvl w:val="0"/>
          <w:numId w:val="14"/>
        </w:num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B60F84">
        <w:rPr>
          <w:rFonts w:ascii="Times New Roman" w:eastAsia="SimSun" w:hAnsi="Times New Roman" w:cs="Times New Roman"/>
          <w:bCs/>
          <w:sz w:val="24"/>
          <w:szCs w:val="24"/>
          <w:shd w:val="clear" w:color="auto" w:fill="FFFFFF"/>
          <w:lang w:eastAsia="zh-CN"/>
        </w:rPr>
        <w:t>TC = Total Costs (TZS), which include both total variable costs (e.g., raw materials, direct labor) and total fixed costs (e.g., rent, depreciation).</w:t>
      </w:r>
    </w:p>
    <w:p w14:paraId="0DDEB259" w14:textId="15AA6CC4" w:rsidR="00B60F84" w:rsidRDefault="00BC031A" w:rsidP="00B60F84">
      <w:pPr>
        <w:autoSpaceDE w:val="0"/>
        <w:autoSpaceDN w:val="0"/>
        <w:adjustRightInd w:val="0"/>
        <w:spacing w:after="0" w:line="480" w:lineRule="auto"/>
        <w:jc w:val="both"/>
        <w:rPr>
          <w:rFonts w:ascii="Times New Roman" w:eastAsia="SimSun" w:hAnsi="Times New Roman" w:cs="Times New Roman"/>
          <w:b/>
          <w:sz w:val="24"/>
          <w:szCs w:val="24"/>
          <w:shd w:val="clear" w:color="auto" w:fill="FFFFFF"/>
          <w:lang w:eastAsia="zh-CN"/>
        </w:rPr>
      </w:pPr>
      <w:r w:rsidRPr="00BC031A">
        <w:rPr>
          <w:rFonts w:ascii="Times New Roman" w:eastAsia="SimSun" w:hAnsi="Times New Roman" w:cs="Times New Roman"/>
          <w:b/>
          <w:sz w:val="24"/>
          <w:szCs w:val="24"/>
          <w:shd w:val="clear" w:color="auto" w:fill="FFFFFF"/>
          <w:lang w:eastAsia="zh-CN"/>
        </w:rPr>
        <w:t>Return on Investment (ROI)</w:t>
      </w:r>
      <w:r w:rsidR="00B60F84" w:rsidRPr="00BC031A">
        <w:rPr>
          <w:rFonts w:ascii="Times New Roman" w:eastAsia="SimSun" w:hAnsi="Times New Roman" w:cs="Times New Roman"/>
          <w:b/>
          <w:sz w:val="24"/>
          <w:szCs w:val="24"/>
          <w:shd w:val="clear" w:color="auto" w:fill="FFFFFF"/>
          <w:lang w:eastAsia="zh-CN"/>
        </w:rPr>
        <w:t>:</w:t>
      </w:r>
    </w:p>
    <w:p w14:paraId="4D30A9E5" w14:textId="69B646A2" w:rsidR="00B60F84" w:rsidRDefault="00BC031A" w:rsidP="00B60F84">
      <w:p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BC031A">
        <w:rPr>
          <w:rFonts w:ascii="Times New Roman" w:eastAsia="SimSun" w:hAnsi="Times New Roman" w:cs="Times New Roman"/>
          <w:bCs/>
          <w:sz w:val="24"/>
          <w:szCs w:val="24"/>
          <w:shd w:val="clear" w:color="auto" w:fill="FFFFFF"/>
          <w:lang w:eastAsia="zh-CN"/>
        </w:rPr>
        <w:lastRenderedPageBreak/>
        <w:t>Return on Investment (ROI) measures the efficiency and profitability of an investment by comparing net profit to the total cost incurred, reflecting the returns gained per unit of investment</w:t>
      </w:r>
      <w:r w:rsidR="00F672E4">
        <w:rPr>
          <w:rFonts w:ascii="Times New Roman" w:eastAsia="SimSun" w:hAnsi="Times New Roman" w:cs="Times New Roman"/>
          <w:bCs/>
          <w:sz w:val="24"/>
          <w:szCs w:val="24"/>
          <w:shd w:val="clear" w:color="auto" w:fill="FFFFFF"/>
          <w:lang w:eastAsia="zh-CN"/>
        </w:rPr>
        <w:t xml:space="preserve"> (see Eq.</w:t>
      </w:r>
      <w:r w:rsidR="00253AAB">
        <w:rPr>
          <w:rFonts w:ascii="Times New Roman" w:eastAsia="SimSun" w:hAnsi="Times New Roman" w:cs="Times New Roman"/>
          <w:bCs/>
          <w:sz w:val="24"/>
          <w:szCs w:val="24"/>
          <w:shd w:val="clear" w:color="auto" w:fill="FFFFFF"/>
          <w:lang w:eastAsia="zh-CN"/>
        </w:rPr>
        <w:t>3</w:t>
      </w:r>
      <w:r w:rsidR="00F672E4">
        <w:rPr>
          <w:rFonts w:ascii="Times New Roman" w:eastAsia="SimSun" w:hAnsi="Times New Roman" w:cs="Times New Roman"/>
          <w:bCs/>
          <w:sz w:val="24"/>
          <w:szCs w:val="24"/>
          <w:shd w:val="clear" w:color="auto" w:fill="FFFFFF"/>
          <w:lang w:eastAsia="zh-CN"/>
        </w:rPr>
        <w:t>)</w:t>
      </w:r>
    </w:p>
    <w:p w14:paraId="7E69EF82" w14:textId="052703BA" w:rsidR="00B60F84" w:rsidRDefault="00F672E4" w:rsidP="00B60F84">
      <w:p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m:oMathPara>
        <m:oMath>
          <m:r>
            <w:rPr>
              <w:rFonts w:ascii="Cambria Math" w:eastAsia="SimSun" w:hAnsi="Cambria Math" w:cs="Times New Roman"/>
              <w:sz w:val="24"/>
              <w:szCs w:val="24"/>
              <w:shd w:val="clear" w:color="auto" w:fill="FFFFFF"/>
              <w:lang w:eastAsia="zh-CN"/>
            </w:rPr>
            <m:t>ROI=</m:t>
          </m:r>
          <m:d>
            <m:dPr>
              <m:ctrlPr>
                <w:rPr>
                  <w:rFonts w:ascii="Cambria Math" w:eastAsia="SimSun" w:hAnsi="Cambria Math" w:cs="Times New Roman"/>
                  <w:bCs/>
                  <w:i/>
                  <w:sz w:val="24"/>
                  <w:szCs w:val="24"/>
                  <w:shd w:val="clear" w:color="auto" w:fill="FFFFFF"/>
                  <w:lang w:eastAsia="zh-CN"/>
                </w:rPr>
              </m:ctrlPr>
            </m:dPr>
            <m:e>
              <m:f>
                <m:fPr>
                  <m:ctrlPr>
                    <w:rPr>
                      <w:rFonts w:ascii="Cambria Math" w:eastAsia="SimSun" w:hAnsi="Cambria Math" w:cs="Times New Roman"/>
                      <w:bCs/>
                      <w:i/>
                      <w:sz w:val="24"/>
                      <w:szCs w:val="24"/>
                      <w:shd w:val="clear" w:color="auto" w:fill="FFFFFF"/>
                      <w:lang w:eastAsia="zh-CN"/>
                    </w:rPr>
                  </m:ctrlPr>
                </m:fPr>
                <m:num>
                  <m:r>
                    <w:rPr>
                      <w:rFonts w:ascii="Cambria Math" w:eastAsia="SimSun" w:hAnsi="Cambria Math" w:cs="Times New Roman"/>
                      <w:sz w:val="24"/>
                      <w:szCs w:val="24"/>
                      <w:shd w:val="clear" w:color="auto" w:fill="FFFFFF"/>
                      <w:lang w:eastAsia="zh-CN"/>
                    </w:rPr>
                    <m:t>NPM</m:t>
                  </m:r>
                </m:num>
                <m:den>
                  <m:r>
                    <w:rPr>
                      <w:rFonts w:ascii="Cambria Math" w:eastAsia="SimSun" w:hAnsi="Cambria Math" w:cs="Times New Roman"/>
                      <w:sz w:val="24"/>
                      <w:szCs w:val="24"/>
                      <w:shd w:val="clear" w:color="auto" w:fill="FFFFFF"/>
                      <w:lang w:eastAsia="zh-CN"/>
                    </w:rPr>
                    <m:t>TC</m:t>
                  </m:r>
                </m:den>
              </m:f>
            </m:e>
          </m:d>
          <m:r>
            <w:rPr>
              <w:rFonts w:ascii="Cambria Math" w:eastAsia="SimSun" w:hAnsi="Cambria Math" w:cs="Times New Roman"/>
              <w:sz w:val="24"/>
              <w:szCs w:val="24"/>
              <w:shd w:val="clear" w:color="auto" w:fill="FFFFFF"/>
              <w:lang w:eastAsia="zh-CN"/>
            </w:rPr>
            <m:t>×100%                                                                         (3)</m:t>
          </m:r>
        </m:oMath>
      </m:oMathPara>
    </w:p>
    <w:p w14:paraId="2416648D" w14:textId="77777777" w:rsidR="00F672E4" w:rsidRPr="00F672E4" w:rsidRDefault="00F672E4" w:rsidP="00F672E4">
      <w:p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F672E4">
        <w:rPr>
          <w:rFonts w:ascii="Times New Roman" w:eastAsia="SimSun" w:hAnsi="Times New Roman" w:cs="Times New Roman"/>
          <w:bCs/>
          <w:sz w:val="24"/>
          <w:szCs w:val="24"/>
          <w:shd w:val="clear" w:color="auto" w:fill="FFFFFF"/>
          <w:lang w:eastAsia="zh-CN"/>
        </w:rPr>
        <w:t>where:</w:t>
      </w:r>
    </w:p>
    <w:p w14:paraId="0A1C3CC8" w14:textId="0AED2812" w:rsidR="00F672E4" w:rsidRPr="00F672E4" w:rsidRDefault="00F672E4" w:rsidP="00F672E4">
      <w:pPr>
        <w:numPr>
          <w:ilvl w:val="0"/>
          <w:numId w:val="16"/>
        </w:num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F672E4">
        <w:rPr>
          <w:rFonts w:ascii="Times New Roman" w:eastAsia="SimSun" w:hAnsi="Times New Roman" w:cs="Times New Roman"/>
          <w:bCs/>
          <w:sz w:val="24"/>
          <w:szCs w:val="24"/>
          <w:shd w:val="clear" w:color="auto" w:fill="FFFFFF"/>
          <w:lang w:eastAsia="zh-CN"/>
        </w:rPr>
        <w:t>ROI = Return on Investment (%)</w:t>
      </w:r>
    </w:p>
    <w:p w14:paraId="78548A09" w14:textId="28BFEF7C" w:rsidR="00F672E4" w:rsidRPr="00F672E4" w:rsidRDefault="00F672E4" w:rsidP="00F672E4">
      <w:pPr>
        <w:numPr>
          <w:ilvl w:val="0"/>
          <w:numId w:val="16"/>
        </w:num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F672E4">
        <w:rPr>
          <w:rFonts w:ascii="Times New Roman" w:eastAsia="SimSun" w:hAnsi="Times New Roman" w:cs="Times New Roman"/>
          <w:bCs/>
          <w:sz w:val="24"/>
          <w:szCs w:val="24"/>
          <w:shd w:val="clear" w:color="auto" w:fill="FFFFFF"/>
          <w:lang w:eastAsia="zh-CN"/>
        </w:rPr>
        <w:t>NP</w:t>
      </w:r>
      <w:r>
        <w:rPr>
          <w:rFonts w:ascii="Times New Roman" w:eastAsia="SimSun" w:hAnsi="Times New Roman" w:cs="Times New Roman"/>
          <w:bCs/>
          <w:sz w:val="24"/>
          <w:szCs w:val="24"/>
          <w:shd w:val="clear" w:color="auto" w:fill="FFFFFF"/>
          <w:lang w:eastAsia="zh-CN"/>
        </w:rPr>
        <w:t>M</w:t>
      </w:r>
      <w:r w:rsidRPr="00F672E4">
        <w:rPr>
          <w:rFonts w:ascii="Times New Roman" w:eastAsia="SimSun" w:hAnsi="Times New Roman" w:cs="Times New Roman"/>
          <w:bCs/>
          <w:sz w:val="24"/>
          <w:szCs w:val="24"/>
          <w:shd w:val="clear" w:color="auto" w:fill="FFFFFF"/>
          <w:lang w:eastAsia="zh-CN"/>
        </w:rPr>
        <w:t xml:space="preserve"> = Net Profit Margin (TZS)</w:t>
      </w:r>
    </w:p>
    <w:p w14:paraId="5E40831D" w14:textId="7E07C71E" w:rsidR="00F672E4" w:rsidRPr="00F672E4" w:rsidRDefault="00F672E4" w:rsidP="00F672E4">
      <w:pPr>
        <w:numPr>
          <w:ilvl w:val="0"/>
          <w:numId w:val="16"/>
        </w:num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F672E4">
        <w:rPr>
          <w:rFonts w:ascii="Times New Roman" w:eastAsia="SimSun" w:hAnsi="Times New Roman" w:cs="Times New Roman"/>
          <w:bCs/>
          <w:sz w:val="24"/>
          <w:szCs w:val="24"/>
          <w:shd w:val="clear" w:color="auto" w:fill="FFFFFF"/>
          <w:lang w:eastAsia="zh-CN"/>
        </w:rPr>
        <w:t>TC = Total Costs (TZS)</w:t>
      </w:r>
    </w:p>
    <w:p w14:paraId="6BF2D583" w14:textId="77777777" w:rsidR="00F672E4" w:rsidRDefault="00F672E4" w:rsidP="00F672E4">
      <w:p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F672E4">
        <w:rPr>
          <w:rFonts w:ascii="Times New Roman" w:eastAsia="SimSun" w:hAnsi="Times New Roman" w:cs="Times New Roman"/>
          <w:bCs/>
          <w:sz w:val="24"/>
          <w:szCs w:val="24"/>
          <w:shd w:val="clear" w:color="auto" w:fill="FFFFFF"/>
          <w:lang w:eastAsia="zh-CN"/>
        </w:rPr>
        <w:t xml:space="preserve">A </w:t>
      </w:r>
      <w:r w:rsidRPr="00F672E4">
        <w:rPr>
          <w:rFonts w:ascii="Times New Roman" w:eastAsia="SimSun" w:hAnsi="Times New Roman" w:cs="Times New Roman"/>
          <w:b/>
          <w:bCs/>
          <w:sz w:val="24"/>
          <w:szCs w:val="24"/>
          <w:shd w:val="clear" w:color="auto" w:fill="FFFFFF"/>
          <w:lang w:eastAsia="zh-CN"/>
        </w:rPr>
        <w:t>higher ROI</w:t>
      </w:r>
      <w:r w:rsidRPr="00F672E4">
        <w:rPr>
          <w:rFonts w:ascii="Times New Roman" w:eastAsia="SimSun" w:hAnsi="Times New Roman" w:cs="Times New Roman"/>
          <w:bCs/>
          <w:sz w:val="24"/>
          <w:szCs w:val="24"/>
          <w:shd w:val="clear" w:color="auto" w:fill="FFFFFF"/>
          <w:lang w:eastAsia="zh-CN"/>
        </w:rPr>
        <w:t xml:space="preserve"> indicates better investment efficiency and enterprise profitability, demonstrating the potential for the business to generate sufficient returns over the investment period.</w:t>
      </w:r>
    </w:p>
    <w:p w14:paraId="6DBE88E3" w14:textId="7725AA0A" w:rsidR="00F672E4" w:rsidRPr="009A07F1" w:rsidRDefault="00F672E4" w:rsidP="00F672E4">
      <w:pPr>
        <w:autoSpaceDE w:val="0"/>
        <w:autoSpaceDN w:val="0"/>
        <w:adjustRightInd w:val="0"/>
        <w:spacing w:after="0" w:line="480" w:lineRule="auto"/>
        <w:jc w:val="both"/>
        <w:rPr>
          <w:rFonts w:ascii="Times New Roman" w:eastAsia="SimSun" w:hAnsi="Times New Roman" w:cs="Times New Roman"/>
          <w:b/>
          <w:sz w:val="24"/>
          <w:szCs w:val="24"/>
          <w:shd w:val="clear" w:color="auto" w:fill="FFFFFF"/>
          <w:lang w:val="en-GB" w:eastAsia="zh-CN"/>
        </w:rPr>
      </w:pPr>
      <w:r w:rsidRPr="009A07F1">
        <w:rPr>
          <w:rFonts w:ascii="Times New Roman" w:eastAsia="SimSun" w:hAnsi="Times New Roman" w:cs="Times New Roman"/>
          <w:b/>
          <w:sz w:val="24"/>
          <w:szCs w:val="24"/>
          <w:shd w:val="clear" w:color="auto" w:fill="FFFFFF"/>
          <w:lang w:val="en-GB" w:eastAsia="zh-CN"/>
        </w:rPr>
        <w:t>2.5.</w:t>
      </w:r>
      <w:r>
        <w:rPr>
          <w:rFonts w:ascii="Times New Roman" w:eastAsia="SimSun" w:hAnsi="Times New Roman" w:cs="Times New Roman"/>
          <w:b/>
          <w:sz w:val="24"/>
          <w:szCs w:val="24"/>
          <w:shd w:val="clear" w:color="auto" w:fill="FFFFFF"/>
          <w:lang w:val="en-GB" w:eastAsia="zh-CN"/>
        </w:rPr>
        <w:t>2</w:t>
      </w:r>
      <w:r w:rsidRPr="009A07F1">
        <w:rPr>
          <w:rFonts w:ascii="Times New Roman" w:eastAsia="SimSun" w:hAnsi="Times New Roman" w:cs="Times New Roman"/>
          <w:b/>
          <w:sz w:val="24"/>
          <w:szCs w:val="24"/>
          <w:shd w:val="clear" w:color="auto" w:fill="FFFFFF"/>
          <w:lang w:val="en-GB" w:eastAsia="zh-CN"/>
        </w:rPr>
        <w:t xml:space="preserve">. </w:t>
      </w:r>
      <w:r w:rsidRPr="00F672E4">
        <w:rPr>
          <w:rFonts w:ascii="Times New Roman" w:eastAsia="SimSun" w:hAnsi="Times New Roman" w:cs="Times New Roman"/>
          <w:b/>
          <w:sz w:val="24"/>
          <w:szCs w:val="24"/>
          <w:shd w:val="clear" w:color="auto" w:fill="FFFFFF"/>
          <w:lang w:val="en-GB" w:eastAsia="zh-CN"/>
        </w:rPr>
        <w:t>Viability Analysis</w:t>
      </w:r>
      <w:r>
        <w:rPr>
          <w:rFonts w:ascii="Times New Roman" w:eastAsia="SimSun" w:hAnsi="Times New Roman" w:cs="Times New Roman"/>
          <w:b/>
          <w:sz w:val="24"/>
          <w:szCs w:val="24"/>
          <w:shd w:val="clear" w:color="auto" w:fill="FFFFFF"/>
          <w:lang w:val="en-GB" w:eastAsia="zh-CN"/>
        </w:rPr>
        <w:t xml:space="preserve"> </w:t>
      </w:r>
      <w:r w:rsidRPr="009A07F1">
        <w:rPr>
          <w:rFonts w:ascii="Times New Roman" w:eastAsia="SimSun" w:hAnsi="Times New Roman" w:cs="Times New Roman"/>
          <w:b/>
          <w:sz w:val="24"/>
          <w:szCs w:val="24"/>
          <w:shd w:val="clear" w:color="auto" w:fill="FFFFFF"/>
          <w:lang w:val="en-GB" w:eastAsia="zh-CN"/>
        </w:rPr>
        <w:t>of Enterprises Established through Economic Empowerment Schemes</w:t>
      </w:r>
    </w:p>
    <w:p w14:paraId="475DBCD1" w14:textId="24EFCD3F" w:rsidR="00B60F84" w:rsidRDefault="00F672E4" w:rsidP="00B60F84">
      <w:p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F672E4">
        <w:rPr>
          <w:rFonts w:ascii="Times New Roman" w:eastAsia="SimSun" w:hAnsi="Times New Roman" w:cs="Times New Roman"/>
          <w:bCs/>
          <w:sz w:val="24"/>
          <w:szCs w:val="24"/>
          <w:shd w:val="clear" w:color="auto" w:fill="FFFFFF"/>
          <w:lang w:eastAsia="zh-CN"/>
        </w:rPr>
        <w:t>Viability was assessed using the Benefit-Cost Ratio (BCR), which quantifies the economic worthiness of an enterprise by comparing the present value of benefits to the present value of costs</w:t>
      </w:r>
      <w:r>
        <w:rPr>
          <w:rFonts w:ascii="Times New Roman" w:eastAsia="SimSun" w:hAnsi="Times New Roman" w:cs="Times New Roman"/>
          <w:bCs/>
          <w:sz w:val="24"/>
          <w:szCs w:val="24"/>
          <w:shd w:val="clear" w:color="auto" w:fill="FFFFFF"/>
          <w:lang w:eastAsia="zh-CN"/>
        </w:rPr>
        <w:t xml:space="preserve"> (see Eq. </w:t>
      </w:r>
      <w:r w:rsidR="00253AAB">
        <w:rPr>
          <w:rFonts w:ascii="Times New Roman" w:eastAsia="SimSun" w:hAnsi="Times New Roman" w:cs="Times New Roman"/>
          <w:bCs/>
          <w:sz w:val="24"/>
          <w:szCs w:val="24"/>
          <w:shd w:val="clear" w:color="auto" w:fill="FFFFFF"/>
          <w:lang w:eastAsia="zh-CN"/>
        </w:rPr>
        <w:t>4</w:t>
      </w:r>
      <w:r>
        <w:rPr>
          <w:rFonts w:ascii="Times New Roman" w:eastAsia="SimSun" w:hAnsi="Times New Roman" w:cs="Times New Roman"/>
          <w:bCs/>
          <w:sz w:val="24"/>
          <w:szCs w:val="24"/>
          <w:shd w:val="clear" w:color="auto" w:fill="FFFFFF"/>
          <w:lang w:eastAsia="zh-CN"/>
        </w:rPr>
        <w:t>)</w:t>
      </w:r>
      <w:r w:rsidRPr="00F672E4">
        <w:rPr>
          <w:rFonts w:ascii="Times New Roman" w:eastAsia="SimSun" w:hAnsi="Times New Roman" w:cs="Times New Roman"/>
          <w:bCs/>
          <w:sz w:val="24"/>
          <w:szCs w:val="24"/>
          <w:shd w:val="clear" w:color="auto" w:fill="FFFFFF"/>
          <w:lang w:eastAsia="zh-CN"/>
        </w:rPr>
        <w:t>.</w:t>
      </w:r>
    </w:p>
    <w:p w14:paraId="74718A9A" w14:textId="05459AEF" w:rsidR="00F672E4" w:rsidRDefault="00F672E4" w:rsidP="00B60F84">
      <w:p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m:oMathPara>
        <m:oMath>
          <m:r>
            <w:rPr>
              <w:rFonts w:ascii="Cambria Math" w:eastAsia="SimSun" w:hAnsi="Cambria Math" w:cs="Times New Roman"/>
              <w:sz w:val="24"/>
              <w:szCs w:val="24"/>
              <w:shd w:val="clear" w:color="auto" w:fill="FFFFFF"/>
              <w:lang w:eastAsia="zh-CN"/>
            </w:rPr>
            <m:t>BCR=</m:t>
          </m:r>
          <m:f>
            <m:fPr>
              <m:ctrlPr>
                <w:rPr>
                  <w:rFonts w:ascii="Cambria Math" w:eastAsia="SimSun" w:hAnsi="Cambria Math" w:cs="Times New Roman"/>
                  <w:bCs/>
                  <w:i/>
                  <w:sz w:val="24"/>
                  <w:szCs w:val="24"/>
                  <w:shd w:val="clear" w:color="auto" w:fill="FFFFFF"/>
                  <w:lang w:eastAsia="zh-CN"/>
                </w:rPr>
              </m:ctrlPr>
            </m:fPr>
            <m:num>
              <m:r>
                <w:rPr>
                  <w:rFonts w:ascii="Cambria Math" w:eastAsia="SimSun" w:hAnsi="Cambria Math" w:cs="Times New Roman"/>
                  <w:sz w:val="24"/>
                  <w:szCs w:val="24"/>
                  <w:shd w:val="clear" w:color="auto" w:fill="FFFFFF"/>
                  <w:lang w:eastAsia="zh-CN"/>
                </w:rPr>
                <m:t>PV(B)</m:t>
              </m:r>
            </m:num>
            <m:den>
              <m:r>
                <w:rPr>
                  <w:rFonts w:ascii="Cambria Math" w:eastAsia="SimSun" w:hAnsi="Cambria Math" w:cs="Times New Roman"/>
                  <w:sz w:val="24"/>
                  <w:szCs w:val="24"/>
                  <w:shd w:val="clear" w:color="auto" w:fill="FFFFFF"/>
                  <w:lang w:eastAsia="zh-CN"/>
                </w:rPr>
                <m:t>PV(C)</m:t>
              </m:r>
            </m:den>
          </m:f>
          <m:r>
            <w:rPr>
              <w:rFonts w:ascii="Cambria Math" w:eastAsia="SimSun" w:hAnsi="Cambria Math" w:cs="Times New Roman"/>
              <w:sz w:val="24"/>
              <w:szCs w:val="24"/>
              <w:shd w:val="clear" w:color="auto" w:fill="FFFFFF"/>
              <w:lang w:eastAsia="zh-CN"/>
            </w:rPr>
            <m:t xml:space="preserve">                                                                                      (4)</m:t>
          </m:r>
        </m:oMath>
      </m:oMathPara>
    </w:p>
    <w:p w14:paraId="39338E13" w14:textId="77777777" w:rsidR="00F672E4" w:rsidRPr="00F672E4" w:rsidRDefault="00F672E4" w:rsidP="00F672E4">
      <w:p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F672E4">
        <w:rPr>
          <w:rFonts w:ascii="Times New Roman" w:eastAsia="SimSun" w:hAnsi="Times New Roman" w:cs="Times New Roman"/>
          <w:bCs/>
          <w:sz w:val="24"/>
          <w:szCs w:val="24"/>
          <w:shd w:val="clear" w:color="auto" w:fill="FFFFFF"/>
          <w:lang w:eastAsia="zh-CN"/>
        </w:rPr>
        <w:t>where:</w:t>
      </w:r>
    </w:p>
    <w:p w14:paraId="09DE3A5C" w14:textId="620F711C" w:rsidR="00F672E4" w:rsidRPr="00F672E4" w:rsidRDefault="00F672E4" w:rsidP="00F672E4">
      <w:pPr>
        <w:numPr>
          <w:ilvl w:val="0"/>
          <w:numId w:val="18"/>
        </w:num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F672E4">
        <w:rPr>
          <w:rFonts w:ascii="Times New Roman" w:eastAsia="SimSun" w:hAnsi="Times New Roman" w:cs="Times New Roman"/>
          <w:bCs/>
          <w:sz w:val="24"/>
          <w:szCs w:val="24"/>
          <w:shd w:val="clear" w:color="auto" w:fill="FFFFFF"/>
          <w:lang w:eastAsia="zh-CN"/>
        </w:rPr>
        <w:t>PV(B) = Present Value of Benefits, representing the discounted monetary benefits generated over the analysis period.</w:t>
      </w:r>
    </w:p>
    <w:p w14:paraId="2D718B87" w14:textId="13055573" w:rsidR="00F672E4" w:rsidRPr="00F672E4" w:rsidRDefault="00F672E4" w:rsidP="00F672E4">
      <w:pPr>
        <w:numPr>
          <w:ilvl w:val="0"/>
          <w:numId w:val="18"/>
        </w:num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F672E4">
        <w:rPr>
          <w:rFonts w:ascii="Times New Roman" w:eastAsia="SimSun" w:hAnsi="Times New Roman" w:cs="Times New Roman"/>
          <w:bCs/>
          <w:sz w:val="24"/>
          <w:szCs w:val="24"/>
          <w:shd w:val="clear" w:color="auto" w:fill="FFFFFF"/>
          <w:lang w:eastAsia="zh-CN"/>
        </w:rPr>
        <w:t>PV(C) = Present Value of Costs, representing the discounted monetary costs incurred during the same period.</w:t>
      </w:r>
    </w:p>
    <w:p w14:paraId="142EDA4C" w14:textId="0CA2BEE4" w:rsidR="00F672E4" w:rsidRDefault="00F672E4" w:rsidP="00B60F84">
      <w:p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F672E4">
        <w:rPr>
          <w:rFonts w:ascii="Times New Roman" w:eastAsia="SimSun" w:hAnsi="Times New Roman" w:cs="Times New Roman"/>
          <w:bCs/>
          <w:sz w:val="24"/>
          <w:szCs w:val="24"/>
          <w:shd w:val="clear" w:color="auto" w:fill="FFFFFF"/>
          <w:lang w:eastAsia="zh-CN"/>
        </w:rPr>
        <w:t xml:space="preserve">To compute the present values, the following formula </w:t>
      </w:r>
      <w:r>
        <w:rPr>
          <w:rFonts w:ascii="Times New Roman" w:eastAsia="SimSun" w:hAnsi="Times New Roman" w:cs="Times New Roman"/>
          <w:bCs/>
          <w:sz w:val="24"/>
          <w:szCs w:val="24"/>
          <w:shd w:val="clear" w:color="auto" w:fill="FFFFFF"/>
          <w:lang w:eastAsia="zh-CN"/>
        </w:rPr>
        <w:t>was</w:t>
      </w:r>
      <w:r w:rsidRPr="00F672E4">
        <w:rPr>
          <w:rFonts w:ascii="Times New Roman" w:eastAsia="SimSun" w:hAnsi="Times New Roman" w:cs="Times New Roman"/>
          <w:bCs/>
          <w:sz w:val="24"/>
          <w:szCs w:val="24"/>
          <w:shd w:val="clear" w:color="auto" w:fill="FFFFFF"/>
          <w:lang w:eastAsia="zh-CN"/>
        </w:rPr>
        <w:t xml:space="preserve"> applied</w:t>
      </w:r>
      <w:r w:rsidR="00253AAB">
        <w:rPr>
          <w:rFonts w:ascii="Times New Roman" w:eastAsia="SimSun" w:hAnsi="Times New Roman" w:cs="Times New Roman"/>
          <w:bCs/>
          <w:sz w:val="24"/>
          <w:szCs w:val="24"/>
          <w:shd w:val="clear" w:color="auto" w:fill="FFFFFF"/>
          <w:lang w:eastAsia="zh-CN"/>
        </w:rPr>
        <w:t xml:space="preserve"> (see Eq. 5).</w:t>
      </w:r>
    </w:p>
    <w:p w14:paraId="2881B59E" w14:textId="5C5440FA" w:rsidR="00F672E4" w:rsidRDefault="00F672E4" w:rsidP="00B60F84">
      <w:p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m:oMathPara>
        <m:oMath>
          <m:r>
            <w:rPr>
              <w:rFonts w:ascii="Cambria Math" w:eastAsia="SimSun" w:hAnsi="Cambria Math" w:cs="Times New Roman"/>
              <w:sz w:val="24"/>
              <w:szCs w:val="24"/>
              <w:shd w:val="clear" w:color="auto" w:fill="FFFFFF"/>
              <w:lang w:eastAsia="zh-CN"/>
            </w:rPr>
            <w:lastRenderedPageBreak/>
            <m:t>PV=</m:t>
          </m:r>
          <m:f>
            <m:fPr>
              <m:ctrlPr>
                <w:rPr>
                  <w:rFonts w:ascii="Cambria Math" w:eastAsia="SimSun" w:hAnsi="Cambria Math" w:cs="Times New Roman"/>
                  <w:bCs/>
                  <w:i/>
                  <w:sz w:val="24"/>
                  <w:szCs w:val="24"/>
                  <w:shd w:val="clear" w:color="auto" w:fill="FFFFFF"/>
                  <w:lang w:eastAsia="zh-CN"/>
                </w:rPr>
              </m:ctrlPr>
            </m:fPr>
            <m:num>
              <m:r>
                <w:rPr>
                  <w:rFonts w:ascii="Cambria Math" w:eastAsia="SimSun" w:hAnsi="Cambria Math" w:cs="Times New Roman"/>
                  <w:sz w:val="24"/>
                  <w:szCs w:val="24"/>
                  <w:shd w:val="clear" w:color="auto" w:fill="FFFFFF"/>
                  <w:lang w:eastAsia="zh-CN"/>
                </w:rPr>
                <m:t>FV</m:t>
              </m:r>
            </m:num>
            <m:den>
              <m:sSup>
                <m:sSupPr>
                  <m:ctrlPr>
                    <w:rPr>
                      <w:rFonts w:ascii="Cambria Math" w:eastAsia="SimSun" w:hAnsi="Cambria Math" w:cs="Times New Roman"/>
                      <w:bCs/>
                      <w:i/>
                      <w:sz w:val="24"/>
                      <w:szCs w:val="24"/>
                      <w:shd w:val="clear" w:color="auto" w:fill="FFFFFF"/>
                      <w:lang w:eastAsia="zh-CN"/>
                    </w:rPr>
                  </m:ctrlPr>
                </m:sSupPr>
                <m:e>
                  <m:r>
                    <w:rPr>
                      <w:rFonts w:ascii="Cambria Math" w:eastAsia="SimSun" w:hAnsi="Cambria Math" w:cs="Times New Roman"/>
                      <w:sz w:val="24"/>
                      <w:szCs w:val="24"/>
                      <w:shd w:val="clear" w:color="auto" w:fill="FFFFFF"/>
                      <w:lang w:eastAsia="zh-CN"/>
                    </w:rPr>
                    <m:t>(1-r)</m:t>
                  </m:r>
                </m:e>
                <m:sup>
                  <m:r>
                    <w:rPr>
                      <w:rFonts w:ascii="Cambria Math" w:eastAsia="SimSun" w:hAnsi="Cambria Math" w:cs="Times New Roman"/>
                      <w:sz w:val="24"/>
                      <w:szCs w:val="24"/>
                      <w:shd w:val="clear" w:color="auto" w:fill="FFFFFF"/>
                      <w:lang w:eastAsia="zh-CN"/>
                    </w:rPr>
                    <m:t>n</m:t>
                  </m:r>
                </m:sup>
              </m:sSup>
            </m:den>
          </m:f>
          <m:r>
            <w:rPr>
              <w:rFonts w:ascii="Cambria Math" w:eastAsia="SimSun" w:hAnsi="Cambria Math" w:cs="Times New Roman"/>
              <w:sz w:val="24"/>
              <w:szCs w:val="24"/>
              <w:shd w:val="clear" w:color="auto" w:fill="FFFFFF"/>
              <w:lang w:eastAsia="zh-CN"/>
            </w:rPr>
            <m:t xml:space="preserve">                                                                                                           (5)   </m:t>
          </m:r>
        </m:oMath>
      </m:oMathPara>
    </w:p>
    <w:p w14:paraId="0CDD8737" w14:textId="77777777" w:rsidR="00730ECE" w:rsidRPr="00730ECE" w:rsidRDefault="00730ECE" w:rsidP="00730ECE">
      <w:p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730ECE">
        <w:rPr>
          <w:rFonts w:ascii="Times New Roman" w:eastAsia="SimSun" w:hAnsi="Times New Roman" w:cs="Times New Roman"/>
          <w:bCs/>
          <w:sz w:val="24"/>
          <w:szCs w:val="24"/>
          <w:shd w:val="clear" w:color="auto" w:fill="FFFFFF"/>
          <w:lang w:eastAsia="zh-CN"/>
        </w:rPr>
        <w:t>where:</w:t>
      </w:r>
    </w:p>
    <w:p w14:paraId="299910D7" w14:textId="4EE80314" w:rsidR="00730ECE" w:rsidRPr="00730ECE" w:rsidRDefault="00730ECE" w:rsidP="00730ECE">
      <w:pPr>
        <w:numPr>
          <w:ilvl w:val="0"/>
          <w:numId w:val="20"/>
        </w:num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730ECE">
        <w:rPr>
          <w:rFonts w:ascii="Times New Roman" w:eastAsia="SimSun" w:hAnsi="Times New Roman" w:cs="Times New Roman"/>
          <w:bCs/>
          <w:i/>
          <w:iCs/>
          <w:sz w:val="24"/>
          <w:szCs w:val="24"/>
          <w:shd w:val="clear" w:color="auto" w:fill="FFFFFF"/>
          <w:lang w:eastAsia="zh-CN"/>
        </w:rPr>
        <w:t>FV</w:t>
      </w:r>
      <w:r w:rsidRPr="00730ECE">
        <w:rPr>
          <w:rFonts w:ascii="Times New Roman" w:eastAsia="SimSun" w:hAnsi="Times New Roman" w:cs="Times New Roman"/>
          <w:bCs/>
          <w:sz w:val="24"/>
          <w:szCs w:val="24"/>
          <w:shd w:val="clear" w:color="auto" w:fill="FFFFFF"/>
          <w:lang w:eastAsia="zh-CN"/>
        </w:rPr>
        <w:t xml:space="preserve"> = Future Value of benefits or costs in year </w:t>
      </w:r>
      <w:r w:rsidRPr="00730ECE">
        <w:rPr>
          <w:rFonts w:ascii="Times New Roman" w:eastAsia="SimSun" w:hAnsi="Times New Roman" w:cs="Times New Roman"/>
          <w:bCs/>
          <w:i/>
          <w:iCs/>
          <w:sz w:val="24"/>
          <w:szCs w:val="24"/>
          <w:shd w:val="clear" w:color="auto" w:fill="FFFFFF"/>
          <w:lang w:eastAsia="zh-CN"/>
        </w:rPr>
        <w:t>n</w:t>
      </w:r>
      <w:r w:rsidRPr="00730ECE">
        <w:rPr>
          <w:rFonts w:ascii="Times New Roman" w:eastAsia="SimSun" w:hAnsi="Times New Roman" w:cs="Times New Roman"/>
          <w:bCs/>
          <w:sz w:val="24"/>
          <w:szCs w:val="24"/>
          <w:shd w:val="clear" w:color="auto" w:fill="FFFFFF"/>
          <w:lang w:eastAsia="zh-CN"/>
        </w:rPr>
        <w:t>,</w:t>
      </w:r>
    </w:p>
    <w:p w14:paraId="7027C2FF" w14:textId="477D3D55" w:rsidR="00730ECE" w:rsidRPr="00730ECE" w:rsidRDefault="00730ECE" w:rsidP="00730ECE">
      <w:pPr>
        <w:numPr>
          <w:ilvl w:val="0"/>
          <w:numId w:val="20"/>
        </w:num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730ECE">
        <w:rPr>
          <w:rFonts w:ascii="Times New Roman" w:eastAsia="SimSun" w:hAnsi="Times New Roman" w:cs="Times New Roman"/>
          <w:bCs/>
          <w:i/>
          <w:iCs/>
          <w:sz w:val="24"/>
          <w:szCs w:val="24"/>
          <w:shd w:val="clear" w:color="auto" w:fill="FFFFFF"/>
          <w:lang w:eastAsia="zh-CN"/>
        </w:rPr>
        <w:t xml:space="preserve">r </w:t>
      </w:r>
      <w:r w:rsidRPr="00730ECE">
        <w:rPr>
          <w:rFonts w:ascii="Times New Roman" w:eastAsia="SimSun" w:hAnsi="Times New Roman" w:cs="Times New Roman"/>
          <w:bCs/>
          <w:sz w:val="24"/>
          <w:szCs w:val="24"/>
          <w:shd w:val="clear" w:color="auto" w:fill="FFFFFF"/>
          <w:lang w:eastAsia="zh-CN"/>
        </w:rPr>
        <w:t>= Discount rate (expressed as a decimal),</w:t>
      </w:r>
    </w:p>
    <w:p w14:paraId="4070A7FF" w14:textId="44D8BAC1" w:rsidR="00730ECE" w:rsidRPr="00730ECE" w:rsidRDefault="00730ECE" w:rsidP="00730ECE">
      <w:pPr>
        <w:numPr>
          <w:ilvl w:val="0"/>
          <w:numId w:val="20"/>
        </w:num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730ECE">
        <w:rPr>
          <w:rFonts w:ascii="Times New Roman" w:eastAsia="SimSun" w:hAnsi="Times New Roman" w:cs="Times New Roman"/>
          <w:bCs/>
          <w:i/>
          <w:iCs/>
          <w:sz w:val="24"/>
          <w:szCs w:val="24"/>
          <w:shd w:val="clear" w:color="auto" w:fill="FFFFFF"/>
          <w:lang w:eastAsia="zh-CN"/>
        </w:rPr>
        <w:t>n</w:t>
      </w:r>
      <w:r w:rsidRPr="00730ECE">
        <w:rPr>
          <w:rFonts w:ascii="Times New Roman" w:eastAsia="SimSun" w:hAnsi="Times New Roman" w:cs="Times New Roman"/>
          <w:bCs/>
          <w:sz w:val="24"/>
          <w:szCs w:val="24"/>
          <w:shd w:val="clear" w:color="auto" w:fill="FFFFFF"/>
          <w:lang w:eastAsia="zh-CN"/>
        </w:rPr>
        <w:t xml:space="preserve"> = Number of years into the future.</w:t>
      </w:r>
    </w:p>
    <w:p w14:paraId="7B3D9307" w14:textId="7196C8E7" w:rsidR="00F672E4" w:rsidRPr="00B60F84" w:rsidRDefault="00730ECE" w:rsidP="00B60F84">
      <w:pPr>
        <w:autoSpaceDE w:val="0"/>
        <w:autoSpaceDN w:val="0"/>
        <w:adjustRightInd w:val="0"/>
        <w:spacing w:after="0" w:line="480" w:lineRule="auto"/>
        <w:jc w:val="both"/>
        <w:rPr>
          <w:rFonts w:ascii="Times New Roman" w:eastAsia="SimSun" w:hAnsi="Times New Roman" w:cs="Times New Roman"/>
          <w:bCs/>
          <w:sz w:val="24"/>
          <w:szCs w:val="24"/>
          <w:shd w:val="clear" w:color="auto" w:fill="FFFFFF"/>
          <w:lang w:eastAsia="zh-CN"/>
        </w:rPr>
      </w:pPr>
      <w:r w:rsidRPr="00470027">
        <w:rPr>
          <w:rFonts w:ascii="Times New Roman" w:eastAsia="SimSun" w:hAnsi="Times New Roman" w:cs="Times New Roman"/>
          <w:b/>
          <w:sz w:val="24"/>
          <w:szCs w:val="24"/>
          <w:shd w:val="clear" w:color="auto" w:fill="FFFFFF"/>
          <w:lang w:eastAsia="zh-CN"/>
        </w:rPr>
        <w:t>Note</w:t>
      </w:r>
      <w:r>
        <w:rPr>
          <w:rFonts w:ascii="Times New Roman" w:eastAsia="SimSun" w:hAnsi="Times New Roman" w:cs="Times New Roman"/>
          <w:bCs/>
          <w:sz w:val="24"/>
          <w:szCs w:val="24"/>
          <w:shd w:val="clear" w:color="auto" w:fill="FFFFFF"/>
          <w:lang w:eastAsia="zh-CN"/>
        </w:rPr>
        <w:t xml:space="preserve">: </w:t>
      </w:r>
      <w:r w:rsidRPr="00730ECE">
        <w:rPr>
          <w:rFonts w:ascii="Times New Roman" w:eastAsia="SimSun" w:hAnsi="Times New Roman" w:cs="Times New Roman"/>
          <w:bCs/>
          <w:sz w:val="24"/>
          <w:szCs w:val="24"/>
          <w:shd w:val="clear" w:color="auto" w:fill="FFFFFF"/>
          <w:lang w:eastAsia="zh-CN"/>
        </w:rPr>
        <w:t xml:space="preserve">A </w:t>
      </w:r>
      <w:r w:rsidRPr="00730ECE">
        <w:rPr>
          <w:rFonts w:ascii="Times New Roman" w:eastAsia="SimSun" w:hAnsi="Times New Roman" w:cs="Times New Roman"/>
          <w:b/>
          <w:bCs/>
          <w:sz w:val="24"/>
          <w:szCs w:val="24"/>
          <w:shd w:val="clear" w:color="auto" w:fill="FFFFFF"/>
          <w:lang w:eastAsia="zh-CN"/>
        </w:rPr>
        <w:t>BCR &gt; 1</w:t>
      </w:r>
      <w:r w:rsidRPr="00730ECE">
        <w:rPr>
          <w:rFonts w:ascii="Times New Roman" w:eastAsia="SimSun" w:hAnsi="Times New Roman" w:cs="Times New Roman"/>
          <w:bCs/>
          <w:sz w:val="24"/>
          <w:szCs w:val="24"/>
          <w:shd w:val="clear" w:color="auto" w:fill="FFFFFF"/>
          <w:lang w:eastAsia="zh-CN"/>
        </w:rPr>
        <w:t xml:space="preserve"> indicates that the enterprise is viable, generating benefits exceeding its costs, while a </w:t>
      </w:r>
      <w:r w:rsidRPr="00730ECE">
        <w:rPr>
          <w:rFonts w:ascii="Times New Roman" w:eastAsia="SimSun" w:hAnsi="Times New Roman" w:cs="Times New Roman"/>
          <w:b/>
          <w:bCs/>
          <w:sz w:val="24"/>
          <w:szCs w:val="24"/>
          <w:shd w:val="clear" w:color="auto" w:fill="FFFFFF"/>
          <w:lang w:eastAsia="zh-CN"/>
        </w:rPr>
        <w:t>BCR &lt; 1</w:t>
      </w:r>
      <w:r w:rsidRPr="00730ECE">
        <w:rPr>
          <w:rFonts w:ascii="Times New Roman" w:eastAsia="SimSun" w:hAnsi="Times New Roman" w:cs="Times New Roman"/>
          <w:bCs/>
          <w:sz w:val="24"/>
          <w:szCs w:val="24"/>
          <w:shd w:val="clear" w:color="auto" w:fill="FFFFFF"/>
          <w:lang w:eastAsia="zh-CN"/>
        </w:rPr>
        <w:t xml:space="preserve"> suggests the enterprise may not sustain its operations without additional support.</w:t>
      </w:r>
    </w:p>
    <w:p w14:paraId="03278E28" w14:textId="63FCD927" w:rsidR="0000787D" w:rsidRPr="005D19F9" w:rsidRDefault="0000787D" w:rsidP="0000787D">
      <w:pPr>
        <w:pStyle w:val="Heading2"/>
        <w:spacing w:before="0" w:line="480" w:lineRule="auto"/>
        <w:jc w:val="both"/>
        <w:rPr>
          <w:rFonts w:ascii="Times New Roman" w:hAnsi="Times New Roman" w:cs="Times New Roman"/>
          <w:color w:val="auto"/>
          <w:sz w:val="24"/>
          <w:szCs w:val="24"/>
        </w:rPr>
      </w:pPr>
      <w:r w:rsidRPr="005D19F9">
        <w:rPr>
          <w:rFonts w:ascii="Times New Roman" w:hAnsi="Times New Roman" w:cs="Times New Roman"/>
          <w:color w:val="auto"/>
          <w:sz w:val="24"/>
          <w:szCs w:val="24"/>
        </w:rPr>
        <w:t>2.</w:t>
      </w:r>
      <w:r w:rsidR="00470027" w:rsidRPr="005D19F9">
        <w:rPr>
          <w:rFonts w:ascii="Times New Roman" w:hAnsi="Times New Roman" w:cs="Times New Roman"/>
          <w:color w:val="auto"/>
          <w:sz w:val="24"/>
          <w:szCs w:val="24"/>
        </w:rPr>
        <w:t>6.</w:t>
      </w:r>
      <w:r w:rsidRPr="005D19F9">
        <w:rPr>
          <w:rFonts w:ascii="Times New Roman" w:hAnsi="Times New Roman" w:cs="Times New Roman"/>
          <w:color w:val="auto"/>
          <w:sz w:val="24"/>
          <w:szCs w:val="24"/>
        </w:rPr>
        <w:t xml:space="preserve"> </w:t>
      </w:r>
      <w:r w:rsidR="00470027" w:rsidRPr="005D19F9">
        <w:rPr>
          <w:rFonts w:ascii="Times New Roman" w:hAnsi="Times New Roman" w:cs="Times New Roman"/>
          <w:color w:val="auto"/>
          <w:sz w:val="24"/>
          <w:szCs w:val="24"/>
        </w:rPr>
        <w:t>Theoretical Framework</w:t>
      </w:r>
    </w:p>
    <w:p w14:paraId="601B20F9" w14:textId="15EB1A9A" w:rsidR="003152D7" w:rsidRPr="00E77EF6" w:rsidRDefault="00470027" w:rsidP="00E77EF6">
      <w:pPr>
        <w:autoSpaceDE w:val="0"/>
        <w:autoSpaceDN w:val="0"/>
        <w:adjustRightInd w:val="0"/>
        <w:spacing w:line="480" w:lineRule="auto"/>
        <w:ind w:firstLine="450"/>
        <w:jc w:val="both"/>
        <w:rPr>
          <w:rFonts w:ascii="Times New Roman" w:eastAsia="SimSun" w:hAnsi="Times New Roman" w:cs="Times New Roman"/>
          <w:bCs/>
          <w:sz w:val="24"/>
          <w:szCs w:val="24"/>
          <w:shd w:val="clear" w:color="auto" w:fill="FFFFFF"/>
          <w:lang w:val="en-GB" w:eastAsia="zh-CN"/>
        </w:rPr>
      </w:pPr>
      <w:r w:rsidRPr="00470027">
        <w:rPr>
          <w:rFonts w:ascii="Times New Roman" w:eastAsia="SimSun" w:hAnsi="Times New Roman" w:cs="Times New Roman"/>
          <w:bCs/>
          <w:sz w:val="24"/>
          <w:szCs w:val="24"/>
          <w:shd w:val="clear" w:color="auto" w:fill="FFFFFF"/>
          <w:lang w:val="en-GB" w:eastAsia="zh-CN"/>
        </w:rPr>
        <w:t>The study was guided by the Financial Inclusion Theory, which posits that access to credit and financial services enables marginalized populations to engage in productive economic activities, fostering enterprise growth and poverty reduction (</w:t>
      </w:r>
      <w:proofErr w:type="spellStart"/>
      <w:r w:rsidRPr="00470027">
        <w:rPr>
          <w:rFonts w:ascii="Times New Roman" w:eastAsia="SimSun" w:hAnsi="Times New Roman" w:cs="Times New Roman"/>
          <w:bCs/>
          <w:sz w:val="24"/>
          <w:szCs w:val="24"/>
          <w:shd w:val="clear" w:color="auto" w:fill="FFFFFF"/>
          <w:lang w:val="en-GB" w:eastAsia="zh-CN"/>
        </w:rPr>
        <w:t>Ledgerwood</w:t>
      </w:r>
      <w:proofErr w:type="spellEnd"/>
      <w:r w:rsidRPr="00470027">
        <w:rPr>
          <w:rFonts w:ascii="Times New Roman" w:eastAsia="SimSun" w:hAnsi="Times New Roman" w:cs="Times New Roman"/>
          <w:bCs/>
          <w:sz w:val="24"/>
          <w:szCs w:val="24"/>
          <w:shd w:val="clear" w:color="auto" w:fill="FFFFFF"/>
          <w:lang w:val="en-GB" w:eastAsia="zh-CN"/>
        </w:rPr>
        <w:t>, 2013). It was further informed by the Sustainable Livelihoods Framework, emphasizing the role of financial capital in enhancing the resilience and adaptive capacities of households and enterprises (Scoones, 2015). These frameworks provided the lens to assess how EES and private pro-poor credit schemes contribute to sustainable economic development, job creation, and income generation in Arusha and Mara regions, aligned with SDG 8 (Decent Work and Economic Growth) and SDG 10 (Reduced Inequalities)</w:t>
      </w:r>
      <w:r w:rsidR="001152C5" w:rsidRPr="005C371A">
        <w:rPr>
          <w:rFonts w:ascii="Times New Roman" w:eastAsia="SimSun" w:hAnsi="Times New Roman" w:cs="Times New Roman"/>
          <w:bCs/>
          <w:sz w:val="24"/>
          <w:szCs w:val="24"/>
          <w:shd w:val="clear" w:color="auto" w:fill="FFFFFF"/>
          <w:lang w:val="en-GB" w:eastAsia="zh-CN"/>
        </w:rPr>
        <w:t>.</w:t>
      </w:r>
    </w:p>
    <w:p w14:paraId="39D19F43" w14:textId="37228E3E" w:rsidR="00195A8B" w:rsidRPr="00E77EF6" w:rsidRDefault="00C73B31" w:rsidP="00195A8B">
      <w:pPr>
        <w:pStyle w:val="Heading1"/>
        <w:spacing w:before="0" w:line="480" w:lineRule="auto"/>
        <w:jc w:val="both"/>
        <w:rPr>
          <w:rFonts w:ascii="Times New Roman" w:hAnsi="Times New Roman" w:cs="Times New Roman"/>
          <w:color w:val="auto"/>
          <w:sz w:val="24"/>
          <w:szCs w:val="24"/>
          <w:lang w:val="en-GB"/>
        </w:rPr>
      </w:pPr>
      <w:r w:rsidRPr="00E77EF6">
        <w:rPr>
          <w:rFonts w:ascii="Times New Roman" w:hAnsi="Times New Roman" w:cs="Times New Roman"/>
          <w:color w:val="auto"/>
          <w:sz w:val="24"/>
          <w:szCs w:val="24"/>
          <w:lang w:val="en-GB"/>
        </w:rPr>
        <w:t>3. Results and Discussions</w:t>
      </w:r>
    </w:p>
    <w:p w14:paraId="39D7A455" w14:textId="3AAD7393" w:rsidR="00195A8B" w:rsidRPr="00195A8B" w:rsidRDefault="00195A8B" w:rsidP="00195A8B">
      <w:pPr>
        <w:pStyle w:val="ListParagraph"/>
        <w:numPr>
          <w:ilvl w:val="1"/>
          <w:numId w:val="35"/>
        </w:numPr>
        <w:adjustRightInd w:val="0"/>
        <w:spacing w:after="120" w:line="259" w:lineRule="auto"/>
        <w:ind w:left="360"/>
        <w:contextualSpacing w:val="0"/>
        <w:jc w:val="both"/>
        <w:rPr>
          <w:rFonts w:ascii="Times New Roman" w:eastAsia="Calibri" w:hAnsi="Times New Roman" w:cs="Times New Roman"/>
          <w:b/>
          <w:bCs/>
          <w:kern w:val="2"/>
          <w:sz w:val="24"/>
          <w:szCs w:val="24"/>
          <w:lang w:val="en-GB" w:eastAsia="en-US"/>
        </w:rPr>
      </w:pPr>
      <w:bookmarkStart w:id="3" w:name="_Hlk202847549"/>
      <w:r w:rsidRPr="00195A8B">
        <w:rPr>
          <w:rFonts w:ascii="Times New Roman" w:eastAsia="Calibri" w:hAnsi="Times New Roman" w:cs="Times New Roman"/>
          <w:b/>
          <w:bCs/>
          <w:kern w:val="2"/>
          <w:sz w:val="24"/>
          <w:szCs w:val="24"/>
          <w:lang w:val="en-GB" w:eastAsia="en-US"/>
        </w:rPr>
        <w:t xml:space="preserve">Comparison of </w:t>
      </w:r>
      <w:bookmarkEnd w:id="3"/>
      <w:r w:rsidRPr="00195A8B">
        <w:rPr>
          <w:rFonts w:ascii="Times New Roman" w:eastAsia="Calibri" w:hAnsi="Times New Roman" w:cs="Times New Roman"/>
          <w:b/>
          <w:bCs/>
          <w:kern w:val="2"/>
          <w:sz w:val="24"/>
          <w:szCs w:val="24"/>
          <w:lang w:val="en-GB" w:eastAsia="en-US"/>
        </w:rPr>
        <w:t>Socio-Economic Characteristics of Beneficiaries between Arusha and Mara Regions</w:t>
      </w:r>
    </w:p>
    <w:p w14:paraId="20C8264D" w14:textId="6A54782D" w:rsidR="00195A8B" w:rsidRPr="00195A8B" w:rsidRDefault="00195A8B" w:rsidP="005C4ABF">
      <w:pPr>
        <w:tabs>
          <w:tab w:val="left" w:pos="720"/>
        </w:tabs>
        <w:spacing w:after="160" w:line="360" w:lineRule="auto"/>
        <w:jc w:val="both"/>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val="en-GB" w:eastAsia="en-US"/>
        </w:rPr>
        <w:t xml:space="preserve">As per Table </w:t>
      </w:r>
      <w:r w:rsidR="00E77EF6">
        <w:rPr>
          <w:rFonts w:ascii="Times New Roman" w:eastAsia="Calibri" w:hAnsi="Times New Roman" w:cs="Times New Roman"/>
          <w:bCs/>
          <w:kern w:val="2"/>
          <w:sz w:val="24"/>
          <w:szCs w:val="24"/>
          <w:lang w:val="en-GB" w:eastAsia="en-US"/>
        </w:rPr>
        <w:t>2</w:t>
      </w:r>
      <w:r w:rsidRPr="00195A8B">
        <w:rPr>
          <w:rFonts w:ascii="Times New Roman" w:eastAsia="Calibri" w:hAnsi="Times New Roman" w:cs="Times New Roman"/>
          <w:bCs/>
          <w:kern w:val="2"/>
          <w:sz w:val="24"/>
          <w:szCs w:val="24"/>
          <w:lang w:val="en-GB" w:eastAsia="en-US"/>
        </w:rPr>
        <w:t xml:space="preserve">. </w:t>
      </w:r>
      <w:r w:rsidRPr="00195A8B">
        <w:rPr>
          <w:rFonts w:ascii="Times New Roman" w:eastAsia="Calibri" w:hAnsi="Times New Roman" w:cs="Times New Roman"/>
          <w:bCs/>
          <w:kern w:val="2"/>
          <w:sz w:val="24"/>
          <w:szCs w:val="24"/>
          <w:lang w:eastAsia="en-US"/>
        </w:rPr>
        <w:t xml:space="preserve">The comparative analysis of household sizes between Mara and Arusha reveals that Mara has a higher average household size (6 members) compared to Arusha (5 members). This aligns with findings from FAO (2018), which noted that rural regions with agrarian </w:t>
      </w:r>
      <w:r w:rsidRPr="00195A8B">
        <w:rPr>
          <w:rFonts w:ascii="Times New Roman" w:eastAsia="Calibri" w:hAnsi="Times New Roman" w:cs="Times New Roman"/>
          <w:bCs/>
          <w:kern w:val="2"/>
          <w:sz w:val="24"/>
          <w:szCs w:val="24"/>
          <w:lang w:eastAsia="en-US"/>
        </w:rPr>
        <w:lastRenderedPageBreak/>
        <w:t>economic structures often exhibit larger household sizes, serving as an adaptive mechanism to meet labor needs in agricultural production. Larger households in Mara may reflect cultural practices supporting extended family structures for subsistence farming and livestock keeping, which are more prevalent due to the region’s relatively lower population density and wider availability of arable land, compared to the peri-urban and service-oriented economic landscape of Arusha.</w:t>
      </w:r>
    </w:p>
    <w:p w14:paraId="39720E26" w14:textId="77777777" w:rsidR="00195A8B" w:rsidRPr="00195A8B" w:rsidRDefault="00195A8B" w:rsidP="005C4ABF">
      <w:pPr>
        <w:tabs>
          <w:tab w:val="left" w:pos="720"/>
        </w:tabs>
        <w:spacing w:after="160" w:line="360" w:lineRule="auto"/>
        <w:jc w:val="both"/>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Regarding farm size, entrepreneurs in Mara exhibit an average of 21 acres, three times higher than Arusha’s 7 acres, consistent with Jayne et al. (2016), who reported that landholding sizes are typically larger in less densely populated, agriculture-dependent areas due to lower land pressure and historical patterns of land distribution. This divergence suggests that empowerment programs and business interventions in Mara may leverage larger land sizes for enterprise diversification, while in Arusha, the smaller farm sizes may necessitate intensification strategies and high-value crop production to maximize economic returns per unit area.</w:t>
      </w:r>
    </w:p>
    <w:p w14:paraId="679587CB" w14:textId="77777777" w:rsidR="00195A8B" w:rsidRPr="00195A8B" w:rsidRDefault="00195A8B" w:rsidP="005C4ABF">
      <w:pPr>
        <w:tabs>
          <w:tab w:val="left" w:pos="720"/>
        </w:tabs>
        <w:spacing w:after="160" w:line="360" w:lineRule="auto"/>
        <w:jc w:val="both"/>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 xml:space="preserve">In terms of gender distribution, the data indicate a predominance of female entrepreneurs (303 females versus 192 males across both regions), consistent with </w:t>
      </w:r>
      <w:proofErr w:type="spellStart"/>
      <w:r w:rsidRPr="00195A8B">
        <w:rPr>
          <w:rFonts w:ascii="Times New Roman" w:eastAsia="Calibri" w:hAnsi="Times New Roman" w:cs="Times New Roman"/>
          <w:bCs/>
          <w:kern w:val="2"/>
          <w:sz w:val="24"/>
          <w:szCs w:val="24"/>
          <w:lang w:eastAsia="en-US"/>
        </w:rPr>
        <w:t>Makombe</w:t>
      </w:r>
      <w:proofErr w:type="spellEnd"/>
      <w:r w:rsidRPr="00195A8B">
        <w:rPr>
          <w:rFonts w:ascii="Times New Roman" w:eastAsia="Calibri" w:hAnsi="Times New Roman" w:cs="Times New Roman"/>
          <w:bCs/>
          <w:kern w:val="2"/>
          <w:sz w:val="24"/>
          <w:szCs w:val="24"/>
          <w:lang w:eastAsia="en-US"/>
        </w:rPr>
        <w:t xml:space="preserve"> et al. (1999) and Ellis et al. (2007), who found that economic empowerment initiatives in Tanzania often attract higher female participation due to women's greater interest in group-based lending and microenterprise programs. The higher proportion of women suggests that empowerment schemes are effectively targeting and reaching women, who often bear disproportionate economic burdens yet are central to household welfare improvements.</w:t>
      </w:r>
    </w:p>
    <w:p w14:paraId="6E87553A" w14:textId="77777777" w:rsidR="00195A8B" w:rsidRPr="00195A8B" w:rsidRDefault="00195A8B" w:rsidP="005C4ABF">
      <w:pPr>
        <w:tabs>
          <w:tab w:val="left" w:pos="720"/>
        </w:tabs>
        <w:spacing w:after="160" w:line="360" w:lineRule="auto"/>
        <w:jc w:val="both"/>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 xml:space="preserve">Age distribution analysis reveals that the majority of respondents fall within the youth category (18–35 years), a finding aligned with </w:t>
      </w:r>
      <w:proofErr w:type="spellStart"/>
      <w:r w:rsidRPr="00195A8B">
        <w:rPr>
          <w:rFonts w:ascii="Times New Roman" w:eastAsia="Calibri" w:hAnsi="Times New Roman" w:cs="Times New Roman"/>
          <w:bCs/>
          <w:kern w:val="2"/>
          <w:sz w:val="24"/>
          <w:szCs w:val="24"/>
          <w:lang w:eastAsia="en-US"/>
        </w:rPr>
        <w:t>Martey</w:t>
      </w:r>
      <w:proofErr w:type="spellEnd"/>
      <w:r w:rsidRPr="00195A8B">
        <w:rPr>
          <w:rFonts w:ascii="Times New Roman" w:eastAsia="Calibri" w:hAnsi="Times New Roman" w:cs="Times New Roman"/>
          <w:bCs/>
          <w:kern w:val="2"/>
          <w:sz w:val="24"/>
          <w:szCs w:val="24"/>
          <w:lang w:eastAsia="en-US"/>
        </w:rPr>
        <w:t xml:space="preserve"> et al. (2012) and Filmer &amp; Fox (2014), who identified youth as the most economically active group in Sub-Saharan Africa, driven by factors such as empowerment initiatives, digital adaptability, and the drive for economic independence. The relatively high representation of the 25–34 years age group in both regions indicates an opportunity for programs to leverage youth dynamism for entrepreneurship, while recognizing the significant participation of middle-aged groups in Mara, who may bring experience and stability into enterprise operations (World Bank, 2019).</w:t>
      </w:r>
    </w:p>
    <w:p w14:paraId="58DD9425" w14:textId="77777777" w:rsidR="00195A8B" w:rsidRPr="00195A8B" w:rsidRDefault="00195A8B" w:rsidP="005C4ABF">
      <w:pPr>
        <w:tabs>
          <w:tab w:val="left" w:pos="720"/>
        </w:tabs>
        <w:spacing w:after="160" w:line="360" w:lineRule="auto"/>
        <w:jc w:val="both"/>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 xml:space="preserve">Educational attainment reveals notable disparities between the regions and demographic groups. Arusha shows a higher concentration of secondary and higher education among beneficiaries </w:t>
      </w:r>
      <w:r w:rsidRPr="00195A8B">
        <w:rPr>
          <w:rFonts w:ascii="Times New Roman" w:eastAsia="Calibri" w:hAnsi="Times New Roman" w:cs="Times New Roman"/>
          <w:bCs/>
          <w:kern w:val="2"/>
          <w:sz w:val="24"/>
          <w:szCs w:val="24"/>
          <w:lang w:eastAsia="en-US"/>
        </w:rPr>
        <w:lastRenderedPageBreak/>
        <w:t>compared to Mara, suggesting regional inequalities in education access and attainment, consistent with URT (2021) and UNESCO (2015) reports on education distribution across Tanzanian regions. The finding that all PWD in Mara have at most secondary education and that a substantial number lack formal education highlights persistent barriers to educational access for PWDs, reinforcing ILO (2020) calls for inclusive education initiatives as a precondition for equitable economic empowerment.</w:t>
      </w:r>
    </w:p>
    <w:p w14:paraId="478935DE" w14:textId="77777777" w:rsidR="00195A8B" w:rsidRPr="00195A8B" w:rsidRDefault="00195A8B" w:rsidP="005C4ABF">
      <w:pPr>
        <w:tabs>
          <w:tab w:val="left" w:pos="720"/>
        </w:tabs>
        <w:spacing w:after="160" w:line="360" w:lineRule="auto"/>
        <w:jc w:val="both"/>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 xml:space="preserve">Regarding marital status, monogamy is the predominant marital pattern, accounting for 66.9% in Arusha and 33.1% in Mara, indicating cultural preferences towards monogamous unions while highlighting that marital stability may influence household income pooling and business stability. The higher rates of polygamy in Arusha (64%) could reflect local cultural dynamics, consistent with </w:t>
      </w:r>
      <w:proofErr w:type="spellStart"/>
      <w:r w:rsidRPr="00195A8B">
        <w:rPr>
          <w:rFonts w:ascii="Times New Roman" w:eastAsia="Calibri" w:hAnsi="Times New Roman" w:cs="Times New Roman"/>
          <w:bCs/>
          <w:kern w:val="2"/>
          <w:sz w:val="24"/>
          <w:szCs w:val="24"/>
          <w:lang w:eastAsia="en-US"/>
        </w:rPr>
        <w:t>Lugalla</w:t>
      </w:r>
      <w:proofErr w:type="spellEnd"/>
      <w:r w:rsidRPr="00195A8B">
        <w:rPr>
          <w:rFonts w:ascii="Times New Roman" w:eastAsia="Calibri" w:hAnsi="Times New Roman" w:cs="Times New Roman"/>
          <w:bCs/>
          <w:kern w:val="2"/>
          <w:sz w:val="24"/>
          <w:szCs w:val="24"/>
          <w:lang w:eastAsia="en-US"/>
        </w:rPr>
        <w:t xml:space="preserve"> (1995), who noted regional differences in marital practices across Tanzania influencing economic decision-making within households.</w:t>
      </w:r>
    </w:p>
    <w:p w14:paraId="75E46B19" w14:textId="77777777" w:rsidR="00195A8B" w:rsidRPr="00195A8B" w:rsidRDefault="00195A8B" w:rsidP="005C4ABF">
      <w:pPr>
        <w:tabs>
          <w:tab w:val="left" w:pos="720"/>
        </w:tabs>
        <w:spacing w:after="160" w:line="360" w:lineRule="auto"/>
        <w:jc w:val="both"/>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 xml:space="preserve">Collectively, these socio-economic characteristics indicate that the economic empowerment schemes in both regions primarily attract young, female entrepreneurs with varying educational backgrounds, operating within culturally distinct household and marital structures. The significant regional differences in landholding and education underline the need for context-sensitive program designs. For instance, in Mara, interventions could focus on leveraging large landholdings for </w:t>
      </w:r>
      <w:proofErr w:type="spellStart"/>
      <w:r w:rsidRPr="00195A8B">
        <w:rPr>
          <w:rFonts w:ascii="Times New Roman" w:eastAsia="Calibri" w:hAnsi="Times New Roman" w:cs="Times New Roman"/>
          <w:bCs/>
          <w:kern w:val="2"/>
          <w:sz w:val="24"/>
          <w:szCs w:val="24"/>
          <w:lang w:eastAsia="en-US"/>
        </w:rPr>
        <w:t>agro</w:t>
      </w:r>
      <w:proofErr w:type="spellEnd"/>
      <w:r w:rsidRPr="00195A8B">
        <w:rPr>
          <w:rFonts w:ascii="Times New Roman" w:eastAsia="Calibri" w:hAnsi="Times New Roman" w:cs="Times New Roman"/>
          <w:bCs/>
          <w:kern w:val="2"/>
          <w:sz w:val="24"/>
          <w:szCs w:val="24"/>
          <w:lang w:eastAsia="en-US"/>
        </w:rPr>
        <w:t>-based enterprises, while in Arusha, programs could emphasize capacity building and value addition for smaller landholdings.</w:t>
      </w:r>
    </w:p>
    <w:p w14:paraId="56ED9C09" w14:textId="77777777" w:rsidR="00195A8B" w:rsidRPr="00195A8B" w:rsidRDefault="00195A8B" w:rsidP="005C4ABF">
      <w:pPr>
        <w:tabs>
          <w:tab w:val="left" w:pos="720"/>
        </w:tabs>
        <w:spacing w:after="160" w:line="360" w:lineRule="auto"/>
        <w:contextualSpacing/>
        <w:jc w:val="both"/>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Moreover, the high participation of women and youth suggests that empowerment schemes align with SDG 5 (Gender Equality) and SDG 8 (Decent Work and Economic Growth), but the disparities in education and land access call for targeted policies to address structural inequalities, as highlighted by Kabeer (1999) on empowerment frameworks. Future interventions should consider tailored training, land access facilitation, and education support to enhance the economic performance and sustainability of enterprises across diverse regional and demographic contexts in Tanzania.</w:t>
      </w:r>
    </w:p>
    <w:p w14:paraId="7487EC25" w14:textId="77777777" w:rsidR="00195A8B" w:rsidRPr="00195A8B" w:rsidRDefault="00195A8B" w:rsidP="00195A8B">
      <w:pPr>
        <w:tabs>
          <w:tab w:val="left" w:pos="720"/>
        </w:tabs>
        <w:spacing w:after="160" w:line="259" w:lineRule="auto"/>
        <w:contextualSpacing/>
        <w:jc w:val="both"/>
        <w:rPr>
          <w:rFonts w:ascii="Times New Roman" w:eastAsia="Calibri" w:hAnsi="Times New Roman" w:cs="Times New Roman"/>
          <w:bCs/>
          <w:kern w:val="2"/>
          <w:sz w:val="24"/>
          <w:szCs w:val="24"/>
          <w:lang w:eastAsia="en-US"/>
        </w:rPr>
      </w:pPr>
    </w:p>
    <w:p w14:paraId="1D7B3058" w14:textId="691613A2" w:rsidR="00195A8B" w:rsidRPr="00195A8B" w:rsidRDefault="00195A8B" w:rsidP="00195A8B">
      <w:pPr>
        <w:tabs>
          <w:tab w:val="left" w:pos="720"/>
        </w:tabs>
        <w:spacing w:after="0" w:line="259" w:lineRule="auto"/>
        <w:contextualSpacing/>
        <w:jc w:val="both"/>
        <w:rPr>
          <w:rFonts w:ascii="Times New Roman" w:eastAsia="Calibri" w:hAnsi="Times New Roman" w:cs="Times New Roman"/>
          <w:b/>
          <w:bCs/>
          <w:kern w:val="2"/>
          <w:lang w:val="en-GB" w:eastAsia="en-US"/>
        </w:rPr>
      </w:pPr>
      <w:r w:rsidRPr="00195A8B">
        <w:rPr>
          <w:rFonts w:ascii="Times New Roman" w:eastAsia="Calibri" w:hAnsi="Times New Roman" w:cs="Times New Roman"/>
          <w:b/>
          <w:bCs/>
          <w:kern w:val="2"/>
          <w:lang w:val="en-GB" w:eastAsia="en-US"/>
        </w:rPr>
        <w:t xml:space="preserve">Table </w:t>
      </w:r>
      <w:r w:rsidR="00E77EF6">
        <w:rPr>
          <w:rFonts w:ascii="Times New Roman" w:eastAsia="Calibri" w:hAnsi="Times New Roman" w:cs="Times New Roman"/>
          <w:b/>
          <w:bCs/>
          <w:kern w:val="2"/>
          <w:lang w:val="en-GB" w:eastAsia="en-US"/>
        </w:rPr>
        <w:t>2</w:t>
      </w:r>
      <w:r w:rsidRPr="00195A8B">
        <w:rPr>
          <w:rFonts w:ascii="Times New Roman" w:eastAsia="Calibri" w:hAnsi="Times New Roman" w:cs="Times New Roman"/>
          <w:b/>
          <w:bCs/>
          <w:kern w:val="2"/>
          <w:lang w:val="en-GB" w:eastAsia="en-US"/>
        </w:rPr>
        <w:t xml:space="preserve">. Comparison of Socio-economic Characteristics of Beneficiaries </w:t>
      </w:r>
      <w:bookmarkStart w:id="4" w:name="_Hlk202848068"/>
      <w:r w:rsidRPr="00195A8B">
        <w:rPr>
          <w:rFonts w:ascii="Times New Roman" w:eastAsia="Calibri" w:hAnsi="Times New Roman" w:cs="Times New Roman"/>
          <w:b/>
          <w:bCs/>
          <w:kern w:val="2"/>
          <w:lang w:val="en-GB" w:eastAsia="en-US"/>
        </w:rPr>
        <w:t>between Arusha and Mara Regions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100"/>
        <w:gridCol w:w="810"/>
        <w:gridCol w:w="720"/>
        <w:gridCol w:w="990"/>
        <w:gridCol w:w="810"/>
        <w:gridCol w:w="900"/>
        <w:gridCol w:w="720"/>
        <w:gridCol w:w="1170"/>
      </w:tblGrid>
      <w:tr w:rsidR="00195A8B" w:rsidRPr="00195A8B" w14:paraId="7D878BA5" w14:textId="77777777" w:rsidTr="00CA33B8">
        <w:tc>
          <w:tcPr>
            <w:tcW w:w="2405" w:type="dxa"/>
          </w:tcPr>
          <w:bookmarkEnd w:id="4"/>
          <w:p w14:paraId="19FA5ED6"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b/>
                <w:bCs/>
                <w:kern w:val="2"/>
                <w:lang w:val="en-GB" w:eastAsia="en-US"/>
              </w:rPr>
              <w:t>Variable</w:t>
            </w:r>
          </w:p>
        </w:tc>
        <w:tc>
          <w:tcPr>
            <w:tcW w:w="3620" w:type="dxa"/>
            <w:gridSpan w:val="4"/>
          </w:tcPr>
          <w:p w14:paraId="3514FA6E"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b/>
                <w:bCs/>
                <w:kern w:val="2"/>
                <w:lang w:val="en-GB" w:eastAsia="en-US"/>
              </w:rPr>
              <w:t>Arusha</w:t>
            </w:r>
          </w:p>
        </w:tc>
        <w:tc>
          <w:tcPr>
            <w:tcW w:w="3600" w:type="dxa"/>
            <w:gridSpan w:val="4"/>
          </w:tcPr>
          <w:p w14:paraId="00D81AC4"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b/>
                <w:bCs/>
                <w:kern w:val="2"/>
                <w:lang w:val="en-GB" w:eastAsia="en-US"/>
              </w:rPr>
              <w:t>Mara</w:t>
            </w:r>
          </w:p>
        </w:tc>
      </w:tr>
      <w:tr w:rsidR="00195A8B" w:rsidRPr="00195A8B" w14:paraId="23605871" w14:textId="77777777" w:rsidTr="00CA33B8">
        <w:tc>
          <w:tcPr>
            <w:tcW w:w="2405" w:type="dxa"/>
          </w:tcPr>
          <w:p w14:paraId="54052CDB" w14:textId="77777777" w:rsidR="00195A8B" w:rsidRPr="00195A8B" w:rsidRDefault="00195A8B" w:rsidP="00195A8B">
            <w:pPr>
              <w:spacing w:after="0" w:line="240" w:lineRule="auto"/>
              <w:jc w:val="both"/>
              <w:rPr>
                <w:rFonts w:ascii="Times New Roman" w:eastAsia="Calibri" w:hAnsi="Times New Roman" w:cs="Times New Roman"/>
                <w:b/>
                <w:bCs/>
                <w:kern w:val="2"/>
                <w:lang w:val="en-GB" w:eastAsia="en-US"/>
              </w:rPr>
            </w:pPr>
            <w:r w:rsidRPr="00195A8B">
              <w:rPr>
                <w:rFonts w:ascii="Times New Roman" w:eastAsia="Calibri" w:hAnsi="Times New Roman" w:cs="Times New Roman"/>
                <w:b/>
                <w:bCs/>
                <w:kern w:val="2"/>
                <w:lang w:val="en-GB" w:eastAsia="en-US"/>
              </w:rPr>
              <w:t>Continuous variable</w:t>
            </w:r>
          </w:p>
        </w:tc>
        <w:tc>
          <w:tcPr>
            <w:tcW w:w="1100" w:type="dxa"/>
          </w:tcPr>
          <w:p w14:paraId="6596B2EF" w14:textId="77777777" w:rsidR="00195A8B" w:rsidRPr="00195A8B" w:rsidRDefault="00195A8B" w:rsidP="00195A8B">
            <w:pPr>
              <w:spacing w:after="0" w:line="240" w:lineRule="auto"/>
              <w:jc w:val="both"/>
              <w:rPr>
                <w:rFonts w:ascii="Times New Roman" w:eastAsia="Calibri" w:hAnsi="Times New Roman" w:cs="Times New Roman"/>
                <w:b/>
                <w:bCs/>
                <w:kern w:val="2"/>
                <w:lang w:val="en-GB" w:eastAsia="en-US"/>
              </w:rPr>
            </w:pPr>
            <w:r w:rsidRPr="00195A8B">
              <w:rPr>
                <w:rFonts w:ascii="Times New Roman" w:eastAsia="Calibri" w:hAnsi="Times New Roman" w:cs="Times New Roman"/>
                <w:b/>
                <w:bCs/>
                <w:kern w:val="2"/>
                <w:lang w:val="en-GB" w:eastAsia="en-US"/>
              </w:rPr>
              <w:t>Mean</w:t>
            </w:r>
          </w:p>
        </w:tc>
        <w:tc>
          <w:tcPr>
            <w:tcW w:w="810" w:type="dxa"/>
          </w:tcPr>
          <w:p w14:paraId="615B71CF" w14:textId="77777777" w:rsidR="00195A8B" w:rsidRPr="00195A8B" w:rsidRDefault="00195A8B" w:rsidP="00195A8B">
            <w:pPr>
              <w:spacing w:after="0" w:line="240" w:lineRule="auto"/>
              <w:jc w:val="both"/>
              <w:rPr>
                <w:rFonts w:ascii="Times New Roman" w:eastAsia="Calibri" w:hAnsi="Times New Roman" w:cs="Times New Roman"/>
                <w:b/>
                <w:bCs/>
                <w:kern w:val="2"/>
                <w:lang w:val="en-GB" w:eastAsia="en-US"/>
              </w:rPr>
            </w:pPr>
            <w:r w:rsidRPr="00195A8B">
              <w:rPr>
                <w:rFonts w:ascii="Times New Roman" w:eastAsia="Calibri" w:hAnsi="Times New Roman" w:cs="Times New Roman"/>
                <w:b/>
                <w:bCs/>
                <w:kern w:val="2"/>
                <w:lang w:val="en-GB" w:eastAsia="en-US"/>
              </w:rPr>
              <w:t>Max.</w:t>
            </w:r>
          </w:p>
        </w:tc>
        <w:tc>
          <w:tcPr>
            <w:tcW w:w="720" w:type="dxa"/>
          </w:tcPr>
          <w:p w14:paraId="0C29FD20" w14:textId="77777777" w:rsidR="00195A8B" w:rsidRPr="00195A8B" w:rsidRDefault="00195A8B" w:rsidP="00195A8B">
            <w:pPr>
              <w:spacing w:after="0" w:line="240" w:lineRule="auto"/>
              <w:jc w:val="both"/>
              <w:rPr>
                <w:rFonts w:ascii="Times New Roman" w:eastAsia="Calibri" w:hAnsi="Times New Roman" w:cs="Times New Roman"/>
                <w:b/>
                <w:bCs/>
                <w:kern w:val="2"/>
                <w:lang w:val="en-GB" w:eastAsia="en-US"/>
              </w:rPr>
            </w:pPr>
            <w:r w:rsidRPr="00195A8B">
              <w:rPr>
                <w:rFonts w:ascii="Times New Roman" w:eastAsia="Calibri" w:hAnsi="Times New Roman" w:cs="Times New Roman"/>
                <w:b/>
                <w:bCs/>
                <w:kern w:val="2"/>
                <w:lang w:val="en-GB" w:eastAsia="en-US"/>
              </w:rPr>
              <w:t>Min.</w:t>
            </w:r>
          </w:p>
        </w:tc>
        <w:tc>
          <w:tcPr>
            <w:tcW w:w="990" w:type="dxa"/>
          </w:tcPr>
          <w:p w14:paraId="41E06FD2" w14:textId="77777777" w:rsidR="00195A8B" w:rsidRPr="00195A8B" w:rsidRDefault="00195A8B" w:rsidP="00195A8B">
            <w:pPr>
              <w:spacing w:after="0" w:line="240" w:lineRule="auto"/>
              <w:jc w:val="both"/>
              <w:rPr>
                <w:rFonts w:ascii="Times New Roman" w:eastAsia="Calibri" w:hAnsi="Times New Roman" w:cs="Times New Roman"/>
                <w:b/>
                <w:bCs/>
                <w:kern w:val="2"/>
                <w:lang w:val="en-GB" w:eastAsia="en-US"/>
              </w:rPr>
            </w:pPr>
            <w:r w:rsidRPr="00195A8B">
              <w:rPr>
                <w:rFonts w:ascii="Times New Roman" w:eastAsia="Calibri" w:hAnsi="Times New Roman" w:cs="Times New Roman"/>
                <w:b/>
                <w:bCs/>
                <w:kern w:val="2"/>
                <w:lang w:val="en-GB" w:eastAsia="en-US"/>
              </w:rPr>
              <w:t>Std. Dev</w:t>
            </w:r>
          </w:p>
        </w:tc>
        <w:tc>
          <w:tcPr>
            <w:tcW w:w="810" w:type="dxa"/>
          </w:tcPr>
          <w:p w14:paraId="5A2E91CC" w14:textId="77777777" w:rsidR="00195A8B" w:rsidRPr="00195A8B" w:rsidRDefault="00195A8B" w:rsidP="00195A8B">
            <w:pPr>
              <w:spacing w:after="0" w:line="240" w:lineRule="auto"/>
              <w:jc w:val="both"/>
              <w:rPr>
                <w:rFonts w:ascii="Times New Roman" w:eastAsia="Calibri" w:hAnsi="Times New Roman" w:cs="Times New Roman"/>
                <w:b/>
                <w:bCs/>
                <w:kern w:val="2"/>
                <w:lang w:val="en-GB" w:eastAsia="en-US"/>
              </w:rPr>
            </w:pPr>
            <w:r w:rsidRPr="00195A8B">
              <w:rPr>
                <w:rFonts w:ascii="Times New Roman" w:eastAsia="Calibri" w:hAnsi="Times New Roman" w:cs="Times New Roman"/>
                <w:b/>
                <w:bCs/>
                <w:kern w:val="2"/>
                <w:lang w:val="en-GB" w:eastAsia="en-US"/>
              </w:rPr>
              <w:t>Mean</w:t>
            </w:r>
          </w:p>
        </w:tc>
        <w:tc>
          <w:tcPr>
            <w:tcW w:w="900" w:type="dxa"/>
          </w:tcPr>
          <w:p w14:paraId="479C1607" w14:textId="77777777" w:rsidR="00195A8B" w:rsidRPr="00195A8B" w:rsidRDefault="00195A8B" w:rsidP="00195A8B">
            <w:pPr>
              <w:spacing w:after="0" w:line="240" w:lineRule="auto"/>
              <w:jc w:val="both"/>
              <w:rPr>
                <w:rFonts w:ascii="Times New Roman" w:eastAsia="Calibri" w:hAnsi="Times New Roman" w:cs="Times New Roman"/>
                <w:b/>
                <w:bCs/>
                <w:kern w:val="2"/>
                <w:lang w:val="en-GB" w:eastAsia="en-US"/>
              </w:rPr>
            </w:pPr>
            <w:r w:rsidRPr="00195A8B">
              <w:rPr>
                <w:rFonts w:ascii="Times New Roman" w:eastAsia="Calibri" w:hAnsi="Times New Roman" w:cs="Times New Roman"/>
                <w:b/>
                <w:bCs/>
                <w:kern w:val="2"/>
                <w:lang w:val="en-GB" w:eastAsia="en-US"/>
              </w:rPr>
              <w:t>Max.</w:t>
            </w:r>
          </w:p>
        </w:tc>
        <w:tc>
          <w:tcPr>
            <w:tcW w:w="720" w:type="dxa"/>
          </w:tcPr>
          <w:p w14:paraId="4A05D8FE" w14:textId="77777777" w:rsidR="00195A8B" w:rsidRPr="00195A8B" w:rsidRDefault="00195A8B" w:rsidP="00195A8B">
            <w:pPr>
              <w:spacing w:after="0" w:line="240" w:lineRule="auto"/>
              <w:jc w:val="both"/>
              <w:rPr>
                <w:rFonts w:ascii="Times New Roman" w:eastAsia="Calibri" w:hAnsi="Times New Roman" w:cs="Times New Roman"/>
                <w:b/>
                <w:bCs/>
                <w:kern w:val="2"/>
                <w:lang w:val="en-GB" w:eastAsia="en-US"/>
              </w:rPr>
            </w:pPr>
            <w:r w:rsidRPr="00195A8B">
              <w:rPr>
                <w:rFonts w:ascii="Times New Roman" w:eastAsia="Calibri" w:hAnsi="Times New Roman" w:cs="Times New Roman"/>
                <w:b/>
                <w:bCs/>
                <w:kern w:val="2"/>
                <w:lang w:val="en-GB" w:eastAsia="en-US"/>
              </w:rPr>
              <w:t>Min.</w:t>
            </w:r>
          </w:p>
        </w:tc>
        <w:tc>
          <w:tcPr>
            <w:tcW w:w="1170" w:type="dxa"/>
          </w:tcPr>
          <w:p w14:paraId="5D6268EE" w14:textId="77777777" w:rsidR="00195A8B" w:rsidRPr="00195A8B" w:rsidRDefault="00195A8B" w:rsidP="00195A8B">
            <w:pPr>
              <w:spacing w:after="0" w:line="240" w:lineRule="auto"/>
              <w:jc w:val="both"/>
              <w:rPr>
                <w:rFonts w:ascii="Times New Roman" w:eastAsia="Calibri" w:hAnsi="Times New Roman" w:cs="Times New Roman"/>
                <w:b/>
                <w:bCs/>
                <w:kern w:val="2"/>
                <w:lang w:val="en-GB" w:eastAsia="en-US"/>
              </w:rPr>
            </w:pPr>
            <w:proofErr w:type="spellStart"/>
            <w:r w:rsidRPr="00195A8B">
              <w:rPr>
                <w:rFonts w:ascii="Times New Roman" w:eastAsia="Calibri" w:hAnsi="Times New Roman" w:cs="Times New Roman"/>
                <w:b/>
                <w:bCs/>
                <w:kern w:val="2"/>
                <w:lang w:val="en-GB" w:eastAsia="en-US"/>
              </w:rPr>
              <w:t>Std.Dev</w:t>
            </w:r>
            <w:proofErr w:type="spellEnd"/>
            <w:r w:rsidRPr="00195A8B">
              <w:rPr>
                <w:rFonts w:ascii="Times New Roman" w:eastAsia="Calibri" w:hAnsi="Times New Roman" w:cs="Times New Roman"/>
                <w:b/>
                <w:bCs/>
                <w:kern w:val="2"/>
                <w:lang w:val="en-GB" w:eastAsia="en-US"/>
              </w:rPr>
              <w:t>.</w:t>
            </w:r>
          </w:p>
        </w:tc>
      </w:tr>
      <w:tr w:rsidR="00195A8B" w:rsidRPr="00195A8B" w14:paraId="64F26097" w14:textId="77777777" w:rsidTr="00CA33B8">
        <w:tc>
          <w:tcPr>
            <w:tcW w:w="2405" w:type="dxa"/>
          </w:tcPr>
          <w:p w14:paraId="422DA2B2"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lastRenderedPageBreak/>
              <w:t>Household size</w:t>
            </w:r>
          </w:p>
        </w:tc>
        <w:tc>
          <w:tcPr>
            <w:tcW w:w="1100" w:type="dxa"/>
            <w:shd w:val="clear" w:color="auto" w:fill="auto"/>
          </w:tcPr>
          <w:p w14:paraId="6BC7509E"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5</w:t>
            </w:r>
          </w:p>
        </w:tc>
        <w:tc>
          <w:tcPr>
            <w:tcW w:w="810" w:type="dxa"/>
            <w:shd w:val="clear" w:color="auto" w:fill="auto"/>
          </w:tcPr>
          <w:p w14:paraId="586CA1F3"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14</w:t>
            </w:r>
          </w:p>
        </w:tc>
        <w:tc>
          <w:tcPr>
            <w:tcW w:w="720" w:type="dxa"/>
            <w:shd w:val="clear" w:color="auto" w:fill="auto"/>
          </w:tcPr>
          <w:p w14:paraId="5A8DDE7D"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w:t>
            </w:r>
          </w:p>
        </w:tc>
        <w:tc>
          <w:tcPr>
            <w:tcW w:w="990" w:type="dxa"/>
            <w:shd w:val="clear" w:color="auto" w:fill="auto"/>
          </w:tcPr>
          <w:p w14:paraId="0F9D3AE1"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2</w:t>
            </w:r>
          </w:p>
        </w:tc>
        <w:tc>
          <w:tcPr>
            <w:tcW w:w="810" w:type="dxa"/>
            <w:shd w:val="clear" w:color="auto" w:fill="auto"/>
          </w:tcPr>
          <w:p w14:paraId="1DE87892"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6</w:t>
            </w:r>
          </w:p>
        </w:tc>
        <w:tc>
          <w:tcPr>
            <w:tcW w:w="900" w:type="dxa"/>
            <w:shd w:val="clear" w:color="auto" w:fill="auto"/>
          </w:tcPr>
          <w:p w14:paraId="7A6640AB"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18</w:t>
            </w:r>
          </w:p>
        </w:tc>
        <w:tc>
          <w:tcPr>
            <w:tcW w:w="720" w:type="dxa"/>
            <w:shd w:val="clear" w:color="auto" w:fill="auto"/>
          </w:tcPr>
          <w:p w14:paraId="3FCBD2D6"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w:t>
            </w:r>
          </w:p>
        </w:tc>
        <w:tc>
          <w:tcPr>
            <w:tcW w:w="1170" w:type="dxa"/>
            <w:shd w:val="clear" w:color="auto" w:fill="auto"/>
          </w:tcPr>
          <w:p w14:paraId="0964392E"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3</w:t>
            </w:r>
          </w:p>
        </w:tc>
      </w:tr>
      <w:tr w:rsidR="00195A8B" w:rsidRPr="00195A8B" w14:paraId="175D677D" w14:textId="77777777" w:rsidTr="00CA33B8">
        <w:tc>
          <w:tcPr>
            <w:tcW w:w="2405" w:type="dxa"/>
          </w:tcPr>
          <w:p w14:paraId="41707A9D"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Farm size (acres)</w:t>
            </w:r>
          </w:p>
        </w:tc>
        <w:tc>
          <w:tcPr>
            <w:tcW w:w="1100" w:type="dxa"/>
            <w:shd w:val="clear" w:color="auto" w:fill="auto"/>
          </w:tcPr>
          <w:p w14:paraId="131CB93F"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7</w:t>
            </w:r>
          </w:p>
        </w:tc>
        <w:tc>
          <w:tcPr>
            <w:tcW w:w="810" w:type="dxa"/>
            <w:shd w:val="clear" w:color="auto" w:fill="auto"/>
          </w:tcPr>
          <w:p w14:paraId="4FFB620E"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875</w:t>
            </w:r>
          </w:p>
        </w:tc>
        <w:tc>
          <w:tcPr>
            <w:tcW w:w="720" w:type="dxa"/>
            <w:shd w:val="clear" w:color="auto" w:fill="auto"/>
          </w:tcPr>
          <w:p w14:paraId="79ED8774"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990" w:type="dxa"/>
            <w:shd w:val="clear" w:color="auto" w:fill="auto"/>
          </w:tcPr>
          <w:p w14:paraId="28725B36"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49</w:t>
            </w:r>
          </w:p>
        </w:tc>
        <w:tc>
          <w:tcPr>
            <w:tcW w:w="810" w:type="dxa"/>
            <w:shd w:val="clear" w:color="auto" w:fill="auto"/>
          </w:tcPr>
          <w:p w14:paraId="4621FA03"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21</w:t>
            </w:r>
          </w:p>
        </w:tc>
        <w:tc>
          <w:tcPr>
            <w:tcW w:w="900" w:type="dxa"/>
            <w:shd w:val="clear" w:color="auto" w:fill="auto"/>
          </w:tcPr>
          <w:p w14:paraId="2081254D"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1,000</w:t>
            </w:r>
          </w:p>
        </w:tc>
        <w:tc>
          <w:tcPr>
            <w:tcW w:w="720" w:type="dxa"/>
            <w:shd w:val="clear" w:color="auto" w:fill="auto"/>
          </w:tcPr>
          <w:p w14:paraId="1580B725"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1170" w:type="dxa"/>
            <w:shd w:val="clear" w:color="auto" w:fill="auto"/>
          </w:tcPr>
          <w:p w14:paraId="05FEB474"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116</w:t>
            </w:r>
          </w:p>
        </w:tc>
      </w:tr>
      <w:tr w:rsidR="00195A8B" w:rsidRPr="00195A8B" w14:paraId="2788F380" w14:textId="77777777" w:rsidTr="00CA33B8">
        <w:tc>
          <w:tcPr>
            <w:tcW w:w="2405" w:type="dxa"/>
          </w:tcPr>
          <w:p w14:paraId="7557D35D"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b/>
                <w:bCs/>
                <w:kern w:val="2"/>
                <w:lang w:val="en-GB" w:eastAsia="en-US"/>
              </w:rPr>
              <w:t>Categorical variable</w:t>
            </w:r>
          </w:p>
        </w:tc>
        <w:tc>
          <w:tcPr>
            <w:tcW w:w="1910" w:type="dxa"/>
            <w:gridSpan w:val="2"/>
          </w:tcPr>
          <w:p w14:paraId="45549663"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b/>
                <w:bCs/>
                <w:kern w:val="2"/>
                <w:lang w:val="en-GB" w:eastAsia="en-US"/>
              </w:rPr>
              <w:t>Freq.</w:t>
            </w:r>
          </w:p>
        </w:tc>
        <w:tc>
          <w:tcPr>
            <w:tcW w:w="1710" w:type="dxa"/>
            <w:gridSpan w:val="2"/>
          </w:tcPr>
          <w:p w14:paraId="591A3AB1"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b/>
                <w:bCs/>
                <w:kern w:val="2"/>
                <w:lang w:val="en-GB" w:eastAsia="en-US"/>
              </w:rPr>
              <w:t>%</w:t>
            </w:r>
          </w:p>
        </w:tc>
        <w:tc>
          <w:tcPr>
            <w:tcW w:w="1710" w:type="dxa"/>
            <w:gridSpan w:val="2"/>
          </w:tcPr>
          <w:p w14:paraId="5E4A7343"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b/>
                <w:bCs/>
                <w:kern w:val="2"/>
                <w:lang w:val="en-GB" w:eastAsia="en-US"/>
              </w:rPr>
              <w:t>Freq.</w:t>
            </w:r>
          </w:p>
        </w:tc>
        <w:tc>
          <w:tcPr>
            <w:tcW w:w="1890" w:type="dxa"/>
            <w:gridSpan w:val="2"/>
          </w:tcPr>
          <w:p w14:paraId="6934BECF"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b/>
                <w:bCs/>
                <w:kern w:val="2"/>
                <w:lang w:val="en-GB" w:eastAsia="en-US"/>
              </w:rPr>
              <w:t>%</w:t>
            </w:r>
          </w:p>
        </w:tc>
      </w:tr>
      <w:tr w:rsidR="00195A8B" w:rsidRPr="00195A8B" w14:paraId="28F498A0" w14:textId="77777777" w:rsidTr="00CA33B8">
        <w:tc>
          <w:tcPr>
            <w:tcW w:w="9625" w:type="dxa"/>
            <w:gridSpan w:val="9"/>
          </w:tcPr>
          <w:p w14:paraId="4BF24958"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b/>
                <w:bCs/>
                <w:kern w:val="2"/>
                <w:lang w:val="en-GB" w:eastAsia="en-US"/>
              </w:rPr>
              <w:t>Gender</w:t>
            </w:r>
          </w:p>
        </w:tc>
      </w:tr>
      <w:tr w:rsidR="00195A8B" w:rsidRPr="00195A8B" w14:paraId="00E67EB3" w14:textId="77777777" w:rsidTr="00CA33B8">
        <w:tc>
          <w:tcPr>
            <w:tcW w:w="2405" w:type="dxa"/>
          </w:tcPr>
          <w:p w14:paraId="4A8FFBEE"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Female</w:t>
            </w:r>
          </w:p>
        </w:tc>
        <w:tc>
          <w:tcPr>
            <w:tcW w:w="1910" w:type="dxa"/>
            <w:gridSpan w:val="2"/>
            <w:shd w:val="clear" w:color="auto" w:fill="auto"/>
          </w:tcPr>
          <w:p w14:paraId="10C0B015"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202</w:t>
            </w:r>
          </w:p>
        </w:tc>
        <w:tc>
          <w:tcPr>
            <w:tcW w:w="1710" w:type="dxa"/>
            <w:gridSpan w:val="2"/>
            <w:shd w:val="clear" w:color="auto" w:fill="auto"/>
          </w:tcPr>
          <w:p w14:paraId="4B2FC835"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66.7</w:t>
            </w:r>
          </w:p>
        </w:tc>
        <w:tc>
          <w:tcPr>
            <w:tcW w:w="1710" w:type="dxa"/>
            <w:gridSpan w:val="2"/>
            <w:shd w:val="clear" w:color="auto" w:fill="auto"/>
          </w:tcPr>
          <w:p w14:paraId="03206409"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101</w:t>
            </w:r>
          </w:p>
        </w:tc>
        <w:tc>
          <w:tcPr>
            <w:tcW w:w="1890" w:type="dxa"/>
            <w:gridSpan w:val="2"/>
            <w:shd w:val="clear" w:color="auto" w:fill="auto"/>
          </w:tcPr>
          <w:p w14:paraId="0CAA6B63"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33.3</w:t>
            </w:r>
          </w:p>
        </w:tc>
      </w:tr>
      <w:tr w:rsidR="00195A8B" w:rsidRPr="00195A8B" w14:paraId="7C5B4329" w14:textId="77777777" w:rsidTr="00CA33B8">
        <w:tc>
          <w:tcPr>
            <w:tcW w:w="2405" w:type="dxa"/>
          </w:tcPr>
          <w:p w14:paraId="2597594F"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Male</w:t>
            </w:r>
          </w:p>
        </w:tc>
        <w:tc>
          <w:tcPr>
            <w:tcW w:w="1910" w:type="dxa"/>
            <w:gridSpan w:val="2"/>
            <w:shd w:val="clear" w:color="auto" w:fill="auto"/>
          </w:tcPr>
          <w:p w14:paraId="3A49F070"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141</w:t>
            </w:r>
          </w:p>
        </w:tc>
        <w:tc>
          <w:tcPr>
            <w:tcW w:w="1710" w:type="dxa"/>
            <w:gridSpan w:val="2"/>
            <w:shd w:val="clear" w:color="auto" w:fill="auto"/>
          </w:tcPr>
          <w:p w14:paraId="4199D4BD"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73.4</w:t>
            </w:r>
          </w:p>
        </w:tc>
        <w:tc>
          <w:tcPr>
            <w:tcW w:w="1710" w:type="dxa"/>
            <w:gridSpan w:val="2"/>
            <w:shd w:val="clear" w:color="auto" w:fill="auto"/>
          </w:tcPr>
          <w:p w14:paraId="458322F0"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51</w:t>
            </w:r>
          </w:p>
        </w:tc>
        <w:tc>
          <w:tcPr>
            <w:tcW w:w="1890" w:type="dxa"/>
            <w:gridSpan w:val="2"/>
            <w:shd w:val="clear" w:color="auto" w:fill="auto"/>
          </w:tcPr>
          <w:p w14:paraId="52E02794"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26.6</w:t>
            </w:r>
          </w:p>
        </w:tc>
      </w:tr>
      <w:tr w:rsidR="00195A8B" w:rsidRPr="00195A8B" w14:paraId="7FEAA2E2" w14:textId="77777777" w:rsidTr="00CA33B8">
        <w:tc>
          <w:tcPr>
            <w:tcW w:w="2405" w:type="dxa"/>
          </w:tcPr>
          <w:p w14:paraId="542C7966"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Total</w:t>
            </w:r>
          </w:p>
        </w:tc>
        <w:tc>
          <w:tcPr>
            <w:tcW w:w="1910" w:type="dxa"/>
            <w:gridSpan w:val="2"/>
            <w:shd w:val="clear" w:color="auto" w:fill="auto"/>
          </w:tcPr>
          <w:p w14:paraId="493A217C"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343</w:t>
            </w:r>
          </w:p>
        </w:tc>
        <w:tc>
          <w:tcPr>
            <w:tcW w:w="1710" w:type="dxa"/>
            <w:gridSpan w:val="2"/>
            <w:shd w:val="clear" w:color="auto" w:fill="auto"/>
          </w:tcPr>
          <w:p w14:paraId="56236D4F"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69.3</w:t>
            </w:r>
          </w:p>
        </w:tc>
        <w:tc>
          <w:tcPr>
            <w:tcW w:w="1710" w:type="dxa"/>
            <w:gridSpan w:val="2"/>
            <w:shd w:val="clear" w:color="auto" w:fill="auto"/>
          </w:tcPr>
          <w:p w14:paraId="282552AE"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152</w:t>
            </w:r>
          </w:p>
        </w:tc>
        <w:tc>
          <w:tcPr>
            <w:tcW w:w="1890" w:type="dxa"/>
            <w:gridSpan w:val="2"/>
            <w:shd w:val="clear" w:color="auto" w:fill="auto"/>
          </w:tcPr>
          <w:p w14:paraId="3AE1B507"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30.7</w:t>
            </w:r>
          </w:p>
        </w:tc>
      </w:tr>
      <w:tr w:rsidR="00195A8B" w:rsidRPr="00195A8B" w14:paraId="76428187" w14:textId="77777777" w:rsidTr="00CA33B8">
        <w:tc>
          <w:tcPr>
            <w:tcW w:w="9625" w:type="dxa"/>
            <w:gridSpan w:val="9"/>
            <w:shd w:val="clear" w:color="auto" w:fill="auto"/>
          </w:tcPr>
          <w:p w14:paraId="6777B408" w14:textId="77777777" w:rsidR="00195A8B" w:rsidRPr="00195A8B" w:rsidRDefault="00195A8B" w:rsidP="00195A8B">
            <w:pPr>
              <w:spacing w:after="0" w:line="240" w:lineRule="auto"/>
              <w:rPr>
                <w:rFonts w:ascii="Times New Roman" w:eastAsia="Calibri" w:hAnsi="Times New Roman" w:cs="Times New Roman"/>
                <w:b/>
                <w:kern w:val="2"/>
                <w:lang w:eastAsia="en-US"/>
              </w:rPr>
            </w:pPr>
            <w:r w:rsidRPr="00195A8B">
              <w:rPr>
                <w:rFonts w:ascii="Times New Roman" w:eastAsia="Calibri" w:hAnsi="Times New Roman" w:cs="Times New Roman"/>
                <w:b/>
                <w:bCs/>
                <w:kern w:val="2"/>
                <w:lang w:val="en-GB" w:eastAsia="en-US"/>
              </w:rPr>
              <w:t>Age</w:t>
            </w:r>
          </w:p>
        </w:tc>
      </w:tr>
      <w:tr w:rsidR="00195A8B" w:rsidRPr="00195A8B" w14:paraId="3DDC5C83" w14:textId="77777777" w:rsidTr="00CA33B8">
        <w:tc>
          <w:tcPr>
            <w:tcW w:w="2405" w:type="dxa"/>
            <w:shd w:val="clear" w:color="auto" w:fill="auto"/>
          </w:tcPr>
          <w:p w14:paraId="70700416"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18-24 years</w:t>
            </w:r>
          </w:p>
        </w:tc>
        <w:tc>
          <w:tcPr>
            <w:tcW w:w="1910" w:type="dxa"/>
            <w:gridSpan w:val="2"/>
            <w:shd w:val="clear" w:color="auto" w:fill="auto"/>
          </w:tcPr>
          <w:p w14:paraId="1459BD80"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12</w:t>
            </w:r>
          </w:p>
        </w:tc>
        <w:tc>
          <w:tcPr>
            <w:tcW w:w="1710" w:type="dxa"/>
            <w:gridSpan w:val="2"/>
            <w:shd w:val="clear" w:color="auto" w:fill="auto"/>
          </w:tcPr>
          <w:p w14:paraId="51C79491"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85.7</w:t>
            </w:r>
          </w:p>
        </w:tc>
        <w:tc>
          <w:tcPr>
            <w:tcW w:w="1710" w:type="dxa"/>
            <w:gridSpan w:val="2"/>
            <w:shd w:val="clear" w:color="auto" w:fill="auto"/>
          </w:tcPr>
          <w:p w14:paraId="709B59F0"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2</w:t>
            </w:r>
          </w:p>
        </w:tc>
        <w:tc>
          <w:tcPr>
            <w:tcW w:w="1890" w:type="dxa"/>
            <w:gridSpan w:val="2"/>
            <w:shd w:val="clear" w:color="auto" w:fill="auto"/>
          </w:tcPr>
          <w:p w14:paraId="12D62F2C"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14.3</w:t>
            </w:r>
          </w:p>
        </w:tc>
      </w:tr>
      <w:tr w:rsidR="00195A8B" w:rsidRPr="00195A8B" w14:paraId="5E4A9DC0" w14:textId="77777777" w:rsidTr="00CA33B8">
        <w:tc>
          <w:tcPr>
            <w:tcW w:w="2405" w:type="dxa"/>
            <w:shd w:val="clear" w:color="auto" w:fill="auto"/>
          </w:tcPr>
          <w:p w14:paraId="49D5E9E7"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25-34 years</w:t>
            </w:r>
          </w:p>
        </w:tc>
        <w:tc>
          <w:tcPr>
            <w:tcW w:w="1910" w:type="dxa"/>
            <w:gridSpan w:val="2"/>
            <w:shd w:val="clear" w:color="auto" w:fill="auto"/>
          </w:tcPr>
          <w:p w14:paraId="2E7B145E"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117</w:t>
            </w:r>
          </w:p>
        </w:tc>
        <w:tc>
          <w:tcPr>
            <w:tcW w:w="1710" w:type="dxa"/>
            <w:gridSpan w:val="2"/>
            <w:shd w:val="clear" w:color="auto" w:fill="auto"/>
          </w:tcPr>
          <w:p w14:paraId="42C91EA2"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78.5</w:t>
            </w:r>
          </w:p>
        </w:tc>
        <w:tc>
          <w:tcPr>
            <w:tcW w:w="1710" w:type="dxa"/>
            <w:gridSpan w:val="2"/>
            <w:shd w:val="clear" w:color="auto" w:fill="auto"/>
          </w:tcPr>
          <w:p w14:paraId="38A90771"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32</w:t>
            </w:r>
          </w:p>
        </w:tc>
        <w:tc>
          <w:tcPr>
            <w:tcW w:w="1890" w:type="dxa"/>
            <w:gridSpan w:val="2"/>
            <w:shd w:val="clear" w:color="auto" w:fill="auto"/>
          </w:tcPr>
          <w:p w14:paraId="478F44AE"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21.5</w:t>
            </w:r>
          </w:p>
        </w:tc>
      </w:tr>
      <w:tr w:rsidR="00195A8B" w:rsidRPr="00195A8B" w14:paraId="55BA05D0" w14:textId="77777777" w:rsidTr="00CA33B8">
        <w:tc>
          <w:tcPr>
            <w:tcW w:w="2405" w:type="dxa"/>
            <w:shd w:val="clear" w:color="auto" w:fill="auto"/>
          </w:tcPr>
          <w:p w14:paraId="6F92C715"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35-44 years</w:t>
            </w:r>
          </w:p>
        </w:tc>
        <w:tc>
          <w:tcPr>
            <w:tcW w:w="1910" w:type="dxa"/>
            <w:gridSpan w:val="2"/>
            <w:shd w:val="clear" w:color="auto" w:fill="auto"/>
          </w:tcPr>
          <w:p w14:paraId="6CEC65E4"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83</w:t>
            </w:r>
          </w:p>
        </w:tc>
        <w:tc>
          <w:tcPr>
            <w:tcW w:w="1710" w:type="dxa"/>
            <w:gridSpan w:val="2"/>
            <w:shd w:val="clear" w:color="auto" w:fill="auto"/>
          </w:tcPr>
          <w:p w14:paraId="440DC002"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68.6</w:t>
            </w:r>
          </w:p>
        </w:tc>
        <w:tc>
          <w:tcPr>
            <w:tcW w:w="1710" w:type="dxa"/>
            <w:gridSpan w:val="2"/>
            <w:shd w:val="clear" w:color="auto" w:fill="auto"/>
          </w:tcPr>
          <w:p w14:paraId="5E8BE105"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38</w:t>
            </w:r>
          </w:p>
        </w:tc>
        <w:tc>
          <w:tcPr>
            <w:tcW w:w="1890" w:type="dxa"/>
            <w:gridSpan w:val="2"/>
            <w:shd w:val="clear" w:color="auto" w:fill="auto"/>
          </w:tcPr>
          <w:p w14:paraId="374463EB"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31.4</w:t>
            </w:r>
          </w:p>
        </w:tc>
      </w:tr>
      <w:tr w:rsidR="00195A8B" w:rsidRPr="00195A8B" w14:paraId="1B1FB094" w14:textId="77777777" w:rsidTr="00CA33B8">
        <w:tc>
          <w:tcPr>
            <w:tcW w:w="2405" w:type="dxa"/>
            <w:shd w:val="clear" w:color="auto" w:fill="auto"/>
          </w:tcPr>
          <w:p w14:paraId="5C7DD56D"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44-54 years</w:t>
            </w:r>
          </w:p>
        </w:tc>
        <w:tc>
          <w:tcPr>
            <w:tcW w:w="1910" w:type="dxa"/>
            <w:gridSpan w:val="2"/>
            <w:shd w:val="clear" w:color="auto" w:fill="auto"/>
          </w:tcPr>
          <w:p w14:paraId="6271A0C5"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72</w:t>
            </w:r>
          </w:p>
        </w:tc>
        <w:tc>
          <w:tcPr>
            <w:tcW w:w="1710" w:type="dxa"/>
            <w:gridSpan w:val="2"/>
            <w:shd w:val="clear" w:color="auto" w:fill="auto"/>
          </w:tcPr>
          <w:p w14:paraId="3C318E2B"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60.0</w:t>
            </w:r>
          </w:p>
        </w:tc>
        <w:tc>
          <w:tcPr>
            <w:tcW w:w="1710" w:type="dxa"/>
            <w:gridSpan w:val="2"/>
            <w:shd w:val="clear" w:color="auto" w:fill="auto"/>
          </w:tcPr>
          <w:p w14:paraId="5427D0FA"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48</w:t>
            </w:r>
          </w:p>
        </w:tc>
        <w:tc>
          <w:tcPr>
            <w:tcW w:w="1890" w:type="dxa"/>
            <w:gridSpan w:val="2"/>
            <w:shd w:val="clear" w:color="auto" w:fill="auto"/>
          </w:tcPr>
          <w:p w14:paraId="1688D9FE"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40.0</w:t>
            </w:r>
          </w:p>
        </w:tc>
      </w:tr>
      <w:tr w:rsidR="00195A8B" w:rsidRPr="00195A8B" w14:paraId="3D8BA41D" w14:textId="77777777" w:rsidTr="00CA33B8">
        <w:tc>
          <w:tcPr>
            <w:tcW w:w="2405" w:type="dxa"/>
            <w:shd w:val="clear" w:color="auto" w:fill="auto"/>
          </w:tcPr>
          <w:p w14:paraId="29C5E64C"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55-64 years</w:t>
            </w:r>
          </w:p>
        </w:tc>
        <w:tc>
          <w:tcPr>
            <w:tcW w:w="1910" w:type="dxa"/>
            <w:gridSpan w:val="2"/>
            <w:shd w:val="clear" w:color="auto" w:fill="auto"/>
          </w:tcPr>
          <w:p w14:paraId="2820C4DB"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35</w:t>
            </w:r>
          </w:p>
        </w:tc>
        <w:tc>
          <w:tcPr>
            <w:tcW w:w="1710" w:type="dxa"/>
            <w:gridSpan w:val="2"/>
            <w:shd w:val="clear" w:color="auto" w:fill="auto"/>
          </w:tcPr>
          <w:p w14:paraId="0C2CD7D5"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62.5</w:t>
            </w:r>
          </w:p>
        </w:tc>
        <w:tc>
          <w:tcPr>
            <w:tcW w:w="1710" w:type="dxa"/>
            <w:gridSpan w:val="2"/>
            <w:shd w:val="clear" w:color="auto" w:fill="auto"/>
          </w:tcPr>
          <w:p w14:paraId="2F60CACA"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21</w:t>
            </w:r>
          </w:p>
        </w:tc>
        <w:tc>
          <w:tcPr>
            <w:tcW w:w="1890" w:type="dxa"/>
            <w:gridSpan w:val="2"/>
            <w:shd w:val="clear" w:color="auto" w:fill="auto"/>
          </w:tcPr>
          <w:p w14:paraId="2F507B01"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37.5</w:t>
            </w:r>
          </w:p>
        </w:tc>
      </w:tr>
      <w:tr w:rsidR="00195A8B" w:rsidRPr="00195A8B" w14:paraId="7AD64D76" w14:textId="77777777" w:rsidTr="00CA33B8">
        <w:tc>
          <w:tcPr>
            <w:tcW w:w="2405" w:type="dxa"/>
            <w:shd w:val="clear" w:color="auto" w:fill="auto"/>
          </w:tcPr>
          <w:p w14:paraId="3123C2B4"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65 ≤</w:t>
            </w:r>
          </w:p>
        </w:tc>
        <w:tc>
          <w:tcPr>
            <w:tcW w:w="1910" w:type="dxa"/>
            <w:gridSpan w:val="2"/>
            <w:shd w:val="clear" w:color="auto" w:fill="auto"/>
          </w:tcPr>
          <w:p w14:paraId="43F148E2"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22</w:t>
            </w:r>
          </w:p>
        </w:tc>
        <w:tc>
          <w:tcPr>
            <w:tcW w:w="1710" w:type="dxa"/>
            <w:gridSpan w:val="2"/>
            <w:shd w:val="clear" w:color="auto" w:fill="auto"/>
          </w:tcPr>
          <w:p w14:paraId="1A85E99C"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71.0</w:t>
            </w:r>
          </w:p>
        </w:tc>
        <w:tc>
          <w:tcPr>
            <w:tcW w:w="1710" w:type="dxa"/>
            <w:gridSpan w:val="2"/>
            <w:shd w:val="clear" w:color="auto" w:fill="auto"/>
          </w:tcPr>
          <w:p w14:paraId="1E5FC18B"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9</w:t>
            </w:r>
          </w:p>
        </w:tc>
        <w:tc>
          <w:tcPr>
            <w:tcW w:w="1890" w:type="dxa"/>
            <w:gridSpan w:val="2"/>
            <w:shd w:val="clear" w:color="auto" w:fill="auto"/>
          </w:tcPr>
          <w:p w14:paraId="5A90A9FE"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29.0</w:t>
            </w:r>
          </w:p>
        </w:tc>
      </w:tr>
      <w:tr w:rsidR="00195A8B" w:rsidRPr="00195A8B" w14:paraId="6D53AE8C" w14:textId="77777777" w:rsidTr="00CA33B8">
        <w:tc>
          <w:tcPr>
            <w:tcW w:w="2405" w:type="dxa"/>
            <w:shd w:val="clear" w:color="auto" w:fill="auto"/>
          </w:tcPr>
          <w:p w14:paraId="0A66A00E" w14:textId="77777777" w:rsidR="00195A8B" w:rsidRPr="00195A8B" w:rsidRDefault="00195A8B" w:rsidP="00195A8B">
            <w:pPr>
              <w:spacing w:after="0" w:line="240" w:lineRule="auto"/>
              <w:rPr>
                <w:rFonts w:ascii="Times New Roman" w:eastAsia="Calibri" w:hAnsi="Times New Roman" w:cs="Times New Roman"/>
                <w:kern w:val="2"/>
                <w:lang w:eastAsia="en-US"/>
              </w:rPr>
            </w:pPr>
            <w:r w:rsidRPr="00195A8B">
              <w:rPr>
                <w:rFonts w:ascii="Times New Roman" w:eastAsia="Calibri" w:hAnsi="Times New Roman" w:cs="Times New Roman"/>
                <w:kern w:val="2"/>
                <w:lang w:eastAsia="en-US"/>
              </w:rPr>
              <w:t>Not Stated</w:t>
            </w:r>
          </w:p>
        </w:tc>
        <w:tc>
          <w:tcPr>
            <w:tcW w:w="1910" w:type="dxa"/>
            <w:gridSpan w:val="2"/>
            <w:shd w:val="clear" w:color="auto" w:fill="auto"/>
          </w:tcPr>
          <w:p w14:paraId="1E16FA0D" w14:textId="77777777" w:rsidR="00195A8B" w:rsidRPr="00195A8B" w:rsidRDefault="00195A8B" w:rsidP="00195A8B">
            <w:pPr>
              <w:spacing w:after="0" w:line="240" w:lineRule="auto"/>
              <w:rPr>
                <w:rFonts w:ascii="Times New Roman" w:eastAsia="Calibri" w:hAnsi="Times New Roman" w:cs="Times New Roman"/>
                <w:kern w:val="2"/>
                <w:lang w:eastAsia="en-US"/>
              </w:rPr>
            </w:pPr>
            <w:r w:rsidRPr="00195A8B">
              <w:rPr>
                <w:rFonts w:ascii="Times New Roman" w:eastAsia="Calibri" w:hAnsi="Times New Roman" w:cs="Times New Roman"/>
                <w:kern w:val="2"/>
                <w:lang w:eastAsia="en-US"/>
              </w:rPr>
              <w:t>2</w:t>
            </w:r>
          </w:p>
        </w:tc>
        <w:tc>
          <w:tcPr>
            <w:tcW w:w="1710" w:type="dxa"/>
            <w:gridSpan w:val="2"/>
            <w:shd w:val="clear" w:color="auto" w:fill="auto"/>
          </w:tcPr>
          <w:p w14:paraId="72838AB4" w14:textId="77777777" w:rsidR="00195A8B" w:rsidRPr="00195A8B" w:rsidRDefault="00195A8B" w:rsidP="00195A8B">
            <w:pPr>
              <w:spacing w:after="0" w:line="240" w:lineRule="auto"/>
              <w:rPr>
                <w:rFonts w:ascii="Times New Roman" w:eastAsia="Calibri" w:hAnsi="Times New Roman" w:cs="Times New Roman"/>
                <w:kern w:val="2"/>
                <w:lang w:eastAsia="en-US"/>
              </w:rPr>
            </w:pPr>
            <w:r w:rsidRPr="00195A8B">
              <w:rPr>
                <w:rFonts w:ascii="Times New Roman" w:eastAsia="Calibri" w:hAnsi="Times New Roman" w:cs="Times New Roman"/>
                <w:kern w:val="2"/>
                <w:lang w:eastAsia="en-US"/>
              </w:rPr>
              <w:t>50.0</w:t>
            </w:r>
          </w:p>
        </w:tc>
        <w:tc>
          <w:tcPr>
            <w:tcW w:w="1710" w:type="dxa"/>
            <w:gridSpan w:val="2"/>
            <w:shd w:val="clear" w:color="auto" w:fill="auto"/>
          </w:tcPr>
          <w:p w14:paraId="3B6D0E42" w14:textId="77777777" w:rsidR="00195A8B" w:rsidRPr="00195A8B" w:rsidRDefault="00195A8B" w:rsidP="00195A8B">
            <w:pPr>
              <w:spacing w:after="0" w:line="240" w:lineRule="auto"/>
              <w:rPr>
                <w:rFonts w:ascii="Times New Roman" w:eastAsia="Calibri" w:hAnsi="Times New Roman" w:cs="Times New Roman"/>
                <w:kern w:val="2"/>
                <w:lang w:eastAsia="en-US"/>
              </w:rPr>
            </w:pPr>
            <w:r w:rsidRPr="00195A8B">
              <w:rPr>
                <w:rFonts w:ascii="Times New Roman" w:eastAsia="Calibri" w:hAnsi="Times New Roman" w:cs="Times New Roman"/>
                <w:kern w:val="2"/>
                <w:lang w:eastAsia="en-US"/>
              </w:rPr>
              <w:t>2</w:t>
            </w:r>
          </w:p>
        </w:tc>
        <w:tc>
          <w:tcPr>
            <w:tcW w:w="1890" w:type="dxa"/>
            <w:gridSpan w:val="2"/>
            <w:shd w:val="clear" w:color="auto" w:fill="auto"/>
          </w:tcPr>
          <w:p w14:paraId="61C8BEFC" w14:textId="77777777" w:rsidR="00195A8B" w:rsidRPr="00195A8B" w:rsidRDefault="00195A8B" w:rsidP="00195A8B">
            <w:pPr>
              <w:spacing w:after="0" w:line="240" w:lineRule="auto"/>
              <w:rPr>
                <w:rFonts w:ascii="Times New Roman" w:eastAsia="Calibri" w:hAnsi="Times New Roman" w:cs="Times New Roman"/>
                <w:kern w:val="2"/>
                <w:lang w:eastAsia="en-US"/>
              </w:rPr>
            </w:pPr>
            <w:r w:rsidRPr="00195A8B">
              <w:rPr>
                <w:rFonts w:ascii="Times New Roman" w:eastAsia="Calibri" w:hAnsi="Times New Roman" w:cs="Times New Roman"/>
                <w:kern w:val="2"/>
                <w:lang w:eastAsia="en-US"/>
              </w:rPr>
              <w:t>50.0</w:t>
            </w:r>
          </w:p>
        </w:tc>
      </w:tr>
      <w:tr w:rsidR="00195A8B" w:rsidRPr="00195A8B" w14:paraId="1A6EEF15" w14:textId="77777777" w:rsidTr="00CA33B8">
        <w:tc>
          <w:tcPr>
            <w:tcW w:w="2405" w:type="dxa"/>
          </w:tcPr>
          <w:p w14:paraId="3E5C2B5E"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Total</w:t>
            </w:r>
          </w:p>
        </w:tc>
        <w:tc>
          <w:tcPr>
            <w:tcW w:w="1910" w:type="dxa"/>
            <w:gridSpan w:val="2"/>
          </w:tcPr>
          <w:p w14:paraId="70F88E63"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710" w:type="dxa"/>
            <w:gridSpan w:val="2"/>
            <w:shd w:val="clear" w:color="auto" w:fill="auto"/>
            <w:vAlign w:val="bottom"/>
          </w:tcPr>
          <w:p w14:paraId="0A7B529F"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100.0</w:t>
            </w:r>
          </w:p>
        </w:tc>
        <w:tc>
          <w:tcPr>
            <w:tcW w:w="1710" w:type="dxa"/>
            <w:gridSpan w:val="2"/>
            <w:shd w:val="clear" w:color="auto" w:fill="auto"/>
          </w:tcPr>
          <w:p w14:paraId="381D4B8B"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890" w:type="dxa"/>
            <w:gridSpan w:val="2"/>
            <w:shd w:val="clear" w:color="auto" w:fill="auto"/>
            <w:vAlign w:val="center"/>
          </w:tcPr>
          <w:p w14:paraId="56E7ECA9"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100</w:t>
            </w:r>
          </w:p>
        </w:tc>
      </w:tr>
      <w:tr w:rsidR="00195A8B" w:rsidRPr="00195A8B" w14:paraId="42533C75" w14:textId="77777777" w:rsidTr="00CA33B8">
        <w:tc>
          <w:tcPr>
            <w:tcW w:w="9625" w:type="dxa"/>
            <w:gridSpan w:val="9"/>
            <w:shd w:val="clear" w:color="auto" w:fill="auto"/>
          </w:tcPr>
          <w:p w14:paraId="2CD6AA62" w14:textId="77777777" w:rsidR="00195A8B" w:rsidRPr="00195A8B" w:rsidRDefault="00195A8B" w:rsidP="00195A8B">
            <w:pPr>
              <w:spacing w:after="0" w:line="240" w:lineRule="auto"/>
              <w:rPr>
                <w:rFonts w:ascii="Times New Roman" w:eastAsia="Calibri" w:hAnsi="Times New Roman" w:cs="Times New Roman"/>
                <w:b/>
                <w:kern w:val="2"/>
                <w:lang w:eastAsia="en-US"/>
              </w:rPr>
            </w:pPr>
            <w:r w:rsidRPr="00195A8B">
              <w:rPr>
                <w:rFonts w:ascii="Times New Roman" w:eastAsia="Calibri" w:hAnsi="Times New Roman" w:cs="Times New Roman"/>
                <w:b/>
                <w:bCs/>
                <w:kern w:val="2"/>
                <w:lang w:val="en-GB" w:eastAsia="en-US"/>
              </w:rPr>
              <w:t>Education level</w:t>
            </w:r>
          </w:p>
        </w:tc>
      </w:tr>
      <w:tr w:rsidR="00195A8B" w:rsidRPr="00195A8B" w14:paraId="68C01763" w14:textId="77777777" w:rsidTr="00CA33B8">
        <w:tc>
          <w:tcPr>
            <w:tcW w:w="2405" w:type="dxa"/>
          </w:tcPr>
          <w:p w14:paraId="0E431997"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b/>
                <w:bCs/>
                <w:kern w:val="2"/>
                <w:lang w:val="en-GB" w:eastAsia="en-US"/>
              </w:rPr>
              <w:t>No formal Education</w:t>
            </w:r>
          </w:p>
        </w:tc>
        <w:tc>
          <w:tcPr>
            <w:tcW w:w="1910" w:type="dxa"/>
            <w:gridSpan w:val="2"/>
            <w:shd w:val="clear" w:color="auto" w:fill="auto"/>
            <w:vAlign w:val="bottom"/>
          </w:tcPr>
          <w:p w14:paraId="3F397B77"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710" w:type="dxa"/>
            <w:gridSpan w:val="2"/>
            <w:shd w:val="clear" w:color="auto" w:fill="auto"/>
            <w:vAlign w:val="bottom"/>
          </w:tcPr>
          <w:p w14:paraId="1B425442"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710" w:type="dxa"/>
            <w:gridSpan w:val="2"/>
            <w:shd w:val="clear" w:color="auto" w:fill="auto"/>
            <w:vAlign w:val="bottom"/>
          </w:tcPr>
          <w:p w14:paraId="5AA71B27"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890" w:type="dxa"/>
            <w:gridSpan w:val="2"/>
            <w:shd w:val="clear" w:color="auto" w:fill="auto"/>
            <w:vAlign w:val="bottom"/>
          </w:tcPr>
          <w:p w14:paraId="57C98354"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r>
      <w:tr w:rsidR="00195A8B" w:rsidRPr="00195A8B" w14:paraId="2630310F" w14:textId="77777777" w:rsidTr="00CA33B8">
        <w:tc>
          <w:tcPr>
            <w:tcW w:w="2405" w:type="dxa"/>
          </w:tcPr>
          <w:p w14:paraId="2C4E240E"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Women</w:t>
            </w:r>
          </w:p>
        </w:tc>
        <w:tc>
          <w:tcPr>
            <w:tcW w:w="1910" w:type="dxa"/>
            <w:gridSpan w:val="2"/>
            <w:shd w:val="clear" w:color="auto" w:fill="auto"/>
            <w:vAlign w:val="bottom"/>
          </w:tcPr>
          <w:p w14:paraId="4CCA06ED"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5</w:t>
            </w:r>
          </w:p>
        </w:tc>
        <w:tc>
          <w:tcPr>
            <w:tcW w:w="1710" w:type="dxa"/>
            <w:gridSpan w:val="2"/>
            <w:shd w:val="clear" w:color="auto" w:fill="auto"/>
            <w:vAlign w:val="bottom"/>
          </w:tcPr>
          <w:p w14:paraId="7D7883C4"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71.4</w:t>
            </w:r>
          </w:p>
        </w:tc>
        <w:tc>
          <w:tcPr>
            <w:tcW w:w="1710" w:type="dxa"/>
            <w:gridSpan w:val="2"/>
            <w:shd w:val="clear" w:color="auto" w:fill="auto"/>
            <w:vAlign w:val="bottom"/>
          </w:tcPr>
          <w:p w14:paraId="1363F5F5"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2</w:t>
            </w:r>
          </w:p>
        </w:tc>
        <w:tc>
          <w:tcPr>
            <w:tcW w:w="1890" w:type="dxa"/>
            <w:gridSpan w:val="2"/>
            <w:shd w:val="clear" w:color="auto" w:fill="auto"/>
            <w:vAlign w:val="bottom"/>
          </w:tcPr>
          <w:p w14:paraId="7CDF864D"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28.6</w:t>
            </w:r>
          </w:p>
        </w:tc>
      </w:tr>
      <w:tr w:rsidR="00195A8B" w:rsidRPr="00195A8B" w14:paraId="72DAC5F7" w14:textId="77777777" w:rsidTr="00CA33B8">
        <w:tc>
          <w:tcPr>
            <w:tcW w:w="2405" w:type="dxa"/>
          </w:tcPr>
          <w:p w14:paraId="21D6D44F"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Youth</w:t>
            </w:r>
          </w:p>
        </w:tc>
        <w:tc>
          <w:tcPr>
            <w:tcW w:w="1910" w:type="dxa"/>
            <w:gridSpan w:val="2"/>
            <w:shd w:val="clear" w:color="auto" w:fill="auto"/>
            <w:vAlign w:val="bottom"/>
          </w:tcPr>
          <w:p w14:paraId="499B9598"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w:t>
            </w:r>
          </w:p>
        </w:tc>
        <w:tc>
          <w:tcPr>
            <w:tcW w:w="1710" w:type="dxa"/>
            <w:gridSpan w:val="2"/>
            <w:shd w:val="clear" w:color="auto" w:fill="auto"/>
            <w:vAlign w:val="bottom"/>
          </w:tcPr>
          <w:p w14:paraId="70C6B937"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100.0</w:t>
            </w:r>
          </w:p>
        </w:tc>
        <w:tc>
          <w:tcPr>
            <w:tcW w:w="1710" w:type="dxa"/>
            <w:gridSpan w:val="2"/>
            <w:shd w:val="clear" w:color="auto" w:fill="auto"/>
            <w:vAlign w:val="bottom"/>
          </w:tcPr>
          <w:p w14:paraId="12BC5A62"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1890" w:type="dxa"/>
            <w:gridSpan w:val="2"/>
            <w:shd w:val="clear" w:color="auto" w:fill="auto"/>
            <w:vAlign w:val="bottom"/>
          </w:tcPr>
          <w:p w14:paraId="5EE42E8D"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0</w:t>
            </w:r>
          </w:p>
        </w:tc>
      </w:tr>
      <w:tr w:rsidR="00195A8B" w:rsidRPr="00195A8B" w14:paraId="7A999544" w14:textId="77777777" w:rsidTr="00CA33B8">
        <w:tc>
          <w:tcPr>
            <w:tcW w:w="2405" w:type="dxa"/>
          </w:tcPr>
          <w:p w14:paraId="4DE98067"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PWD</w:t>
            </w:r>
          </w:p>
        </w:tc>
        <w:tc>
          <w:tcPr>
            <w:tcW w:w="1910" w:type="dxa"/>
            <w:gridSpan w:val="2"/>
            <w:shd w:val="clear" w:color="auto" w:fill="auto"/>
            <w:vAlign w:val="bottom"/>
          </w:tcPr>
          <w:p w14:paraId="11EFCA02"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1710" w:type="dxa"/>
            <w:gridSpan w:val="2"/>
            <w:shd w:val="clear" w:color="auto" w:fill="auto"/>
            <w:vAlign w:val="bottom"/>
          </w:tcPr>
          <w:p w14:paraId="3725795B"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1710" w:type="dxa"/>
            <w:gridSpan w:val="2"/>
            <w:shd w:val="clear" w:color="auto" w:fill="auto"/>
            <w:vAlign w:val="bottom"/>
          </w:tcPr>
          <w:p w14:paraId="33AD6E9A"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w:t>
            </w:r>
          </w:p>
        </w:tc>
        <w:tc>
          <w:tcPr>
            <w:tcW w:w="1890" w:type="dxa"/>
            <w:gridSpan w:val="2"/>
            <w:shd w:val="clear" w:color="auto" w:fill="auto"/>
            <w:vAlign w:val="bottom"/>
          </w:tcPr>
          <w:p w14:paraId="1F78DBEB"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100</w:t>
            </w:r>
          </w:p>
        </w:tc>
      </w:tr>
      <w:tr w:rsidR="00195A8B" w:rsidRPr="00195A8B" w14:paraId="0C8A06FE" w14:textId="77777777" w:rsidTr="00CA33B8">
        <w:tc>
          <w:tcPr>
            <w:tcW w:w="2405" w:type="dxa"/>
          </w:tcPr>
          <w:p w14:paraId="71005C2B"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
                <w:bCs/>
                <w:kern w:val="2"/>
                <w:lang w:val="en-GB" w:eastAsia="en-US"/>
              </w:rPr>
              <w:t>Incomplete Primary</w:t>
            </w:r>
          </w:p>
        </w:tc>
        <w:tc>
          <w:tcPr>
            <w:tcW w:w="1910" w:type="dxa"/>
            <w:gridSpan w:val="2"/>
            <w:shd w:val="clear" w:color="auto" w:fill="auto"/>
            <w:vAlign w:val="bottom"/>
          </w:tcPr>
          <w:p w14:paraId="35DCD13D"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710" w:type="dxa"/>
            <w:gridSpan w:val="2"/>
            <w:shd w:val="clear" w:color="auto" w:fill="auto"/>
            <w:vAlign w:val="bottom"/>
          </w:tcPr>
          <w:p w14:paraId="7353CF20"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710" w:type="dxa"/>
            <w:gridSpan w:val="2"/>
            <w:shd w:val="clear" w:color="auto" w:fill="auto"/>
            <w:vAlign w:val="bottom"/>
          </w:tcPr>
          <w:p w14:paraId="713DE0C7"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890" w:type="dxa"/>
            <w:gridSpan w:val="2"/>
            <w:shd w:val="clear" w:color="auto" w:fill="auto"/>
            <w:vAlign w:val="bottom"/>
          </w:tcPr>
          <w:p w14:paraId="6DE530B2"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r>
      <w:tr w:rsidR="00195A8B" w:rsidRPr="00195A8B" w14:paraId="68D54FBA" w14:textId="77777777" w:rsidTr="00CA33B8">
        <w:tc>
          <w:tcPr>
            <w:tcW w:w="2405" w:type="dxa"/>
          </w:tcPr>
          <w:p w14:paraId="263AE829"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Women</w:t>
            </w:r>
          </w:p>
        </w:tc>
        <w:tc>
          <w:tcPr>
            <w:tcW w:w="1910" w:type="dxa"/>
            <w:gridSpan w:val="2"/>
            <w:shd w:val="clear" w:color="auto" w:fill="auto"/>
            <w:vAlign w:val="bottom"/>
          </w:tcPr>
          <w:p w14:paraId="3CE934FA"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10</w:t>
            </w:r>
          </w:p>
        </w:tc>
        <w:tc>
          <w:tcPr>
            <w:tcW w:w="1710" w:type="dxa"/>
            <w:gridSpan w:val="2"/>
            <w:shd w:val="clear" w:color="auto" w:fill="auto"/>
            <w:vAlign w:val="bottom"/>
          </w:tcPr>
          <w:p w14:paraId="59A22A9E"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100.0</w:t>
            </w:r>
          </w:p>
        </w:tc>
        <w:tc>
          <w:tcPr>
            <w:tcW w:w="1710" w:type="dxa"/>
            <w:gridSpan w:val="2"/>
            <w:shd w:val="clear" w:color="auto" w:fill="auto"/>
            <w:vAlign w:val="bottom"/>
          </w:tcPr>
          <w:p w14:paraId="3D49DA66"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p>
        </w:tc>
        <w:tc>
          <w:tcPr>
            <w:tcW w:w="1890" w:type="dxa"/>
            <w:gridSpan w:val="2"/>
            <w:shd w:val="clear" w:color="auto" w:fill="auto"/>
            <w:vAlign w:val="bottom"/>
          </w:tcPr>
          <w:p w14:paraId="554C3D37"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r>
      <w:tr w:rsidR="00195A8B" w:rsidRPr="00195A8B" w14:paraId="5F8C5B7D" w14:textId="77777777" w:rsidTr="00CA33B8">
        <w:tc>
          <w:tcPr>
            <w:tcW w:w="2405" w:type="dxa"/>
          </w:tcPr>
          <w:p w14:paraId="5A609039"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Youth</w:t>
            </w:r>
          </w:p>
        </w:tc>
        <w:tc>
          <w:tcPr>
            <w:tcW w:w="1910" w:type="dxa"/>
            <w:gridSpan w:val="2"/>
            <w:shd w:val="clear" w:color="auto" w:fill="auto"/>
            <w:vAlign w:val="bottom"/>
          </w:tcPr>
          <w:p w14:paraId="4589CC00"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2</w:t>
            </w:r>
          </w:p>
        </w:tc>
        <w:tc>
          <w:tcPr>
            <w:tcW w:w="1710" w:type="dxa"/>
            <w:gridSpan w:val="2"/>
            <w:shd w:val="clear" w:color="auto" w:fill="auto"/>
            <w:vAlign w:val="bottom"/>
          </w:tcPr>
          <w:p w14:paraId="5263E80D"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66.7</w:t>
            </w:r>
          </w:p>
        </w:tc>
        <w:tc>
          <w:tcPr>
            <w:tcW w:w="1710" w:type="dxa"/>
            <w:gridSpan w:val="2"/>
            <w:shd w:val="clear" w:color="auto" w:fill="auto"/>
            <w:vAlign w:val="bottom"/>
          </w:tcPr>
          <w:p w14:paraId="5DCA2292"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w:t>
            </w:r>
          </w:p>
        </w:tc>
        <w:tc>
          <w:tcPr>
            <w:tcW w:w="1890" w:type="dxa"/>
            <w:gridSpan w:val="2"/>
            <w:shd w:val="clear" w:color="auto" w:fill="auto"/>
            <w:vAlign w:val="bottom"/>
          </w:tcPr>
          <w:p w14:paraId="2E9D31CD"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33.3</w:t>
            </w:r>
          </w:p>
        </w:tc>
      </w:tr>
      <w:tr w:rsidR="00195A8B" w:rsidRPr="00195A8B" w14:paraId="4D670F2E" w14:textId="77777777" w:rsidTr="00CA33B8">
        <w:tc>
          <w:tcPr>
            <w:tcW w:w="2405" w:type="dxa"/>
          </w:tcPr>
          <w:p w14:paraId="269EB855"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PWD</w:t>
            </w:r>
          </w:p>
        </w:tc>
        <w:tc>
          <w:tcPr>
            <w:tcW w:w="1910" w:type="dxa"/>
            <w:gridSpan w:val="2"/>
            <w:shd w:val="clear" w:color="auto" w:fill="auto"/>
            <w:vAlign w:val="bottom"/>
          </w:tcPr>
          <w:p w14:paraId="32125A44"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0.0</w:t>
            </w:r>
          </w:p>
        </w:tc>
        <w:tc>
          <w:tcPr>
            <w:tcW w:w="1710" w:type="dxa"/>
            <w:gridSpan w:val="2"/>
            <w:shd w:val="clear" w:color="auto" w:fill="auto"/>
            <w:vAlign w:val="bottom"/>
          </w:tcPr>
          <w:p w14:paraId="051D9DD3"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1710" w:type="dxa"/>
            <w:gridSpan w:val="2"/>
            <w:shd w:val="clear" w:color="auto" w:fill="auto"/>
            <w:vAlign w:val="bottom"/>
          </w:tcPr>
          <w:p w14:paraId="5C3C6731"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2</w:t>
            </w:r>
          </w:p>
        </w:tc>
        <w:tc>
          <w:tcPr>
            <w:tcW w:w="1890" w:type="dxa"/>
            <w:gridSpan w:val="2"/>
            <w:shd w:val="clear" w:color="auto" w:fill="auto"/>
            <w:vAlign w:val="bottom"/>
          </w:tcPr>
          <w:p w14:paraId="144F9DD7"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100</w:t>
            </w:r>
          </w:p>
        </w:tc>
      </w:tr>
      <w:tr w:rsidR="00195A8B" w:rsidRPr="00195A8B" w14:paraId="4B12BB64" w14:textId="77777777" w:rsidTr="00CA33B8">
        <w:tc>
          <w:tcPr>
            <w:tcW w:w="2405" w:type="dxa"/>
          </w:tcPr>
          <w:p w14:paraId="05BE3BE5"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roofErr w:type="spellStart"/>
            <w:r w:rsidRPr="00195A8B">
              <w:rPr>
                <w:rFonts w:ascii="Times New Roman" w:eastAsia="Calibri" w:hAnsi="Times New Roman" w:cs="Times New Roman"/>
                <w:b/>
                <w:bCs/>
                <w:kern w:val="2"/>
                <w:lang w:val="en-GB" w:eastAsia="en-US"/>
              </w:rPr>
              <w:t>Primar</w:t>
            </w:r>
            <w:proofErr w:type="spellEnd"/>
          </w:p>
        </w:tc>
        <w:tc>
          <w:tcPr>
            <w:tcW w:w="1910" w:type="dxa"/>
            <w:gridSpan w:val="2"/>
            <w:shd w:val="clear" w:color="auto" w:fill="auto"/>
            <w:vAlign w:val="bottom"/>
          </w:tcPr>
          <w:p w14:paraId="6E0C6E0C"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710" w:type="dxa"/>
            <w:gridSpan w:val="2"/>
            <w:shd w:val="clear" w:color="auto" w:fill="auto"/>
            <w:vAlign w:val="bottom"/>
          </w:tcPr>
          <w:p w14:paraId="6DE6A27D"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710" w:type="dxa"/>
            <w:gridSpan w:val="2"/>
            <w:shd w:val="clear" w:color="auto" w:fill="auto"/>
            <w:vAlign w:val="bottom"/>
          </w:tcPr>
          <w:p w14:paraId="43F49769"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890" w:type="dxa"/>
            <w:gridSpan w:val="2"/>
            <w:shd w:val="clear" w:color="auto" w:fill="auto"/>
            <w:vAlign w:val="bottom"/>
          </w:tcPr>
          <w:p w14:paraId="196176AE"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r>
      <w:tr w:rsidR="00195A8B" w:rsidRPr="00195A8B" w14:paraId="23738C3C" w14:textId="77777777" w:rsidTr="00CA33B8">
        <w:tc>
          <w:tcPr>
            <w:tcW w:w="2405" w:type="dxa"/>
          </w:tcPr>
          <w:p w14:paraId="28ABBE6D"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Women</w:t>
            </w:r>
          </w:p>
        </w:tc>
        <w:tc>
          <w:tcPr>
            <w:tcW w:w="1910" w:type="dxa"/>
            <w:gridSpan w:val="2"/>
            <w:shd w:val="clear" w:color="auto" w:fill="auto"/>
            <w:vAlign w:val="bottom"/>
          </w:tcPr>
          <w:p w14:paraId="5FB51FEE"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78</w:t>
            </w:r>
          </w:p>
        </w:tc>
        <w:tc>
          <w:tcPr>
            <w:tcW w:w="1710" w:type="dxa"/>
            <w:gridSpan w:val="2"/>
            <w:shd w:val="clear" w:color="auto" w:fill="auto"/>
            <w:vAlign w:val="bottom"/>
          </w:tcPr>
          <w:p w14:paraId="4296E07A"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64.5</w:t>
            </w:r>
          </w:p>
        </w:tc>
        <w:tc>
          <w:tcPr>
            <w:tcW w:w="1710" w:type="dxa"/>
            <w:gridSpan w:val="2"/>
            <w:shd w:val="clear" w:color="auto" w:fill="auto"/>
            <w:vAlign w:val="bottom"/>
          </w:tcPr>
          <w:p w14:paraId="312E7B31"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43</w:t>
            </w:r>
          </w:p>
        </w:tc>
        <w:tc>
          <w:tcPr>
            <w:tcW w:w="1890" w:type="dxa"/>
            <w:gridSpan w:val="2"/>
            <w:shd w:val="clear" w:color="auto" w:fill="auto"/>
            <w:vAlign w:val="bottom"/>
          </w:tcPr>
          <w:p w14:paraId="5F38DC98"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35.5</w:t>
            </w:r>
          </w:p>
        </w:tc>
      </w:tr>
      <w:tr w:rsidR="00195A8B" w:rsidRPr="00195A8B" w14:paraId="779EBD02" w14:textId="77777777" w:rsidTr="00CA33B8">
        <w:tc>
          <w:tcPr>
            <w:tcW w:w="2405" w:type="dxa"/>
          </w:tcPr>
          <w:p w14:paraId="22D7AB8C"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Youth</w:t>
            </w:r>
          </w:p>
        </w:tc>
        <w:tc>
          <w:tcPr>
            <w:tcW w:w="1910" w:type="dxa"/>
            <w:gridSpan w:val="2"/>
            <w:shd w:val="clear" w:color="auto" w:fill="auto"/>
            <w:vAlign w:val="bottom"/>
          </w:tcPr>
          <w:p w14:paraId="46DCD3DB"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30</w:t>
            </w:r>
          </w:p>
        </w:tc>
        <w:tc>
          <w:tcPr>
            <w:tcW w:w="1710" w:type="dxa"/>
            <w:gridSpan w:val="2"/>
            <w:shd w:val="clear" w:color="auto" w:fill="auto"/>
            <w:vAlign w:val="bottom"/>
          </w:tcPr>
          <w:p w14:paraId="20B842AA"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71.4</w:t>
            </w:r>
          </w:p>
        </w:tc>
        <w:tc>
          <w:tcPr>
            <w:tcW w:w="1710" w:type="dxa"/>
            <w:gridSpan w:val="2"/>
            <w:shd w:val="clear" w:color="auto" w:fill="auto"/>
            <w:vAlign w:val="bottom"/>
          </w:tcPr>
          <w:p w14:paraId="57E23FE2"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12</w:t>
            </w:r>
          </w:p>
        </w:tc>
        <w:tc>
          <w:tcPr>
            <w:tcW w:w="1890" w:type="dxa"/>
            <w:gridSpan w:val="2"/>
            <w:shd w:val="clear" w:color="auto" w:fill="auto"/>
            <w:vAlign w:val="bottom"/>
          </w:tcPr>
          <w:p w14:paraId="1DB9AFEC"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28.6</w:t>
            </w:r>
          </w:p>
        </w:tc>
      </w:tr>
      <w:tr w:rsidR="00195A8B" w:rsidRPr="00195A8B" w14:paraId="42403C03" w14:textId="77777777" w:rsidTr="00CA33B8">
        <w:tc>
          <w:tcPr>
            <w:tcW w:w="2405" w:type="dxa"/>
          </w:tcPr>
          <w:p w14:paraId="1FC5F27C"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PWD</w:t>
            </w:r>
          </w:p>
        </w:tc>
        <w:tc>
          <w:tcPr>
            <w:tcW w:w="1910" w:type="dxa"/>
            <w:gridSpan w:val="2"/>
            <w:shd w:val="clear" w:color="auto" w:fill="auto"/>
            <w:vAlign w:val="bottom"/>
          </w:tcPr>
          <w:p w14:paraId="07F44329"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1710" w:type="dxa"/>
            <w:gridSpan w:val="2"/>
            <w:shd w:val="clear" w:color="auto" w:fill="auto"/>
            <w:vAlign w:val="bottom"/>
          </w:tcPr>
          <w:p w14:paraId="40C133A4"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0.0</w:t>
            </w:r>
          </w:p>
        </w:tc>
        <w:tc>
          <w:tcPr>
            <w:tcW w:w="1710" w:type="dxa"/>
            <w:gridSpan w:val="2"/>
            <w:shd w:val="clear" w:color="auto" w:fill="auto"/>
            <w:vAlign w:val="bottom"/>
          </w:tcPr>
          <w:p w14:paraId="4EE6F9D0"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7</w:t>
            </w:r>
          </w:p>
        </w:tc>
        <w:tc>
          <w:tcPr>
            <w:tcW w:w="1890" w:type="dxa"/>
            <w:gridSpan w:val="2"/>
            <w:shd w:val="clear" w:color="auto" w:fill="auto"/>
            <w:vAlign w:val="bottom"/>
          </w:tcPr>
          <w:p w14:paraId="0E0A753C"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100.0</w:t>
            </w:r>
          </w:p>
        </w:tc>
      </w:tr>
      <w:tr w:rsidR="00195A8B" w:rsidRPr="00195A8B" w14:paraId="33D86529" w14:textId="77777777" w:rsidTr="00CA33B8">
        <w:tc>
          <w:tcPr>
            <w:tcW w:w="2405" w:type="dxa"/>
          </w:tcPr>
          <w:p w14:paraId="354B284A"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b/>
                <w:bCs/>
                <w:kern w:val="2"/>
                <w:lang w:val="en-GB" w:eastAsia="en-US"/>
              </w:rPr>
              <w:t>Incomplete Secondary</w:t>
            </w:r>
          </w:p>
        </w:tc>
        <w:tc>
          <w:tcPr>
            <w:tcW w:w="1910" w:type="dxa"/>
            <w:gridSpan w:val="2"/>
            <w:shd w:val="clear" w:color="auto" w:fill="auto"/>
            <w:vAlign w:val="bottom"/>
          </w:tcPr>
          <w:p w14:paraId="1F5579A0"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710" w:type="dxa"/>
            <w:gridSpan w:val="2"/>
            <w:shd w:val="clear" w:color="auto" w:fill="auto"/>
            <w:vAlign w:val="bottom"/>
          </w:tcPr>
          <w:p w14:paraId="2D27A154"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710" w:type="dxa"/>
            <w:gridSpan w:val="2"/>
            <w:shd w:val="clear" w:color="auto" w:fill="auto"/>
            <w:vAlign w:val="bottom"/>
          </w:tcPr>
          <w:p w14:paraId="6464E1D0"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890" w:type="dxa"/>
            <w:gridSpan w:val="2"/>
            <w:shd w:val="clear" w:color="auto" w:fill="auto"/>
            <w:vAlign w:val="bottom"/>
          </w:tcPr>
          <w:p w14:paraId="0D37E1A6"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r>
      <w:tr w:rsidR="00195A8B" w:rsidRPr="00195A8B" w14:paraId="1B8995CB" w14:textId="77777777" w:rsidTr="00CA33B8">
        <w:tc>
          <w:tcPr>
            <w:tcW w:w="2405" w:type="dxa"/>
          </w:tcPr>
          <w:p w14:paraId="0FADB728"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Women</w:t>
            </w:r>
          </w:p>
        </w:tc>
        <w:tc>
          <w:tcPr>
            <w:tcW w:w="1910" w:type="dxa"/>
            <w:gridSpan w:val="2"/>
            <w:shd w:val="clear" w:color="auto" w:fill="auto"/>
            <w:vAlign w:val="bottom"/>
          </w:tcPr>
          <w:p w14:paraId="1658242B"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w:t>
            </w:r>
          </w:p>
        </w:tc>
        <w:tc>
          <w:tcPr>
            <w:tcW w:w="1710" w:type="dxa"/>
            <w:gridSpan w:val="2"/>
            <w:shd w:val="clear" w:color="auto" w:fill="auto"/>
            <w:vAlign w:val="bottom"/>
          </w:tcPr>
          <w:p w14:paraId="4E7046A9"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20.0</w:t>
            </w:r>
          </w:p>
        </w:tc>
        <w:tc>
          <w:tcPr>
            <w:tcW w:w="1710" w:type="dxa"/>
            <w:gridSpan w:val="2"/>
            <w:shd w:val="clear" w:color="auto" w:fill="auto"/>
            <w:vAlign w:val="bottom"/>
          </w:tcPr>
          <w:p w14:paraId="44538E59"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4</w:t>
            </w:r>
          </w:p>
        </w:tc>
        <w:tc>
          <w:tcPr>
            <w:tcW w:w="1890" w:type="dxa"/>
            <w:gridSpan w:val="2"/>
            <w:shd w:val="clear" w:color="auto" w:fill="auto"/>
            <w:vAlign w:val="bottom"/>
          </w:tcPr>
          <w:p w14:paraId="5488B4B6"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80.0</w:t>
            </w:r>
          </w:p>
        </w:tc>
      </w:tr>
      <w:tr w:rsidR="00195A8B" w:rsidRPr="00195A8B" w14:paraId="4F0B9FEE" w14:textId="77777777" w:rsidTr="00CA33B8">
        <w:tc>
          <w:tcPr>
            <w:tcW w:w="2405" w:type="dxa"/>
          </w:tcPr>
          <w:p w14:paraId="084440E6"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Youth</w:t>
            </w:r>
          </w:p>
        </w:tc>
        <w:tc>
          <w:tcPr>
            <w:tcW w:w="1910" w:type="dxa"/>
            <w:gridSpan w:val="2"/>
            <w:shd w:val="clear" w:color="auto" w:fill="auto"/>
            <w:vAlign w:val="bottom"/>
          </w:tcPr>
          <w:p w14:paraId="3D7A7B37"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3</w:t>
            </w:r>
          </w:p>
        </w:tc>
        <w:tc>
          <w:tcPr>
            <w:tcW w:w="1710" w:type="dxa"/>
            <w:gridSpan w:val="2"/>
            <w:shd w:val="clear" w:color="auto" w:fill="auto"/>
            <w:vAlign w:val="bottom"/>
          </w:tcPr>
          <w:p w14:paraId="1ED5C7A5"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75.0</w:t>
            </w:r>
          </w:p>
        </w:tc>
        <w:tc>
          <w:tcPr>
            <w:tcW w:w="1710" w:type="dxa"/>
            <w:gridSpan w:val="2"/>
            <w:shd w:val="clear" w:color="auto" w:fill="auto"/>
            <w:vAlign w:val="bottom"/>
          </w:tcPr>
          <w:p w14:paraId="0A58D68B"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w:t>
            </w:r>
          </w:p>
        </w:tc>
        <w:tc>
          <w:tcPr>
            <w:tcW w:w="1890" w:type="dxa"/>
            <w:gridSpan w:val="2"/>
            <w:shd w:val="clear" w:color="auto" w:fill="auto"/>
            <w:vAlign w:val="bottom"/>
          </w:tcPr>
          <w:p w14:paraId="0D2B3E8F"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25.0</w:t>
            </w:r>
          </w:p>
        </w:tc>
      </w:tr>
      <w:tr w:rsidR="00195A8B" w:rsidRPr="00195A8B" w14:paraId="1F84E272" w14:textId="77777777" w:rsidTr="00CA33B8">
        <w:tc>
          <w:tcPr>
            <w:tcW w:w="2405" w:type="dxa"/>
          </w:tcPr>
          <w:p w14:paraId="0C035F35"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PWD</w:t>
            </w:r>
          </w:p>
        </w:tc>
        <w:tc>
          <w:tcPr>
            <w:tcW w:w="1910" w:type="dxa"/>
            <w:gridSpan w:val="2"/>
            <w:shd w:val="clear" w:color="auto" w:fill="auto"/>
            <w:vAlign w:val="bottom"/>
          </w:tcPr>
          <w:p w14:paraId="78681D63"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1710" w:type="dxa"/>
            <w:gridSpan w:val="2"/>
            <w:shd w:val="clear" w:color="auto" w:fill="auto"/>
            <w:vAlign w:val="bottom"/>
          </w:tcPr>
          <w:p w14:paraId="4D3C5474"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0.0</w:t>
            </w:r>
          </w:p>
        </w:tc>
        <w:tc>
          <w:tcPr>
            <w:tcW w:w="1710" w:type="dxa"/>
            <w:gridSpan w:val="2"/>
            <w:shd w:val="clear" w:color="auto" w:fill="auto"/>
            <w:vAlign w:val="bottom"/>
          </w:tcPr>
          <w:p w14:paraId="1E80B8CA"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1890" w:type="dxa"/>
            <w:gridSpan w:val="2"/>
            <w:shd w:val="clear" w:color="auto" w:fill="auto"/>
            <w:vAlign w:val="bottom"/>
          </w:tcPr>
          <w:p w14:paraId="4B3DDE45"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0.0</w:t>
            </w:r>
          </w:p>
        </w:tc>
      </w:tr>
      <w:tr w:rsidR="00195A8B" w:rsidRPr="00195A8B" w14:paraId="3F6C1CB0" w14:textId="77777777" w:rsidTr="00CA33B8">
        <w:tc>
          <w:tcPr>
            <w:tcW w:w="2405" w:type="dxa"/>
          </w:tcPr>
          <w:p w14:paraId="47F00009"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b/>
                <w:bCs/>
                <w:kern w:val="2"/>
                <w:lang w:val="en-GB" w:eastAsia="en-US"/>
              </w:rPr>
              <w:t>Secondary Education</w:t>
            </w:r>
          </w:p>
        </w:tc>
        <w:tc>
          <w:tcPr>
            <w:tcW w:w="1910" w:type="dxa"/>
            <w:gridSpan w:val="2"/>
            <w:shd w:val="clear" w:color="auto" w:fill="auto"/>
            <w:vAlign w:val="bottom"/>
          </w:tcPr>
          <w:p w14:paraId="5D3E4431"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710" w:type="dxa"/>
            <w:gridSpan w:val="2"/>
            <w:shd w:val="clear" w:color="auto" w:fill="auto"/>
            <w:vAlign w:val="bottom"/>
          </w:tcPr>
          <w:p w14:paraId="38CAED5C"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710" w:type="dxa"/>
            <w:gridSpan w:val="2"/>
            <w:shd w:val="clear" w:color="auto" w:fill="auto"/>
            <w:vAlign w:val="bottom"/>
          </w:tcPr>
          <w:p w14:paraId="5C00A8EE"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890" w:type="dxa"/>
            <w:gridSpan w:val="2"/>
            <w:shd w:val="clear" w:color="auto" w:fill="auto"/>
            <w:vAlign w:val="bottom"/>
          </w:tcPr>
          <w:p w14:paraId="205D8961"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r>
      <w:tr w:rsidR="00195A8B" w:rsidRPr="00195A8B" w14:paraId="6C051AB8" w14:textId="77777777" w:rsidTr="00CA33B8">
        <w:tc>
          <w:tcPr>
            <w:tcW w:w="2405" w:type="dxa"/>
          </w:tcPr>
          <w:p w14:paraId="31956C99"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Women</w:t>
            </w:r>
          </w:p>
        </w:tc>
        <w:tc>
          <w:tcPr>
            <w:tcW w:w="1910" w:type="dxa"/>
            <w:gridSpan w:val="2"/>
            <w:shd w:val="clear" w:color="auto" w:fill="auto"/>
            <w:vAlign w:val="bottom"/>
          </w:tcPr>
          <w:p w14:paraId="4C73E932"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29</w:t>
            </w:r>
          </w:p>
        </w:tc>
        <w:tc>
          <w:tcPr>
            <w:tcW w:w="1710" w:type="dxa"/>
            <w:gridSpan w:val="2"/>
            <w:shd w:val="clear" w:color="auto" w:fill="auto"/>
            <w:vAlign w:val="bottom"/>
          </w:tcPr>
          <w:p w14:paraId="15C6052C"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70.7</w:t>
            </w:r>
          </w:p>
        </w:tc>
        <w:tc>
          <w:tcPr>
            <w:tcW w:w="1710" w:type="dxa"/>
            <w:gridSpan w:val="2"/>
            <w:shd w:val="clear" w:color="auto" w:fill="auto"/>
            <w:vAlign w:val="bottom"/>
          </w:tcPr>
          <w:p w14:paraId="68C132F0"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12</w:t>
            </w:r>
          </w:p>
        </w:tc>
        <w:tc>
          <w:tcPr>
            <w:tcW w:w="1890" w:type="dxa"/>
            <w:gridSpan w:val="2"/>
            <w:shd w:val="clear" w:color="auto" w:fill="auto"/>
            <w:vAlign w:val="bottom"/>
          </w:tcPr>
          <w:p w14:paraId="56CC05BD"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29.3</w:t>
            </w:r>
          </w:p>
        </w:tc>
      </w:tr>
      <w:tr w:rsidR="00195A8B" w:rsidRPr="00195A8B" w14:paraId="57F159C4" w14:textId="77777777" w:rsidTr="00CA33B8">
        <w:tc>
          <w:tcPr>
            <w:tcW w:w="2405" w:type="dxa"/>
          </w:tcPr>
          <w:p w14:paraId="1ADEF6BD"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Youth</w:t>
            </w:r>
          </w:p>
        </w:tc>
        <w:tc>
          <w:tcPr>
            <w:tcW w:w="1910" w:type="dxa"/>
            <w:gridSpan w:val="2"/>
            <w:shd w:val="clear" w:color="auto" w:fill="auto"/>
            <w:vAlign w:val="bottom"/>
          </w:tcPr>
          <w:p w14:paraId="76AC67BB"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21</w:t>
            </w:r>
          </w:p>
        </w:tc>
        <w:tc>
          <w:tcPr>
            <w:tcW w:w="1710" w:type="dxa"/>
            <w:gridSpan w:val="2"/>
            <w:shd w:val="clear" w:color="auto" w:fill="auto"/>
            <w:vAlign w:val="bottom"/>
          </w:tcPr>
          <w:p w14:paraId="4F145E2E"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77.8</w:t>
            </w:r>
          </w:p>
        </w:tc>
        <w:tc>
          <w:tcPr>
            <w:tcW w:w="1710" w:type="dxa"/>
            <w:gridSpan w:val="2"/>
            <w:shd w:val="clear" w:color="auto" w:fill="auto"/>
            <w:vAlign w:val="bottom"/>
          </w:tcPr>
          <w:p w14:paraId="5B6DDE41"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6</w:t>
            </w:r>
          </w:p>
        </w:tc>
        <w:tc>
          <w:tcPr>
            <w:tcW w:w="1890" w:type="dxa"/>
            <w:gridSpan w:val="2"/>
            <w:shd w:val="clear" w:color="auto" w:fill="auto"/>
            <w:vAlign w:val="bottom"/>
          </w:tcPr>
          <w:p w14:paraId="20F451C3"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22.2</w:t>
            </w:r>
          </w:p>
        </w:tc>
      </w:tr>
      <w:tr w:rsidR="00195A8B" w:rsidRPr="00195A8B" w14:paraId="30881215" w14:textId="77777777" w:rsidTr="00CA33B8">
        <w:tc>
          <w:tcPr>
            <w:tcW w:w="2405" w:type="dxa"/>
          </w:tcPr>
          <w:p w14:paraId="610D8952"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PWD</w:t>
            </w:r>
          </w:p>
        </w:tc>
        <w:tc>
          <w:tcPr>
            <w:tcW w:w="1910" w:type="dxa"/>
            <w:gridSpan w:val="2"/>
            <w:shd w:val="clear" w:color="auto" w:fill="auto"/>
            <w:vAlign w:val="bottom"/>
          </w:tcPr>
          <w:p w14:paraId="5F59F5D0"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w:t>
            </w:r>
          </w:p>
        </w:tc>
        <w:tc>
          <w:tcPr>
            <w:tcW w:w="1710" w:type="dxa"/>
            <w:gridSpan w:val="2"/>
            <w:shd w:val="clear" w:color="auto" w:fill="auto"/>
            <w:vAlign w:val="bottom"/>
          </w:tcPr>
          <w:p w14:paraId="19382367"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25.0</w:t>
            </w:r>
          </w:p>
        </w:tc>
        <w:tc>
          <w:tcPr>
            <w:tcW w:w="1710" w:type="dxa"/>
            <w:gridSpan w:val="2"/>
            <w:shd w:val="clear" w:color="auto" w:fill="auto"/>
            <w:vAlign w:val="bottom"/>
          </w:tcPr>
          <w:p w14:paraId="19B2DD0B"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3</w:t>
            </w:r>
          </w:p>
        </w:tc>
        <w:tc>
          <w:tcPr>
            <w:tcW w:w="1890" w:type="dxa"/>
            <w:gridSpan w:val="2"/>
            <w:shd w:val="clear" w:color="auto" w:fill="auto"/>
            <w:vAlign w:val="bottom"/>
          </w:tcPr>
          <w:p w14:paraId="7DD6B26E"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75.0</w:t>
            </w:r>
          </w:p>
        </w:tc>
      </w:tr>
      <w:tr w:rsidR="00195A8B" w:rsidRPr="00195A8B" w14:paraId="49389C44" w14:textId="77777777" w:rsidTr="00CA33B8">
        <w:tc>
          <w:tcPr>
            <w:tcW w:w="2405" w:type="dxa"/>
          </w:tcPr>
          <w:p w14:paraId="6F2A8DA9"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b/>
                <w:bCs/>
                <w:kern w:val="2"/>
                <w:lang w:val="en-GB" w:eastAsia="en-US"/>
              </w:rPr>
              <w:t>Incomplete advance level</w:t>
            </w:r>
          </w:p>
        </w:tc>
        <w:tc>
          <w:tcPr>
            <w:tcW w:w="1910" w:type="dxa"/>
            <w:gridSpan w:val="2"/>
            <w:shd w:val="clear" w:color="auto" w:fill="auto"/>
            <w:vAlign w:val="bottom"/>
          </w:tcPr>
          <w:p w14:paraId="4E898B06"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p>
        </w:tc>
        <w:tc>
          <w:tcPr>
            <w:tcW w:w="1710" w:type="dxa"/>
            <w:gridSpan w:val="2"/>
            <w:shd w:val="clear" w:color="auto" w:fill="auto"/>
            <w:vAlign w:val="bottom"/>
          </w:tcPr>
          <w:p w14:paraId="0DA73E1F" w14:textId="77777777" w:rsidR="00195A8B" w:rsidRPr="00195A8B" w:rsidRDefault="00195A8B" w:rsidP="00195A8B">
            <w:pPr>
              <w:spacing w:after="0" w:line="240" w:lineRule="auto"/>
              <w:rPr>
                <w:rFonts w:ascii="Times New Roman" w:eastAsia="Calibri" w:hAnsi="Times New Roman" w:cs="Times New Roman"/>
                <w:kern w:val="2"/>
                <w:lang w:eastAsia="en-US"/>
              </w:rPr>
            </w:pPr>
          </w:p>
        </w:tc>
        <w:tc>
          <w:tcPr>
            <w:tcW w:w="1710" w:type="dxa"/>
            <w:gridSpan w:val="2"/>
            <w:shd w:val="clear" w:color="auto" w:fill="auto"/>
            <w:vAlign w:val="bottom"/>
          </w:tcPr>
          <w:p w14:paraId="6406F60A"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p>
        </w:tc>
        <w:tc>
          <w:tcPr>
            <w:tcW w:w="1890" w:type="dxa"/>
            <w:gridSpan w:val="2"/>
            <w:shd w:val="clear" w:color="auto" w:fill="auto"/>
            <w:vAlign w:val="bottom"/>
          </w:tcPr>
          <w:p w14:paraId="7A19C21C" w14:textId="77777777" w:rsidR="00195A8B" w:rsidRPr="00195A8B" w:rsidRDefault="00195A8B" w:rsidP="00195A8B">
            <w:pPr>
              <w:spacing w:after="0" w:line="240" w:lineRule="auto"/>
              <w:rPr>
                <w:rFonts w:ascii="Times New Roman" w:eastAsia="Calibri" w:hAnsi="Times New Roman" w:cs="Times New Roman"/>
                <w:kern w:val="2"/>
                <w:lang w:eastAsia="en-US"/>
              </w:rPr>
            </w:pPr>
          </w:p>
        </w:tc>
      </w:tr>
      <w:tr w:rsidR="00195A8B" w:rsidRPr="00195A8B" w14:paraId="0DDC7C6A" w14:textId="77777777" w:rsidTr="00CA33B8">
        <w:tc>
          <w:tcPr>
            <w:tcW w:w="2405" w:type="dxa"/>
          </w:tcPr>
          <w:p w14:paraId="1BCFAC5B"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Women</w:t>
            </w:r>
          </w:p>
        </w:tc>
        <w:tc>
          <w:tcPr>
            <w:tcW w:w="1910" w:type="dxa"/>
            <w:gridSpan w:val="2"/>
            <w:shd w:val="clear" w:color="auto" w:fill="auto"/>
            <w:vAlign w:val="bottom"/>
          </w:tcPr>
          <w:p w14:paraId="0913D5C3"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1710" w:type="dxa"/>
            <w:gridSpan w:val="2"/>
            <w:shd w:val="clear" w:color="auto" w:fill="auto"/>
            <w:vAlign w:val="bottom"/>
          </w:tcPr>
          <w:p w14:paraId="58FC3DE1" w14:textId="77777777" w:rsidR="00195A8B" w:rsidRPr="00195A8B" w:rsidRDefault="00195A8B" w:rsidP="00195A8B">
            <w:pPr>
              <w:spacing w:after="0" w:line="240" w:lineRule="auto"/>
              <w:rPr>
                <w:rFonts w:ascii="Times New Roman" w:eastAsia="Calibri" w:hAnsi="Times New Roman" w:cs="Times New Roman"/>
                <w:kern w:val="2"/>
                <w:lang w:eastAsia="en-US"/>
              </w:rPr>
            </w:pPr>
            <w:r w:rsidRPr="00195A8B">
              <w:rPr>
                <w:rFonts w:ascii="Times New Roman" w:eastAsia="Calibri" w:hAnsi="Times New Roman" w:cs="Times New Roman"/>
                <w:kern w:val="2"/>
                <w:lang w:eastAsia="en-US"/>
              </w:rPr>
              <w:t>0.0</w:t>
            </w:r>
          </w:p>
        </w:tc>
        <w:tc>
          <w:tcPr>
            <w:tcW w:w="1710" w:type="dxa"/>
            <w:gridSpan w:val="2"/>
            <w:shd w:val="clear" w:color="auto" w:fill="auto"/>
            <w:vAlign w:val="bottom"/>
          </w:tcPr>
          <w:p w14:paraId="5FDEC8BD"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1890" w:type="dxa"/>
            <w:gridSpan w:val="2"/>
            <w:shd w:val="clear" w:color="auto" w:fill="auto"/>
            <w:vAlign w:val="bottom"/>
          </w:tcPr>
          <w:p w14:paraId="00C7D900" w14:textId="77777777" w:rsidR="00195A8B" w:rsidRPr="00195A8B" w:rsidRDefault="00195A8B" w:rsidP="00195A8B">
            <w:pPr>
              <w:spacing w:after="0" w:line="240" w:lineRule="auto"/>
              <w:rPr>
                <w:rFonts w:ascii="Times New Roman" w:eastAsia="Calibri" w:hAnsi="Times New Roman" w:cs="Times New Roman"/>
                <w:kern w:val="2"/>
                <w:lang w:eastAsia="en-US"/>
              </w:rPr>
            </w:pPr>
            <w:r w:rsidRPr="00195A8B">
              <w:rPr>
                <w:rFonts w:ascii="Times New Roman" w:eastAsia="Calibri" w:hAnsi="Times New Roman" w:cs="Times New Roman"/>
                <w:kern w:val="2"/>
                <w:lang w:eastAsia="en-US"/>
              </w:rPr>
              <w:t>0.0</w:t>
            </w:r>
          </w:p>
        </w:tc>
      </w:tr>
      <w:tr w:rsidR="00195A8B" w:rsidRPr="00195A8B" w14:paraId="245F9E55" w14:textId="77777777" w:rsidTr="00CA33B8">
        <w:tc>
          <w:tcPr>
            <w:tcW w:w="2405" w:type="dxa"/>
          </w:tcPr>
          <w:p w14:paraId="5E9DB6D0"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Youth</w:t>
            </w:r>
          </w:p>
        </w:tc>
        <w:tc>
          <w:tcPr>
            <w:tcW w:w="1910" w:type="dxa"/>
            <w:gridSpan w:val="2"/>
            <w:shd w:val="clear" w:color="auto" w:fill="auto"/>
            <w:vAlign w:val="bottom"/>
          </w:tcPr>
          <w:p w14:paraId="637B39C4"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3</w:t>
            </w:r>
          </w:p>
        </w:tc>
        <w:tc>
          <w:tcPr>
            <w:tcW w:w="1710" w:type="dxa"/>
            <w:gridSpan w:val="2"/>
            <w:shd w:val="clear" w:color="auto" w:fill="auto"/>
            <w:vAlign w:val="bottom"/>
          </w:tcPr>
          <w:p w14:paraId="09640174" w14:textId="77777777" w:rsidR="00195A8B" w:rsidRPr="00195A8B" w:rsidRDefault="00195A8B" w:rsidP="00195A8B">
            <w:pPr>
              <w:spacing w:after="0" w:line="240" w:lineRule="auto"/>
              <w:rPr>
                <w:rFonts w:ascii="Times New Roman" w:eastAsia="Calibri" w:hAnsi="Times New Roman" w:cs="Times New Roman"/>
                <w:kern w:val="2"/>
                <w:lang w:eastAsia="en-US"/>
              </w:rPr>
            </w:pPr>
            <w:r w:rsidRPr="00195A8B">
              <w:rPr>
                <w:rFonts w:ascii="Times New Roman" w:eastAsia="Calibri" w:hAnsi="Times New Roman" w:cs="Times New Roman"/>
                <w:kern w:val="2"/>
                <w:lang w:eastAsia="en-US"/>
              </w:rPr>
              <w:t>75.0</w:t>
            </w:r>
          </w:p>
        </w:tc>
        <w:tc>
          <w:tcPr>
            <w:tcW w:w="1710" w:type="dxa"/>
            <w:gridSpan w:val="2"/>
            <w:shd w:val="clear" w:color="auto" w:fill="auto"/>
            <w:vAlign w:val="bottom"/>
          </w:tcPr>
          <w:p w14:paraId="5C986C2C"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w:t>
            </w:r>
          </w:p>
        </w:tc>
        <w:tc>
          <w:tcPr>
            <w:tcW w:w="1890" w:type="dxa"/>
            <w:gridSpan w:val="2"/>
            <w:shd w:val="clear" w:color="auto" w:fill="auto"/>
            <w:vAlign w:val="bottom"/>
          </w:tcPr>
          <w:p w14:paraId="5E7AB431" w14:textId="77777777" w:rsidR="00195A8B" w:rsidRPr="00195A8B" w:rsidRDefault="00195A8B" w:rsidP="00195A8B">
            <w:pPr>
              <w:spacing w:after="0" w:line="240" w:lineRule="auto"/>
              <w:rPr>
                <w:rFonts w:ascii="Times New Roman" w:eastAsia="Calibri" w:hAnsi="Times New Roman" w:cs="Times New Roman"/>
                <w:kern w:val="2"/>
                <w:lang w:eastAsia="en-US"/>
              </w:rPr>
            </w:pPr>
            <w:r w:rsidRPr="00195A8B">
              <w:rPr>
                <w:rFonts w:ascii="Times New Roman" w:eastAsia="Calibri" w:hAnsi="Times New Roman" w:cs="Times New Roman"/>
                <w:kern w:val="2"/>
                <w:lang w:eastAsia="en-US"/>
              </w:rPr>
              <w:t>25.0</w:t>
            </w:r>
          </w:p>
        </w:tc>
      </w:tr>
      <w:tr w:rsidR="00195A8B" w:rsidRPr="00195A8B" w14:paraId="54C9F39C" w14:textId="77777777" w:rsidTr="00CA33B8">
        <w:tc>
          <w:tcPr>
            <w:tcW w:w="2405" w:type="dxa"/>
          </w:tcPr>
          <w:p w14:paraId="0349F741"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PWD</w:t>
            </w:r>
          </w:p>
        </w:tc>
        <w:tc>
          <w:tcPr>
            <w:tcW w:w="1910" w:type="dxa"/>
            <w:gridSpan w:val="2"/>
            <w:shd w:val="clear" w:color="auto" w:fill="auto"/>
            <w:vAlign w:val="bottom"/>
          </w:tcPr>
          <w:p w14:paraId="479F19F5"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1710" w:type="dxa"/>
            <w:gridSpan w:val="2"/>
            <w:shd w:val="clear" w:color="auto" w:fill="auto"/>
            <w:vAlign w:val="bottom"/>
          </w:tcPr>
          <w:p w14:paraId="3DB39F54" w14:textId="77777777" w:rsidR="00195A8B" w:rsidRPr="00195A8B" w:rsidRDefault="00195A8B" w:rsidP="00195A8B">
            <w:pPr>
              <w:spacing w:after="0" w:line="240" w:lineRule="auto"/>
              <w:rPr>
                <w:rFonts w:ascii="Times New Roman" w:eastAsia="Calibri" w:hAnsi="Times New Roman" w:cs="Times New Roman"/>
                <w:kern w:val="2"/>
                <w:lang w:eastAsia="en-US"/>
              </w:rPr>
            </w:pPr>
            <w:r w:rsidRPr="00195A8B">
              <w:rPr>
                <w:rFonts w:ascii="Times New Roman" w:eastAsia="Calibri" w:hAnsi="Times New Roman" w:cs="Times New Roman"/>
                <w:kern w:val="2"/>
                <w:lang w:eastAsia="en-US"/>
              </w:rPr>
              <w:t>0.0</w:t>
            </w:r>
          </w:p>
        </w:tc>
        <w:tc>
          <w:tcPr>
            <w:tcW w:w="1710" w:type="dxa"/>
            <w:gridSpan w:val="2"/>
            <w:shd w:val="clear" w:color="auto" w:fill="auto"/>
            <w:vAlign w:val="bottom"/>
          </w:tcPr>
          <w:p w14:paraId="2EF42365"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1890" w:type="dxa"/>
            <w:gridSpan w:val="2"/>
            <w:shd w:val="clear" w:color="auto" w:fill="auto"/>
            <w:vAlign w:val="bottom"/>
          </w:tcPr>
          <w:p w14:paraId="66FEB746" w14:textId="77777777" w:rsidR="00195A8B" w:rsidRPr="00195A8B" w:rsidRDefault="00195A8B" w:rsidP="00195A8B">
            <w:pPr>
              <w:spacing w:after="0" w:line="240" w:lineRule="auto"/>
              <w:rPr>
                <w:rFonts w:ascii="Times New Roman" w:eastAsia="Calibri" w:hAnsi="Times New Roman" w:cs="Times New Roman"/>
                <w:kern w:val="2"/>
                <w:lang w:eastAsia="en-US"/>
              </w:rPr>
            </w:pPr>
            <w:r w:rsidRPr="00195A8B">
              <w:rPr>
                <w:rFonts w:ascii="Times New Roman" w:eastAsia="Calibri" w:hAnsi="Times New Roman" w:cs="Times New Roman"/>
                <w:kern w:val="2"/>
                <w:lang w:eastAsia="en-US"/>
              </w:rPr>
              <w:t>0.0</w:t>
            </w:r>
          </w:p>
        </w:tc>
      </w:tr>
      <w:tr w:rsidR="00195A8B" w:rsidRPr="00195A8B" w14:paraId="1B4BA5CB" w14:textId="77777777" w:rsidTr="00CA33B8">
        <w:tc>
          <w:tcPr>
            <w:tcW w:w="2405" w:type="dxa"/>
          </w:tcPr>
          <w:p w14:paraId="62939930"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b/>
                <w:bCs/>
                <w:kern w:val="2"/>
                <w:lang w:val="en-GB" w:eastAsia="en-US"/>
              </w:rPr>
              <w:t xml:space="preserve">Advanced Level </w:t>
            </w:r>
          </w:p>
        </w:tc>
        <w:tc>
          <w:tcPr>
            <w:tcW w:w="1910" w:type="dxa"/>
            <w:gridSpan w:val="2"/>
            <w:shd w:val="clear" w:color="auto" w:fill="auto"/>
            <w:vAlign w:val="bottom"/>
          </w:tcPr>
          <w:p w14:paraId="5368A765"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710" w:type="dxa"/>
            <w:gridSpan w:val="2"/>
            <w:shd w:val="clear" w:color="auto" w:fill="auto"/>
            <w:vAlign w:val="bottom"/>
          </w:tcPr>
          <w:p w14:paraId="70EAA92D"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710" w:type="dxa"/>
            <w:gridSpan w:val="2"/>
            <w:shd w:val="clear" w:color="auto" w:fill="auto"/>
            <w:vAlign w:val="bottom"/>
          </w:tcPr>
          <w:p w14:paraId="75691B3B"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890" w:type="dxa"/>
            <w:gridSpan w:val="2"/>
            <w:shd w:val="clear" w:color="auto" w:fill="auto"/>
            <w:vAlign w:val="bottom"/>
          </w:tcPr>
          <w:p w14:paraId="5C469840"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r>
      <w:tr w:rsidR="00195A8B" w:rsidRPr="00195A8B" w14:paraId="54FB34B2" w14:textId="77777777" w:rsidTr="00CA33B8">
        <w:tc>
          <w:tcPr>
            <w:tcW w:w="2405" w:type="dxa"/>
          </w:tcPr>
          <w:p w14:paraId="40242EB8"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Women</w:t>
            </w:r>
          </w:p>
        </w:tc>
        <w:tc>
          <w:tcPr>
            <w:tcW w:w="1910" w:type="dxa"/>
            <w:gridSpan w:val="2"/>
            <w:shd w:val="clear" w:color="auto" w:fill="auto"/>
            <w:vAlign w:val="bottom"/>
          </w:tcPr>
          <w:p w14:paraId="472117BE"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3</w:t>
            </w:r>
          </w:p>
        </w:tc>
        <w:tc>
          <w:tcPr>
            <w:tcW w:w="1710" w:type="dxa"/>
            <w:gridSpan w:val="2"/>
            <w:shd w:val="clear" w:color="auto" w:fill="auto"/>
            <w:vAlign w:val="bottom"/>
          </w:tcPr>
          <w:p w14:paraId="5B98B820"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100.0</w:t>
            </w:r>
          </w:p>
        </w:tc>
        <w:tc>
          <w:tcPr>
            <w:tcW w:w="1710" w:type="dxa"/>
            <w:gridSpan w:val="2"/>
            <w:shd w:val="clear" w:color="auto" w:fill="auto"/>
            <w:vAlign w:val="bottom"/>
          </w:tcPr>
          <w:p w14:paraId="0CDC973E"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1890" w:type="dxa"/>
            <w:gridSpan w:val="2"/>
            <w:shd w:val="clear" w:color="auto" w:fill="auto"/>
            <w:vAlign w:val="bottom"/>
          </w:tcPr>
          <w:p w14:paraId="05A2E36B"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0.0</w:t>
            </w:r>
          </w:p>
        </w:tc>
      </w:tr>
      <w:tr w:rsidR="00195A8B" w:rsidRPr="00195A8B" w14:paraId="52C8BEA9" w14:textId="77777777" w:rsidTr="00CA33B8">
        <w:tc>
          <w:tcPr>
            <w:tcW w:w="2405" w:type="dxa"/>
          </w:tcPr>
          <w:p w14:paraId="44216CAD"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Youth</w:t>
            </w:r>
          </w:p>
        </w:tc>
        <w:tc>
          <w:tcPr>
            <w:tcW w:w="1910" w:type="dxa"/>
            <w:gridSpan w:val="2"/>
            <w:shd w:val="clear" w:color="auto" w:fill="auto"/>
            <w:vAlign w:val="bottom"/>
          </w:tcPr>
          <w:p w14:paraId="515304C9"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w:t>
            </w:r>
          </w:p>
        </w:tc>
        <w:tc>
          <w:tcPr>
            <w:tcW w:w="1710" w:type="dxa"/>
            <w:gridSpan w:val="2"/>
            <w:shd w:val="clear" w:color="auto" w:fill="auto"/>
            <w:vAlign w:val="bottom"/>
          </w:tcPr>
          <w:p w14:paraId="78EB67FC"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100.0</w:t>
            </w:r>
          </w:p>
        </w:tc>
        <w:tc>
          <w:tcPr>
            <w:tcW w:w="1710" w:type="dxa"/>
            <w:gridSpan w:val="2"/>
            <w:shd w:val="clear" w:color="auto" w:fill="auto"/>
            <w:vAlign w:val="bottom"/>
          </w:tcPr>
          <w:p w14:paraId="7A012DFF"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1890" w:type="dxa"/>
            <w:gridSpan w:val="2"/>
            <w:shd w:val="clear" w:color="auto" w:fill="auto"/>
            <w:vAlign w:val="bottom"/>
          </w:tcPr>
          <w:p w14:paraId="1A4E8ECB"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0.0</w:t>
            </w:r>
          </w:p>
        </w:tc>
      </w:tr>
      <w:tr w:rsidR="00195A8B" w:rsidRPr="00195A8B" w14:paraId="7ED0AE37" w14:textId="77777777" w:rsidTr="00CA33B8">
        <w:tc>
          <w:tcPr>
            <w:tcW w:w="2405" w:type="dxa"/>
          </w:tcPr>
          <w:p w14:paraId="7A474D15"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PWD</w:t>
            </w:r>
          </w:p>
        </w:tc>
        <w:tc>
          <w:tcPr>
            <w:tcW w:w="1910" w:type="dxa"/>
            <w:gridSpan w:val="2"/>
            <w:shd w:val="clear" w:color="auto" w:fill="auto"/>
            <w:vAlign w:val="bottom"/>
          </w:tcPr>
          <w:p w14:paraId="1C6509DB"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1710" w:type="dxa"/>
            <w:gridSpan w:val="2"/>
            <w:shd w:val="clear" w:color="auto" w:fill="auto"/>
            <w:vAlign w:val="bottom"/>
          </w:tcPr>
          <w:p w14:paraId="6B37C756"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0.0</w:t>
            </w:r>
          </w:p>
        </w:tc>
        <w:tc>
          <w:tcPr>
            <w:tcW w:w="1710" w:type="dxa"/>
            <w:gridSpan w:val="2"/>
            <w:shd w:val="clear" w:color="auto" w:fill="auto"/>
            <w:vAlign w:val="bottom"/>
          </w:tcPr>
          <w:p w14:paraId="55E71199"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1890" w:type="dxa"/>
            <w:gridSpan w:val="2"/>
            <w:shd w:val="clear" w:color="auto" w:fill="auto"/>
            <w:vAlign w:val="bottom"/>
          </w:tcPr>
          <w:p w14:paraId="1C9AEF07"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0.0</w:t>
            </w:r>
          </w:p>
        </w:tc>
      </w:tr>
      <w:tr w:rsidR="00195A8B" w:rsidRPr="00195A8B" w14:paraId="704BC32B" w14:textId="77777777" w:rsidTr="00CA33B8">
        <w:tc>
          <w:tcPr>
            <w:tcW w:w="2405" w:type="dxa"/>
          </w:tcPr>
          <w:p w14:paraId="26B8698B"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b/>
                <w:bCs/>
                <w:kern w:val="2"/>
                <w:lang w:val="en-GB" w:eastAsia="en-US"/>
              </w:rPr>
              <w:t>Certificate</w:t>
            </w:r>
          </w:p>
        </w:tc>
        <w:tc>
          <w:tcPr>
            <w:tcW w:w="1910" w:type="dxa"/>
            <w:gridSpan w:val="2"/>
            <w:shd w:val="clear" w:color="auto" w:fill="auto"/>
            <w:vAlign w:val="bottom"/>
          </w:tcPr>
          <w:p w14:paraId="0BB5D330"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710" w:type="dxa"/>
            <w:gridSpan w:val="2"/>
            <w:shd w:val="clear" w:color="auto" w:fill="auto"/>
            <w:vAlign w:val="bottom"/>
          </w:tcPr>
          <w:p w14:paraId="59739C2C"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710" w:type="dxa"/>
            <w:gridSpan w:val="2"/>
            <w:shd w:val="clear" w:color="auto" w:fill="auto"/>
            <w:vAlign w:val="bottom"/>
          </w:tcPr>
          <w:p w14:paraId="433B259E"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890" w:type="dxa"/>
            <w:gridSpan w:val="2"/>
            <w:shd w:val="clear" w:color="auto" w:fill="auto"/>
            <w:vAlign w:val="bottom"/>
          </w:tcPr>
          <w:p w14:paraId="4F1EEBE0"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r>
      <w:tr w:rsidR="00195A8B" w:rsidRPr="00195A8B" w14:paraId="687AE918" w14:textId="77777777" w:rsidTr="00CA33B8">
        <w:tc>
          <w:tcPr>
            <w:tcW w:w="2405" w:type="dxa"/>
          </w:tcPr>
          <w:p w14:paraId="258B3DD0"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Women</w:t>
            </w:r>
          </w:p>
        </w:tc>
        <w:tc>
          <w:tcPr>
            <w:tcW w:w="1910" w:type="dxa"/>
            <w:gridSpan w:val="2"/>
            <w:shd w:val="clear" w:color="auto" w:fill="auto"/>
            <w:vAlign w:val="bottom"/>
          </w:tcPr>
          <w:p w14:paraId="69CF0B55"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1710" w:type="dxa"/>
            <w:gridSpan w:val="2"/>
            <w:shd w:val="clear" w:color="auto" w:fill="auto"/>
            <w:vAlign w:val="bottom"/>
          </w:tcPr>
          <w:p w14:paraId="46F2B39D"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0.0</w:t>
            </w:r>
          </w:p>
        </w:tc>
        <w:tc>
          <w:tcPr>
            <w:tcW w:w="1710" w:type="dxa"/>
            <w:gridSpan w:val="2"/>
            <w:shd w:val="clear" w:color="auto" w:fill="auto"/>
            <w:vAlign w:val="bottom"/>
          </w:tcPr>
          <w:p w14:paraId="67E171EA"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w:t>
            </w:r>
          </w:p>
        </w:tc>
        <w:tc>
          <w:tcPr>
            <w:tcW w:w="1890" w:type="dxa"/>
            <w:gridSpan w:val="2"/>
            <w:shd w:val="clear" w:color="auto" w:fill="auto"/>
            <w:vAlign w:val="bottom"/>
          </w:tcPr>
          <w:p w14:paraId="4EDBFCB7"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100.0</w:t>
            </w:r>
          </w:p>
        </w:tc>
      </w:tr>
      <w:tr w:rsidR="00195A8B" w:rsidRPr="00195A8B" w14:paraId="6FF54114" w14:textId="77777777" w:rsidTr="00CA33B8">
        <w:tc>
          <w:tcPr>
            <w:tcW w:w="2405" w:type="dxa"/>
          </w:tcPr>
          <w:p w14:paraId="4E4D3E25"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Youth</w:t>
            </w:r>
          </w:p>
        </w:tc>
        <w:tc>
          <w:tcPr>
            <w:tcW w:w="1910" w:type="dxa"/>
            <w:gridSpan w:val="2"/>
            <w:shd w:val="clear" w:color="auto" w:fill="auto"/>
            <w:vAlign w:val="bottom"/>
          </w:tcPr>
          <w:p w14:paraId="0455F806"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w:t>
            </w:r>
          </w:p>
        </w:tc>
        <w:tc>
          <w:tcPr>
            <w:tcW w:w="1710" w:type="dxa"/>
            <w:gridSpan w:val="2"/>
            <w:shd w:val="clear" w:color="auto" w:fill="auto"/>
            <w:vAlign w:val="bottom"/>
          </w:tcPr>
          <w:p w14:paraId="7118A4D7"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100.0</w:t>
            </w:r>
          </w:p>
        </w:tc>
        <w:tc>
          <w:tcPr>
            <w:tcW w:w="1710" w:type="dxa"/>
            <w:gridSpan w:val="2"/>
            <w:shd w:val="clear" w:color="auto" w:fill="auto"/>
            <w:vAlign w:val="bottom"/>
          </w:tcPr>
          <w:p w14:paraId="5978C1D1"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1890" w:type="dxa"/>
            <w:gridSpan w:val="2"/>
            <w:shd w:val="clear" w:color="auto" w:fill="auto"/>
            <w:vAlign w:val="bottom"/>
          </w:tcPr>
          <w:p w14:paraId="08B0568E"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0.0</w:t>
            </w:r>
          </w:p>
        </w:tc>
      </w:tr>
      <w:tr w:rsidR="00195A8B" w:rsidRPr="00195A8B" w14:paraId="36BFC2B4" w14:textId="77777777" w:rsidTr="00CA33B8">
        <w:tc>
          <w:tcPr>
            <w:tcW w:w="2405" w:type="dxa"/>
          </w:tcPr>
          <w:p w14:paraId="2ECE7EA6"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lastRenderedPageBreak/>
              <w:t>PWD</w:t>
            </w:r>
          </w:p>
        </w:tc>
        <w:tc>
          <w:tcPr>
            <w:tcW w:w="1910" w:type="dxa"/>
            <w:gridSpan w:val="2"/>
            <w:shd w:val="clear" w:color="auto" w:fill="auto"/>
            <w:vAlign w:val="bottom"/>
          </w:tcPr>
          <w:p w14:paraId="42DD6CD0"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1710" w:type="dxa"/>
            <w:gridSpan w:val="2"/>
            <w:shd w:val="clear" w:color="auto" w:fill="auto"/>
            <w:vAlign w:val="bottom"/>
          </w:tcPr>
          <w:p w14:paraId="43A43E7B"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0.0</w:t>
            </w:r>
          </w:p>
        </w:tc>
        <w:tc>
          <w:tcPr>
            <w:tcW w:w="1710" w:type="dxa"/>
            <w:gridSpan w:val="2"/>
            <w:shd w:val="clear" w:color="auto" w:fill="auto"/>
            <w:vAlign w:val="bottom"/>
          </w:tcPr>
          <w:p w14:paraId="0EFDC323"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w:t>
            </w:r>
          </w:p>
        </w:tc>
        <w:tc>
          <w:tcPr>
            <w:tcW w:w="1890" w:type="dxa"/>
            <w:gridSpan w:val="2"/>
            <w:shd w:val="clear" w:color="auto" w:fill="auto"/>
            <w:vAlign w:val="bottom"/>
          </w:tcPr>
          <w:p w14:paraId="3833D003"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100.0</w:t>
            </w:r>
          </w:p>
        </w:tc>
      </w:tr>
      <w:tr w:rsidR="00195A8B" w:rsidRPr="00195A8B" w14:paraId="14A495A2" w14:textId="77777777" w:rsidTr="00CA33B8">
        <w:tc>
          <w:tcPr>
            <w:tcW w:w="2405" w:type="dxa"/>
          </w:tcPr>
          <w:p w14:paraId="759D5565"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b/>
                <w:bCs/>
                <w:kern w:val="2"/>
                <w:lang w:val="en-GB" w:eastAsia="en-US"/>
              </w:rPr>
              <w:t>Diploma</w:t>
            </w:r>
          </w:p>
        </w:tc>
        <w:tc>
          <w:tcPr>
            <w:tcW w:w="1910" w:type="dxa"/>
            <w:gridSpan w:val="2"/>
            <w:shd w:val="clear" w:color="auto" w:fill="auto"/>
            <w:vAlign w:val="bottom"/>
          </w:tcPr>
          <w:p w14:paraId="2FE1F403"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710" w:type="dxa"/>
            <w:gridSpan w:val="2"/>
            <w:shd w:val="clear" w:color="auto" w:fill="auto"/>
            <w:vAlign w:val="bottom"/>
          </w:tcPr>
          <w:p w14:paraId="0A5AD55C"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710" w:type="dxa"/>
            <w:gridSpan w:val="2"/>
            <w:shd w:val="clear" w:color="auto" w:fill="auto"/>
            <w:vAlign w:val="bottom"/>
          </w:tcPr>
          <w:p w14:paraId="59B7DBB9"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890" w:type="dxa"/>
            <w:gridSpan w:val="2"/>
            <w:shd w:val="clear" w:color="auto" w:fill="auto"/>
            <w:vAlign w:val="bottom"/>
          </w:tcPr>
          <w:p w14:paraId="7D7535F9"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r>
      <w:tr w:rsidR="00195A8B" w:rsidRPr="00195A8B" w14:paraId="3A575A03" w14:textId="77777777" w:rsidTr="00CA33B8">
        <w:tc>
          <w:tcPr>
            <w:tcW w:w="2405" w:type="dxa"/>
          </w:tcPr>
          <w:p w14:paraId="090D2B37"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Women</w:t>
            </w:r>
          </w:p>
        </w:tc>
        <w:tc>
          <w:tcPr>
            <w:tcW w:w="1910" w:type="dxa"/>
            <w:gridSpan w:val="2"/>
            <w:shd w:val="clear" w:color="auto" w:fill="auto"/>
            <w:vAlign w:val="bottom"/>
          </w:tcPr>
          <w:p w14:paraId="593F9BC5"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3</w:t>
            </w:r>
          </w:p>
        </w:tc>
        <w:tc>
          <w:tcPr>
            <w:tcW w:w="1710" w:type="dxa"/>
            <w:gridSpan w:val="2"/>
            <w:shd w:val="clear" w:color="auto" w:fill="auto"/>
            <w:vAlign w:val="bottom"/>
          </w:tcPr>
          <w:p w14:paraId="7847B6A5"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100.0</w:t>
            </w:r>
          </w:p>
        </w:tc>
        <w:tc>
          <w:tcPr>
            <w:tcW w:w="1710" w:type="dxa"/>
            <w:gridSpan w:val="2"/>
            <w:shd w:val="clear" w:color="auto" w:fill="auto"/>
            <w:vAlign w:val="bottom"/>
          </w:tcPr>
          <w:p w14:paraId="7236CF39"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1890" w:type="dxa"/>
            <w:gridSpan w:val="2"/>
            <w:shd w:val="clear" w:color="auto" w:fill="auto"/>
            <w:vAlign w:val="bottom"/>
          </w:tcPr>
          <w:p w14:paraId="3BB8C481"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0.0</w:t>
            </w:r>
          </w:p>
        </w:tc>
      </w:tr>
      <w:tr w:rsidR="00195A8B" w:rsidRPr="00195A8B" w14:paraId="50AADA0E" w14:textId="77777777" w:rsidTr="00CA33B8">
        <w:tc>
          <w:tcPr>
            <w:tcW w:w="2405" w:type="dxa"/>
          </w:tcPr>
          <w:p w14:paraId="4424F410"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Youth</w:t>
            </w:r>
          </w:p>
        </w:tc>
        <w:tc>
          <w:tcPr>
            <w:tcW w:w="1910" w:type="dxa"/>
            <w:gridSpan w:val="2"/>
            <w:shd w:val="clear" w:color="auto" w:fill="auto"/>
            <w:vAlign w:val="bottom"/>
          </w:tcPr>
          <w:p w14:paraId="58B3F4E2"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2</w:t>
            </w:r>
          </w:p>
        </w:tc>
        <w:tc>
          <w:tcPr>
            <w:tcW w:w="1710" w:type="dxa"/>
            <w:gridSpan w:val="2"/>
            <w:shd w:val="clear" w:color="auto" w:fill="auto"/>
            <w:vAlign w:val="bottom"/>
          </w:tcPr>
          <w:p w14:paraId="0AC67199"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66.7</w:t>
            </w:r>
          </w:p>
        </w:tc>
        <w:tc>
          <w:tcPr>
            <w:tcW w:w="1710" w:type="dxa"/>
            <w:gridSpan w:val="2"/>
            <w:shd w:val="clear" w:color="auto" w:fill="auto"/>
            <w:vAlign w:val="bottom"/>
          </w:tcPr>
          <w:p w14:paraId="7A00B8D8"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w:t>
            </w:r>
          </w:p>
        </w:tc>
        <w:tc>
          <w:tcPr>
            <w:tcW w:w="1890" w:type="dxa"/>
            <w:gridSpan w:val="2"/>
            <w:shd w:val="clear" w:color="auto" w:fill="auto"/>
            <w:vAlign w:val="bottom"/>
          </w:tcPr>
          <w:p w14:paraId="08C03480"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33.3</w:t>
            </w:r>
          </w:p>
        </w:tc>
      </w:tr>
      <w:tr w:rsidR="00195A8B" w:rsidRPr="00195A8B" w14:paraId="39F6A70E" w14:textId="77777777" w:rsidTr="00CA33B8">
        <w:tc>
          <w:tcPr>
            <w:tcW w:w="2405" w:type="dxa"/>
          </w:tcPr>
          <w:p w14:paraId="457C36D5"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PWD</w:t>
            </w:r>
          </w:p>
        </w:tc>
        <w:tc>
          <w:tcPr>
            <w:tcW w:w="1910" w:type="dxa"/>
            <w:gridSpan w:val="2"/>
            <w:shd w:val="clear" w:color="auto" w:fill="auto"/>
            <w:vAlign w:val="bottom"/>
          </w:tcPr>
          <w:p w14:paraId="49506ADC"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1710" w:type="dxa"/>
            <w:gridSpan w:val="2"/>
            <w:shd w:val="clear" w:color="auto" w:fill="auto"/>
            <w:vAlign w:val="bottom"/>
          </w:tcPr>
          <w:p w14:paraId="2D205FD3"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0.0</w:t>
            </w:r>
          </w:p>
        </w:tc>
        <w:tc>
          <w:tcPr>
            <w:tcW w:w="1710" w:type="dxa"/>
            <w:gridSpan w:val="2"/>
            <w:shd w:val="clear" w:color="auto" w:fill="auto"/>
            <w:vAlign w:val="bottom"/>
          </w:tcPr>
          <w:p w14:paraId="4E08FCB1"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w:t>
            </w:r>
          </w:p>
        </w:tc>
        <w:tc>
          <w:tcPr>
            <w:tcW w:w="1890" w:type="dxa"/>
            <w:gridSpan w:val="2"/>
            <w:shd w:val="clear" w:color="auto" w:fill="auto"/>
            <w:vAlign w:val="bottom"/>
          </w:tcPr>
          <w:p w14:paraId="49D2E060"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100.0</w:t>
            </w:r>
          </w:p>
        </w:tc>
      </w:tr>
      <w:tr w:rsidR="00195A8B" w:rsidRPr="00195A8B" w14:paraId="4C7F9B6E" w14:textId="77777777" w:rsidTr="00CA33B8">
        <w:tc>
          <w:tcPr>
            <w:tcW w:w="2405" w:type="dxa"/>
          </w:tcPr>
          <w:p w14:paraId="4673984E"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b/>
                <w:bCs/>
                <w:kern w:val="2"/>
                <w:lang w:val="en-GB" w:eastAsia="en-US"/>
              </w:rPr>
              <w:t>Bachelor Degree</w:t>
            </w:r>
          </w:p>
        </w:tc>
        <w:tc>
          <w:tcPr>
            <w:tcW w:w="1910" w:type="dxa"/>
            <w:gridSpan w:val="2"/>
            <w:shd w:val="clear" w:color="auto" w:fill="auto"/>
            <w:vAlign w:val="bottom"/>
          </w:tcPr>
          <w:p w14:paraId="5BA6C878"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710" w:type="dxa"/>
            <w:gridSpan w:val="2"/>
            <w:shd w:val="clear" w:color="auto" w:fill="auto"/>
            <w:vAlign w:val="bottom"/>
          </w:tcPr>
          <w:p w14:paraId="28657F28"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710" w:type="dxa"/>
            <w:gridSpan w:val="2"/>
            <w:shd w:val="clear" w:color="auto" w:fill="auto"/>
            <w:vAlign w:val="bottom"/>
          </w:tcPr>
          <w:p w14:paraId="58CBFA05"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890" w:type="dxa"/>
            <w:gridSpan w:val="2"/>
            <w:shd w:val="clear" w:color="auto" w:fill="auto"/>
            <w:vAlign w:val="bottom"/>
          </w:tcPr>
          <w:p w14:paraId="24437F83"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r>
      <w:tr w:rsidR="00195A8B" w:rsidRPr="00195A8B" w14:paraId="10EADAD0" w14:textId="77777777" w:rsidTr="00CA33B8">
        <w:tc>
          <w:tcPr>
            <w:tcW w:w="2405" w:type="dxa"/>
          </w:tcPr>
          <w:p w14:paraId="567AB8CE"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Women</w:t>
            </w:r>
          </w:p>
        </w:tc>
        <w:tc>
          <w:tcPr>
            <w:tcW w:w="1910" w:type="dxa"/>
            <w:gridSpan w:val="2"/>
            <w:shd w:val="clear" w:color="auto" w:fill="auto"/>
            <w:vAlign w:val="bottom"/>
          </w:tcPr>
          <w:p w14:paraId="3D109B9D"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w:t>
            </w:r>
          </w:p>
        </w:tc>
        <w:tc>
          <w:tcPr>
            <w:tcW w:w="1710" w:type="dxa"/>
            <w:gridSpan w:val="2"/>
            <w:shd w:val="clear" w:color="auto" w:fill="auto"/>
            <w:vAlign w:val="bottom"/>
          </w:tcPr>
          <w:p w14:paraId="412EBBA3"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100.0</w:t>
            </w:r>
          </w:p>
        </w:tc>
        <w:tc>
          <w:tcPr>
            <w:tcW w:w="1710" w:type="dxa"/>
            <w:gridSpan w:val="2"/>
            <w:shd w:val="clear" w:color="auto" w:fill="auto"/>
            <w:vAlign w:val="bottom"/>
          </w:tcPr>
          <w:p w14:paraId="38E141BE"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1890" w:type="dxa"/>
            <w:gridSpan w:val="2"/>
            <w:shd w:val="clear" w:color="auto" w:fill="auto"/>
            <w:vAlign w:val="bottom"/>
          </w:tcPr>
          <w:p w14:paraId="34A3F495"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0.0</w:t>
            </w:r>
          </w:p>
        </w:tc>
      </w:tr>
      <w:tr w:rsidR="00195A8B" w:rsidRPr="00195A8B" w14:paraId="0EC39BB2" w14:textId="77777777" w:rsidTr="00CA33B8">
        <w:tc>
          <w:tcPr>
            <w:tcW w:w="2405" w:type="dxa"/>
          </w:tcPr>
          <w:p w14:paraId="1CD91982"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Youth</w:t>
            </w:r>
          </w:p>
        </w:tc>
        <w:tc>
          <w:tcPr>
            <w:tcW w:w="1910" w:type="dxa"/>
            <w:gridSpan w:val="2"/>
            <w:shd w:val="clear" w:color="auto" w:fill="auto"/>
            <w:vAlign w:val="bottom"/>
          </w:tcPr>
          <w:p w14:paraId="4FB44FB1"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3</w:t>
            </w:r>
          </w:p>
        </w:tc>
        <w:tc>
          <w:tcPr>
            <w:tcW w:w="1710" w:type="dxa"/>
            <w:gridSpan w:val="2"/>
            <w:shd w:val="clear" w:color="auto" w:fill="auto"/>
            <w:vAlign w:val="bottom"/>
          </w:tcPr>
          <w:p w14:paraId="53620D5F"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100.0</w:t>
            </w:r>
          </w:p>
        </w:tc>
        <w:tc>
          <w:tcPr>
            <w:tcW w:w="1710" w:type="dxa"/>
            <w:gridSpan w:val="2"/>
            <w:shd w:val="clear" w:color="auto" w:fill="auto"/>
            <w:vAlign w:val="bottom"/>
          </w:tcPr>
          <w:p w14:paraId="73A7C7B5"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1890" w:type="dxa"/>
            <w:gridSpan w:val="2"/>
            <w:shd w:val="clear" w:color="auto" w:fill="auto"/>
            <w:vAlign w:val="bottom"/>
          </w:tcPr>
          <w:p w14:paraId="06A54E90"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0.0</w:t>
            </w:r>
          </w:p>
        </w:tc>
      </w:tr>
      <w:tr w:rsidR="00195A8B" w:rsidRPr="00195A8B" w14:paraId="5F2A3FCF" w14:textId="77777777" w:rsidTr="00CA33B8">
        <w:tc>
          <w:tcPr>
            <w:tcW w:w="2405" w:type="dxa"/>
          </w:tcPr>
          <w:p w14:paraId="0138A3AE"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PWD</w:t>
            </w:r>
          </w:p>
        </w:tc>
        <w:tc>
          <w:tcPr>
            <w:tcW w:w="1910" w:type="dxa"/>
            <w:gridSpan w:val="2"/>
            <w:shd w:val="clear" w:color="auto" w:fill="auto"/>
            <w:vAlign w:val="bottom"/>
          </w:tcPr>
          <w:p w14:paraId="74EBFD89"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1710" w:type="dxa"/>
            <w:gridSpan w:val="2"/>
            <w:shd w:val="clear" w:color="auto" w:fill="auto"/>
            <w:vAlign w:val="bottom"/>
          </w:tcPr>
          <w:p w14:paraId="1C6A5ADF"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0.0</w:t>
            </w:r>
          </w:p>
        </w:tc>
        <w:tc>
          <w:tcPr>
            <w:tcW w:w="1710" w:type="dxa"/>
            <w:gridSpan w:val="2"/>
            <w:shd w:val="clear" w:color="auto" w:fill="auto"/>
            <w:vAlign w:val="bottom"/>
          </w:tcPr>
          <w:p w14:paraId="372CE3D2"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1890" w:type="dxa"/>
            <w:gridSpan w:val="2"/>
            <w:shd w:val="clear" w:color="auto" w:fill="auto"/>
            <w:vAlign w:val="bottom"/>
          </w:tcPr>
          <w:p w14:paraId="502CBBB7"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0.0</w:t>
            </w:r>
          </w:p>
        </w:tc>
      </w:tr>
      <w:tr w:rsidR="00195A8B" w:rsidRPr="00195A8B" w14:paraId="20844328" w14:textId="77777777" w:rsidTr="00CA33B8">
        <w:tc>
          <w:tcPr>
            <w:tcW w:w="2405" w:type="dxa"/>
          </w:tcPr>
          <w:p w14:paraId="72DECA5A"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b/>
                <w:bCs/>
                <w:kern w:val="2"/>
                <w:lang w:val="en-GB" w:eastAsia="en-US"/>
              </w:rPr>
              <w:t>Postgraduate</w:t>
            </w:r>
          </w:p>
        </w:tc>
        <w:tc>
          <w:tcPr>
            <w:tcW w:w="1910" w:type="dxa"/>
            <w:gridSpan w:val="2"/>
            <w:shd w:val="clear" w:color="auto" w:fill="auto"/>
            <w:vAlign w:val="bottom"/>
          </w:tcPr>
          <w:p w14:paraId="6805DCF3"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710" w:type="dxa"/>
            <w:gridSpan w:val="2"/>
            <w:shd w:val="clear" w:color="auto" w:fill="auto"/>
            <w:vAlign w:val="bottom"/>
          </w:tcPr>
          <w:p w14:paraId="43FA32AA"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710" w:type="dxa"/>
            <w:gridSpan w:val="2"/>
            <w:shd w:val="clear" w:color="auto" w:fill="auto"/>
            <w:vAlign w:val="bottom"/>
          </w:tcPr>
          <w:p w14:paraId="70767C2C"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c>
          <w:tcPr>
            <w:tcW w:w="1890" w:type="dxa"/>
            <w:gridSpan w:val="2"/>
            <w:shd w:val="clear" w:color="auto" w:fill="auto"/>
            <w:vAlign w:val="bottom"/>
          </w:tcPr>
          <w:p w14:paraId="0C868AB7"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p>
        </w:tc>
      </w:tr>
      <w:tr w:rsidR="00195A8B" w:rsidRPr="00195A8B" w14:paraId="7FE98BCA" w14:textId="77777777" w:rsidTr="00CA33B8">
        <w:tc>
          <w:tcPr>
            <w:tcW w:w="2405" w:type="dxa"/>
          </w:tcPr>
          <w:p w14:paraId="0D11239C"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Women</w:t>
            </w:r>
          </w:p>
        </w:tc>
        <w:tc>
          <w:tcPr>
            <w:tcW w:w="1910" w:type="dxa"/>
            <w:gridSpan w:val="2"/>
            <w:shd w:val="clear" w:color="auto" w:fill="auto"/>
            <w:vAlign w:val="bottom"/>
          </w:tcPr>
          <w:p w14:paraId="658FD57C"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w:t>
            </w:r>
          </w:p>
        </w:tc>
        <w:tc>
          <w:tcPr>
            <w:tcW w:w="1710" w:type="dxa"/>
            <w:gridSpan w:val="2"/>
            <w:shd w:val="clear" w:color="auto" w:fill="auto"/>
            <w:vAlign w:val="bottom"/>
          </w:tcPr>
          <w:p w14:paraId="59FDF0A1"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100.0</w:t>
            </w:r>
          </w:p>
        </w:tc>
        <w:tc>
          <w:tcPr>
            <w:tcW w:w="1710" w:type="dxa"/>
            <w:gridSpan w:val="2"/>
            <w:shd w:val="clear" w:color="auto" w:fill="auto"/>
            <w:vAlign w:val="bottom"/>
          </w:tcPr>
          <w:p w14:paraId="7E05309E"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1890" w:type="dxa"/>
            <w:gridSpan w:val="2"/>
            <w:shd w:val="clear" w:color="auto" w:fill="auto"/>
            <w:vAlign w:val="bottom"/>
          </w:tcPr>
          <w:p w14:paraId="28271F53"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0.0</w:t>
            </w:r>
          </w:p>
        </w:tc>
      </w:tr>
      <w:tr w:rsidR="00195A8B" w:rsidRPr="00195A8B" w14:paraId="4CA8AD19" w14:textId="77777777" w:rsidTr="00CA33B8">
        <w:tc>
          <w:tcPr>
            <w:tcW w:w="2405" w:type="dxa"/>
          </w:tcPr>
          <w:p w14:paraId="3DA4C004"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Youth</w:t>
            </w:r>
          </w:p>
        </w:tc>
        <w:tc>
          <w:tcPr>
            <w:tcW w:w="1910" w:type="dxa"/>
            <w:gridSpan w:val="2"/>
            <w:shd w:val="clear" w:color="auto" w:fill="auto"/>
            <w:vAlign w:val="bottom"/>
          </w:tcPr>
          <w:p w14:paraId="74672833"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1710" w:type="dxa"/>
            <w:gridSpan w:val="2"/>
            <w:shd w:val="clear" w:color="auto" w:fill="auto"/>
            <w:vAlign w:val="bottom"/>
          </w:tcPr>
          <w:p w14:paraId="347E290F"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0.0</w:t>
            </w:r>
          </w:p>
        </w:tc>
        <w:tc>
          <w:tcPr>
            <w:tcW w:w="1710" w:type="dxa"/>
            <w:gridSpan w:val="2"/>
            <w:shd w:val="clear" w:color="auto" w:fill="auto"/>
            <w:vAlign w:val="bottom"/>
          </w:tcPr>
          <w:p w14:paraId="66F9FA17"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1890" w:type="dxa"/>
            <w:gridSpan w:val="2"/>
            <w:shd w:val="clear" w:color="auto" w:fill="auto"/>
            <w:vAlign w:val="bottom"/>
          </w:tcPr>
          <w:p w14:paraId="1EFC35CD"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0.0</w:t>
            </w:r>
          </w:p>
        </w:tc>
      </w:tr>
      <w:tr w:rsidR="00195A8B" w:rsidRPr="00195A8B" w14:paraId="2C862C7E" w14:textId="77777777" w:rsidTr="00CA33B8">
        <w:tc>
          <w:tcPr>
            <w:tcW w:w="2405" w:type="dxa"/>
          </w:tcPr>
          <w:p w14:paraId="7E0577B0"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PWD</w:t>
            </w:r>
          </w:p>
        </w:tc>
        <w:tc>
          <w:tcPr>
            <w:tcW w:w="1910" w:type="dxa"/>
            <w:gridSpan w:val="2"/>
            <w:shd w:val="clear" w:color="auto" w:fill="auto"/>
            <w:vAlign w:val="bottom"/>
          </w:tcPr>
          <w:p w14:paraId="32CD9273"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1710" w:type="dxa"/>
            <w:gridSpan w:val="2"/>
            <w:shd w:val="clear" w:color="auto" w:fill="auto"/>
            <w:vAlign w:val="bottom"/>
          </w:tcPr>
          <w:p w14:paraId="137814D4"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0.0</w:t>
            </w:r>
          </w:p>
        </w:tc>
        <w:tc>
          <w:tcPr>
            <w:tcW w:w="1710" w:type="dxa"/>
            <w:gridSpan w:val="2"/>
            <w:shd w:val="clear" w:color="auto" w:fill="auto"/>
            <w:vAlign w:val="bottom"/>
          </w:tcPr>
          <w:p w14:paraId="00C3D4B3"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c>
          <w:tcPr>
            <w:tcW w:w="1890" w:type="dxa"/>
            <w:gridSpan w:val="2"/>
            <w:shd w:val="clear" w:color="auto" w:fill="auto"/>
            <w:vAlign w:val="bottom"/>
          </w:tcPr>
          <w:p w14:paraId="73C375AC"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kern w:val="2"/>
                <w:lang w:eastAsia="en-US"/>
              </w:rPr>
              <w:t>0</w:t>
            </w:r>
          </w:p>
        </w:tc>
      </w:tr>
      <w:tr w:rsidR="00195A8B" w:rsidRPr="00195A8B" w14:paraId="7E624BD5" w14:textId="77777777" w:rsidTr="00CA33B8">
        <w:tc>
          <w:tcPr>
            <w:tcW w:w="9625" w:type="dxa"/>
            <w:gridSpan w:val="9"/>
          </w:tcPr>
          <w:p w14:paraId="32659718"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b/>
                <w:bCs/>
                <w:kern w:val="2"/>
                <w:lang w:val="en-GB" w:eastAsia="en-US"/>
              </w:rPr>
              <w:t>Marital Status</w:t>
            </w:r>
          </w:p>
        </w:tc>
      </w:tr>
      <w:tr w:rsidR="00195A8B" w:rsidRPr="00195A8B" w14:paraId="19823EE6" w14:textId="77777777" w:rsidTr="00CA33B8">
        <w:tc>
          <w:tcPr>
            <w:tcW w:w="2405" w:type="dxa"/>
          </w:tcPr>
          <w:p w14:paraId="1C041B99"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Single</w:t>
            </w:r>
          </w:p>
        </w:tc>
        <w:tc>
          <w:tcPr>
            <w:tcW w:w="1910" w:type="dxa"/>
            <w:gridSpan w:val="2"/>
            <w:shd w:val="clear" w:color="auto" w:fill="auto"/>
          </w:tcPr>
          <w:p w14:paraId="64A381BD"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eastAsia="en-US"/>
              </w:rPr>
              <w:t>59</w:t>
            </w:r>
          </w:p>
        </w:tc>
        <w:tc>
          <w:tcPr>
            <w:tcW w:w="1710" w:type="dxa"/>
            <w:gridSpan w:val="2"/>
            <w:shd w:val="clear" w:color="auto" w:fill="auto"/>
          </w:tcPr>
          <w:p w14:paraId="6FB52299"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81.9</w:t>
            </w:r>
          </w:p>
        </w:tc>
        <w:tc>
          <w:tcPr>
            <w:tcW w:w="1710" w:type="dxa"/>
            <w:gridSpan w:val="2"/>
            <w:shd w:val="clear" w:color="auto" w:fill="auto"/>
          </w:tcPr>
          <w:p w14:paraId="12FD39DA"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eastAsia="en-US"/>
              </w:rPr>
              <w:t>13</w:t>
            </w:r>
          </w:p>
        </w:tc>
        <w:tc>
          <w:tcPr>
            <w:tcW w:w="1890" w:type="dxa"/>
            <w:gridSpan w:val="2"/>
            <w:shd w:val="clear" w:color="auto" w:fill="auto"/>
          </w:tcPr>
          <w:p w14:paraId="17A113D3"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18.1</w:t>
            </w:r>
          </w:p>
        </w:tc>
      </w:tr>
      <w:tr w:rsidR="00195A8B" w:rsidRPr="00195A8B" w14:paraId="659EA240" w14:textId="77777777" w:rsidTr="00CA33B8">
        <w:tc>
          <w:tcPr>
            <w:tcW w:w="2405" w:type="dxa"/>
          </w:tcPr>
          <w:p w14:paraId="34B3CEB4"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Monogamously</w:t>
            </w:r>
          </w:p>
        </w:tc>
        <w:tc>
          <w:tcPr>
            <w:tcW w:w="1910" w:type="dxa"/>
            <w:gridSpan w:val="2"/>
            <w:shd w:val="clear" w:color="auto" w:fill="auto"/>
          </w:tcPr>
          <w:p w14:paraId="710D9E5D"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eastAsia="en-US"/>
              </w:rPr>
              <w:t>190</w:t>
            </w:r>
          </w:p>
        </w:tc>
        <w:tc>
          <w:tcPr>
            <w:tcW w:w="1710" w:type="dxa"/>
            <w:gridSpan w:val="2"/>
            <w:shd w:val="clear" w:color="auto" w:fill="auto"/>
          </w:tcPr>
          <w:p w14:paraId="328140DC"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66.9</w:t>
            </w:r>
          </w:p>
        </w:tc>
        <w:tc>
          <w:tcPr>
            <w:tcW w:w="1710" w:type="dxa"/>
            <w:gridSpan w:val="2"/>
            <w:shd w:val="clear" w:color="auto" w:fill="auto"/>
          </w:tcPr>
          <w:p w14:paraId="23A20121"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eastAsia="en-US"/>
              </w:rPr>
              <w:t>94</w:t>
            </w:r>
          </w:p>
        </w:tc>
        <w:tc>
          <w:tcPr>
            <w:tcW w:w="1890" w:type="dxa"/>
            <w:gridSpan w:val="2"/>
            <w:shd w:val="clear" w:color="auto" w:fill="auto"/>
          </w:tcPr>
          <w:p w14:paraId="1912143A"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33.1</w:t>
            </w:r>
          </w:p>
        </w:tc>
      </w:tr>
      <w:tr w:rsidR="00195A8B" w:rsidRPr="00195A8B" w14:paraId="3F3030F2" w14:textId="77777777" w:rsidTr="00CA33B8">
        <w:tc>
          <w:tcPr>
            <w:tcW w:w="2405" w:type="dxa"/>
          </w:tcPr>
          <w:p w14:paraId="11C35F66"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Polygamous</w:t>
            </w:r>
          </w:p>
        </w:tc>
        <w:tc>
          <w:tcPr>
            <w:tcW w:w="1910" w:type="dxa"/>
            <w:gridSpan w:val="2"/>
            <w:shd w:val="clear" w:color="auto" w:fill="auto"/>
          </w:tcPr>
          <w:p w14:paraId="0F2F7FFC"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eastAsia="en-US"/>
              </w:rPr>
              <w:t>32</w:t>
            </w:r>
          </w:p>
        </w:tc>
        <w:tc>
          <w:tcPr>
            <w:tcW w:w="1710" w:type="dxa"/>
            <w:gridSpan w:val="2"/>
            <w:shd w:val="clear" w:color="auto" w:fill="auto"/>
          </w:tcPr>
          <w:p w14:paraId="2C4D954E"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64.0</w:t>
            </w:r>
          </w:p>
        </w:tc>
        <w:tc>
          <w:tcPr>
            <w:tcW w:w="1710" w:type="dxa"/>
            <w:gridSpan w:val="2"/>
            <w:shd w:val="clear" w:color="auto" w:fill="auto"/>
          </w:tcPr>
          <w:p w14:paraId="37659200"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eastAsia="en-US"/>
              </w:rPr>
              <w:t>18</w:t>
            </w:r>
          </w:p>
        </w:tc>
        <w:tc>
          <w:tcPr>
            <w:tcW w:w="1890" w:type="dxa"/>
            <w:gridSpan w:val="2"/>
            <w:shd w:val="clear" w:color="auto" w:fill="auto"/>
          </w:tcPr>
          <w:p w14:paraId="4E9EDA79"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36.0</w:t>
            </w:r>
          </w:p>
        </w:tc>
      </w:tr>
      <w:tr w:rsidR="00195A8B" w:rsidRPr="00195A8B" w14:paraId="0920C7A9" w14:textId="77777777" w:rsidTr="00CA33B8">
        <w:tc>
          <w:tcPr>
            <w:tcW w:w="2405" w:type="dxa"/>
          </w:tcPr>
          <w:p w14:paraId="36D2775A"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Widowed</w:t>
            </w:r>
          </w:p>
        </w:tc>
        <w:tc>
          <w:tcPr>
            <w:tcW w:w="1910" w:type="dxa"/>
            <w:gridSpan w:val="2"/>
            <w:shd w:val="clear" w:color="auto" w:fill="auto"/>
          </w:tcPr>
          <w:p w14:paraId="43397D74"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eastAsia="en-US"/>
              </w:rPr>
              <w:t>30</w:t>
            </w:r>
          </w:p>
        </w:tc>
        <w:tc>
          <w:tcPr>
            <w:tcW w:w="1710" w:type="dxa"/>
            <w:gridSpan w:val="2"/>
            <w:shd w:val="clear" w:color="auto" w:fill="auto"/>
          </w:tcPr>
          <w:p w14:paraId="0F8EA91B"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68.2</w:t>
            </w:r>
          </w:p>
        </w:tc>
        <w:tc>
          <w:tcPr>
            <w:tcW w:w="1710" w:type="dxa"/>
            <w:gridSpan w:val="2"/>
            <w:shd w:val="clear" w:color="auto" w:fill="auto"/>
          </w:tcPr>
          <w:p w14:paraId="6EFA1BBD"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eastAsia="en-US"/>
              </w:rPr>
              <w:t>14</w:t>
            </w:r>
          </w:p>
        </w:tc>
        <w:tc>
          <w:tcPr>
            <w:tcW w:w="1890" w:type="dxa"/>
            <w:gridSpan w:val="2"/>
            <w:shd w:val="clear" w:color="auto" w:fill="auto"/>
          </w:tcPr>
          <w:p w14:paraId="0C0724F0"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31.8</w:t>
            </w:r>
          </w:p>
        </w:tc>
      </w:tr>
      <w:tr w:rsidR="00195A8B" w:rsidRPr="00195A8B" w14:paraId="62FBD988" w14:textId="77777777" w:rsidTr="00CA33B8">
        <w:tc>
          <w:tcPr>
            <w:tcW w:w="2405" w:type="dxa"/>
          </w:tcPr>
          <w:p w14:paraId="499841E9"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Widower</w:t>
            </w:r>
          </w:p>
        </w:tc>
        <w:tc>
          <w:tcPr>
            <w:tcW w:w="1910" w:type="dxa"/>
            <w:gridSpan w:val="2"/>
            <w:shd w:val="clear" w:color="auto" w:fill="auto"/>
          </w:tcPr>
          <w:p w14:paraId="7125653A"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eastAsia="en-US"/>
              </w:rPr>
              <w:t>18</w:t>
            </w:r>
          </w:p>
        </w:tc>
        <w:tc>
          <w:tcPr>
            <w:tcW w:w="1710" w:type="dxa"/>
            <w:gridSpan w:val="2"/>
            <w:shd w:val="clear" w:color="auto" w:fill="auto"/>
          </w:tcPr>
          <w:p w14:paraId="42A95D41"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69.2</w:t>
            </w:r>
          </w:p>
        </w:tc>
        <w:tc>
          <w:tcPr>
            <w:tcW w:w="1710" w:type="dxa"/>
            <w:gridSpan w:val="2"/>
            <w:shd w:val="clear" w:color="auto" w:fill="auto"/>
          </w:tcPr>
          <w:p w14:paraId="766B51C3"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eastAsia="en-US"/>
              </w:rPr>
              <w:t>8</w:t>
            </w:r>
          </w:p>
        </w:tc>
        <w:tc>
          <w:tcPr>
            <w:tcW w:w="1890" w:type="dxa"/>
            <w:gridSpan w:val="2"/>
            <w:shd w:val="clear" w:color="auto" w:fill="auto"/>
          </w:tcPr>
          <w:p w14:paraId="0E2CAD2A"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30.8</w:t>
            </w:r>
          </w:p>
        </w:tc>
      </w:tr>
      <w:tr w:rsidR="00195A8B" w:rsidRPr="00195A8B" w14:paraId="55E77746" w14:textId="77777777" w:rsidTr="00CA33B8">
        <w:tc>
          <w:tcPr>
            <w:tcW w:w="2405" w:type="dxa"/>
          </w:tcPr>
          <w:p w14:paraId="72D515DD"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Separated</w:t>
            </w:r>
          </w:p>
        </w:tc>
        <w:tc>
          <w:tcPr>
            <w:tcW w:w="1910" w:type="dxa"/>
            <w:gridSpan w:val="2"/>
            <w:shd w:val="clear" w:color="auto" w:fill="auto"/>
          </w:tcPr>
          <w:p w14:paraId="73B4A8DB"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eastAsia="en-US"/>
              </w:rPr>
              <w:t>9</w:t>
            </w:r>
          </w:p>
        </w:tc>
        <w:tc>
          <w:tcPr>
            <w:tcW w:w="1710" w:type="dxa"/>
            <w:gridSpan w:val="2"/>
            <w:shd w:val="clear" w:color="auto" w:fill="auto"/>
          </w:tcPr>
          <w:p w14:paraId="74BED736"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64.3</w:t>
            </w:r>
          </w:p>
        </w:tc>
        <w:tc>
          <w:tcPr>
            <w:tcW w:w="1710" w:type="dxa"/>
            <w:gridSpan w:val="2"/>
            <w:shd w:val="clear" w:color="auto" w:fill="auto"/>
          </w:tcPr>
          <w:p w14:paraId="585323FC"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eastAsia="en-US"/>
              </w:rPr>
              <w:t>5</w:t>
            </w:r>
          </w:p>
        </w:tc>
        <w:tc>
          <w:tcPr>
            <w:tcW w:w="1890" w:type="dxa"/>
            <w:gridSpan w:val="2"/>
            <w:shd w:val="clear" w:color="auto" w:fill="auto"/>
          </w:tcPr>
          <w:p w14:paraId="08984DA5"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kern w:val="2"/>
                <w:lang w:eastAsia="en-US"/>
              </w:rPr>
              <w:t>35.7</w:t>
            </w:r>
          </w:p>
        </w:tc>
      </w:tr>
      <w:tr w:rsidR="00195A8B" w:rsidRPr="00195A8B" w14:paraId="3976DB73" w14:textId="77777777" w:rsidTr="00CA33B8">
        <w:tc>
          <w:tcPr>
            <w:tcW w:w="2405" w:type="dxa"/>
          </w:tcPr>
          <w:p w14:paraId="2BD7AB72"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Other specify</w:t>
            </w:r>
          </w:p>
        </w:tc>
        <w:tc>
          <w:tcPr>
            <w:tcW w:w="1910" w:type="dxa"/>
            <w:gridSpan w:val="2"/>
            <w:shd w:val="clear" w:color="auto" w:fill="auto"/>
          </w:tcPr>
          <w:p w14:paraId="0BD9074A" w14:textId="77777777" w:rsidR="00195A8B" w:rsidRPr="00195A8B" w:rsidRDefault="00195A8B" w:rsidP="00195A8B">
            <w:pPr>
              <w:spacing w:after="0" w:line="240" w:lineRule="auto"/>
              <w:rPr>
                <w:rFonts w:ascii="Times New Roman" w:eastAsia="Calibri" w:hAnsi="Times New Roman" w:cs="Times New Roman"/>
                <w:bCs/>
                <w:kern w:val="2"/>
                <w:lang w:eastAsia="en-US"/>
              </w:rPr>
            </w:pPr>
            <w:r w:rsidRPr="00195A8B">
              <w:rPr>
                <w:rFonts w:ascii="Times New Roman" w:eastAsia="Calibri" w:hAnsi="Times New Roman" w:cs="Times New Roman"/>
                <w:bCs/>
                <w:kern w:val="2"/>
                <w:lang w:eastAsia="en-US"/>
              </w:rPr>
              <w:t>5</w:t>
            </w:r>
          </w:p>
        </w:tc>
        <w:tc>
          <w:tcPr>
            <w:tcW w:w="1710" w:type="dxa"/>
            <w:gridSpan w:val="2"/>
            <w:shd w:val="clear" w:color="auto" w:fill="auto"/>
          </w:tcPr>
          <w:p w14:paraId="1FF95151" w14:textId="77777777" w:rsidR="00195A8B" w:rsidRPr="00195A8B" w:rsidRDefault="00195A8B" w:rsidP="00195A8B">
            <w:pPr>
              <w:spacing w:after="0" w:line="240" w:lineRule="auto"/>
              <w:rPr>
                <w:rFonts w:ascii="Times New Roman" w:eastAsia="Calibri" w:hAnsi="Times New Roman" w:cs="Times New Roman"/>
                <w:b/>
                <w:bCs/>
                <w:kern w:val="2"/>
                <w:lang w:eastAsia="en-US"/>
              </w:rPr>
            </w:pPr>
            <w:r w:rsidRPr="00195A8B">
              <w:rPr>
                <w:rFonts w:ascii="Times New Roman" w:eastAsia="Calibri" w:hAnsi="Times New Roman" w:cs="Times New Roman"/>
                <w:kern w:val="2"/>
                <w:lang w:eastAsia="en-US"/>
              </w:rPr>
              <w:t>100.0</w:t>
            </w:r>
          </w:p>
        </w:tc>
        <w:tc>
          <w:tcPr>
            <w:tcW w:w="1710" w:type="dxa"/>
            <w:gridSpan w:val="2"/>
            <w:shd w:val="clear" w:color="auto" w:fill="auto"/>
          </w:tcPr>
          <w:p w14:paraId="3AB14314" w14:textId="77777777" w:rsidR="00195A8B" w:rsidRPr="00195A8B" w:rsidRDefault="00195A8B" w:rsidP="00195A8B">
            <w:pPr>
              <w:spacing w:after="0" w:line="240" w:lineRule="auto"/>
              <w:rPr>
                <w:rFonts w:ascii="Times New Roman" w:eastAsia="Calibri" w:hAnsi="Times New Roman" w:cs="Times New Roman"/>
                <w:b/>
                <w:bCs/>
                <w:kern w:val="2"/>
                <w:lang w:eastAsia="en-US"/>
              </w:rPr>
            </w:pPr>
            <w:r w:rsidRPr="00195A8B">
              <w:rPr>
                <w:rFonts w:ascii="Times New Roman" w:eastAsia="Calibri" w:hAnsi="Times New Roman" w:cs="Times New Roman"/>
                <w:b/>
                <w:bCs/>
                <w:kern w:val="2"/>
                <w:lang w:eastAsia="en-US"/>
              </w:rPr>
              <w:t>0</w:t>
            </w:r>
          </w:p>
        </w:tc>
        <w:tc>
          <w:tcPr>
            <w:tcW w:w="1890" w:type="dxa"/>
            <w:gridSpan w:val="2"/>
            <w:shd w:val="clear" w:color="auto" w:fill="auto"/>
          </w:tcPr>
          <w:p w14:paraId="3D672803" w14:textId="77777777" w:rsidR="00195A8B" w:rsidRPr="00195A8B" w:rsidRDefault="00195A8B" w:rsidP="00195A8B">
            <w:pPr>
              <w:spacing w:after="0" w:line="240" w:lineRule="auto"/>
              <w:rPr>
                <w:rFonts w:ascii="Times New Roman" w:eastAsia="Calibri" w:hAnsi="Times New Roman" w:cs="Times New Roman"/>
                <w:bCs/>
                <w:kern w:val="2"/>
                <w:lang w:eastAsia="en-US"/>
              </w:rPr>
            </w:pPr>
            <w:r w:rsidRPr="00195A8B">
              <w:rPr>
                <w:rFonts w:ascii="Times New Roman" w:eastAsia="Calibri" w:hAnsi="Times New Roman" w:cs="Times New Roman"/>
                <w:bCs/>
                <w:kern w:val="2"/>
                <w:lang w:eastAsia="en-US"/>
              </w:rPr>
              <w:t>0</w:t>
            </w:r>
          </w:p>
        </w:tc>
      </w:tr>
      <w:tr w:rsidR="00195A8B" w:rsidRPr="00195A8B" w14:paraId="712280FF" w14:textId="77777777" w:rsidTr="00CA33B8">
        <w:tc>
          <w:tcPr>
            <w:tcW w:w="2405" w:type="dxa"/>
          </w:tcPr>
          <w:p w14:paraId="1FCD94E2" w14:textId="77777777" w:rsidR="00195A8B" w:rsidRPr="00195A8B" w:rsidRDefault="00195A8B" w:rsidP="00195A8B">
            <w:pPr>
              <w:spacing w:after="0" w:line="240" w:lineRule="auto"/>
              <w:rPr>
                <w:rFonts w:ascii="Times New Roman" w:eastAsia="Calibri" w:hAnsi="Times New Roman" w:cs="Times New Roman"/>
                <w:bCs/>
                <w:kern w:val="2"/>
                <w:lang w:val="en-GB" w:eastAsia="en-US"/>
              </w:rPr>
            </w:pPr>
            <w:r w:rsidRPr="00195A8B">
              <w:rPr>
                <w:rFonts w:ascii="Times New Roman" w:eastAsia="Calibri" w:hAnsi="Times New Roman" w:cs="Times New Roman"/>
                <w:bCs/>
                <w:kern w:val="2"/>
                <w:lang w:val="en-GB" w:eastAsia="en-US"/>
              </w:rPr>
              <w:t>Total</w:t>
            </w:r>
          </w:p>
        </w:tc>
        <w:tc>
          <w:tcPr>
            <w:tcW w:w="1910" w:type="dxa"/>
            <w:gridSpan w:val="2"/>
            <w:shd w:val="clear" w:color="auto" w:fill="auto"/>
          </w:tcPr>
          <w:p w14:paraId="2CD56E3B" w14:textId="77777777" w:rsidR="00195A8B" w:rsidRPr="00195A8B" w:rsidRDefault="00195A8B" w:rsidP="00195A8B">
            <w:pPr>
              <w:spacing w:after="0" w:line="240" w:lineRule="auto"/>
              <w:rPr>
                <w:rFonts w:ascii="Times New Roman" w:eastAsia="Calibri" w:hAnsi="Times New Roman" w:cs="Times New Roman"/>
                <w:kern w:val="2"/>
                <w:lang w:eastAsia="en-US"/>
              </w:rPr>
            </w:pPr>
            <w:r w:rsidRPr="00195A8B">
              <w:rPr>
                <w:rFonts w:ascii="Times New Roman" w:eastAsia="Calibri" w:hAnsi="Times New Roman" w:cs="Times New Roman"/>
                <w:b/>
                <w:bCs/>
                <w:kern w:val="2"/>
                <w:lang w:eastAsia="en-US"/>
              </w:rPr>
              <w:t>343</w:t>
            </w:r>
          </w:p>
        </w:tc>
        <w:tc>
          <w:tcPr>
            <w:tcW w:w="1710" w:type="dxa"/>
            <w:gridSpan w:val="2"/>
            <w:shd w:val="clear" w:color="auto" w:fill="auto"/>
          </w:tcPr>
          <w:p w14:paraId="12F295E4"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b/>
                <w:kern w:val="2"/>
                <w:lang w:eastAsia="en-US"/>
              </w:rPr>
              <w:t>69.3</w:t>
            </w:r>
          </w:p>
        </w:tc>
        <w:tc>
          <w:tcPr>
            <w:tcW w:w="1710" w:type="dxa"/>
            <w:gridSpan w:val="2"/>
            <w:shd w:val="clear" w:color="auto" w:fill="auto"/>
          </w:tcPr>
          <w:p w14:paraId="7F6D181A"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b/>
                <w:bCs/>
                <w:kern w:val="2"/>
                <w:lang w:eastAsia="en-US"/>
              </w:rPr>
              <w:t>152</w:t>
            </w:r>
          </w:p>
        </w:tc>
        <w:tc>
          <w:tcPr>
            <w:tcW w:w="1890" w:type="dxa"/>
            <w:gridSpan w:val="2"/>
            <w:shd w:val="clear" w:color="auto" w:fill="auto"/>
          </w:tcPr>
          <w:p w14:paraId="17429A34" w14:textId="77777777" w:rsidR="00195A8B" w:rsidRPr="00195A8B" w:rsidRDefault="00195A8B" w:rsidP="00195A8B">
            <w:pPr>
              <w:spacing w:after="0" w:line="240" w:lineRule="auto"/>
              <w:rPr>
                <w:rFonts w:ascii="Times New Roman" w:eastAsia="Calibri" w:hAnsi="Times New Roman" w:cs="Times New Roman"/>
                <w:b/>
                <w:bCs/>
                <w:kern w:val="2"/>
                <w:lang w:val="en-GB" w:eastAsia="en-US"/>
              </w:rPr>
            </w:pPr>
            <w:r w:rsidRPr="00195A8B">
              <w:rPr>
                <w:rFonts w:ascii="Times New Roman" w:eastAsia="Calibri" w:hAnsi="Times New Roman" w:cs="Times New Roman"/>
                <w:b/>
                <w:kern w:val="2"/>
                <w:lang w:eastAsia="en-US"/>
              </w:rPr>
              <w:t>30.7</w:t>
            </w:r>
          </w:p>
        </w:tc>
      </w:tr>
    </w:tbl>
    <w:p w14:paraId="53BBBB1C" w14:textId="77777777" w:rsidR="00195A8B" w:rsidRPr="00195A8B" w:rsidRDefault="00195A8B" w:rsidP="00195A8B">
      <w:pPr>
        <w:spacing w:after="160" w:line="259" w:lineRule="auto"/>
        <w:jc w:val="both"/>
        <w:rPr>
          <w:rFonts w:ascii="Times New Roman" w:eastAsia="Calibri" w:hAnsi="Times New Roman" w:cs="Times New Roman"/>
          <w:kern w:val="2"/>
          <w:sz w:val="24"/>
          <w:szCs w:val="24"/>
          <w:lang w:eastAsia="en-US"/>
        </w:rPr>
      </w:pPr>
      <w:r w:rsidRPr="00195A8B">
        <w:rPr>
          <w:rFonts w:ascii="Times New Roman" w:eastAsia="Calibri" w:hAnsi="Times New Roman" w:cs="Times New Roman"/>
          <w:b/>
          <w:bCs/>
          <w:kern w:val="2"/>
          <w:sz w:val="24"/>
          <w:szCs w:val="24"/>
          <w:lang w:eastAsia="en-US"/>
        </w:rPr>
        <w:t>Source</w:t>
      </w:r>
      <w:r w:rsidRPr="00195A8B">
        <w:rPr>
          <w:rFonts w:ascii="Times New Roman" w:eastAsia="Calibri" w:hAnsi="Times New Roman" w:cs="Times New Roman"/>
          <w:kern w:val="2"/>
          <w:sz w:val="24"/>
          <w:szCs w:val="24"/>
          <w:lang w:eastAsia="en-US"/>
        </w:rPr>
        <w:t>: Survey field data, 2023/2024</w:t>
      </w:r>
    </w:p>
    <w:p w14:paraId="64060067" w14:textId="2FB13A69" w:rsidR="00195A8B" w:rsidRPr="00195A8B" w:rsidRDefault="00E77EF6" w:rsidP="00E77EF6">
      <w:pPr>
        <w:adjustRightInd w:val="0"/>
        <w:spacing w:after="0" w:line="259" w:lineRule="auto"/>
        <w:rPr>
          <w:rFonts w:ascii="Times New Roman" w:eastAsia="Calibri" w:hAnsi="Times New Roman" w:cs="Times New Roman"/>
          <w:b/>
          <w:bCs/>
          <w:kern w:val="2"/>
          <w:sz w:val="24"/>
          <w:szCs w:val="24"/>
          <w:lang w:val="en-GB" w:eastAsia="en-US"/>
        </w:rPr>
      </w:pPr>
      <w:r>
        <w:rPr>
          <w:rFonts w:ascii="Times New Roman" w:eastAsia="Calibri" w:hAnsi="Times New Roman" w:cs="Times New Roman"/>
          <w:b/>
          <w:bCs/>
          <w:kern w:val="2"/>
          <w:sz w:val="24"/>
          <w:szCs w:val="24"/>
          <w:lang w:val="en-GB" w:eastAsia="en-US"/>
        </w:rPr>
        <w:t>3.2. Comparison</w:t>
      </w:r>
      <w:r w:rsidR="00195A8B" w:rsidRPr="00195A8B">
        <w:rPr>
          <w:rFonts w:ascii="Times New Roman" w:eastAsia="Calibri" w:hAnsi="Times New Roman" w:cs="Times New Roman"/>
          <w:b/>
          <w:bCs/>
          <w:kern w:val="2"/>
          <w:sz w:val="24"/>
          <w:szCs w:val="24"/>
          <w:lang w:val="en-GB" w:eastAsia="en-US"/>
        </w:rPr>
        <w:t xml:space="preserve"> of Economic Characteristics of Loan Beneficiaries between Arusha and Mara Regions</w:t>
      </w:r>
    </w:p>
    <w:p w14:paraId="554A6A73" w14:textId="7C9F2345" w:rsidR="00195A8B" w:rsidRPr="00195A8B" w:rsidRDefault="00E77EF6" w:rsidP="00195A8B">
      <w:pPr>
        <w:adjustRightInd w:val="0"/>
        <w:spacing w:after="0" w:line="259" w:lineRule="auto"/>
        <w:jc w:val="both"/>
        <w:rPr>
          <w:rFonts w:ascii="Times New Roman" w:eastAsia="Calibri" w:hAnsi="Times New Roman" w:cs="Times New Roman"/>
          <w:kern w:val="2"/>
          <w:sz w:val="24"/>
          <w:szCs w:val="24"/>
          <w:lang w:val="en-GB" w:eastAsia="en-US"/>
        </w:rPr>
      </w:pPr>
      <w:r>
        <w:rPr>
          <w:rFonts w:ascii="Times New Roman" w:eastAsia="Calibri" w:hAnsi="Times New Roman" w:cs="Times New Roman"/>
          <w:b/>
          <w:bCs/>
          <w:kern w:val="2"/>
          <w:sz w:val="24"/>
          <w:szCs w:val="24"/>
          <w:lang w:eastAsia="en-US"/>
        </w:rPr>
        <w:t>3.2.1.</w:t>
      </w:r>
      <w:r w:rsidR="00195A8B" w:rsidRPr="00195A8B">
        <w:rPr>
          <w:rFonts w:ascii="Times New Roman" w:eastAsia="Calibri" w:hAnsi="Times New Roman" w:cs="Times New Roman"/>
          <w:b/>
          <w:bCs/>
          <w:kern w:val="2"/>
          <w:sz w:val="24"/>
          <w:szCs w:val="24"/>
          <w:lang w:eastAsia="en-US"/>
        </w:rPr>
        <w:t xml:space="preserve"> Comparison of Enterprises Operated among Loan Beneficiaries between Arusha and Mara Regions</w:t>
      </w:r>
    </w:p>
    <w:p w14:paraId="22E2A15C" w14:textId="349ACAE0"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 xml:space="preserve">The comparative analysis of enterprises operated among Loan beneficiaries in Arusha and Mara reveals notable regional and demographic variations reflecting economic structures, resource endowments, and livelihood strategies within these regions (Table </w:t>
      </w:r>
      <w:r w:rsidR="00E77EF6">
        <w:rPr>
          <w:rFonts w:ascii="Times New Roman" w:eastAsia="Calibri" w:hAnsi="Times New Roman" w:cs="Times New Roman"/>
          <w:kern w:val="2"/>
          <w:sz w:val="24"/>
          <w:szCs w:val="24"/>
          <w:lang w:val="en-GB" w:eastAsia="en-US"/>
        </w:rPr>
        <w:t>3</w:t>
      </w:r>
      <w:r w:rsidRPr="00195A8B">
        <w:rPr>
          <w:rFonts w:ascii="Times New Roman" w:eastAsia="Calibri" w:hAnsi="Times New Roman" w:cs="Times New Roman"/>
          <w:kern w:val="2"/>
          <w:sz w:val="24"/>
          <w:szCs w:val="24"/>
          <w:lang w:val="en-GB" w:eastAsia="en-US"/>
        </w:rPr>
        <w:t xml:space="preserve"> and Figure 1).</w:t>
      </w:r>
    </w:p>
    <w:p w14:paraId="6B550941"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 xml:space="preserve">In Arusha, women’s groups predominantly engage in petty business (72.3%), consistent with </w:t>
      </w:r>
      <w:proofErr w:type="spellStart"/>
      <w:r w:rsidRPr="00195A8B">
        <w:rPr>
          <w:rFonts w:ascii="Times New Roman" w:eastAsia="Calibri" w:hAnsi="Times New Roman" w:cs="Times New Roman"/>
          <w:kern w:val="2"/>
          <w:sz w:val="24"/>
          <w:szCs w:val="24"/>
          <w:lang w:val="en-GB" w:eastAsia="en-US"/>
        </w:rPr>
        <w:t>Chongela</w:t>
      </w:r>
      <w:proofErr w:type="spellEnd"/>
      <w:r w:rsidRPr="00195A8B">
        <w:rPr>
          <w:rFonts w:ascii="Times New Roman" w:eastAsia="Calibri" w:hAnsi="Times New Roman" w:cs="Times New Roman"/>
          <w:kern w:val="2"/>
          <w:sz w:val="24"/>
          <w:szCs w:val="24"/>
          <w:lang w:val="en-GB" w:eastAsia="en-US"/>
        </w:rPr>
        <w:t xml:space="preserve"> (2015) and ILO (2019), which highlight the prevalence of trade-based microenterprises in urban and peri-urban Tanzanian settings, where access to markets facilitates small-scale retail and informal trade as a viable livelihood strategy for women. Livestock keeping (38.7%) and crop production (13.4%) also feature prominently, indicating partial engagement with </w:t>
      </w:r>
      <w:proofErr w:type="spellStart"/>
      <w:r w:rsidRPr="00195A8B">
        <w:rPr>
          <w:rFonts w:ascii="Times New Roman" w:eastAsia="Calibri" w:hAnsi="Times New Roman" w:cs="Times New Roman"/>
          <w:kern w:val="2"/>
          <w:sz w:val="24"/>
          <w:szCs w:val="24"/>
          <w:lang w:val="en-GB" w:eastAsia="en-US"/>
        </w:rPr>
        <w:t>agri</w:t>
      </w:r>
      <w:proofErr w:type="spellEnd"/>
      <w:r w:rsidRPr="00195A8B">
        <w:rPr>
          <w:rFonts w:ascii="Times New Roman" w:eastAsia="Calibri" w:hAnsi="Times New Roman" w:cs="Times New Roman"/>
          <w:kern w:val="2"/>
          <w:sz w:val="24"/>
          <w:szCs w:val="24"/>
          <w:lang w:val="en-GB" w:eastAsia="en-US"/>
        </w:rPr>
        <w:t>-based activities, although land scarcity in Arusha limits extensive cultivation, in line with URT (2021) findings on urban agricultural practices. The engagement in formal employment (12.6%) and poultry keeping (14.3%) underscores a diversification strategy often recommended in economic empowerment literature (see Kabeer, 1999; Scoones, 2015) as a means of risk mitigation in the face of fluctuating market and climate conditions.</w:t>
      </w:r>
    </w:p>
    <w:p w14:paraId="385103B7"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lastRenderedPageBreak/>
        <w:t xml:space="preserve">For youth-led groups in Arusha, petty business (50.9%) and livestock keeping (39.6%) are also predominant, aligning with </w:t>
      </w:r>
      <w:proofErr w:type="spellStart"/>
      <w:r w:rsidRPr="00195A8B">
        <w:rPr>
          <w:rFonts w:ascii="Times New Roman" w:eastAsia="Calibri" w:hAnsi="Times New Roman" w:cs="Times New Roman"/>
          <w:kern w:val="2"/>
          <w:sz w:val="24"/>
          <w:szCs w:val="24"/>
          <w:lang w:val="en-GB" w:eastAsia="en-US"/>
        </w:rPr>
        <w:t>Martey</w:t>
      </w:r>
      <w:proofErr w:type="spellEnd"/>
      <w:r w:rsidRPr="00195A8B">
        <w:rPr>
          <w:rFonts w:ascii="Times New Roman" w:eastAsia="Calibri" w:hAnsi="Times New Roman" w:cs="Times New Roman"/>
          <w:kern w:val="2"/>
          <w:sz w:val="24"/>
          <w:szCs w:val="24"/>
          <w:lang w:val="en-GB" w:eastAsia="en-US"/>
        </w:rPr>
        <w:t xml:space="preserve"> et al. (2012) who argue that youth entrepreneurs often gravitate toward low-capital, quick-return ventures like petty trading while engaging in livestock as a form of capital accumulation. The relatively lower engagement in crop production (20.8%) reflects urban land constraints, while the inclusion of transportation services (15.1%) indicates adaptive entrepreneurship among youth responding to mobility service gaps, a trend similarly observed in youth studies in urban Kenya and Ghana (World Bank, 2014; Filmer &amp; Fox, 2014). The engagement in construction services (1.9%) indicates minor but notable diversification toward semi-skilled sectors.</w:t>
      </w:r>
    </w:p>
    <w:p w14:paraId="17085C20"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For special needs groups in Arusha, the sole enterprise type reported is livestock keeping (100%), reflecting limited diversification. This narrow focus may result from accessibility challenges, resource constraints, and limited targeted support for enterprise diversification among PWDs, consistent with ILO (2020) recommendations for targeted interventions to broaden enterprise participation for PWDs.</w:t>
      </w:r>
    </w:p>
    <w:p w14:paraId="36C2E688"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In Mara, women’s groups display higher participation in crop production (55.7%) and livestock keeping (39.3%), alongside petty business (75.4%). The higher engagement in agriculture reflects Mara’s rural and agrarian context, where land availability allows for broader crop and livestock enterprises, consistent with Jayne et al. (2016) on rural enterprise patterns in Tanzania. Poultry (16.4%) supplements these activities, often serving as a secondary income source and food security buffer, aligning with FAO (2018) insights on rural women’s economic resilience strategies.</w:t>
      </w:r>
    </w:p>
    <w:p w14:paraId="6E12BE01"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Youth groups in Mara also reflect strong participation in crop production (57.1%), livestock keeping (61.9%), and petty business (66.7%), indicating an integrated agribusiness approach. The inclusion of construction services (14.3%) and poultry (14.3%) suggests a diversification pattern that aligns with Fox &amp; Kaul (2017), who noted that youth in rural Africa increasingly engage in multi-enterprise livelihoods to address seasonality and market volatility. These patterns illustrate that youth in Mara leverage available land resources while seeking supplementary income streams in services and small-scale agribusiness.</w:t>
      </w:r>
    </w:p>
    <w:p w14:paraId="60101AF5"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 xml:space="preserve">Special needs groups in Mara show notable enterprise diversity, with engagement in crop production (66.7%), petty business (73.3%), livestock keeping (40.0%), and poultry (20%). This </w:t>
      </w:r>
      <w:r w:rsidRPr="00195A8B">
        <w:rPr>
          <w:rFonts w:ascii="Times New Roman" w:eastAsia="Calibri" w:hAnsi="Times New Roman" w:cs="Times New Roman"/>
          <w:kern w:val="2"/>
          <w:sz w:val="24"/>
          <w:szCs w:val="24"/>
          <w:lang w:val="en-GB" w:eastAsia="en-US"/>
        </w:rPr>
        <w:lastRenderedPageBreak/>
        <w:t xml:space="preserve">diversity is encouraging, indicating potential improvements in inclusive economic participation among PWDs in rural contexts, contrasting with the narrower participation seen in Arusha. However, the lower participation in construction services (6.7%) suggests limited entry into skilled </w:t>
      </w:r>
      <w:proofErr w:type="spellStart"/>
      <w:r w:rsidRPr="00195A8B">
        <w:rPr>
          <w:rFonts w:ascii="Times New Roman" w:eastAsia="Calibri" w:hAnsi="Times New Roman" w:cs="Times New Roman"/>
          <w:kern w:val="2"/>
          <w:sz w:val="24"/>
          <w:szCs w:val="24"/>
          <w:lang w:val="en-GB" w:eastAsia="en-US"/>
        </w:rPr>
        <w:t>labor</w:t>
      </w:r>
      <w:proofErr w:type="spellEnd"/>
      <w:r w:rsidRPr="00195A8B">
        <w:rPr>
          <w:rFonts w:ascii="Times New Roman" w:eastAsia="Calibri" w:hAnsi="Times New Roman" w:cs="Times New Roman"/>
          <w:kern w:val="2"/>
          <w:sz w:val="24"/>
          <w:szCs w:val="24"/>
          <w:lang w:val="en-GB" w:eastAsia="en-US"/>
        </w:rPr>
        <w:t xml:space="preserve"> markets, consistent with Banks &amp; Polack (2014), who highlight structural barriers faced by PWDs in diversifying their economic activities.</w:t>
      </w:r>
    </w:p>
    <w:p w14:paraId="64E706BD"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Overall, the findings reveal that while petty business remains a dominant enterprise type across both regions, Mara beneficiaries exhibit stronger participation in agriculture-based enterprises compared to Arusha, reflecting regional resource endowments and economic structures. This aligns with Scoones (2015), who emphasizes that livelihood choices are shaped by access to assets, institutional frameworks, and broader socio-economic conditions.</w:t>
      </w:r>
    </w:p>
    <w:p w14:paraId="0DFA636B" w14:textId="2B2A79F9" w:rsidR="00195A8B" w:rsidRPr="00195A8B" w:rsidRDefault="00195A8B" w:rsidP="00195A8B">
      <w:pPr>
        <w:spacing w:after="0" w:line="259" w:lineRule="auto"/>
        <w:jc w:val="both"/>
        <w:rPr>
          <w:rFonts w:ascii="Times New Roman" w:eastAsia="Calibri" w:hAnsi="Times New Roman" w:cs="Times New Roman"/>
          <w:b/>
          <w:bCs/>
          <w:kern w:val="2"/>
          <w:sz w:val="24"/>
          <w:szCs w:val="24"/>
          <w:lang w:eastAsia="en-US"/>
        </w:rPr>
      </w:pPr>
      <w:r w:rsidRPr="00195A8B">
        <w:rPr>
          <w:rFonts w:ascii="Times New Roman" w:eastAsia="Calibri" w:hAnsi="Times New Roman" w:cs="Times New Roman"/>
          <w:b/>
          <w:bCs/>
          <w:kern w:val="2"/>
          <w:sz w:val="24"/>
          <w:szCs w:val="24"/>
          <w:lang w:eastAsia="en-US"/>
        </w:rPr>
        <w:t xml:space="preserve">Table </w:t>
      </w:r>
      <w:r w:rsidR="00E77EF6">
        <w:rPr>
          <w:rFonts w:ascii="Times New Roman" w:eastAsia="Calibri" w:hAnsi="Times New Roman" w:cs="Times New Roman"/>
          <w:b/>
          <w:bCs/>
          <w:kern w:val="2"/>
          <w:sz w:val="24"/>
          <w:szCs w:val="24"/>
          <w:lang w:eastAsia="en-US"/>
        </w:rPr>
        <w:t>3</w:t>
      </w:r>
      <w:r w:rsidRPr="00195A8B">
        <w:rPr>
          <w:rFonts w:ascii="Times New Roman" w:eastAsia="Calibri" w:hAnsi="Times New Roman" w:cs="Times New Roman"/>
          <w:b/>
          <w:bCs/>
          <w:kern w:val="2"/>
          <w:sz w:val="24"/>
          <w:szCs w:val="24"/>
          <w:lang w:eastAsia="en-US"/>
        </w:rPr>
        <w:t xml:space="preserve">. </w:t>
      </w:r>
      <w:bookmarkStart w:id="5" w:name="_Hlk202848903"/>
      <w:r w:rsidRPr="00195A8B">
        <w:rPr>
          <w:rFonts w:ascii="Times New Roman" w:eastAsia="Calibri" w:hAnsi="Times New Roman" w:cs="Times New Roman"/>
          <w:b/>
          <w:bCs/>
          <w:kern w:val="2"/>
          <w:sz w:val="24"/>
          <w:szCs w:val="24"/>
          <w:lang w:eastAsia="en-US"/>
        </w:rPr>
        <w:t>Comparison of Enterprises Operated among Loan Beneficiaries between Arusha and Mara Regions (N=495)</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0"/>
        <w:gridCol w:w="1743"/>
        <w:gridCol w:w="2774"/>
        <w:gridCol w:w="2105"/>
        <w:gridCol w:w="1818"/>
      </w:tblGrid>
      <w:tr w:rsidR="00195A8B" w:rsidRPr="00195A8B" w14:paraId="1C399B05" w14:textId="77777777" w:rsidTr="00CA33B8">
        <w:trPr>
          <w:cantSplit/>
        </w:trPr>
        <w:tc>
          <w:tcPr>
            <w:tcW w:w="497" w:type="pct"/>
            <w:shd w:val="clear" w:color="auto" w:fill="auto"/>
            <w:vAlign w:val="bottom"/>
          </w:tcPr>
          <w:p w14:paraId="59C4C2C8" w14:textId="77777777" w:rsidR="00195A8B" w:rsidRPr="00195A8B" w:rsidRDefault="00195A8B" w:rsidP="00195A8B">
            <w:pPr>
              <w:spacing w:after="0" w:line="240" w:lineRule="auto"/>
              <w:rPr>
                <w:rFonts w:ascii="Times New Roman" w:eastAsia="Calibri" w:hAnsi="Times New Roman" w:cs="Times New Roman"/>
                <w:b/>
                <w:bCs/>
                <w:kern w:val="2"/>
                <w:sz w:val="24"/>
                <w:szCs w:val="24"/>
                <w:lang w:eastAsia="en-US"/>
              </w:rPr>
            </w:pPr>
            <w:r w:rsidRPr="00195A8B">
              <w:rPr>
                <w:rFonts w:ascii="Times New Roman" w:eastAsia="Calibri" w:hAnsi="Times New Roman" w:cs="Times New Roman"/>
                <w:b/>
                <w:bCs/>
                <w:kern w:val="2"/>
                <w:sz w:val="24"/>
                <w:szCs w:val="24"/>
                <w:lang w:eastAsia="en-US"/>
              </w:rPr>
              <w:t xml:space="preserve">Region </w:t>
            </w:r>
          </w:p>
        </w:tc>
        <w:tc>
          <w:tcPr>
            <w:tcW w:w="930" w:type="pct"/>
            <w:shd w:val="clear" w:color="auto" w:fill="auto"/>
            <w:vAlign w:val="bottom"/>
          </w:tcPr>
          <w:p w14:paraId="6C71545C" w14:textId="77777777" w:rsidR="00195A8B" w:rsidRPr="00195A8B" w:rsidRDefault="00195A8B" w:rsidP="00195A8B">
            <w:pPr>
              <w:spacing w:after="0" w:line="240" w:lineRule="auto"/>
              <w:rPr>
                <w:rFonts w:ascii="Times New Roman" w:eastAsia="Calibri" w:hAnsi="Times New Roman" w:cs="Times New Roman"/>
                <w:b/>
                <w:bCs/>
                <w:kern w:val="2"/>
                <w:sz w:val="24"/>
                <w:szCs w:val="24"/>
                <w:lang w:eastAsia="en-US"/>
              </w:rPr>
            </w:pPr>
            <w:r w:rsidRPr="00195A8B">
              <w:rPr>
                <w:rFonts w:ascii="Times New Roman" w:eastAsia="Calibri" w:hAnsi="Times New Roman" w:cs="Times New Roman"/>
                <w:b/>
                <w:bCs/>
                <w:kern w:val="2"/>
                <w:sz w:val="24"/>
                <w:szCs w:val="24"/>
                <w:lang w:eastAsia="en-US"/>
              </w:rPr>
              <w:t>Type of Group</w:t>
            </w:r>
          </w:p>
        </w:tc>
        <w:tc>
          <w:tcPr>
            <w:tcW w:w="1480" w:type="pct"/>
            <w:shd w:val="clear" w:color="auto" w:fill="auto"/>
            <w:vAlign w:val="bottom"/>
          </w:tcPr>
          <w:p w14:paraId="52BE483B" w14:textId="77777777" w:rsidR="00195A8B" w:rsidRPr="00195A8B" w:rsidRDefault="00195A8B" w:rsidP="00195A8B">
            <w:pPr>
              <w:spacing w:after="0" w:line="240" w:lineRule="auto"/>
              <w:rPr>
                <w:rFonts w:ascii="Times New Roman" w:eastAsia="Calibri" w:hAnsi="Times New Roman" w:cs="Times New Roman"/>
                <w:b/>
                <w:bCs/>
                <w:kern w:val="2"/>
                <w:sz w:val="24"/>
                <w:szCs w:val="24"/>
                <w:lang w:eastAsia="en-US"/>
              </w:rPr>
            </w:pPr>
            <w:r w:rsidRPr="00195A8B">
              <w:rPr>
                <w:rFonts w:ascii="Times New Roman" w:eastAsia="Calibri" w:hAnsi="Times New Roman" w:cs="Times New Roman"/>
                <w:b/>
                <w:bCs/>
                <w:kern w:val="2"/>
                <w:sz w:val="24"/>
                <w:szCs w:val="24"/>
                <w:lang w:eastAsia="en-US"/>
              </w:rPr>
              <w:t>Enterprise type</w:t>
            </w:r>
          </w:p>
        </w:tc>
        <w:tc>
          <w:tcPr>
            <w:tcW w:w="1123" w:type="pct"/>
            <w:shd w:val="clear" w:color="auto" w:fill="auto"/>
            <w:vAlign w:val="bottom"/>
          </w:tcPr>
          <w:p w14:paraId="68E5CE2E" w14:textId="77777777" w:rsidR="00195A8B" w:rsidRPr="00195A8B" w:rsidRDefault="00195A8B" w:rsidP="00195A8B">
            <w:pPr>
              <w:spacing w:after="0" w:line="240" w:lineRule="auto"/>
              <w:rPr>
                <w:rFonts w:ascii="Times New Roman" w:eastAsia="Calibri" w:hAnsi="Times New Roman" w:cs="Times New Roman"/>
                <w:b/>
                <w:bCs/>
                <w:kern w:val="2"/>
                <w:sz w:val="24"/>
                <w:szCs w:val="24"/>
                <w:lang w:eastAsia="en-US"/>
              </w:rPr>
            </w:pPr>
            <w:r w:rsidRPr="00195A8B">
              <w:rPr>
                <w:rFonts w:ascii="Times New Roman" w:eastAsia="Calibri" w:hAnsi="Times New Roman" w:cs="Times New Roman"/>
                <w:b/>
                <w:bCs/>
                <w:kern w:val="2"/>
                <w:sz w:val="24"/>
                <w:szCs w:val="24"/>
                <w:lang w:eastAsia="en-US"/>
              </w:rPr>
              <w:t>Frequency</w:t>
            </w:r>
          </w:p>
        </w:tc>
        <w:tc>
          <w:tcPr>
            <w:tcW w:w="970" w:type="pct"/>
            <w:shd w:val="clear" w:color="auto" w:fill="auto"/>
            <w:vAlign w:val="bottom"/>
          </w:tcPr>
          <w:p w14:paraId="5323B73E" w14:textId="77777777" w:rsidR="00195A8B" w:rsidRPr="00195A8B" w:rsidRDefault="00195A8B" w:rsidP="00195A8B">
            <w:pPr>
              <w:spacing w:after="0" w:line="240" w:lineRule="auto"/>
              <w:rPr>
                <w:rFonts w:ascii="Times New Roman" w:eastAsia="Calibri" w:hAnsi="Times New Roman" w:cs="Times New Roman"/>
                <w:b/>
                <w:bCs/>
                <w:kern w:val="2"/>
                <w:sz w:val="24"/>
                <w:szCs w:val="24"/>
                <w:lang w:eastAsia="en-US"/>
              </w:rPr>
            </w:pPr>
            <w:r w:rsidRPr="00195A8B">
              <w:rPr>
                <w:rFonts w:ascii="Times New Roman" w:eastAsia="Calibri" w:hAnsi="Times New Roman" w:cs="Times New Roman"/>
                <w:b/>
                <w:bCs/>
                <w:kern w:val="2"/>
                <w:sz w:val="24"/>
                <w:szCs w:val="24"/>
                <w:lang w:eastAsia="en-US"/>
              </w:rPr>
              <w:t>Percentage %</w:t>
            </w:r>
          </w:p>
        </w:tc>
      </w:tr>
      <w:tr w:rsidR="00195A8B" w:rsidRPr="00195A8B" w14:paraId="438C9F5F" w14:textId="77777777" w:rsidTr="00CA33B8">
        <w:trPr>
          <w:cantSplit/>
        </w:trPr>
        <w:tc>
          <w:tcPr>
            <w:tcW w:w="497" w:type="pct"/>
            <w:vMerge w:val="restart"/>
            <w:shd w:val="clear" w:color="auto" w:fill="auto"/>
          </w:tcPr>
          <w:p w14:paraId="68FCCBF5" w14:textId="77777777" w:rsidR="00195A8B" w:rsidRPr="00195A8B" w:rsidRDefault="00195A8B" w:rsidP="00195A8B">
            <w:pPr>
              <w:spacing w:after="0" w:line="240" w:lineRule="auto"/>
              <w:rPr>
                <w:rFonts w:ascii="Times New Roman" w:eastAsia="Calibri" w:hAnsi="Times New Roman" w:cs="Times New Roman"/>
                <w:b/>
                <w:kern w:val="2"/>
                <w:sz w:val="24"/>
                <w:szCs w:val="24"/>
                <w:lang w:eastAsia="en-US"/>
              </w:rPr>
            </w:pPr>
            <w:r w:rsidRPr="00195A8B">
              <w:rPr>
                <w:rFonts w:ascii="Times New Roman" w:eastAsia="Calibri" w:hAnsi="Times New Roman" w:cs="Times New Roman"/>
                <w:b/>
                <w:kern w:val="2"/>
                <w:sz w:val="24"/>
                <w:szCs w:val="24"/>
                <w:lang w:eastAsia="en-US"/>
              </w:rPr>
              <w:t>Arusha</w:t>
            </w:r>
          </w:p>
        </w:tc>
        <w:tc>
          <w:tcPr>
            <w:tcW w:w="930" w:type="pct"/>
            <w:vMerge w:val="restart"/>
            <w:shd w:val="clear" w:color="auto" w:fill="auto"/>
          </w:tcPr>
          <w:p w14:paraId="4529583C"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Women</w:t>
            </w:r>
          </w:p>
        </w:tc>
        <w:tc>
          <w:tcPr>
            <w:tcW w:w="1480" w:type="pct"/>
            <w:shd w:val="clear" w:color="auto" w:fill="auto"/>
          </w:tcPr>
          <w:p w14:paraId="5E2AD4A8"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Crop Production</w:t>
            </w:r>
          </w:p>
        </w:tc>
        <w:tc>
          <w:tcPr>
            <w:tcW w:w="1123" w:type="pct"/>
            <w:shd w:val="clear" w:color="auto" w:fill="auto"/>
          </w:tcPr>
          <w:p w14:paraId="2C2D0939"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16</w:t>
            </w:r>
          </w:p>
        </w:tc>
        <w:tc>
          <w:tcPr>
            <w:tcW w:w="970" w:type="pct"/>
            <w:shd w:val="clear" w:color="auto" w:fill="auto"/>
          </w:tcPr>
          <w:p w14:paraId="56C7A187"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13.4</w:t>
            </w:r>
          </w:p>
        </w:tc>
      </w:tr>
      <w:tr w:rsidR="00195A8B" w:rsidRPr="00195A8B" w14:paraId="6816031E" w14:textId="77777777" w:rsidTr="00CA33B8">
        <w:trPr>
          <w:cantSplit/>
        </w:trPr>
        <w:tc>
          <w:tcPr>
            <w:tcW w:w="497" w:type="pct"/>
            <w:vMerge/>
            <w:shd w:val="clear" w:color="auto" w:fill="auto"/>
          </w:tcPr>
          <w:p w14:paraId="04CAC580"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shd w:val="clear" w:color="auto" w:fill="auto"/>
          </w:tcPr>
          <w:p w14:paraId="720765A3"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1480" w:type="pct"/>
            <w:shd w:val="clear" w:color="auto" w:fill="auto"/>
          </w:tcPr>
          <w:p w14:paraId="20D30984"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Livestock Keeping</w:t>
            </w:r>
          </w:p>
        </w:tc>
        <w:tc>
          <w:tcPr>
            <w:tcW w:w="1123" w:type="pct"/>
            <w:shd w:val="clear" w:color="auto" w:fill="auto"/>
          </w:tcPr>
          <w:p w14:paraId="5B20C4A0"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46</w:t>
            </w:r>
          </w:p>
        </w:tc>
        <w:tc>
          <w:tcPr>
            <w:tcW w:w="970" w:type="pct"/>
            <w:shd w:val="clear" w:color="auto" w:fill="auto"/>
          </w:tcPr>
          <w:p w14:paraId="13240665"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38.7</w:t>
            </w:r>
          </w:p>
        </w:tc>
      </w:tr>
      <w:tr w:rsidR="00195A8B" w:rsidRPr="00195A8B" w14:paraId="6C90DE48" w14:textId="77777777" w:rsidTr="00CA33B8">
        <w:trPr>
          <w:cantSplit/>
        </w:trPr>
        <w:tc>
          <w:tcPr>
            <w:tcW w:w="497" w:type="pct"/>
            <w:vMerge/>
            <w:shd w:val="clear" w:color="auto" w:fill="auto"/>
          </w:tcPr>
          <w:p w14:paraId="2F82791B"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shd w:val="clear" w:color="auto" w:fill="auto"/>
          </w:tcPr>
          <w:p w14:paraId="3B6CC72B"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1480" w:type="pct"/>
            <w:shd w:val="clear" w:color="auto" w:fill="auto"/>
          </w:tcPr>
          <w:p w14:paraId="5721859A"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Petty Business</w:t>
            </w:r>
          </w:p>
        </w:tc>
        <w:tc>
          <w:tcPr>
            <w:tcW w:w="1123" w:type="pct"/>
            <w:shd w:val="clear" w:color="auto" w:fill="auto"/>
          </w:tcPr>
          <w:p w14:paraId="3C0F3BA3"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86</w:t>
            </w:r>
          </w:p>
        </w:tc>
        <w:tc>
          <w:tcPr>
            <w:tcW w:w="970" w:type="pct"/>
            <w:shd w:val="clear" w:color="auto" w:fill="auto"/>
          </w:tcPr>
          <w:p w14:paraId="2F6FBC20"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72.3</w:t>
            </w:r>
          </w:p>
        </w:tc>
      </w:tr>
      <w:tr w:rsidR="00195A8B" w:rsidRPr="00195A8B" w14:paraId="4982B3EF" w14:textId="77777777" w:rsidTr="00CA33B8">
        <w:trPr>
          <w:cantSplit/>
        </w:trPr>
        <w:tc>
          <w:tcPr>
            <w:tcW w:w="497" w:type="pct"/>
            <w:vMerge/>
            <w:shd w:val="clear" w:color="auto" w:fill="auto"/>
          </w:tcPr>
          <w:p w14:paraId="0CAC5503"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shd w:val="clear" w:color="auto" w:fill="auto"/>
          </w:tcPr>
          <w:p w14:paraId="4A461A72"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1480" w:type="pct"/>
            <w:shd w:val="clear" w:color="auto" w:fill="auto"/>
          </w:tcPr>
          <w:p w14:paraId="7E7176C1"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Formal Employment</w:t>
            </w:r>
          </w:p>
        </w:tc>
        <w:tc>
          <w:tcPr>
            <w:tcW w:w="1123" w:type="pct"/>
            <w:shd w:val="clear" w:color="auto" w:fill="auto"/>
          </w:tcPr>
          <w:p w14:paraId="61E5C72B"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15</w:t>
            </w:r>
          </w:p>
        </w:tc>
        <w:tc>
          <w:tcPr>
            <w:tcW w:w="970" w:type="pct"/>
            <w:shd w:val="clear" w:color="auto" w:fill="auto"/>
          </w:tcPr>
          <w:p w14:paraId="47169C9B"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12.6</w:t>
            </w:r>
          </w:p>
        </w:tc>
      </w:tr>
      <w:tr w:rsidR="00195A8B" w:rsidRPr="00195A8B" w14:paraId="41879C8B" w14:textId="77777777" w:rsidTr="00CA33B8">
        <w:trPr>
          <w:cantSplit/>
        </w:trPr>
        <w:tc>
          <w:tcPr>
            <w:tcW w:w="497" w:type="pct"/>
            <w:vMerge/>
            <w:shd w:val="clear" w:color="auto" w:fill="auto"/>
          </w:tcPr>
          <w:p w14:paraId="363DB88F"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shd w:val="clear" w:color="auto" w:fill="auto"/>
          </w:tcPr>
          <w:p w14:paraId="78DE0C87"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1480" w:type="pct"/>
            <w:shd w:val="clear" w:color="auto" w:fill="auto"/>
          </w:tcPr>
          <w:p w14:paraId="79939B4A"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Poultry</w:t>
            </w:r>
          </w:p>
        </w:tc>
        <w:tc>
          <w:tcPr>
            <w:tcW w:w="1123" w:type="pct"/>
            <w:shd w:val="clear" w:color="auto" w:fill="auto"/>
          </w:tcPr>
          <w:p w14:paraId="2EB956A7"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17</w:t>
            </w:r>
          </w:p>
        </w:tc>
        <w:tc>
          <w:tcPr>
            <w:tcW w:w="970" w:type="pct"/>
            <w:shd w:val="clear" w:color="auto" w:fill="auto"/>
          </w:tcPr>
          <w:p w14:paraId="173E0662"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14.3</w:t>
            </w:r>
          </w:p>
        </w:tc>
      </w:tr>
      <w:tr w:rsidR="00195A8B" w:rsidRPr="00195A8B" w14:paraId="16BB61D6" w14:textId="77777777" w:rsidTr="00CA33B8">
        <w:trPr>
          <w:cantSplit/>
        </w:trPr>
        <w:tc>
          <w:tcPr>
            <w:tcW w:w="497" w:type="pct"/>
            <w:vMerge/>
            <w:shd w:val="clear" w:color="auto" w:fill="auto"/>
          </w:tcPr>
          <w:p w14:paraId="0A8D4A27"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shd w:val="clear" w:color="auto" w:fill="auto"/>
          </w:tcPr>
          <w:p w14:paraId="696282D9"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1480" w:type="pct"/>
            <w:shd w:val="clear" w:color="auto" w:fill="auto"/>
          </w:tcPr>
          <w:p w14:paraId="0342A005"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Construction services</w:t>
            </w:r>
          </w:p>
        </w:tc>
        <w:tc>
          <w:tcPr>
            <w:tcW w:w="1123" w:type="pct"/>
            <w:shd w:val="clear" w:color="auto" w:fill="auto"/>
          </w:tcPr>
          <w:p w14:paraId="2E01837C"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1</w:t>
            </w:r>
          </w:p>
        </w:tc>
        <w:tc>
          <w:tcPr>
            <w:tcW w:w="970" w:type="pct"/>
            <w:shd w:val="clear" w:color="auto" w:fill="auto"/>
          </w:tcPr>
          <w:p w14:paraId="0B1DF136"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0.8</w:t>
            </w:r>
          </w:p>
        </w:tc>
      </w:tr>
      <w:tr w:rsidR="00195A8B" w:rsidRPr="00195A8B" w14:paraId="00B3B6AC" w14:textId="77777777" w:rsidTr="00CA33B8">
        <w:trPr>
          <w:cantSplit/>
        </w:trPr>
        <w:tc>
          <w:tcPr>
            <w:tcW w:w="497" w:type="pct"/>
            <w:vMerge/>
            <w:shd w:val="clear" w:color="auto" w:fill="auto"/>
          </w:tcPr>
          <w:p w14:paraId="2DA51194"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shd w:val="clear" w:color="auto" w:fill="auto"/>
          </w:tcPr>
          <w:p w14:paraId="30A03581"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1480" w:type="pct"/>
            <w:shd w:val="clear" w:color="auto" w:fill="auto"/>
          </w:tcPr>
          <w:p w14:paraId="0D316E6F"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Small scale mining</w:t>
            </w:r>
          </w:p>
        </w:tc>
        <w:tc>
          <w:tcPr>
            <w:tcW w:w="1123" w:type="pct"/>
            <w:shd w:val="clear" w:color="auto" w:fill="auto"/>
          </w:tcPr>
          <w:p w14:paraId="3C664043"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1</w:t>
            </w:r>
          </w:p>
        </w:tc>
        <w:tc>
          <w:tcPr>
            <w:tcW w:w="970" w:type="pct"/>
            <w:shd w:val="clear" w:color="auto" w:fill="auto"/>
          </w:tcPr>
          <w:p w14:paraId="39BC1D10"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0.8</w:t>
            </w:r>
          </w:p>
        </w:tc>
      </w:tr>
      <w:tr w:rsidR="00195A8B" w:rsidRPr="00195A8B" w14:paraId="79FE9269" w14:textId="77777777" w:rsidTr="00CA33B8">
        <w:trPr>
          <w:cantSplit/>
        </w:trPr>
        <w:tc>
          <w:tcPr>
            <w:tcW w:w="497" w:type="pct"/>
            <w:vMerge/>
            <w:shd w:val="clear" w:color="auto" w:fill="auto"/>
          </w:tcPr>
          <w:p w14:paraId="09739F62"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shd w:val="clear" w:color="auto" w:fill="auto"/>
          </w:tcPr>
          <w:p w14:paraId="33B61D3D"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1480" w:type="pct"/>
            <w:shd w:val="clear" w:color="auto" w:fill="auto"/>
          </w:tcPr>
          <w:p w14:paraId="6C8C79B2" w14:textId="77777777" w:rsidR="00195A8B" w:rsidRPr="00195A8B" w:rsidRDefault="00195A8B" w:rsidP="00195A8B">
            <w:pPr>
              <w:spacing w:after="0" w:line="240" w:lineRule="auto"/>
              <w:rPr>
                <w:rFonts w:ascii="Times New Roman" w:eastAsia="Calibri" w:hAnsi="Times New Roman" w:cs="Times New Roman"/>
                <w:b/>
                <w:bCs/>
                <w:kern w:val="2"/>
                <w:sz w:val="24"/>
                <w:szCs w:val="24"/>
                <w:lang w:eastAsia="en-US"/>
              </w:rPr>
            </w:pPr>
            <w:r w:rsidRPr="00195A8B">
              <w:rPr>
                <w:rFonts w:ascii="Times New Roman" w:eastAsia="Calibri" w:hAnsi="Times New Roman" w:cs="Times New Roman"/>
                <w:b/>
                <w:bCs/>
                <w:kern w:val="2"/>
                <w:sz w:val="24"/>
                <w:szCs w:val="24"/>
                <w:lang w:eastAsia="en-US"/>
              </w:rPr>
              <w:t>Total</w:t>
            </w:r>
          </w:p>
        </w:tc>
        <w:tc>
          <w:tcPr>
            <w:tcW w:w="1123" w:type="pct"/>
            <w:shd w:val="clear" w:color="auto" w:fill="auto"/>
          </w:tcPr>
          <w:p w14:paraId="6425A3A0" w14:textId="77777777" w:rsidR="00195A8B" w:rsidRPr="00195A8B" w:rsidRDefault="00195A8B" w:rsidP="00195A8B">
            <w:pPr>
              <w:spacing w:after="0" w:line="240" w:lineRule="auto"/>
              <w:rPr>
                <w:rFonts w:ascii="Times New Roman" w:eastAsia="Calibri" w:hAnsi="Times New Roman" w:cs="Times New Roman"/>
                <w:b/>
                <w:bCs/>
                <w:kern w:val="2"/>
                <w:sz w:val="24"/>
                <w:szCs w:val="24"/>
                <w:lang w:eastAsia="en-US"/>
              </w:rPr>
            </w:pPr>
            <w:r w:rsidRPr="00195A8B">
              <w:rPr>
                <w:rFonts w:ascii="Times New Roman" w:eastAsia="Calibri" w:hAnsi="Times New Roman" w:cs="Times New Roman"/>
                <w:b/>
                <w:bCs/>
                <w:kern w:val="2"/>
                <w:sz w:val="24"/>
                <w:szCs w:val="24"/>
                <w:lang w:eastAsia="en-US"/>
              </w:rPr>
              <w:t>119</w:t>
            </w:r>
          </w:p>
        </w:tc>
        <w:tc>
          <w:tcPr>
            <w:tcW w:w="970" w:type="pct"/>
            <w:shd w:val="clear" w:color="auto" w:fill="auto"/>
          </w:tcPr>
          <w:p w14:paraId="13032066" w14:textId="77777777" w:rsidR="00195A8B" w:rsidRPr="00195A8B" w:rsidRDefault="00195A8B" w:rsidP="00195A8B">
            <w:pPr>
              <w:spacing w:after="0" w:line="240" w:lineRule="auto"/>
              <w:rPr>
                <w:rFonts w:ascii="Times New Roman" w:eastAsia="Calibri" w:hAnsi="Times New Roman" w:cs="Times New Roman"/>
                <w:b/>
                <w:bCs/>
                <w:kern w:val="2"/>
                <w:sz w:val="24"/>
                <w:szCs w:val="24"/>
                <w:lang w:eastAsia="en-US"/>
              </w:rPr>
            </w:pPr>
            <w:r w:rsidRPr="00195A8B">
              <w:rPr>
                <w:rFonts w:ascii="Times New Roman" w:eastAsia="Calibri" w:hAnsi="Times New Roman" w:cs="Times New Roman"/>
                <w:b/>
                <w:bCs/>
                <w:kern w:val="2"/>
                <w:sz w:val="24"/>
                <w:szCs w:val="24"/>
                <w:lang w:eastAsia="en-US"/>
              </w:rPr>
              <w:t>100.0</w:t>
            </w:r>
          </w:p>
        </w:tc>
      </w:tr>
      <w:tr w:rsidR="00195A8B" w:rsidRPr="00195A8B" w14:paraId="4636540B" w14:textId="77777777" w:rsidTr="00CA33B8">
        <w:trPr>
          <w:cantSplit/>
        </w:trPr>
        <w:tc>
          <w:tcPr>
            <w:tcW w:w="497" w:type="pct"/>
            <w:vMerge/>
            <w:shd w:val="clear" w:color="auto" w:fill="auto"/>
          </w:tcPr>
          <w:p w14:paraId="3643D08A"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val="restart"/>
            <w:shd w:val="clear" w:color="auto" w:fill="auto"/>
          </w:tcPr>
          <w:p w14:paraId="62A4047D"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Youth</w:t>
            </w:r>
          </w:p>
        </w:tc>
        <w:tc>
          <w:tcPr>
            <w:tcW w:w="1480" w:type="pct"/>
            <w:shd w:val="clear" w:color="auto" w:fill="auto"/>
          </w:tcPr>
          <w:p w14:paraId="494D1EC1"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Crop Production</w:t>
            </w:r>
          </w:p>
        </w:tc>
        <w:tc>
          <w:tcPr>
            <w:tcW w:w="1123" w:type="pct"/>
            <w:shd w:val="clear" w:color="auto" w:fill="auto"/>
          </w:tcPr>
          <w:p w14:paraId="2EA1A8CF"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11</w:t>
            </w:r>
          </w:p>
        </w:tc>
        <w:tc>
          <w:tcPr>
            <w:tcW w:w="970" w:type="pct"/>
            <w:shd w:val="clear" w:color="auto" w:fill="auto"/>
          </w:tcPr>
          <w:p w14:paraId="0AD5C6BF"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20.8</w:t>
            </w:r>
          </w:p>
        </w:tc>
      </w:tr>
      <w:tr w:rsidR="00195A8B" w:rsidRPr="00195A8B" w14:paraId="011BE196" w14:textId="77777777" w:rsidTr="00CA33B8">
        <w:trPr>
          <w:cantSplit/>
        </w:trPr>
        <w:tc>
          <w:tcPr>
            <w:tcW w:w="497" w:type="pct"/>
            <w:vMerge/>
            <w:shd w:val="clear" w:color="auto" w:fill="auto"/>
          </w:tcPr>
          <w:p w14:paraId="2D430EDA"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shd w:val="clear" w:color="auto" w:fill="auto"/>
          </w:tcPr>
          <w:p w14:paraId="009D8768"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1480" w:type="pct"/>
            <w:shd w:val="clear" w:color="auto" w:fill="auto"/>
          </w:tcPr>
          <w:p w14:paraId="36605BD3"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Livestock Keeping</w:t>
            </w:r>
          </w:p>
        </w:tc>
        <w:tc>
          <w:tcPr>
            <w:tcW w:w="1123" w:type="pct"/>
            <w:shd w:val="clear" w:color="auto" w:fill="auto"/>
          </w:tcPr>
          <w:p w14:paraId="29AF8C97"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21</w:t>
            </w:r>
          </w:p>
        </w:tc>
        <w:tc>
          <w:tcPr>
            <w:tcW w:w="970" w:type="pct"/>
            <w:shd w:val="clear" w:color="auto" w:fill="auto"/>
          </w:tcPr>
          <w:p w14:paraId="4EB1411D"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39.6</w:t>
            </w:r>
          </w:p>
        </w:tc>
      </w:tr>
      <w:tr w:rsidR="00195A8B" w:rsidRPr="00195A8B" w14:paraId="2F4F3D94" w14:textId="77777777" w:rsidTr="00CA33B8">
        <w:trPr>
          <w:cantSplit/>
        </w:trPr>
        <w:tc>
          <w:tcPr>
            <w:tcW w:w="497" w:type="pct"/>
            <w:vMerge/>
            <w:shd w:val="clear" w:color="auto" w:fill="auto"/>
          </w:tcPr>
          <w:p w14:paraId="25A9E81F"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shd w:val="clear" w:color="auto" w:fill="auto"/>
          </w:tcPr>
          <w:p w14:paraId="023AC2AF"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1480" w:type="pct"/>
            <w:shd w:val="clear" w:color="auto" w:fill="auto"/>
          </w:tcPr>
          <w:p w14:paraId="234B7540"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Petty Business</w:t>
            </w:r>
          </w:p>
        </w:tc>
        <w:tc>
          <w:tcPr>
            <w:tcW w:w="1123" w:type="pct"/>
            <w:shd w:val="clear" w:color="auto" w:fill="auto"/>
          </w:tcPr>
          <w:p w14:paraId="20DDE6E4"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27</w:t>
            </w:r>
          </w:p>
        </w:tc>
        <w:tc>
          <w:tcPr>
            <w:tcW w:w="970" w:type="pct"/>
            <w:shd w:val="clear" w:color="auto" w:fill="auto"/>
          </w:tcPr>
          <w:p w14:paraId="7BEF885C"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50.9</w:t>
            </w:r>
          </w:p>
        </w:tc>
      </w:tr>
      <w:tr w:rsidR="00195A8B" w:rsidRPr="00195A8B" w14:paraId="070DBD9C" w14:textId="77777777" w:rsidTr="00CA33B8">
        <w:trPr>
          <w:cantSplit/>
        </w:trPr>
        <w:tc>
          <w:tcPr>
            <w:tcW w:w="497" w:type="pct"/>
            <w:vMerge/>
            <w:shd w:val="clear" w:color="auto" w:fill="auto"/>
          </w:tcPr>
          <w:p w14:paraId="0DFA1449"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shd w:val="clear" w:color="auto" w:fill="auto"/>
          </w:tcPr>
          <w:p w14:paraId="4DE8ECDD"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1480" w:type="pct"/>
            <w:shd w:val="clear" w:color="auto" w:fill="auto"/>
          </w:tcPr>
          <w:p w14:paraId="7BD3CAE6"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Formal Employment</w:t>
            </w:r>
          </w:p>
        </w:tc>
        <w:tc>
          <w:tcPr>
            <w:tcW w:w="1123" w:type="pct"/>
            <w:shd w:val="clear" w:color="auto" w:fill="auto"/>
          </w:tcPr>
          <w:p w14:paraId="071BD9FC"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1</w:t>
            </w:r>
          </w:p>
        </w:tc>
        <w:tc>
          <w:tcPr>
            <w:tcW w:w="970" w:type="pct"/>
            <w:shd w:val="clear" w:color="auto" w:fill="auto"/>
          </w:tcPr>
          <w:p w14:paraId="528658E9"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1.9</w:t>
            </w:r>
          </w:p>
        </w:tc>
      </w:tr>
      <w:tr w:rsidR="00195A8B" w:rsidRPr="00195A8B" w14:paraId="77F272AB" w14:textId="77777777" w:rsidTr="00CA33B8">
        <w:trPr>
          <w:cantSplit/>
        </w:trPr>
        <w:tc>
          <w:tcPr>
            <w:tcW w:w="497" w:type="pct"/>
            <w:vMerge/>
            <w:shd w:val="clear" w:color="auto" w:fill="auto"/>
          </w:tcPr>
          <w:p w14:paraId="352FD0C8"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shd w:val="clear" w:color="auto" w:fill="auto"/>
          </w:tcPr>
          <w:p w14:paraId="06694A99"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1480" w:type="pct"/>
            <w:shd w:val="clear" w:color="auto" w:fill="auto"/>
          </w:tcPr>
          <w:p w14:paraId="105F7D11"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Construction services</w:t>
            </w:r>
          </w:p>
        </w:tc>
        <w:tc>
          <w:tcPr>
            <w:tcW w:w="1123" w:type="pct"/>
            <w:shd w:val="clear" w:color="auto" w:fill="auto"/>
          </w:tcPr>
          <w:p w14:paraId="3A4DB278"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1</w:t>
            </w:r>
          </w:p>
        </w:tc>
        <w:tc>
          <w:tcPr>
            <w:tcW w:w="970" w:type="pct"/>
            <w:shd w:val="clear" w:color="auto" w:fill="auto"/>
          </w:tcPr>
          <w:p w14:paraId="51C46F66"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1.9</w:t>
            </w:r>
          </w:p>
        </w:tc>
      </w:tr>
      <w:tr w:rsidR="00195A8B" w:rsidRPr="00195A8B" w14:paraId="54F7DFFD" w14:textId="77777777" w:rsidTr="00CA33B8">
        <w:trPr>
          <w:cantSplit/>
        </w:trPr>
        <w:tc>
          <w:tcPr>
            <w:tcW w:w="497" w:type="pct"/>
            <w:vMerge/>
            <w:shd w:val="clear" w:color="auto" w:fill="auto"/>
          </w:tcPr>
          <w:p w14:paraId="2B26096D"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shd w:val="clear" w:color="auto" w:fill="auto"/>
          </w:tcPr>
          <w:p w14:paraId="6D446573"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1480" w:type="pct"/>
            <w:shd w:val="clear" w:color="auto" w:fill="auto"/>
          </w:tcPr>
          <w:p w14:paraId="73F4D839"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Transportation services</w:t>
            </w:r>
          </w:p>
        </w:tc>
        <w:tc>
          <w:tcPr>
            <w:tcW w:w="1123" w:type="pct"/>
            <w:shd w:val="clear" w:color="auto" w:fill="auto"/>
          </w:tcPr>
          <w:p w14:paraId="1317EED5"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8</w:t>
            </w:r>
          </w:p>
        </w:tc>
        <w:tc>
          <w:tcPr>
            <w:tcW w:w="970" w:type="pct"/>
            <w:shd w:val="clear" w:color="auto" w:fill="auto"/>
          </w:tcPr>
          <w:p w14:paraId="1832190E"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15.1</w:t>
            </w:r>
          </w:p>
        </w:tc>
      </w:tr>
      <w:tr w:rsidR="00195A8B" w:rsidRPr="00195A8B" w14:paraId="36694C11" w14:textId="77777777" w:rsidTr="00CA33B8">
        <w:trPr>
          <w:cantSplit/>
        </w:trPr>
        <w:tc>
          <w:tcPr>
            <w:tcW w:w="497" w:type="pct"/>
            <w:vMerge/>
            <w:shd w:val="clear" w:color="auto" w:fill="auto"/>
          </w:tcPr>
          <w:p w14:paraId="4458C5B3"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shd w:val="clear" w:color="auto" w:fill="auto"/>
          </w:tcPr>
          <w:p w14:paraId="1CA5473C"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1480" w:type="pct"/>
            <w:shd w:val="clear" w:color="auto" w:fill="auto"/>
          </w:tcPr>
          <w:p w14:paraId="0BAA8F28"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Total</w:t>
            </w:r>
          </w:p>
        </w:tc>
        <w:tc>
          <w:tcPr>
            <w:tcW w:w="1123" w:type="pct"/>
            <w:shd w:val="clear" w:color="auto" w:fill="auto"/>
          </w:tcPr>
          <w:p w14:paraId="2942BA83"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53</w:t>
            </w:r>
          </w:p>
        </w:tc>
        <w:tc>
          <w:tcPr>
            <w:tcW w:w="970" w:type="pct"/>
            <w:shd w:val="clear" w:color="auto" w:fill="auto"/>
          </w:tcPr>
          <w:p w14:paraId="7FFA0A47"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100.0</w:t>
            </w:r>
          </w:p>
        </w:tc>
      </w:tr>
      <w:tr w:rsidR="00195A8B" w:rsidRPr="00195A8B" w14:paraId="701B23EE" w14:textId="77777777" w:rsidTr="00CA33B8">
        <w:trPr>
          <w:cantSplit/>
        </w:trPr>
        <w:tc>
          <w:tcPr>
            <w:tcW w:w="497" w:type="pct"/>
            <w:vMerge/>
            <w:shd w:val="clear" w:color="auto" w:fill="auto"/>
          </w:tcPr>
          <w:p w14:paraId="0097EED6"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val="restart"/>
            <w:shd w:val="clear" w:color="auto" w:fill="auto"/>
          </w:tcPr>
          <w:p w14:paraId="5FB2463B"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Special Needs</w:t>
            </w:r>
          </w:p>
        </w:tc>
        <w:tc>
          <w:tcPr>
            <w:tcW w:w="1480" w:type="pct"/>
            <w:shd w:val="clear" w:color="auto" w:fill="auto"/>
          </w:tcPr>
          <w:p w14:paraId="553D3201"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Livestock Keeping</w:t>
            </w:r>
          </w:p>
        </w:tc>
        <w:tc>
          <w:tcPr>
            <w:tcW w:w="1123" w:type="pct"/>
            <w:shd w:val="clear" w:color="auto" w:fill="auto"/>
          </w:tcPr>
          <w:p w14:paraId="27B43D3C"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1</w:t>
            </w:r>
          </w:p>
        </w:tc>
        <w:tc>
          <w:tcPr>
            <w:tcW w:w="970" w:type="pct"/>
            <w:shd w:val="clear" w:color="auto" w:fill="auto"/>
          </w:tcPr>
          <w:p w14:paraId="489DFDB7"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100.0</w:t>
            </w:r>
          </w:p>
        </w:tc>
      </w:tr>
      <w:tr w:rsidR="00195A8B" w:rsidRPr="00195A8B" w14:paraId="1B76DE84" w14:textId="77777777" w:rsidTr="00CA33B8">
        <w:trPr>
          <w:cantSplit/>
        </w:trPr>
        <w:tc>
          <w:tcPr>
            <w:tcW w:w="497" w:type="pct"/>
            <w:vMerge/>
            <w:shd w:val="clear" w:color="auto" w:fill="auto"/>
          </w:tcPr>
          <w:p w14:paraId="5C3E421E"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shd w:val="clear" w:color="auto" w:fill="auto"/>
          </w:tcPr>
          <w:p w14:paraId="5B7B5F06"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1480" w:type="pct"/>
            <w:shd w:val="clear" w:color="auto" w:fill="auto"/>
          </w:tcPr>
          <w:p w14:paraId="26F95920" w14:textId="77777777" w:rsidR="00195A8B" w:rsidRPr="00195A8B" w:rsidRDefault="00195A8B" w:rsidP="00195A8B">
            <w:pPr>
              <w:spacing w:after="0" w:line="240" w:lineRule="auto"/>
              <w:rPr>
                <w:rFonts w:ascii="Times New Roman" w:eastAsia="Calibri" w:hAnsi="Times New Roman" w:cs="Times New Roman"/>
                <w:b/>
                <w:bCs/>
                <w:kern w:val="2"/>
                <w:sz w:val="24"/>
                <w:szCs w:val="24"/>
                <w:lang w:eastAsia="en-US"/>
              </w:rPr>
            </w:pPr>
            <w:r w:rsidRPr="00195A8B">
              <w:rPr>
                <w:rFonts w:ascii="Times New Roman" w:eastAsia="Calibri" w:hAnsi="Times New Roman" w:cs="Times New Roman"/>
                <w:b/>
                <w:bCs/>
                <w:kern w:val="2"/>
                <w:sz w:val="24"/>
                <w:szCs w:val="24"/>
                <w:lang w:eastAsia="en-US"/>
              </w:rPr>
              <w:t>Total</w:t>
            </w:r>
          </w:p>
        </w:tc>
        <w:tc>
          <w:tcPr>
            <w:tcW w:w="1123" w:type="pct"/>
            <w:shd w:val="clear" w:color="auto" w:fill="auto"/>
          </w:tcPr>
          <w:p w14:paraId="46DCE256" w14:textId="77777777" w:rsidR="00195A8B" w:rsidRPr="00195A8B" w:rsidRDefault="00195A8B" w:rsidP="00195A8B">
            <w:pPr>
              <w:spacing w:after="0" w:line="240" w:lineRule="auto"/>
              <w:rPr>
                <w:rFonts w:ascii="Times New Roman" w:eastAsia="Calibri" w:hAnsi="Times New Roman" w:cs="Times New Roman"/>
                <w:b/>
                <w:bCs/>
                <w:kern w:val="2"/>
                <w:sz w:val="24"/>
                <w:szCs w:val="24"/>
                <w:lang w:eastAsia="en-US"/>
              </w:rPr>
            </w:pPr>
            <w:r w:rsidRPr="00195A8B">
              <w:rPr>
                <w:rFonts w:ascii="Times New Roman" w:eastAsia="Calibri" w:hAnsi="Times New Roman" w:cs="Times New Roman"/>
                <w:b/>
                <w:bCs/>
                <w:kern w:val="2"/>
                <w:sz w:val="24"/>
                <w:szCs w:val="24"/>
                <w:lang w:eastAsia="en-US"/>
              </w:rPr>
              <w:t>1</w:t>
            </w:r>
          </w:p>
        </w:tc>
        <w:tc>
          <w:tcPr>
            <w:tcW w:w="970" w:type="pct"/>
            <w:shd w:val="clear" w:color="auto" w:fill="auto"/>
          </w:tcPr>
          <w:p w14:paraId="22E3E28C" w14:textId="77777777" w:rsidR="00195A8B" w:rsidRPr="00195A8B" w:rsidRDefault="00195A8B" w:rsidP="00195A8B">
            <w:pPr>
              <w:spacing w:after="0" w:line="240" w:lineRule="auto"/>
              <w:rPr>
                <w:rFonts w:ascii="Times New Roman" w:eastAsia="Calibri" w:hAnsi="Times New Roman" w:cs="Times New Roman"/>
                <w:b/>
                <w:bCs/>
                <w:kern w:val="2"/>
                <w:sz w:val="24"/>
                <w:szCs w:val="24"/>
                <w:lang w:eastAsia="en-US"/>
              </w:rPr>
            </w:pPr>
            <w:r w:rsidRPr="00195A8B">
              <w:rPr>
                <w:rFonts w:ascii="Times New Roman" w:eastAsia="Calibri" w:hAnsi="Times New Roman" w:cs="Times New Roman"/>
                <w:b/>
                <w:bCs/>
                <w:kern w:val="2"/>
                <w:sz w:val="24"/>
                <w:szCs w:val="24"/>
                <w:lang w:eastAsia="en-US"/>
              </w:rPr>
              <w:t>100.0</w:t>
            </w:r>
          </w:p>
        </w:tc>
      </w:tr>
      <w:tr w:rsidR="00195A8B" w:rsidRPr="00195A8B" w14:paraId="49DEA65D" w14:textId="77777777" w:rsidTr="00CA33B8">
        <w:trPr>
          <w:cantSplit/>
        </w:trPr>
        <w:tc>
          <w:tcPr>
            <w:tcW w:w="497" w:type="pct"/>
            <w:vMerge w:val="restart"/>
            <w:shd w:val="clear" w:color="auto" w:fill="auto"/>
          </w:tcPr>
          <w:p w14:paraId="3A4336A2" w14:textId="77777777" w:rsidR="00195A8B" w:rsidRPr="00195A8B" w:rsidRDefault="00195A8B" w:rsidP="00195A8B">
            <w:pPr>
              <w:spacing w:after="0" w:line="240" w:lineRule="auto"/>
              <w:rPr>
                <w:rFonts w:ascii="Times New Roman" w:eastAsia="Calibri" w:hAnsi="Times New Roman" w:cs="Times New Roman"/>
                <w:b/>
                <w:kern w:val="2"/>
                <w:sz w:val="24"/>
                <w:szCs w:val="24"/>
                <w:lang w:eastAsia="en-US"/>
              </w:rPr>
            </w:pPr>
            <w:r w:rsidRPr="00195A8B">
              <w:rPr>
                <w:rFonts w:ascii="Times New Roman" w:eastAsia="Calibri" w:hAnsi="Times New Roman" w:cs="Times New Roman"/>
                <w:b/>
                <w:kern w:val="2"/>
                <w:sz w:val="24"/>
                <w:szCs w:val="24"/>
                <w:lang w:eastAsia="en-US"/>
              </w:rPr>
              <w:t>Mara</w:t>
            </w:r>
          </w:p>
        </w:tc>
        <w:tc>
          <w:tcPr>
            <w:tcW w:w="930" w:type="pct"/>
            <w:vMerge w:val="restart"/>
            <w:shd w:val="clear" w:color="auto" w:fill="auto"/>
          </w:tcPr>
          <w:p w14:paraId="3F93C609"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Women</w:t>
            </w:r>
          </w:p>
        </w:tc>
        <w:tc>
          <w:tcPr>
            <w:tcW w:w="1480" w:type="pct"/>
            <w:shd w:val="clear" w:color="auto" w:fill="auto"/>
          </w:tcPr>
          <w:p w14:paraId="2321114D"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Crop Production</w:t>
            </w:r>
          </w:p>
        </w:tc>
        <w:tc>
          <w:tcPr>
            <w:tcW w:w="1123" w:type="pct"/>
            <w:shd w:val="clear" w:color="auto" w:fill="auto"/>
          </w:tcPr>
          <w:p w14:paraId="46A17C22"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34</w:t>
            </w:r>
          </w:p>
        </w:tc>
        <w:tc>
          <w:tcPr>
            <w:tcW w:w="970" w:type="pct"/>
            <w:shd w:val="clear" w:color="auto" w:fill="auto"/>
          </w:tcPr>
          <w:p w14:paraId="3C23F0EE"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55.7</w:t>
            </w:r>
          </w:p>
        </w:tc>
      </w:tr>
      <w:tr w:rsidR="00195A8B" w:rsidRPr="00195A8B" w14:paraId="734AE73C" w14:textId="77777777" w:rsidTr="00CA33B8">
        <w:trPr>
          <w:cantSplit/>
        </w:trPr>
        <w:tc>
          <w:tcPr>
            <w:tcW w:w="497" w:type="pct"/>
            <w:vMerge/>
            <w:shd w:val="clear" w:color="auto" w:fill="auto"/>
          </w:tcPr>
          <w:p w14:paraId="7DA117B2"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shd w:val="clear" w:color="auto" w:fill="auto"/>
          </w:tcPr>
          <w:p w14:paraId="281706AB"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1480" w:type="pct"/>
            <w:shd w:val="clear" w:color="auto" w:fill="auto"/>
          </w:tcPr>
          <w:p w14:paraId="1667A378"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Livestock Keeping</w:t>
            </w:r>
          </w:p>
        </w:tc>
        <w:tc>
          <w:tcPr>
            <w:tcW w:w="1123" w:type="pct"/>
            <w:shd w:val="clear" w:color="auto" w:fill="auto"/>
          </w:tcPr>
          <w:p w14:paraId="20F6E1CD"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24</w:t>
            </w:r>
          </w:p>
        </w:tc>
        <w:tc>
          <w:tcPr>
            <w:tcW w:w="970" w:type="pct"/>
            <w:shd w:val="clear" w:color="auto" w:fill="auto"/>
          </w:tcPr>
          <w:p w14:paraId="3A413995"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39.3</w:t>
            </w:r>
          </w:p>
        </w:tc>
      </w:tr>
      <w:tr w:rsidR="00195A8B" w:rsidRPr="00195A8B" w14:paraId="3FA452A3" w14:textId="77777777" w:rsidTr="00CA33B8">
        <w:trPr>
          <w:cantSplit/>
        </w:trPr>
        <w:tc>
          <w:tcPr>
            <w:tcW w:w="497" w:type="pct"/>
            <w:vMerge/>
            <w:shd w:val="clear" w:color="auto" w:fill="auto"/>
          </w:tcPr>
          <w:p w14:paraId="1B95EE66"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shd w:val="clear" w:color="auto" w:fill="auto"/>
          </w:tcPr>
          <w:p w14:paraId="61E76D6F"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1480" w:type="pct"/>
            <w:shd w:val="clear" w:color="auto" w:fill="auto"/>
          </w:tcPr>
          <w:p w14:paraId="065E25E0"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Petty Business</w:t>
            </w:r>
          </w:p>
        </w:tc>
        <w:tc>
          <w:tcPr>
            <w:tcW w:w="1123" w:type="pct"/>
            <w:shd w:val="clear" w:color="auto" w:fill="auto"/>
          </w:tcPr>
          <w:p w14:paraId="64DFC117"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46</w:t>
            </w:r>
          </w:p>
        </w:tc>
        <w:tc>
          <w:tcPr>
            <w:tcW w:w="970" w:type="pct"/>
            <w:shd w:val="clear" w:color="auto" w:fill="auto"/>
          </w:tcPr>
          <w:p w14:paraId="76FF6A77"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75.4</w:t>
            </w:r>
          </w:p>
        </w:tc>
      </w:tr>
      <w:tr w:rsidR="00195A8B" w:rsidRPr="00195A8B" w14:paraId="3C1164FF" w14:textId="77777777" w:rsidTr="00CA33B8">
        <w:trPr>
          <w:cantSplit/>
        </w:trPr>
        <w:tc>
          <w:tcPr>
            <w:tcW w:w="497" w:type="pct"/>
            <w:vMerge/>
            <w:shd w:val="clear" w:color="auto" w:fill="auto"/>
          </w:tcPr>
          <w:p w14:paraId="1E03175A"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shd w:val="clear" w:color="auto" w:fill="auto"/>
          </w:tcPr>
          <w:p w14:paraId="77A38CE4"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1480" w:type="pct"/>
            <w:shd w:val="clear" w:color="auto" w:fill="auto"/>
          </w:tcPr>
          <w:p w14:paraId="586105AE"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Formal Employment</w:t>
            </w:r>
          </w:p>
        </w:tc>
        <w:tc>
          <w:tcPr>
            <w:tcW w:w="1123" w:type="pct"/>
            <w:shd w:val="clear" w:color="auto" w:fill="auto"/>
          </w:tcPr>
          <w:p w14:paraId="1D23D1FC"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1</w:t>
            </w:r>
          </w:p>
        </w:tc>
        <w:tc>
          <w:tcPr>
            <w:tcW w:w="970" w:type="pct"/>
            <w:shd w:val="clear" w:color="auto" w:fill="auto"/>
          </w:tcPr>
          <w:p w14:paraId="023B67FF"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1.6</w:t>
            </w:r>
          </w:p>
        </w:tc>
      </w:tr>
      <w:tr w:rsidR="00195A8B" w:rsidRPr="00195A8B" w14:paraId="113F4B8A" w14:textId="77777777" w:rsidTr="00CA33B8">
        <w:trPr>
          <w:cantSplit/>
        </w:trPr>
        <w:tc>
          <w:tcPr>
            <w:tcW w:w="497" w:type="pct"/>
            <w:vMerge/>
            <w:shd w:val="clear" w:color="auto" w:fill="auto"/>
          </w:tcPr>
          <w:p w14:paraId="025C6FCC"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shd w:val="clear" w:color="auto" w:fill="auto"/>
          </w:tcPr>
          <w:p w14:paraId="2F399178"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1480" w:type="pct"/>
            <w:shd w:val="clear" w:color="auto" w:fill="auto"/>
          </w:tcPr>
          <w:p w14:paraId="4E8E7074"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Poultry</w:t>
            </w:r>
          </w:p>
        </w:tc>
        <w:tc>
          <w:tcPr>
            <w:tcW w:w="1123" w:type="pct"/>
            <w:shd w:val="clear" w:color="auto" w:fill="auto"/>
          </w:tcPr>
          <w:p w14:paraId="497CE409"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10</w:t>
            </w:r>
          </w:p>
        </w:tc>
        <w:tc>
          <w:tcPr>
            <w:tcW w:w="970" w:type="pct"/>
            <w:shd w:val="clear" w:color="auto" w:fill="auto"/>
          </w:tcPr>
          <w:p w14:paraId="57451B90"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16.4</w:t>
            </w:r>
          </w:p>
        </w:tc>
      </w:tr>
      <w:tr w:rsidR="00195A8B" w:rsidRPr="00195A8B" w14:paraId="6582CEDC" w14:textId="77777777" w:rsidTr="00CA33B8">
        <w:trPr>
          <w:cantSplit/>
        </w:trPr>
        <w:tc>
          <w:tcPr>
            <w:tcW w:w="497" w:type="pct"/>
            <w:vMerge/>
            <w:shd w:val="clear" w:color="auto" w:fill="auto"/>
          </w:tcPr>
          <w:p w14:paraId="4441BA02"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shd w:val="clear" w:color="auto" w:fill="auto"/>
          </w:tcPr>
          <w:p w14:paraId="2889C681"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1480" w:type="pct"/>
            <w:shd w:val="clear" w:color="auto" w:fill="auto"/>
          </w:tcPr>
          <w:p w14:paraId="48910C4B"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Total</w:t>
            </w:r>
          </w:p>
        </w:tc>
        <w:tc>
          <w:tcPr>
            <w:tcW w:w="1123" w:type="pct"/>
            <w:shd w:val="clear" w:color="auto" w:fill="auto"/>
          </w:tcPr>
          <w:p w14:paraId="7F917362"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61</w:t>
            </w:r>
          </w:p>
        </w:tc>
        <w:tc>
          <w:tcPr>
            <w:tcW w:w="970" w:type="pct"/>
            <w:shd w:val="clear" w:color="auto" w:fill="auto"/>
          </w:tcPr>
          <w:p w14:paraId="0A046426"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100.0</w:t>
            </w:r>
          </w:p>
        </w:tc>
      </w:tr>
      <w:tr w:rsidR="00195A8B" w:rsidRPr="00195A8B" w14:paraId="65E1CCC2" w14:textId="77777777" w:rsidTr="00CA33B8">
        <w:trPr>
          <w:cantSplit/>
        </w:trPr>
        <w:tc>
          <w:tcPr>
            <w:tcW w:w="497" w:type="pct"/>
            <w:vMerge/>
            <w:shd w:val="clear" w:color="auto" w:fill="auto"/>
          </w:tcPr>
          <w:p w14:paraId="6646AB95"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val="restart"/>
            <w:shd w:val="clear" w:color="auto" w:fill="auto"/>
          </w:tcPr>
          <w:p w14:paraId="40314EEB"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Youth</w:t>
            </w:r>
          </w:p>
        </w:tc>
        <w:tc>
          <w:tcPr>
            <w:tcW w:w="1480" w:type="pct"/>
            <w:shd w:val="clear" w:color="auto" w:fill="auto"/>
          </w:tcPr>
          <w:p w14:paraId="3EAD5467"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Crop Production</w:t>
            </w:r>
          </w:p>
        </w:tc>
        <w:tc>
          <w:tcPr>
            <w:tcW w:w="1123" w:type="pct"/>
            <w:shd w:val="clear" w:color="auto" w:fill="auto"/>
          </w:tcPr>
          <w:p w14:paraId="1A8BD4C1"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12</w:t>
            </w:r>
          </w:p>
        </w:tc>
        <w:tc>
          <w:tcPr>
            <w:tcW w:w="970" w:type="pct"/>
            <w:shd w:val="clear" w:color="auto" w:fill="auto"/>
          </w:tcPr>
          <w:p w14:paraId="016DA1B8"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57.1</w:t>
            </w:r>
          </w:p>
        </w:tc>
      </w:tr>
      <w:tr w:rsidR="00195A8B" w:rsidRPr="00195A8B" w14:paraId="6983062B" w14:textId="77777777" w:rsidTr="00CA33B8">
        <w:trPr>
          <w:cantSplit/>
        </w:trPr>
        <w:tc>
          <w:tcPr>
            <w:tcW w:w="497" w:type="pct"/>
            <w:vMerge/>
            <w:shd w:val="clear" w:color="auto" w:fill="auto"/>
          </w:tcPr>
          <w:p w14:paraId="2279222B"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shd w:val="clear" w:color="auto" w:fill="auto"/>
          </w:tcPr>
          <w:p w14:paraId="1C209BF2"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1480" w:type="pct"/>
            <w:shd w:val="clear" w:color="auto" w:fill="auto"/>
          </w:tcPr>
          <w:p w14:paraId="2A0B61F7"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Livestock Keeping</w:t>
            </w:r>
          </w:p>
        </w:tc>
        <w:tc>
          <w:tcPr>
            <w:tcW w:w="1123" w:type="pct"/>
            <w:shd w:val="clear" w:color="auto" w:fill="auto"/>
          </w:tcPr>
          <w:p w14:paraId="11BA0C69"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13</w:t>
            </w:r>
          </w:p>
        </w:tc>
        <w:tc>
          <w:tcPr>
            <w:tcW w:w="970" w:type="pct"/>
            <w:shd w:val="clear" w:color="auto" w:fill="auto"/>
          </w:tcPr>
          <w:p w14:paraId="297ADD28"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61.9</w:t>
            </w:r>
          </w:p>
        </w:tc>
      </w:tr>
      <w:tr w:rsidR="00195A8B" w:rsidRPr="00195A8B" w14:paraId="08AD0275" w14:textId="77777777" w:rsidTr="00CA33B8">
        <w:trPr>
          <w:cantSplit/>
        </w:trPr>
        <w:tc>
          <w:tcPr>
            <w:tcW w:w="497" w:type="pct"/>
            <w:vMerge/>
            <w:shd w:val="clear" w:color="auto" w:fill="auto"/>
          </w:tcPr>
          <w:p w14:paraId="62909A21"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shd w:val="clear" w:color="auto" w:fill="auto"/>
          </w:tcPr>
          <w:p w14:paraId="6075BD27"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1480" w:type="pct"/>
            <w:shd w:val="clear" w:color="auto" w:fill="auto"/>
          </w:tcPr>
          <w:p w14:paraId="1FE660DB"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Petty Business</w:t>
            </w:r>
          </w:p>
        </w:tc>
        <w:tc>
          <w:tcPr>
            <w:tcW w:w="1123" w:type="pct"/>
            <w:shd w:val="clear" w:color="auto" w:fill="auto"/>
          </w:tcPr>
          <w:p w14:paraId="641E634F"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14</w:t>
            </w:r>
          </w:p>
        </w:tc>
        <w:tc>
          <w:tcPr>
            <w:tcW w:w="970" w:type="pct"/>
            <w:shd w:val="clear" w:color="auto" w:fill="auto"/>
          </w:tcPr>
          <w:p w14:paraId="7CD4BEEA"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66.7</w:t>
            </w:r>
          </w:p>
        </w:tc>
      </w:tr>
      <w:tr w:rsidR="00195A8B" w:rsidRPr="00195A8B" w14:paraId="16DBD1D9" w14:textId="77777777" w:rsidTr="00CA33B8">
        <w:trPr>
          <w:cantSplit/>
        </w:trPr>
        <w:tc>
          <w:tcPr>
            <w:tcW w:w="497" w:type="pct"/>
            <w:vMerge/>
            <w:shd w:val="clear" w:color="auto" w:fill="auto"/>
          </w:tcPr>
          <w:p w14:paraId="70440842"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shd w:val="clear" w:color="auto" w:fill="auto"/>
          </w:tcPr>
          <w:p w14:paraId="7CFDD04C"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1480" w:type="pct"/>
            <w:shd w:val="clear" w:color="auto" w:fill="auto"/>
          </w:tcPr>
          <w:p w14:paraId="302CEB6C"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Poultry</w:t>
            </w:r>
          </w:p>
        </w:tc>
        <w:tc>
          <w:tcPr>
            <w:tcW w:w="1123" w:type="pct"/>
            <w:shd w:val="clear" w:color="auto" w:fill="auto"/>
          </w:tcPr>
          <w:p w14:paraId="465052CB"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3</w:t>
            </w:r>
          </w:p>
        </w:tc>
        <w:tc>
          <w:tcPr>
            <w:tcW w:w="970" w:type="pct"/>
            <w:shd w:val="clear" w:color="auto" w:fill="auto"/>
          </w:tcPr>
          <w:p w14:paraId="1285174E"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14.3</w:t>
            </w:r>
          </w:p>
        </w:tc>
      </w:tr>
      <w:tr w:rsidR="00195A8B" w:rsidRPr="00195A8B" w14:paraId="72F851CA" w14:textId="77777777" w:rsidTr="00CA33B8">
        <w:trPr>
          <w:cantSplit/>
        </w:trPr>
        <w:tc>
          <w:tcPr>
            <w:tcW w:w="497" w:type="pct"/>
            <w:vMerge/>
            <w:shd w:val="clear" w:color="auto" w:fill="auto"/>
          </w:tcPr>
          <w:p w14:paraId="0A0E2264"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shd w:val="clear" w:color="auto" w:fill="auto"/>
          </w:tcPr>
          <w:p w14:paraId="5B49FE6A"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1480" w:type="pct"/>
            <w:shd w:val="clear" w:color="auto" w:fill="auto"/>
          </w:tcPr>
          <w:p w14:paraId="40B2092A"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Construction services</w:t>
            </w:r>
          </w:p>
        </w:tc>
        <w:tc>
          <w:tcPr>
            <w:tcW w:w="1123" w:type="pct"/>
            <w:shd w:val="clear" w:color="auto" w:fill="auto"/>
          </w:tcPr>
          <w:p w14:paraId="0916763D"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3</w:t>
            </w:r>
          </w:p>
        </w:tc>
        <w:tc>
          <w:tcPr>
            <w:tcW w:w="970" w:type="pct"/>
            <w:shd w:val="clear" w:color="auto" w:fill="auto"/>
          </w:tcPr>
          <w:p w14:paraId="3DC2BDCE"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14.3</w:t>
            </w:r>
          </w:p>
        </w:tc>
      </w:tr>
      <w:tr w:rsidR="00195A8B" w:rsidRPr="00195A8B" w14:paraId="7064B021" w14:textId="77777777" w:rsidTr="00CA33B8">
        <w:trPr>
          <w:cantSplit/>
        </w:trPr>
        <w:tc>
          <w:tcPr>
            <w:tcW w:w="497" w:type="pct"/>
            <w:vMerge/>
            <w:shd w:val="clear" w:color="auto" w:fill="auto"/>
          </w:tcPr>
          <w:p w14:paraId="3B6696F0"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shd w:val="clear" w:color="auto" w:fill="auto"/>
          </w:tcPr>
          <w:p w14:paraId="69B94608"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1480" w:type="pct"/>
            <w:shd w:val="clear" w:color="auto" w:fill="auto"/>
          </w:tcPr>
          <w:p w14:paraId="03C0A0BD" w14:textId="77777777" w:rsidR="00195A8B" w:rsidRPr="00195A8B" w:rsidRDefault="00195A8B" w:rsidP="00195A8B">
            <w:pPr>
              <w:spacing w:after="0" w:line="240" w:lineRule="auto"/>
              <w:rPr>
                <w:rFonts w:ascii="Times New Roman" w:eastAsia="Calibri" w:hAnsi="Times New Roman" w:cs="Times New Roman"/>
                <w:b/>
                <w:bCs/>
                <w:kern w:val="2"/>
                <w:sz w:val="24"/>
                <w:szCs w:val="24"/>
                <w:lang w:eastAsia="en-US"/>
              </w:rPr>
            </w:pPr>
            <w:r w:rsidRPr="00195A8B">
              <w:rPr>
                <w:rFonts w:ascii="Times New Roman" w:eastAsia="Calibri" w:hAnsi="Times New Roman" w:cs="Times New Roman"/>
                <w:b/>
                <w:bCs/>
                <w:kern w:val="2"/>
                <w:sz w:val="24"/>
                <w:szCs w:val="24"/>
                <w:lang w:eastAsia="en-US"/>
              </w:rPr>
              <w:t>Total</w:t>
            </w:r>
          </w:p>
        </w:tc>
        <w:tc>
          <w:tcPr>
            <w:tcW w:w="1123" w:type="pct"/>
            <w:shd w:val="clear" w:color="auto" w:fill="auto"/>
          </w:tcPr>
          <w:p w14:paraId="0FE3217E" w14:textId="77777777" w:rsidR="00195A8B" w:rsidRPr="00195A8B" w:rsidRDefault="00195A8B" w:rsidP="00195A8B">
            <w:pPr>
              <w:spacing w:after="0" w:line="240" w:lineRule="auto"/>
              <w:rPr>
                <w:rFonts w:ascii="Times New Roman" w:eastAsia="Calibri" w:hAnsi="Times New Roman" w:cs="Times New Roman"/>
                <w:b/>
                <w:bCs/>
                <w:kern w:val="2"/>
                <w:sz w:val="24"/>
                <w:szCs w:val="24"/>
                <w:lang w:eastAsia="en-US"/>
              </w:rPr>
            </w:pPr>
            <w:r w:rsidRPr="00195A8B">
              <w:rPr>
                <w:rFonts w:ascii="Times New Roman" w:eastAsia="Calibri" w:hAnsi="Times New Roman" w:cs="Times New Roman"/>
                <w:b/>
                <w:bCs/>
                <w:kern w:val="2"/>
                <w:sz w:val="24"/>
                <w:szCs w:val="24"/>
                <w:lang w:eastAsia="en-US"/>
              </w:rPr>
              <w:t>21</w:t>
            </w:r>
          </w:p>
        </w:tc>
        <w:tc>
          <w:tcPr>
            <w:tcW w:w="970" w:type="pct"/>
            <w:shd w:val="clear" w:color="auto" w:fill="auto"/>
          </w:tcPr>
          <w:p w14:paraId="1788A668" w14:textId="77777777" w:rsidR="00195A8B" w:rsidRPr="00195A8B" w:rsidRDefault="00195A8B" w:rsidP="00195A8B">
            <w:pPr>
              <w:spacing w:after="0" w:line="240" w:lineRule="auto"/>
              <w:rPr>
                <w:rFonts w:ascii="Times New Roman" w:eastAsia="Calibri" w:hAnsi="Times New Roman" w:cs="Times New Roman"/>
                <w:b/>
                <w:bCs/>
                <w:kern w:val="2"/>
                <w:sz w:val="24"/>
                <w:szCs w:val="24"/>
                <w:lang w:eastAsia="en-US"/>
              </w:rPr>
            </w:pPr>
            <w:r w:rsidRPr="00195A8B">
              <w:rPr>
                <w:rFonts w:ascii="Times New Roman" w:eastAsia="Calibri" w:hAnsi="Times New Roman" w:cs="Times New Roman"/>
                <w:b/>
                <w:bCs/>
                <w:kern w:val="2"/>
                <w:sz w:val="24"/>
                <w:szCs w:val="24"/>
                <w:lang w:eastAsia="en-US"/>
              </w:rPr>
              <w:t>100.0</w:t>
            </w:r>
          </w:p>
        </w:tc>
      </w:tr>
      <w:tr w:rsidR="00195A8B" w:rsidRPr="00195A8B" w14:paraId="3C0B782C" w14:textId="77777777" w:rsidTr="00CA33B8">
        <w:trPr>
          <w:cantSplit/>
        </w:trPr>
        <w:tc>
          <w:tcPr>
            <w:tcW w:w="497" w:type="pct"/>
            <w:vMerge/>
            <w:shd w:val="clear" w:color="auto" w:fill="auto"/>
          </w:tcPr>
          <w:p w14:paraId="61C5E5B6"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val="restart"/>
            <w:shd w:val="clear" w:color="auto" w:fill="auto"/>
          </w:tcPr>
          <w:p w14:paraId="000A5D8C"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Special Needs</w:t>
            </w:r>
          </w:p>
        </w:tc>
        <w:tc>
          <w:tcPr>
            <w:tcW w:w="1480" w:type="pct"/>
            <w:shd w:val="clear" w:color="auto" w:fill="auto"/>
          </w:tcPr>
          <w:p w14:paraId="28B382F3"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Crop Production</w:t>
            </w:r>
          </w:p>
        </w:tc>
        <w:tc>
          <w:tcPr>
            <w:tcW w:w="1123" w:type="pct"/>
            <w:shd w:val="clear" w:color="auto" w:fill="auto"/>
          </w:tcPr>
          <w:p w14:paraId="09B37BE0"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10</w:t>
            </w:r>
          </w:p>
        </w:tc>
        <w:tc>
          <w:tcPr>
            <w:tcW w:w="970" w:type="pct"/>
            <w:shd w:val="clear" w:color="auto" w:fill="auto"/>
          </w:tcPr>
          <w:p w14:paraId="45A3E816"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66.7</w:t>
            </w:r>
          </w:p>
        </w:tc>
      </w:tr>
      <w:tr w:rsidR="00195A8B" w:rsidRPr="00195A8B" w14:paraId="53933B4B" w14:textId="77777777" w:rsidTr="00CA33B8">
        <w:trPr>
          <w:cantSplit/>
        </w:trPr>
        <w:tc>
          <w:tcPr>
            <w:tcW w:w="497" w:type="pct"/>
            <w:vMerge/>
            <w:shd w:val="clear" w:color="auto" w:fill="auto"/>
          </w:tcPr>
          <w:p w14:paraId="1F0E0435"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shd w:val="clear" w:color="auto" w:fill="auto"/>
          </w:tcPr>
          <w:p w14:paraId="77C41F05"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1480" w:type="pct"/>
            <w:shd w:val="clear" w:color="auto" w:fill="auto"/>
          </w:tcPr>
          <w:p w14:paraId="39E704BE"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Livestock Keeping</w:t>
            </w:r>
          </w:p>
        </w:tc>
        <w:tc>
          <w:tcPr>
            <w:tcW w:w="1123" w:type="pct"/>
            <w:shd w:val="clear" w:color="auto" w:fill="auto"/>
          </w:tcPr>
          <w:p w14:paraId="6EADC5A9"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6</w:t>
            </w:r>
          </w:p>
        </w:tc>
        <w:tc>
          <w:tcPr>
            <w:tcW w:w="970" w:type="pct"/>
            <w:shd w:val="clear" w:color="auto" w:fill="auto"/>
          </w:tcPr>
          <w:p w14:paraId="1B84E007"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40.0</w:t>
            </w:r>
          </w:p>
        </w:tc>
      </w:tr>
      <w:tr w:rsidR="00195A8B" w:rsidRPr="00195A8B" w14:paraId="7F4F711A" w14:textId="77777777" w:rsidTr="00CA33B8">
        <w:trPr>
          <w:cantSplit/>
        </w:trPr>
        <w:tc>
          <w:tcPr>
            <w:tcW w:w="497" w:type="pct"/>
            <w:vMerge/>
            <w:shd w:val="clear" w:color="auto" w:fill="auto"/>
          </w:tcPr>
          <w:p w14:paraId="5256826A"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shd w:val="clear" w:color="auto" w:fill="auto"/>
          </w:tcPr>
          <w:p w14:paraId="5BD5F200"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1480" w:type="pct"/>
            <w:shd w:val="clear" w:color="auto" w:fill="auto"/>
          </w:tcPr>
          <w:p w14:paraId="39B1CD81"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Petty Business</w:t>
            </w:r>
          </w:p>
        </w:tc>
        <w:tc>
          <w:tcPr>
            <w:tcW w:w="1123" w:type="pct"/>
            <w:shd w:val="clear" w:color="auto" w:fill="auto"/>
          </w:tcPr>
          <w:p w14:paraId="7525B017"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11</w:t>
            </w:r>
          </w:p>
        </w:tc>
        <w:tc>
          <w:tcPr>
            <w:tcW w:w="970" w:type="pct"/>
            <w:shd w:val="clear" w:color="auto" w:fill="auto"/>
          </w:tcPr>
          <w:p w14:paraId="41E16794"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73.3</w:t>
            </w:r>
          </w:p>
        </w:tc>
      </w:tr>
      <w:tr w:rsidR="00195A8B" w:rsidRPr="00195A8B" w14:paraId="25DCD508" w14:textId="77777777" w:rsidTr="00CA33B8">
        <w:trPr>
          <w:cantSplit/>
        </w:trPr>
        <w:tc>
          <w:tcPr>
            <w:tcW w:w="497" w:type="pct"/>
            <w:vMerge/>
            <w:shd w:val="clear" w:color="auto" w:fill="auto"/>
          </w:tcPr>
          <w:p w14:paraId="25B2F892"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shd w:val="clear" w:color="auto" w:fill="auto"/>
          </w:tcPr>
          <w:p w14:paraId="5DF6B1E8"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1480" w:type="pct"/>
            <w:shd w:val="clear" w:color="auto" w:fill="auto"/>
          </w:tcPr>
          <w:p w14:paraId="5C140C50"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Poultry</w:t>
            </w:r>
          </w:p>
        </w:tc>
        <w:tc>
          <w:tcPr>
            <w:tcW w:w="1123" w:type="pct"/>
            <w:shd w:val="clear" w:color="auto" w:fill="auto"/>
          </w:tcPr>
          <w:p w14:paraId="08293CA5"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3</w:t>
            </w:r>
          </w:p>
        </w:tc>
        <w:tc>
          <w:tcPr>
            <w:tcW w:w="970" w:type="pct"/>
            <w:shd w:val="clear" w:color="auto" w:fill="auto"/>
          </w:tcPr>
          <w:p w14:paraId="310848C7"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20.0</w:t>
            </w:r>
          </w:p>
        </w:tc>
      </w:tr>
      <w:tr w:rsidR="00195A8B" w:rsidRPr="00195A8B" w14:paraId="5D626191" w14:textId="77777777" w:rsidTr="00CA33B8">
        <w:trPr>
          <w:cantSplit/>
        </w:trPr>
        <w:tc>
          <w:tcPr>
            <w:tcW w:w="497" w:type="pct"/>
            <w:vMerge/>
            <w:shd w:val="clear" w:color="auto" w:fill="auto"/>
          </w:tcPr>
          <w:p w14:paraId="23E56C79"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shd w:val="clear" w:color="auto" w:fill="auto"/>
          </w:tcPr>
          <w:p w14:paraId="337F2C42"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1480" w:type="pct"/>
            <w:shd w:val="clear" w:color="auto" w:fill="auto"/>
          </w:tcPr>
          <w:p w14:paraId="30D1B2B3"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Construction services</w:t>
            </w:r>
          </w:p>
        </w:tc>
        <w:tc>
          <w:tcPr>
            <w:tcW w:w="1123" w:type="pct"/>
            <w:shd w:val="clear" w:color="auto" w:fill="auto"/>
          </w:tcPr>
          <w:p w14:paraId="77C144E1"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1</w:t>
            </w:r>
          </w:p>
        </w:tc>
        <w:tc>
          <w:tcPr>
            <w:tcW w:w="970" w:type="pct"/>
            <w:shd w:val="clear" w:color="auto" w:fill="auto"/>
          </w:tcPr>
          <w:p w14:paraId="4C7C735C"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r w:rsidRPr="00195A8B">
              <w:rPr>
                <w:rFonts w:ascii="Times New Roman" w:eastAsia="Calibri" w:hAnsi="Times New Roman" w:cs="Times New Roman"/>
                <w:bCs/>
                <w:kern w:val="2"/>
                <w:sz w:val="24"/>
                <w:szCs w:val="24"/>
                <w:lang w:eastAsia="en-US"/>
              </w:rPr>
              <w:t>6.7</w:t>
            </w:r>
          </w:p>
        </w:tc>
      </w:tr>
      <w:tr w:rsidR="00195A8B" w:rsidRPr="00195A8B" w14:paraId="142DC6E0" w14:textId="77777777" w:rsidTr="00CA33B8">
        <w:trPr>
          <w:cantSplit/>
        </w:trPr>
        <w:tc>
          <w:tcPr>
            <w:tcW w:w="497" w:type="pct"/>
            <w:vMerge/>
            <w:shd w:val="clear" w:color="auto" w:fill="auto"/>
          </w:tcPr>
          <w:p w14:paraId="2245ED04"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930" w:type="pct"/>
            <w:vMerge/>
            <w:shd w:val="clear" w:color="auto" w:fill="auto"/>
          </w:tcPr>
          <w:p w14:paraId="6FA27729" w14:textId="77777777" w:rsidR="00195A8B" w:rsidRPr="00195A8B" w:rsidRDefault="00195A8B" w:rsidP="00195A8B">
            <w:pPr>
              <w:spacing w:after="0" w:line="240" w:lineRule="auto"/>
              <w:rPr>
                <w:rFonts w:ascii="Times New Roman" w:eastAsia="Calibri" w:hAnsi="Times New Roman" w:cs="Times New Roman"/>
                <w:bCs/>
                <w:kern w:val="2"/>
                <w:sz w:val="24"/>
                <w:szCs w:val="24"/>
                <w:lang w:eastAsia="en-US"/>
              </w:rPr>
            </w:pPr>
          </w:p>
        </w:tc>
        <w:tc>
          <w:tcPr>
            <w:tcW w:w="1480" w:type="pct"/>
            <w:shd w:val="clear" w:color="auto" w:fill="auto"/>
          </w:tcPr>
          <w:p w14:paraId="46C24F63" w14:textId="77777777" w:rsidR="00195A8B" w:rsidRPr="00195A8B" w:rsidRDefault="00195A8B" w:rsidP="00195A8B">
            <w:pPr>
              <w:spacing w:after="0" w:line="240" w:lineRule="auto"/>
              <w:rPr>
                <w:rFonts w:ascii="Times New Roman" w:eastAsia="Calibri" w:hAnsi="Times New Roman" w:cs="Times New Roman"/>
                <w:b/>
                <w:bCs/>
                <w:kern w:val="2"/>
                <w:sz w:val="24"/>
                <w:szCs w:val="24"/>
                <w:lang w:eastAsia="en-US"/>
              </w:rPr>
            </w:pPr>
            <w:r w:rsidRPr="00195A8B">
              <w:rPr>
                <w:rFonts w:ascii="Times New Roman" w:eastAsia="Calibri" w:hAnsi="Times New Roman" w:cs="Times New Roman"/>
                <w:b/>
                <w:bCs/>
                <w:kern w:val="2"/>
                <w:sz w:val="24"/>
                <w:szCs w:val="24"/>
                <w:lang w:eastAsia="en-US"/>
              </w:rPr>
              <w:t>Total</w:t>
            </w:r>
          </w:p>
        </w:tc>
        <w:tc>
          <w:tcPr>
            <w:tcW w:w="1123" w:type="pct"/>
            <w:shd w:val="clear" w:color="auto" w:fill="auto"/>
          </w:tcPr>
          <w:p w14:paraId="276C6D98" w14:textId="77777777" w:rsidR="00195A8B" w:rsidRPr="00195A8B" w:rsidRDefault="00195A8B" w:rsidP="00195A8B">
            <w:pPr>
              <w:spacing w:after="0" w:line="240" w:lineRule="auto"/>
              <w:rPr>
                <w:rFonts w:ascii="Times New Roman" w:eastAsia="Calibri" w:hAnsi="Times New Roman" w:cs="Times New Roman"/>
                <w:b/>
                <w:bCs/>
                <w:kern w:val="2"/>
                <w:sz w:val="24"/>
                <w:szCs w:val="24"/>
                <w:lang w:eastAsia="en-US"/>
              </w:rPr>
            </w:pPr>
            <w:r w:rsidRPr="00195A8B">
              <w:rPr>
                <w:rFonts w:ascii="Times New Roman" w:eastAsia="Calibri" w:hAnsi="Times New Roman" w:cs="Times New Roman"/>
                <w:b/>
                <w:bCs/>
                <w:kern w:val="2"/>
                <w:sz w:val="24"/>
                <w:szCs w:val="24"/>
                <w:lang w:eastAsia="en-US"/>
              </w:rPr>
              <w:t>15</w:t>
            </w:r>
          </w:p>
        </w:tc>
        <w:tc>
          <w:tcPr>
            <w:tcW w:w="970" w:type="pct"/>
            <w:shd w:val="clear" w:color="auto" w:fill="auto"/>
          </w:tcPr>
          <w:p w14:paraId="05B537E4" w14:textId="77777777" w:rsidR="00195A8B" w:rsidRPr="00195A8B" w:rsidRDefault="00195A8B" w:rsidP="00195A8B">
            <w:pPr>
              <w:spacing w:after="0" w:line="240" w:lineRule="auto"/>
              <w:rPr>
                <w:rFonts w:ascii="Times New Roman" w:eastAsia="Calibri" w:hAnsi="Times New Roman" w:cs="Times New Roman"/>
                <w:b/>
                <w:bCs/>
                <w:kern w:val="2"/>
                <w:sz w:val="24"/>
                <w:szCs w:val="24"/>
                <w:lang w:eastAsia="en-US"/>
              </w:rPr>
            </w:pPr>
            <w:r w:rsidRPr="00195A8B">
              <w:rPr>
                <w:rFonts w:ascii="Times New Roman" w:eastAsia="Calibri" w:hAnsi="Times New Roman" w:cs="Times New Roman"/>
                <w:b/>
                <w:bCs/>
                <w:kern w:val="2"/>
                <w:sz w:val="24"/>
                <w:szCs w:val="24"/>
                <w:lang w:eastAsia="en-US"/>
              </w:rPr>
              <w:t>100.0</w:t>
            </w:r>
          </w:p>
        </w:tc>
      </w:tr>
    </w:tbl>
    <w:p w14:paraId="3B3336D3" w14:textId="77777777" w:rsidR="00195A8B" w:rsidRPr="00195A8B" w:rsidRDefault="00195A8B" w:rsidP="00195A8B">
      <w:pPr>
        <w:spacing w:after="160" w:line="259" w:lineRule="auto"/>
        <w:jc w:val="both"/>
        <w:rPr>
          <w:rFonts w:ascii="Times New Roman" w:eastAsia="Calibri" w:hAnsi="Times New Roman" w:cs="Times New Roman"/>
          <w:kern w:val="2"/>
          <w:sz w:val="24"/>
          <w:szCs w:val="24"/>
          <w:lang w:eastAsia="en-US"/>
        </w:rPr>
      </w:pPr>
      <w:r w:rsidRPr="00195A8B">
        <w:rPr>
          <w:rFonts w:ascii="Times New Roman" w:eastAsia="Calibri" w:hAnsi="Times New Roman" w:cs="Times New Roman"/>
          <w:b/>
          <w:bCs/>
          <w:kern w:val="2"/>
          <w:sz w:val="24"/>
          <w:szCs w:val="24"/>
          <w:lang w:eastAsia="en-US"/>
        </w:rPr>
        <w:t>Source</w:t>
      </w:r>
      <w:r w:rsidRPr="00195A8B">
        <w:rPr>
          <w:rFonts w:ascii="Times New Roman" w:eastAsia="Calibri" w:hAnsi="Times New Roman" w:cs="Times New Roman"/>
          <w:kern w:val="2"/>
          <w:sz w:val="24"/>
          <w:szCs w:val="24"/>
          <w:lang w:eastAsia="en-US"/>
        </w:rPr>
        <w:t>: Survey field data, 2023/2024</w:t>
      </w:r>
    </w:p>
    <w:p w14:paraId="36CB0004" w14:textId="77777777" w:rsidR="00195A8B" w:rsidRPr="00195A8B" w:rsidRDefault="00195A8B" w:rsidP="00195A8B">
      <w:pPr>
        <w:spacing w:after="160" w:line="259"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noProof/>
          <w:kern w:val="2"/>
          <w:sz w:val="24"/>
          <w:szCs w:val="24"/>
          <w:lang w:val="en-GB" w:eastAsia="en-US"/>
        </w:rPr>
        <w:drawing>
          <wp:inline distT="0" distB="0" distL="0" distR="0" wp14:anchorId="3A9FB76C" wp14:editId="1C4C84E6">
            <wp:extent cx="5731510" cy="2866390"/>
            <wp:effectExtent l="0" t="0" r="2540" b="0"/>
            <wp:docPr id="592186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866390"/>
                    </a:xfrm>
                    <a:prstGeom prst="rect">
                      <a:avLst/>
                    </a:prstGeom>
                    <a:noFill/>
                    <a:ln>
                      <a:noFill/>
                    </a:ln>
                  </pic:spPr>
                </pic:pic>
              </a:graphicData>
            </a:graphic>
          </wp:inline>
        </w:drawing>
      </w:r>
    </w:p>
    <w:p w14:paraId="24CC583F" w14:textId="77777777" w:rsidR="00195A8B" w:rsidRPr="00195A8B" w:rsidRDefault="00195A8B" w:rsidP="00195A8B">
      <w:pPr>
        <w:spacing w:after="160" w:line="240" w:lineRule="auto"/>
        <w:jc w:val="center"/>
        <w:rPr>
          <w:rFonts w:ascii="Times New Roman" w:eastAsia="Calibri" w:hAnsi="Times New Roman" w:cs="Times New Roman"/>
          <w:b/>
          <w:bCs/>
          <w:kern w:val="2"/>
          <w:sz w:val="24"/>
          <w:szCs w:val="24"/>
          <w:lang w:val="en-GB" w:eastAsia="en-US"/>
        </w:rPr>
      </w:pPr>
      <w:r w:rsidRPr="00195A8B">
        <w:rPr>
          <w:rFonts w:ascii="Times New Roman" w:eastAsia="Calibri" w:hAnsi="Times New Roman" w:cs="Times New Roman"/>
          <w:b/>
          <w:bCs/>
          <w:kern w:val="2"/>
          <w:sz w:val="24"/>
          <w:szCs w:val="24"/>
          <w:lang w:val="en-GB" w:eastAsia="en-US"/>
        </w:rPr>
        <w:t xml:space="preserve">Figure 1.  </w:t>
      </w:r>
      <w:r w:rsidRPr="00195A8B">
        <w:rPr>
          <w:rFonts w:ascii="Times New Roman" w:eastAsia="Calibri" w:hAnsi="Times New Roman" w:cs="Times New Roman"/>
          <w:b/>
          <w:bCs/>
          <w:kern w:val="2"/>
          <w:sz w:val="24"/>
          <w:szCs w:val="24"/>
          <w:lang w:eastAsia="en-US"/>
        </w:rPr>
        <w:t>Comparison of Enterprises Operated among Loan Beneficiaries between Arusha and Mara Regions</w:t>
      </w:r>
    </w:p>
    <w:p w14:paraId="4E62249B" w14:textId="14014413" w:rsidR="00195A8B" w:rsidRPr="00DF60D8" w:rsidRDefault="00195A8B" w:rsidP="00DF60D8">
      <w:pPr>
        <w:pStyle w:val="ListParagraph"/>
        <w:numPr>
          <w:ilvl w:val="2"/>
          <w:numId w:val="38"/>
        </w:numPr>
        <w:spacing w:after="120" w:line="259" w:lineRule="auto"/>
        <w:contextualSpacing w:val="0"/>
        <w:jc w:val="both"/>
        <w:rPr>
          <w:rFonts w:ascii="Times New Roman" w:eastAsia="Calibri" w:hAnsi="Times New Roman" w:cs="Times New Roman"/>
          <w:b/>
          <w:bCs/>
          <w:kern w:val="2"/>
          <w:sz w:val="24"/>
          <w:szCs w:val="24"/>
          <w:lang w:eastAsia="en-US"/>
        </w:rPr>
      </w:pPr>
      <w:bookmarkStart w:id="6" w:name="_Toc158241361"/>
      <w:r w:rsidRPr="00DF60D8">
        <w:rPr>
          <w:rFonts w:ascii="Times New Roman" w:eastAsia="Calibri" w:hAnsi="Times New Roman" w:cs="Times New Roman"/>
          <w:b/>
          <w:bCs/>
          <w:kern w:val="2"/>
          <w:sz w:val="24"/>
          <w:szCs w:val="24"/>
          <w:lang w:eastAsia="en-US"/>
        </w:rPr>
        <w:t xml:space="preserve">Comparison of the Amount of Loan Received per </w:t>
      </w:r>
      <w:bookmarkEnd w:id="6"/>
      <w:r w:rsidRPr="00DF60D8">
        <w:rPr>
          <w:rFonts w:ascii="Times New Roman" w:eastAsia="Calibri" w:hAnsi="Times New Roman" w:cs="Times New Roman"/>
          <w:b/>
          <w:bCs/>
          <w:kern w:val="2"/>
          <w:sz w:val="24"/>
          <w:szCs w:val="24"/>
          <w:lang w:eastAsia="en-US"/>
        </w:rPr>
        <w:t>Loan Beneficiaries Group between Arusha and Mara Regions</w:t>
      </w:r>
    </w:p>
    <w:p w14:paraId="26231F3C" w14:textId="18E41A25" w:rsidR="00195A8B" w:rsidRPr="00195A8B" w:rsidRDefault="00195A8B" w:rsidP="005C4ABF">
      <w:pPr>
        <w:spacing w:after="160" w:line="360" w:lineRule="auto"/>
        <w:jc w:val="both"/>
        <w:rPr>
          <w:rFonts w:ascii="Times New Roman" w:eastAsia="Calibri" w:hAnsi="Times New Roman" w:cs="Times New Roman"/>
          <w:kern w:val="2"/>
          <w:sz w:val="24"/>
          <w:szCs w:val="24"/>
          <w:lang w:eastAsia="en-US"/>
        </w:rPr>
      </w:pPr>
      <w:r w:rsidRPr="00195A8B">
        <w:rPr>
          <w:rFonts w:ascii="Times New Roman" w:eastAsia="Calibri" w:hAnsi="Times New Roman" w:cs="Times New Roman"/>
          <w:kern w:val="2"/>
          <w:sz w:val="24"/>
          <w:szCs w:val="24"/>
          <w:lang w:eastAsia="en-US"/>
        </w:rPr>
        <w:t xml:space="preserve">The observed variation in the amount of loans received by different beneficiary groups across Arusha and Mara reflects diverse financial needs, business scales, and local institutional dynamics influencing loan disbursement under economic empowerment schemes (Table </w:t>
      </w:r>
      <w:r w:rsidR="00DF60D8">
        <w:rPr>
          <w:rFonts w:ascii="Times New Roman" w:eastAsia="Calibri" w:hAnsi="Times New Roman" w:cs="Times New Roman"/>
          <w:kern w:val="2"/>
          <w:sz w:val="24"/>
          <w:szCs w:val="24"/>
          <w:lang w:eastAsia="en-US"/>
        </w:rPr>
        <w:t>4</w:t>
      </w:r>
      <w:r w:rsidRPr="00195A8B">
        <w:rPr>
          <w:rFonts w:ascii="Times New Roman" w:eastAsia="Calibri" w:hAnsi="Times New Roman" w:cs="Times New Roman"/>
          <w:kern w:val="2"/>
          <w:sz w:val="24"/>
          <w:szCs w:val="24"/>
          <w:lang w:eastAsia="en-US"/>
        </w:rPr>
        <w:t xml:space="preserve">). In Arusha, youth groups secured significantly higher average loan amounts (11,278,125 TZS) than their Mara counterparts (5,931,238.1 TZS). This may indicate that youth-led enterprises in Arusha engage in larger-scale or more capital-intensive ventures, potentially in sectors like transportation and livestock trading, which require higher upfront investments. This aligns with </w:t>
      </w:r>
      <w:proofErr w:type="spellStart"/>
      <w:r w:rsidRPr="00195A8B">
        <w:rPr>
          <w:rFonts w:ascii="Times New Roman" w:eastAsia="Calibri" w:hAnsi="Times New Roman" w:cs="Times New Roman"/>
          <w:kern w:val="2"/>
          <w:sz w:val="24"/>
          <w:szCs w:val="24"/>
          <w:lang w:eastAsia="en-US"/>
        </w:rPr>
        <w:t>Martey</w:t>
      </w:r>
      <w:proofErr w:type="spellEnd"/>
      <w:r w:rsidRPr="00195A8B">
        <w:rPr>
          <w:rFonts w:ascii="Times New Roman" w:eastAsia="Calibri" w:hAnsi="Times New Roman" w:cs="Times New Roman"/>
          <w:kern w:val="2"/>
          <w:sz w:val="24"/>
          <w:szCs w:val="24"/>
          <w:lang w:eastAsia="en-US"/>
        </w:rPr>
        <w:t xml:space="preserve"> et al. (2012) and </w:t>
      </w:r>
      <w:proofErr w:type="spellStart"/>
      <w:r w:rsidRPr="00195A8B">
        <w:rPr>
          <w:rFonts w:ascii="Times New Roman" w:eastAsia="Calibri" w:hAnsi="Times New Roman" w:cs="Times New Roman"/>
          <w:kern w:val="2"/>
          <w:sz w:val="24"/>
          <w:szCs w:val="24"/>
          <w:lang w:eastAsia="en-US"/>
        </w:rPr>
        <w:t>Chongela</w:t>
      </w:r>
      <w:proofErr w:type="spellEnd"/>
      <w:r w:rsidRPr="00195A8B">
        <w:rPr>
          <w:rFonts w:ascii="Times New Roman" w:eastAsia="Calibri" w:hAnsi="Times New Roman" w:cs="Times New Roman"/>
          <w:kern w:val="2"/>
          <w:sz w:val="24"/>
          <w:szCs w:val="24"/>
          <w:lang w:eastAsia="en-US"/>
        </w:rPr>
        <w:t xml:space="preserve"> (2015), who emphasize that youth entrepreneurs in urbanizing </w:t>
      </w:r>
      <w:r w:rsidRPr="00195A8B">
        <w:rPr>
          <w:rFonts w:ascii="Times New Roman" w:eastAsia="Calibri" w:hAnsi="Times New Roman" w:cs="Times New Roman"/>
          <w:kern w:val="2"/>
          <w:sz w:val="24"/>
          <w:szCs w:val="24"/>
          <w:lang w:eastAsia="en-US"/>
        </w:rPr>
        <w:lastRenderedPageBreak/>
        <w:t>areas often seek larger loans to scale operations in high-return but capital-demanding activities, reflecting a higher entrepreneurial ambition where market opportunities exist.</w:t>
      </w:r>
    </w:p>
    <w:p w14:paraId="2C71FADE"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eastAsia="en-US"/>
        </w:rPr>
      </w:pPr>
      <w:r w:rsidRPr="00195A8B">
        <w:rPr>
          <w:rFonts w:ascii="Times New Roman" w:eastAsia="Calibri" w:hAnsi="Times New Roman" w:cs="Times New Roman"/>
          <w:kern w:val="2"/>
          <w:sz w:val="24"/>
          <w:szCs w:val="24"/>
          <w:lang w:eastAsia="en-US"/>
        </w:rPr>
        <w:t>Similarly, women’s groups in Arusha received higher average loans (7,716,030.6 TZS) compared to women in Mara (5,412,612.9 TZS), suggesting regional differences in enterprise maturity, scale, or financing access. Studies by Kabeer (1999) and ILO (2019) highlight that urban women entrepreneurs typically access larger loans due to better market linkages, financial literacy, and higher participation in group-based savings and lending schemes, which can enhance creditworthiness. The structured nature of women’s groups in Arusha, often facilitated by closer proximity to financial institutions and training centers, may also contribute to their ability to absorb and utilize larger loan amounts effectively.</w:t>
      </w:r>
    </w:p>
    <w:p w14:paraId="2BB1E7B9"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eastAsia="en-US"/>
        </w:rPr>
      </w:pPr>
      <w:r w:rsidRPr="00195A8B">
        <w:rPr>
          <w:rFonts w:ascii="Times New Roman" w:eastAsia="Calibri" w:hAnsi="Times New Roman" w:cs="Times New Roman"/>
          <w:kern w:val="2"/>
          <w:sz w:val="24"/>
          <w:szCs w:val="24"/>
          <w:lang w:eastAsia="en-US"/>
        </w:rPr>
        <w:t>The range of loan amounts further illustrates regional economic diversity. In Mara, women’s groups received loans ranging from 100,000 to 50,000,000 TZS, compared to a narrower range of 800,000 to 30,000,000 TZS in Arusha. This broader range in Mara may reflect a wider variety of business models, from small-scale retailing and poultry to medium-scale crop and livestock farming, consistent with Jayne et al. (2016) who observed that rural enterprises display varying capital needs due to differences in production scales, land access, and market reach. This suggests that while the average loan amount in Mara is lower, some beneficiaries in Mara access high-value loans, potentially for large-scale agriculture, which remains a dominant livelihood strategy in the region.</w:t>
      </w:r>
    </w:p>
    <w:p w14:paraId="63136C36"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eastAsia="en-US"/>
        </w:rPr>
      </w:pPr>
      <w:r w:rsidRPr="00195A8B">
        <w:rPr>
          <w:rFonts w:ascii="Times New Roman" w:eastAsia="Calibri" w:hAnsi="Times New Roman" w:cs="Times New Roman"/>
          <w:kern w:val="2"/>
          <w:sz w:val="24"/>
          <w:szCs w:val="24"/>
          <w:lang w:eastAsia="en-US"/>
        </w:rPr>
        <w:t>For Persons with Disabilities (PWD), the average loan amounts were generally lower in both regions (5,000,000 TZS in Arusha and 3,000,000 TZS in Mara), with narrower ranges and smaller standard deviations. This may be attributed to smaller group sizes, lower enterprise scales, and more cautious lending due to perceived repayment risks. Consistent with Banks and Polack (2014) and ILO (2020), PWD entrepreneurs often face compounded barriers including limited physical mobility, discrimination, and inadequate adaptive business support, which constrain their access to and utilization of higher-value loans. Additionally, the uniform loan value for PWD in Arusha indicates standardized disbursement practices, possibly to simplify monitoring and ensure equitable distribution among PWD groups.</w:t>
      </w:r>
    </w:p>
    <w:p w14:paraId="7B2B42CF"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eastAsia="en-US"/>
        </w:rPr>
      </w:pPr>
      <w:r w:rsidRPr="00195A8B">
        <w:rPr>
          <w:rFonts w:ascii="Times New Roman" w:eastAsia="Calibri" w:hAnsi="Times New Roman" w:cs="Times New Roman"/>
          <w:kern w:val="2"/>
          <w:sz w:val="24"/>
          <w:szCs w:val="24"/>
          <w:lang w:eastAsia="en-US"/>
        </w:rPr>
        <w:t xml:space="preserve">The differences in the standard deviation of loan amounts (e.g., 7,746,623.7 TZS for youth in Arusha versus 3,651,227.2 TZS in Mara) reflect greater variation in the scale of enterprises and </w:t>
      </w:r>
      <w:r w:rsidRPr="00195A8B">
        <w:rPr>
          <w:rFonts w:ascii="Times New Roman" w:eastAsia="Calibri" w:hAnsi="Times New Roman" w:cs="Times New Roman"/>
          <w:kern w:val="2"/>
          <w:sz w:val="24"/>
          <w:szCs w:val="24"/>
          <w:lang w:eastAsia="en-US"/>
        </w:rPr>
        <w:lastRenderedPageBreak/>
        <w:t>loan structuring in Arusha. This variation may indicate more flexible loan structuring in Arusha based on business plans and capacity assessments, a practice recommended in effective microfinance and local empowerment schemes (</w:t>
      </w:r>
      <w:proofErr w:type="spellStart"/>
      <w:r w:rsidRPr="00195A8B">
        <w:rPr>
          <w:rFonts w:ascii="Times New Roman" w:eastAsia="Calibri" w:hAnsi="Times New Roman" w:cs="Times New Roman"/>
          <w:kern w:val="2"/>
          <w:sz w:val="24"/>
          <w:szCs w:val="24"/>
          <w:lang w:eastAsia="en-US"/>
        </w:rPr>
        <w:t>Ledgerwood</w:t>
      </w:r>
      <w:proofErr w:type="spellEnd"/>
      <w:r w:rsidRPr="00195A8B">
        <w:rPr>
          <w:rFonts w:ascii="Times New Roman" w:eastAsia="Calibri" w:hAnsi="Times New Roman" w:cs="Times New Roman"/>
          <w:kern w:val="2"/>
          <w:sz w:val="24"/>
          <w:szCs w:val="24"/>
          <w:lang w:eastAsia="en-US"/>
        </w:rPr>
        <w:t>, 1999; URT, 2021).</w:t>
      </w:r>
    </w:p>
    <w:p w14:paraId="45AEEE51"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eastAsia="en-US"/>
        </w:rPr>
      </w:pPr>
      <w:r w:rsidRPr="00195A8B">
        <w:rPr>
          <w:rFonts w:ascii="Times New Roman" w:eastAsia="Calibri" w:hAnsi="Times New Roman" w:cs="Times New Roman"/>
          <w:kern w:val="2"/>
          <w:sz w:val="24"/>
          <w:szCs w:val="24"/>
          <w:lang w:eastAsia="en-US"/>
        </w:rPr>
        <w:t>Overall, the observed disparities in loan amounts between Arusha and Mara reflect contextual economic differences, with urban Arusha supporting higher-value enterprises while rural Mara hosts smaller-scale but diverse ventures, linked to differences in institutional capacity and market linkages that influence local government confidence in loan disbursement. As emphasized by IFAD (2020) and Scoones (2015), these findings highlight the need for context-sensitive, inclusive financial products and capacity-building programs that align with local realities to enhance repayment sustainability and enable youth, women, and PWD entrepreneurs to transition from microenterprises to viable, growth-oriented businesses, supporting SDG 8 and SDG 10 within Tanzania’s economic empowerment frameworks.</w:t>
      </w:r>
    </w:p>
    <w:p w14:paraId="62F981A6" w14:textId="4FE42C8C" w:rsidR="00195A8B" w:rsidRPr="00195A8B" w:rsidRDefault="00195A8B" w:rsidP="00195A8B">
      <w:pPr>
        <w:spacing w:after="0" w:line="240" w:lineRule="auto"/>
        <w:jc w:val="both"/>
        <w:rPr>
          <w:rFonts w:ascii="Times New Roman" w:eastAsia="Calibri" w:hAnsi="Times New Roman" w:cs="Times New Roman"/>
          <w:b/>
          <w:bCs/>
          <w:kern w:val="2"/>
          <w:sz w:val="24"/>
          <w:szCs w:val="24"/>
          <w:lang w:eastAsia="en-US"/>
        </w:rPr>
      </w:pPr>
      <w:r w:rsidRPr="00195A8B">
        <w:rPr>
          <w:rFonts w:ascii="Times New Roman" w:eastAsia="Calibri" w:hAnsi="Times New Roman" w:cs="Times New Roman"/>
          <w:b/>
          <w:bCs/>
          <w:kern w:val="2"/>
          <w:sz w:val="24"/>
          <w:szCs w:val="24"/>
          <w:lang w:eastAsia="en-US"/>
        </w:rPr>
        <w:t xml:space="preserve">Table </w:t>
      </w:r>
      <w:r w:rsidR="00DF60D8">
        <w:rPr>
          <w:rFonts w:ascii="Times New Roman" w:eastAsia="Calibri" w:hAnsi="Times New Roman" w:cs="Times New Roman"/>
          <w:b/>
          <w:bCs/>
          <w:kern w:val="2"/>
          <w:sz w:val="24"/>
          <w:szCs w:val="24"/>
          <w:lang w:eastAsia="en-US"/>
        </w:rPr>
        <w:t>4</w:t>
      </w:r>
      <w:r w:rsidRPr="00195A8B">
        <w:rPr>
          <w:rFonts w:ascii="Times New Roman" w:eastAsia="Calibri" w:hAnsi="Times New Roman" w:cs="Times New Roman"/>
          <w:b/>
          <w:bCs/>
          <w:kern w:val="2"/>
          <w:sz w:val="24"/>
          <w:szCs w:val="24"/>
          <w:lang w:eastAsia="en-US"/>
        </w:rPr>
        <w:t>. Comparison of the Amount of Loan Received per Loan Beneficiaries Group between Arusha and Mara Regions (N=495)</w:t>
      </w:r>
    </w:p>
    <w:tbl>
      <w:tblPr>
        <w:tblStyle w:val="GridTable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511"/>
        <w:gridCol w:w="1860"/>
        <w:gridCol w:w="1423"/>
        <w:gridCol w:w="1488"/>
        <w:gridCol w:w="1904"/>
      </w:tblGrid>
      <w:tr w:rsidR="00195A8B" w:rsidRPr="00195A8B" w14:paraId="44BA4F38" w14:textId="77777777" w:rsidTr="00CA3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6" w:type="pct"/>
            <w:shd w:val="clear" w:color="auto" w:fill="auto"/>
          </w:tcPr>
          <w:p w14:paraId="18EFB08C" w14:textId="77777777" w:rsidR="00195A8B" w:rsidRPr="00195A8B" w:rsidRDefault="00195A8B" w:rsidP="00195A8B">
            <w:pPr>
              <w:jc w:val="both"/>
              <w:rPr>
                <w:rFonts w:ascii="Times New Roman" w:hAnsi="Times New Roman" w:cs="Times New Roman"/>
                <w:sz w:val="24"/>
                <w:szCs w:val="24"/>
              </w:rPr>
            </w:pPr>
            <w:r w:rsidRPr="00195A8B">
              <w:rPr>
                <w:rFonts w:ascii="Times New Roman" w:hAnsi="Times New Roman" w:cs="Times New Roman"/>
                <w:sz w:val="24"/>
                <w:szCs w:val="24"/>
              </w:rPr>
              <w:t>Region</w:t>
            </w:r>
          </w:p>
        </w:tc>
        <w:tc>
          <w:tcPr>
            <w:tcW w:w="789" w:type="pct"/>
            <w:shd w:val="clear" w:color="auto" w:fill="auto"/>
          </w:tcPr>
          <w:p w14:paraId="3E54AC46" w14:textId="77777777" w:rsidR="00195A8B" w:rsidRPr="00195A8B" w:rsidRDefault="00195A8B" w:rsidP="00195A8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Group type</w:t>
            </w:r>
          </w:p>
        </w:tc>
        <w:tc>
          <w:tcPr>
            <w:tcW w:w="971" w:type="pct"/>
            <w:shd w:val="clear" w:color="auto" w:fill="auto"/>
          </w:tcPr>
          <w:p w14:paraId="5161C2DC" w14:textId="77777777" w:rsidR="00195A8B" w:rsidRPr="00195A8B" w:rsidRDefault="00195A8B" w:rsidP="00195A8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Mean</w:t>
            </w:r>
          </w:p>
        </w:tc>
        <w:tc>
          <w:tcPr>
            <w:tcW w:w="743" w:type="pct"/>
            <w:shd w:val="clear" w:color="auto" w:fill="auto"/>
          </w:tcPr>
          <w:p w14:paraId="2E7D4C10" w14:textId="77777777" w:rsidR="00195A8B" w:rsidRPr="00195A8B" w:rsidRDefault="00195A8B" w:rsidP="00195A8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Max</w:t>
            </w:r>
          </w:p>
        </w:tc>
        <w:tc>
          <w:tcPr>
            <w:tcW w:w="777" w:type="pct"/>
            <w:shd w:val="clear" w:color="auto" w:fill="auto"/>
          </w:tcPr>
          <w:p w14:paraId="17DBC8FF" w14:textId="77777777" w:rsidR="00195A8B" w:rsidRPr="00195A8B" w:rsidRDefault="00195A8B" w:rsidP="00195A8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Min</w:t>
            </w:r>
          </w:p>
        </w:tc>
        <w:tc>
          <w:tcPr>
            <w:tcW w:w="994" w:type="pct"/>
            <w:shd w:val="clear" w:color="auto" w:fill="auto"/>
          </w:tcPr>
          <w:p w14:paraId="65BAA78A" w14:textId="77777777" w:rsidR="00195A8B" w:rsidRPr="00195A8B" w:rsidRDefault="00195A8B" w:rsidP="00195A8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Std. Dev</w:t>
            </w:r>
          </w:p>
        </w:tc>
      </w:tr>
      <w:tr w:rsidR="00195A8B" w:rsidRPr="00195A8B" w14:paraId="5A86DAD7" w14:textId="77777777" w:rsidTr="00CA3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6" w:type="pct"/>
            <w:shd w:val="clear" w:color="auto" w:fill="auto"/>
          </w:tcPr>
          <w:p w14:paraId="3A7DFB60" w14:textId="77777777" w:rsidR="00195A8B" w:rsidRPr="00195A8B" w:rsidRDefault="00195A8B" w:rsidP="00195A8B">
            <w:pPr>
              <w:jc w:val="both"/>
              <w:rPr>
                <w:rFonts w:ascii="Times New Roman" w:hAnsi="Times New Roman" w:cs="Times New Roman"/>
                <w:sz w:val="24"/>
                <w:szCs w:val="24"/>
              </w:rPr>
            </w:pPr>
            <w:r w:rsidRPr="00195A8B">
              <w:rPr>
                <w:rFonts w:ascii="Times New Roman" w:hAnsi="Times New Roman" w:cs="Times New Roman"/>
                <w:sz w:val="24"/>
                <w:szCs w:val="24"/>
              </w:rPr>
              <w:t>Arusha</w:t>
            </w:r>
          </w:p>
        </w:tc>
        <w:tc>
          <w:tcPr>
            <w:tcW w:w="789" w:type="pct"/>
            <w:shd w:val="clear" w:color="auto" w:fill="auto"/>
          </w:tcPr>
          <w:p w14:paraId="0E215829" w14:textId="77777777" w:rsidR="00195A8B" w:rsidRPr="00195A8B" w:rsidRDefault="00195A8B" w:rsidP="00195A8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Women</w:t>
            </w:r>
          </w:p>
        </w:tc>
        <w:tc>
          <w:tcPr>
            <w:tcW w:w="971" w:type="pct"/>
            <w:shd w:val="clear" w:color="auto" w:fill="auto"/>
          </w:tcPr>
          <w:p w14:paraId="303FDEE8" w14:textId="77777777" w:rsidR="00195A8B" w:rsidRPr="00195A8B" w:rsidRDefault="00195A8B" w:rsidP="00195A8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7,716,030.6</w:t>
            </w:r>
          </w:p>
        </w:tc>
        <w:tc>
          <w:tcPr>
            <w:tcW w:w="743" w:type="pct"/>
            <w:shd w:val="clear" w:color="auto" w:fill="auto"/>
          </w:tcPr>
          <w:p w14:paraId="1D574519" w14:textId="77777777" w:rsidR="00195A8B" w:rsidRPr="00195A8B" w:rsidRDefault="00195A8B" w:rsidP="00195A8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30,000,000</w:t>
            </w:r>
          </w:p>
        </w:tc>
        <w:tc>
          <w:tcPr>
            <w:tcW w:w="777" w:type="pct"/>
            <w:shd w:val="clear" w:color="auto" w:fill="auto"/>
          </w:tcPr>
          <w:p w14:paraId="38028941" w14:textId="77777777" w:rsidR="00195A8B" w:rsidRPr="00195A8B" w:rsidRDefault="00195A8B" w:rsidP="00195A8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800,000</w:t>
            </w:r>
          </w:p>
        </w:tc>
        <w:tc>
          <w:tcPr>
            <w:tcW w:w="994" w:type="pct"/>
            <w:shd w:val="clear" w:color="auto" w:fill="auto"/>
          </w:tcPr>
          <w:p w14:paraId="54584CCB" w14:textId="77777777" w:rsidR="00195A8B" w:rsidRPr="00195A8B" w:rsidRDefault="00195A8B" w:rsidP="00195A8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6026401.2</w:t>
            </w:r>
          </w:p>
        </w:tc>
      </w:tr>
      <w:tr w:rsidR="00195A8B" w:rsidRPr="00195A8B" w14:paraId="4BEBAC15" w14:textId="77777777" w:rsidTr="00CA33B8">
        <w:tc>
          <w:tcPr>
            <w:cnfStyle w:val="001000000000" w:firstRow="0" w:lastRow="0" w:firstColumn="1" w:lastColumn="0" w:oddVBand="0" w:evenVBand="0" w:oddHBand="0" w:evenHBand="0" w:firstRowFirstColumn="0" w:firstRowLastColumn="0" w:lastRowFirstColumn="0" w:lastRowLastColumn="0"/>
            <w:tcW w:w="726" w:type="pct"/>
            <w:shd w:val="clear" w:color="auto" w:fill="auto"/>
          </w:tcPr>
          <w:p w14:paraId="028654CF" w14:textId="77777777" w:rsidR="00195A8B" w:rsidRPr="00195A8B" w:rsidRDefault="00195A8B" w:rsidP="00195A8B">
            <w:pPr>
              <w:jc w:val="both"/>
              <w:rPr>
                <w:rFonts w:ascii="Times New Roman" w:hAnsi="Times New Roman" w:cs="Times New Roman"/>
                <w:sz w:val="24"/>
                <w:szCs w:val="24"/>
              </w:rPr>
            </w:pPr>
          </w:p>
        </w:tc>
        <w:tc>
          <w:tcPr>
            <w:tcW w:w="789" w:type="pct"/>
            <w:shd w:val="clear" w:color="auto" w:fill="auto"/>
          </w:tcPr>
          <w:p w14:paraId="76702F7C" w14:textId="77777777" w:rsidR="00195A8B" w:rsidRPr="00195A8B" w:rsidRDefault="00195A8B" w:rsidP="00195A8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Youth</w:t>
            </w:r>
          </w:p>
        </w:tc>
        <w:tc>
          <w:tcPr>
            <w:tcW w:w="971" w:type="pct"/>
            <w:shd w:val="clear" w:color="auto" w:fill="auto"/>
          </w:tcPr>
          <w:p w14:paraId="48DAA148" w14:textId="77777777" w:rsidR="00195A8B" w:rsidRPr="00195A8B" w:rsidRDefault="00195A8B" w:rsidP="00195A8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11,278,125.0</w:t>
            </w:r>
          </w:p>
        </w:tc>
        <w:tc>
          <w:tcPr>
            <w:tcW w:w="743" w:type="pct"/>
            <w:shd w:val="clear" w:color="auto" w:fill="auto"/>
          </w:tcPr>
          <w:p w14:paraId="066A3408" w14:textId="77777777" w:rsidR="00195A8B" w:rsidRPr="00195A8B" w:rsidRDefault="00195A8B" w:rsidP="00195A8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31,000,000</w:t>
            </w:r>
          </w:p>
        </w:tc>
        <w:tc>
          <w:tcPr>
            <w:tcW w:w="777" w:type="pct"/>
            <w:shd w:val="clear" w:color="auto" w:fill="auto"/>
          </w:tcPr>
          <w:p w14:paraId="335AC776" w14:textId="77777777" w:rsidR="00195A8B" w:rsidRPr="00195A8B" w:rsidRDefault="00195A8B" w:rsidP="00195A8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1,000,000</w:t>
            </w:r>
          </w:p>
        </w:tc>
        <w:tc>
          <w:tcPr>
            <w:tcW w:w="994" w:type="pct"/>
            <w:shd w:val="clear" w:color="auto" w:fill="auto"/>
          </w:tcPr>
          <w:p w14:paraId="3CA2C851" w14:textId="77777777" w:rsidR="00195A8B" w:rsidRPr="00195A8B" w:rsidRDefault="00195A8B" w:rsidP="00195A8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7744623.7</w:t>
            </w:r>
          </w:p>
        </w:tc>
      </w:tr>
      <w:tr w:rsidR="00195A8B" w:rsidRPr="00195A8B" w14:paraId="5D66E3A3" w14:textId="77777777" w:rsidTr="00CA3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6" w:type="pct"/>
            <w:shd w:val="clear" w:color="auto" w:fill="auto"/>
          </w:tcPr>
          <w:p w14:paraId="2B35879C" w14:textId="77777777" w:rsidR="00195A8B" w:rsidRPr="00195A8B" w:rsidRDefault="00195A8B" w:rsidP="00195A8B">
            <w:pPr>
              <w:jc w:val="both"/>
              <w:rPr>
                <w:rFonts w:ascii="Times New Roman" w:hAnsi="Times New Roman" w:cs="Times New Roman"/>
                <w:sz w:val="24"/>
                <w:szCs w:val="24"/>
              </w:rPr>
            </w:pPr>
          </w:p>
        </w:tc>
        <w:tc>
          <w:tcPr>
            <w:tcW w:w="789" w:type="pct"/>
            <w:shd w:val="clear" w:color="auto" w:fill="auto"/>
          </w:tcPr>
          <w:p w14:paraId="3FA02751" w14:textId="77777777" w:rsidR="00195A8B" w:rsidRPr="00195A8B" w:rsidRDefault="00195A8B" w:rsidP="00195A8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PWD</w:t>
            </w:r>
          </w:p>
        </w:tc>
        <w:tc>
          <w:tcPr>
            <w:tcW w:w="971" w:type="pct"/>
            <w:shd w:val="clear" w:color="auto" w:fill="auto"/>
          </w:tcPr>
          <w:p w14:paraId="7E111860" w14:textId="77777777" w:rsidR="00195A8B" w:rsidRPr="00195A8B" w:rsidRDefault="00195A8B" w:rsidP="00195A8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5,000,000.0</w:t>
            </w:r>
          </w:p>
        </w:tc>
        <w:tc>
          <w:tcPr>
            <w:tcW w:w="743" w:type="pct"/>
            <w:shd w:val="clear" w:color="auto" w:fill="auto"/>
          </w:tcPr>
          <w:p w14:paraId="70E125CA" w14:textId="77777777" w:rsidR="00195A8B" w:rsidRPr="00195A8B" w:rsidRDefault="00195A8B" w:rsidP="00195A8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5,000,000</w:t>
            </w:r>
          </w:p>
        </w:tc>
        <w:tc>
          <w:tcPr>
            <w:tcW w:w="777" w:type="pct"/>
            <w:shd w:val="clear" w:color="auto" w:fill="auto"/>
          </w:tcPr>
          <w:p w14:paraId="0873AD99" w14:textId="77777777" w:rsidR="00195A8B" w:rsidRPr="00195A8B" w:rsidRDefault="00195A8B" w:rsidP="00195A8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5,000,000</w:t>
            </w:r>
          </w:p>
        </w:tc>
        <w:tc>
          <w:tcPr>
            <w:tcW w:w="994" w:type="pct"/>
            <w:shd w:val="clear" w:color="auto" w:fill="auto"/>
          </w:tcPr>
          <w:p w14:paraId="58D779C2" w14:textId="77777777" w:rsidR="00195A8B" w:rsidRPr="00195A8B" w:rsidRDefault="00195A8B" w:rsidP="00195A8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w:t>
            </w:r>
          </w:p>
        </w:tc>
      </w:tr>
      <w:tr w:rsidR="00195A8B" w:rsidRPr="00195A8B" w14:paraId="57DE4C51" w14:textId="77777777" w:rsidTr="00CA33B8">
        <w:tc>
          <w:tcPr>
            <w:cnfStyle w:val="001000000000" w:firstRow="0" w:lastRow="0" w:firstColumn="1" w:lastColumn="0" w:oddVBand="0" w:evenVBand="0" w:oddHBand="0" w:evenHBand="0" w:firstRowFirstColumn="0" w:firstRowLastColumn="0" w:lastRowFirstColumn="0" w:lastRowLastColumn="0"/>
            <w:tcW w:w="726" w:type="pct"/>
            <w:shd w:val="clear" w:color="auto" w:fill="auto"/>
          </w:tcPr>
          <w:p w14:paraId="4F37CE17" w14:textId="77777777" w:rsidR="00195A8B" w:rsidRPr="00195A8B" w:rsidRDefault="00195A8B" w:rsidP="00195A8B">
            <w:pPr>
              <w:jc w:val="both"/>
              <w:rPr>
                <w:rFonts w:ascii="Times New Roman" w:hAnsi="Times New Roman" w:cs="Times New Roman"/>
                <w:sz w:val="24"/>
                <w:szCs w:val="24"/>
              </w:rPr>
            </w:pPr>
          </w:p>
        </w:tc>
        <w:tc>
          <w:tcPr>
            <w:tcW w:w="789" w:type="pct"/>
            <w:shd w:val="clear" w:color="auto" w:fill="auto"/>
          </w:tcPr>
          <w:p w14:paraId="2AEA1515" w14:textId="77777777" w:rsidR="00195A8B" w:rsidRPr="00195A8B" w:rsidRDefault="00195A8B" w:rsidP="00195A8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Total</w:t>
            </w:r>
          </w:p>
        </w:tc>
        <w:tc>
          <w:tcPr>
            <w:tcW w:w="971" w:type="pct"/>
            <w:shd w:val="clear" w:color="auto" w:fill="auto"/>
          </w:tcPr>
          <w:p w14:paraId="7137A077" w14:textId="77777777" w:rsidR="00195A8B" w:rsidRPr="00195A8B" w:rsidRDefault="00195A8B" w:rsidP="00195A8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8,865,306.2</w:t>
            </w:r>
          </w:p>
        </w:tc>
        <w:tc>
          <w:tcPr>
            <w:tcW w:w="743" w:type="pct"/>
            <w:shd w:val="clear" w:color="auto" w:fill="auto"/>
          </w:tcPr>
          <w:p w14:paraId="7E13ED43" w14:textId="77777777" w:rsidR="00195A8B" w:rsidRPr="00195A8B" w:rsidRDefault="00195A8B" w:rsidP="00195A8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31,000,000</w:t>
            </w:r>
          </w:p>
        </w:tc>
        <w:tc>
          <w:tcPr>
            <w:tcW w:w="777" w:type="pct"/>
            <w:shd w:val="clear" w:color="auto" w:fill="auto"/>
          </w:tcPr>
          <w:p w14:paraId="5D82233E" w14:textId="77777777" w:rsidR="00195A8B" w:rsidRPr="00195A8B" w:rsidRDefault="00195A8B" w:rsidP="00195A8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800,000</w:t>
            </w:r>
          </w:p>
        </w:tc>
        <w:tc>
          <w:tcPr>
            <w:tcW w:w="994" w:type="pct"/>
            <w:shd w:val="clear" w:color="auto" w:fill="auto"/>
          </w:tcPr>
          <w:p w14:paraId="648EDDC2" w14:textId="77777777" w:rsidR="00195A8B" w:rsidRPr="00195A8B" w:rsidRDefault="00195A8B" w:rsidP="00195A8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6816467.3</w:t>
            </w:r>
          </w:p>
        </w:tc>
      </w:tr>
      <w:tr w:rsidR="00195A8B" w:rsidRPr="00195A8B" w14:paraId="4A373BA5" w14:textId="77777777" w:rsidTr="00CA3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6" w:type="pct"/>
            <w:shd w:val="clear" w:color="auto" w:fill="auto"/>
          </w:tcPr>
          <w:p w14:paraId="0622AE66" w14:textId="77777777" w:rsidR="00195A8B" w:rsidRPr="00195A8B" w:rsidRDefault="00195A8B" w:rsidP="00195A8B">
            <w:pPr>
              <w:jc w:val="both"/>
              <w:rPr>
                <w:rFonts w:ascii="Times New Roman" w:hAnsi="Times New Roman" w:cs="Times New Roman"/>
                <w:sz w:val="24"/>
                <w:szCs w:val="24"/>
              </w:rPr>
            </w:pPr>
            <w:r w:rsidRPr="00195A8B">
              <w:rPr>
                <w:rFonts w:ascii="Times New Roman" w:hAnsi="Times New Roman" w:cs="Times New Roman"/>
                <w:sz w:val="24"/>
                <w:szCs w:val="24"/>
              </w:rPr>
              <w:t>Mara</w:t>
            </w:r>
          </w:p>
        </w:tc>
        <w:tc>
          <w:tcPr>
            <w:tcW w:w="789" w:type="pct"/>
            <w:shd w:val="clear" w:color="auto" w:fill="auto"/>
          </w:tcPr>
          <w:p w14:paraId="7B8932E7" w14:textId="77777777" w:rsidR="00195A8B" w:rsidRPr="00195A8B" w:rsidRDefault="00195A8B" w:rsidP="00195A8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Women</w:t>
            </w:r>
          </w:p>
        </w:tc>
        <w:tc>
          <w:tcPr>
            <w:tcW w:w="971" w:type="pct"/>
            <w:shd w:val="clear" w:color="auto" w:fill="auto"/>
          </w:tcPr>
          <w:p w14:paraId="5972BC6E" w14:textId="77777777" w:rsidR="00195A8B" w:rsidRPr="00195A8B" w:rsidRDefault="00195A8B" w:rsidP="00195A8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5,412,612.9</w:t>
            </w:r>
          </w:p>
        </w:tc>
        <w:tc>
          <w:tcPr>
            <w:tcW w:w="743" w:type="pct"/>
            <w:shd w:val="clear" w:color="auto" w:fill="auto"/>
          </w:tcPr>
          <w:p w14:paraId="21B3B32F" w14:textId="77777777" w:rsidR="00195A8B" w:rsidRPr="00195A8B" w:rsidRDefault="00195A8B" w:rsidP="00195A8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50,000,000</w:t>
            </w:r>
          </w:p>
        </w:tc>
        <w:tc>
          <w:tcPr>
            <w:tcW w:w="777" w:type="pct"/>
            <w:shd w:val="clear" w:color="auto" w:fill="auto"/>
          </w:tcPr>
          <w:p w14:paraId="05EDE925" w14:textId="77777777" w:rsidR="00195A8B" w:rsidRPr="00195A8B" w:rsidRDefault="00195A8B" w:rsidP="00195A8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100,000</w:t>
            </w:r>
          </w:p>
        </w:tc>
        <w:tc>
          <w:tcPr>
            <w:tcW w:w="994" w:type="pct"/>
            <w:shd w:val="clear" w:color="auto" w:fill="auto"/>
          </w:tcPr>
          <w:p w14:paraId="1315E678" w14:textId="77777777" w:rsidR="00195A8B" w:rsidRPr="00195A8B" w:rsidRDefault="00195A8B" w:rsidP="00195A8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7297933.3</w:t>
            </w:r>
          </w:p>
        </w:tc>
      </w:tr>
      <w:tr w:rsidR="00195A8B" w:rsidRPr="00195A8B" w14:paraId="5526E858" w14:textId="77777777" w:rsidTr="00CA33B8">
        <w:tc>
          <w:tcPr>
            <w:cnfStyle w:val="001000000000" w:firstRow="0" w:lastRow="0" w:firstColumn="1" w:lastColumn="0" w:oddVBand="0" w:evenVBand="0" w:oddHBand="0" w:evenHBand="0" w:firstRowFirstColumn="0" w:firstRowLastColumn="0" w:lastRowFirstColumn="0" w:lastRowLastColumn="0"/>
            <w:tcW w:w="726" w:type="pct"/>
            <w:shd w:val="clear" w:color="auto" w:fill="auto"/>
          </w:tcPr>
          <w:p w14:paraId="43F80FAB" w14:textId="77777777" w:rsidR="00195A8B" w:rsidRPr="00195A8B" w:rsidRDefault="00195A8B" w:rsidP="00195A8B">
            <w:pPr>
              <w:jc w:val="both"/>
              <w:rPr>
                <w:rFonts w:ascii="Times New Roman" w:hAnsi="Times New Roman" w:cs="Times New Roman"/>
                <w:sz w:val="24"/>
                <w:szCs w:val="24"/>
              </w:rPr>
            </w:pPr>
          </w:p>
        </w:tc>
        <w:tc>
          <w:tcPr>
            <w:tcW w:w="789" w:type="pct"/>
            <w:shd w:val="clear" w:color="auto" w:fill="auto"/>
          </w:tcPr>
          <w:p w14:paraId="1E7DEE16" w14:textId="77777777" w:rsidR="00195A8B" w:rsidRPr="00195A8B" w:rsidRDefault="00195A8B" w:rsidP="00195A8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Youth</w:t>
            </w:r>
          </w:p>
        </w:tc>
        <w:tc>
          <w:tcPr>
            <w:tcW w:w="971" w:type="pct"/>
            <w:shd w:val="clear" w:color="auto" w:fill="auto"/>
          </w:tcPr>
          <w:p w14:paraId="60238919" w14:textId="77777777" w:rsidR="00195A8B" w:rsidRPr="00195A8B" w:rsidRDefault="00195A8B" w:rsidP="00195A8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5,931,238.1</w:t>
            </w:r>
          </w:p>
        </w:tc>
        <w:tc>
          <w:tcPr>
            <w:tcW w:w="743" w:type="pct"/>
            <w:shd w:val="clear" w:color="auto" w:fill="auto"/>
          </w:tcPr>
          <w:p w14:paraId="4E4F6C62" w14:textId="77777777" w:rsidR="00195A8B" w:rsidRPr="00195A8B" w:rsidRDefault="00195A8B" w:rsidP="00195A8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15,000,000</w:t>
            </w:r>
          </w:p>
        </w:tc>
        <w:tc>
          <w:tcPr>
            <w:tcW w:w="777" w:type="pct"/>
            <w:shd w:val="clear" w:color="auto" w:fill="auto"/>
          </w:tcPr>
          <w:p w14:paraId="57FDBF72" w14:textId="77777777" w:rsidR="00195A8B" w:rsidRPr="00195A8B" w:rsidRDefault="00195A8B" w:rsidP="00195A8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1,000,000</w:t>
            </w:r>
          </w:p>
        </w:tc>
        <w:tc>
          <w:tcPr>
            <w:tcW w:w="994" w:type="pct"/>
            <w:shd w:val="clear" w:color="auto" w:fill="auto"/>
          </w:tcPr>
          <w:p w14:paraId="3CA65C12" w14:textId="77777777" w:rsidR="00195A8B" w:rsidRPr="00195A8B" w:rsidRDefault="00195A8B" w:rsidP="00195A8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3651227.2</w:t>
            </w:r>
          </w:p>
        </w:tc>
      </w:tr>
      <w:tr w:rsidR="00195A8B" w:rsidRPr="00195A8B" w14:paraId="4C0CF91D" w14:textId="77777777" w:rsidTr="00CA3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6" w:type="pct"/>
            <w:shd w:val="clear" w:color="auto" w:fill="auto"/>
          </w:tcPr>
          <w:p w14:paraId="50AC4E96" w14:textId="77777777" w:rsidR="00195A8B" w:rsidRPr="00195A8B" w:rsidRDefault="00195A8B" w:rsidP="00195A8B">
            <w:pPr>
              <w:jc w:val="both"/>
              <w:rPr>
                <w:rFonts w:ascii="Times New Roman" w:hAnsi="Times New Roman" w:cs="Times New Roman"/>
                <w:sz w:val="24"/>
                <w:szCs w:val="24"/>
              </w:rPr>
            </w:pPr>
          </w:p>
        </w:tc>
        <w:tc>
          <w:tcPr>
            <w:tcW w:w="789" w:type="pct"/>
            <w:shd w:val="clear" w:color="auto" w:fill="auto"/>
          </w:tcPr>
          <w:p w14:paraId="7D4FA96E" w14:textId="77777777" w:rsidR="00195A8B" w:rsidRPr="00195A8B" w:rsidRDefault="00195A8B" w:rsidP="00195A8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PWD</w:t>
            </w:r>
          </w:p>
        </w:tc>
        <w:tc>
          <w:tcPr>
            <w:tcW w:w="971" w:type="pct"/>
            <w:shd w:val="clear" w:color="auto" w:fill="auto"/>
          </w:tcPr>
          <w:p w14:paraId="7423D21A" w14:textId="77777777" w:rsidR="00195A8B" w:rsidRPr="00195A8B" w:rsidRDefault="00195A8B" w:rsidP="00195A8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3,000,000.0</w:t>
            </w:r>
          </w:p>
        </w:tc>
        <w:tc>
          <w:tcPr>
            <w:tcW w:w="743" w:type="pct"/>
            <w:shd w:val="clear" w:color="auto" w:fill="auto"/>
          </w:tcPr>
          <w:p w14:paraId="1D401414" w14:textId="77777777" w:rsidR="00195A8B" w:rsidRPr="00195A8B" w:rsidRDefault="00195A8B" w:rsidP="00195A8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10,000,000</w:t>
            </w:r>
          </w:p>
        </w:tc>
        <w:tc>
          <w:tcPr>
            <w:tcW w:w="777" w:type="pct"/>
            <w:shd w:val="clear" w:color="auto" w:fill="auto"/>
          </w:tcPr>
          <w:p w14:paraId="3E4EF4A5" w14:textId="77777777" w:rsidR="00195A8B" w:rsidRPr="00195A8B" w:rsidRDefault="00195A8B" w:rsidP="00195A8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1,000,000</w:t>
            </w:r>
          </w:p>
        </w:tc>
        <w:tc>
          <w:tcPr>
            <w:tcW w:w="994" w:type="pct"/>
            <w:shd w:val="clear" w:color="auto" w:fill="auto"/>
          </w:tcPr>
          <w:p w14:paraId="760C2C50" w14:textId="77777777" w:rsidR="00195A8B" w:rsidRPr="00195A8B" w:rsidRDefault="00195A8B" w:rsidP="00195A8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2228067.7</w:t>
            </w:r>
          </w:p>
        </w:tc>
      </w:tr>
      <w:tr w:rsidR="00195A8B" w:rsidRPr="00195A8B" w14:paraId="5F6ED639" w14:textId="77777777" w:rsidTr="00CA33B8">
        <w:tc>
          <w:tcPr>
            <w:cnfStyle w:val="001000000000" w:firstRow="0" w:lastRow="0" w:firstColumn="1" w:lastColumn="0" w:oddVBand="0" w:evenVBand="0" w:oddHBand="0" w:evenHBand="0" w:firstRowFirstColumn="0" w:firstRowLastColumn="0" w:lastRowFirstColumn="0" w:lastRowLastColumn="0"/>
            <w:tcW w:w="726" w:type="pct"/>
            <w:shd w:val="clear" w:color="auto" w:fill="auto"/>
          </w:tcPr>
          <w:p w14:paraId="28BDB7B6" w14:textId="77777777" w:rsidR="00195A8B" w:rsidRPr="00195A8B" w:rsidRDefault="00195A8B" w:rsidP="00195A8B">
            <w:pPr>
              <w:jc w:val="both"/>
              <w:rPr>
                <w:rFonts w:ascii="Times New Roman" w:hAnsi="Times New Roman" w:cs="Times New Roman"/>
                <w:sz w:val="24"/>
                <w:szCs w:val="24"/>
              </w:rPr>
            </w:pPr>
          </w:p>
        </w:tc>
        <w:tc>
          <w:tcPr>
            <w:tcW w:w="789" w:type="pct"/>
            <w:shd w:val="clear" w:color="auto" w:fill="auto"/>
          </w:tcPr>
          <w:p w14:paraId="113D835B" w14:textId="77777777" w:rsidR="00195A8B" w:rsidRPr="00195A8B" w:rsidRDefault="00195A8B" w:rsidP="00195A8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Total</w:t>
            </w:r>
          </w:p>
        </w:tc>
        <w:tc>
          <w:tcPr>
            <w:tcW w:w="971" w:type="pct"/>
            <w:shd w:val="clear" w:color="auto" w:fill="auto"/>
          </w:tcPr>
          <w:p w14:paraId="7FE50369" w14:textId="77777777" w:rsidR="00195A8B" w:rsidRPr="00195A8B" w:rsidRDefault="00195A8B" w:rsidP="00195A8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5,154,469.4</w:t>
            </w:r>
          </w:p>
        </w:tc>
        <w:tc>
          <w:tcPr>
            <w:tcW w:w="743" w:type="pct"/>
            <w:shd w:val="clear" w:color="auto" w:fill="auto"/>
          </w:tcPr>
          <w:p w14:paraId="0FC0CCAE" w14:textId="77777777" w:rsidR="00195A8B" w:rsidRPr="00195A8B" w:rsidRDefault="00195A8B" w:rsidP="00195A8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50,000,000</w:t>
            </w:r>
          </w:p>
        </w:tc>
        <w:tc>
          <w:tcPr>
            <w:tcW w:w="777" w:type="pct"/>
            <w:shd w:val="clear" w:color="auto" w:fill="auto"/>
          </w:tcPr>
          <w:p w14:paraId="7278FAA9" w14:textId="77777777" w:rsidR="00195A8B" w:rsidRPr="00195A8B" w:rsidRDefault="00195A8B" w:rsidP="00195A8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100,000</w:t>
            </w:r>
          </w:p>
        </w:tc>
        <w:tc>
          <w:tcPr>
            <w:tcW w:w="994" w:type="pct"/>
            <w:shd w:val="clear" w:color="auto" w:fill="auto"/>
          </w:tcPr>
          <w:p w14:paraId="2635223A" w14:textId="77777777" w:rsidR="00195A8B" w:rsidRPr="00195A8B" w:rsidRDefault="00195A8B" w:rsidP="00195A8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5A8B">
              <w:rPr>
                <w:rFonts w:ascii="Times New Roman" w:hAnsi="Times New Roman" w:cs="Times New Roman"/>
                <w:sz w:val="24"/>
                <w:szCs w:val="24"/>
              </w:rPr>
              <w:t>6152199.6</w:t>
            </w:r>
          </w:p>
        </w:tc>
      </w:tr>
    </w:tbl>
    <w:p w14:paraId="3A1D29AA" w14:textId="77777777" w:rsidR="00195A8B" w:rsidRPr="00195A8B" w:rsidRDefault="00195A8B" w:rsidP="00195A8B">
      <w:pPr>
        <w:spacing w:after="160" w:line="259" w:lineRule="auto"/>
        <w:jc w:val="both"/>
        <w:rPr>
          <w:rFonts w:ascii="Times New Roman" w:eastAsia="Calibri" w:hAnsi="Times New Roman" w:cs="Times New Roman"/>
          <w:kern w:val="2"/>
          <w:sz w:val="24"/>
          <w:szCs w:val="24"/>
          <w:lang w:eastAsia="en-US"/>
        </w:rPr>
      </w:pPr>
      <w:r w:rsidRPr="00195A8B">
        <w:rPr>
          <w:rFonts w:ascii="Times New Roman" w:eastAsia="Calibri" w:hAnsi="Times New Roman" w:cs="Times New Roman"/>
          <w:b/>
          <w:bCs/>
          <w:kern w:val="2"/>
          <w:sz w:val="24"/>
          <w:szCs w:val="24"/>
          <w:lang w:eastAsia="en-US"/>
        </w:rPr>
        <w:t>Source</w:t>
      </w:r>
      <w:r w:rsidRPr="00195A8B">
        <w:rPr>
          <w:rFonts w:ascii="Times New Roman" w:eastAsia="Calibri" w:hAnsi="Times New Roman" w:cs="Times New Roman"/>
          <w:kern w:val="2"/>
          <w:sz w:val="24"/>
          <w:szCs w:val="24"/>
          <w:lang w:eastAsia="en-US"/>
        </w:rPr>
        <w:t>: Survey field data, 2023/2024</w:t>
      </w:r>
    </w:p>
    <w:p w14:paraId="0BD43A40" w14:textId="39344A0A" w:rsidR="00195A8B" w:rsidRPr="00DF60D8" w:rsidRDefault="00195A8B" w:rsidP="00DF60D8">
      <w:pPr>
        <w:pStyle w:val="ListParagraph"/>
        <w:numPr>
          <w:ilvl w:val="1"/>
          <w:numId w:val="38"/>
        </w:numPr>
        <w:adjustRightInd w:val="0"/>
        <w:spacing w:after="160" w:line="259" w:lineRule="auto"/>
        <w:jc w:val="both"/>
        <w:rPr>
          <w:rFonts w:ascii="Times New Roman" w:eastAsia="Calibri" w:hAnsi="Times New Roman" w:cs="Times New Roman"/>
          <w:b/>
          <w:bCs/>
          <w:kern w:val="2"/>
          <w:sz w:val="24"/>
          <w:szCs w:val="24"/>
          <w:lang w:val="en-GB" w:eastAsia="en-US"/>
        </w:rPr>
      </w:pPr>
      <w:r w:rsidRPr="00DF60D8">
        <w:rPr>
          <w:rFonts w:ascii="Times New Roman" w:eastAsia="Calibri" w:hAnsi="Times New Roman" w:cs="Times New Roman"/>
          <w:b/>
          <w:bCs/>
          <w:kern w:val="2"/>
          <w:sz w:val="24"/>
          <w:szCs w:val="24"/>
          <w:lang w:val="en-GB" w:eastAsia="en-US"/>
        </w:rPr>
        <w:t>Comparison of Economic Performance of Enterprises Established Through Economic Empowerment Schemes between Arusha and Mara Regions</w:t>
      </w:r>
    </w:p>
    <w:p w14:paraId="67CB5468" w14:textId="2F52C180" w:rsidR="00195A8B" w:rsidRPr="00DF60D8" w:rsidRDefault="00195A8B" w:rsidP="00DF60D8">
      <w:pPr>
        <w:pStyle w:val="ListParagraph"/>
        <w:numPr>
          <w:ilvl w:val="2"/>
          <w:numId w:val="39"/>
        </w:numPr>
        <w:spacing w:after="160" w:line="259" w:lineRule="auto"/>
        <w:jc w:val="both"/>
        <w:rPr>
          <w:rFonts w:ascii="Times New Roman" w:eastAsia="Calibri" w:hAnsi="Times New Roman" w:cs="Times New Roman"/>
          <w:b/>
          <w:bCs/>
          <w:kern w:val="2"/>
          <w:sz w:val="24"/>
          <w:szCs w:val="24"/>
          <w:lang w:eastAsia="en-US"/>
        </w:rPr>
      </w:pPr>
      <w:bookmarkStart w:id="7" w:name="_Hlk202850062"/>
      <w:r w:rsidRPr="00DF60D8">
        <w:rPr>
          <w:rFonts w:ascii="Times New Roman" w:eastAsia="Calibri" w:hAnsi="Times New Roman" w:cs="Times New Roman"/>
          <w:b/>
          <w:bCs/>
          <w:kern w:val="2"/>
          <w:sz w:val="24"/>
          <w:szCs w:val="24"/>
          <w:lang w:eastAsia="en-US"/>
        </w:rPr>
        <w:t>Comparison of Production Costs of Enterprises Established Through Economic Empowerment Schemes between Arusha and Mara Regions</w:t>
      </w:r>
    </w:p>
    <w:bookmarkEnd w:id="7"/>
    <w:p w14:paraId="7E720B98" w14:textId="7F350FA3"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 xml:space="preserve">The analysis of production costs among Local Government Authority (LGA) loan beneficiary entrepreneurs in Arusha and Mara reveals notable regional disparities in operational expenses, reflecting differences in business scales, market environments, infrastructure, and local economic dynamics (Table </w:t>
      </w:r>
      <w:r w:rsidR="00DF60D8">
        <w:rPr>
          <w:rFonts w:ascii="Times New Roman" w:eastAsia="Calibri" w:hAnsi="Times New Roman" w:cs="Times New Roman"/>
          <w:kern w:val="2"/>
          <w:sz w:val="24"/>
          <w:szCs w:val="24"/>
          <w:lang w:val="en-GB" w:eastAsia="en-US"/>
        </w:rPr>
        <w:t>5</w:t>
      </w:r>
      <w:r w:rsidRPr="00195A8B">
        <w:rPr>
          <w:rFonts w:ascii="Times New Roman" w:eastAsia="Calibri" w:hAnsi="Times New Roman" w:cs="Times New Roman"/>
          <w:kern w:val="2"/>
          <w:sz w:val="24"/>
          <w:szCs w:val="24"/>
          <w:lang w:val="en-GB" w:eastAsia="en-US"/>
        </w:rPr>
        <w:t>).</w:t>
      </w:r>
    </w:p>
    <w:p w14:paraId="7833C30C"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 xml:space="preserve">Livestock-keeping enterprises in Arusha report significantly higher total costs (75,986,223 TZS) compared to their counterparts in Mara (2,738,830 TZS). This sharp difference may indicate </w:t>
      </w:r>
      <w:r w:rsidRPr="00195A8B">
        <w:rPr>
          <w:rFonts w:ascii="Times New Roman" w:eastAsia="Calibri" w:hAnsi="Times New Roman" w:cs="Times New Roman"/>
          <w:kern w:val="2"/>
          <w:sz w:val="24"/>
          <w:szCs w:val="24"/>
          <w:lang w:val="en-GB" w:eastAsia="en-US"/>
        </w:rPr>
        <w:lastRenderedPageBreak/>
        <w:t xml:space="preserve">larger operational scales, higher input prices, and more commercialized production systems in Arusha, where livestock enterprises often integrate value addition activities such as milk processing and feedlot finishing for markets within urban and peri-urban corridors. This aligns with </w:t>
      </w:r>
      <w:proofErr w:type="spellStart"/>
      <w:r w:rsidRPr="00195A8B">
        <w:rPr>
          <w:rFonts w:ascii="Times New Roman" w:eastAsia="Calibri" w:hAnsi="Times New Roman" w:cs="Times New Roman"/>
          <w:kern w:val="2"/>
          <w:sz w:val="24"/>
          <w:szCs w:val="24"/>
          <w:lang w:val="en-GB" w:eastAsia="en-US"/>
        </w:rPr>
        <w:t>Msuya</w:t>
      </w:r>
      <w:proofErr w:type="spellEnd"/>
      <w:r w:rsidRPr="00195A8B">
        <w:rPr>
          <w:rFonts w:ascii="Times New Roman" w:eastAsia="Calibri" w:hAnsi="Times New Roman" w:cs="Times New Roman"/>
          <w:kern w:val="2"/>
          <w:sz w:val="24"/>
          <w:szCs w:val="24"/>
          <w:lang w:val="en-GB" w:eastAsia="en-US"/>
        </w:rPr>
        <w:t xml:space="preserve"> et al. (2017), who found that livestock commercialization near urban </w:t>
      </w:r>
      <w:proofErr w:type="spellStart"/>
      <w:r w:rsidRPr="00195A8B">
        <w:rPr>
          <w:rFonts w:ascii="Times New Roman" w:eastAsia="Calibri" w:hAnsi="Times New Roman" w:cs="Times New Roman"/>
          <w:kern w:val="2"/>
          <w:sz w:val="24"/>
          <w:szCs w:val="24"/>
          <w:lang w:val="en-GB" w:eastAsia="en-US"/>
        </w:rPr>
        <w:t>centers</w:t>
      </w:r>
      <w:proofErr w:type="spellEnd"/>
      <w:r w:rsidRPr="00195A8B">
        <w:rPr>
          <w:rFonts w:ascii="Times New Roman" w:eastAsia="Calibri" w:hAnsi="Times New Roman" w:cs="Times New Roman"/>
          <w:kern w:val="2"/>
          <w:sz w:val="24"/>
          <w:szCs w:val="24"/>
          <w:lang w:val="en-GB" w:eastAsia="en-US"/>
        </w:rPr>
        <w:t xml:space="preserve"> in Tanzania increases operational costs due to feed, veterinary, and </w:t>
      </w:r>
      <w:proofErr w:type="spellStart"/>
      <w:r w:rsidRPr="00195A8B">
        <w:rPr>
          <w:rFonts w:ascii="Times New Roman" w:eastAsia="Calibri" w:hAnsi="Times New Roman" w:cs="Times New Roman"/>
          <w:kern w:val="2"/>
          <w:sz w:val="24"/>
          <w:szCs w:val="24"/>
          <w:lang w:val="en-GB" w:eastAsia="en-US"/>
        </w:rPr>
        <w:t>labor</w:t>
      </w:r>
      <w:proofErr w:type="spellEnd"/>
      <w:r w:rsidRPr="00195A8B">
        <w:rPr>
          <w:rFonts w:ascii="Times New Roman" w:eastAsia="Calibri" w:hAnsi="Times New Roman" w:cs="Times New Roman"/>
          <w:kern w:val="2"/>
          <w:sz w:val="24"/>
          <w:szCs w:val="24"/>
          <w:lang w:val="en-GB" w:eastAsia="en-US"/>
        </w:rPr>
        <w:t xml:space="preserve"> expenses, but may also offer higher returns if managed efficiently. Conversely, livestock enterprises in Mara may operate under semi-subsistence systems with lower input intensity, consistent with </w:t>
      </w:r>
      <w:proofErr w:type="spellStart"/>
      <w:r w:rsidRPr="00195A8B">
        <w:rPr>
          <w:rFonts w:ascii="Times New Roman" w:eastAsia="Calibri" w:hAnsi="Times New Roman" w:cs="Times New Roman"/>
          <w:kern w:val="2"/>
          <w:sz w:val="24"/>
          <w:szCs w:val="24"/>
          <w:lang w:val="en-GB" w:eastAsia="en-US"/>
        </w:rPr>
        <w:t>Njuki</w:t>
      </w:r>
      <w:proofErr w:type="spellEnd"/>
      <w:r w:rsidRPr="00195A8B">
        <w:rPr>
          <w:rFonts w:ascii="Times New Roman" w:eastAsia="Calibri" w:hAnsi="Times New Roman" w:cs="Times New Roman"/>
          <w:kern w:val="2"/>
          <w:sz w:val="24"/>
          <w:szCs w:val="24"/>
          <w:lang w:val="en-GB" w:eastAsia="en-US"/>
        </w:rPr>
        <w:t xml:space="preserve"> et al. (2011), where smallholder livestock systems maintain low production costs but limited market orientation.</w:t>
      </w:r>
    </w:p>
    <w:p w14:paraId="74CE94DF"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Wholesale and retail businesses in Arusha also show higher production costs (44,958,692 TZS) relative to Mara (4,228,633 TZS). This difference likely reflects Arusha’s position as a regional trade hub, with larger market volumes, warehousing costs, transportation, and regulatory fees contributing to operational expenses. Studies by Dinh et al. (2012) and World Bank (2019) indicate that while urban markets provide opportunities for scale, they often entail higher logistics and compliance costs, which can strain enterprise cash flows if not managed through efficient inventory and supply chain strategies.</w:t>
      </w:r>
    </w:p>
    <w:p w14:paraId="34323668"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 xml:space="preserve">In the transportation sector, total costs in Arusha (17,171,996 TZS) are substantially higher than in Mara (1,112,000 TZS). Arusha’s dynamic tourism, agricultural, and intra-regional trade activities drive demand for transportation services but also expose entrepreneurs to high maintenance costs, licensing fees, and fuel expenses. According to Ellis and </w:t>
      </w:r>
      <w:proofErr w:type="spellStart"/>
      <w:r w:rsidRPr="00195A8B">
        <w:rPr>
          <w:rFonts w:ascii="Times New Roman" w:eastAsia="Calibri" w:hAnsi="Times New Roman" w:cs="Times New Roman"/>
          <w:kern w:val="2"/>
          <w:sz w:val="24"/>
          <w:szCs w:val="24"/>
          <w:lang w:val="en-GB" w:eastAsia="en-US"/>
        </w:rPr>
        <w:t>Mdoe</w:t>
      </w:r>
      <w:proofErr w:type="spellEnd"/>
      <w:r w:rsidRPr="00195A8B">
        <w:rPr>
          <w:rFonts w:ascii="Times New Roman" w:eastAsia="Calibri" w:hAnsi="Times New Roman" w:cs="Times New Roman"/>
          <w:kern w:val="2"/>
          <w:sz w:val="24"/>
          <w:szCs w:val="24"/>
          <w:lang w:val="en-GB" w:eastAsia="en-US"/>
        </w:rPr>
        <w:t xml:space="preserve"> (2003), enterprises in areas with higher economic activities often face elevated operational costs due to demand-driven price inflation for inputs and services, impacting profitability if operational inefficiencies persist.</w:t>
      </w:r>
    </w:p>
    <w:p w14:paraId="055E1651"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In contrast, crop production enterprises in Arusha incur a total cost of 1,890,000 TZS, which, while higher than Mara’s 869,998 TZS, remains relatively low compared to other sectors. This may indicate smaller land holdings or lower input utilization in urban or peri-urban settings, consistent with Jayne et al. (2016), who observed that peri-urban crop farming in Tanzania tends to utilize fewer inputs due to land scarcity, despite higher market proximity. In Mara, lower production costs align with extensive land availability and reliance on rainfed systems, resulting in minimal cash outlays for irrigation and mechanization.</w:t>
      </w:r>
    </w:p>
    <w:p w14:paraId="058ACF70"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lastRenderedPageBreak/>
        <w:t xml:space="preserve">Interestingly, construction enterprises display similar total costs in both regions (4,282,000 TZS in Arusha; 4,495,264 TZS in Mara), indicating relative parity in input prices and project scales. This may reflect uniformity in the cost of cement, </w:t>
      </w:r>
      <w:proofErr w:type="spellStart"/>
      <w:r w:rsidRPr="00195A8B">
        <w:rPr>
          <w:rFonts w:ascii="Times New Roman" w:eastAsia="Calibri" w:hAnsi="Times New Roman" w:cs="Times New Roman"/>
          <w:kern w:val="2"/>
          <w:sz w:val="24"/>
          <w:szCs w:val="24"/>
          <w:lang w:val="en-GB" w:eastAsia="en-US"/>
        </w:rPr>
        <w:t>labor</w:t>
      </w:r>
      <w:proofErr w:type="spellEnd"/>
      <w:r w:rsidRPr="00195A8B">
        <w:rPr>
          <w:rFonts w:ascii="Times New Roman" w:eastAsia="Calibri" w:hAnsi="Times New Roman" w:cs="Times New Roman"/>
          <w:kern w:val="2"/>
          <w:sz w:val="24"/>
          <w:szCs w:val="24"/>
          <w:lang w:val="en-GB" w:eastAsia="en-US"/>
        </w:rPr>
        <w:t>, and materials across regions due to national market integration, as highlighted by Cooksey (2011) in his analysis of Tanzania’s construction and materials markets.</w:t>
      </w:r>
    </w:p>
    <w:p w14:paraId="39449D08"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 xml:space="preserve">These findings align with enterprise development theories that emphasize the importance of regional economic contexts in shaping business costs and viability (Mead &amp; </w:t>
      </w:r>
      <w:proofErr w:type="spellStart"/>
      <w:r w:rsidRPr="00195A8B">
        <w:rPr>
          <w:rFonts w:ascii="Times New Roman" w:eastAsia="Calibri" w:hAnsi="Times New Roman" w:cs="Times New Roman"/>
          <w:kern w:val="2"/>
          <w:sz w:val="24"/>
          <w:szCs w:val="24"/>
          <w:lang w:val="en-GB" w:eastAsia="en-US"/>
        </w:rPr>
        <w:t>Liedholm</w:t>
      </w:r>
      <w:proofErr w:type="spellEnd"/>
      <w:r w:rsidRPr="00195A8B">
        <w:rPr>
          <w:rFonts w:ascii="Times New Roman" w:eastAsia="Calibri" w:hAnsi="Times New Roman" w:cs="Times New Roman"/>
          <w:kern w:val="2"/>
          <w:sz w:val="24"/>
          <w:szCs w:val="24"/>
          <w:lang w:val="en-GB" w:eastAsia="en-US"/>
        </w:rPr>
        <w:t xml:space="preserve">, 1998; McPherson, 1996). The high operational costs observed in Arusha, particularly in livestock and wholesale/retail sectors, suggest that entrepreneurs in this region need robust financial planning, supply chain management, and cost optimization strategies to remain viable, as supported by </w:t>
      </w:r>
      <w:proofErr w:type="spellStart"/>
      <w:r w:rsidRPr="00195A8B">
        <w:rPr>
          <w:rFonts w:ascii="Times New Roman" w:eastAsia="Calibri" w:hAnsi="Times New Roman" w:cs="Times New Roman"/>
          <w:kern w:val="2"/>
          <w:sz w:val="24"/>
          <w:szCs w:val="24"/>
          <w:lang w:val="en-GB" w:eastAsia="en-US"/>
        </w:rPr>
        <w:t>Klapper</w:t>
      </w:r>
      <w:proofErr w:type="spellEnd"/>
      <w:r w:rsidRPr="00195A8B">
        <w:rPr>
          <w:rFonts w:ascii="Times New Roman" w:eastAsia="Calibri" w:hAnsi="Times New Roman" w:cs="Times New Roman"/>
          <w:kern w:val="2"/>
          <w:sz w:val="24"/>
          <w:szCs w:val="24"/>
          <w:lang w:val="en-GB" w:eastAsia="en-US"/>
        </w:rPr>
        <w:t xml:space="preserve"> &amp; Richmond (2011), who advocate for productivity improvements in high-cost environments.</w:t>
      </w:r>
    </w:p>
    <w:p w14:paraId="18490F3B" w14:textId="77777777" w:rsidR="00195A8B" w:rsidRPr="00195A8B" w:rsidRDefault="00195A8B" w:rsidP="005C4ABF">
      <w:pPr>
        <w:spacing w:after="160" w:line="360" w:lineRule="auto"/>
        <w:contextualSpacing/>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 xml:space="preserve">Meanwhile, the relatively lower operational costs in Mara can facilitate gradual enterprise growth, provided market access and technical capacity are enhanced. This echoes findings by </w:t>
      </w:r>
      <w:proofErr w:type="spellStart"/>
      <w:r w:rsidRPr="00195A8B">
        <w:rPr>
          <w:rFonts w:ascii="Times New Roman" w:eastAsia="Calibri" w:hAnsi="Times New Roman" w:cs="Times New Roman"/>
          <w:kern w:val="2"/>
          <w:sz w:val="24"/>
          <w:szCs w:val="24"/>
          <w:lang w:val="en-GB" w:eastAsia="en-US"/>
        </w:rPr>
        <w:t>Chongela</w:t>
      </w:r>
      <w:proofErr w:type="spellEnd"/>
      <w:r w:rsidRPr="00195A8B">
        <w:rPr>
          <w:rFonts w:ascii="Times New Roman" w:eastAsia="Calibri" w:hAnsi="Times New Roman" w:cs="Times New Roman"/>
          <w:kern w:val="2"/>
          <w:sz w:val="24"/>
          <w:szCs w:val="24"/>
          <w:lang w:val="en-GB" w:eastAsia="en-US"/>
        </w:rPr>
        <w:t xml:space="preserve"> (2015), who identified that while rural enterprises in Tanzania face fewer cost pressures, their growth is constrained by market access, infrastructure limitations, and lower financial literacy.</w:t>
      </w:r>
    </w:p>
    <w:p w14:paraId="45D9FD4F" w14:textId="2CAE19DE" w:rsidR="00195A8B" w:rsidRPr="00195A8B" w:rsidRDefault="00195A8B" w:rsidP="00195A8B">
      <w:pPr>
        <w:spacing w:after="0" w:line="259" w:lineRule="auto"/>
        <w:jc w:val="both"/>
        <w:rPr>
          <w:rFonts w:ascii="Times New Roman" w:eastAsia="Calibri" w:hAnsi="Times New Roman" w:cs="Times New Roman"/>
          <w:b/>
          <w:bCs/>
          <w:kern w:val="2"/>
          <w:sz w:val="24"/>
          <w:szCs w:val="24"/>
          <w:lang w:eastAsia="en-US"/>
        </w:rPr>
      </w:pPr>
      <w:r w:rsidRPr="00195A8B">
        <w:rPr>
          <w:rFonts w:ascii="Times New Roman" w:eastAsia="Calibri" w:hAnsi="Times New Roman" w:cs="Times New Roman"/>
          <w:b/>
          <w:bCs/>
          <w:kern w:val="2"/>
          <w:sz w:val="24"/>
          <w:szCs w:val="24"/>
          <w:lang w:eastAsia="en-US"/>
        </w:rPr>
        <w:t xml:space="preserve">Table </w:t>
      </w:r>
      <w:r w:rsidR="00DF60D8">
        <w:rPr>
          <w:rFonts w:ascii="Times New Roman" w:eastAsia="Calibri" w:hAnsi="Times New Roman" w:cs="Times New Roman"/>
          <w:b/>
          <w:bCs/>
          <w:kern w:val="2"/>
          <w:sz w:val="24"/>
          <w:szCs w:val="24"/>
          <w:lang w:eastAsia="en-US"/>
        </w:rPr>
        <w:t>5</w:t>
      </w:r>
      <w:r w:rsidRPr="00195A8B">
        <w:rPr>
          <w:rFonts w:ascii="Times New Roman" w:eastAsia="Calibri" w:hAnsi="Times New Roman" w:cs="Times New Roman"/>
          <w:b/>
          <w:bCs/>
          <w:kern w:val="2"/>
          <w:sz w:val="24"/>
          <w:szCs w:val="24"/>
          <w:lang w:eastAsia="en-US"/>
        </w:rPr>
        <w:t>. Comparison of Production Costs of Enterprises Established Through Economic Empowerment Schemes between Arusha and Mara Regions</w:t>
      </w:r>
    </w:p>
    <w:tbl>
      <w:tblPr>
        <w:tblStyle w:val="TableGrid11"/>
        <w:tblW w:w="4983" w:type="pct"/>
        <w:tblLook w:val="04A0" w:firstRow="1" w:lastRow="0" w:firstColumn="1" w:lastColumn="0" w:noHBand="0" w:noVBand="1"/>
      </w:tblPr>
      <w:tblGrid>
        <w:gridCol w:w="4144"/>
        <w:gridCol w:w="1473"/>
        <w:gridCol w:w="1475"/>
        <w:gridCol w:w="1105"/>
        <w:gridCol w:w="1346"/>
      </w:tblGrid>
      <w:tr w:rsidR="00195A8B" w:rsidRPr="00195A8B" w14:paraId="1A75B788" w14:textId="77777777" w:rsidTr="00CA33B8">
        <w:tc>
          <w:tcPr>
            <w:tcW w:w="2171" w:type="pct"/>
            <w:vMerge w:val="restart"/>
          </w:tcPr>
          <w:p w14:paraId="56D7A65A" w14:textId="77777777" w:rsidR="00195A8B" w:rsidRPr="00195A8B" w:rsidRDefault="00195A8B" w:rsidP="00195A8B">
            <w:pPr>
              <w:spacing w:line="360" w:lineRule="auto"/>
              <w:ind w:hanging="90"/>
              <w:rPr>
                <w:rFonts w:ascii="Times New Roman" w:hAnsi="Times New Roman" w:cs="Times New Roman"/>
                <w:b/>
                <w:bCs/>
                <w:sz w:val="24"/>
                <w:szCs w:val="24"/>
              </w:rPr>
            </w:pPr>
            <w:r w:rsidRPr="00195A8B">
              <w:rPr>
                <w:rFonts w:ascii="Times New Roman" w:hAnsi="Times New Roman" w:cs="Times New Roman"/>
                <w:b/>
                <w:bCs/>
                <w:sz w:val="24"/>
                <w:szCs w:val="24"/>
              </w:rPr>
              <w:t>Enterprises</w:t>
            </w:r>
          </w:p>
        </w:tc>
        <w:tc>
          <w:tcPr>
            <w:tcW w:w="2829" w:type="pct"/>
            <w:gridSpan w:val="4"/>
          </w:tcPr>
          <w:p w14:paraId="2A159EB1" w14:textId="77777777" w:rsidR="00195A8B" w:rsidRPr="00195A8B" w:rsidRDefault="00195A8B" w:rsidP="00195A8B">
            <w:pPr>
              <w:spacing w:line="360" w:lineRule="auto"/>
              <w:ind w:hanging="90"/>
              <w:jc w:val="center"/>
              <w:rPr>
                <w:rFonts w:ascii="Times New Roman" w:hAnsi="Times New Roman" w:cs="Times New Roman"/>
                <w:b/>
                <w:bCs/>
                <w:sz w:val="24"/>
                <w:szCs w:val="24"/>
              </w:rPr>
            </w:pPr>
            <w:r w:rsidRPr="00195A8B">
              <w:rPr>
                <w:rFonts w:ascii="Times New Roman" w:hAnsi="Times New Roman" w:cs="Times New Roman"/>
                <w:b/>
                <w:bCs/>
                <w:sz w:val="24"/>
                <w:szCs w:val="24"/>
              </w:rPr>
              <w:t>Total cost</w:t>
            </w:r>
          </w:p>
        </w:tc>
      </w:tr>
      <w:tr w:rsidR="00195A8B" w:rsidRPr="00195A8B" w14:paraId="472F8122" w14:textId="77777777" w:rsidTr="00CA33B8">
        <w:tc>
          <w:tcPr>
            <w:tcW w:w="2171" w:type="pct"/>
            <w:vMerge/>
          </w:tcPr>
          <w:p w14:paraId="310E9DF8" w14:textId="77777777" w:rsidR="00195A8B" w:rsidRPr="00195A8B" w:rsidRDefault="00195A8B" w:rsidP="00195A8B">
            <w:pPr>
              <w:spacing w:line="360" w:lineRule="auto"/>
              <w:ind w:hanging="90"/>
              <w:rPr>
                <w:rFonts w:ascii="Times New Roman" w:hAnsi="Times New Roman" w:cs="Times New Roman"/>
                <w:b/>
                <w:bCs/>
                <w:sz w:val="24"/>
                <w:szCs w:val="24"/>
              </w:rPr>
            </w:pPr>
          </w:p>
        </w:tc>
        <w:tc>
          <w:tcPr>
            <w:tcW w:w="1545" w:type="pct"/>
            <w:gridSpan w:val="2"/>
          </w:tcPr>
          <w:p w14:paraId="18CF0A76" w14:textId="77777777" w:rsidR="00195A8B" w:rsidRPr="00195A8B" w:rsidRDefault="00195A8B" w:rsidP="00195A8B">
            <w:pPr>
              <w:ind w:hanging="90"/>
              <w:jc w:val="center"/>
              <w:rPr>
                <w:rFonts w:ascii="Times New Roman" w:hAnsi="Times New Roman" w:cs="Times New Roman"/>
                <w:b/>
                <w:bCs/>
                <w:sz w:val="24"/>
                <w:szCs w:val="24"/>
              </w:rPr>
            </w:pPr>
            <w:r w:rsidRPr="00195A8B">
              <w:rPr>
                <w:rFonts w:ascii="Times New Roman" w:hAnsi="Times New Roman" w:cs="Times New Roman"/>
                <w:b/>
                <w:bCs/>
                <w:sz w:val="24"/>
                <w:szCs w:val="24"/>
              </w:rPr>
              <w:t>Arusha</w:t>
            </w:r>
          </w:p>
        </w:tc>
        <w:tc>
          <w:tcPr>
            <w:tcW w:w="1284" w:type="pct"/>
            <w:gridSpan w:val="2"/>
            <w:vAlign w:val="bottom"/>
          </w:tcPr>
          <w:p w14:paraId="59D122C3" w14:textId="77777777" w:rsidR="00195A8B" w:rsidRPr="00195A8B" w:rsidRDefault="00195A8B" w:rsidP="00195A8B">
            <w:pPr>
              <w:ind w:hanging="90"/>
              <w:jc w:val="center"/>
              <w:rPr>
                <w:rFonts w:ascii="Times New Roman" w:hAnsi="Times New Roman" w:cs="Times New Roman"/>
                <w:b/>
                <w:bCs/>
                <w:sz w:val="24"/>
                <w:szCs w:val="24"/>
              </w:rPr>
            </w:pPr>
            <w:r w:rsidRPr="00195A8B">
              <w:rPr>
                <w:rFonts w:ascii="Times New Roman" w:hAnsi="Times New Roman" w:cs="Times New Roman"/>
                <w:b/>
                <w:bCs/>
                <w:sz w:val="24"/>
                <w:szCs w:val="24"/>
              </w:rPr>
              <w:t>Mara</w:t>
            </w:r>
          </w:p>
        </w:tc>
      </w:tr>
      <w:tr w:rsidR="00195A8B" w:rsidRPr="00195A8B" w14:paraId="0748EF69" w14:textId="77777777" w:rsidTr="00CA33B8">
        <w:tc>
          <w:tcPr>
            <w:tcW w:w="2171" w:type="pct"/>
            <w:vMerge/>
          </w:tcPr>
          <w:p w14:paraId="0479DD95" w14:textId="77777777" w:rsidR="00195A8B" w:rsidRPr="00195A8B" w:rsidRDefault="00195A8B" w:rsidP="00195A8B">
            <w:pPr>
              <w:spacing w:line="360" w:lineRule="auto"/>
              <w:ind w:hanging="90"/>
              <w:rPr>
                <w:rFonts w:ascii="Times New Roman" w:hAnsi="Times New Roman" w:cs="Times New Roman"/>
                <w:b/>
                <w:bCs/>
                <w:sz w:val="24"/>
                <w:szCs w:val="24"/>
              </w:rPr>
            </w:pPr>
          </w:p>
        </w:tc>
        <w:tc>
          <w:tcPr>
            <w:tcW w:w="772" w:type="pct"/>
          </w:tcPr>
          <w:p w14:paraId="523643A4" w14:textId="77777777" w:rsidR="00195A8B" w:rsidRPr="00195A8B" w:rsidRDefault="00195A8B" w:rsidP="00195A8B">
            <w:pPr>
              <w:spacing w:line="360" w:lineRule="auto"/>
              <w:ind w:hanging="90"/>
              <w:rPr>
                <w:rFonts w:ascii="Times New Roman" w:hAnsi="Times New Roman" w:cs="Times New Roman"/>
                <w:b/>
                <w:bCs/>
                <w:sz w:val="24"/>
                <w:szCs w:val="24"/>
              </w:rPr>
            </w:pPr>
            <w:r w:rsidRPr="00195A8B">
              <w:rPr>
                <w:rFonts w:ascii="Times New Roman" w:hAnsi="Times New Roman" w:cs="Times New Roman"/>
                <w:b/>
                <w:bCs/>
                <w:sz w:val="24"/>
                <w:szCs w:val="24"/>
              </w:rPr>
              <w:t>Mean</w:t>
            </w:r>
          </w:p>
        </w:tc>
        <w:tc>
          <w:tcPr>
            <w:tcW w:w="773" w:type="pct"/>
          </w:tcPr>
          <w:p w14:paraId="06CDD25C" w14:textId="77777777" w:rsidR="00195A8B" w:rsidRPr="00195A8B" w:rsidRDefault="00195A8B" w:rsidP="00195A8B">
            <w:pPr>
              <w:spacing w:line="360" w:lineRule="auto"/>
              <w:ind w:hanging="90"/>
              <w:rPr>
                <w:rFonts w:ascii="Times New Roman" w:hAnsi="Times New Roman" w:cs="Times New Roman"/>
                <w:b/>
                <w:bCs/>
                <w:sz w:val="24"/>
                <w:szCs w:val="24"/>
              </w:rPr>
            </w:pPr>
            <w:r w:rsidRPr="00195A8B">
              <w:rPr>
                <w:rFonts w:ascii="Times New Roman" w:hAnsi="Times New Roman" w:cs="Times New Roman"/>
                <w:b/>
                <w:bCs/>
                <w:sz w:val="24"/>
                <w:szCs w:val="24"/>
              </w:rPr>
              <w:t>Sum (TZS)</w:t>
            </w:r>
          </w:p>
        </w:tc>
        <w:tc>
          <w:tcPr>
            <w:tcW w:w="579" w:type="pct"/>
            <w:vAlign w:val="bottom"/>
          </w:tcPr>
          <w:p w14:paraId="210BB67E" w14:textId="77777777" w:rsidR="00195A8B" w:rsidRPr="00195A8B" w:rsidRDefault="00195A8B" w:rsidP="00195A8B">
            <w:pPr>
              <w:spacing w:line="360" w:lineRule="auto"/>
              <w:ind w:hanging="90"/>
              <w:rPr>
                <w:rFonts w:ascii="Times New Roman" w:hAnsi="Times New Roman" w:cs="Times New Roman"/>
                <w:b/>
                <w:bCs/>
                <w:sz w:val="24"/>
                <w:szCs w:val="24"/>
              </w:rPr>
            </w:pPr>
            <w:r w:rsidRPr="00195A8B">
              <w:rPr>
                <w:rFonts w:ascii="Times New Roman" w:hAnsi="Times New Roman" w:cs="Times New Roman"/>
                <w:b/>
                <w:bCs/>
                <w:sz w:val="24"/>
                <w:szCs w:val="24"/>
              </w:rPr>
              <w:t>Mean</w:t>
            </w:r>
          </w:p>
        </w:tc>
        <w:tc>
          <w:tcPr>
            <w:tcW w:w="705" w:type="pct"/>
            <w:vAlign w:val="bottom"/>
          </w:tcPr>
          <w:p w14:paraId="5964B38C" w14:textId="77777777" w:rsidR="00195A8B" w:rsidRPr="00195A8B" w:rsidRDefault="00195A8B" w:rsidP="00195A8B">
            <w:pPr>
              <w:spacing w:line="360" w:lineRule="auto"/>
              <w:ind w:hanging="90"/>
              <w:rPr>
                <w:rFonts w:ascii="Times New Roman" w:hAnsi="Times New Roman" w:cs="Times New Roman"/>
                <w:b/>
                <w:bCs/>
                <w:sz w:val="24"/>
                <w:szCs w:val="24"/>
              </w:rPr>
            </w:pPr>
            <w:r w:rsidRPr="00195A8B">
              <w:rPr>
                <w:rFonts w:ascii="Times New Roman" w:hAnsi="Times New Roman" w:cs="Times New Roman"/>
                <w:b/>
                <w:bCs/>
                <w:sz w:val="24"/>
                <w:szCs w:val="24"/>
              </w:rPr>
              <w:t>Sum (TZS)</w:t>
            </w:r>
          </w:p>
        </w:tc>
      </w:tr>
      <w:tr w:rsidR="00195A8B" w:rsidRPr="00195A8B" w14:paraId="4EC25559" w14:textId="77777777" w:rsidTr="00CA33B8">
        <w:tc>
          <w:tcPr>
            <w:tcW w:w="2171" w:type="pct"/>
          </w:tcPr>
          <w:p w14:paraId="141531B1" w14:textId="77777777" w:rsidR="00195A8B" w:rsidRPr="00195A8B" w:rsidRDefault="00195A8B" w:rsidP="00195A8B">
            <w:pPr>
              <w:spacing w:line="360" w:lineRule="auto"/>
              <w:ind w:hanging="90"/>
              <w:rPr>
                <w:rFonts w:ascii="Times New Roman" w:hAnsi="Times New Roman" w:cs="Times New Roman"/>
                <w:bCs/>
                <w:sz w:val="24"/>
                <w:szCs w:val="24"/>
              </w:rPr>
            </w:pPr>
            <w:r w:rsidRPr="00195A8B">
              <w:rPr>
                <w:rFonts w:ascii="Times New Roman" w:hAnsi="Times New Roman" w:cs="Times New Roman"/>
                <w:bCs/>
                <w:sz w:val="24"/>
                <w:szCs w:val="24"/>
              </w:rPr>
              <w:t>Crop production enterprises</w:t>
            </w:r>
          </w:p>
        </w:tc>
        <w:tc>
          <w:tcPr>
            <w:tcW w:w="772" w:type="pct"/>
          </w:tcPr>
          <w:p w14:paraId="0C1FFCAA" w14:textId="77777777" w:rsidR="00195A8B" w:rsidRPr="00195A8B" w:rsidRDefault="00195A8B" w:rsidP="00195A8B">
            <w:pPr>
              <w:spacing w:line="360" w:lineRule="auto"/>
              <w:ind w:hanging="90"/>
              <w:rPr>
                <w:rFonts w:ascii="Times New Roman" w:hAnsi="Times New Roman" w:cs="Times New Roman"/>
                <w:bCs/>
                <w:sz w:val="24"/>
                <w:szCs w:val="24"/>
              </w:rPr>
            </w:pPr>
            <w:r w:rsidRPr="00195A8B">
              <w:rPr>
                <w:rFonts w:ascii="Times New Roman" w:hAnsi="Times New Roman" w:cs="Times New Roman"/>
                <w:bCs/>
                <w:sz w:val="24"/>
                <w:szCs w:val="24"/>
              </w:rPr>
              <w:t>270,000</w:t>
            </w:r>
          </w:p>
        </w:tc>
        <w:tc>
          <w:tcPr>
            <w:tcW w:w="773" w:type="pct"/>
          </w:tcPr>
          <w:p w14:paraId="422CC36D" w14:textId="77777777" w:rsidR="00195A8B" w:rsidRPr="00195A8B" w:rsidRDefault="00195A8B" w:rsidP="00195A8B">
            <w:pPr>
              <w:spacing w:line="360" w:lineRule="auto"/>
              <w:ind w:hanging="90"/>
              <w:rPr>
                <w:rFonts w:ascii="Times New Roman" w:hAnsi="Times New Roman" w:cs="Times New Roman"/>
                <w:bCs/>
                <w:sz w:val="24"/>
                <w:szCs w:val="24"/>
              </w:rPr>
            </w:pPr>
            <w:r w:rsidRPr="00195A8B">
              <w:rPr>
                <w:rFonts w:ascii="Times New Roman" w:hAnsi="Times New Roman" w:cs="Times New Roman"/>
                <w:bCs/>
                <w:sz w:val="24"/>
                <w:szCs w:val="24"/>
              </w:rPr>
              <w:t>1,890,000</w:t>
            </w:r>
          </w:p>
        </w:tc>
        <w:tc>
          <w:tcPr>
            <w:tcW w:w="579" w:type="pct"/>
            <w:vAlign w:val="bottom"/>
          </w:tcPr>
          <w:p w14:paraId="4A51F2E1" w14:textId="77777777" w:rsidR="00195A8B" w:rsidRPr="00195A8B" w:rsidRDefault="00195A8B" w:rsidP="00195A8B">
            <w:pPr>
              <w:spacing w:line="360" w:lineRule="auto"/>
              <w:ind w:hanging="90"/>
              <w:rPr>
                <w:rFonts w:ascii="Times New Roman" w:hAnsi="Times New Roman" w:cs="Times New Roman"/>
                <w:bCs/>
                <w:sz w:val="24"/>
                <w:szCs w:val="24"/>
              </w:rPr>
            </w:pPr>
            <w:r w:rsidRPr="00195A8B">
              <w:rPr>
                <w:rFonts w:ascii="Times New Roman" w:hAnsi="Times New Roman" w:cs="Times New Roman"/>
                <w:bCs/>
                <w:sz w:val="24"/>
                <w:szCs w:val="24"/>
              </w:rPr>
              <w:t>89,444</w:t>
            </w:r>
          </w:p>
        </w:tc>
        <w:tc>
          <w:tcPr>
            <w:tcW w:w="705" w:type="pct"/>
            <w:vAlign w:val="bottom"/>
          </w:tcPr>
          <w:p w14:paraId="44DF8A1D" w14:textId="77777777" w:rsidR="00195A8B" w:rsidRPr="00195A8B" w:rsidRDefault="00195A8B" w:rsidP="00195A8B">
            <w:pPr>
              <w:spacing w:line="360" w:lineRule="auto"/>
              <w:ind w:hanging="90"/>
              <w:rPr>
                <w:rFonts w:ascii="Times New Roman" w:hAnsi="Times New Roman" w:cs="Times New Roman"/>
                <w:bCs/>
                <w:sz w:val="24"/>
                <w:szCs w:val="24"/>
              </w:rPr>
            </w:pPr>
            <w:r w:rsidRPr="00195A8B">
              <w:rPr>
                <w:rFonts w:ascii="Times New Roman" w:hAnsi="Times New Roman" w:cs="Times New Roman"/>
                <w:bCs/>
                <w:sz w:val="24"/>
                <w:szCs w:val="24"/>
              </w:rPr>
              <w:t>869,998</w:t>
            </w:r>
          </w:p>
        </w:tc>
      </w:tr>
      <w:tr w:rsidR="00195A8B" w:rsidRPr="00195A8B" w14:paraId="574907A1" w14:textId="77777777" w:rsidTr="00CA33B8">
        <w:tc>
          <w:tcPr>
            <w:tcW w:w="2171" w:type="pct"/>
          </w:tcPr>
          <w:p w14:paraId="105116DE" w14:textId="77777777" w:rsidR="00195A8B" w:rsidRPr="00195A8B" w:rsidRDefault="00195A8B" w:rsidP="00195A8B">
            <w:pPr>
              <w:spacing w:line="360" w:lineRule="auto"/>
              <w:ind w:hanging="90"/>
              <w:rPr>
                <w:rFonts w:ascii="Times New Roman" w:hAnsi="Times New Roman" w:cs="Times New Roman"/>
                <w:bCs/>
                <w:sz w:val="24"/>
                <w:szCs w:val="24"/>
              </w:rPr>
            </w:pPr>
            <w:r w:rsidRPr="00195A8B">
              <w:rPr>
                <w:rFonts w:ascii="Times New Roman" w:hAnsi="Times New Roman" w:cs="Times New Roman"/>
                <w:bCs/>
                <w:sz w:val="24"/>
                <w:szCs w:val="24"/>
              </w:rPr>
              <w:t>Livestock keeping enterprises</w:t>
            </w:r>
          </w:p>
        </w:tc>
        <w:tc>
          <w:tcPr>
            <w:tcW w:w="772" w:type="pct"/>
            <w:vAlign w:val="bottom"/>
          </w:tcPr>
          <w:p w14:paraId="11E70CD5" w14:textId="77777777" w:rsidR="00195A8B" w:rsidRPr="00195A8B" w:rsidRDefault="00195A8B" w:rsidP="00195A8B">
            <w:pPr>
              <w:spacing w:line="360" w:lineRule="auto"/>
              <w:ind w:hanging="90"/>
              <w:rPr>
                <w:rFonts w:ascii="Times New Roman" w:hAnsi="Times New Roman" w:cs="Times New Roman"/>
                <w:bCs/>
                <w:sz w:val="24"/>
                <w:szCs w:val="24"/>
              </w:rPr>
            </w:pPr>
            <w:r w:rsidRPr="00195A8B">
              <w:rPr>
                <w:rFonts w:ascii="Times New Roman" w:hAnsi="Times New Roman" w:cs="Times New Roman"/>
                <w:bCs/>
                <w:sz w:val="24"/>
                <w:szCs w:val="24"/>
              </w:rPr>
              <w:t>361,702</w:t>
            </w:r>
          </w:p>
        </w:tc>
        <w:tc>
          <w:tcPr>
            <w:tcW w:w="773" w:type="pct"/>
            <w:vAlign w:val="bottom"/>
          </w:tcPr>
          <w:p w14:paraId="67E3F41C" w14:textId="77777777" w:rsidR="00195A8B" w:rsidRPr="00195A8B" w:rsidRDefault="00195A8B" w:rsidP="00195A8B">
            <w:pPr>
              <w:spacing w:line="360" w:lineRule="auto"/>
              <w:ind w:hanging="90"/>
              <w:rPr>
                <w:rFonts w:ascii="Times New Roman" w:hAnsi="Times New Roman" w:cs="Times New Roman"/>
                <w:bCs/>
                <w:sz w:val="24"/>
                <w:szCs w:val="24"/>
              </w:rPr>
            </w:pPr>
            <w:r w:rsidRPr="00195A8B">
              <w:rPr>
                <w:rFonts w:ascii="Times New Roman" w:hAnsi="Times New Roman" w:cs="Times New Roman"/>
                <w:bCs/>
                <w:sz w:val="24"/>
                <w:szCs w:val="24"/>
              </w:rPr>
              <w:t>75,986,223</w:t>
            </w:r>
          </w:p>
        </w:tc>
        <w:tc>
          <w:tcPr>
            <w:tcW w:w="579" w:type="pct"/>
            <w:vAlign w:val="bottom"/>
          </w:tcPr>
          <w:p w14:paraId="2F18C0DF" w14:textId="77777777" w:rsidR="00195A8B" w:rsidRPr="00195A8B" w:rsidRDefault="00195A8B" w:rsidP="00195A8B">
            <w:pPr>
              <w:spacing w:line="360" w:lineRule="auto"/>
              <w:ind w:hanging="90"/>
              <w:rPr>
                <w:rFonts w:ascii="Times New Roman" w:hAnsi="Times New Roman" w:cs="Times New Roman"/>
                <w:bCs/>
                <w:sz w:val="24"/>
                <w:szCs w:val="24"/>
              </w:rPr>
            </w:pPr>
            <w:r w:rsidRPr="00195A8B">
              <w:rPr>
                <w:rFonts w:ascii="Times New Roman" w:hAnsi="Times New Roman" w:cs="Times New Roman"/>
                <w:bCs/>
                <w:sz w:val="24"/>
                <w:szCs w:val="24"/>
              </w:rPr>
              <w:t>291,713</w:t>
            </w:r>
          </w:p>
        </w:tc>
        <w:tc>
          <w:tcPr>
            <w:tcW w:w="705" w:type="pct"/>
            <w:vAlign w:val="bottom"/>
          </w:tcPr>
          <w:p w14:paraId="63ABF7A9" w14:textId="77777777" w:rsidR="00195A8B" w:rsidRPr="00195A8B" w:rsidRDefault="00195A8B" w:rsidP="00195A8B">
            <w:pPr>
              <w:spacing w:line="360" w:lineRule="auto"/>
              <w:ind w:hanging="90"/>
              <w:rPr>
                <w:rFonts w:ascii="Times New Roman" w:hAnsi="Times New Roman" w:cs="Times New Roman"/>
                <w:bCs/>
                <w:sz w:val="24"/>
                <w:szCs w:val="24"/>
              </w:rPr>
            </w:pPr>
            <w:r w:rsidRPr="00195A8B">
              <w:rPr>
                <w:rFonts w:ascii="Times New Roman" w:hAnsi="Times New Roman" w:cs="Times New Roman"/>
                <w:bCs/>
                <w:sz w:val="24"/>
                <w:szCs w:val="24"/>
              </w:rPr>
              <w:t>2,738,830</w:t>
            </w:r>
          </w:p>
        </w:tc>
      </w:tr>
      <w:tr w:rsidR="00195A8B" w:rsidRPr="00195A8B" w14:paraId="58C4F6D2" w14:textId="77777777" w:rsidTr="00CA33B8">
        <w:tc>
          <w:tcPr>
            <w:tcW w:w="2171" w:type="pct"/>
          </w:tcPr>
          <w:p w14:paraId="27B68148" w14:textId="75EE11A7" w:rsidR="00195A8B" w:rsidRPr="00195A8B" w:rsidRDefault="00DF60D8" w:rsidP="00195A8B">
            <w:pPr>
              <w:spacing w:line="360" w:lineRule="auto"/>
              <w:ind w:hanging="90"/>
              <w:rPr>
                <w:rFonts w:ascii="Times New Roman" w:hAnsi="Times New Roman" w:cs="Times New Roman"/>
                <w:bCs/>
                <w:sz w:val="24"/>
                <w:szCs w:val="24"/>
              </w:rPr>
            </w:pPr>
            <w:r>
              <w:rPr>
                <w:rFonts w:ascii="Times New Roman" w:hAnsi="Times New Roman" w:cs="Times New Roman"/>
                <w:bCs/>
                <w:sz w:val="24"/>
                <w:szCs w:val="24"/>
              </w:rPr>
              <w:t>Wholesale</w:t>
            </w:r>
            <w:r w:rsidR="00195A8B" w:rsidRPr="00195A8B">
              <w:rPr>
                <w:rFonts w:ascii="Times New Roman" w:hAnsi="Times New Roman" w:cs="Times New Roman"/>
                <w:bCs/>
                <w:sz w:val="24"/>
                <w:szCs w:val="24"/>
              </w:rPr>
              <w:t xml:space="preserve"> and Retail business</w:t>
            </w:r>
          </w:p>
        </w:tc>
        <w:tc>
          <w:tcPr>
            <w:tcW w:w="772" w:type="pct"/>
            <w:vAlign w:val="bottom"/>
          </w:tcPr>
          <w:p w14:paraId="1F8A802C" w14:textId="77777777" w:rsidR="00195A8B" w:rsidRPr="00195A8B" w:rsidRDefault="00195A8B" w:rsidP="00195A8B">
            <w:pPr>
              <w:spacing w:line="360" w:lineRule="auto"/>
              <w:ind w:hanging="90"/>
              <w:rPr>
                <w:rFonts w:ascii="Times New Roman" w:hAnsi="Times New Roman" w:cs="Times New Roman"/>
                <w:bCs/>
                <w:sz w:val="24"/>
                <w:szCs w:val="24"/>
              </w:rPr>
            </w:pPr>
            <w:r w:rsidRPr="00195A8B">
              <w:rPr>
                <w:rFonts w:ascii="Times New Roman" w:hAnsi="Times New Roman" w:cs="Times New Roman"/>
                <w:bCs/>
                <w:sz w:val="24"/>
                <w:szCs w:val="24"/>
              </w:rPr>
              <w:t>232,156</w:t>
            </w:r>
          </w:p>
        </w:tc>
        <w:tc>
          <w:tcPr>
            <w:tcW w:w="773" w:type="pct"/>
            <w:vAlign w:val="bottom"/>
          </w:tcPr>
          <w:p w14:paraId="1F63E9BC" w14:textId="77777777" w:rsidR="00195A8B" w:rsidRPr="00195A8B" w:rsidRDefault="00195A8B" w:rsidP="00195A8B">
            <w:pPr>
              <w:spacing w:line="360" w:lineRule="auto"/>
              <w:ind w:hanging="90"/>
              <w:rPr>
                <w:rFonts w:ascii="Times New Roman" w:hAnsi="Times New Roman" w:cs="Times New Roman"/>
                <w:bCs/>
                <w:sz w:val="24"/>
                <w:szCs w:val="24"/>
              </w:rPr>
            </w:pPr>
            <w:r w:rsidRPr="00195A8B">
              <w:rPr>
                <w:rFonts w:ascii="Times New Roman" w:hAnsi="Times New Roman" w:cs="Times New Roman"/>
                <w:bCs/>
                <w:sz w:val="24"/>
                <w:szCs w:val="24"/>
              </w:rPr>
              <w:t>44,958,692</w:t>
            </w:r>
          </w:p>
        </w:tc>
        <w:tc>
          <w:tcPr>
            <w:tcW w:w="579" w:type="pct"/>
            <w:vAlign w:val="bottom"/>
          </w:tcPr>
          <w:p w14:paraId="570A8B4A" w14:textId="77777777" w:rsidR="00195A8B" w:rsidRPr="00195A8B" w:rsidRDefault="00195A8B" w:rsidP="00195A8B">
            <w:pPr>
              <w:spacing w:line="360" w:lineRule="auto"/>
              <w:ind w:hanging="90"/>
              <w:rPr>
                <w:rFonts w:ascii="Times New Roman" w:hAnsi="Times New Roman" w:cs="Times New Roman"/>
                <w:bCs/>
                <w:sz w:val="24"/>
                <w:szCs w:val="24"/>
              </w:rPr>
            </w:pPr>
            <w:r w:rsidRPr="00195A8B">
              <w:rPr>
                <w:rFonts w:ascii="Times New Roman" w:hAnsi="Times New Roman" w:cs="Times New Roman"/>
                <w:bCs/>
                <w:sz w:val="24"/>
                <w:szCs w:val="24"/>
              </w:rPr>
              <w:t>78,948</w:t>
            </w:r>
          </w:p>
        </w:tc>
        <w:tc>
          <w:tcPr>
            <w:tcW w:w="705" w:type="pct"/>
            <w:vAlign w:val="bottom"/>
          </w:tcPr>
          <w:p w14:paraId="4A8E865A" w14:textId="77777777" w:rsidR="00195A8B" w:rsidRPr="00195A8B" w:rsidRDefault="00195A8B" w:rsidP="00195A8B">
            <w:pPr>
              <w:spacing w:line="360" w:lineRule="auto"/>
              <w:ind w:hanging="90"/>
              <w:rPr>
                <w:rFonts w:ascii="Times New Roman" w:hAnsi="Times New Roman" w:cs="Times New Roman"/>
                <w:bCs/>
                <w:sz w:val="24"/>
                <w:szCs w:val="24"/>
              </w:rPr>
            </w:pPr>
            <w:r w:rsidRPr="00195A8B">
              <w:rPr>
                <w:rFonts w:ascii="Times New Roman" w:hAnsi="Times New Roman" w:cs="Times New Roman"/>
                <w:bCs/>
                <w:sz w:val="24"/>
                <w:szCs w:val="24"/>
              </w:rPr>
              <w:t>4,228,633</w:t>
            </w:r>
          </w:p>
        </w:tc>
      </w:tr>
      <w:tr w:rsidR="00195A8B" w:rsidRPr="00195A8B" w14:paraId="76176D5B" w14:textId="77777777" w:rsidTr="00CA33B8">
        <w:tc>
          <w:tcPr>
            <w:tcW w:w="2171" w:type="pct"/>
          </w:tcPr>
          <w:p w14:paraId="173DC51C" w14:textId="77777777" w:rsidR="00195A8B" w:rsidRPr="00195A8B" w:rsidRDefault="00195A8B" w:rsidP="00195A8B">
            <w:pPr>
              <w:spacing w:line="360" w:lineRule="auto"/>
              <w:ind w:hanging="90"/>
              <w:rPr>
                <w:rFonts w:ascii="Times New Roman" w:hAnsi="Times New Roman" w:cs="Times New Roman"/>
                <w:bCs/>
                <w:sz w:val="24"/>
                <w:szCs w:val="24"/>
              </w:rPr>
            </w:pPr>
            <w:r w:rsidRPr="00195A8B">
              <w:rPr>
                <w:rFonts w:ascii="Times New Roman" w:hAnsi="Times New Roman" w:cs="Times New Roman"/>
                <w:bCs/>
                <w:sz w:val="24"/>
                <w:szCs w:val="24"/>
              </w:rPr>
              <w:t>Transportation enterprises</w:t>
            </w:r>
          </w:p>
        </w:tc>
        <w:tc>
          <w:tcPr>
            <w:tcW w:w="772" w:type="pct"/>
          </w:tcPr>
          <w:p w14:paraId="37BF8F73" w14:textId="77777777" w:rsidR="00195A8B" w:rsidRPr="00195A8B" w:rsidRDefault="00195A8B" w:rsidP="00195A8B">
            <w:pPr>
              <w:spacing w:line="360" w:lineRule="auto"/>
              <w:ind w:hanging="90"/>
              <w:rPr>
                <w:rFonts w:ascii="Times New Roman" w:hAnsi="Times New Roman" w:cs="Times New Roman"/>
                <w:bCs/>
                <w:sz w:val="24"/>
                <w:szCs w:val="24"/>
              </w:rPr>
            </w:pPr>
            <w:r w:rsidRPr="00195A8B">
              <w:rPr>
                <w:rFonts w:ascii="Times New Roman" w:hAnsi="Times New Roman" w:cs="Times New Roman"/>
                <w:bCs/>
                <w:sz w:val="24"/>
                <w:szCs w:val="24"/>
              </w:rPr>
              <w:t>209,415</w:t>
            </w:r>
          </w:p>
        </w:tc>
        <w:tc>
          <w:tcPr>
            <w:tcW w:w="773" w:type="pct"/>
          </w:tcPr>
          <w:p w14:paraId="4AEF052B" w14:textId="77777777" w:rsidR="00195A8B" w:rsidRPr="00195A8B" w:rsidRDefault="00195A8B" w:rsidP="00195A8B">
            <w:pPr>
              <w:spacing w:line="360" w:lineRule="auto"/>
              <w:ind w:hanging="90"/>
              <w:rPr>
                <w:rFonts w:ascii="Times New Roman" w:hAnsi="Times New Roman" w:cs="Times New Roman"/>
                <w:bCs/>
                <w:sz w:val="24"/>
                <w:szCs w:val="24"/>
              </w:rPr>
            </w:pPr>
            <w:r w:rsidRPr="00195A8B">
              <w:rPr>
                <w:rFonts w:ascii="Times New Roman" w:hAnsi="Times New Roman" w:cs="Times New Roman"/>
                <w:bCs/>
                <w:sz w:val="24"/>
                <w:szCs w:val="24"/>
              </w:rPr>
              <w:t>17,171,996</w:t>
            </w:r>
          </w:p>
        </w:tc>
        <w:tc>
          <w:tcPr>
            <w:tcW w:w="579" w:type="pct"/>
          </w:tcPr>
          <w:p w14:paraId="4EA62D05" w14:textId="77777777" w:rsidR="00195A8B" w:rsidRPr="00195A8B" w:rsidRDefault="00195A8B" w:rsidP="00195A8B">
            <w:pPr>
              <w:spacing w:line="360" w:lineRule="auto"/>
              <w:ind w:hanging="90"/>
              <w:rPr>
                <w:rFonts w:ascii="Times New Roman" w:hAnsi="Times New Roman" w:cs="Times New Roman"/>
                <w:bCs/>
                <w:sz w:val="24"/>
                <w:szCs w:val="24"/>
              </w:rPr>
            </w:pPr>
            <w:r w:rsidRPr="00195A8B">
              <w:rPr>
                <w:rFonts w:ascii="Times New Roman" w:hAnsi="Times New Roman" w:cs="Times New Roman"/>
                <w:bCs/>
                <w:sz w:val="24"/>
                <w:szCs w:val="24"/>
              </w:rPr>
              <w:t>222,400</w:t>
            </w:r>
          </w:p>
        </w:tc>
        <w:tc>
          <w:tcPr>
            <w:tcW w:w="705" w:type="pct"/>
          </w:tcPr>
          <w:p w14:paraId="5819EFF5" w14:textId="77777777" w:rsidR="00195A8B" w:rsidRPr="00195A8B" w:rsidRDefault="00195A8B" w:rsidP="00195A8B">
            <w:pPr>
              <w:spacing w:line="360" w:lineRule="auto"/>
              <w:ind w:hanging="90"/>
              <w:rPr>
                <w:rFonts w:ascii="Times New Roman" w:hAnsi="Times New Roman" w:cs="Times New Roman"/>
                <w:bCs/>
                <w:sz w:val="24"/>
                <w:szCs w:val="24"/>
              </w:rPr>
            </w:pPr>
            <w:r w:rsidRPr="00195A8B">
              <w:rPr>
                <w:rFonts w:ascii="Times New Roman" w:hAnsi="Times New Roman" w:cs="Times New Roman"/>
                <w:bCs/>
                <w:sz w:val="24"/>
                <w:szCs w:val="24"/>
              </w:rPr>
              <w:t>1,112,000</w:t>
            </w:r>
          </w:p>
        </w:tc>
      </w:tr>
      <w:tr w:rsidR="00195A8B" w:rsidRPr="00195A8B" w14:paraId="4DABC387" w14:textId="77777777" w:rsidTr="00CA33B8">
        <w:tc>
          <w:tcPr>
            <w:tcW w:w="2171" w:type="pct"/>
          </w:tcPr>
          <w:p w14:paraId="7BCB36B6" w14:textId="77777777" w:rsidR="00195A8B" w:rsidRPr="00195A8B" w:rsidRDefault="00195A8B" w:rsidP="00195A8B">
            <w:pPr>
              <w:spacing w:line="360" w:lineRule="auto"/>
              <w:ind w:hanging="90"/>
              <w:rPr>
                <w:rFonts w:ascii="Times New Roman" w:hAnsi="Times New Roman" w:cs="Times New Roman"/>
                <w:bCs/>
                <w:sz w:val="24"/>
                <w:szCs w:val="24"/>
              </w:rPr>
            </w:pPr>
            <w:r w:rsidRPr="00195A8B">
              <w:rPr>
                <w:rFonts w:ascii="Times New Roman" w:hAnsi="Times New Roman" w:cs="Times New Roman"/>
                <w:bCs/>
                <w:sz w:val="24"/>
                <w:szCs w:val="24"/>
              </w:rPr>
              <w:t>Construction enterprises</w:t>
            </w:r>
          </w:p>
        </w:tc>
        <w:tc>
          <w:tcPr>
            <w:tcW w:w="772" w:type="pct"/>
            <w:vAlign w:val="bottom"/>
          </w:tcPr>
          <w:p w14:paraId="3DFEF1A8" w14:textId="77777777" w:rsidR="00195A8B" w:rsidRPr="00195A8B" w:rsidRDefault="00195A8B" w:rsidP="00195A8B">
            <w:pPr>
              <w:spacing w:line="360" w:lineRule="auto"/>
              <w:ind w:hanging="90"/>
              <w:rPr>
                <w:rFonts w:ascii="Times New Roman" w:hAnsi="Times New Roman" w:cs="Times New Roman"/>
                <w:bCs/>
                <w:sz w:val="24"/>
                <w:szCs w:val="24"/>
              </w:rPr>
            </w:pPr>
            <w:r w:rsidRPr="00195A8B">
              <w:rPr>
                <w:rFonts w:ascii="Times New Roman" w:hAnsi="Times New Roman" w:cs="Times New Roman"/>
                <w:bCs/>
                <w:sz w:val="24"/>
                <w:szCs w:val="24"/>
              </w:rPr>
              <w:t>398,200</w:t>
            </w:r>
          </w:p>
        </w:tc>
        <w:tc>
          <w:tcPr>
            <w:tcW w:w="773" w:type="pct"/>
            <w:vAlign w:val="bottom"/>
          </w:tcPr>
          <w:p w14:paraId="78899883" w14:textId="77777777" w:rsidR="00195A8B" w:rsidRPr="00195A8B" w:rsidRDefault="00195A8B" w:rsidP="00195A8B">
            <w:pPr>
              <w:spacing w:line="360" w:lineRule="auto"/>
              <w:ind w:hanging="90"/>
              <w:rPr>
                <w:rFonts w:ascii="Times New Roman" w:hAnsi="Times New Roman" w:cs="Times New Roman"/>
                <w:bCs/>
                <w:sz w:val="24"/>
                <w:szCs w:val="24"/>
              </w:rPr>
            </w:pPr>
            <w:r w:rsidRPr="00195A8B">
              <w:rPr>
                <w:rFonts w:ascii="Times New Roman" w:hAnsi="Times New Roman" w:cs="Times New Roman"/>
                <w:bCs/>
                <w:sz w:val="24"/>
                <w:szCs w:val="24"/>
              </w:rPr>
              <w:t>4,282,000</w:t>
            </w:r>
          </w:p>
        </w:tc>
        <w:tc>
          <w:tcPr>
            <w:tcW w:w="579" w:type="pct"/>
            <w:vAlign w:val="bottom"/>
          </w:tcPr>
          <w:p w14:paraId="51ACDBAA" w14:textId="77777777" w:rsidR="00195A8B" w:rsidRPr="00195A8B" w:rsidRDefault="00195A8B" w:rsidP="00195A8B">
            <w:pPr>
              <w:spacing w:line="360" w:lineRule="auto"/>
              <w:ind w:hanging="90"/>
              <w:rPr>
                <w:rFonts w:ascii="Times New Roman" w:hAnsi="Times New Roman" w:cs="Times New Roman"/>
                <w:bCs/>
                <w:sz w:val="24"/>
                <w:szCs w:val="24"/>
              </w:rPr>
            </w:pPr>
            <w:r w:rsidRPr="00195A8B">
              <w:rPr>
                <w:rFonts w:ascii="Times New Roman" w:hAnsi="Times New Roman" w:cs="Times New Roman"/>
                <w:bCs/>
                <w:sz w:val="24"/>
                <w:szCs w:val="24"/>
              </w:rPr>
              <w:t>240,927</w:t>
            </w:r>
          </w:p>
        </w:tc>
        <w:tc>
          <w:tcPr>
            <w:tcW w:w="705" w:type="pct"/>
            <w:vAlign w:val="bottom"/>
          </w:tcPr>
          <w:p w14:paraId="6F73EF2F" w14:textId="77777777" w:rsidR="00195A8B" w:rsidRPr="00195A8B" w:rsidRDefault="00195A8B" w:rsidP="00195A8B">
            <w:pPr>
              <w:spacing w:line="360" w:lineRule="auto"/>
              <w:ind w:hanging="90"/>
              <w:rPr>
                <w:rFonts w:ascii="Times New Roman" w:hAnsi="Times New Roman" w:cs="Times New Roman"/>
                <w:bCs/>
                <w:sz w:val="24"/>
                <w:szCs w:val="24"/>
              </w:rPr>
            </w:pPr>
            <w:r w:rsidRPr="00195A8B">
              <w:rPr>
                <w:rFonts w:ascii="Times New Roman" w:hAnsi="Times New Roman" w:cs="Times New Roman"/>
                <w:bCs/>
                <w:sz w:val="24"/>
                <w:szCs w:val="24"/>
              </w:rPr>
              <w:t>4,495,264</w:t>
            </w:r>
          </w:p>
        </w:tc>
      </w:tr>
    </w:tbl>
    <w:p w14:paraId="5178E9C9" w14:textId="77777777" w:rsidR="00195A8B" w:rsidRPr="00195A8B" w:rsidRDefault="00195A8B" w:rsidP="00195A8B">
      <w:pPr>
        <w:spacing w:after="160" w:line="259" w:lineRule="auto"/>
        <w:jc w:val="both"/>
        <w:rPr>
          <w:rFonts w:ascii="Times New Roman" w:eastAsia="Calibri" w:hAnsi="Times New Roman" w:cs="Times New Roman"/>
          <w:kern w:val="2"/>
          <w:sz w:val="24"/>
          <w:szCs w:val="24"/>
          <w:lang w:eastAsia="en-US"/>
        </w:rPr>
      </w:pPr>
      <w:r w:rsidRPr="00195A8B">
        <w:rPr>
          <w:rFonts w:ascii="Times New Roman" w:eastAsia="Calibri" w:hAnsi="Times New Roman" w:cs="Times New Roman"/>
          <w:b/>
          <w:bCs/>
          <w:kern w:val="2"/>
          <w:sz w:val="24"/>
          <w:szCs w:val="24"/>
          <w:lang w:eastAsia="en-US"/>
        </w:rPr>
        <w:t>Source</w:t>
      </w:r>
      <w:r w:rsidRPr="00195A8B">
        <w:rPr>
          <w:rFonts w:ascii="Times New Roman" w:eastAsia="Calibri" w:hAnsi="Times New Roman" w:cs="Times New Roman"/>
          <w:kern w:val="2"/>
          <w:sz w:val="24"/>
          <w:szCs w:val="24"/>
          <w:lang w:eastAsia="en-US"/>
        </w:rPr>
        <w:t>: Survey field data, 2023/2024</w:t>
      </w:r>
    </w:p>
    <w:p w14:paraId="26AD9265" w14:textId="2AF2E713" w:rsidR="00195A8B" w:rsidRPr="00DF60D8" w:rsidRDefault="00195A8B" w:rsidP="00DF60D8">
      <w:pPr>
        <w:pStyle w:val="ListParagraph"/>
        <w:numPr>
          <w:ilvl w:val="2"/>
          <w:numId w:val="39"/>
        </w:numPr>
        <w:adjustRightInd w:val="0"/>
        <w:spacing w:after="120" w:line="259" w:lineRule="auto"/>
        <w:jc w:val="both"/>
        <w:rPr>
          <w:rFonts w:ascii="Times New Roman" w:eastAsia="Calibri" w:hAnsi="Times New Roman" w:cs="Times New Roman"/>
          <w:b/>
          <w:bCs/>
          <w:kern w:val="2"/>
          <w:sz w:val="24"/>
          <w:szCs w:val="24"/>
          <w:lang w:val="en-GB" w:eastAsia="en-US"/>
        </w:rPr>
      </w:pPr>
      <w:r w:rsidRPr="00DF60D8">
        <w:rPr>
          <w:rFonts w:ascii="Times New Roman" w:eastAsia="Calibri" w:hAnsi="Times New Roman" w:cs="Times New Roman"/>
          <w:b/>
          <w:bCs/>
          <w:kern w:val="2"/>
          <w:sz w:val="24"/>
          <w:szCs w:val="24"/>
          <w:lang w:eastAsia="en-US"/>
        </w:rPr>
        <w:t xml:space="preserve"> Comparison of Revenue of Enterprises Established through Economic Empowerment Schemes between Arusha and Mara Regions</w:t>
      </w:r>
    </w:p>
    <w:p w14:paraId="6BD60661" w14:textId="52934B8B" w:rsidR="00195A8B" w:rsidRPr="00195A8B" w:rsidRDefault="00195A8B" w:rsidP="005C4ABF">
      <w:pPr>
        <w:spacing w:after="160" w:line="360" w:lineRule="auto"/>
        <w:jc w:val="both"/>
        <w:rPr>
          <w:rFonts w:ascii="Times New Roman" w:eastAsia="Calibri" w:hAnsi="Times New Roman" w:cs="Times New Roman"/>
          <w:kern w:val="2"/>
          <w:sz w:val="24"/>
          <w:szCs w:val="24"/>
          <w:lang w:eastAsia="en-US"/>
        </w:rPr>
      </w:pPr>
      <w:r w:rsidRPr="00195A8B">
        <w:rPr>
          <w:rFonts w:ascii="Times New Roman" w:eastAsia="Calibri" w:hAnsi="Times New Roman" w:cs="Times New Roman"/>
          <w:kern w:val="2"/>
          <w:sz w:val="24"/>
          <w:szCs w:val="24"/>
          <w:lang w:eastAsia="en-US"/>
        </w:rPr>
        <w:lastRenderedPageBreak/>
        <w:t xml:space="preserve">The comparative analysis of revenues among enterprises supported through economic empowerment schemes in Arusha and Mara reveals critical insights into the economic structures, sectoral dynamics, and growth trajectories in these regions. As shown in Table </w:t>
      </w:r>
      <w:r w:rsidR="00DF60D8">
        <w:rPr>
          <w:rFonts w:ascii="Times New Roman" w:eastAsia="Calibri" w:hAnsi="Times New Roman" w:cs="Times New Roman"/>
          <w:kern w:val="2"/>
          <w:sz w:val="24"/>
          <w:szCs w:val="24"/>
          <w:lang w:eastAsia="en-US"/>
        </w:rPr>
        <w:t>6</w:t>
      </w:r>
      <w:r w:rsidRPr="00195A8B">
        <w:rPr>
          <w:rFonts w:ascii="Times New Roman" w:eastAsia="Calibri" w:hAnsi="Times New Roman" w:cs="Times New Roman"/>
          <w:kern w:val="2"/>
          <w:sz w:val="24"/>
          <w:szCs w:val="24"/>
          <w:lang w:eastAsia="en-US"/>
        </w:rPr>
        <w:t>, enterprises in Arusha exhibit diverse revenue patterns across sectors, with livestock enterprises generating substantial total revenues (135,354,200 TZS) and high mean revenues (2,382,402 TZS), underscoring the sector's pivotal role in the region's economic fabric. This aligns with Thornton (2010), who emphasizes that livestock systems in East Africa remain a cornerstone for rural livelihoods, providing income, employment, and food security while contributing significantly to regional GDP.</w:t>
      </w:r>
    </w:p>
    <w:p w14:paraId="0CBFA157"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eastAsia="en-US"/>
        </w:rPr>
      </w:pPr>
      <w:r w:rsidRPr="00195A8B">
        <w:rPr>
          <w:rFonts w:ascii="Times New Roman" w:eastAsia="Calibri" w:hAnsi="Times New Roman" w:cs="Times New Roman"/>
          <w:kern w:val="2"/>
          <w:sz w:val="24"/>
          <w:szCs w:val="24"/>
          <w:lang w:eastAsia="en-US"/>
        </w:rPr>
        <w:t xml:space="preserve">The construction sector in Arusha also demonstrates robust performance, with the highest mean revenue (3,229,167 TZS), indicating active infrastructure development and a supportive investment climate, which </w:t>
      </w:r>
      <w:proofErr w:type="spellStart"/>
      <w:r w:rsidRPr="00195A8B">
        <w:rPr>
          <w:rFonts w:ascii="Times New Roman" w:eastAsia="Calibri" w:hAnsi="Times New Roman" w:cs="Times New Roman"/>
          <w:kern w:val="2"/>
          <w:sz w:val="24"/>
          <w:szCs w:val="24"/>
          <w:lang w:eastAsia="en-US"/>
        </w:rPr>
        <w:t>Dorosh</w:t>
      </w:r>
      <w:proofErr w:type="spellEnd"/>
      <w:r w:rsidRPr="00195A8B">
        <w:rPr>
          <w:rFonts w:ascii="Times New Roman" w:eastAsia="Calibri" w:hAnsi="Times New Roman" w:cs="Times New Roman"/>
          <w:kern w:val="2"/>
          <w:sz w:val="24"/>
          <w:szCs w:val="24"/>
          <w:lang w:eastAsia="en-US"/>
        </w:rPr>
        <w:t xml:space="preserve"> and Thurlow (2018) link to urbanization-driven demand for construction and related services in Tanzanian urban centers. Similarly, wholesale and retail enterprises in Arusha report high total revenues (178,319,800 TZS), reflecting the vibrancy of trade and service sectors in urban areas, consistent with </w:t>
      </w:r>
      <w:proofErr w:type="spellStart"/>
      <w:r w:rsidRPr="00195A8B">
        <w:rPr>
          <w:rFonts w:ascii="Times New Roman" w:eastAsia="Calibri" w:hAnsi="Times New Roman" w:cs="Times New Roman"/>
          <w:kern w:val="2"/>
          <w:sz w:val="24"/>
          <w:szCs w:val="24"/>
          <w:lang w:eastAsia="en-US"/>
        </w:rPr>
        <w:t>Christiaensen</w:t>
      </w:r>
      <w:proofErr w:type="spellEnd"/>
      <w:r w:rsidRPr="00195A8B">
        <w:rPr>
          <w:rFonts w:ascii="Times New Roman" w:eastAsia="Calibri" w:hAnsi="Times New Roman" w:cs="Times New Roman"/>
          <w:kern w:val="2"/>
          <w:sz w:val="24"/>
          <w:szCs w:val="24"/>
          <w:lang w:eastAsia="en-US"/>
        </w:rPr>
        <w:t xml:space="preserve"> and Martin (2018), who argue that non-farm enterprises, particularly trade and services, are crucial for poverty reduction and income diversification in Sub-Saharan Africa.</w:t>
      </w:r>
    </w:p>
    <w:p w14:paraId="2E9D41E0"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eastAsia="en-US"/>
        </w:rPr>
      </w:pPr>
      <w:r w:rsidRPr="00195A8B">
        <w:rPr>
          <w:rFonts w:ascii="Times New Roman" w:eastAsia="Calibri" w:hAnsi="Times New Roman" w:cs="Times New Roman"/>
          <w:kern w:val="2"/>
          <w:sz w:val="24"/>
          <w:szCs w:val="24"/>
          <w:lang w:eastAsia="en-US"/>
        </w:rPr>
        <w:t>Conversely, in Mara, crop production enterprises lead in mean revenue (3,177,037 TZS), with a substantial total revenue of 63,700,000 TZS, reflecting the region's reliance on agriculture and aligning with Jayne et al. (2010), who highlight that rural regions in Tanzania continue to depend heavily on smallholder agriculture as a primary livelihood strategy. The transportation sector in Mara exhibits exceptional mean and total revenues (15,000,000 TZS), suggesting high profitability and demand, possibly linked to the region's connectivity needs and trade facilitation, echoing Porter (2002), who underscores the transformative role of transportation in rural economic development and market access.</w:t>
      </w:r>
    </w:p>
    <w:p w14:paraId="61F4FBD9"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eastAsia="en-US"/>
        </w:rPr>
      </w:pPr>
      <w:r w:rsidRPr="00195A8B">
        <w:rPr>
          <w:rFonts w:ascii="Times New Roman" w:eastAsia="Calibri" w:hAnsi="Times New Roman" w:cs="Times New Roman"/>
          <w:kern w:val="2"/>
          <w:sz w:val="24"/>
          <w:szCs w:val="24"/>
          <w:lang w:eastAsia="en-US"/>
        </w:rPr>
        <w:t xml:space="preserve">The observed disparities further reflect differences in market access, infrastructure, and institutional support between the regions, with Arusha benefiting from its urban status, proximity to larger markets, and better infrastructure, facilitating higher-value economic activities. In contrast, Mara’s high average revenues in crop production and transportation indicate that </w:t>
      </w:r>
      <w:r w:rsidRPr="00195A8B">
        <w:rPr>
          <w:rFonts w:ascii="Times New Roman" w:eastAsia="Calibri" w:hAnsi="Times New Roman" w:cs="Times New Roman"/>
          <w:kern w:val="2"/>
          <w:sz w:val="24"/>
          <w:szCs w:val="24"/>
          <w:lang w:eastAsia="en-US"/>
        </w:rPr>
        <w:lastRenderedPageBreak/>
        <w:t>strategic investments in these sectors could drive further local economic growth while addressing rural income gaps.</w:t>
      </w:r>
    </w:p>
    <w:p w14:paraId="46EF5B19" w14:textId="29EE5D82" w:rsidR="00195A8B" w:rsidRPr="00195A8B" w:rsidRDefault="00195A8B" w:rsidP="005C4ABF">
      <w:pPr>
        <w:spacing w:after="160" w:line="360" w:lineRule="auto"/>
        <w:jc w:val="both"/>
        <w:rPr>
          <w:rFonts w:ascii="Times New Roman" w:eastAsia="Calibri" w:hAnsi="Times New Roman" w:cs="Times New Roman"/>
          <w:kern w:val="2"/>
          <w:sz w:val="24"/>
          <w:szCs w:val="24"/>
          <w:lang w:eastAsia="en-US"/>
        </w:rPr>
      </w:pPr>
      <w:r w:rsidRPr="00195A8B">
        <w:rPr>
          <w:rFonts w:ascii="Times New Roman" w:eastAsia="Calibri" w:hAnsi="Times New Roman" w:cs="Times New Roman"/>
          <w:kern w:val="2"/>
          <w:sz w:val="24"/>
          <w:szCs w:val="24"/>
          <w:lang w:eastAsia="en-US"/>
        </w:rPr>
        <w:t>Additionally, the high revenues in livestock, wholesale, and retail sectors in Arusha suggest that urban-oriented enterprises can generate greater financial returns if supported by targeted policies, access to finance, and market linkages, as recommended by IFAD (2020) and Scoones (2015). Their studies emphasize that empowerment schemes must align with local economic realities and sector-specific opportunities to foster sustainable enterprise development.</w:t>
      </w:r>
    </w:p>
    <w:p w14:paraId="6786AB37"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eastAsia="en-US"/>
        </w:rPr>
      </w:pPr>
      <w:r w:rsidRPr="00195A8B">
        <w:rPr>
          <w:rFonts w:ascii="Times New Roman" w:eastAsia="Calibri" w:hAnsi="Times New Roman" w:cs="Times New Roman"/>
          <w:kern w:val="2"/>
          <w:sz w:val="24"/>
          <w:szCs w:val="24"/>
          <w:lang w:eastAsia="en-US"/>
        </w:rPr>
        <w:t>Overall, these findings highlight the importance of tailored regional strategies within Tanzania’s economic empowerment frameworks. For Arusha, strengthening value chains in livestock, construction, and trade while promoting innovation and efficient supply chains could enhance enterprise profitability. For Mara, scaling productivity in agriculture and formalizing the lucrative transportation sector through access to finance, training, and market facilitation can unlock sustainable growth. Aligning these approaches with SDG 8 (Decent Work and Economic Growth) and SDG 9 (Industry, Innovation, and Infrastructure) will ensure that economic empowerment schemes contribute effectively to inclusive and sustainable regional development in Tanzania.</w:t>
      </w:r>
    </w:p>
    <w:p w14:paraId="346354B8" w14:textId="05EA2CAA" w:rsidR="00195A8B" w:rsidRPr="00195A8B" w:rsidRDefault="00195A8B" w:rsidP="00195A8B">
      <w:pPr>
        <w:adjustRightInd w:val="0"/>
        <w:spacing w:after="0" w:line="240" w:lineRule="auto"/>
        <w:ind w:left="86" w:hanging="86"/>
        <w:jc w:val="both"/>
        <w:rPr>
          <w:rFonts w:ascii="Times New Roman" w:eastAsia="Calibri" w:hAnsi="Times New Roman" w:cs="Times New Roman"/>
          <w:b/>
          <w:bCs/>
          <w:sz w:val="24"/>
          <w:szCs w:val="24"/>
          <w:lang w:eastAsia="en-US"/>
        </w:rPr>
      </w:pPr>
      <w:r w:rsidRPr="00195A8B">
        <w:rPr>
          <w:rFonts w:ascii="Times New Roman" w:eastAsia="Calibri" w:hAnsi="Times New Roman" w:cs="Times New Roman"/>
          <w:b/>
          <w:bCs/>
          <w:sz w:val="24"/>
          <w:szCs w:val="24"/>
          <w:lang w:eastAsia="en-US"/>
        </w:rPr>
        <w:t>Table</w:t>
      </w:r>
      <w:r w:rsidR="00DF60D8">
        <w:rPr>
          <w:rFonts w:ascii="Times New Roman" w:eastAsia="Calibri" w:hAnsi="Times New Roman" w:cs="Times New Roman"/>
          <w:b/>
          <w:bCs/>
          <w:sz w:val="24"/>
          <w:szCs w:val="24"/>
          <w:lang w:eastAsia="en-US"/>
        </w:rPr>
        <w:t xml:space="preserve"> 6</w:t>
      </w:r>
      <w:r w:rsidRPr="00195A8B">
        <w:rPr>
          <w:rFonts w:ascii="Times New Roman" w:eastAsia="Calibri" w:hAnsi="Times New Roman" w:cs="Times New Roman"/>
          <w:b/>
          <w:bCs/>
          <w:sz w:val="24"/>
          <w:szCs w:val="24"/>
          <w:lang w:eastAsia="en-US"/>
        </w:rPr>
        <w:t>. Comparison of Revenue of Enterprises Established through Economic Empowerment Schemes between Arusha and Mara Regions</w:t>
      </w:r>
    </w:p>
    <w:tbl>
      <w:tblPr>
        <w:tblStyle w:val="TableGrid11"/>
        <w:tblW w:w="5000" w:type="pct"/>
        <w:tblLook w:val="04A0" w:firstRow="1" w:lastRow="0" w:firstColumn="1" w:lastColumn="0" w:noHBand="0" w:noVBand="1"/>
      </w:tblPr>
      <w:tblGrid>
        <w:gridCol w:w="2286"/>
        <w:gridCol w:w="2038"/>
        <w:gridCol w:w="1153"/>
        <w:gridCol w:w="1410"/>
        <w:gridCol w:w="1281"/>
        <w:gridCol w:w="1408"/>
      </w:tblGrid>
      <w:tr w:rsidR="00195A8B" w:rsidRPr="00195A8B" w14:paraId="25963517" w14:textId="77777777" w:rsidTr="00CA33B8">
        <w:tc>
          <w:tcPr>
            <w:tcW w:w="1194" w:type="pct"/>
            <w:vMerge w:val="restart"/>
            <w:vAlign w:val="center"/>
          </w:tcPr>
          <w:p w14:paraId="61B5D45C" w14:textId="77777777" w:rsidR="00195A8B" w:rsidRPr="00195A8B" w:rsidRDefault="00195A8B" w:rsidP="00195A8B">
            <w:pPr>
              <w:ind w:hanging="90"/>
              <w:rPr>
                <w:rFonts w:ascii="Times New Roman" w:eastAsia="Calibri" w:hAnsi="Times New Roman" w:cs="Times New Roman"/>
                <w:b/>
                <w:bCs/>
                <w:sz w:val="24"/>
                <w:szCs w:val="24"/>
              </w:rPr>
            </w:pPr>
            <w:r w:rsidRPr="00195A8B">
              <w:rPr>
                <w:rFonts w:ascii="Times New Roman" w:eastAsia="Calibri" w:hAnsi="Times New Roman" w:cs="Times New Roman"/>
                <w:b/>
                <w:bCs/>
                <w:sz w:val="24"/>
                <w:szCs w:val="24"/>
              </w:rPr>
              <w:t>Enterprises</w:t>
            </w:r>
          </w:p>
        </w:tc>
        <w:tc>
          <w:tcPr>
            <w:tcW w:w="1064" w:type="pct"/>
            <w:vMerge w:val="restart"/>
            <w:vAlign w:val="center"/>
          </w:tcPr>
          <w:p w14:paraId="17A0AC22" w14:textId="77777777" w:rsidR="00195A8B" w:rsidRPr="00195A8B" w:rsidRDefault="00195A8B" w:rsidP="00195A8B">
            <w:pPr>
              <w:ind w:hanging="90"/>
              <w:rPr>
                <w:rFonts w:ascii="Times New Roman" w:eastAsia="Calibri" w:hAnsi="Times New Roman" w:cs="Times New Roman"/>
                <w:b/>
                <w:bCs/>
                <w:sz w:val="24"/>
                <w:szCs w:val="24"/>
              </w:rPr>
            </w:pPr>
            <w:r w:rsidRPr="00195A8B">
              <w:rPr>
                <w:rFonts w:ascii="Times New Roman" w:eastAsia="Calibri" w:hAnsi="Times New Roman" w:cs="Times New Roman"/>
                <w:b/>
                <w:bCs/>
                <w:sz w:val="24"/>
                <w:szCs w:val="24"/>
              </w:rPr>
              <w:t>Output Category</w:t>
            </w:r>
          </w:p>
        </w:tc>
        <w:tc>
          <w:tcPr>
            <w:tcW w:w="1338" w:type="pct"/>
            <w:gridSpan w:val="2"/>
          </w:tcPr>
          <w:p w14:paraId="09F85E9C" w14:textId="77777777" w:rsidR="00195A8B" w:rsidRPr="00195A8B" w:rsidRDefault="00195A8B" w:rsidP="00195A8B">
            <w:pPr>
              <w:ind w:hanging="90"/>
              <w:jc w:val="center"/>
              <w:rPr>
                <w:rFonts w:ascii="Times New Roman" w:eastAsia="Calibri" w:hAnsi="Times New Roman" w:cs="Times New Roman"/>
                <w:b/>
                <w:bCs/>
                <w:sz w:val="24"/>
                <w:szCs w:val="24"/>
              </w:rPr>
            </w:pPr>
            <w:r w:rsidRPr="00195A8B">
              <w:rPr>
                <w:rFonts w:ascii="Times New Roman" w:eastAsia="Calibri" w:hAnsi="Times New Roman" w:cs="Times New Roman"/>
                <w:b/>
                <w:bCs/>
                <w:sz w:val="24"/>
                <w:szCs w:val="24"/>
              </w:rPr>
              <w:t>Arusha</w:t>
            </w:r>
          </w:p>
        </w:tc>
        <w:tc>
          <w:tcPr>
            <w:tcW w:w="1404" w:type="pct"/>
            <w:gridSpan w:val="2"/>
          </w:tcPr>
          <w:p w14:paraId="18523A60" w14:textId="77777777" w:rsidR="00195A8B" w:rsidRPr="00195A8B" w:rsidRDefault="00195A8B" w:rsidP="00195A8B">
            <w:pPr>
              <w:ind w:hanging="90"/>
              <w:jc w:val="center"/>
              <w:rPr>
                <w:rFonts w:ascii="Times New Roman" w:eastAsia="Calibri" w:hAnsi="Times New Roman" w:cs="Times New Roman"/>
                <w:b/>
                <w:bCs/>
                <w:sz w:val="24"/>
                <w:szCs w:val="24"/>
              </w:rPr>
            </w:pPr>
            <w:r w:rsidRPr="00195A8B">
              <w:rPr>
                <w:rFonts w:ascii="Times New Roman" w:eastAsia="Calibri" w:hAnsi="Times New Roman" w:cs="Times New Roman"/>
                <w:b/>
                <w:bCs/>
                <w:sz w:val="24"/>
                <w:szCs w:val="24"/>
              </w:rPr>
              <w:t>Mara</w:t>
            </w:r>
          </w:p>
        </w:tc>
      </w:tr>
      <w:tr w:rsidR="00195A8B" w:rsidRPr="00195A8B" w14:paraId="4A15D66B" w14:textId="77777777" w:rsidTr="00CA33B8">
        <w:tc>
          <w:tcPr>
            <w:tcW w:w="1194" w:type="pct"/>
            <w:vMerge/>
          </w:tcPr>
          <w:p w14:paraId="0E7F8063" w14:textId="77777777" w:rsidR="00195A8B" w:rsidRPr="00195A8B" w:rsidRDefault="00195A8B" w:rsidP="00195A8B">
            <w:pPr>
              <w:ind w:hanging="90"/>
              <w:rPr>
                <w:rFonts w:ascii="Times New Roman" w:eastAsia="Calibri" w:hAnsi="Times New Roman" w:cs="Times New Roman"/>
                <w:b/>
                <w:bCs/>
                <w:sz w:val="24"/>
                <w:szCs w:val="24"/>
              </w:rPr>
            </w:pPr>
          </w:p>
        </w:tc>
        <w:tc>
          <w:tcPr>
            <w:tcW w:w="1064" w:type="pct"/>
            <w:vMerge/>
          </w:tcPr>
          <w:p w14:paraId="4C6CFEF3" w14:textId="77777777" w:rsidR="00195A8B" w:rsidRPr="00195A8B" w:rsidRDefault="00195A8B" w:rsidP="00195A8B">
            <w:pPr>
              <w:ind w:hanging="90"/>
              <w:rPr>
                <w:rFonts w:ascii="Times New Roman" w:eastAsia="Calibri" w:hAnsi="Times New Roman" w:cs="Times New Roman"/>
                <w:b/>
                <w:bCs/>
                <w:sz w:val="24"/>
                <w:szCs w:val="24"/>
              </w:rPr>
            </w:pPr>
          </w:p>
        </w:tc>
        <w:tc>
          <w:tcPr>
            <w:tcW w:w="1338" w:type="pct"/>
            <w:gridSpan w:val="2"/>
          </w:tcPr>
          <w:p w14:paraId="0C7D97D5" w14:textId="77777777" w:rsidR="00195A8B" w:rsidRPr="00195A8B" w:rsidRDefault="00195A8B" w:rsidP="00195A8B">
            <w:pPr>
              <w:ind w:hanging="90"/>
              <w:jc w:val="center"/>
              <w:rPr>
                <w:rFonts w:ascii="Times New Roman" w:eastAsia="Calibri" w:hAnsi="Times New Roman" w:cs="Times New Roman"/>
                <w:b/>
                <w:bCs/>
                <w:sz w:val="24"/>
                <w:szCs w:val="24"/>
              </w:rPr>
            </w:pPr>
            <w:r w:rsidRPr="00195A8B">
              <w:rPr>
                <w:rFonts w:ascii="Times New Roman" w:eastAsia="Calibri" w:hAnsi="Times New Roman" w:cs="Times New Roman"/>
                <w:b/>
                <w:bCs/>
                <w:sz w:val="24"/>
                <w:szCs w:val="24"/>
              </w:rPr>
              <w:t>Revenue (TZS)</w:t>
            </w:r>
          </w:p>
        </w:tc>
        <w:tc>
          <w:tcPr>
            <w:tcW w:w="1404" w:type="pct"/>
            <w:gridSpan w:val="2"/>
          </w:tcPr>
          <w:p w14:paraId="49367AE7" w14:textId="77777777" w:rsidR="00195A8B" w:rsidRPr="00195A8B" w:rsidRDefault="00195A8B" w:rsidP="00195A8B">
            <w:pPr>
              <w:ind w:hanging="90"/>
              <w:jc w:val="center"/>
              <w:rPr>
                <w:rFonts w:ascii="Times New Roman" w:eastAsia="Calibri" w:hAnsi="Times New Roman" w:cs="Times New Roman"/>
                <w:b/>
                <w:bCs/>
                <w:sz w:val="24"/>
                <w:szCs w:val="24"/>
              </w:rPr>
            </w:pPr>
            <w:r w:rsidRPr="00195A8B">
              <w:rPr>
                <w:rFonts w:ascii="Times New Roman" w:eastAsia="Calibri" w:hAnsi="Times New Roman" w:cs="Times New Roman"/>
                <w:b/>
                <w:bCs/>
                <w:sz w:val="24"/>
                <w:szCs w:val="24"/>
              </w:rPr>
              <w:t>Revenue (TZS)</w:t>
            </w:r>
          </w:p>
        </w:tc>
      </w:tr>
      <w:tr w:rsidR="00195A8B" w:rsidRPr="00195A8B" w14:paraId="2755C054" w14:textId="77777777" w:rsidTr="00CA33B8">
        <w:tc>
          <w:tcPr>
            <w:tcW w:w="1194" w:type="pct"/>
            <w:vMerge/>
          </w:tcPr>
          <w:p w14:paraId="42CFB34B" w14:textId="77777777" w:rsidR="00195A8B" w:rsidRPr="00195A8B" w:rsidRDefault="00195A8B" w:rsidP="00195A8B">
            <w:pPr>
              <w:ind w:hanging="90"/>
              <w:rPr>
                <w:rFonts w:ascii="Times New Roman" w:eastAsia="Calibri" w:hAnsi="Times New Roman" w:cs="Times New Roman"/>
                <w:b/>
                <w:bCs/>
                <w:sz w:val="24"/>
                <w:szCs w:val="24"/>
              </w:rPr>
            </w:pPr>
          </w:p>
        </w:tc>
        <w:tc>
          <w:tcPr>
            <w:tcW w:w="1064" w:type="pct"/>
            <w:vMerge/>
          </w:tcPr>
          <w:p w14:paraId="351E17B8" w14:textId="77777777" w:rsidR="00195A8B" w:rsidRPr="00195A8B" w:rsidRDefault="00195A8B" w:rsidP="00195A8B">
            <w:pPr>
              <w:ind w:hanging="90"/>
              <w:rPr>
                <w:rFonts w:ascii="Times New Roman" w:eastAsia="Calibri" w:hAnsi="Times New Roman" w:cs="Times New Roman"/>
                <w:b/>
                <w:bCs/>
                <w:sz w:val="24"/>
                <w:szCs w:val="24"/>
              </w:rPr>
            </w:pPr>
          </w:p>
        </w:tc>
        <w:tc>
          <w:tcPr>
            <w:tcW w:w="602" w:type="pct"/>
            <w:vAlign w:val="bottom"/>
          </w:tcPr>
          <w:p w14:paraId="5E80AEA8" w14:textId="77777777" w:rsidR="00195A8B" w:rsidRPr="00195A8B" w:rsidRDefault="00195A8B" w:rsidP="00195A8B">
            <w:pPr>
              <w:ind w:hanging="90"/>
              <w:rPr>
                <w:rFonts w:ascii="Times New Roman" w:eastAsia="Calibri" w:hAnsi="Times New Roman" w:cs="Times New Roman"/>
                <w:b/>
                <w:bCs/>
                <w:sz w:val="24"/>
                <w:szCs w:val="24"/>
              </w:rPr>
            </w:pPr>
            <w:r w:rsidRPr="00195A8B">
              <w:rPr>
                <w:rFonts w:ascii="Times New Roman" w:eastAsia="Calibri" w:hAnsi="Times New Roman" w:cs="Times New Roman"/>
                <w:b/>
                <w:bCs/>
                <w:sz w:val="24"/>
                <w:szCs w:val="24"/>
              </w:rPr>
              <w:t>Mean</w:t>
            </w:r>
          </w:p>
        </w:tc>
        <w:tc>
          <w:tcPr>
            <w:tcW w:w="735" w:type="pct"/>
            <w:vAlign w:val="bottom"/>
          </w:tcPr>
          <w:p w14:paraId="09B94172" w14:textId="77777777" w:rsidR="00195A8B" w:rsidRPr="00195A8B" w:rsidRDefault="00195A8B" w:rsidP="00195A8B">
            <w:pPr>
              <w:ind w:hanging="90"/>
              <w:rPr>
                <w:rFonts w:ascii="Times New Roman" w:eastAsia="Calibri" w:hAnsi="Times New Roman" w:cs="Times New Roman"/>
                <w:b/>
                <w:bCs/>
                <w:sz w:val="24"/>
                <w:szCs w:val="24"/>
              </w:rPr>
            </w:pPr>
            <w:r w:rsidRPr="00195A8B">
              <w:rPr>
                <w:rFonts w:ascii="Times New Roman" w:eastAsia="Calibri" w:hAnsi="Times New Roman" w:cs="Times New Roman"/>
                <w:b/>
                <w:bCs/>
                <w:sz w:val="24"/>
                <w:szCs w:val="24"/>
              </w:rPr>
              <w:t>Sum</w:t>
            </w:r>
          </w:p>
        </w:tc>
        <w:tc>
          <w:tcPr>
            <w:tcW w:w="669" w:type="pct"/>
            <w:vAlign w:val="bottom"/>
          </w:tcPr>
          <w:p w14:paraId="231060CC" w14:textId="77777777" w:rsidR="00195A8B" w:rsidRPr="00195A8B" w:rsidRDefault="00195A8B" w:rsidP="00195A8B">
            <w:pPr>
              <w:ind w:hanging="90"/>
              <w:rPr>
                <w:rFonts w:ascii="Times New Roman" w:eastAsia="Calibri" w:hAnsi="Times New Roman" w:cs="Times New Roman"/>
                <w:b/>
                <w:bCs/>
                <w:sz w:val="24"/>
                <w:szCs w:val="24"/>
              </w:rPr>
            </w:pPr>
            <w:r w:rsidRPr="00195A8B">
              <w:rPr>
                <w:rFonts w:ascii="Times New Roman" w:eastAsia="Calibri" w:hAnsi="Times New Roman" w:cs="Times New Roman"/>
                <w:b/>
                <w:bCs/>
                <w:sz w:val="24"/>
                <w:szCs w:val="24"/>
              </w:rPr>
              <w:t>Mean</w:t>
            </w:r>
          </w:p>
        </w:tc>
        <w:tc>
          <w:tcPr>
            <w:tcW w:w="735" w:type="pct"/>
            <w:vAlign w:val="bottom"/>
          </w:tcPr>
          <w:p w14:paraId="465E364B" w14:textId="77777777" w:rsidR="00195A8B" w:rsidRPr="00195A8B" w:rsidRDefault="00195A8B" w:rsidP="00195A8B">
            <w:pPr>
              <w:ind w:hanging="90"/>
              <w:rPr>
                <w:rFonts w:ascii="Times New Roman" w:eastAsia="Calibri" w:hAnsi="Times New Roman" w:cs="Times New Roman"/>
                <w:b/>
                <w:bCs/>
                <w:sz w:val="24"/>
                <w:szCs w:val="24"/>
              </w:rPr>
            </w:pPr>
            <w:r w:rsidRPr="00195A8B">
              <w:rPr>
                <w:rFonts w:ascii="Times New Roman" w:eastAsia="Calibri" w:hAnsi="Times New Roman" w:cs="Times New Roman"/>
                <w:b/>
                <w:bCs/>
                <w:sz w:val="24"/>
                <w:szCs w:val="24"/>
              </w:rPr>
              <w:t>Sum</w:t>
            </w:r>
          </w:p>
        </w:tc>
      </w:tr>
      <w:tr w:rsidR="00195A8B" w:rsidRPr="00195A8B" w14:paraId="130924AE" w14:textId="77777777" w:rsidTr="00CA33B8">
        <w:tc>
          <w:tcPr>
            <w:tcW w:w="1194" w:type="pct"/>
          </w:tcPr>
          <w:p w14:paraId="1FC00B44" w14:textId="77777777" w:rsidR="00195A8B" w:rsidRPr="00195A8B" w:rsidRDefault="00195A8B" w:rsidP="00195A8B">
            <w:pPr>
              <w:ind w:hanging="90"/>
              <w:rPr>
                <w:rFonts w:ascii="Times New Roman" w:eastAsia="Calibri" w:hAnsi="Times New Roman" w:cs="Times New Roman"/>
                <w:bCs/>
                <w:sz w:val="24"/>
                <w:szCs w:val="24"/>
              </w:rPr>
            </w:pPr>
            <w:r w:rsidRPr="00195A8B">
              <w:rPr>
                <w:rFonts w:ascii="Times New Roman" w:eastAsia="Calibri" w:hAnsi="Times New Roman" w:cs="Times New Roman"/>
                <w:bCs/>
                <w:sz w:val="24"/>
                <w:szCs w:val="24"/>
              </w:rPr>
              <w:t>Crop production enterprises</w:t>
            </w:r>
          </w:p>
        </w:tc>
        <w:tc>
          <w:tcPr>
            <w:tcW w:w="1064" w:type="pct"/>
          </w:tcPr>
          <w:p w14:paraId="257D04C0" w14:textId="77777777" w:rsidR="00195A8B" w:rsidRPr="00195A8B" w:rsidRDefault="00195A8B" w:rsidP="00195A8B">
            <w:pPr>
              <w:ind w:hanging="90"/>
              <w:rPr>
                <w:rFonts w:ascii="Times New Roman" w:eastAsia="Calibri" w:hAnsi="Times New Roman" w:cs="Times New Roman"/>
                <w:bCs/>
                <w:sz w:val="24"/>
                <w:szCs w:val="24"/>
              </w:rPr>
            </w:pPr>
            <w:r w:rsidRPr="00195A8B">
              <w:rPr>
                <w:rFonts w:ascii="Times New Roman" w:eastAsia="Calibri" w:hAnsi="Times New Roman" w:cs="Times New Roman"/>
                <w:bCs/>
                <w:sz w:val="24"/>
                <w:szCs w:val="24"/>
              </w:rPr>
              <w:t>Sales of crop outputs</w:t>
            </w:r>
          </w:p>
        </w:tc>
        <w:tc>
          <w:tcPr>
            <w:tcW w:w="602" w:type="pct"/>
            <w:vAlign w:val="bottom"/>
          </w:tcPr>
          <w:p w14:paraId="482BF372" w14:textId="77777777" w:rsidR="00195A8B" w:rsidRPr="00195A8B" w:rsidRDefault="00195A8B" w:rsidP="00195A8B">
            <w:pPr>
              <w:ind w:hanging="90"/>
              <w:rPr>
                <w:rFonts w:ascii="Times New Roman" w:eastAsia="Calibri" w:hAnsi="Times New Roman" w:cs="Times New Roman"/>
                <w:bCs/>
                <w:sz w:val="24"/>
                <w:szCs w:val="24"/>
              </w:rPr>
            </w:pPr>
            <w:r w:rsidRPr="00195A8B">
              <w:rPr>
                <w:rFonts w:ascii="Times New Roman" w:eastAsia="Calibri" w:hAnsi="Times New Roman" w:cs="Times New Roman"/>
                <w:bCs/>
                <w:sz w:val="24"/>
                <w:szCs w:val="24"/>
              </w:rPr>
              <w:t>965,212</w:t>
            </w:r>
          </w:p>
        </w:tc>
        <w:tc>
          <w:tcPr>
            <w:tcW w:w="735" w:type="pct"/>
            <w:vAlign w:val="bottom"/>
          </w:tcPr>
          <w:p w14:paraId="59273102" w14:textId="77777777" w:rsidR="00195A8B" w:rsidRPr="00195A8B" w:rsidRDefault="00195A8B" w:rsidP="00195A8B">
            <w:pPr>
              <w:ind w:hanging="90"/>
              <w:rPr>
                <w:rFonts w:ascii="Times New Roman" w:eastAsia="Calibri" w:hAnsi="Times New Roman" w:cs="Times New Roman"/>
                <w:bCs/>
                <w:sz w:val="24"/>
                <w:szCs w:val="24"/>
              </w:rPr>
            </w:pPr>
            <w:r w:rsidRPr="00195A8B">
              <w:rPr>
                <w:rFonts w:ascii="Times New Roman" w:eastAsia="Calibri" w:hAnsi="Times New Roman" w:cs="Times New Roman"/>
                <w:bCs/>
                <w:sz w:val="24"/>
                <w:szCs w:val="24"/>
              </w:rPr>
              <w:t>15,495,508</w:t>
            </w:r>
          </w:p>
        </w:tc>
        <w:tc>
          <w:tcPr>
            <w:tcW w:w="669" w:type="pct"/>
            <w:vAlign w:val="bottom"/>
          </w:tcPr>
          <w:p w14:paraId="4F8FF656" w14:textId="77777777" w:rsidR="00195A8B" w:rsidRPr="00195A8B" w:rsidRDefault="00195A8B" w:rsidP="00195A8B">
            <w:pPr>
              <w:ind w:hanging="90"/>
              <w:rPr>
                <w:rFonts w:ascii="Times New Roman" w:eastAsia="Calibri" w:hAnsi="Times New Roman" w:cs="Times New Roman"/>
                <w:bCs/>
                <w:sz w:val="24"/>
                <w:szCs w:val="24"/>
              </w:rPr>
            </w:pPr>
            <w:r w:rsidRPr="00195A8B">
              <w:rPr>
                <w:rFonts w:ascii="Times New Roman" w:eastAsia="Calibri" w:hAnsi="Times New Roman" w:cs="Times New Roman"/>
                <w:bCs/>
                <w:sz w:val="24"/>
                <w:szCs w:val="24"/>
              </w:rPr>
              <w:t>3,177,037</w:t>
            </w:r>
          </w:p>
        </w:tc>
        <w:tc>
          <w:tcPr>
            <w:tcW w:w="735" w:type="pct"/>
            <w:vAlign w:val="bottom"/>
          </w:tcPr>
          <w:p w14:paraId="60EA2E90" w14:textId="77777777" w:rsidR="00195A8B" w:rsidRPr="00195A8B" w:rsidRDefault="00195A8B" w:rsidP="00195A8B">
            <w:pPr>
              <w:ind w:hanging="90"/>
              <w:rPr>
                <w:rFonts w:ascii="Times New Roman" w:eastAsia="Calibri" w:hAnsi="Times New Roman" w:cs="Times New Roman"/>
                <w:bCs/>
                <w:sz w:val="24"/>
                <w:szCs w:val="24"/>
              </w:rPr>
            </w:pPr>
            <w:r w:rsidRPr="00195A8B">
              <w:rPr>
                <w:rFonts w:ascii="Times New Roman" w:eastAsia="Calibri" w:hAnsi="Times New Roman" w:cs="Times New Roman"/>
                <w:bCs/>
                <w:sz w:val="24"/>
                <w:szCs w:val="24"/>
              </w:rPr>
              <w:t>63,700,000</w:t>
            </w:r>
          </w:p>
        </w:tc>
      </w:tr>
      <w:tr w:rsidR="00195A8B" w:rsidRPr="00195A8B" w14:paraId="1BC5E812" w14:textId="77777777" w:rsidTr="00CA33B8">
        <w:tc>
          <w:tcPr>
            <w:tcW w:w="1194" w:type="pct"/>
          </w:tcPr>
          <w:p w14:paraId="60D0DCEF" w14:textId="77777777" w:rsidR="00195A8B" w:rsidRPr="00195A8B" w:rsidRDefault="00195A8B" w:rsidP="00195A8B">
            <w:pPr>
              <w:ind w:hanging="90"/>
              <w:rPr>
                <w:rFonts w:ascii="Times New Roman" w:eastAsia="Calibri" w:hAnsi="Times New Roman" w:cs="Times New Roman"/>
                <w:bCs/>
                <w:sz w:val="24"/>
                <w:szCs w:val="24"/>
              </w:rPr>
            </w:pPr>
            <w:r w:rsidRPr="00195A8B">
              <w:rPr>
                <w:rFonts w:ascii="Times New Roman" w:eastAsia="Calibri" w:hAnsi="Times New Roman" w:cs="Times New Roman"/>
                <w:bCs/>
                <w:sz w:val="24"/>
                <w:szCs w:val="24"/>
              </w:rPr>
              <w:t>Livestock enterprises</w:t>
            </w:r>
          </w:p>
        </w:tc>
        <w:tc>
          <w:tcPr>
            <w:tcW w:w="1064" w:type="pct"/>
          </w:tcPr>
          <w:p w14:paraId="47B89FBB" w14:textId="77777777" w:rsidR="00195A8B" w:rsidRPr="00195A8B" w:rsidRDefault="00195A8B" w:rsidP="00195A8B">
            <w:pPr>
              <w:ind w:hanging="90"/>
              <w:rPr>
                <w:rFonts w:ascii="Times New Roman" w:eastAsia="Calibri" w:hAnsi="Times New Roman" w:cs="Times New Roman"/>
                <w:bCs/>
                <w:sz w:val="24"/>
                <w:szCs w:val="24"/>
              </w:rPr>
            </w:pPr>
            <w:r w:rsidRPr="00195A8B">
              <w:rPr>
                <w:rFonts w:ascii="Times New Roman" w:eastAsia="Calibri" w:hAnsi="Times New Roman" w:cs="Times New Roman"/>
                <w:bCs/>
                <w:sz w:val="24"/>
                <w:szCs w:val="24"/>
              </w:rPr>
              <w:t>Sales of Livestock outputs</w:t>
            </w:r>
          </w:p>
        </w:tc>
        <w:tc>
          <w:tcPr>
            <w:tcW w:w="602" w:type="pct"/>
            <w:vAlign w:val="bottom"/>
          </w:tcPr>
          <w:p w14:paraId="10D499C9" w14:textId="77777777" w:rsidR="00195A8B" w:rsidRPr="00195A8B" w:rsidRDefault="00195A8B" w:rsidP="00195A8B">
            <w:pPr>
              <w:ind w:hanging="90"/>
              <w:rPr>
                <w:rFonts w:ascii="Times New Roman" w:eastAsia="Calibri" w:hAnsi="Times New Roman" w:cs="Times New Roman"/>
                <w:bCs/>
                <w:sz w:val="24"/>
                <w:szCs w:val="24"/>
              </w:rPr>
            </w:pPr>
            <w:r w:rsidRPr="00195A8B">
              <w:rPr>
                <w:rFonts w:ascii="Times New Roman" w:eastAsia="Calibri" w:hAnsi="Times New Roman" w:cs="Times New Roman"/>
                <w:bCs/>
                <w:sz w:val="24"/>
                <w:szCs w:val="24"/>
              </w:rPr>
              <w:t>2,382,402</w:t>
            </w:r>
          </w:p>
        </w:tc>
        <w:tc>
          <w:tcPr>
            <w:tcW w:w="735" w:type="pct"/>
            <w:vAlign w:val="bottom"/>
          </w:tcPr>
          <w:p w14:paraId="471C671F" w14:textId="77777777" w:rsidR="00195A8B" w:rsidRPr="00195A8B" w:rsidRDefault="00195A8B" w:rsidP="00195A8B">
            <w:pPr>
              <w:ind w:right="-585" w:hanging="90"/>
              <w:rPr>
                <w:rFonts w:ascii="Times New Roman" w:eastAsia="Calibri" w:hAnsi="Times New Roman" w:cs="Times New Roman"/>
                <w:bCs/>
                <w:sz w:val="24"/>
                <w:szCs w:val="24"/>
              </w:rPr>
            </w:pPr>
            <w:r w:rsidRPr="00195A8B">
              <w:rPr>
                <w:rFonts w:ascii="Times New Roman" w:eastAsia="Calibri" w:hAnsi="Times New Roman" w:cs="Times New Roman"/>
                <w:bCs/>
                <w:sz w:val="24"/>
                <w:szCs w:val="24"/>
              </w:rPr>
              <w:t>135,354,200</w:t>
            </w:r>
          </w:p>
        </w:tc>
        <w:tc>
          <w:tcPr>
            <w:tcW w:w="669" w:type="pct"/>
            <w:vAlign w:val="bottom"/>
          </w:tcPr>
          <w:p w14:paraId="27ACE575" w14:textId="77777777" w:rsidR="00195A8B" w:rsidRPr="00195A8B" w:rsidRDefault="00195A8B" w:rsidP="00195A8B">
            <w:pPr>
              <w:ind w:hanging="90"/>
              <w:rPr>
                <w:rFonts w:ascii="Times New Roman" w:eastAsia="Calibri" w:hAnsi="Times New Roman" w:cs="Times New Roman"/>
                <w:bCs/>
                <w:sz w:val="24"/>
                <w:szCs w:val="24"/>
              </w:rPr>
            </w:pPr>
            <w:r w:rsidRPr="00195A8B">
              <w:rPr>
                <w:rFonts w:ascii="Times New Roman" w:eastAsia="Calibri" w:hAnsi="Times New Roman" w:cs="Times New Roman"/>
                <w:bCs/>
                <w:sz w:val="24"/>
                <w:szCs w:val="24"/>
              </w:rPr>
              <w:t>959,889</w:t>
            </w:r>
          </w:p>
        </w:tc>
        <w:tc>
          <w:tcPr>
            <w:tcW w:w="735" w:type="pct"/>
            <w:vAlign w:val="bottom"/>
          </w:tcPr>
          <w:p w14:paraId="2EEB8123" w14:textId="77777777" w:rsidR="00195A8B" w:rsidRPr="00195A8B" w:rsidRDefault="00195A8B" w:rsidP="00195A8B">
            <w:pPr>
              <w:ind w:hanging="90"/>
              <w:rPr>
                <w:rFonts w:ascii="Times New Roman" w:eastAsia="Calibri" w:hAnsi="Times New Roman" w:cs="Times New Roman"/>
                <w:bCs/>
                <w:sz w:val="24"/>
                <w:szCs w:val="24"/>
              </w:rPr>
            </w:pPr>
            <w:r w:rsidRPr="00195A8B">
              <w:rPr>
                <w:rFonts w:ascii="Times New Roman" w:eastAsia="Calibri" w:hAnsi="Times New Roman" w:cs="Times New Roman"/>
                <w:bCs/>
                <w:sz w:val="24"/>
                <w:szCs w:val="24"/>
              </w:rPr>
              <w:t>32,167,000</w:t>
            </w:r>
          </w:p>
        </w:tc>
      </w:tr>
      <w:tr w:rsidR="00195A8B" w:rsidRPr="00195A8B" w14:paraId="75EE8DE5" w14:textId="77777777" w:rsidTr="00CA33B8">
        <w:tc>
          <w:tcPr>
            <w:tcW w:w="1194" w:type="pct"/>
          </w:tcPr>
          <w:p w14:paraId="1264B18A" w14:textId="77777777" w:rsidR="00195A8B" w:rsidRPr="00195A8B" w:rsidRDefault="00195A8B" w:rsidP="00195A8B">
            <w:pPr>
              <w:ind w:hanging="90"/>
              <w:rPr>
                <w:rFonts w:ascii="Times New Roman" w:eastAsia="Calibri" w:hAnsi="Times New Roman" w:cs="Times New Roman"/>
                <w:bCs/>
                <w:sz w:val="24"/>
                <w:szCs w:val="24"/>
              </w:rPr>
            </w:pPr>
            <w:r w:rsidRPr="00195A8B">
              <w:rPr>
                <w:rFonts w:ascii="Times New Roman" w:eastAsia="Calibri" w:hAnsi="Times New Roman" w:cs="Times New Roman"/>
                <w:bCs/>
                <w:sz w:val="24"/>
                <w:szCs w:val="24"/>
              </w:rPr>
              <w:t>Wholesale &amp; Retail enterprises.</w:t>
            </w:r>
          </w:p>
        </w:tc>
        <w:tc>
          <w:tcPr>
            <w:tcW w:w="1064" w:type="pct"/>
          </w:tcPr>
          <w:p w14:paraId="3BFBBB0C" w14:textId="77777777" w:rsidR="00195A8B" w:rsidRPr="00195A8B" w:rsidRDefault="00195A8B" w:rsidP="00195A8B">
            <w:pPr>
              <w:ind w:hanging="90"/>
              <w:rPr>
                <w:rFonts w:ascii="Times New Roman" w:eastAsia="Calibri" w:hAnsi="Times New Roman" w:cs="Times New Roman"/>
                <w:bCs/>
                <w:sz w:val="24"/>
                <w:szCs w:val="24"/>
              </w:rPr>
            </w:pPr>
            <w:r w:rsidRPr="00195A8B">
              <w:rPr>
                <w:rFonts w:ascii="Times New Roman" w:eastAsia="Calibri" w:hAnsi="Times New Roman" w:cs="Times New Roman"/>
                <w:bCs/>
                <w:sz w:val="24"/>
                <w:szCs w:val="24"/>
              </w:rPr>
              <w:t>Sales of general products</w:t>
            </w:r>
          </w:p>
        </w:tc>
        <w:tc>
          <w:tcPr>
            <w:tcW w:w="602" w:type="pct"/>
            <w:vAlign w:val="bottom"/>
          </w:tcPr>
          <w:p w14:paraId="434392E0" w14:textId="77777777" w:rsidR="00195A8B" w:rsidRPr="00195A8B" w:rsidRDefault="00195A8B" w:rsidP="00195A8B">
            <w:pPr>
              <w:ind w:hanging="90"/>
              <w:rPr>
                <w:rFonts w:ascii="Times New Roman" w:eastAsia="Calibri" w:hAnsi="Times New Roman" w:cs="Times New Roman"/>
                <w:bCs/>
                <w:sz w:val="24"/>
                <w:szCs w:val="24"/>
              </w:rPr>
            </w:pPr>
            <w:r w:rsidRPr="00195A8B">
              <w:rPr>
                <w:rFonts w:ascii="Times New Roman" w:eastAsia="Calibri" w:hAnsi="Times New Roman" w:cs="Times New Roman"/>
                <w:bCs/>
                <w:sz w:val="24"/>
                <w:szCs w:val="24"/>
              </w:rPr>
              <w:t>1,545,180</w:t>
            </w:r>
          </w:p>
        </w:tc>
        <w:tc>
          <w:tcPr>
            <w:tcW w:w="735" w:type="pct"/>
            <w:vAlign w:val="bottom"/>
          </w:tcPr>
          <w:p w14:paraId="12667B36" w14:textId="77777777" w:rsidR="00195A8B" w:rsidRPr="00195A8B" w:rsidRDefault="00195A8B" w:rsidP="00195A8B">
            <w:pPr>
              <w:ind w:hanging="90"/>
              <w:rPr>
                <w:rFonts w:ascii="Times New Roman" w:eastAsia="Calibri" w:hAnsi="Times New Roman" w:cs="Times New Roman"/>
                <w:bCs/>
                <w:sz w:val="24"/>
                <w:szCs w:val="24"/>
              </w:rPr>
            </w:pPr>
            <w:r w:rsidRPr="00195A8B">
              <w:rPr>
                <w:rFonts w:ascii="Times New Roman" w:eastAsia="Calibri" w:hAnsi="Times New Roman" w:cs="Times New Roman"/>
                <w:bCs/>
                <w:sz w:val="24"/>
                <w:szCs w:val="24"/>
              </w:rPr>
              <w:t>178,319,800</w:t>
            </w:r>
          </w:p>
        </w:tc>
        <w:tc>
          <w:tcPr>
            <w:tcW w:w="669" w:type="pct"/>
            <w:vAlign w:val="bottom"/>
          </w:tcPr>
          <w:p w14:paraId="0091864F" w14:textId="77777777" w:rsidR="00195A8B" w:rsidRPr="00195A8B" w:rsidRDefault="00195A8B" w:rsidP="00195A8B">
            <w:pPr>
              <w:ind w:hanging="90"/>
              <w:rPr>
                <w:rFonts w:ascii="Times New Roman" w:eastAsia="Calibri" w:hAnsi="Times New Roman" w:cs="Times New Roman"/>
                <w:bCs/>
                <w:sz w:val="24"/>
                <w:szCs w:val="24"/>
              </w:rPr>
            </w:pPr>
            <w:r w:rsidRPr="00195A8B">
              <w:rPr>
                <w:rFonts w:ascii="Times New Roman" w:eastAsia="Calibri" w:hAnsi="Times New Roman" w:cs="Times New Roman"/>
                <w:bCs/>
                <w:sz w:val="24"/>
                <w:szCs w:val="24"/>
              </w:rPr>
              <w:t>1,162,860</w:t>
            </w:r>
          </w:p>
        </w:tc>
        <w:tc>
          <w:tcPr>
            <w:tcW w:w="735" w:type="pct"/>
            <w:vAlign w:val="bottom"/>
          </w:tcPr>
          <w:p w14:paraId="69DA474F" w14:textId="77777777" w:rsidR="00195A8B" w:rsidRPr="00195A8B" w:rsidRDefault="00195A8B" w:rsidP="00195A8B">
            <w:pPr>
              <w:ind w:hanging="90"/>
              <w:rPr>
                <w:rFonts w:ascii="Times New Roman" w:eastAsia="Calibri" w:hAnsi="Times New Roman" w:cs="Times New Roman"/>
                <w:bCs/>
                <w:sz w:val="24"/>
                <w:szCs w:val="24"/>
              </w:rPr>
            </w:pPr>
            <w:r w:rsidRPr="00195A8B">
              <w:rPr>
                <w:rFonts w:ascii="Times New Roman" w:eastAsia="Calibri" w:hAnsi="Times New Roman" w:cs="Times New Roman"/>
                <w:bCs/>
                <w:sz w:val="24"/>
                <w:szCs w:val="24"/>
              </w:rPr>
              <w:t>32,353,000</w:t>
            </w:r>
          </w:p>
        </w:tc>
      </w:tr>
      <w:tr w:rsidR="00195A8B" w:rsidRPr="00195A8B" w14:paraId="63073B97" w14:textId="77777777" w:rsidTr="00CA33B8">
        <w:tc>
          <w:tcPr>
            <w:tcW w:w="1194" w:type="pct"/>
          </w:tcPr>
          <w:p w14:paraId="5BC67A95" w14:textId="77777777" w:rsidR="00195A8B" w:rsidRPr="00195A8B" w:rsidRDefault="00195A8B" w:rsidP="00195A8B">
            <w:pPr>
              <w:ind w:hanging="90"/>
              <w:rPr>
                <w:rFonts w:ascii="Times New Roman" w:eastAsia="Calibri" w:hAnsi="Times New Roman" w:cs="Times New Roman"/>
                <w:bCs/>
                <w:sz w:val="24"/>
                <w:szCs w:val="24"/>
              </w:rPr>
            </w:pPr>
            <w:r w:rsidRPr="00195A8B">
              <w:rPr>
                <w:rFonts w:ascii="Times New Roman" w:eastAsia="Calibri" w:hAnsi="Times New Roman" w:cs="Times New Roman"/>
                <w:bCs/>
                <w:sz w:val="24"/>
                <w:szCs w:val="24"/>
              </w:rPr>
              <w:t>Transportation enterprises</w:t>
            </w:r>
          </w:p>
        </w:tc>
        <w:tc>
          <w:tcPr>
            <w:tcW w:w="1064" w:type="pct"/>
          </w:tcPr>
          <w:p w14:paraId="685991A6" w14:textId="77777777" w:rsidR="00195A8B" w:rsidRPr="00195A8B" w:rsidRDefault="00195A8B" w:rsidP="00195A8B">
            <w:pPr>
              <w:ind w:hanging="90"/>
              <w:rPr>
                <w:rFonts w:ascii="Times New Roman" w:eastAsia="Calibri" w:hAnsi="Times New Roman" w:cs="Times New Roman"/>
                <w:bCs/>
                <w:sz w:val="24"/>
                <w:szCs w:val="24"/>
              </w:rPr>
            </w:pPr>
            <w:r w:rsidRPr="00195A8B">
              <w:rPr>
                <w:rFonts w:ascii="Times New Roman" w:eastAsia="Calibri" w:hAnsi="Times New Roman" w:cs="Times New Roman"/>
                <w:bCs/>
                <w:sz w:val="24"/>
                <w:szCs w:val="24"/>
              </w:rPr>
              <w:t>Transportation charges</w:t>
            </w:r>
          </w:p>
        </w:tc>
        <w:tc>
          <w:tcPr>
            <w:tcW w:w="602" w:type="pct"/>
            <w:vAlign w:val="bottom"/>
          </w:tcPr>
          <w:p w14:paraId="4F35803E" w14:textId="77777777" w:rsidR="00195A8B" w:rsidRPr="00195A8B" w:rsidRDefault="00195A8B" w:rsidP="00195A8B">
            <w:pPr>
              <w:ind w:hanging="90"/>
              <w:rPr>
                <w:rFonts w:ascii="Times New Roman" w:eastAsia="Calibri" w:hAnsi="Times New Roman" w:cs="Times New Roman"/>
                <w:bCs/>
                <w:sz w:val="24"/>
                <w:szCs w:val="24"/>
              </w:rPr>
            </w:pPr>
            <w:r w:rsidRPr="00195A8B">
              <w:rPr>
                <w:rFonts w:ascii="Times New Roman" w:eastAsia="Calibri" w:hAnsi="Times New Roman" w:cs="Times New Roman"/>
                <w:bCs/>
                <w:sz w:val="24"/>
                <w:szCs w:val="24"/>
              </w:rPr>
              <w:t>521,712</w:t>
            </w:r>
          </w:p>
        </w:tc>
        <w:tc>
          <w:tcPr>
            <w:tcW w:w="735" w:type="pct"/>
            <w:vAlign w:val="bottom"/>
          </w:tcPr>
          <w:p w14:paraId="5285BCCA" w14:textId="77777777" w:rsidR="00195A8B" w:rsidRPr="00195A8B" w:rsidRDefault="00195A8B" w:rsidP="00195A8B">
            <w:pPr>
              <w:ind w:hanging="90"/>
              <w:rPr>
                <w:rFonts w:ascii="Times New Roman" w:eastAsia="Calibri" w:hAnsi="Times New Roman" w:cs="Times New Roman"/>
                <w:bCs/>
                <w:sz w:val="24"/>
                <w:szCs w:val="24"/>
              </w:rPr>
            </w:pPr>
            <w:r w:rsidRPr="00195A8B">
              <w:rPr>
                <w:rFonts w:ascii="Times New Roman" w:eastAsia="Calibri" w:hAnsi="Times New Roman" w:cs="Times New Roman"/>
                <w:bCs/>
                <w:sz w:val="24"/>
                <w:szCs w:val="24"/>
              </w:rPr>
              <w:t>9,891,000</w:t>
            </w:r>
          </w:p>
        </w:tc>
        <w:tc>
          <w:tcPr>
            <w:tcW w:w="669" w:type="pct"/>
            <w:vAlign w:val="bottom"/>
          </w:tcPr>
          <w:p w14:paraId="6FA86B4B" w14:textId="77777777" w:rsidR="00195A8B" w:rsidRPr="00195A8B" w:rsidRDefault="00195A8B" w:rsidP="00195A8B">
            <w:pPr>
              <w:ind w:hanging="90"/>
              <w:rPr>
                <w:rFonts w:ascii="Times New Roman" w:eastAsia="Calibri" w:hAnsi="Times New Roman" w:cs="Times New Roman"/>
                <w:bCs/>
                <w:sz w:val="24"/>
                <w:szCs w:val="24"/>
              </w:rPr>
            </w:pPr>
            <w:r w:rsidRPr="00195A8B">
              <w:rPr>
                <w:rFonts w:ascii="Times New Roman" w:eastAsia="Calibri" w:hAnsi="Times New Roman" w:cs="Times New Roman"/>
                <w:bCs/>
                <w:sz w:val="24"/>
                <w:szCs w:val="24"/>
              </w:rPr>
              <w:t>15,000,000</w:t>
            </w:r>
          </w:p>
        </w:tc>
        <w:tc>
          <w:tcPr>
            <w:tcW w:w="735" w:type="pct"/>
            <w:vAlign w:val="bottom"/>
          </w:tcPr>
          <w:p w14:paraId="2B291B40" w14:textId="77777777" w:rsidR="00195A8B" w:rsidRPr="00195A8B" w:rsidRDefault="00195A8B" w:rsidP="00195A8B">
            <w:pPr>
              <w:ind w:hanging="90"/>
              <w:rPr>
                <w:rFonts w:ascii="Times New Roman" w:eastAsia="Calibri" w:hAnsi="Times New Roman" w:cs="Times New Roman"/>
                <w:bCs/>
                <w:sz w:val="24"/>
                <w:szCs w:val="24"/>
              </w:rPr>
            </w:pPr>
            <w:r w:rsidRPr="00195A8B">
              <w:rPr>
                <w:rFonts w:ascii="Times New Roman" w:eastAsia="Calibri" w:hAnsi="Times New Roman" w:cs="Times New Roman"/>
                <w:bCs/>
                <w:sz w:val="24"/>
                <w:szCs w:val="24"/>
              </w:rPr>
              <w:t>15,000,000</w:t>
            </w:r>
          </w:p>
        </w:tc>
      </w:tr>
      <w:tr w:rsidR="00195A8B" w:rsidRPr="00195A8B" w14:paraId="592300E8" w14:textId="77777777" w:rsidTr="00CA33B8">
        <w:tc>
          <w:tcPr>
            <w:tcW w:w="1194" w:type="pct"/>
          </w:tcPr>
          <w:p w14:paraId="27860BCA" w14:textId="77777777" w:rsidR="00195A8B" w:rsidRPr="00195A8B" w:rsidRDefault="00195A8B" w:rsidP="00195A8B">
            <w:pPr>
              <w:ind w:hanging="90"/>
              <w:rPr>
                <w:rFonts w:ascii="Times New Roman" w:eastAsia="Calibri" w:hAnsi="Times New Roman" w:cs="Times New Roman"/>
                <w:bCs/>
                <w:sz w:val="24"/>
                <w:szCs w:val="24"/>
              </w:rPr>
            </w:pPr>
            <w:r w:rsidRPr="00195A8B">
              <w:rPr>
                <w:rFonts w:ascii="Times New Roman" w:eastAsia="Calibri" w:hAnsi="Times New Roman" w:cs="Times New Roman"/>
                <w:bCs/>
                <w:sz w:val="24"/>
                <w:szCs w:val="24"/>
              </w:rPr>
              <w:t>Construction enterprises</w:t>
            </w:r>
          </w:p>
        </w:tc>
        <w:tc>
          <w:tcPr>
            <w:tcW w:w="1064" w:type="pct"/>
          </w:tcPr>
          <w:p w14:paraId="5C7F087E" w14:textId="77777777" w:rsidR="00195A8B" w:rsidRPr="00195A8B" w:rsidRDefault="00195A8B" w:rsidP="00195A8B">
            <w:pPr>
              <w:ind w:hanging="90"/>
              <w:rPr>
                <w:rFonts w:ascii="Times New Roman" w:eastAsia="Calibri" w:hAnsi="Times New Roman" w:cs="Times New Roman"/>
                <w:bCs/>
                <w:sz w:val="24"/>
                <w:szCs w:val="24"/>
              </w:rPr>
            </w:pPr>
            <w:r w:rsidRPr="00195A8B">
              <w:rPr>
                <w:rFonts w:ascii="Times New Roman" w:eastAsia="Calibri" w:hAnsi="Times New Roman" w:cs="Times New Roman"/>
                <w:bCs/>
                <w:sz w:val="24"/>
                <w:szCs w:val="24"/>
              </w:rPr>
              <w:t>Construction charges</w:t>
            </w:r>
          </w:p>
        </w:tc>
        <w:tc>
          <w:tcPr>
            <w:tcW w:w="602" w:type="pct"/>
            <w:vAlign w:val="bottom"/>
          </w:tcPr>
          <w:p w14:paraId="1075A7E3" w14:textId="77777777" w:rsidR="00195A8B" w:rsidRPr="00195A8B" w:rsidRDefault="00195A8B" w:rsidP="00195A8B">
            <w:pPr>
              <w:ind w:hanging="90"/>
              <w:rPr>
                <w:rFonts w:ascii="Times New Roman" w:eastAsia="Calibri" w:hAnsi="Times New Roman" w:cs="Times New Roman"/>
                <w:bCs/>
                <w:sz w:val="24"/>
                <w:szCs w:val="24"/>
              </w:rPr>
            </w:pPr>
            <w:r w:rsidRPr="00195A8B">
              <w:rPr>
                <w:rFonts w:ascii="Times New Roman" w:eastAsia="Calibri" w:hAnsi="Times New Roman" w:cs="Times New Roman"/>
                <w:bCs/>
                <w:sz w:val="24"/>
                <w:szCs w:val="24"/>
              </w:rPr>
              <w:t>3,229,167</w:t>
            </w:r>
          </w:p>
        </w:tc>
        <w:tc>
          <w:tcPr>
            <w:tcW w:w="735" w:type="pct"/>
            <w:vAlign w:val="bottom"/>
          </w:tcPr>
          <w:p w14:paraId="0CB66857" w14:textId="77777777" w:rsidR="00195A8B" w:rsidRPr="00195A8B" w:rsidRDefault="00195A8B" w:rsidP="00195A8B">
            <w:pPr>
              <w:ind w:hanging="90"/>
              <w:rPr>
                <w:rFonts w:ascii="Times New Roman" w:eastAsia="Calibri" w:hAnsi="Times New Roman" w:cs="Times New Roman"/>
                <w:bCs/>
                <w:sz w:val="24"/>
                <w:szCs w:val="24"/>
              </w:rPr>
            </w:pPr>
            <w:r w:rsidRPr="00195A8B">
              <w:rPr>
                <w:rFonts w:ascii="Times New Roman" w:eastAsia="Calibri" w:hAnsi="Times New Roman" w:cs="Times New Roman"/>
                <w:bCs/>
                <w:sz w:val="24"/>
                <w:szCs w:val="24"/>
              </w:rPr>
              <w:t>29,950,000</w:t>
            </w:r>
          </w:p>
        </w:tc>
        <w:tc>
          <w:tcPr>
            <w:tcW w:w="669" w:type="pct"/>
            <w:vAlign w:val="bottom"/>
          </w:tcPr>
          <w:p w14:paraId="4CCD7FE9" w14:textId="77777777" w:rsidR="00195A8B" w:rsidRPr="00195A8B" w:rsidRDefault="00195A8B" w:rsidP="00195A8B">
            <w:pPr>
              <w:ind w:hanging="90"/>
              <w:rPr>
                <w:rFonts w:ascii="Times New Roman" w:eastAsia="Calibri" w:hAnsi="Times New Roman" w:cs="Times New Roman"/>
                <w:bCs/>
                <w:sz w:val="24"/>
                <w:szCs w:val="24"/>
              </w:rPr>
            </w:pPr>
            <w:r w:rsidRPr="00195A8B">
              <w:rPr>
                <w:rFonts w:ascii="Times New Roman" w:eastAsia="Calibri" w:hAnsi="Times New Roman" w:cs="Times New Roman"/>
                <w:bCs/>
                <w:sz w:val="24"/>
                <w:szCs w:val="24"/>
              </w:rPr>
              <w:t>4,152,500</w:t>
            </w:r>
          </w:p>
        </w:tc>
        <w:tc>
          <w:tcPr>
            <w:tcW w:w="735" w:type="pct"/>
            <w:vAlign w:val="bottom"/>
          </w:tcPr>
          <w:p w14:paraId="02B0F13A" w14:textId="77777777" w:rsidR="00195A8B" w:rsidRPr="00195A8B" w:rsidRDefault="00195A8B" w:rsidP="00195A8B">
            <w:pPr>
              <w:ind w:hanging="90"/>
              <w:rPr>
                <w:rFonts w:ascii="Times New Roman" w:eastAsia="Calibri" w:hAnsi="Times New Roman" w:cs="Times New Roman"/>
                <w:bCs/>
                <w:sz w:val="24"/>
                <w:szCs w:val="24"/>
              </w:rPr>
            </w:pPr>
            <w:r w:rsidRPr="00195A8B">
              <w:rPr>
                <w:rFonts w:ascii="Times New Roman" w:eastAsia="Calibri" w:hAnsi="Times New Roman" w:cs="Times New Roman"/>
                <w:bCs/>
                <w:sz w:val="24"/>
                <w:szCs w:val="24"/>
              </w:rPr>
              <w:t>13,830,000</w:t>
            </w:r>
          </w:p>
        </w:tc>
      </w:tr>
      <w:tr w:rsidR="00195A8B" w:rsidRPr="00195A8B" w14:paraId="54BA84DD" w14:textId="77777777" w:rsidTr="00CA33B8">
        <w:tc>
          <w:tcPr>
            <w:tcW w:w="2258" w:type="pct"/>
            <w:gridSpan w:val="2"/>
          </w:tcPr>
          <w:p w14:paraId="2EE69F06" w14:textId="77777777" w:rsidR="00195A8B" w:rsidRPr="00195A8B" w:rsidRDefault="00195A8B" w:rsidP="00195A8B">
            <w:pPr>
              <w:ind w:hanging="90"/>
              <w:rPr>
                <w:rFonts w:ascii="Times New Roman" w:eastAsia="Calibri" w:hAnsi="Times New Roman" w:cs="Times New Roman"/>
                <w:b/>
                <w:bCs/>
                <w:sz w:val="24"/>
                <w:szCs w:val="24"/>
              </w:rPr>
            </w:pPr>
            <w:r w:rsidRPr="00195A8B">
              <w:rPr>
                <w:rFonts w:ascii="Times New Roman" w:eastAsia="Calibri" w:hAnsi="Times New Roman" w:cs="Times New Roman"/>
                <w:b/>
                <w:bCs/>
                <w:sz w:val="24"/>
                <w:szCs w:val="24"/>
              </w:rPr>
              <w:t>Total Revenue(sum)</w:t>
            </w:r>
          </w:p>
        </w:tc>
        <w:tc>
          <w:tcPr>
            <w:tcW w:w="602" w:type="pct"/>
            <w:vAlign w:val="bottom"/>
          </w:tcPr>
          <w:p w14:paraId="606F7262" w14:textId="77777777" w:rsidR="00195A8B" w:rsidRPr="00195A8B" w:rsidRDefault="00195A8B" w:rsidP="00195A8B">
            <w:pPr>
              <w:ind w:hanging="90"/>
              <w:rPr>
                <w:rFonts w:ascii="Times New Roman" w:eastAsia="Calibri" w:hAnsi="Times New Roman" w:cs="Times New Roman"/>
                <w:b/>
                <w:bCs/>
                <w:sz w:val="24"/>
                <w:szCs w:val="24"/>
              </w:rPr>
            </w:pPr>
            <w:r w:rsidRPr="00195A8B">
              <w:rPr>
                <w:rFonts w:ascii="Times New Roman" w:eastAsia="Calibri" w:hAnsi="Times New Roman" w:cs="Times New Roman"/>
                <w:b/>
                <w:bCs/>
                <w:sz w:val="24"/>
                <w:szCs w:val="24"/>
              </w:rPr>
              <w:t>1,728,735</w:t>
            </w:r>
          </w:p>
        </w:tc>
        <w:tc>
          <w:tcPr>
            <w:tcW w:w="735" w:type="pct"/>
            <w:vAlign w:val="bottom"/>
          </w:tcPr>
          <w:p w14:paraId="2E840533" w14:textId="77777777" w:rsidR="00195A8B" w:rsidRPr="00195A8B" w:rsidRDefault="00195A8B" w:rsidP="00195A8B">
            <w:pPr>
              <w:ind w:hanging="90"/>
              <w:rPr>
                <w:rFonts w:ascii="Times New Roman" w:eastAsia="Calibri" w:hAnsi="Times New Roman" w:cs="Times New Roman"/>
                <w:b/>
                <w:bCs/>
                <w:sz w:val="24"/>
                <w:szCs w:val="24"/>
              </w:rPr>
            </w:pPr>
            <w:r w:rsidRPr="00195A8B">
              <w:rPr>
                <w:rFonts w:ascii="Times New Roman" w:eastAsia="Calibri" w:hAnsi="Times New Roman" w:cs="Times New Roman"/>
                <w:b/>
                <w:bCs/>
                <w:sz w:val="24"/>
                <w:szCs w:val="24"/>
              </w:rPr>
              <w:t>369,010,508</w:t>
            </w:r>
          </w:p>
        </w:tc>
        <w:tc>
          <w:tcPr>
            <w:tcW w:w="669" w:type="pct"/>
            <w:vAlign w:val="bottom"/>
          </w:tcPr>
          <w:p w14:paraId="19C84913" w14:textId="77777777" w:rsidR="00195A8B" w:rsidRPr="00195A8B" w:rsidRDefault="00195A8B" w:rsidP="00195A8B">
            <w:pPr>
              <w:ind w:hanging="90"/>
              <w:rPr>
                <w:rFonts w:ascii="Times New Roman" w:eastAsia="Calibri" w:hAnsi="Times New Roman" w:cs="Times New Roman"/>
                <w:b/>
                <w:bCs/>
                <w:sz w:val="24"/>
                <w:szCs w:val="24"/>
              </w:rPr>
            </w:pPr>
            <w:r w:rsidRPr="00195A8B">
              <w:rPr>
                <w:rFonts w:ascii="Times New Roman" w:eastAsia="Calibri" w:hAnsi="Times New Roman" w:cs="Times New Roman"/>
                <w:b/>
                <w:bCs/>
                <w:sz w:val="24"/>
                <w:szCs w:val="24"/>
              </w:rPr>
              <w:t>4,890,457</w:t>
            </w:r>
          </w:p>
        </w:tc>
        <w:tc>
          <w:tcPr>
            <w:tcW w:w="735" w:type="pct"/>
            <w:vAlign w:val="bottom"/>
          </w:tcPr>
          <w:p w14:paraId="33A825AF" w14:textId="77777777" w:rsidR="00195A8B" w:rsidRPr="00195A8B" w:rsidRDefault="00195A8B" w:rsidP="00195A8B">
            <w:pPr>
              <w:ind w:hanging="90"/>
              <w:rPr>
                <w:rFonts w:ascii="Times New Roman" w:eastAsia="Calibri" w:hAnsi="Times New Roman" w:cs="Times New Roman"/>
                <w:b/>
                <w:bCs/>
                <w:sz w:val="24"/>
                <w:szCs w:val="24"/>
              </w:rPr>
            </w:pPr>
            <w:r w:rsidRPr="00195A8B">
              <w:rPr>
                <w:rFonts w:ascii="Times New Roman" w:eastAsia="Calibri" w:hAnsi="Times New Roman" w:cs="Times New Roman"/>
                <w:b/>
                <w:bCs/>
                <w:sz w:val="24"/>
                <w:szCs w:val="24"/>
              </w:rPr>
              <w:t>157,050,000</w:t>
            </w:r>
          </w:p>
        </w:tc>
      </w:tr>
    </w:tbl>
    <w:p w14:paraId="02C54173" w14:textId="6C041415" w:rsidR="00195A8B" w:rsidRPr="00DF60D8" w:rsidRDefault="00195A8B" w:rsidP="00DF60D8">
      <w:pPr>
        <w:spacing w:after="160" w:line="259" w:lineRule="auto"/>
        <w:jc w:val="both"/>
        <w:rPr>
          <w:rFonts w:ascii="Times New Roman" w:eastAsia="Calibri" w:hAnsi="Times New Roman" w:cs="Times New Roman"/>
          <w:kern w:val="2"/>
          <w:sz w:val="24"/>
          <w:szCs w:val="24"/>
          <w:lang w:eastAsia="en-US"/>
        </w:rPr>
      </w:pPr>
      <w:bookmarkStart w:id="8" w:name="_Hlk202866222"/>
      <w:r w:rsidRPr="00195A8B">
        <w:rPr>
          <w:rFonts w:ascii="Times New Roman" w:eastAsia="Calibri" w:hAnsi="Times New Roman" w:cs="Times New Roman"/>
          <w:b/>
          <w:bCs/>
          <w:kern w:val="2"/>
          <w:sz w:val="24"/>
          <w:szCs w:val="24"/>
          <w:lang w:eastAsia="en-US"/>
        </w:rPr>
        <w:t>Source</w:t>
      </w:r>
      <w:r w:rsidRPr="00195A8B">
        <w:rPr>
          <w:rFonts w:ascii="Times New Roman" w:eastAsia="Calibri" w:hAnsi="Times New Roman" w:cs="Times New Roman"/>
          <w:kern w:val="2"/>
          <w:sz w:val="24"/>
          <w:szCs w:val="24"/>
          <w:lang w:eastAsia="en-US"/>
        </w:rPr>
        <w:t>: Survey field data, 2023/2024</w:t>
      </w:r>
      <w:bookmarkEnd w:id="8"/>
    </w:p>
    <w:p w14:paraId="646C82E3" w14:textId="7211D149" w:rsidR="00195A8B" w:rsidRPr="00DF60D8" w:rsidRDefault="00195A8B" w:rsidP="00DF60D8">
      <w:pPr>
        <w:pStyle w:val="ListParagraph"/>
        <w:numPr>
          <w:ilvl w:val="2"/>
          <w:numId w:val="39"/>
        </w:numPr>
        <w:adjustRightInd w:val="0"/>
        <w:spacing w:after="120" w:line="259" w:lineRule="auto"/>
        <w:jc w:val="both"/>
        <w:rPr>
          <w:rFonts w:ascii="Times New Roman" w:eastAsia="Calibri" w:hAnsi="Times New Roman" w:cs="Times New Roman"/>
          <w:b/>
          <w:bCs/>
          <w:kern w:val="2"/>
          <w:sz w:val="24"/>
          <w:szCs w:val="24"/>
          <w:lang w:val="en-GB" w:eastAsia="en-US"/>
        </w:rPr>
      </w:pPr>
      <w:r w:rsidRPr="00DF60D8">
        <w:rPr>
          <w:rFonts w:ascii="Times New Roman" w:eastAsia="Calibri" w:hAnsi="Times New Roman" w:cs="Times New Roman"/>
          <w:b/>
          <w:bCs/>
          <w:kern w:val="2"/>
          <w:sz w:val="24"/>
          <w:szCs w:val="24"/>
          <w:lang w:val="en-GB" w:eastAsia="en-US"/>
        </w:rPr>
        <w:t>Comparison of Profitability and Viability of Enterprises Established through Economic Empowerment Schemes between Arusha and Mara Regions</w:t>
      </w:r>
    </w:p>
    <w:p w14:paraId="31E61B74" w14:textId="7EEAB6A8"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lastRenderedPageBreak/>
        <w:t xml:space="preserve">The analysis of profitability and viability among LGA loan beneficiary entrepreneurs in Arusha and Mara reveals critical insights into how different enterprise types contribute to local economic empowerment, while reflecting the underlying economic and institutional differences across regions. Table </w:t>
      </w:r>
      <w:r w:rsidR="00DF60D8">
        <w:rPr>
          <w:rFonts w:ascii="Times New Roman" w:eastAsia="Calibri" w:hAnsi="Times New Roman" w:cs="Times New Roman"/>
          <w:kern w:val="2"/>
          <w:sz w:val="24"/>
          <w:szCs w:val="24"/>
          <w:lang w:val="en-GB" w:eastAsia="en-US"/>
        </w:rPr>
        <w:t>7</w:t>
      </w:r>
      <w:r w:rsidRPr="00195A8B">
        <w:rPr>
          <w:rFonts w:ascii="Times New Roman" w:eastAsia="Calibri" w:hAnsi="Times New Roman" w:cs="Times New Roman"/>
          <w:kern w:val="2"/>
          <w:sz w:val="24"/>
          <w:szCs w:val="24"/>
          <w:lang w:val="en-GB" w:eastAsia="en-US"/>
        </w:rPr>
        <w:t xml:space="preserve"> shows that crop production enterprises exhibit exceptionally high returns in Mara, with a return on investment (ROI) of 7,222 and a benefit-cost ratio (BCR) of 73.2, compared to Arusha’s ROI of 720 and BCR of 8.2. This stark difference aligns with Jayne et al. (2010), who noted that rural areas with </w:t>
      </w:r>
      <w:proofErr w:type="spellStart"/>
      <w:r w:rsidRPr="00195A8B">
        <w:rPr>
          <w:rFonts w:ascii="Times New Roman" w:eastAsia="Calibri" w:hAnsi="Times New Roman" w:cs="Times New Roman"/>
          <w:kern w:val="2"/>
          <w:sz w:val="24"/>
          <w:szCs w:val="24"/>
          <w:lang w:val="en-GB" w:eastAsia="en-US"/>
        </w:rPr>
        <w:t>favorable</w:t>
      </w:r>
      <w:proofErr w:type="spellEnd"/>
      <w:r w:rsidRPr="00195A8B">
        <w:rPr>
          <w:rFonts w:ascii="Times New Roman" w:eastAsia="Calibri" w:hAnsi="Times New Roman" w:cs="Times New Roman"/>
          <w:kern w:val="2"/>
          <w:sz w:val="24"/>
          <w:szCs w:val="24"/>
          <w:lang w:val="en-GB" w:eastAsia="en-US"/>
        </w:rPr>
        <w:t xml:space="preserve"> agroecological conditions and lower input costs can yield high agricultural profitability, even with lower initial capital investments.</w:t>
      </w:r>
    </w:p>
    <w:p w14:paraId="63B80B94"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Livestock keeping, a crucial livelihood activity in both regions, demonstrates significant profitability in Arusha (NPM = 59,367,977 TZS, ROI = 78) and Mara (NPM = 29,428,170 TZS, ROI = 1,074), emphasizing its viability within economic empowerment frameworks. This supports Thornton (2010), who highlighted the livestock sector’s potential in enhancing income and employment in East Africa, particularly where market access and veterinary services are available.</w:t>
      </w:r>
    </w:p>
    <w:p w14:paraId="26A10FD3"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 xml:space="preserve">Wholesale and retail businesses show robust performance in both regions, with Arusha reporting higher absolute profitability (NPM = 133,361,108 TZS) and ROI of 297, while Mara maintains a strong ROI of 665, reflecting the potential of trade-related enterprises to drive local incomes. This aligns with </w:t>
      </w:r>
      <w:proofErr w:type="spellStart"/>
      <w:r w:rsidRPr="00195A8B">
        <w:rPr>
          <w:rFonts w:ascii="Times New Roman" w:eastAsia="Calibri" w:hAnsi="Times New Roman" w:cs="Times New Roman"/>
          <w:kern w:val="2"/>
          <w:sz w:val="24"/>
          <w:szCs w:val="24"/>
          <w:lang w:val="en-GB" w:eastAsia="en-US"/>
        </w:rPr>
        <w:t>Christiaensen</w:t>
      </w:r>
      <w:proofErr w:type="spellEnd"/>
      <w:r w:rsidRPr="00195A8B">
        <w:rPr>
          <w:rFonts w:ascii="Times New Roman" w:eastAsia="Calibri" w:hAnsi="Times New Roman" w:cs="Times New Roman"/>
          <w:kern w:val="2"/>
          <w:sz w:val="24"/>
          <w:szCs w:val="24"/>
          <w:lang w:val="en-GB" w:eastAsia="en-US"/>
        </w:rPr>
        <w:t xml:space="preserve"> and Martin (2018), who emphasize that non-farm enterprises, particularly trade and retail, are critical for poverty alleviation and youth employment in Africa’s urban and peri-urban settings.</w:t>
      </w:r>
    </w:p>
    <w:p w14:paraId="0BE8CA14"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Conversely, transportation enterprises in Arusha face challenges with negative profitability (NPM = -7,280,996 TZS, ROI = -42), in contrast to Mara’s profitable operations (NPM = 13,888,000 TZS, ROI = 1,249). This discrepancy may reflect Arusha’s higher operational costs, regulatory fees, or market saturation, consistent with Porter (2002), who notes that transportation viability is highly context-specific, depending on infrastructure quality, competition, and regulatory frameworks.</w:t>
      </w:r>
    </w:p>
    <w:p w14:paraId="7C9D0C1F"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 xml:space="preserve">Construction services in Arusha exhibit strong profitability (ROI = 599, BCR = 7.0), consistent with urban growth and infrastructure demand, while Mara’s construction enterprises, though profitable (ROI = 208), demonstrate lower returns, reflecting regional differences in project size </w:t>
      </w:r>
      <w:r w:rsidRPr="00195A8B">
        <w:rPr>
          <w:rFonts w:ascii="Times New Roman" w:eastAsia="Calibri" w:hAnsi="Times New Roman" w:cs="Times New Roman"/>
          <w:kern w:val="2"/>
          <w:sz w:val="24"/>
          <w:szCs w:val="24"/>
          <w:lang w:val="en-GB" w:eastAsia="en-US"/>
        </w:rPr>
        <w:lastRenderedPageBreak/>
        <w:t xml:space="preserve">and capital availability, as highlighted by </w:t>
      </w:r>
      <w:proofErr w:type="spellStart"/>
      <w:r w:rsidRPr="00195A8B">
        <w:rPr>
          <w:rFonts w:ascii="Times New Roman" w:eastAsia="Calibri" w:hAnsi="Times New Roman" w:cs="Times New Roman"/>
          <w:kern w:val="2"/>
          <w:sz w:val="24"/>
          <w:szCs w:val="24"/>
          <w:lang w:val="en-GB" w:eastAsia="en-US"/>
        </w:rPr>
        <w:t>Dorosh</w:t>
      </w:r>
      <w:proofErr w:type="spellEnd"/>
      <w:r w:rsidRPr="00195A8B">
        <w:rPr>
          <w:rFonts w:ascii="Times New Roman" w:eastAsia="Calibri" w:hAnsi="Times New Roman" w:cs="Times New Roman"/>
          <w:kern w:val="2"/>
          <w:sz w:val="24"/>
          <w:szCs w:val="24"/>
          <w:lang w:val="en-GB" w:eastAsia="en-US"/>
        </w:rPr>
        <w:t xml:space="preserve"> and Thurlow (2018) in urban-rural investment dynamics in Tanzania.</w:t>
      </w:r>
    </w:p>
    <w:p w14:paraId="2FE6FD92"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 xml:space="preserve">These findings collectively underscore the importance of tailoring economic empowerment interventions to the regional and sectoral contexts. The high profitability of crop production in Mara suggests that rural-based agriculture remains a vital and sustainable livelihood strategy when adequately supported, while Arusha’s higher profitability in construction and retail sectors demonstrates the potential of urban enterprises for wealth generation under </w:t>
      </w:r>
      <w:proofErr w:type="spellStart"/>
      <w:r w:rsidRPr="00195A8B">
        <w:rPr>
          <w:rFonts w:ascii="Times New Roman" w:eastAsia="Calibri" w:hAnsi="Times New Roman" w:cs="Times New Roman"/>
          <w:kern w:val="2"/>
          <w:sz w:val="24"/>
          <w:szCs w:val="24"/>
          <w:lang w:val="en-GB" w:eastAsia="en-US"/>
        </w:rPr>
        <w:t>favorable</w:t>
      </w:r>
      <w:proofErr w:type="spellEnd"/>
      <w:r w:rsidRPr="00195A8B">
        <w:rPr>
          <w:rFonts w:ascii="Times New Roman" w:eastAsia="Calibri" w:hAnsi="Times New Roman" w:cs="Times New Roman"/>
          <w:kern w:val="2"/>
          <w:sz w:val="24"/>
          <w:szCs w:val="24"/>
          <w:lang w:val="en-GB" w:eastAsia="en-US"/>
        </w:rPr>
        <w:t xml:space="preserve"> conditions.</w:t>
      </w:r>
    </w:p>
    <w:p w14:paraId="4B9A8AB4"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Policy implications include enhancing capacity-building and market access for high-return sectors such as agriculture in Mara, while focusing on improving operational efficiency and market diversification for sectors facing challenges, such as transportation in Arusha. Additionally, financial literacy programs and business mentorship can assist entrepreneurs in managing costs and scaling operations sustainably, as recommended by IFAD (2020) and Scoones (2015).</w:t>
      </w:r>
    </w:p>
    <w:p w14:paraId="02C7EBDE"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Overall, the profitability and viability analysis highlight the potential of economic empowerment schemes to transition youth, women, and PWD entrepreneurs from microenterprises to growth-oriented businesses, while supporting SDG 8 (Decent Work and Economic Growth) and SDG 10 (Reduced Inequalities) in Tanzania.</w:t>
      </w:r>
    </w:p>
    <w:p w14:paraId="4AB05A45" w14:textId="77777777" w:rsidR="00195A8B" w:rsidRPr="00195A8B" w:rsidRDefault="00195A8B" w:rsidP="00195A8B">
      <w:pPr>
        <w:spacing w:after="160" w:line="259" w:lineRule="auto"/>
        <w:ind w:left="1224"/>
        <w:contextualSpacing/>
        <w:jc w:val="both"/>
        <w:rPr>
          <w:rFonts w:ascii="Times New Roman" w:eastAsia="Calibri" w:hAnsi="Times New Roman" w:cs="Times New Roman"/>
          <w:kern w:val="2"/>
          <w:sz w:val="24"/>
          <w:szCs w:val="24"/>
          <w:lang w:val="en-GB" w:eastAsia="en-US"/>
        </w:rPr>
      </w:pPr>
    </w:p>
    <w:p w14:paraId="6A83F2DD" w14:textId="561C8036" w:rsidR="00195A8B" w:rsidRPr="00195A8B" w:rsidRDefault="00195A8B" w:rsidP="00195A8B">
      <w:pPr>
        <w:spacing w:after="0" w:line="259" w:lineRule="auto"/>
        <w:contextualSpacing/>
        <w:jc w:val="both"/>
        <w:rPr>
          <w:rFonts w:ascii="Times New Roman" w:eastAsia="Calibri" w:hAnsi="Times New Roman" w:cs="Times New Roman"/>
          <w:b/>
          <w:bCs/>
          <w:kern w:val="2"/>
          <w:sz w:val="24"/>
          <w:szCs w:val="24"/>
          <w:lang w:val="en-GB" w:eastAsia="en-US"/>
        </w:rPr>
      </w:pPr>
      <w:r w:rsidRPr="00195A8B">
        <w:rPr>
          <w:rFonts w:ascii="Times New Roman" w:eastAsia="Calibri" w:hAnsi="Times New Roman" w:cs="Times New Roman"/>
          <w:b/>
          <w:bCs/>
          <w:kern w:val="2"/>
          <w:sz w:val="24"/>
          <w:szCs w:val="24"/>
          <w:lang w:val="en-GB" w:eastAsia="en-US"/>
        </w:rPr>
        <w:t xml:space="preserve">Table </w:t>
      </w:r>
      <w:r w:rsidR="008A780B">
        <w:rPr>
          <w:rFonts w:ascii="Times New Roman" w:eastAsia="Calibri" w:hAnsi="Times New Roman" w:cs="Times New Roman"/>
          <w:b/>
          <w:bCs/>
          <w:kern w:val="2"/>
          <w:sz w:val="24"/>
          <w:szCs w:val="24"/>
          <w:lang w:val="en-GB" w:eastAsia="en-US"/>
        </w:rPr>
        <w:t>7</w:t>
      </w:r>
      <w:r w:rsidRPr="00195A8B">
        <w:rPr>
          <w:rFonts w:ascii="Times New Roman" w:eastAsia="Calibri" w:hAnsi="Times New Roman" w:cs="Times New Roman"/>
          <w:b/>
          <w:bCs/>
          <w:kern w:val="2"/>
          <w:sz w:val="24"/>
          <w:szCs w:val="24"/>
          <w:lang w:val="en-GB" w:eastAsia="en-US"/>
        </w:rPr>
        <w:t>. Comparison of Profitability and Viability of Enterprises Established through Economic Empowerment Schemes between Arusha and Mara Regions.</w:t>
      </w:r>
    </w:p>
    <w:tbl>
      <w:tblPr>
        <w:tblStyle w:val="TableGrid11"/>
        <w:tblW w:w="5000" w:type="pct"/>
        <w:tblLook w:val="04A0" w:firstRow="1" w:lastRow="0" w:firstColumn="1" w:lastColumn="0" w:noHBand="0" w:noVBand="1"/>
      </w:tblPr>
      <w:tblGrid>
        <w:gridCol w:w="2098"/>
        <w:gridCol w:w="3918"/>
        <w:gridCol w:w="2076"/>
        <w:gridCol w:w="1484"/>
      </w:tblGrid>
      <w:tr w:rsidR="00195A8B" w:rsidRPr="00195A8B" w14:paraId="25BF5724" w14:textId="77777777" w:rsidTr="00CA33B8">
        <w:tc>
          <w:tcPr>
            <w:tcW w:w="1095" w:type="pct"/>
            <w:vMerge w:val="restart"/>
          </w:tcPr>
          <w:p w14:paraId="63090B68"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Enterprises</w:t>
            </w:r>
          </w:p>
        </w:tc>
        <w:tc>
          <w:tcPr>
            <w:tcW w:w="2046" w:type="pct"/>
            <w:vMerge w:val="restart"/>
          </w:tcPr>
          <w:p w14:paraId="6D079009"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Parameters</w:t>
            </w:r>
          </w:p>
        </w:tc>
        <w:tc>
          <w:tcPr>
            <w:tcW w:w="1084" w:type="pct"/>
          </w:tcPr>
          <w:p w14:paraId="562DA1C1"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Arusha</w:t>
            </w:r>
          </w:p>
        </w:tc>
        <w:tc>
          <w:tcPr>
            <w:tcW w:w="775" w:type="pct"/>
          </w:tcPr>
          <w:p w14:paraId="2FA345F3"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Mara</w:t>
            </w:r>
          </w:p>
        </w:tc>
      </w:tr>
      <w:tr w:rsidR="00195A8B" w:rsidRPr="00195A8B" w14:paraId="6D2FB832" w14:textId="77777777" w:rsidTr="00CA33B8">
        <w:tc>
          <w:tcPr>
            <w:tcW w:w="1095" w:type="pct"/>
            <w:vMerge/>
          </w:tcPr>
          <w:p w14:paraId="387ECE14" w14:textId="77777777" w:rsidR="00195A8B" w:rsidRPr="00195A8B" w:rsidRDefault="00195A8B" w:rsidP="00195A8B">
            <w:pPr>
              <w:adjustRightInd w:val="0"/>
              <w:ind w:hanging="90"/>
              <w:rPr>
                <w:rFonts w:ascii="Times New Roman" w:hAnsi="Times New Roman" w:cs="Times New Roman"/>
                <w:b/>
                <w:bCs/>
              </w:rPr>
            </w:pPr>
          </w:p>
        </w:tc>
        <w:tc>
          <w:tcPr>
            <w:tcW w:w="2046" w:type="pct"/>
            <w:vMerge/>
          </w:tcPr>
          <w:p w14:paraId="73B4B279" w14:textId="77777777" w:rsidR="00195A8B" w:rsidRPr="00195A8B" w:rsidRDefault="00195A8B" w:rsidP="00195A8B">
            <w:pPr>
              <w:adjustRightInd w:val="0"/>
              <w:ind w:hanging="90"/>
              <w:rPr>
                <w:rFonts w:ascii="Times New Roman" w:hAnsi="Times New Roman" w:cs="Times New Roman"/>
                <w:b/>
                <w:bCs/>
              </w:rPr>
            </w:pPr>
          </w:p>
        </w:tc>
        <w:tc>
          <w:tcPr>
            <w:tcW w:w="1084" w:type="pct"/>
          </w:tcPr>
          <w:p w14:paraId="762FCAA8"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Value (TZS)</w:t>
            </w:r>
          </w:p>
        </w:tc>
        <w:tc>
          <w:tcPr>
            <w:tcW w:w="775" w:type="pct"/>
          </w:tcPr>
          <w:p w14:paraId="227E953B"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Value (TZS)</w:t>
            </w:r>
          </w:p>
        </w:tc>
      </w:tr>
      <w:tr w:rsidR="00195A8B" w:rsidRPr="00195A8B" w14:paraId="5E36B4D9" w14:textId="77777777" w:rsidTr="00CA33B8">
        <w:tc>
          <w:tcPr>
            <w:tcW w:w="1095" w:type="pct"/>
            <w:vMerge w:val="restart"/>
          </w:tcPr>
          <w:p w14:paraId="5ABA461B"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Crop production enterprises</w:t>
            </w:r>
          </w:p>
        </w:tc>
        <w:tc>
          <w:tcPr>
            <w:tcW w:w="2046" w:type="pct"/>
          </w:tcPr>
          <w:p w14:paraId="37206209" w14:textId="77777777" w:rsidR="00195A8B" w:rsidRPr="00195A8B" w:rsidRDefault="00195A8B" w:rsidP="00195A8B">
            <w:pPr>
              <w:adjustRightInd w:val="0"/>
              <w:ind w:hanging="90"/>
              <w:rPr>
                <w:rFonts w:ascii="Times New Roman" w:hAnsi="Times New Roman" w:cs="Times New Roman"/>
                <w:bCs/>
              </w:rPr>
            </w:pPr>
            <w:r w:rsidRPr="00195A8B">
              <w:rPr>
                <w:rFonts w:ascii="Times New Roman" w:hAnsi="Times New Roman" w:cs="Times New Roman"/>
                <w:bCs/>
              </w:rPr>
              <w:t>Total Cost (TC)</w:t>
            </w:r>
          </w:p>
        </w:tc>
        <w:tc>
          <w:tcPr>
            <w:tcW w:w="1084" w:type="pct"/>
          </w:tcPr>
          <w:p w14:paraId="705DC025" w14:textId="77777777" w:rsidR="00195A8B" w:rsidRPr="00195A8B" w:rsidRDefault="00195A8B" w:rsidP="00195A8B">
            <w:pPr>
              <w:adjustRightInd w:val="0"/>
              <w:ind w:hanging="90"/>
              <w:rPr>
                <w:rFonts w:ascii="Times New Roman" w:hAnsi="Times New Roman" w:cs="Times New Roman"/>
                <w:bCs/>
              </w:rPr>
            </w:pPr>
            <w:r w:rsidRPr="00195A8B">
              <w:rPr>
                <w:rFonts w:ascii="Times New Roman" w:hAnsi="Times New Roman" w:cs="Times New Roman"/>
                <w:bCs/>
              </w:rPr>
              <w:t>1,890,000</w:t>
            </w:r>
          </w:p>
        </w:tc>
        <w:tc>
          <w:tcPr>
            <w:tcW w:w="775" w:type="pct"/>
          </w:tcPr>
          <w:p w14:paraId="57A13337" w14:textId="77777777" w:rsidR="00195A8B" w:rsidRPr="00195A8B" w:rsidRDefault="00195A8B" w:rsidP="00195A8B">
            <w:pPr>
              <w:adjustRightInd w:val="0"/>
              <w:ind w:hanging="90"/>
              <w:rPr>
                <w:rFonts w:ascii="Times New Roman" w:hAnsi="Times New Roman" w:cs="Times New Roman"/>
                <w:bCs/>
              </w:rPr>
            </w:pPr>
            <w:r w:rsidRPr="00195A8B">
              <w:rPr>
                <w:rFonts w:ascii="Times New Roman" w:hAnsi="Times New Roman" w:cs="Times New Roman"/>
                <w:bCs/>
              </w:rPr>
              <w:t>869,998</w:t>
            </w:r>
          </w:p>
        </w:tc>
      </w:tr>
      <w:tr w:rsidR="00195A8B" w:rsidRPr="00195A8B" w14:paraId="0B0275CE" w14:textId="77777777" w:rsidTr="00CA33B8">
        <w:tc>
          <w:tcPr>
            <w:tcW w:w="1095" w:type="pct"/>
            <w:vMerge/>
          </w:tcPr>
          <w:p w14:paraId="73C4C9F0" w14:textId="77777777" w:rsidR="00195A8B" w:rsidRPr="00195A8B" w:rsidRDefault="00195A8B" w:rsidP="00195A8B">
            <w:pPr>
              <w:adjustRightInd w:val="0"/>
              <w:ind w:hanging="90"/>
              <w:rPr>
                <w:rFonts w:ascii="Times New Roman" w:hAnsi="Times New Roman" w:cs="Times New Roman"/>
                <w:b/>
                <w:bCs/>
              </w:rPr>
            </w:pPr>
          </w:p>
        </w:tc>
        <w:tc>
          <w:tcPr>
            <w:tcW w:w="2046" w:type="pct"/>
          </w:tcPr>
          <w:p w14:paraId="5F83E59C" w14:textId="77777777" w:rsidR="00195A8B" w:rsidRPr="00195A8B" w:rsidRDefault="00195A8B" w:rsidP="00195A8B">
            <w:pPr>
              <w:adjustRightInd w:val="0"/>
              <w:ind w:hanging="90"/>
              <w:rPr>
                <w:rFonts w:ascii="Times New Roman" w:hAnsi="Times New Roman" w:cs="Times New Roman"/>
                <w:bCs/>
              </w:rPr>
            </w:pPr>
            <w:r w:rsidRPr="00195A8B">
              <w:rPr>
                <w:rFonts w:ascii="Times New Roman" w:hAnsi="Times New Roman" w:cs="Times New Roman"/>
                <w:bCs/>
              </w:rPr>
              <w:t>Total Revenue (TR)</w:t>
            </w:r>
          </w:p>
        </w:tc>
        <w:tc>
          <w:tcPr>
            <w:tcW w:w="1084" w:type="pct"/>
            <w:vAlign w:val="bottom"/>
          </w:tcPr>
          <w:p w14:paraId="620C8163" w14:textId="77777777" w:rsidR="00195A8B" w:rsidRPr="00195A8B" w:rsidRDefault="00195A8B" w:rsidP="00195A8B">
            <w:pPr>
              <w:adjustRightInd w:val="0"/>
              <w:ind w:hanging="90"/>
              <w:rPr>
                <w:rFonts w:ascii="Times New Roman" w:hAnsi="Times New Roman" w:cs="Times New Roman"/>
                <w:bCs/>
              </w:rPr>
            </w:pPr>
            <w:r w:rsidRPr="00195A8B">
              <w:rPr>
                <w:rFonts w:ascii="Times New Roman" w:hAnsi="Times New Roman" w:cs="Times New Roman"/>
                <w:bCs/>
              </w:rPr>
              <w:t>15,495,508</w:t>
            </w:r>
          </w:p>
        </w:tc>
        <w:tc>
          <w:tcPr>
            <w:tcW w:w="775" w:type="pct"/>
          </w:tcPr>
          <w:p w14:paraId="14CCAC80" w14:textId="77777777" w:rsidR="00195A8B" w:rsidRPr="00195A8B" w:rsidRDefault="00195A8B" w:rsidP="00195A8B">
            <w:pPr>
              <w:adjustRightInd w:val="0"/>
              <w:ind w:hanging="90"/>
              <w:rPr>
                <w:rFonts w:ascii="Times New Roman" w:hAnsi="Times New Roman" w:cs="Times New Roman"/>
                <w:bCs/>
              </w:rPr>
            </w:pPr>
            <w:r w:rsidRPr="00195A8B">
              <w:rPr>
                <w:rFonts w:ascii="Times New Roman" w:hAnsi="Times New Roman" w:cs="Times New Roman"/>
                <w:bCs/>
              </w:rPr>
              <w:t>63,700,000</w:t>
            </w:r>
          </w:p>
        </w:tc>
      </w:tr>
      <w:tr w:rsidR="00195A8B" w:rsidRPr="00195A8B" w14:paraId="02CA1398" w14:textId="77777777" w:rsidTr="00CA33B8">
        <w:tc>
          <w:tcPr>
            <w:tcW w:w="1095" w:type="pct"/>
            <w:vMerge/>
          </w:tcPr>
          <w:p w14:paraId="786E285D" w14:textId="77777777" w:rsidR="00195A8B" w:rsidRPr="00195A8B" w:rsidRDefault="00195A8B" w:rsidP="00195A8B">
            <w:pPr>
              <w:adjustRightInd w:val="0"/>
              <w:ind w:hanging="90"/>
              <w:rPr>
                <w:rFonts w:ascii="Times New Roman" w:hAnsi="Times New Roman" w:cs="Times New Roman"/>
                <w:b/>
                <w:bCs/>
              </w:rPr>
            </w:pPr>
          </w:p>
        </w:tc>
        <w:tc>
          <w:tcPr>
            <w:tcW w:w="2046" w:type="pct"/>
          </w:tcPr>
          <w:p w14:paraId="350F7165"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Net Profit Margin (NPM)= TR- TC</w:t>
            </w:r>
          </w:p>
        </w:tc>
        <w:tc>
          <w:tcPr>
            <w:tcW w:w="1084" w:type="pct"/>
            <w:vAlign w:val="bottom"/>
          </w:tcPr>
          <w:p w14:paraId="2C7E020A"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13,605,508</w:t>
            </w:r>
          </w:p>
        </w:tc>
        <w:tc>
          <w:tcPr>
            <w:tcW w:w="775" w:type="pct"/>
            <w:vAlign w:val="bottom"/>
          </w:tcPr>
          <w:p w14:paraId="79210502"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62,830,002</w:t>
            </w:r>
          </w:p>
        </w:tc>
      </w:tr>
      <w:tr w:rsidR="00195A8B" w:rsidRPr="00195A8B" w14:paraId="642A350D" w14:textId="77777777" w:rsidTr="00CA33B8">
        <w:tc>
          <w:tcPr>
            <w:tcW w:w="1095" w:type="pct"/>
            <w:vMerge/>
          </w:tcPr>
          <w:p w14:paraId="1D5E570F" w14:textId="77777777" w:rsidR="00195A8B" w:rsidRPr="00195A8B" w:rsidRDefault="00195A8B" w:rsidP="00195A8B">
            <w:pPr>
              <w:adjustRightInd w:val="0"/>
              <w:ind w:hanging="90"/>
              <w:rPr>
                <w:rFonts w:ascii="Times New Roman" w:hAnsi="Times New Roman" w:cs="Times New Roman"/>
                <w:b/>
                <w:bCs/>
              </w:rPr>
            </w:pPr>
          </w:p>
        </w:tc>
        <w:tc>
          <w:tcPr>
            <w:tcW w:w="2046" w:type="pct"/>
          </w:tcPr>
          <w:p w14:paraId="473E8DB4"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Return on Investment (ROI)= NPM/ TC*100</w:t>
            </w:r>
          </w:p>
        </w:tc>
        <w:tc>
          <w:tcPr>
            <w:tcW w:w="1084" w:type="pct"/>
            <w:vAlign w:val="bottom"/>
          </w:tcPr>
          <w:p w14:paraId="45CF0629"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720</w:t>
            </w:r>
          </w:p>
        </w:tc>
        <w:tc>
          <w:tcPr>
            <w:tcW w:w="775" w:type="pct"/>
            <w:vAlign w:val="bottom"/>
          </w:tcPr>
          <w:p w14:paraId="322C2F95"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7,222</w:t>
            </w:r>
          </w:p>
        </w:tc>
      </w:tr>
      <w:tr w:rsidR="00195A8B" w:rsidRPr="00195A8B" w14:paraId="493CBADC" w14:textId="77777777" w:rsidTr="00CA33B8">
        <w:tc>
          <w:tcPr>
            <w:tcW w:w="1095" w:type="pct"/>
            <w:vMerge/>
          </w:tcPr>
          <w:p w14:paraId="42423054" w14:textId="77777777" w:rsidR="00195A8B" w:rsidRPr="00195A8B" w:rsidRDefault="00195A8B" w:rsidP="00195A8B">
            <w:pPr>
              <w:adjustRightInd w:val="0"/>
              <w:ind w:hanging="90"/>
              <w:rPr>
                <w:rFonts w:ascii="Times New Roman" w:hAnsi="Times New Roman" w:cs="Times New Roman"/>
                <w:b/>
                <w:bCs/>
              </w:rPr>
            </w:pPr>
          </w:p>
        </w:tc>
        <w:tc>
          <w:tcPr>
            <w:tcW w:w="2046" w:type="pct"/>
          </w:tcPr>
          <w:p w14:paraId="0044E2FB"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Benefit-Cost Ratio (BCR)= TR / TC</w:t>
            </w:r>
          </w:p>
        </w:tc>
        <w:tc>
          <w:tcPr>
            <w:tcW w:w="1084" w:type="pct"/>
            <w:vAlign w:val="bottom"/>
          </w:tcPr>
          <w:p w14:paraId="6DC47034"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8.2</w:t>
            </w:r>
          </w:p>
        </w:tc>
        <w:tc>
          <w:tcPr>
            <w:tcW w:w="775" w:type="pct"/>
            <w:vAlign w:val="bottom"/>
          </w:tcPr>
          <w:p w14:paraId="24115D80"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73.2</w:t>
            </w:r>
          </w:p>
        </w:tc>
      </w:tr>
      <w:tr w:rsidR="00195A8B" w:rsidRPr="00195A8B" w14:paraId="5CB13E9D" w14:textId="77777777" w:rsidTr="00CA33B8">
        <w:tc>
          <w:tcPr>
            <w:tcW w:w="1095" w:type="pct"/>
            <w:vMerge/>
          </w:tcPr>
          <w:p w14:paraId="39D96F13" w14:textId="77777777" w:rsidR="00195A8B" w:rsidRPr="00195A8B" w:rsidRDefault="00195A8B" w:rsidP="00195A8B">
            <w:pPr>
              <w:adjustRightInd w:val="0"/>
              <w:ind w:hanging="90"/>
              <w:rPr>
                <w:rFonts w:ascii="Times New Roman" w:hAnsi="Times New Roman" w:cs="Times New Roman"/>
                <w:b/>
                <w:bCs/>
              </w:rPr>
            </w:pPr>
          </w:p>
        </w:tc>
        <w:tc>
          <w:tcPr>
            <w:tcW w:w="2046" w:type="pct"/>
          </w:tcPr>
          <w:p w14:paraId="65870DFB" w14:textId="77777777" w:rsidR="00195A8B" w:rsidRPr="00195A8B" w:rsidRDefault="00195A8B" w:rsidP="00195A8B">
            <w:pPr>
              <w:adjustRightInd w:val="0"/>
              <w:ind w:hanging="90"/>
              <w:rPr>
                <w:rFonts w:ascii="Times New Roman" w:hAnsi="Times New Roman" w:cs="Times New Roman"/>
                <w:b/>
                <w:bCs/>
              </w:rPr>
            </w:pPr>
          </w:p>
        </w:tc>
        <w:tc>
          <w:tcPr>
            <w:tcW w:w="1084" w:type="pct"/>
          </w:tcPr>
          <w:p w14:paraId="09304D79" w14:textId="77777777" w:rsidR="00195A8B" w:rsidRPr="00195A8B" w:rsidRDefault="00195A8B" w:rsidP="00195A8B">
            <w:pPr>
              <w:adjustRightInd w:val="0"/>
              <w:ind w:hanging="90"/>
              <w:rPr>
                <w:rFonts w:ascii="Times New Roman" w:hAnsi="Times New Roman" w:cs="Times New Roman"/>
                <w:b/>
                <w:bCs/>
              </w:rPr>
            </w:pPr>
          </w:p>
        </w:tc>
        <w:tc>
          <w:tcPr>
            <w:tcW w:w="775" w:type="pct"/>
          </w:tcPr>
          <w:p w14:paraId="1D18D507" w14:textId="77777777" w:rsidR="00195A8B" w:rsidRPr="00195A8B" w:rsidRDefault="00195A8B" w:rsidP="00195A8B">
            <w:pPr>
              <w:adjustRightInd w:val="0"/>
              <w:ind w:hanging="90"/>
              <w:rPr>
                <w:rFonts w:ascii="Times New Roman" w:hAnsi="Times New Roman" w:cs="Times New Roman"/>
                <w:b/>
                <w:bCs/>
              </w:rPr>
            </w:pPr>
          </w:p>
        </w:tc>
      </w:tr>
      <w:tr w:rsidR="00195A8B" w:rsidRPr="00195A8B" w14:paraId="2DC66EAE" w14:textId="77777777" w:rsidTr="00CA33B8">
        <w:tc>
          <w:tcPr>
            <w:tcW w:w="1095" w:type="pct"/>
            <w:vMerge w:val="restart"/>
          </w:tcPr>
          <w:p w14:paraId="16BBFB68"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Livestock keeping enterprises</w:t>
            </w:r>
          </w:p>
        </w:tc>
        <w:tc>
          <w:tcPr>
            <w:tcW w:w="2046" w:type="pct"/>
          </w:tcPr>
          <w:p w14:paraId="44A88D9D"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Total Cost (TC)</w:t>
            </w:r>
          </w:p>
        </w:tc>
        <w:tc>
          <w:tcPr>
            <w:tcW w:w="1084" w:type="pct"/>
          </w:tcPr>
          <w:p w14:paraId="114D88CB" w14:textId="77777777" w:rsidR="00195A8B" w:rsidRPr="00195A8B" w:rsidRDefault="00195A8B" w:rsidP="00195A8B">
            <w:pPr>
              <w:adjustRightInd w:val="0"/>
              <w:ind w:hanging="90"/>
              <w:rPr>
                <w:rFonts w:ascii="Times New Roman" w:hAnsi="Times New Roman" w:cs="Times New Roman"/>
                <w:bCs/>
              </w:rPr>
            </w:pPr>
            <w:r w:rsidRPr="00195A8B">
              <w:rPr>
                <w:rFonts w:ascii="Times New Roman" w:hAnsi="Times New Roman" w:cs="Times New Roman"/>
                <w:bCs/>
              </w:rPr>
              <w:t>75,986,223</w:t>
            </w:r>
          </w:p>
        </w:tc>
        <w:tc>
          <w:tcPr>
            <w:tcW w:w="775" w:type="pct"/>
          </w:tcPr>
          <w:p w14:paraId="66859588" w14:textId="77777777" w:rsidR="00195A8B" w:rsidRPr="00195A8B" w:rsidRDefault="00195A8B" w:rsidP="00195A8B">
            <w:pPr>
              <w:adjustRightInd w:val="0"/>
              <w:ind w:hanging="90"/>
              <w:rPr>
                <w:rFonts w:ascii="Times New Roman" w:hAnsi="Times New Roman" w:cs="Times New Roman"/>
                <w:bCs/>
              </w:rPr>
            </w:pPr>
            <w:r w:rsidRPr="00195A8B">
              <w:rPr>
                <w:rFonts w:ascii="Times New Roman" w:hAnsi="Times New Roman" w:cs="Times New Roman"/>
                <w:bCs/>
              </w:rPr>
              <w:t>2,738,830</w:t>
            </w:r>
          </w:p>
        </w:tc>
      </w:tr>
      <w:tr w:rsidR="00195A8B" w:rsidRPr="00195A8B" w14:paraId="2DD3EA51" w14:textId="77777777" w:rsidTr="00CA33B8">
        <w:tc>
          <w:tcPr>
            <w:tcW w:w="1095" w:type="pct"/>
            <w:vMerge/>
          </w:tcPr>
          <w:p w14:paraId="3090CEBF" w14:textId="77777777" w:rsidR="00195A8B" w:rsidRPr="00195A8B" w:rsidRDefault="00195A8B" w:rsidP="00195A8B">
            <w:pPr>
              <w:adjustRightInd w:val="0"/>
              <w:ind w:hanging="90"/>
              <w:rPr>
                <w:rFonts w:ascii="Times New Roman" w:hAnsi="Times New Roman" w:cs="Times New Roman"/>
                <w:b/>
                <w:bCs/>
              </w:rPr>
            </w:pPr>
          </w:p>
        </w:tc>
        <w:tc>
          <w:tcPr>
            <w:tcW w:w="2046" w:type="pct"/>
          </w:tcPr>
          <w:p w14:paraId="3E583E71"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Total Revenue (TR)</w:t>
            </w:r>
          </w:p>
        </w:tc>
        <w:tc>
          <w:tcPr>
            <w:tcW w:w="1084" w:type="pct"/>
          </w:tcPr>
          <w:p w14:paraId="5A6052B6" w14:textId="77777777" w:rsidR="00195A8B" w:rsidRPr="00195A8B" w:rsidRDefault="00195A8B" w:rsidP="00195A8B">
            <w:pPr>
              <w:adjustRightInd w:val="0"/>
              <w:ind w:hanging="90"/>
              <w:rPr>
                <w:rFonts w:ascii="Times New Roman" w:hAnsi="Times New Roman" w:cs="Times New Roman"/>
                <w:bCs/>
              </w:rPr>
            </w:pPr>
            <w:r w:rsidRPr="00195A8B">
              <w:rPr>
                <w:rFonts w:ascii="Times New Roman" w:hAnsi="Times New Roman" w:cs="Times New Roman"/>
                <w:bCs/>
              </w:rPr>
              <w:t>135,354,200</w:t>
            </w:r>
          </w:p>
        </w:tc>
        <w:tc>
          <w:tcPr>
            <w:tcW w:w="775" w:type="pct"/>
          </w:tcPr>
          <w:p w14:paraId="3C51EBE8" w14:textId="77777777" w:rsidR="00195A8B" w:rsidRPr="00195A8B" w:rsidRDefault="00195A8B" w:rsidP="00195A8B">
            <w:pPr>
              <w:adjustRightInd w:val="0"/>
              <w:ind w:hanging="90"/>
              <w:rPr>
                <w:rFonts w:ascii="Times New Roman" w:hAnsi="Times New Roman" w:cs="Times New Roman"/>
                <w:bCs/>
              </w:rPr>
            </w:pPr>
            <w:r w:rsidRPr="00195A8B">
              <w:rPr>
                <w:rFonts w:ascii="Times New Roman" w:hAnsi="Times New Roman" w:cs="Times New Roman"/>
                <w:bCs/>
              </w:rPr>
              <w:t>32,167,000</w:t>
            </w:r>
          </w:p>
        </w:tc>
      </w:tr>
      <w:tr w:rsidR="00195A8B" w:rsidRPr="00195A8B" w14:paraId="664E752F" w14:textId="77777777" w:rsidTr="00CA33B8">
        <w:tc>
          <w:tcPr>
            <w:tcW w:w="1095" w:type="pct"/>
            <w:vMerge/>
          </w:tcPr>
          <w:p w14:paraId="35D0E065" w14:textId="77777777" w:rsidR="00195A8B" w:rsidRPr="00195A8B" w:rsidRDefault="00195A8B" w:rsidP="00195A8B">
            <w:pPr>
              <w:adjustRightInd w:val="0"/>
              <w:ind w:hanging="90"/>
              <w:rPr>
                <w:rFonts w:ascii="Times New Roman" w:hAnsi="Times New Roman" w:cs="Times New Roman"/>
                <w:b/>
                <w:bCs/>
              </w:rPr>
            </w:pPr>
          </w:p>
        </w:tc>
        <w:tc>
          <w:tcPr>
            <w:tcW w:w="2046" w:type="pct"/>
          </w:tcPr>
          <w:p w14:paraId="293D5AA9"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Net Profit Margin (NPM)= TR- TC</w:t>
            </w:r>
          </w:p>
        </w:tc>
        <w:tc>
          <w:tcPr>
            <w:tcW w:w="1084" w:type="pct"/>
            <w:vAlign w:val="bottom"/>
          </w:tcPr>
          <w:p w14:paraId="31CBC250"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59,367,977</w:t>
            </w:r>
          </w:p>
        </w:tc>
        <w:tc>
          <w:tcPr>
            <w:tcW w:w="775" w:type="pct"/>
            <w:vAlign w:val="bottom"/>
          </w:tcPr>
          <w:p w14:paraId="70EA4463"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29,428,170</w:t>
            </w:r>
          </w:p>
        </w:tc>
      </w:tr>
      <w:tr w:rsidR="00195A8B" w:rsidRPr="00195A8B" w14:paraId="491AD008" w14:textId="77777777" w:rsidTr="00CA33B8">
        <w:tc>
          <w:tcPr>
            <w:tcW w:w="1095" w:type="pct"/>
            <w:vMerge/>
          </w:tcPr>
          <w:p w14:paraId="6AF28994" w14:textId="77777777" w:rsidR="00195A8B" w:rsidRPr="00195A8B" w:rsidRDefault="00195A8B" w:rsidP="00195A8B">
            <w:pPr>
              <w:adjustRightInd w:val="0"/>
              <w:ind w:hanging="90"/>
              <w:rPr>
                <w:rFonts w:ascii="Times New Roman" w:hAnsi="Times New Roman" w:cs="Times New Roman"/>
                <w:b/>
                <w:bCs/>
              </w:rPr>
            </w:pPr>
          </w:p>
        </w:tc>
        <w:tc>
          <w:tcPr>
            <w:tcW w:w="2046" w:type="pct"/>
          </w:tcPr>
          <w:p w14:paraId="7594D61E"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Return on Investment (ROI)= NPM/ TC*100</w:t>
            </w:r>
          </w:p>
        </w:tc>
        <w:tc>
          <w:tcPr>
            <w:tcW w:w="1084" w:type="pct"/>
            <w:vAlign w:val="bottom"/>
          </w:tcPr>
          <w:p w14:paraId="69E737B4"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78</w:t>
            </w:r>
          </w:p>
        </w:tc>
        <w:tc>
          <w:tcPr>
            <w:tcW w:w="775" w:type="pct"/>
            <w:vAlign w:val="bottom"/>
          </w:tcPr>
          <w:p w14:paraId="6650E980"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1,074</w:t>
            </w:r>
          </w:p>
        </w:tc>
      </w:tr>
      <w:tr w:rsidR="00195A8B" w:rsidRPr="00195A8B" w14:paraId="7B6F543A" w14:textId="77777777" w:rsidTr="00CA33B8">
        <w:tc>
          <w:tcPr>
            <w:tcW w:w="1095" w:type="pct"/>
            <w:vMerge/>
          </w:tcPr>
          <w:p w14:paraId="24AB9867" w14:textId="77777777" w:rsidR="00195A8B" w:rsidRPr="00195A8B" w:rsidRDefault="00195A8B" w:rsidP="00195A8B">
            <w:pPr>
              <w:adjustRightInd w:val="0"/>
              <w:ind w:hanging="90"/>
              <w:rPr>
                <w:rFonts w:ascii="Times New Roman" w:hAnsi="Times New Roman" w:cs="Times New Roman"/>
                <w:b/>
                <w:bCs/>
              </w:rPr>
            </w:pPr>
          </w:p>
        </w:tc>
        <w:tc>
          <w:tcPr>
            <w:tcW w:w="2046" w:type="pct"/>
          </w:tcPr>
          <w:p w14:paraId="6602648F"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Benefit-Cost Ratio (BCR)= TR / TC</w:t>
            </w:r>
          </w:p>
        </w:tc>
        <w:tc>
          <w:tcPr>
            <w:tcW w:w="1084" w:type="pct"/>
            <w:vAlign w:val="bottom"/>
          </w:tcPr>
          <w:p w14:paraId="04D8A42F"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1.8</w:t>
            </w:r>
          </w:p>
        </w:tc>
        <w:tc>
          <w:tcPr>
            <w:tcW w:w="775" w:type="pct"/>
            <w:vAlign w:val="bottom"/>
          </w:tcPr>
          <w:p w14:paraId="061F5793"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11.7</w:t>
            </w:r>
          </w:p>
        </w:tc>
      </w:tr>
      <w:tr w:rsidR="00195A8B" w:rsidRPr="00195A8B" w14:paraId="1BED3C21" w14:textId="77777777" w:rsidTr="00CA33B8">
        <w:tc>
          <w:tcPr>
            <w:tcW w:w="1095" w:type="pct"/>
            <w:vMerge/>
          </w:tcPr>
          <w:p w14:paraId="78FF2D41" w14:textId="77777777" w:rsidR="00195A8B" w:rsidRPr="00195A8B" w:rsidRDefault="00195A8B" w:rsidP="00195A8B">
            <w:pPr>
              <w:adjustRightInd w:val="0"/>
              <w:ind w:hanging="90"/>
              <w:rPr>
                <w:rFonts w:ascii="Times New Roman" w:hAnsi="Times New Roman" w:cs="Times New Roman"/>
                <w:b/>
                <w:bCs/>
              </w:rPr>
            </w:pPr>
          </w:p>
        </w:tc>
        <w:tc>
          <w:tcPr>
            <w:tcW w:w="2046" w:type="pct"/>
          </w:tcPr>
          <w:p w14:paraId="7077FDF0" w14:textId="77777777" w:rsidR="00195A8B" w:rsidRPr="00195A8B" w:rsidRDefault="00195A8B" w:rsidP="00195A8B">
            <w:pPr>
              <w:adjustRightInd w:val="0"/>
              <w:ind w:hanging="90"/>
              <w:rPr>
                <w:rFonts w:ascii="Times New Roman" w:hAnsi="Times New Roman" w:cs="Times New Roman"/>
                <w:b/>
                <w:bCs/>
              </w:rPr>
            </w:pPr>
          </w:p>
        </w:tc>
        <w:tc>
          <w:tcPr>
            <w:tcW w:w="1084" w:type="pct"/>
          </w:tcPr>
          <w:p w14:paraId="4655CC9C" w14:textId="77777777" w:rsidR="00195A8B" w:rsidRPr="00195A8B" w:rsidRDefault="00195A8B" w:rsidP="00195A8B">
            <w:pPr>
              <w:adjustRightInd w:val="0"/>
              <w:ind w:hanging="90"/>
              <w:rPr>
                <w:rFonts w:ascii="Times New Roman" w:hAnsi="Times New Roman" w:cs="Times New Roman"/>
                <w:b/>
                <w:bCs/>
              </w:rPr>
            </w:pPr>
          </w:p>
        </w:tc>
        <w:tc>
          <w:tcPr>
            <w:tcW w:w="775" w:type="pct"/>
          </w:tcPr>
          <w:p w14:paraId="64975037" w14:textId="77777777" w:rsidR="00195A8B" w:rsidRPr="00195A8B" w:rsidRDefault="00195A8B" w:rsidP="00195A8B">
            <w:pPr>
              <w:adjustRightInd w:val="0"/>
              <w:ind w:hanging="90"/>
              <w:rPr>
                <w:rFonts w:ascii="Times New Roman" w:hAnsi="Times New Roman" w:cs="Times New Roman"/>
                <w:b/>
                <w:bCs/>
              </w:rPr>
            </w:pPr>
          </w:p>
        </w:tc>
      </w:tr>
      <w:tr w:rsidR="00195A8B" w:rsidRPr="00195A8B" w14:paraId="6824DE10" w14:textId="77777777" w:rsidTr="00CA33B8">
        <w:tc>
          <w:tcPr>
            <w:tcW w:w="1095" w:type="pct"/>
            <w:vMerge w:val="restart"/>
          </w:tcPr>
          <w:p w14:paraId="772871E9"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lastRenderedPageBreak/>
              <w:t>Whole Sale and Retail business</w:t>
            </w:r>
          </w:p>
        </w:tc>
        <w:tc>
          <w:tcPr>
            <w:tcW w:w="2046" w:type="pct"/>
          </w:tcPr>
          <w:p w14:paraId="65A6F320" w14:textId="77777777" w:rsidR="00195A8B" w:rsidRPr="00195A8B" w:rsidRDefault="00195A8B" w:rsidP="00195A8B">
            <w:pPr>
              <w:adjustRightInd w:val="0"/>
              <w:ind w:hanging="90"/>
              <w:rPr>
                <w:rFonts w:ascii="Times New Roman" w:hAnsi="Times New Roman" w:cs="Times New Roman"/>
                <w:bCs/>
              </w:rPr>
            </w:pPr>
            <w:r w:rsidRPr="00195A8B">
              <w:rPr>
                <w:rFonts w:ascii="Times New Roman" w:hAnsi="Times New Roman" w:cs="Times New Roman"/>
                <w:bCs/>
              </w:rPr>
              <w:t>Total Cost (TC)</w:t>
            </w:r>
          </w:p>
        </w:tc>
        <w:tc>
          <w:tcPr>
            <w:tcW w:w="1084" w:type="pct"/>
          </w:tcPr>
          <w:p w14:paraId="50C9F9A7" w14:textId="77777777" w:rsidR="00195A8B" w:rsidRPr="00195A8B" w:rsidRDefault="00195A8B" w:rsidP="00195A8B">
            <w:pPr>
              <w:adjustRightInd w:val="0"/>
              <w:ind w:hanging="90"/>
              <w:rPr>
                <w:rFonts w:ascii="Times New Roman" w:hAnsi="Times New Roman" w:cs="Times New Roman"/>
                <w:bCs/>
              </w:rPr>
            </w:pPr>
            <w:r w:rsidRPr="00195A8B">
              <w:rPr>
                <w:rFonts w:ascii="Times New Roman" w:hAnsi="Times New Roman" w:cs="Times New Roman"/>
                <w:bCs/>
              </w:rPr>
              <w:t>44,958,692</w:t>
            </w:r>
          </w:p>
        </w:tc>
        <w:tc>
          <w:tcPr>
            <w:tcW w:w="775" w:type="pct"/>
          </w:tcPr>
          <w:p w14:paraId="6F7B4C23" w14:textId="77777777" w:rsidR="00195A8B" w:rsidRPr="00195A8B" w:rsidRDefault="00195A8B" w:rsidP="00195A8B">
            <w:pPr>
              <w:adjustRightInd w:val="0"/>
              <w:ind w:hanging="90"/>
              <w:rPr>
                <w:rFonts w:ascii="Times New Roman" w:hAnsi="Times New Roman" w:cs="Times New Roman"/>
                <w:bCs/>
              </w:rPr>
            </w:pPr>
            <w:r w:rsidRPr="00195A8B">
              <w:rPr>
                <w:rFonts w:ascii="Times New Roman" w:hAnsi="Times New Roman" w:cs="Times New Roman"/>
                <w:bCs/>
              </w:rPr>
              <w:t>4,228,633</w:t>
            </w:r>
          </w:p>
        </w:tc>
      </w:tr>
      <w:tr w:rsidR="00195A8B" w:rsidRPr="00195A8B" w14:paraId="36610601" w14:textId="77777777" w:rsidTr="00CA33B8">
        <w:tc>
          <w:tcPr>
            <w:tcW w:w="1095" w:type="pct"/>
            <w:vMerge/>
          </w:tcPr>
          <w:p w14:paraId="6967F5AF" w14:textId="77777777" w:rsidR="00195A8B" w:rsidRPr="00195A8B" w:rsidRDefault="00195A8B" w:rsidP="00195A8B">
            <w:pPr>
              <w:adjustRightInd w:val="0"/>
              <w:ind w:hanging="90"/>
              <w:rPr>
                <w:rFonts w:ascii="Times New Roman" w:hAnsi="Times New Roman" w:cs="Times New Roman"/>
                <w:b/>
                <w:bCs/>
              </w:rPr>
            </w:pPr>
          </w:p>
        </w:tc>
        <w:tc>
          <w:tcPr>
            <w:tcW w:w="2046" w:type="pct"/>
          </w:tcPr>
          <w:p w14:paraId="54492DAA" w14:textId="77777777" w:rsidR="00195A8B" w:rsidRPr="00195A8B" w:rsidRDefault="00195A8B" w:rsidP="00195A8B">
            <w:pPr>
              <w:adjustRightInd w:val="0"/>
              <w:ind w:hanging="90"/>
              <w:rPr>
                <w:rFonts w:ascii="Times New Roman" w:hAnsi="Times New Roman" w:cs="Times New Roman"/>
                <w:bCs/>
              </w:rPr>
            </w:pPr>
            <w:r w:rsidRPr="00195A8B">
              <w:rPr>
                <w:rFonts w:ascii="Times New Roman" w:hAnsi="Times New Roman" w:cs="Times New Roman"/>
                <w:bCs/>
              </w:rPr>
              <w:t>Total Revenue (TR)</w:t>
            </w:r>
          </w:p>
        </w:tc>
        <w:tc>
          <w:tcPr>
            <w:tcW w:w="1084" w:type="pct"/>
          </w:tcPr>
          <w:p w14:paraId="1669AC9A" w14:textId="77777777" w:rsidR="00195A8B" w:rsidRPr="00195A8B" w:rsidRDefault="00195A8B" w:rsidP="00195A8B">
            <w:pPr>
              <w:adjustRightInd w:val="0"/>
              <w:ind w:hanging="90"/>
              <w:rPr>
                <w:rFonts w:ascii="Times New Roman" w:hAnsi="Times New Roman" w:cs="Times New Roman"/>
                <w:bCs/>
              </w:rPr>
            </w:pPr>
            <w:r w:rsidRPr="00195A8B">
              <w:rPr>
                <w:rFonts w:ascii="Times New Roman" w:hAnsi="Times New Roman" w:cs="Times New Roman"/>
                <w:bCs/>
              </w:rPr>
              <w:t>178,319,800</w:t>
            </w:r>
          </w:p>
        </w:tc>
        <w:tc>
          <w:tcPr>
            <w:tcW w:w="775" w:type="pct"/>
          </w:tcPr>
          <w:p w14:paraId="6F0F3B40" w14:textId="77777777" w:rsidR="00195A8B" w:rsidRPr="00195A8B" w:rsidRDefault="00195A8B" w:rsidP="00195A8B">
            <w:pPr>
              <w:adjustRightInd w:val="0"/>
              <w:ind w:hanging="90"/>
              <w:rPr>
                <w:rFonts w:ascii="Times New Roman" w:hAnsi="Times New Roman" w:cs="Times New Roman"/>
                <w:bCs/>
              </w:rPr>
            </w:pPr>
            <w:r w:rsidRPr="00195A8B">
              <w:rPr>
                <w:rFonts w:ascii="Times New Roman" w:hAnsi="Times New Roman" w:cs="Times New Roman"/>
                <w:bCs/>
              </w:rPr>
              <w:t>32,353,000</w:t>
            </w:r>
          </w:p>
        </w:tc>
      </w:tr>
      <w:tr w:rsidR="00195A8B" w:rsidRPr="00195A8B" w14:paraId="20FF6454" w14:textId="77777777" w:rsidTr="00CA33B8">
        <w:tc>
          <w:tcPr>
            <w:tcW w:w="1095" w:type="pct"/>
            <w:vMerge/>
          </w:tcPr>
          <w:p w14:paraId="433022AA" w14:textId="77777777" w:rsidR="00195A8B" w:rsidRPr="00195A8B" w:rsidRDefault="00195A8B" w:rsidP="00195A8B">
            <w:pPr>
              <w:adjustRightInd w:val="0"/>
              <w:ind w:hanging="90"/>
              <w:rPr>
                <w:rFonts w:ascii="Times New Roman" w:hAnsi="Times New Roman" w:cs="Times New Roman"/>
                <w:b/>
                <w:bCs/>
              </w:rPr>
            </w:pPr>
          </w:p>
        </w:tc>
        <w:tc>
          <w:tcPr>
            <w:tcW w:w="2046" w:type="pct"/>
          </w:tcPr>
          <w:p w14:paraId="28AEA67B"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Net Profit Margin (NPM)= TR- TC</w:t>
            </w:r>
          </w:p>
        </w:tc>
        <w:tc>
          <w:tcPr>
            <w:tcW w:w="1084" w:type="pct"/>
            <w:vAlign w:val="bottom"/>
          </w:tcPr>
          <w:p w14:paraId="4F35848A"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133,361,108</w:t>
            </w:r>
          </w:p>
        </w:tc>
        <w:tc>
          <w:tcPr>
            <w:tcW w:w="775" w:type="pct"/>
            <w:vAlign w:val="bottom"/>
          </w:tcPr>
          <w:p w14:paraId="532A8364"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28,124,367</w:t>
            </w:r>
          </w:p>
        </w:tc>
      </w:tr>
      <w:tr w:rsidR="00195A8B" w:rsidRPr="00195A8B" w14:paraId="3ECE8F12" w14:textId="77777777" w:rsidTr="00CA33B8">
        <w:tc>
          <w:tcPr>
            <w:tcW w:w="1095" w:type="pct"/>
            <w:vMerge/>
          </w:tcPr>
          <w:p w14:paraId="00B8AB8F" w14:textId="77777777" w:rsidR="00195A8B" w:rsidRPr="00195A8B" w:rsidRDefault="00195A8B" w:rsidP="00195A8B">
            <w:pPr>
              <w:adjustRightInd w:val="0"/>
              <w:ind w:hanging="90"/>
              <w:rPr>
                <w:rFonts w:ascii="Times New Roman" w:hAnsi="Times New Roman" w:cs="Times New Roman"/>
                <w:b/>
                <w:bCs/>
              </w:rPr>
            </w:pPr>
          </w:p>
        </w:tc>
        <w:tc>
          <w:tcPr>
            <w:tcW w:w="2046" w:type="pct"/>
          </w:tcPr>
          <w:p w14:paraId="479A338A"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Return on Investment (ROI)= NPM/ TC*100</w:t>
            </w:r>
          </w:p>
        </w:tc>
        <w:tc>
          <w:tcPr>
            <w:tcW w:w="1084" w:type="pct"/>
            <w:vAlign w:val="bottom"/>
          </w:tcPr>
          <w:p w14:paraId="01B7FD85"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297</w:t>
            </w:r>
          </w:p>
        </w:tc>
        <w:tc>
          <w:tcPr>
            <w:tcW w:w="775" w:type="pct"/>
            <w:vAlign w:val="bottom"/>
          </w:tcPr>
          <w:p w14:paraId="0A8581BB"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665</w:t>
            </w:r>
          </w:p>
        </w:tc>
      </w:tr>
      <w:tr w:rsidR="00195A8B" w:rsidRPr="00195A8B" w14:paraId="071C40AB" w14:textId="77777777" w:rsidTr="00CA33B8">
        <w:tc>
          <w:tcPr>
            <w:tcW w:w="1095" w:type="pct"/>
            <w:vMerge/>
          </w:tcPr>
          <w:p w14:paraId="15536F7D" w14:textId="77777777" w:rsidR="00195A8B" w:rsidRPr="00195A8B" w:rsidRDefault="00195A8B" w:rsidP="00195A8B">
            <w:pPr>
              <w:adjustRightInd w:val="0"/>
              <w:ind w:hanging="90"/>
              <w:rPr>
                <w:rFonts w:ascii="Times New Roman" w:hAnsi="Times New Roman" w:cs="Times New Roman"/>
                <w:b/>
                <w:bCs/>
              </w:rPr>
            </w:pPr>
          </w:p>
        </w:tc>
        <w:tc>
          <w:tcPr>
            <w:tcW w:w="2046" w:type="pct"/>
          </w:tcPr>
          <w:p w14:paraId="3CE8BD51"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Benefit-Cost Ratio (BCR)= TR / TC</w:t>
            </w:r>
          </w:p>
        </w:tc>
        <w:tc>
          <w:tcPr>
            <w:tcW w:w="1084" w:type="pct"/>
            <w:vAlign w:val="bottom"/>
          </w:tcPr>
          <w:p w14:paraId="47B39B07"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4.0</w:t>
            </w:r>
          </w:p>
        </w:tc>
        <w:tc>
          <w:tcPr>
            <w:tcW w:w="775" w:type="pct"/>
            <w:vAlign w:val="bottom"/>
          </w:tcPr>
          <w:p w14:paraId="504F23C6"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7.7</w:t>
            </w:r>
          </w:p>
        </w:tc>
      </w:tr>
      <w:tr w:rsidR="00195A8B" w:rsidRPr="00195A8B" w14:paraId="36CC7A85" w14:textId="77777777" w:rsidTr="00CA33B8">
        <w:tc>
          <w:tcPr>
            <w:tcW w:w="1095" w:type="pct"/>
            <w:vMerge/>
          </w:tcPr>
          <w:p w14:paraId="61E99C83" w14:textId="77777777" w:rsidR="00195A8B" w:rsidRPr="00195A8B" w:rsidRDefault="00195A8B" w:rsidP="00195A8B">
            <w:pPr>
              <w:adjustRightInd w:val="0"/>
              <w:ind w:hanging="90"/>
              <w:rPr>
                <w:rFonts w:ascii="Times New Roman" w:hAnsi="Times New Roman" w:cs="Times New Roman"/>
                <w:b/>
                <w:bCs/>
              </w:rPr>
            </w:pPr>
          </w:p>
        </w:tc>
        <w:tc>
          <w:tcPr>
            <w:tcW w:w="2046" w:type="pct"/>
          </w:tcPr>
          <w:p w14:paraId="5A2636DD" w14:textId="77777777" w:rsidR="00195A8B" w:rsidRPr="00195A8B" w:rsidRDefault="00195A8B" w:rsidP="00195A8B">
            <w:pPr>
              <w:adjustRightInd w:val="0"/>
              <w:ind w:hanging="90"/>
              <w:rPr>
                <w:rFonts w:ascii="Times New Roman" w:hAnsi="Times New Roman" w:cs="Times New Roman"/>
                <w:b/>
                <w:bCs/>
              </w:rPr>
            </w:pPr>
          </w:p>
        </w:tc>
        <w:tc>
          <w:tcPr>
            <w:tcW w:w="1084" w:type="pct"/>
          </w:tcPr>
          <w:p w14:paraId="07139DFF" w14:textId="77777777" w:rsidR="00195A8B" w:rsidRPr="00195A8B" w:rsidRDefault="00195A8B" w:rsidP="00195A8B">
            <w:pPr>
              <w:adjustRightInd w:val="0"/>
              <w:ind w:hanging="90"/>
              <w:rPr>
                <w:rFonts w:ascii="Times New Roman" w:hAnsi="Times New Roman" w:cs="Times New Roman"/>
                <w:b/>
                <w:bCs/>
              </w:rPr>
            </w:pPr>
          </w:p>
        </w:tc>
        <w:tc>
          <w:tcPr>
            <w:tcW w:w="775" w:type="pct"/>
          </w:tcPr>
          <w:p w14:paraId="16A0EDB8" w14:textId="77777777" w:rsidR="00195A8B" w:rsidRPr="00195A8B" w:rsidRDefault="00195A8B" w:rsidP="00195A8B">
            <w:pPr>
              <w:adjustRightInd w:val="0"/>
              <w:ind w:hanging="90"/>
              <w:rPr>
                <w:rFonts w:ascii="Times New Roman" w:hAnsi="Times New Roman" w:cs="Times New Roman"/>
                <w:b/>
                <w:bCs/>
              </w:rPr>
            </w:pPr>
          </w:p>
        </w:tc>
      </w:tr>
      <w:tr w:rsidR="00195A8B" w:rsidRPr="00195A8B" w14:paraId="734D4AF4" w14:textId="77777777" w:rsidTr="00CA33B8">
        <w:tc>
          <w:tcPr>
            <w:tcW w:w="1095" w:type="pct"/>
            <w:vMerge w:val="restart"/>
          </w:tcPr>
          <w:p w14:paraId="5D850F84"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Transportation enterprises</w:t>
            </w:r>
          </w:p>
        </w:tc>
        <w:tc>
          <w:tcPr>
            <w:tcW w:w="2046" w:type="pct"/>
          </w:tcPr>
          <w:p w14:paraId="54B11491" w14:textId="77777777" w:rsidR="00195A8B" w:rsidRPr="00195A8B" w:rsidRDefault="00195A8B" w:rsidP="00195A8B">
            <w:pPr>
              <w:adjustRightInd w:val="0"/>
              <w:ind w:hanging="90"/>
              <w:rPr>
                <w:rFonts w:ascii="Times New Roman" w:hAnsi="Times New Roman" w:cs="Times New Roman"/>
                <w:bCs/>
              </w:rPr>
            </w:pPr>
            <w:r w:rsidRPr="00195A8B">
              <w:rPr>
                <w:rFonts w:ascii="Times New Roman" w:hAnsi="Times New Roman" w:cs="Times New Roman"/>
                <w:bCs/>
              </w:rPr>
              <w:t>Total Cost (TC)</w:t>
            </w:r>
          </w:p>
        </w:tc>
        <w:tc>
          <w:tcPr>
            <w:tcW w:w="1084" w:type="pct"/>
          </w:tcPr>
          <w:p w14:paraId="286EE1CF" w14:textId="77777777" w:rsidR="00195A8B" w:rsidRPr="00195A8B" w:rsidRDefault="00195A8B" w:rsidP="00195A8B">
            <w:pPr>
              <w:adjustRightInd w:val="0"/>
              <w:ind w:hanging="90"/>
              <w:rPr>
                <w:rFonts w:ascii="Times New Roman" w:hAnsi="Times New Roman" w:cs="Times New Roman"/>
                <w:bCs/>
              </w:rPr>
            </w:pPr>
            <w:r w:rsidRPr="00195A8B">
              <w:rPr>
                <w:rFonts w:ascii="Times New Roman" w:hAnsi="Times New Roman" w:cs="Times New Roman"/>
                <w:bCs/>
              </w:rPr>
              <w:t>17,171,996</w:t>
            </w:r>
          </w:p>
        </w:tc>
        <w:tc>
          <w:tcPr>
            <w:tcW w:w="775" w:type="pct"/>
          </w:tcPr>
          <w:p w14:paraId="40D98197" w14:textId="77777777" w:rsidR="00195A8B" w:rsidRPr="00195A8B" w:rsidRDefault="00195A8B" w:rsidP="00195A8B">
            <w:pPr>
              <w:adjustRightInd w:val="0"/>
              <w:ind w:hanging="90"/>
              <w:rPr>
                <w:rFonts w:ascii="Times New Roman" w:hAnsi="Times New Roman" w:cs="Times New Roman"/>
                <w:bCs/>
              </w:rPr>
            </w:pPr>
            <w:r w:rsidRPr="00195A8B">
              <w:rPr>
                <w:rFonts w:ascii="Times New Roman" w:hAnsi="Times New Roman" w:cs="Times New Roman"/>
                <w:bCs/>
              </w:rPr>
              <w:t>1,112,000</w:t>
            </w:r>
          </w:p>
        </w:tc>
      </w:tr>
      <w:tr w:rsidR="00195A8B" w:rsidRPr="00195A8B" w14:paraId="0FB6D8BE" w14:textId="77777777" w:rsidTr="00CA33B8">
        <w:tc>
          <w:tcPr>
            <w:tcW w:w="1095" w:type="pct"/>
            <w:vMerge/>
          </w:tcPr>
          <w:p w14:paraId="77416F51" w14:textId="77777777" w:rsidR="00195A8B" w:rsidRPr="00195A8B" w:rsidRDefault="00195A8B" w:rsidP="00195A8B">
            <w:pPr>
              <w:adjustRightInd w:val="0"/>
              <w:ind w:hanging="90"/>
              <w:rPr>
                <w:rFonts w:ascii="Times New Roman" w:hAnsi="Times New Roman" w:cs="Times New Roman"/>
                <w:b/>
                <w:bCs/>
              </w:rPr>
            </w:pPr>
          </w:p>
        </w:tc>
        <w:tc>
          <w:tcPr>
            <w:tcW w:w="2046" w:type="pct"/>
          </w:tcPr>
          <w:p w14:paraId="24588039" w14:textId="77777777" w:rsidR="00195A8B" w:rsidRPr="00195A8B" w:rsidRDefault="00195A8B" w:rsidP="00195A8B">
            <w:pPr>
              <w:adjustRightInd w:val="0"/>
              <w:ind w:hanging="90"/>
              <w:rPr>
                <w:rFonts w:ascii="Times New Roman" w:hAnsi="Times New Roman" w:cs="Times New Roman"/>
                <w:bCs/>
              </w:rPr>
            </w:pPr>
            <w:r w:rsidRPr="00195A8B">
              <w:rPr>
                <w:rFonts w:ascii="Times New Roman" w:hAnsi="Times New Roman" w:cs="Times New Roman"/>
                <w:bCs/>
              </w:rPr>
              <w:t>Total Revenue (TR)</w:t>
            </w:r>
          </w:p>
        </w:tc>
        <w:tc>
          <w:tcPr>
            <w:tcW w:w="1084" w:type="pct"/>
          </w:tcPr>
          <w:p w14:paraId="723BBFAE" w14:textId="77777777" w:rsidR="00195A8B" w:rsidRPr="00195A8B" w:rsidRDefault="00195A8B" w:rsidP="00195A8B">
            <w:pPr>
              <w:adjustRightInd w:val="0"/>
              <w:ind w:hanging="90"/>
              <w:rPr>
                <w:rFonts w:ascii="Times New Roman" w:hAnsi="Times New Roman" w:cs="Times New Roman"/>
                <w:bCs/>
              </w:rPr>
            </w:pPr>
            <w:r w:rsidRPr="00195A8B">
              <w:rPr>
                <w:rFonts w:ascii="Times New Roman" w:hAnsi="Times New Roman" w:cs="Times New Roman"/>
                <w:bCs/>
              </w:rPr>
              <w:t>9,891,000</w:t>
            </w:r>
          </w:p>
        </w:tc>
        <w:tc>
          <w:tcPr>
            <w:tcW w:w="775" w:type="pct"/>
          </w:tcPr>
          <w:p w14:paraId="79356028" w14:textId="77777777" w:rsidR="00195A8B" w:rsidRPr="00195A8B" w:rsidRDefault="00195A8B" w:rsidP="00195A8B">
            <w:pPr>
              <w:adjustRightInd w:val="0"/>
              <w:ind w:hanging="90"/>
              <w:rPr>
                <w:rFonts w:ascii="Times New Roman" w:hAnsi="Times New Roman" w:cs="Times New Roman"/>
                <w:bCs/>
              </w:rPr>
            </w:pPr>
            <w:r w:rsidRPr="00195A8B">
              <w:rPr>
                <w:rFonts w:ascii="Times New Roman" w:hAnsi="Times New Roman" w:cs="Times New Roman"/>
                <w:bCs/>
              </w:rPr>
              <w:t>15,000,000</w:t>
            </w:r>
          </w:p>
        </w:tc>
      </w:tr>
      <w:tr w:rsidR="00195A8B" w:rsidRPr="00195A8B" w14:paraId="183AFBB0" w14:textId="77777777" w:rsidTr="00CA33B8">
        <w:tc>
          <w:tcPr>
            <w:tcW w:w="1095" w:type="pct"/>
            <w:vMerge/>
          </w:tcPr>
          <w:p w14:paraId="74A5AE63" w14:textId="77777777" w:rsidR="00195A8B" w:rsidRPr="00195A8B" w:rsidRDefault="00195A8B" w:rsidP="00195A8B">
            <w:pPr>
              <w:adjustRightInd w:val="0"/>
              <w:ind w:hanging="90"/>
              <w:rPr>
                <w:rFonts w:ascii="Times New Roman" w:hAnsi="Times New Roman" w:cs="Times New Roman"/>
                <w:b/>
                <w:bCs/>
              </w:rPr>
            </w:pPr>
          </w:p>
        </w:tc>
        <w:tc>
          <w:tcPr>
            <w:tcW w:w="2046" w:type="pct"/>
          </w:tcPr>
          <w:p w14:paraId="1320031B"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Net Profit Margin (NPM)= TR- TC</w:t>
            </w:r>
          </w:p>
        </w:tc>
        <w:tc>
          <w:tcPr>
            <w:tcW w:w="1084" w:type="pct"/>
            <w:vAlign w:val="bottom"/>
          </w:tcPr>
          <w:p w14:paraId="4E23CF17"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-7,280,996</w:t>
            </w:r>
          </w:p>
        </w:tc>
        <w:tc>
          <w:tcPr>
            <w:tcW w:w="775" w:type="pct"/>
            <w:vAlign w:val="bottom"/>
          </w:tcPr>
          <w:p w14:paraId="4ECC8C9B"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13,888,000</w:t>
            </w:r>
          </w:p>
        </w:tc>
      </w:tr>
      <w:tr w:rsidR="00195A8B" w:rsidRPr="00195A8B" w14:paraId="01A06FC8" w14:textId="77777777" w:rsidTr="00CA33B8">
        <w:tc>
          <w:tcPr>
            <w:tcW w:w="1095" w:type="pct"/>
            <w:vMerge/>
          </w:tcPr>
          <w:p w14:paraId="29D65F90" w14:textId="77777777" w:rsidR="00195A8B" w:rsidRPr="00195A8B" w:rsidRDefault="00195A8B" w:rsidP="00195A8B">
            <w:pPr>
              <w:adjustRightInd w:val="0"/>
              <w:ind w:hanging="90"/>
              <w:rPr>
                <w:rFonts w:ascii="Times New Roman" w:hAnsi="Times New Roman" w:cs="Times New Roman"/>
                <w:b/>
                <w:bCs/>
              </w:rPr>
            </w:pPr>
          </w:p>
        </w:tc>
        <w:tc>
          <w:tcPr>
            <w:tcW w:w="2046" w:type="pct"/>
          </w:tcPr>
          <w:p w14:paraId="201CDBE0"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Return on Investment (ROI)= NPM/ TC*100</w:t>
            </w:r>
          </w:p>
        </w:tc>
        <w:tc>
          <w:tcPr>
            <w:tcW w:w="1084" w:type="pct"/>
            <w:vAlign w:val="bottom"/>
          </w:tcPr>
          <w:p w14:paraId="0E2BDB92"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-42</w:t>
            </w:r>
          </w:p>
        </w:tc>
        <w:tc>
          <w:tcPr>
            <w:tcW w:w="775" w:type="pct"/>
            <w:vAlign w:val="bottom"/>
          </w:tcPr>
          <w:p w14:paraId="4393368C"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1,249</w:t>
            </w:r>
          </w:p>
        </w:tc>
      </w:tr>
      <w:tr w:rsidR="00195A8B" w:rsidRPr="00195A8B" w14:paraId="2FFEDD3A" w14:textId="77777777" w:rsidTr="00CA33B8">
        <w:tc>
          <w:tcPr>
            <w:tcW w:w="1095" w:type="pct"/>
            <w:vMerge/>
          </w:tcPr>
          <w:p w14:paraId="02ECF3BF" w14:textId="77777777" w:rsidR="00195A8B" w:rsidRPr="00195A8B" w:rsidRDefault="00195A8B" w:rsidP="00195A8B">
            <w:pPr>
              <w:adjustRightInd w:val="0"/>
              <w:ind w:hanging="90"/>
              <w:rPr>
                <w:rFonts w:ascii="Times New Roman" w:hAnsi="Times New Roman" w:cs="Times New Roman"/>
                <w:b/>
                <w:bCs/>
              </w:rPr>
            </w:pPr>
          </w:p>
        </w:tc>
        <w:tc>
          <w:tcPr>
            <w:tcW w:w="2046" w:type="pct"/>
          </w:tcPr>
          <w:p w14:paraId="574FA0AE"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Benefit-Cost Ratio (BCR)= TR / TC</w:t>
            </w:r>
          </w:p>
        </w:tc>
        <w:tc>
          <w:tcPr>
            <w:tcW w:w="1084" w:type="pct"/>
            <w:vAlign w:val="bottom"/>
          </w:tcPr>
          <w:p w14:paraId="24D424B1"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0.6</w:t>
            </w:r>
          </w:p>
        </w:tc>
        <w:tc>
          <w:tcPr>
            <w:tcW w:w="775" w:type="pct"/>
            <w:vAlign w:val="bottom"/>
          </w:tcPr>
          <w:p w14:paraId="79904DA0"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13.5</w:t>
            </w:r>
          </w:p>
        </w:tc>
      </w:tr>
      <w:tr w:rsidR="00195A8B" w:rsidRPr="00195A8B" w14:paraId="5055D05F" w14:textId="77777777" w:rsidTr="00CA33B8">
        <w:tc>
          <w:tcPr>
            <w:tcW w:w="1095" w:type="pct"/>
            <w:vMerge/>
          </w:tcPr>
          <w:p w14:paraId="5F79B556" w14:textId="77777777" w:rsidR="00195A8B" w:rsidRPr="00195A8B" w:rsidRDefault="00195A8B" w:rsidP="00195A8B">
            <w:pPr>
              <w:adjustRightInd w:val="0"/>
              <w:ind w:hanging="90"/>
              <w:rPr>
                <w:rFonts w:ascii="Times New Roman" w:hAnsi="Times New Roman" w:cs="Times New Roman"/>
                <w:b/>
                <w:bCs/>
              </w:rPr>
            </w:pPr>
          </w:p>
        </w:tc>
        <w:tc>
          <w:tcPr>
            <w:tcW w:w="2046" w:type="pct"/>
          </w:tcPr>
          <w:p w14:paraId="5B2E9814" w14:textId="77777777" w:rsidR="00195A8B" w:rsidRPr="00195A8B" w:rsidRDefault="00195A8B" w:rsidP="00195A8B">
            <w:pPr>
              <w:adjustRightInd w:val="0"/>
              <w:ind w:hanging="90"/>
              <w:rPr>
                <w:rFonts w:ascii="Times New Roman" w:hAnsi="Times New Roman" w:cs="Times New Roman"/>
                <w:b/>
                <w:bCs/>
              </w:rPr>
            </w:pPr>
          </w:p>
        </w:tc>
        <w:tc>
          <w:tcPr>
            <w:tcW w:w="1084" w:type="pct"/>
          </w:tcPr>
          <w:p w14:paraId="258D306D" w14:textId="77777777" w:rsidR="00195A8B" w:rsidRPr="00195A8B" w:rsidRDefault="00195A8B" w:rsidP="00195A8B">
            <w:pPr>
              <w:adjustRightInd w:val="0"/>
              <w:ind w:hanging="90"/>
              <w:rPr>
                <w:rFonts w:ascii="Times New Roman" w:hAnsi="Times New Roman" w:cs="Times New Roman"/>
                <w:b/>
                <w:bCs/>
              </w:rPr>
            </w:pPr>
          </w:p>
        </w:tc>
        <w:tc>
          <w:tcPr>
            <w:tcW w:w="775" w:type="pct"/>
          </w:tcPr>
          <w:p w14:paraId="3487946C" w14:textId="77777777" w:rsidR="00195A8B" w:rsidRPr="00195A8B" w:rsidRDefault="00195A8B" w:rsidP="00195A8B">
            <w:pPr>
              <w:adjustRightInd w:val="0"/>
              <w:ind w:hanging="90"/>
              <w:rPr>
                <w:rFonts w:ascii="Times New Roman" w:hAnsi="Times New Roman" w:cs="Times New Roman"/>
                <w:b/>
                <w:bCs/>
              </w:rPr>
            </w:pPr>
          </w:p>
        </w:tc>
      </w:tr>
      <w:tr w:rsidR="00195A8B" w:rsidRPr="00195A8B" w14:paraId="66E2438D" w14:textId="77777777" w:rsidTr="00CA33B8">
        <w:tc>
          <w:tcPr>
            <w:tcW w:w="1095" w:type="pct"/>
            <w:vMerge w:val="restart"/>
          </w:tcPr>
          <w:p w14:paraId="07279DE3"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Construction services enterprises</w:t>
            </w:r>
          </w:p>
        </w:tc>
        <w:tc>
          <w:tcPr>
            <w:tcW w:w="2046" w:type="pct"/>
          </w:tcPr>
          <w:p w14:paraId="15E0CAFC" w14:textId="77777777" w:rsidR="00195A8B" w:rsidRPr="00195A8B" w:rsidRDefault="00195A8B" w:rsidP="00195A8B">
            <w:pPr>
              <w:adjustRightInd w:val="0"/>
              <w:ind w:hanging="90"/>
              <w:rPr>
                <w:rFonts w:ascii="Times New Roman" w:hAnsi="Times New Roman" w:cs="Times New Roman"/>
                <w:bCs/>
              </w:rPr>
            </w:pPr>
            <w:r w:rsidRPr="00195A8B">
              <w:rPr>
                <w:rFonts w:ascii="Times New Roman" w:hAnsi="Times New Roman" w:cs="Times New Roman"/>
                <w:bCs/>
              </w:rPr>
              <w:t>Total Cost (TC)</w:t>
            </w:r>
          </w:p>
        </w:tc>
        <w:tc>
          <w:tcPr>
            <w:tcW w:w="1084" w:type="pct"/>
          </w:tcPr>
          <w:p w14:paraId="6BD7DDE4" w14:textId="77777777" w:rsidR="00195A8B" w:rsidRPr="00195A8B" w:rsidRDefault="00195A8B" w:rsidP="00195A8B">
            <w:pPr>
              <w:adjustRightInd w:val="0"/>
              <w:ind w:hanging="90"/>
              <w:rPr>
                <w:rFonts w:ascii="Times New Roman" w:hAnsi="Times New Roman" w:cs="Times New Roman"/>
                <w:bCs/>
              </w:rPr>
            </w:pPr>
            <w:r w:rsidRPr="00195A8B">
              <w:rPr>
                <w:rFonts w:ascii="Times New Roman" w:hAnsi="Times New Roman" w:cs="Times New Roman"/>
                <w:bCs/>
              </w:rPr>
              <w:t>4,282,000</w:t>
            </w:r>
          </w:p>
        </w:tc>
        <w:tc>
          <w:tcPr>
            <w:tcW w:w="775" w:type="pct"/>
          </w:tcPr>
          <w:p w14:paraId="53686472" w14:textId="77777777" w:rsidR="00195A8B" w:rsidRPr="00195A8B" w:rsidRDefault="00195A8B" w:rsidP="00195A8B">
            <w:pPr>
              <w:adjustRightInd w:val="0"/>
              <w:ind w:hanging="90"/>
              <w:rPr>
                <w:rFonts w:ascii="Times New Roman" w:hAnsi="Times New Roman" w:cs="Times New Roman"/>
                <w:bCs/>
              </w:rPr>
            </w:pPr>
            <w:r w:rsidRPr="00195A8B">
              <w:rPr>
                <w:rFonts w:ascii="Times New Roman" w:hAnsi="Times New Roman" w:cs="Times New Roman"/>
                <w:bCs/>
              </w:rPr>
              <w:t>4,495,264</w:t>
            </w:r>
          </w:p>
        </w:tc>
      </w:tr>
      <w:tr w:rsidR="00195A8B" w:rsidRPr="00195A8B" w14:paraId="1EFEFFCF" w14:textId="77777777" w:rsidTr="00CA33B8">
        <w:tc>
          <w:tcPr>
            <w:tcW w:w="1095" w:type="pct"/>
            <w:vMerge/>
          </w:tcPr>
          <w:p w14:paraId="114665C5" w14:textId="77777777" w:rsidR="00195A8B" w:rsidRPr="00195A8B" w:rsidRDefault="00195A8B" w:rsidP="00195A8B">
            <w:pPr>
              <w:adjustRightInd w:val="0"/>
              <w:ind w:hanging="90"/>
              <w:rPr>
                <w:rFonts w:ascii="Times New Roman" w:hAnsi="Times New Roman" w:cs="Times New Roman"/>
                <w:b/>
                <w:bCs/>
              </w:rPr>
            </w:pPr>
          </w:p>
        </w:tc>
        <w:tc>
          <w:tcPr>
            <w:tcW w:w="2046" w:type="pct"/>
          </w:tcPr>
          <w:p w14:paraId="54BAFF78" w14:textId="77777777" w:rsidR="00195A8B" w:rsidRPr="00195A8B" w:rsidRDefault="00195A8B" w:rsidP="00195A8B">
            <w:pPr>
              <w:adjustRightInd w:val="0"/>
              <w:ind w:hanging="90"/>
              <w:rPr>
                <w:rFonts w:ascii="Times New Roman" w:hAnsi="Times New Roman" w:cs="Times New Roman"/>
                <w:bCs/>
              </w:rPr>
            </w:pPr>
            <w:r w:rsidRPr="00195A8B">
              <w:rPr>
                <w:rFonts w:ascii="Times New Roman" w:hAnsi="Times New Roman" w:cs="Times New Roman"/>
                <w:bCs/>
              </w:rPr>
              <w:t>Total Revenue (TR)</w:t>
            </w:r>
          </w:p>
        </w:tc>
        <w:tc>
          <w:tcPr>
            <w:tcW w:w="1084" w:type="pct"/>
          </w:tcPr>
          <w:p w14:paraId="24E794AF" w14:textId="77777777" w:rsidR="00195A8B" w:rsidRPr="00195A8B" w:rsidRDefault="00195A8B" w:rsidP="00195A8B">
            <w:pPr>
              <w:adjustRightInd w:val="0"/>
              <w:ind w:hanging="90"/>
              <w:rPr>
                <w:rFonts w:ascii="Times New Roman" w:hAnsi="Times New Roman" w:cs="Times New Roman"/>
                <w:bCs/>
              </w:rPr>
            </w:pPr>
            <w:r w:rsidRPr="00195A8B">
              <w:rPr>
                <w:rFonts w:ascii="Times New Roman" w:hAnsi="Times New Roman" w:cs="Times New Roman"/>
                <w:bCs/>
              </w:rPr>
              <w:t>29,950,000</w:t>
            </w:r>
          </w:p>
        </w:tc>
        <w:tc>
          <w:tcPr>
            <w:tcW w:w="775" w:type="pct"/>
          </w:tcPr>
          <w:p w14:paraId="633FBB3D" w14:textId="77777777" w:rsidR="00195A8B" w:rsidRPr="00195A8B" w:rsidRDefault="00195A8B" w:rsidP="00195A8B">
            <w:pPr>
              <w:adjustRightInd w:val="0"/>
              <w:ind w:hanging="90"/>
              <w:rPr>
                <w:rFonts w:ascii="Times New Roman" w:hAnsi="Times New Roman" w:cs="Times New Roman"/>
                <w:bCs/>
              </w:rPr>
            </w:pPr>
            <w:r w:rsidRPr="00195A8B">
              <w:rPr>
                <w:rFonts w:ascii="Times New Roman" w:hAnsi="Times New Roman" w:cs="Times New Roman"/>
                <w:bCs/>
              </w:rPr>
              <w:t>13,830,000</w:t>
            </w:r>
          </w:p>
        </w:tc>
      </w:tr>
      <w:tr w:rsidR="00195A8B" w:rsidRPr="00195A8B" w14:paraId="57ACF785" w14:textId="77777777" w:rsidTr="00CA33B8">
        <w:tc>
          <w:tcPr>
            <w:tcW w:w="1095" w:type="pct"/>
            <w:vMerge/>
          </w:tcPr>
          <w:p w14:paraId="37A86A36" w14:textId="77777777" w:rsidR="00195A8B" w:rsidRPr="00195A8B" w:rsidRDefault="00195A8B" w:rsidP="00195A8B">
            <w:pPr>
              <w:adjustRightInd w:val="0"/>
              <w:ind w:hanging="90"/>
              <w:rPr>
                <w:rFonts w:ascii="Times New Roman" w:hAnsi="Times New Roman" w:cs="Times New Roman"/>
                <w:b/>
                <w:bCs/>
              </w:rPr>
            </w:pPr>
          </w:p>
        </w:tc>
        <w:tc>
          <w:tcPr>
            <w:tcW w:w="2046" w:type="pct"/>
          </w:tcPr>
          <w:p w14:paraId="52FF746E"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Net Profit Margin (NPM)= TR- TC</w:t>
            </w:r>
          </w:p>
        </w:tc>
        <w:tc>
          <w:tcPr>
            <w:tcW w:w="1084" w:type="pct"/>
            <w:vAlign w:val="bottom"/>
          </w:tcPr>
          <w:p w14:paraId="2D227F7F"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25,668,000</w:t>
            </w:r>
          </w:p>
        </w:tc>
        <w:tc>
          <w:tcPr>
            <w:tcW w:w="775" w:type="pct"/>
            <w:vAlign w:val="bottom"/>
          </w:tcPr>
          <w:p w14:paraId="1F81F551"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9,334,736</w:t>
            </w:r>
          </w:p>
        </w:tc>
      </w:tr>
      <w:tr w:rsidR="00195A8B" w:rsidRPr="00195A8B" w14:paraId="3581C461" w14:textId="77777777" w:rsidTr="00CA33B8">
        <w:tc>
          <w:tcPr>
            <w:tcW w:w="1095" w:type="pct"/>
            <w:vMerge/>
          </w:tcPr>
          <w:p w14:paraId="21A09404" w14:textId="77777777" w:rsidR="00195A8B" w:rsidRPr="00195A8B" w:rsidRDefault="00195A8B" w:rsidP="00195A8B">
            <w:pPr>
              <w:adjustRightInd w:val="0"/>
              <w:ind w:hanging="90"/>
              <w:rPr>
                <w:rFonts w:ascii="Times New Roman" w:hAnsi="Times New Roman" w:cs="Times New Roman"/>
                <w:b/>
                <w:bCs/>
              </w:rPr>
            </w:pPr>
          </w:p>
        </w:tc>
        <w:tc>
          <w:tcPr>
            <w:tcW w:w="2046" w:type="pct"/>
          </w:tcPr>
          <w:p w14:paraId="285B2A1B"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Return on Investment (ROI)= NPM/ TC*100</w:t>
            </w:r>
          </w:p>
        </w:tc>
        <w:tc>
          <w:tcPr>
            <w:tcW w:w="1084" w:type="pct"/>
            <w:vAlign w:val="bottom"/>
          </w:tcPr>
          <w:p w14:paraId="4C6B20AE"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599</w:t>
            </w:r>
          </w:p>
        </w:tc>
        <w:tc>
          <w:tcPr>
            <w:tcW w:w="775" w:type="pct"/>
            <w:vAlign w:val="bottom"/>
          </w:tcPr>
          <w:p w14:paraId="44D18901"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208</w:t>
            </w:r>
          </w:p>
        </w:tc>
      </w:tr>
      <w:tr w:rsidR="00195A8B" w:rsidRPr="00195A8B" w14:paraId="5444D62C" w14:textId="77777777" w:rsidTr="00CA33B8">
        <w:tc>
          <w:tcPr>
            <w:tcW w:w="1095" w:type="pct"/>
            <w:vMerge/>
          </w:tcPr>
          <w:p w14:paraId="4E578EFC" w14:textId="77777777" w:rsidR="00195A8B" w:rsidRPr="00195A8B" w:rsidRDefault="00195A8B" w:rsidP="00195A8B">
            <w:pPr>
              <w:adjustRightInd w:val="0"/>
              <w:ind w:hanging="90"/>
              <w:rPr>
                <w:rFonts w:ascii="Times New Roman" w:hAnsi="Times New Roman" w:cs="Times New Roman"/>
                <w:b/>
                <w:bCs/>
              </w:rPr>
            </w:pPr>
          </w:p>
        </w:tc>
        <w:tc>
          <w:tcPr>
            <w:tcW w:w="2046" w:type="pct"/>
          </w:tcPr>
          <w:p w14:paraId="101539E8"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Benefit-Cost Ratio (BCR)= TR / TC</w:t>
            </w:r>
          </w:p>
        </w:tc>
        <w:tc>
          <w:tcPr>
            <w:tcW w:w="1084" w:type="pct"/>
            <w:vAlign w:val="bottom"/>
          </w:tcPr>
          <w:p w14:paraId="195B4363"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7.0</w:t>
            </w:r>
          </w:p>
        </w:tc>
        <w:tc>
          <w:tcPr>
            <w:tcW w:w="775" w:type="pct"/>
            <w:vAlign w:val="bottom"/>
          </w:tcPr>
          <w:p w14:paraId="5D34F917" w14:textId="77777777" w:rsidR="00195A8B" w:rsidRPr="00195A8B" w:rsidRDefault="00195A8B" w:rsidP="00195A8B">
            <w:pPr>
              <w:adjustRightInd w:val="0"/>
              <w:ind w:hanging="90"/>
              <w:rPr>
                <w:rFonts w:ascii="Times New Roman" w:hAnsi="Times New Roman" w:cs="Times New Roman"/>
                <w:b/>
                <w:bCs/>
              </w:rPr>
            </w:pPr>
            <w:r w:rsidRPr="00195A8B">
              <w:rPr>
                <w:rFonts w:ascii="Times New Roman" w:hAnsi="Times New Roman" w:cs="Times New Roman"/>
                <w:b/>
                <w:bCs/>
              </w:rPr>
              <w:t>3.1</w:t>
            </w:r>
          </w:p>
        </w:tc>
      </w:tr>
    </w:tbl>
    <w:p w14:paraId="6FD9489F" w14:textId="77777777" w:rsidR="00195A8B" w:rsidRPr="00195A8B" w:rsidRDefault="00195A8B" w:rsidP="00195A8B">
      <w:pPr>
        <w:spacing w:after="160" w:line="259" w:lineRule="auto"/>
        <w:jc w:val="both"/>
        <w:rPr>
          <w:rFonts w:ascii="Times New Roman" w:eastAsia="Calibri" w:hAnsi="Times New Roman" w:cs="Times New Roman"/>
          <w:kern w:val="2"/>
          <w:sz w:val="24"/>
          <w:szCs w:val="24"/>
          <w:lang w:eastAsia="en-US"/>
        </w:rPr>
      </w:pPr>
      <w:r w:rsidRPr="00195A8B">
        <w:rPr>
          <w:rFonts w:ascii="Times New Roman" w:eastAsia="Calibri" w:hAnsi="Times New Roman" w:cs="Times New Roman"/>
          <w:b/>
          <w:bCs/>
          <w:kern w:val="2"/>
          <w:sz w:val="24"/>
          <w:szCs w:val="24"/>
          <w:lang w:eastAsia="en-US"/>
        </w:rPr>
        <w:t>Source</w:t>
      </w:r>
      <w:r w:rsidRPr="00195A8B">
        <w:rPr>
          <w:rFonts w:ascii="Times New Roman" w:eastAsia="Calibri" w:hAnsi="Times New Roman" w:cs="Times New Roman"/>
          <w:kern w:val="2"/>
          <w:sz w:val="24"/>
          <w:szCs w:val="24"/>
          <w:lang w:eastAsia="en-US"/>
        </w:rPr>
        <w:t>: Survey field data, 2023/2024</w:t>
      </w:r>
    </w:p>
    <w:p w14:paraId="7DC3F884" w14:textId="77777777" w:rsidR="00195A8B" w:rsidRPr="00195A8B" w:rsidRDefault="00195A8B" w:rsidP="00195A8B">
      <w:pPr>
        <w:spacing w:after="160" w:line="259" w:lineRule="auto"/>
        <w:ind w:left="1224"/>
        <w:contextualSpacing/>
        <w:rPr>
          <w:rFonts w:ascii="Times New Roman" w:eastAsia="Calibri" w:hAnsi="Times New Roman" w:cs="Times New Roman"/>
          <w:b/>
          <w:bCs/>
          <w:kern w:val="2"/>
          <w:sz w:val="24"/>
          <w:szCs w:val="24"/>
          <w:lang w:val="en-GB" w:eastAsia="en-US"/>
        </w:rPr>
      </w:pPr>
    </w:p>
    <w:p w14:paraId="6221CA6D" w14:textId="77777777" w:rsidR="00195A8B" w:rsidRPr="00195A8B" w:rsidRDefault="00195A8B" w:rsidP="00DF60D8">
      <w:pPr>
        <w:numPr>
          <w:ilvl w:val="1"/>
          <w:numId w:val="39"/>
        </w:numPr>
        <w:spacing w:after="160" w:line="259" w:lineRule="auto"/>
        <w:contextualSpacing/>
        <w:jc w:val="both"/>
        <w:rPr>
          <w:rFonts w:ascii="Times New Roman" w:eastAsia="Calibri" w:hAnsi="Times New Roman" w:cs="Times New Roman"/>
          <w:b/>
          <w:bCs/>
          <w:kern w:val="2"/>
          <w:sz w:val="24"/>
          <w:szCs w:val="24"/>
          <w:lang w:val="en-GB" w:eastAsia="en-US"/>
        </w:rPr>
      </w:pPr>
      <w:r w:rsidRPr="00195A8B">
        <w:rPr>
          <w:rFonts w:ascii="Times New Roman" w:eastAsia="Calibri" w:hAnsi="Times New Roman" w:cs="Times New Roman"/>
          <w:b/>
          <w:bCs/>
          <w:kern w:val="2"/>
          <w:sz w:val="24"/>
          <w:szCs w:val="24"/>
          <w:lang w:val="en-GB" w:eastAsia="en-US"/>
        </w:rPr>
        <w:t>Comparison of Employment Generation of Enterprises Established through Economic Empowerment Schemes between Arusha and Mara Regions.</w:t>
      </w:r>
    </w:p>
    <w:p w14:paraId="455F95C8" w14:textId="21D32CB2"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 xml:space="preserve">The comparative analysis of employment generation among LGA loan beneficiary enterprises in Arusha and Mara reveals nuanced impacts of economic empowerment initiatives on workforce dynamics and compensation structures (Table </w:t>
      </w:r>
      <w:r w:rsidR="008A780B">
        <w:rPr>
          <w:rFonts w:ascii="Times New Roman" w:eastAsia="Calibri" w:hAnsi="Times New Roman" w:cs="Times New Roman"/>
          <w:kern w:val="2"/>
          <w:sz w:val="24"/>
          <w:szCs w:val="24"/>
          <w:lang w:val="en-GB" w:eastAsia="en-US"/>
        </w:rPr>
        <w:t>8</w:t>
      </w:r>
      <w:r w:rsidRPr="00195A8B">
        <w:rPr>
          <w:rFonts w:ascii="Times New Roman" w:eastAsia="Calibri" w:hAnsi="Times New Roman" w:cs="Times New Roman"/>
          <w:kern w:val="2"/>
          <w:sz w:val="24"/>
          <w:szCs w:val="24"/>
          <w:lang w:val="en-GB" w:eastAsia="en-US"/>
        </w:rPr>
        <w:t xml:space="preserve">). In Arusha, the reduction in male employment (-230) and youth adult employment (-109), alongside the increase in female employment (+114) and permanent employment (+15), suggests a structural shift in </w:t>
      </w:r>
      <w:proofErr w:type="spellStart"/>
      <w:r w:rsidRPr="00195A8B">
        <w:rPr>
          <w:rFonts w:ascii="Times New Roman" w:eastAsia="Calibri" w:hAnsi="Times New Roman" w:cs="Times New Roman"/>
          <w:kern w:val="2"/>
          <w:sz w:val="24"/>
          <w:szCs w:val="24"/>
          <w:lang w:val="en-GB" w:eastAsia="en-US"/>
        </w:rPr>
        <w:t>labor</w:t>
      </w:r>
      <w:proofErr w:type="spellEnd"/>
      <w:r w:rsidRPr="00195A8B">
        <w:rPr>
          <w:rFonts w:ascii="Times New Roman" w:eastAsia="Calibri" w:hAnsi="Times New Roman" w:cs="Times New Roman"/>
          <w:kern w:val="2"/>
          <w:sz w:val="24"/>
          <w:szCs w:val="24"/>
          <w:lang w:val="en-GB" w:eastAsia="en-US"/>
        </w:rPr>
        <w:t xml:space="preserve"> utilization post-loan disbursement. This trend reflects observations by Grimm et al. (2012), who note that credit access can lead to </w:t>
      </w:r>
      <w:proofErr w:type="spellStart"/>
      <w:r w:rsidRPr="00195A8B">
        <w:rPr>
          <w:rFonts w:ascii="Times New Roman" w:eastAsia="Calibri" w:hAnsi="Times New Roman" w:cs="Times New Roman"/>
          <w:kern w:val="2"/>
          <w:sz w:val="24"/>
          <w:szCs w:val="24"/>
          <w:lang w:val="en-GB" w:eastAsia="en-US"/>
        </w:rPr>
        <w:t>labor</w:t>
      </w:r>
      <w:proofErr w:type="spellEnd"/>
      <w:r w:rsidRPr="00195A8B">
        <w:rPr>
          <w:rFonts w:ascii="Times New Roman" w:eastAsia="Calibri" w:hAnsi="Times New Roman" w:cs="Times New Roman"/>
          <w:kern w:val="2"/>
          <w:sz w:val="24"/>
          <w:szCs w:val="24"/>
          <w:lang w:val="en-GB" w:eastAsia="en-US"/>
        </w:rPr>
        <w:t xml:space="preserve"> adjustments as enterprises optimize for productivity, sometimes substituting younger or temporary </w:t>
      </w:r>
      <w:proofErr w:type="spellStart"/>
      <w:r w:rsidRPr="00195A8B">
        <w:rPr>
          <w:rFonts w:ascii="Times New Roman" w:eastAsia="Calibri" w:hAnsi="Times New Roman" w:cs="Times New Roman"/>
          <w:kern w:val="2"/>
          <w:sz w:val="24"/>
          <w:szCs w:val="24"/>
          <w:lang w:val="en-GB" w:eastAsia="en-US"/>
        </w:rPr>
        <w:t>labor</w:t>
      </w:r>
      <w:proofErr w:type="spellEnd"/>
      <w:r w:rsidRPr="00195A8B">
        <w:rPr>
          <w:rFonts w:ascii="Times New Roman" w:eastAsia="Calibri" w:hAnsi="Times New Roman" w:cs="Times New Roman"/>
          <w:kern w:val="2"/>
          <w:sz w:val="24"/>
          <w:szCs w:val="24"/>
          <w:lang w:val="en-GB" w:eastAsia="en-US"/>
        </w:rPr>
        <w:t xml:space="preserve"> with permanent and often female </w:t>
      </w:r>
      <w:proofErr w:type="spellStart"/>
      <w:r w:rsidRPr="00195A8B">
        <w:rPr>
          <w:rFonts w:ascii="Times New Roman" w:eastAsia="Calibri" w:hAnsi="Times New Roman" w:cs="Times New Roman"/>
          <w:kern w:val="2"/>
          <w:sz w:val="24"/>
          <w:szCs w:val="24"/>
          <w:lang w:val="en-GB" w:eastAsia="en-US"/>
        </w:rPr>
        <w:t>labor</w:t>
      </w:r>
      <w:proofErr w:type="spellEnd"/>
      <w:r w:rsidRPr="00195A8B">
        <w:rPr>
          <w:rFonts w:ascii="Times New Roman" w:eastAsia="Calibri" w:hAnsi="Times New Roman" w:cs="Times New Roman"/>
          <w:kern w:val="2"/>
          <w:sz w:val="24"/>
          <w:szCs w:val="24"/>
          <w:lang w:val="en-GB" w:eastAsia="en-US"/>
        </w:rPr>
        <w:t>, particularly in urbanizing contexts where service and retail sectors dominate.</w:t>
      </w:r>
    </w:p>
    <w:p w14:paraId="7F01FFDB"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 xml:space="preserve">The significant increase in female employment in Arusha underscores the transformative potential of economic empowerment schemes in enhancing gender-inclusive employment. Similar findings have been noted by </w:t>
      </w:r>
      <w:proofErr w:type="spellStart"/>
      <w:r w:rsidRPr="00195A8B">
        <w:rPr>
          <w:rFonts w:ascii="Times New Roman" w:eastAsia="Calibri" w:hAnsi="Times New Roman" w:cs="Times New Roman"/>
          <w:kern w:val="2"/>
          <w:sz w:val="24"/>
          <w:szCs w:val="24"/>
          <w:lang w:val="en-GB" w:eastAsia="en-US"/>
        </w:rPr>
        <w:t>Golla</w:t>
      </w:r>
      <w:proofErr w:type="spellEnd"/>
      <w:r w:rsidRPr="00195A8B">
        <w:rPr>
          <w:rFonts w:ascii="Times New Roman" w:eastAsia="Calibri" w:hAnsi="Times New Roman" w:cs="Times New Roman"/>
          <w:kern w:val="2"/>
          <w:sz w:val="24"/>
          <w:szCs w:val="24"/>
          <w:lang w:val="en-GB" w:eastAsia="en-US"/>
        </w:rPr>
        <w:t xml:space="preserve"> et al. (2011), emphasizing that targeted financial interventions can improve women’s economic participation and decision-making power, contributing to household welfare and community development.</w:t>
      </w:r>
    </w:p>
    <w:p w14:paraId="0AC16B79"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lastRenderedPageBreak/>
        <w:t xml:space="preserve">In Mara, while the shifts in male, female, and youth employment are marginal, the sharp rise in temporary employment (+207) is particularly notable, indicating that loan-funded enterprises in rural settings may prefer flexible, seasonal </w:t>
      </w:r>
      <w:proofErr w:type="spellStart"/>
      <w:r w:rsidRPr="00195A8B">
        <w:rPr>
          <w:rFonts w:ascii="Times New Roman" w:eastAsia="Calibri" w:hAnsi="Times New Roman" w:cs="Times New Roman"/>
          <w:kern w:val="2"/>
          <w:sz w:val="24"/>
          <w:szCs w:val="24"/>
          <w:lang w:val="en-GB" w:eastAsia="en-US"/>
        </w:rPr>
        <w:t>labor</w:t>
      </w:r>
      <w:proofErr w:type="spellEnd"/>
      <w:r w:rsidRPr="00195A8B">
        <w:rPr>
          <w:rFonts w:ascii="Times New Roman" w:eastAsia="Calibri" w:hAnsi="Times New Roman" w:cs="Times New Roman"/>
          <w:kern w:val="2"/>
          <w:sz w:val="24"/>
          <w:szCs w:val="24"/>
          <w:lang w:val="en-GB" w:eastAsia="en-US"/>
        </w:rPr>
        <w:t xml:space="preserve"> to manage fluctuating demands in sectors like agriculture and transport. This aligns with Fox and </w:t>
      </w:r>
      <w:proofErr w:type="spellStart"/>
      <w:r w:rsidRPr="00195A8B">
        <w:rPr>
          <w:rFonts w:ascii="Times New Roman" w:eastAsia="Calibri" w:hAnsi="Times New Roman" w:cs="Times New Roman"/>
          <w:kern w:val="2"/>
          <w:sz w:val="24"/>
          <w:szCs w:val="24"/>
          <w:lang w:val="en-GB" w:eastAsia="en-US"/>
        </w:rPr>
        <w:t>Sohnesen</w:t>
      </w:r>
      <w:proofErr w:type="spellEnd"/>
      <w:r w:rsidRPr="00195A8B">
        <w:rPr>
          <w:rFonts w:ascii="Times New Roman" w:eastAsia="Calibri" w:hAnsi="Times New Roman" w:cs="Times New Roman"/>
          <w:kern w:val="2"/>
          <w:sz w:val="24"/>
          <w:szCs w:val="24"/>
          <w:lang w:val="en-GB" w:eastAsia="en-US"/>
        </w:rPr>
        <w:t xml:space="preserve"> (2016), who highlight that micro and small enterprises in rural Africa often expand through casual </w:t>
      </w:r>
      <w:proofErr w:type="spellStart"/>
      <w:r w:rsidRPr="00195A8B">
        <w:rPr>
          <w:rFonts w:ascii="Times New Roman" w:eastAsia="Calibri" w:hAnsi="Times New Roman" w:cs="Times New Roman"/>
          <w:kern w:val="2"/>
          <w:sz w:val="24"/>
          <w:szCs w:val="24"/>
          <w:lang w:val="en-GB" w:eastAsia="en-US"/>
        </w:rPr>
        <w:t>labor</w:t>
      </w:r>
      <w:proofErr w:type="spellEnd"/>
      <w:r w:rsidRPr="00195A8B">
        <w:rPr>
          <w:rFonts w:ascii="Times New Roman" w:eastAsia="Calibri" w:hAnsi="Times New Roman" w:cs="Times New Roman"/>
          <w:kern w:val="2"/>
          <w:sz w:val="24"/>
          <w:szCs w:val="24"/>
          <w:lang w:val="en-GB" w:eastAsia="en-US"/>
        </w:rPr>
        <w:t xml:space="preserve"> rather than formal employment structures, reflecting informality and seasonality in rural enterprise dynamics.</w:t>
      </w:r>
    </w:p>
    <w:p w14:paraId="3944BEA0"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 xml:space="preserve">The wage and salary analysis reveals a positive trajectory in both regions, with Arusha recording a 15,301.7 TZS increase in mean monthly wages and a 10,645.3 TZS rise in salaries, while Mara shows even higher increments in mean wages (16,534.2 TZS) and salaries (15,944.0 TZS). These improvements are consistent with </w:t>
      </w:r>
      <w:proofErr w:type="spellStart"/>
      <w:r w:rsidRPr="00195A8B">
        <w:rPr>
          <w:rFonts w:ascii="Times New Roman" w:eastAsia="Calibri" w:hAnsi="Times New Roman" w:cs="Times New Roman"/>
          <w:kern w:val="2"/>
          <w:sz w:val="24"/>
          <w:szCs w:val="24"/>
          <w:lang w:val="en-GB" w:eastAsia="en-US"/>
        </w:rPr>
        <w:t>Karlan</w:t>
      </w:r>
      <w:proofErr w:type="spellEnd"/>
      <w:r w:rsidRPr="00195A8B">
        <w:rPr>
          <w:rFonts w:ascii="Times New Roman" w:eastAsia="Calibri" w:hAnsi="Times New Roman" w:cs="Times New Roman"/>
          <w:kern w:val="2"/>
          <w:sz w:val="24"/>
          <w:szCs w:val="24"/>
          <w:lang w:val="en-GB" w:eastAsia="en-US"/>
        </w:rPr>
        <w:t xml:space="preserve"> and Morduch (2010), who argue that microfinance and local lending programs can enhance household incomes and stimulate wage growth through enterprise expansion and productivity gains.</w:t>
      </w:r>
    </w:p>
    <w:p w14:paraId="1D51C669"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 xml:space="preserve">The findings underscore that loan programs under local economic empowerment schemes contribute positively to employment quality by enhancing remuneration while supporting enterprise sustainability. However, the regional differences indicate that while Arusha’s enterprises may be formalizing and restructuring towards stable employment with higher wages, Mara’s enterprises leverage loans primarily to increase temporary </w:t>
      </w:r>
      <w:proofErr w:type="spellStart"/>
      <w:r w:rsidRPr="00195A8B">
        <w:rPr>
          <w:rFonts w:ascii="Times New Roman" w:eastAsia="Calibri" w:hAnsi="Times New Roman" w:cs="Times New Roman"/>
          <w:kern w:val="2"/>
          <w:sz w:val="24"/>
          <w:szCs w:val="24"/>
          <w:lang w:val="en-GB" w:eastAsia="en-US"/>
        </w:rPr>
        <w:t>labor</w:t>
      </w:r>
      <w:proofErr w:type="spellEnd"/>
      <w:r w:rsidRPr="00195A8B">
        <w:rPr>
          <w:rFonts w:ascii="Times New Roman" w:eastAsia="Calibri" w:hAnsi="Times New Roman" w:cs="Times New Roman"/>
          <w:kern w:val="2"/>
          <w:sz w:val="24"/>
          <w:szCs w:val="24"/>
          <w:lang w:val="en-GB" w:eastAsia="en-US"/>
        </w:rPr>
        <w:t xml:space="preserve"> in response to seasonal business opportunities. This highlights the need for region-specific strategies, as emphasized by Scoones (2015), ensuring that loan schemes adapt to local economic realities while promoting decent work (SDG 8).</w:t>
      </w:r>
    </w:p>
    <w:p w14:paraId="65356C28"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 xml:space="preserve">The contrasting employment patterns also reflect the sectoral structure of enterprises in the two regions. In Arusha, the dominance of retail, livestock, and construction likely </w:t>
      </w:r>
      <w:proofErr w:type="spellStart"/>
      <w:r w:rsidRPr="00195A8B">
        <w:rPr>
          <w:rFonts w:ascii="Times New Roman" w:eastAsia="Calibri" w:hAnsi="Times New Roman" w:cs="Times New Roman"/>
          <w:kern w:val="2"/>
          <w:sz w:val="24"/>
          <w:szCs w:val="24"/>
          <w:lang w:val="en-GB" w:eastAsia="en-US"/>
        </w:rPr>
        <w:t>favors</w:t>
      </w:r>
      <w:proofErr w:type="spellEnd"/>
      <w:r w:rsidRPr="00195A8B">
        <w:rPr>
          <w:rFonts w:ascii="Times New Roman" w:eastAsia="Calibri" w:hAnsi="Times New Roman" w:cs="Times New Roman"/>
          <w:kern w:val="2"/>
          <w:sz w:val="24"/>
          <w:szCs w:val="24"/>
          <w:lang w:val="en-GB" w:eastAsia="en-US"/>
        </w:rPr>
        <w:t xml:space="preserve"> formal, permanent employment, while Mara’s agriculture-heavy enterprises, coupled with limited market linkages, tend to absorb temporary </w:t>
      </w:r>
      <w:proofErr w:type="spellStart"/>
      <w:r w:rsidRPr="00195A8B">
        <w:rPr>
          <w:rFonts w:ascii="Times New Roman" w:eastAsia="Calibri" w:hAnsi="Times New Roman" w:cs="Times New Roman"/>
          <w:kern w:val="2"/>
          <w:sz w:val="24"/>
          <w:szCs w:val="24"/>
          <w:lang w:val="en-GB" w:eastAsia="en-US"/>
        </w:rPr>
        <w:t>labor</w:t>
      </w:r>
      <w:proofErr w:type="spellEnd"/>
      <w:r w:rsidRPr="00195A8B">
        <w:rPr>
          <w:rFonts w:ascii="Times New Roman" w:eastAsia="Calibri" w:hAnsi="Times New Roman" w:cs="Times New Roman"/>
          <w:kern w:val="2"/>
          <w:sz w:val="24"/>
          <w:szCs w:val="24"/>
          <w:lang w:val="en-GB" w:eastAsia="en-US"/>
        </w:rPr>
        <w:t xml:space="preserve"> for scalability during peak periods, consistent with Jayne et al. (2010) on agricultural </w:t>
      </w:r>
      <w:proofErr w:type="spellStart"/>
      <w:r w:rsidRPr="00195A8B">
        <w:rPr>
          <w:rFonts w:ascii="Times New Roman" w:eastAsia="Calibri" w:hAnsi="Times New Roman" w:cs="Times New Roman"/>
          <w:kern w:val="2"/>
          <w:sz w:val="24"/>
          <w:szCs w:val="24"/>
          <w:lang w:val="en-GB" w:eastAsia="en-US"/>
        </w:rPr>
        <w:t>labor</w:t>
      </w:r>
      <w:proofErr w:type="spellEnd"/>
      <w:r w:rsidRPr="00195A8B">
        <w:rPr>
          <w:rFonts w:ascii="Times New Roman" w:eastAsia="Calibri" w:hAnsi="Times New Roman" w:cs="Times New Roman"/>
          <w:kern w:val="2"/>
          <w:sz w:val="24"/>
          <w:szCs w:val="24"/>
          <w:lang w:val="en-GB" w:eastAsia="en-US"/>
        </w:rPr>
        <w:t xml:space="preserve"> dynamics in rural Africa.</w:t>
      </w:r>
    </w:p>
    <w:p w14:paraId="4D831558"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 xml:space="preserve">Generally, the analysis demonstrates that economic empowerment schemes in Tanzania have the potential to significantly influence employment generation, gender inclusivity, and wage enhancement while aligning with national and global goals for inclusive economic growth. Policymakers and program designers should consider these dynamics to enhance the impact of loan programs by coupling financial support with enterprise management training and </w:t>
      </w:r>
      <w:proofErr w:type="spellStart"/>
      <w:r w:rsidRPr="00195A8B">
        <w:rPr>
          <w:rFonts w:ascii="Times New Roman" w:eastAsia="Calibri" w:hAnsi="Times New Roman" w:cs="Times New Roman"/>
          <w:kern w:val="2"/>
          <w:sz w:val="24"/>
          <w:szCs w:val="24"/>
          <w:lang w:val="en-GB" w:eastAsia="en-US"/>
        </w:rPr>
        <w:t>labor</w:t>
      </w:r>
      <w:proofErr w:type="spellEnd"/>
      <w:r w:rsidRPr="00195A8B">
        <w:rPr>
          <w:rFonts w:ascii="Times New Roman" w:eastAsia="Calibri" w:hAnsi="Times New Roman" w:cs="Times New Roman"/>
          <w:kern w:val="2"/>
          <w:sz w:val="24"/>
          <w:szCs w:val="24"/>
          <w:lang w:val="en-GB" w:eastAsia="en-US"/>
        </w:rPr>
        <w:t xml:space="preserve"> </w:t>
      </w:r>
      <w:r w:rsidRPr="00195A8B">
        <w:rPr>
          <w:rFonts w:ascii="Times New Roman" w:eastAsia="Calibri" w:hAnsi="Times New Roman" w:cs="Times New Roman"/>
          <w:kern w:val="2"/>
          <w:sz w:val="24"/>
          <w:szCs w:val="24"/>
          <w:lang w:val="en-GB" w:eastAsia="en-US"/>
        </w:rPr>
        <w:lastRenderedPageBreak/>
        <w:t>standards guidance to foster sustainable, inclusive, and productive employment growth across regions.</w:t>
      </w:r>
    </w:p>
    <w:p w14:paraId="38D6B081" w14:textId="360BE8E7" w:rsidR="00195A8B" w:rsidRPr="00195A8B" w:rsidRDefault="00195A8B" w:rsidP="00195A8B">
      <w:pPr>
        <w:spacing w:after="0" w:line="259" w:lineRule="auto"/>
        <w:jc w:val="both"/>
        <w:rPr>
          <w:rFonts w:ascii="Times New Roman" w:eastAsia="Calibri" w:hAnsi="Times New Roman" w:cs="Times New Roman"/>
          <w:b/>
          <w:bCs/>
          <w:kern w:val="2"/>
          <w:sz w:val="24"/>
          <w:szCs w:val="24"/>
          <w:lang w:val="en-GB" w:eastAsia="en-US"/>
        </w:rPr>
      </w:pPr>
      <w:r w:rsidRPr="00195A8B">
        <w:rPr>
          <w:rFonts w:ascii="Times New Roman" w:eastAsia="Calibri" w:hAnsi="Times New Roman" w:cs="Times New Roman"/>
          <w:b/>
          <w:bCs/>
          <w:kern w:val="2"/>
          <w:sz w:val="24"/>
          <w:szCs w:val="24"/>
          <w:lang w:val="en-GB" w:eastAsia="en-US"/>
        </w:rPr>
        <w:t xml:space="preserve">Table </w:t>
      </w:r>
      <w:r w:rsidR="008A780B">
        <w:rPr>
          <w:rFonts w:ascii="Times New Roman" w:eastAsia="Calibri" w:hAnsi="Times New Roman" w:cs="Times New Roman"/>
          <w:b/>
          <w:bCs/>
          <w:kern w:val="2"/>
          <w:sz w:val="24"/>
          <w:szCs w:val="24"/>
          <w:lang w:val="en-GB" w:eastAsia="en-US"/>
        </w:rPr>
        <w:t>8</w:t>
      </w:r>
      <w:r w:rsidRPr="00195A8B">
        <w:rPr>
          <w:rFonts w:ascii="Times New Roman" w:eastAsia="Calibri" w:hAnsi="Times New Roman" w:cs="Times New Roman"/>
          <w:b/>
          <w:bCs/>
          <w:kern w:val="2"/>
          <w:sz w:val="24"/>
          <w:szCs w:val="24"/>
          <w:lang w:val="en-GB" w:eastAsia="en-US"/>
        </w:rPr>
        <w:t xml:space="preserve">. Comparison of Employment Generation </w:t>
      </w:r>
      <w:bookmarkStart w:id="9" w:name="_Hlk202862364"/>
      <w:r w:rsidRPr="00195A8B">
        <w:rPr>
          <w:rFonts w:ascii="Times New Roman" w:eastAsia="Calibri" w:hAnsi="Times New Roman" w:cs="Times New Roman"/>
          <w:b/>
          <w:bCs/>
          <w:kern w:val="2"/>
          <w:sz w:val="24"/>
          <w:szCs w:val="24"/>
          <w:lang w:val="en-GB" w:eastAsia="en-US"/>
        </w:rPr>
        <w:t>of Enterprises Established through Economic Empowerment Schemes between Arusha and Mara Regions</w:t>
      </w:r>
    </w:p>
    <w:tbl>
      <w:tblPr>
        <w:tblStyle w:val="TableGrid2"/>
        <w:tblW w:w="5000" w:type="pct"/>
        <w:tblLook w:val="04A0" w:firstRow="1" w:lastRow="0" w:firstColumn="1" w:lastColumn="0" w:noHBand="0" w:noVBand="1"/>
      </w:tblPr>
      <w:tblGrid>
        <w:gridCol w:w="1802"/>
        <w:gridCol w:w="1272"/>
        <w:gridCol w:w="1241"/>
        <w:gridCol w:w="1521"/>
        <w:gridCol w:w="1191"/>
        <w:gridCol w:w="1193"/>
        <w:gridCol w:w="1356"/>
      </w:tblGrid>
      <w:tr w:rsidR="00195A8B" w:rsidRPr="00195A8B" w14:paraId="076EFABE" w14:textId="77777777" w:rsidTr="00CA33B8">
        <w:tc>
          <w:tcPr>
            <w:tcW w:w="941" w:type="pct"/>
            <w:vMerge w:val="restart"/>
            <w:tcBorders>
              <w:top w:val="single" w:sz="4" w:space="0" w:color="auto"/>
              <w:left w:val="single" w:sz="4" w:space="0" w:color="auto"/>
              <w:right w:val="single" w:sz="4" w:space="0" w:color="auto"/>
            </w:tcBorders>
            <w:hideMark/>
          </w:tcPr>
          <w:bookmarkEnd w:id="9"/>
          <w:p w14:paraId="1F3E0F0B" w14:textId="77777777" w:rsidR="00195A8B" w:rsidRPr="00195A8B" w:rsidRDefault="00195A8B" w:rsidP="00195A8B">
            <w:pPr>
              <w:jc w:val="both"/>
              <w:rPr>
                <w:rFonts w:ascii="Times New Roman" w:hAnsi="Times New Roman" w:cs="Times New Roman"/>
                <w:b/>
                <w:bCs/>
              </w:rPr>
            </w:pPr>
            <w:r w:rsidRPr="00195A8B">
              <w:rPr>
                <w:rFonts w:ascii="Times New Roman" w:hAnsi="Times New Roman" w:cs="Times New Roman"/>
                <w:b/>
                <w:bCs/>
              </w:rPr>
              <w:t>Indicators</w:t>
            </w:r>
          </w:p>
        </w:tc>
        <w:tc>
          <w:tcPr>
            <w:tcW w:w="2106" w:type="pct"/>
            <w:gridSpan w:val="3"/>
            <w:tcBorders>
              <w:top w:val="single" w:sz="4" w:space="0" w:color="auto"/>
              <w:left w:val="single" w:sz="4" w:space="0" w:color="auto"/>
              <w:bottom w:val="single" w:sz="4" w:space="0" w:color="auto"/>
              <w:right w:val="single" w:sz="4" w:space="0" w:color="auto"/>
            </w:tcBorders>
            <w:hideMark/>
          </w:tcPr>
          <w:p w14:paraId="2AD3EC18" w14:textId="77777777" w:rsidR="00195A8B" w:rsidRPr="00195A8B" w:rsidRDefault="00195A8B" w:rsidP="00195A8B">
            <w:pPr>
              <w:jc w:val="center"/>
              <w:rPr>
                <w:rFonts w:ascii="Times New Roman" w:hAnsi="Times New Roman" w:cs="Times New Roman"/>
                <w:b/>
                <w:bCs/>
              </w:rPr>
            </w:pPr>
            <w:r w:rsidRPr="00195A8B">
              <w:rPr>
                <w:rFonts w:ascii="Times New Roman" w:hAnsi="Times New Roman" w:cs="Times New Roman"/>
                <w:b/>
                <w:bCs/>
              </w:rPr>
              <w:t>Arusha</w:t>
            </w:r>
          </w:p>
        </w:tc>
        <w:tc>
          <w:tcPr>
            <w:tcW w:w="1953" w:type="pct"/>
            <w:gridSpan w:val="3"/>
            <w:tcBorders>
              <w:top w:val="single" w:sz="4" w:space="0" w:color="auto"/>
              <w:left w:val="single" w:sz="4" w:space="0" w:color="auto"/>
              <w:bottom w:val="single" w:sz="4" w:space="0" w:color="auto"/>
              <w:right w:val="single" w:sz="4" w:space="0" w:color="auto"/>
            </w:tcBorders>
            <w:hideMark/>
          </w:tcPr>
          <w:p w14:paraId="1F15190E" w14:textId="77777777" w:rsidR="00195A8B" w:rsidRPr="00195A8B" w:rsidRDefault="00195A8B" w:rsidP="00195A8B">
            <w:pPr>
              <w:jc w:val="center"/>
              <w:rPr>
                <w:rFonts w:ascii="Times New Roman" w:hAnsi="Times New Roman" w:cs="Times New Roman"/>
                <w:b/>
                <w:bCs/>
              </w:rPr>
            </w:pPr>
            <w:r w:rsidRPr="00195A8B">
              <w:rPr>
                <w:rFonts w:ascii="Times New Roman" w:hAnsi="Times New Roman" w:cs="Times New Roman"/>
                <w:b/>
                <w:bCs/>
              </w:rPr>
              <w:t>Mara</w:t>
            </w:r>
          </w:p>
        </w:tc>
      </w:tr>
      <w:tr w:rsidR="00195A8B" w:rsidRPr="00195A8B" w14:paraId="5AA28FFD" w14:textId="77777777" w:rsidTr="00CA33B8">
        <w:tc>
          <w:tcPr>
            <w:tcW w:w="941" w:type="pct"/>
            <w:vMerge/>
            <w:tcBorders>
              <w:left w:val="single" w:sz="4" w:space="0" w:color="auto"/>
              <w:right w:val="single" w:sz="4" w:space="0" w:color="auto"/>
            </w:tcBorders>
          </w:tcPr>
          <w:p w14:paraId="4795F788" w14:textId="77777777" w:rsidR="00195A8B" w:rsidRPr="00195A8B" w:rsidRDefault="00195A8B" w:rsidP="00195A8B">
            <w:pPr>
              <w:jc w:val="both"/>
              <w:rPr>
                <w:rFonts w:ascii="Times New Roman" w:hAnsi="Times New Roman" w:cs="Times New Roman"/>
                <w:b/>
                <w:bCs/>
              </w:rPr>
            </w:pPr>
          </w:p>
        </w:tc>
        <w:tc>
          <w:tcPr>
            <w:tcW w:w="664" w:type="pct"/>
            <w:tcBorders>
              <w:top w:val="single" w:sz="4" w:space="0" w:color="auto"/>
              <w:left w:val="single" w:sz="4" w:space="0" w:color="auto"/>
              <w:bottom w:val="single" w:sz="4" w:space="0" w:color="auto"/>
              <w:right w:val="single" w:sz="4" w:space="0" w:color="auto"/>
            </w:tcBorders>
            <w:hideMark/>
          </w:tcPr>
          <w:p w14:paraId="5F45F233" w14:textId="77777777" w:rsidR="00195A8B" w:rsidRPr="00195A8B" w:rsidRDefault="00195A8B" w:rsidP="00195A8B">
            <w:pPr>
              <w:jc w:val="both"/>
              <w:rPr>
                <w:rFonts w:ascii="Times New Roman" w:hAnsi="Times New Roman" w:cs="Times New Roman"/>
                <w:b/>
                <w:bCs/>
              </w:rPr>
            </w:pPr>
            <w:r w:rsidRPr="00195A8B">
              <w:rPr>
                <w:rFonts w:ascii="Times New Roman" w:hAnsi="Times New Roman" w:cs="Times New Roman"/>
                <w:b/>
                <w:bCs/>
              </w:rPr>
              <w:t>Before loan</w:t>
            </w:r>
          </w:p>
        </w:tc>
        <w:tc>
          <w:tcPr>
            <w:tcW w:w="648" w:type="pct"/>
            <w:tcBorders>
              <w:top w:val="single" w:sz="4" w:space="0" w:color="auto"/>
              <w:left w:val="single" w:sz="4" w:space="0" w:color="auto"/>
              <w:bottom w:val="single" w:sz="4" w:space="0" w:color="auto"/>
              <w:right w:val="single" w:sz="4" w:space="0" w:color="auto"/>
            </w:tcBorders>
            <w:hideMark/>
          </w:tcPr>
          <w:p w14:paraId="1969678B" w14:textId="77777777" w:rsidR="00195A8B" w:rsidRPr="00195A8B" w:rsidRDefault="00195A8B" w:rsidP="00195A8B">
            <w:pPr>
              <w:jc w:val="both"/>
              <w:rPr>
                <w:rFonts w:ascii="Times New Roman" w:hAnsi="Times New Roman" w:cs="Times New Roman"/>
                <w:b/>
                <w:bCs/>
              </w:rPr>
            </w:pPr>
            <w:r w:rsidRPr="00195A8B">
              <w:rPr>
                <w:rFonts w:ascii="Times New Roman" w:hAnsi="Times New Roman" w:cs="Times New Roman"/>
                <w:b/>
                <w:bCs/>
              </w:rPr>
              <w:t>After loan</w:t>
            </w:r>
          </w:p>
        </w:tc>
        <w:tc>
          <w:tcPr>
            <w:tcW w:w="794" w:type="pct"/>
            <w:tcBorders>
              <w:top w:val="single" w:sz="4" w:space="0" w:color="auto"/>
              <w:left w:val="single" w:sz="4" w:space="0" w:color="auto"/>
              <w:bottom w:val="single" w:sz="4" w:space="0" w:color="auto"/>
              <w:right w:val="single" w:sz="4" w:space="0" w:color="auto"/>
            </w:tcBorders>
            <w:hideMark/>
          </w:tcPr>
          <w:p w14:paraId="7BB6113D" w14:textId="77777777" w:rsidR="00195A8B" w:rsidRPr="00195A8B" w:rsidRDefault="00195A8B" w:rsidP="00195A8B">
            <w:pPr>
              <w:jc w:val="both"/>
              <w:rPr>
                <w:rFonts w:ascii="Times New Roman" w:hAnsi="Times New Roman" w:cs="Times New Roman"/>
                <w:b/>
                <w:bCs/>
              </w:rPr>
            </w:pPr>
            <w:r w:rsidRPr="00195A8B">
              <w:rPr>
                <w:rFonts w:ascii="Times New Roman" w:hAnsi="Times New Roman" w:cs="Times New Roman"/>
                <w:b/>
                <w:bCs/>
              </w:rPr>
              <w:t>Difference</w:t>
            </w:r>
          </w:p>
        </w:tc>
        <w:tc>
          <w:tcPr>
            <w:tcW w:w="622" w:type="pct"/>
            <w:tcBorders>
              <w:top w:val="single" w:sz="4" w:space="0" w:color="auto"/>
              <w:left w:val="single" w:sz="4" w:space="0" w:color="auto"/>
              <w:bottom w:val="single" w:sz="4" w:space="0" w:color="auto"/>
              <w:right w:val="single" w:sz="4" w:space="0" w:color="auto"/>
            </w:tcBorders>
            <w:hideMark/>
          </w:tcPr>
          <w:p w14:paraId="12C057E2" w14:textId="77777777" w:rsidR="00195A8B" w:rsidRPr="00195A8B" w:rsidRDefault="00195A8B" w:rsidP="00195A8B">
            <w:pPr>
              <w:jc w:val="both"/>
              <w:rPr>
                <w:rFonts w:ascii="Times New Roman" w:hAnsi="Times New Roman" w:cs="Times New Roman"/>
                <w:b/>
                <w:bCs/>
              </w:rPr>
            </w:pPr>
            <w:r w:rsidRPr="00195A8B">
              <w:rPr>
                <w:rFonts w:ascii="Times New Roman" w:hAnsi="Times New Roman" w:cs="Times New Roman"/>
                <w:b/>
                <w:bCs/>
              </w:rPr>
              <w:t>Before loan</w:t>
            </w:r>
          </w:p>
        </w:tc>
        <w:tc>
          <w:tcPr>
            <w:tcW w:w="623" w:type="pct"/>
            <w:tcBorders>
              <w:top w:val="single" w:sz="4" w:space="0" w:color="auto"/>
              <w:left w:val="single" w:sz="4" w:space="0" w:color="auto"/>
              <w:bottom w:val="single" w:sz="4" w:space="0" w:color="auto"/>
              <w:right w:val="single" w:sz="4" w:space="0" w:color="auto"/>
            </w:tcBorders>
            <w:hideMark/>
          </w:tcPr>
          <w:p w14:paraId="77F8435A" w14:textId="77777777" w:rsidR="00195A8B" w:rsidRPr="00195A8B" w:rsidRDefault="00195A8B" w:rsidP="00195A8B">
            <w:pPr>
              <w:jc w:val="both"/>
              <w:rPr>
                <w:rFonts w:ascii="Times New Roman" w:hAnsi="Times New Roman" w:cs="Times New Roman"/>
                <w:b/>
                <w:bCs/>
              </w:rPr>
            </w:pPr>
            <w:r w:rsidRPr="00195A8B">
              <w:rPr>
                <w:rFonts w:ascii="Times New Roman" w:hAnsi="Times New Roman" w:cs="Times New Roman"/>
                <w:b/>
                <w:bCs/>
              </w:rPr>
              <w:t>After Loan</w:t>
            </w:r>
          </w:p>
        </w:tc>
        <w:tc>
          <w:tcPr>
            <w:tcW w:w="708" w:type="pct"/>
            <w:tcBorders>
              <w:top w:val="single" w:sz="4" w:space="0" w:color="auto"/>
              <w:left w:val="single" w:sz="4" w:space="0" w:color="auto"/>
              <w:bottom w:val="single" w:sz="4" w:space="0" w:color="auto"/>
              <w:right w:val="single" w:sz="4" w:space="0" w:color="auto"/>
            </w:tcBorders>
            <w:hideMark/>
          </w:tcPr>
          <w:p w14:paraId="0A3CD420" w14:textId="77777777" w:rsidR="00195A8B" w:rsidRPr="00195A8B" w:rsidRDefault="00195A8B" w:rsidP="00195A8B">
            <w:pPr>
              <w:jc w:val="both"/>
              <w:rPr>
                <w:rFonts w:ascii="Times New Roman" w:hAnsi="Times New Roman" w:cs="Times New Roman"/>
                <w:b/>
                <w:bCs/>
              </w:rPr>
            </w:pPr>
            <w:r w:rsidRPr="00195A8B">
              <w:rPr>
                <w:rFonts w:ascii="Times New Roman" w:hAnsi="Times New Roman" w:cs="Times New Roman"/>
                <w:b/>
                <w:bCs/>
              </w:rPr>
              <w:t>Difference</w:t>
            </w:r>
          </w:p>
        </w:tc>
      </w:tr>
      <w:tr w:rsidR="00195A8B" w:rsidRPr="00195A8B" w14:paraId="25546CE0" w14:textId="77777777" w:rsidTr="00CA33B8">
        <w:tc>
          <w:tcPr>
            <w:tcW w:w="941" w:type="pct"/>
            <w:vMerge/>
            <w:tcBorders>
              <w:left w:val="single" w:sz="4" w:space="0" w:color="auto"/>
              <w:bottom w:val="single" w:sz="4" w:space="0" w:color="auto"/>
              <w:right w:val="single" w:sz="4" w:space="0" w:color="auto"/>
            </w:tcBorders>
          </w:tcPr>
          <w:p w14:paraId="297AB7E0" w14:textId="77777777" w:rsidR="00195A8B" w:rsidRPr="00195A8B" w:rsidRDefault="00195A8B" w:rsidP="00195A8B">
            <w:pPr>
              <w:jc w:val="both"/>
              <w:rPr>
                <w:rFonts w:ascii="Times New Roman" w:hAnsi="Times New Roman" w:cs="Times New Roman"/>
                <w:b/>
                <w:bCs/>
              </w:rPr>
            </w:pPr>
          </w:p>
        </w:tc>
        <w:tc>
          <w:tcPr>
            <w:tcW w:w="664" w:type="pct"/>
            <w:tcBorders>
              <w:top w:val="single" w:sz="4" w:space="0" w:color="auto"/>
              <w:left w:val="single" w:sz="4" w:space="0" w:color="auto"/>
              <w:bottom w:val="single" w:sz="4" w:space="0" w:color="auto"/>
              <w:right w:val="single" w:sz="4" w:space="0" w:color="auto"/>
            </w:tcBorders>
            <w:hideMark/>
          </w:tcPr>
          <w:p w14:paraId="63ECD37B" w14:textId="77777777" w:rsidR="00195A8B" w:rsidRPr="00195A8B" w:rsidRDefault="00195A8B" w:rsidP="00195A8B">
            <w:pPr>
              <w:jc w:val="both"/>
              <w:rPr>
                <w:rFonts w:ascii="Times New Roman" w:hAnsi="Times New Roman" w:cs="Times New Roman"/>
                <w:b/>
                <w:bCs/>
              </w:rPr>
            </w:pPr>
            <w:r w:rsidRPr="00195A8B">
              <w:rPr>
                <w:rFonts w:ascii="Times New Roman" w:hAnsi="Times New Roman" w:cs="Times New Roman"/>
                <w:b/>
                <w:bCs/>
              </w:rPr>
              <w:t>Mean</w:t>
            </w:r>
          </w:p>
        </w:tc>
        <w:tc>
          <w:tcPr>
            <w:tcW w:w="648" w:type="pct"/>
            <w:tcBorders>
              <w:top w:val="single" w:sz="4" w:space="0" w:color="auto"/>
              <w:left w:val="single" w:sz="4" w:space="0" w:color="auto"/>
              <w:bottom w:val="single" w:sz="4" w:space="0" w:color="auto"/>
              <w:right w:val="single" w:sz="4" w:space="0" w:color="auto"/>
            </w:tcBorders>
            <w:hideMark/>
          </w:tcPr>
          <w:p w14:paraId="0F79FDFD" w14:textId="77777777" w:rsidR="00195A8B" w:rsidRPr="00195A8B" w:rsidRDefault="00195A8B" w:rsidP="00195A8B">
            <w:pPr>
              <w:jc w:val="both"/>
              <w:rPr>
                <w:rFonts w:ascii="Times New Roman" w:hAnsi="Times New Roman" w:cs="Times New Roman"/>
                <w:b/>
                <w:bCs/>
              </w:rPr>
            </w:pPr>
            <w:r w:rsidRPr="00195A8B">
              <w:rPr>
                <w:rFonts w:ascii="Times New Roman" w:hAnsi="Times New Roman" w:cs="Times New Roman"/>
                <w:b/>
                <w:bCs/>
              </w:rPr>
              <w:t>Mean</w:t>
            </w:r>
          </w:p>
        </w:tc>
        <w:tc>
          <w:tcPr>
            <w:tcW w:w="794" w:type="pct"/>
            <w:tcBorders>
              <w:top w:val="single" w:sz="4" w:space="0" w:color="auto"/>
              <w:left w:val="single" w:sz="4" w:space="0" w:color="auto"/>
              <w:bottom w:val="single" w:sz="4" w:space="0" w:color="auto"/>
              <w:right w:val="single" w:sz="4" w:space="0" w:color="auto"/>
            </w:tcBorders>
            <w:hideMark/>
          </w:tcPr>
          <w:p w14:paraId="56118064" w14:textId="77777777" w:rsidR="00195A8B" w:rsidRPr="00195A8B" w:rsidRDefault="00195A8B" w:rsidP="00195A8B">
            <w:pPr>
              <w:jc w:val="both"/>
              <w:rPr>
                <w:rFonts w:ascii="Times New Roman" w:hAnsi="Times New Roman" w:cs="Times New Roman"/>
                <w:b/>
                <w:bCs/>
              </w:rPr>
            </w:pPr>
            <w:r w:rsidRPr="00195A8B">
              <w:rPr>
                <w:rFonts w:ascii="Times New Roman" w:hAnsi="Times New Roman" w:cs="Times New Roman"/>
                <w:b/>
                <w:bCs/>
              </w:rPr>
              <w:t>Mean</w:t>
            </w:r>
          </w:p>
        </w:tc>
        <w:tc>
          <w:tcPr>
            <w:tcW w:w="622" w:type="pct"/>
            <w:tcBorders>
              <w:top w:val="single" w:sz="4" w:space="0" w:color="auto"/>
              <w:left w:val="single" w:sz="4" w:space="0" w:color="auto"/>
              <w:bottom w:val="single" w:sz="4" w:space="0" w:color="auto"/>
              <w:right w:val="single" w:sz="4" w:space="0" w:color="auto"/>
            </w:tcBorders>
            <w:hideMark/>
          </w:tcPr>
          <w:p w14:paraId="78775FFB" w14:textId="77777777" w:rsidR="00195A8B" w:rsidRPr="00195A8B" w:rsidRDefault="00195A8B" w:rsidP="00195A8B">
            <w:pPr>
              <w:jc w:val="both"/>
              <w:rPr>
                <w:rFonts w:ascii="Times New Roman" w:hAnsi="Times New Roman" w:cs="Times New Roman"/>
                <w:b/>
                <w:bCs/>
              </w:rPr>
            </w:pPr>
            <w:r w:rsidRPr="00195A8B">
              <w:rPr>
                <w:rFonts w:ascii="Times New Roman" w:hAnsi="Times New Roman" w:cs="Times New Roman"/>
                <w:b/>
                <w:bCs/>
              </w:rPr>
              <w:t>Mean</w:t>
            </w:r>
          </w:p>
        </w:tc>
        <w:tc>
          <w:tcPr>
            <w:tcW w:w="623" w:type="pct"/>
            <w:tcBorders>
              <w:top w:val="single" w:sz="4" w:space="0" w:color="auto"/>
              <w:left w:val="single" w:sz="4" w:space="0" w:color="auto"/>
              <w:bottom w:val="single" w:sz="4" w:space="0" w:color="auto"/>
              <w:right w:val="single" w:sz="4" w:space="0" w:color="auto"/>
            </w:tcBorders>
            <w:hideMark/>
          </w:tcPr>
          <w:p w14:paraId="16AA105B" w14:textId="77777777" w:rsidR="00195A8B" w:rsidRPr="00195A8B" w:rsidRDefault="00195A8B" w:rsidP="00195A8B">
            <w:pPr>
              <w:jc w:val="both"/>
              <w:rPr>
                <w:rFonts w:ascii="Times New Roman" w:hAnsi="Times New Roman" w:cs="Times New Roman"/>
                <w:b/>
                <w:bCs/>
              </w:rPr>
            </w:pPr>
            <w:r w:rsidRPr="00195A8B">
              <w:rPr>
                <w:rFonts w:ascii="Times New Roman" w:hAnsi="Times New Roman" w:cs="Times New Roman"/>
                <w:b/>
                <w:bCs/>
              </w:rPr>
              <w:t>Mean</w:t>
            </w:r>
          </w:p>
        </w:tc>
        <w:tc>
          <w:tcPr>
            <w:tcW w:w="708" w:type="pct"/>
            <w:tcBorders>
              <w:top w:val="single" w:sz="4" w:space="0" w:color="auto"/>
              <w:left w:val="single" w:sz="4" w:space="0" w:color="auto"/>
              <w:bottom w:val="single" w:sz="4" w:space="0" w:color="auto"/>
              <w:right w:val="single" w:sz="4" w:space="0" w:color="auto"/>
            </w:tcBorders>
            <w:hideMark/>
          </w:tcPr>
          <w:p w14:paraId="15422364" w14:textId="77777777" w:rsidR="00195A8B" w:rsidRPr="00195A8B" w:rsidRDefault="00195A8B" w:rsidP="00195A8B">
            <w:pPr>
              <w:jc w:val="both"/>
              <w:rPr>
                <w:rFonts w:ascii="Times New Roman" w:hAnsi="Times New Roman" w:cs="Times New Roman"/>
                <w:b/>
                <w:bCs/>
              </w:rPr>
            </w:pPr>
            <w:r w:rsidRPr="00195A8B">
              <w:rPr>
                <w:rFonts w:ascii="Times New Roman" w:hAnsi="Times New Roman" w:cs="Times New Roman"/>
                <w:b/>
                <w:bCs/>
              </w:rPr>
              <w:t>mean</w:t>
            </w:r>
          </w:p>
        </w:tc>
      </w:tr>
      <w:tr w:rsidR="00195A8B" w:rsidRPr="00195A8B" w14:paraId="12F8DBC3" w14:textId="77777777" w:rsidTr="00CA33B8">
        <w:tc>
          <w:tcPr>
            <w:tcW w:w="5000" w:type="pct"/>
            <w:gridSpan w:val="7"/>
            <w:tcBorders>
              <w:top w:val="single" w:sz="4" w:space="0" w:color="auto"/>
              <w:left w:val="single" w:sz="4" w:space="0" w:color="auto"/>
              <w:bottom w:val="single" w:sz="4" w:space="0" w:color="auto"/>
              <w:right w:val="single" w:sz="4" w:space="0" w:color="auto"/>
            </w:tcBorders>
            <w:hideMark/>
          </w:tcPr>
          <w:p w14:paraId="32E19409" w14:textId="77777777" w:rsidR="00195A8B" w:rsidRPr="00195A8B" w:rsidRDefault="00195A8B" w:rsidP="00195A8B">
            <w:pPr>
              <w:jc w:val="both"/>
              <w:rPr>
                <w:rFonts w:ascii="Times New Roman" w:hAnsi="Times New Roman" w:cs="Times New Roman"/>
                <w:b/>
                <w:bCs/>
              </w:rPr>
            </w:pPr>
            <w:r w:rsidRPr="00195A8B">
              <w:rPr>
                <w:rFonts w:ascii="Times New Roman" w:hAnsi="Times New Roman" w:cs="Times New Roman"/>
                <w:b/>
                <w:bCs/>
              </w:rPr>
              <w:t>Employment</w:t>
            </w:r>
          </w:p>
        </w:tc>
      </w:tr>
      <w:tr w:rsidR="00195A8B" w:rsidRPr="00195A8B" w14:paraId="03FEC93C" w14:textId="77777777" w:rsidTr="00CA33B8">
        <w:tc>
          <w:tcPr>
            <w:tcW w:w="941" w:type="pct"/>
            <w:tcBorders>
              <w:top w:val="single" w:sz="4" w:space="0" w:color="auto"/>
              <w:left w:val="single" w:sz="4" w:space="0" w:color="auto"/>
              <w:bottom w:val="single" w:sz="4" w:space="0" w:color="auto"/>
              <w:right w:val="single" w:sz="4" w:space="0" w:color="auto"/>
            </w:tcBorders>
            <w:shd w:val="clear" w:color="auto" w:fill="auto"/>
            <w:hideMark/>
          </w:tcPr>
          <w:p w14:paraId="70138E0C" w14:textId="77777777" w:rsidR="00195A8B" w:rsidRPr="00195A8B" w:rsidRDefault="00195A8B" w:rsidP="00195A8B">
            <w:pPr>
              <w:jc w:val="both"/>
              <w:rPr>
                <w:rFonts w:ascii="Times New Roman" w:hAnsi="Times New Roman" w:cs="Times New Roman"/>
              </w:rPr>
            </w:pPr>
            <w:r w:rsidRPr="00195A8B">
              <w:rPr>
                <w:rFonts w:ascii="Times New Roman" w:hAnsi="Times New Roman" w:cs="Times New Roman"/>
              </w:rPr>
              <w:t>Male</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393D43C4"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357</w:t>
            </w: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7E5D9522"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127</w:t>
            </w:r>
          </w:p>
        </w:tc>
        <w:tc>
          <w:tcPr>
            <w:tcW w:w="794" w:type="pct"/>
            <w:tcBorders>
              <w:top w:val="single" w:sz="4" w:space="0" w:color="auto"/>
              <w:left w:val="nil"/>
              <w:bottom w:val="single" w:sz="4" w:space="0" w:color="auto"/>
              <w:right w:val="nil"/>
            </w:tcBorders>
            <w:shd w:val="clear" w:color="auto" w:fill="auto"/>
            <w:vAlign w:val="bottom"/>
          </w:tcPr>
          <w:p w14:paraId="672F3EDF"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rPr>
              <w:t>-230</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A8BE53A"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1</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03E5B159"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1</w:t>
            </w:r>
          </w:p>
        </w:tc>
        <w:tc>
          <w:tcPr>
            <w:tcW w:w="708" w:type="pct"/>
            <w:tcBorders>
              <w:top w:val="single" w:sz="4" w:space="0" w:color="auto"/>
              <w:left w:val="nil"/>
              <w:bottom w:val="single" w:sz="4" w:space="0" w:color="auto"/>
              <w:right w:val="single" w:sz="4" w:space="0" w:color="auto"/>
            </w:tcBorders>
            <w:shd w:val="clear" w:color="auto" w:fill="auto"/>
            <w:vAlign w:val="bottom"/>
          </w:tcPr>
          <w:p w14:paraId="1DD15D8E" w14:textId="77777777" w:rsidR="00195A8B" w:rsidRPr="00195A8B" w:rsidRDefault="00195A8B" w:rsidP="00195A8B">
            <w:pPr>
              <w:jc w:val="both"/>
              <w:rPr>
                <w:rFonts w:ascii="Times New Roman" w:hAnsi="Times New Roman" w:cs="Times New Roman"/>
                <w:b/>
                <w:bCs/>
              </w:rPr>
            </w:pPr>
            <w:r w:rsidRPr="00195A8B">
              <w:rPr>
                <w:rFonts w:ascii="Times New Roman" w:hAnsi="Times New Roman" w:cs="Times New Roman"/>
              </w:rPr>
              <w:t>0</w:t>
            </w:r>
          </w:p>
        </w:tc>
      </w:tr>
      <w:tr w:rsidR="00195A8B" w:rsidRPr="00195A8B" w14:paraId="11514248" w14:textId="77777777" w:rsidTr="00CA33B8">
        <w:tc>
          <w:tcPr>
            <w:tcW w:w="941" w:type="pct"/>
            <w:tcBorders>
              <w:top w:val="single" w:sz="4" w:space="0" w:color="auto"/>
              <w:left w:val="single" w:sz="4" w:space="0" w:color="auto"/>
              <w:bottom w:val="single" w:sz="4" w:space="0" w:color="auto"/>
              <w:right w:val="single" w:sz="4" w:space="0" w:color="auto"/>
            </w:tcBorders>
            <w:shd w:val="clear" w:color="auto" w:fill="auto"/>
            <w:hideMark/>
          </w:tcPr>
          <w:p w14:paraId="607AC28F" w14:textId="77777777" w:rsidR="00195A8B" w:rsidRPr="00195A8B" w:rsidRDefault="00195A8B" w:rsidP="00195A8B">
            <w:pPr>
              <w:jc w:val="both"/>
              <w:rPr>
                <w:rFonts w:ascii="Times New Roman" w:hAnsi="Times New Roman" w:cs="Times New Roman"/>
              </w:rPr>
            </w:pPr>
            <w:r w:rsidRPr="00195A8B">
              <w:rPr>
                <w:rFonts w:ascii="Times New Roman" w:hAnsi="Times New Roman" w:cs="Times New Roman"/>
              </w:rPr>
              <w:t xml:space="preserve">Female </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6086D7E4"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306</w:t>
            </w: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30152DE8"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420</w:t>
            </w:r>
          </w:p>
        </w:tc>
        <w:tc>
          <w:tcPr>
            <w:tcW w:w="794" w:type="pct"/>
            <w:tcBorders>
              <w:top w:val="single" w:sz="4" w:space="0" w:color="auto"/>
              <w:left w:val="nil"/>
              <w:bottom w:val="single" w:sz="4" w:space="0" w:color="auto"/>
              <w:right w:val="nil"/>
            </w:tcBorders>
            <w:shd w:val="clear" w:color="auto" w:fill="auto"/>
            <w:vAlign w:val="bottom"/>
          </w:tcPr>
          <w:p w14:paraId="378EDC39"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rPr>
              <w:t>114</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EA3405C"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4</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57E8F877"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3</w:t>
            </w:r>
          </w:p>
        </w:tc>
        <w:tc>
          <w:tcPr>
            <w:tcW w:w="708" w:type="pct"/>
            <w:tcBorders>
              <w:top w:val="single" w:sz="4" w:space="0" w:color="auto"/>
              <w:left w:val="nil"/>
              <w:bottom w:val="single" w:sz="4" w:space="0" w:color="auto"/>
              <w:right w:val="single" w:sz="4" w:space="0" w:color="auto"/>
            </w:tcBorders>
            <w:shd w:val="clear" w:color="auto" w:fill="auto"/>
            <w:vAlign w:val="bottom"/>
          </w:tcPr>
          <w:p w14:paraId="1F90CE91" w14:textId="77777777" w:rsidR="00195A8B" w:rsidRPr="00195A8B" w:rsidRDefault="00195A8B" w:rsidP="00195A8B">
            <w:pPr>
              <w:jc w:val="both"/>
              <w:rPr>
                <w:rFonts w:ascii="Times New Roman" w:hAnsi="Times New Roman" w:cs="Times New Roman"/>
                <w:b/>
                <w:bCs/>
              </w:rPr>
            </w:pPr>
            <w:r w:rsidRPr="00195A8B">
              <w:rPr>
                <w:rFonts w:ascii="Times New Roman" w:hAnsi="Times New Roman" w:cs="Times New Roman"/>
              </w:rPr>
              <w:t>-1</w:t>
            </w:r>
          </w:p>
        </w:tc>
      </w:tr>
      <w:tr w:rsidR="00195A8B" w:rsidRPr="00195A8B" w14:paraId="6D241801" w14:textId="77777777" w:rsidTr="00CA33B8">
        <w:tc>
          <w:tcPr>
            <w:tcW w:w="941" w:type="pct"/>
            <w:tcBorders>
              <w:top w:val="single" w:sz="4" w:space="0" w:color="auto"/>
              <w:left w:val="single" w:sz="4" w:space="0" w:color="auto"/>
              <w:bottom w:val="single" w:sz="4" w:space="0" w:color="auto"/>
              <w:right w:val="single" w:sz="4" w:space="0" w:color="auto"/>
            </w:tcBorders>
            <w:hideMark/>
          </w:tcPr>
          <w:p w14:paraId="75688112" w14:textId="77777777" w:rsidR="00195A8B" w:rsidRPr="00195A8B" w:rsidRDefault="00195A8B" w:rsidP="00195A8B">
            <w:pPr>
              <w:jc w:val="both"/>
              <w:rPr>
                <w:rFonts w:ascii="Times New Roman" w:hAnsi="Times New Roman" w:cs="Times New Roman"/>
              </w:rPr>
            </w:pPr>
            <w:r w:rsidRPr="00195A8B">
              <w:rPr>
                <w:rFonts w:ascii="Times New Roman" w:hAnsi="Times New Roman" w:cs="Times New Roman"/>
              </w:rPr>
              <w:t>Youth Adult (18-35)</w:t>
            </w:r>
          </w:p>
        </w:tc>
        <w:tc>
          <w:tcPr>
            <w:tcW w:w="664" w:type="pct"/>
            <w:tcBorders>
              <w:top w:val="single" w:sz="4" w:space="0" w:color="auto"/>
              <w:left w:val="single" w:sz="4" w:space="0" w:color="auto"/>
              <w:bottom w:val="single" w:sz="4" w:space="0" w:color="auto"/>
              <w:right w:val="single" w:sz="4" w:space="0" w:color="auto"/>
            </w:tcBorders>
          </w:tcPr>
          <w:p w14:paraId="452C833A"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181</w:t>
            </w:r>
          </w:p>
        </w:tc>
        <w:tc>
          <w:tcPr>
            <w:tcW w:w="648" w:type="pct"/>
            <w:tcBorders>
              <w:top w:val="single" w:sz="4" w:space="0" w:color="auto"/>
              <w:left w:val="single" w:sz="4" w:space="0" w:color="auto"/>
              <w:bottom w:val="single" w:sz="4" w:space="0" w:color="auto"/>
              <w:right w:val="single" w:sz="4" w:space="0" w:color="auto"/>
            </w:tcBorders>
          </w:tcPr>
          <w:p w14:paraId="57B3334B"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72</w:t>
            </w:r>
          </w:p>
        </w:tc>
        <w:tc>
          <w:tcPr>
            <w:tcW w:w="794" w:type="pct"/>
            <w:tcBorders>
              <w:top w:val="single" w:sz="4" w:space="0" w:color="auto"/>
              <w:left w:val="nil"/>
              <w:bottom w:val="single" w:sz="4" w:space="0" w:color="auto"/>
              <w:right w:val="nil"/>
            </w:tcBorders>
            <w:shd w:val="clear" w:color="auto" w:fill="auto"/>
            <w:vAlign w:val="bottom"/>
          </w:tcPr>
          <w:p w14:paraId="10C39B51"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rPr>
              <w:t>-109</w:t>
            </w:r>
          </w:p>
        </w:tc>
        <w:tc>
          <w:tcPr>
            <w:tcW w:w="622" w:type="pct"/>
            <w:tcBorders>
              <w:top w:val="single" w:sz="4" w:space="0" w:color="auto"/>
              <w:left w:val="single" w:sz="4" w:space="0" w:color="auto"/>
              <w:bottom w:val="single" w:sz="4" w:space="0" w:color="auto"/>
              <w:right w:val="single" w:sz="4" w:space="0" w:color="auto"/>
            </w:tcBorders>
          </w:tcPr>
          <w:p w14:paraId="3B2A2873"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3</w:t>
            </w:r>
          </w:p>
        </w:tc>
        <w:tc>
          <w:tcPr>
            <w:tcW w:w="623" w:type="pct"/>
            <w:tcBorders>
              <w:top w:val="single" w:sz="4" w:space="0" w:color="auto"/>
              <w:left w:val="single" w:sz="4" w:space="0" w:color="auto"/>
              <w:bottom w:val="single" w:sz="4" w:space="0" w:color="auto"/>
              <w:right w:val="single" w:sz="4" w:space="0" w:color="auto"/>
            </w:tcBorders>
          </w:tcPr>
          <w:p w14:paraId="5B5E9C31"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3</w:t>
            </w:r>
          </w:p>
        </w:tc>
        <w:tc>
          <w:tcPr>
            <w:tcW w:w="708" w:type="pct"/>
            <w:tcBorders>
              <w:top w:val="single" w:sz="4" w:space="0" w:color="auto"/>
              <w:left w:val="nil"/>
              <w:bottom w:val="single" w:sz="4" w:space="0" w:color="auto"/>
              <w:right w:val="single" w:sz="4" w:space="0" w:color="auto"/>
            </w:tcBorders>
            <w:shd w:val="clear" w:color="auto" w:fill="auto"/>
            <w:vAlign w:val="bottom"/>
          </w:tcPr>
          <w:p w14:paraId="579AEA87" w14:textId="77777777" w:rsidR="00195A8B" w:rsidRPr="00195A8B" w:rsidRDefault="00195A8B" w:rsidP="00195A8B">
            <w:pPr>
              <w:jc w:val="both"/>
              <w:rPr>
                <w:rFonts w:ascii="Times New Roman" w:hAnsi="Times New Roman" w:cs="Times New Roman"/>
                <w:b/>
                <w:bCs/>
              </w:rPr>
            </w:pPr>
            <w:r w:rsidRPr="00195A8B">
              <w:rPr>
                <w:rFonts w:ascii="Times New Roman" w:hAnsi="Times New Roman" w:cs="Times New Roman"/>
              </w:rPr>
              <w:t>0</w:t>
            </w:r>
          </w:p>
        </w:tc>
      </w:tr>
      <w:tr w:rsidR="00195A8B" w:rsidRPr="00195A8B" w14:paraId="40240FAE" w14:textId="77777777" w:rsidTr="00CA33B8">
        <w:tc>
          <w:tcPr>
            <w:tcW w:w="941" w:type="pct"/>
            <w:tcBorders>
              <w:top w:val="single" w:sz="4" w:space="0" w:color="auto"/>
              <w:left w:val="single" w:sz="4" w:space="0" w:color="auto"/>
              <w:bottom w:val="single" w:sz="4" w:space="0" w:color="auto"/>
              <w:right w:val="single" w:sz="4" w:space="0" w:color="auto"/>
            </w:tcBorders>
            <w:hideMark/>
          </w:tcPr>
          <w:p w14:paraId="1CB9CBD6" w14:textId="77777777" w:rsidR="00195A8B" w:rsidRPr="00195A8B" w:rsidRDefault="00195A8B" w:rsidP="00195A8B">
            <w:pPr>
              <w:jc w:val="both"/>
              <w:rPr>
                <w:rFonts w:ascii="Times New Roman" w:hAnsi="Times New Roman" w:cs="Times New Roman"/>
              </w:rPr>
            </w:pPr>
            <w:r w:rsidRPr="00195A8B">
              <w:rPr>
                <w:rFonts w:ascii="Times New Roman" w:hAnsi="Times New Roman" w:cs="Times New Roman"/>
              </w:rPr>
              <w:t>Adults above 35</w:t>
            </w:r>
          </w:p>
        </w:tc>
        <w:tc>
          <w:tcPr>
            <w:tcW w:w="664" w:type="pct"/>
            <w:tcBorders>
              <w:top w:val="single" w:sz="4" w:space="0" w:color="auto"/>
              <w:left w:val="single" w:sz="4" w:space="0" w:color="auto"/>
              <w:bottom w:val="single" w:sz="4" w:space="0" w:color="auto"/>
              <w:right w:val="single" w:sz="4" w:space="0" w:color="auto"/>
            </w:tcBorders>
          </w:tcPr>
          <w:p w14:paraId="1ECD92C2"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663</w:t>
            </w:r>
          </w:p>
        </w:tc>
        <w:tc>
          <w:tcPr>
            <w:tcW w:w="648" w:type="pct"/>
            <w:tcBorders>
              <w:top w:val="single" w:sz="4" w:space="0" w:color="auto"/>
              <w:left w:val="single" w:sz="4" w:space="0" w:color="auto"/>
              <w:bottom w:val="single" w:sz="4" w:space="0" w:color="auto"/>
              <w:right w:val="single" w:sz="4" w:space="0" w:color="auto"/>
            </w:tcBorders>
          </w:tcPr>
          <w:p w14:paraId="4F83D0ED"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546</w:t>
            </w:r>
          </w:p>
        </w:tc>
        <w:tc>
          <w:tcPr>
            <w:tcW w:w="794" w:type="pct"/>
            <w:tcBorders>
              <w:top w:val="single" w:sz="4" w:space="0" w:color="auto"/>
              <w:left w:val="nil"/>
              <w:bottom w:val="single" w:sz="4" w:space="0" w:color="auto"/>
              <w:right w:val="nil"/>
            </w:tcBorders>
            <w:shd w:val="clear" w:color="auto" w:fill="auto"/>
            <w:vAlign w:val="bottom"/>
          </w:tcPr>
          <w:p w14:paraId="0EF2F3A2"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rPr>
              <w:t>-117</w:t>
            </w:r>
          </w:p>
        </w:tc>
        <w:tc>
          <w:tcPr>
            <w:tcW w:w="622" w:type="pct"/>
            <w:tcBorders>
              <w:top w:val="single" w:sz="4" w:space="0" w:color="auto"/>
              <w:left w:val="single" w:sz="4" w:space="0" w:color="auto"/>
              <w:bottom w:val="single" w:sz="4" w:space="0" w:color="auto"/>
              <w:right w:val="single" w:sz="4" w:space="0" w:color="auto"/>
            </w:tcBorders>
          </w:tcPr>
          <w:p w14:paraId="19795809"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5</w:t>
            </w:r>
          </w:p>
        </w:tc>
        <w:tc>
          <w:tcPr>
            <w:tcW w:w="623" w:type="pct"/>
            <w:tcBorders>
              <w:top w:val="single" w:sz="4" w:space="0" w:color="auto"/>
              <w:left w:val="single" w:sz="4" w:space="0" w:color="auto"/>
              <w:bottom w:val="single" w:sz="4" w:space="0" w:color="auto"/>
              <w:right w:val="single" w:sz="4" w:space="0" w:color="auto"/>
            </w:tcBorders>
          </w:tcPr>
          <w:p w14:paraId="5F32FE00"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4</w:t>
            </w:r>
          </w:p>
        </w:tc>
        <w:tc>
          <w:tcPr>
            <w:tcW w:w="708" w:type="pct"/>
            <w:tcBorders>
              <w:top w:val="single" w:sz="4" w:space="0" w:color="auto"/>
              <w:left w:val="nil"/>
              <w:bottom w:val="single" w:sz="4" w:space="0" w:color="auto"/>
              <w:right w:val="single" w:sz="4" w:space="0" w:color="auto"/>
            </w:tcBorders>
            <w:shd w:val="clear" w:color="auto" w:fill="auto"/>
            <w:vAlign w:val="bottom"/>
          </w:tcPr>
          <w:p w14:paraId="424730B3" w14:textId="77777777" w:rsidR="00195A8B" w:rsidRPr="00195A8B" w:rsidRDefault="00195A8B" w:rsidP="00195A8B">
            <w:pPr>
              <w:jc w:val="both"/>
              <w:rPr>
                <w:rFonts w:ascii="Times New Roman" w:hAnsi="Times New Roman" w:cs="Times New Roman"/>
                <w:b/>
                <w:bCs/>
              </w:rPr>
            </w:pPr>
            <w:r w:rsidRPr="00195A8B">
              <w:rPr>
                <w:rFonts w:ascii="Times New Roman" w:hAnsi="Times New Roman" w:cs="Times New Roman"/>
              </w:rPr>
              <w:t>-1</w:t>
            </w:r>
          </w:p>
        </w:tc>
      </w:tr>
      <w:tr w:rsidR="00195A8B" w:rsidRPr="00195A8B" w14:paraId="686F1F7E" w14:textId="77777777" w:rsidTr="00CA33B8">
        <w:tc>
          <w:tcPr>
            <w:tcW w:w="941" w:type="pct"/>
            <w:tcBorders>
              <w:top w:val="single" w:sz="4" w:space="0" w:color="auto"/>
              <w:left w:val="single" w:sz="4" w:space="0" w:color="auto"/>
              <w:bottom w:val="single" w:sz="4" w:space="0" w:color="auto"/>
              <w:right w:val="single" w:sz="4" w:space="0" w:color="auto"/>
            </w:tcBorders>
            <w:hideMark/>
          </w:tcPr>
          <w:p w14:paraId="427A5915" w14:textId="77777777" w:rsidR="00195A8B" w:rsidRPr="00195A8B" w:rsidRDefault="00195A8B" w:rsidP="00195A8B">
            <w:pPr>
              <w:jc w:val="both"/>
              <w:rPr>
                <w:rFonts w:ascii="Times New Roman" w:hAnsi="Times New Roman" w:cs="Times New Roman"/>
              </w:rPr>
            </w:pPr>
            <w:r w:rsidRPr="00195A8B">
              <w:rPr>
                <w:rFonts w:ascii="Times New Roman" w:hAnsi="Times New Roman" w:cs="Times New Roman"/>
              </w:rPr>
              <w:t>Permanent Employees</w:t>
            </w:r>
          </w:p>
        </w:tc>
        <w:tc>
          <w:tcPr>
            <w:tcW w:w="664" w:type="pct"/>
            <w:tcBorders>
              <w:top w:val="single" w:sz="4" w:space="0" w:color="auto"/>
              <w:left w:val="single" w:sz="4" w:space="0" w:color="auto"/>
              <w:bottom w:val="single" w:sz="4" w:space="0" w:color="auto"/>
              <w:right w:val="single" w:sz="4" w:space="0" w:color="auto"/>
            </w:tcBorders>
          </w:tcPr>
          <w:p w14:paraId="6AB8506B"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34</w:t>
            </w:r>
          </w:p>
        </w:tc>
        <w:tc>
          <w:tcPr>
            <w:tcW w:w="648" w:type="pct"/>
            <w:tcBorders>
              <w:top w:val="single" w:sz="4" w:space="0" w:color="auto"/>
              <w:left w:val="single" w:sz="4" w:space="0" w:color="auto"/>
              <w:bottom w:val="single" w:sz="4" w:space="0" w:color="auto"/>
              <w:right w:val="single" w:sz="4" w:space="0" w:color="auto"/>
            </w:tcBorders>
          </w:tcPr>
          <w:p w14:paraId="3BF21840"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49</w:t>
            </w:r>
          </w:p>
        </w:tc>
        <w:tc>
          <w:tcPr>
            <w:tcW w:w="794" w:type="pct"/>
            <w:tcBorders>
              <w:top w:val="single" w:sz="4" w:space="0" w:color="auto"/>
              <w:left w:val="nil"/>
              <w:bottom w:val="single" w:sz="4" w:space="0" w:color="auto"/>
              <w:right w:val="nil"/>
            </w:tcBorders>
            <w:shd w:val="clear" w:color="auto" w:fill="auto"/>
            <w:vAlign w:val="bottom"/>
          </w:tcPr>
          <w:p w14:paraId="519920FF"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rPr>
              <w:t>15</w:t>
            </w:r>
          </w:p>
        </w:tc>
        <w:tc>
          <w:tcPr>
            <w:tcW w:w="622" w:type="pct"/>
            <w:tcBorders>
              <w:top w:val="single" w:sz="4" w:space="0" w:color="auto"/>
              <w:left w:val="single" w:sz="4" w:space="0" w:color="auto"/>
              <w:bottom w:val="single" w:sz="4" w:space="0" w:color="auto"/>
              <w:right w:val="single" w:sz="4" w:space="0" w:color="auto"/>
            </w:tcBorders>
          </w:tcPr>
          <w:p w14:paraId="7A93B6FE"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4.8</w:t>
            </w:r>
          </w:p>
        </w:tc>
        <w:tc>
          <w:tcPr>
            <w:tcW w:w="623" w:type="pct"/>
            <w:tcBorders>
              <w:top w:val="single" w:sz="4" w:space="0" w:color="auto"/>
              <w:left w:val="single" w:sz="4" w:space="0" w:color="auto"/>
              <w:bottom w:val="single" w:sz="4" w:space="0" w:color="auto"/>
              <w:right w:val="single" w:sz="4" w:space="0" w:color="auto"/>
            </w:tcBorders>
          </w:tcPr>
          <w:p w14:paraId="0FE01EBE"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6</w:t>
            </w:r>
          </w:p>
        </w:tc>
        <w:tc>
          <w:tcPr>
            <w:tcW w:w="708" w:type="pct"/>
            <w:tcBorders>
              <w:top w:val="single" w:sz="4" w:space="0" w:color="auto"/>
              <w:left w:val="nil"/>
              <w:bottom w:val="single" w:sz="4" w:space="0" w:color="auto"/>
              <w:right w:val="single" w:sz="4" w:space="0" w:color="auto"/>
            </w:tcBorders>
            <w:shd w:val="clear" w:color="auto" w:fill="auto"/>
            <w:vAlign w:val="bottom"/>
          </w:tcPr>
          <w:p w14:paraId="24082B3A" w14:textId="77777777" w:rsidR="00195A8B" w:rsidRPr="00195A8B" w:rsidRDefault="00195A8B" w:rsidP="00195A8B">
            <w:pPr>
              <w:jc w:val="both"/>
              <w:rPr>
                <w:rFonts w:ascii="Times New Roman" w:hAnsi="Times New Roman" w:cs="Times New Roman"/>
                <w:b/>
                <w:bCs/>
              </w:rPr>
            </w:pPr>
            <w:r w:rsidRPr="00195A8B">
              <w:rPr>
                <w:rFonts w:ascii="Times New Roman" w:hAnsi="Times New Roman" w:cs="Times New Roman"/>
              </w:rPr>
              <w:t>0.7</w:t>
            </w:r>
          </w:p>
        </w:tc>
      </w:tr>
      <w:tr w:rsidR="00195A8B" w:rsidRPr="00195A8B" w14:paraId="75E0F20F" w14:textId="77777777" w:rsidTr="00CA33B8">
        <w:tc>
          <w:tcPr>
            <w:tcW w:w="941" w:type="pct"/>
            <w:tcBorders>
              <w:top w:val="single" w:sz="4" w:space="0" w:color="auto"/>
              <w:left w:val="single" w:sz="4" w:space="0" w:color="auto"/>
              <w:bottom w:val="single" w:sz="4" w:space="0" w:color="auto"/>
              <w:right w:val="single" w:sz="4" w:space="0" w:color="auto"/>
            </w:tcBorders>
          </w:tcPr>
          <w:p w14:paraId="0A18134C" w14:textId="77777777" w:rsidR="00195A8B" w:rsidRPr="00195A8B" w:rsidRDefault="00195A8B" w:rsidP="00195A8B">
            <w:pPr>
              <w:jc w:val="both"/>
              <w:rPr>
                <w:rFonts w:ascii="Times New Roman" w:hAnsi="Times New Roman" w:cs="Times New Roman"/>
              </w:rPr>
            </w:pPr>
            <w:r w:rsidRPr="00195A8B">
              <w:rPr>
                <w:rFonts w:ascii="Times New Roman" w:hAnsi="Times New Roman" w:cs="Times New Roman"/>
              </w:rPr>
              <w:t>Temporary employees</w:t>
            </w:r>
          </w:p>
        </w:tc>
        <w:tc>
          <w:tcPr>
            <w:tcW w:w="664" w:type="pct"/>
            <w:tcBorders>
              <w:top w:val="single" w:sz="4" w:space="0" w:color="auto"/>
              <w:left w:val="single" w:sz="4" w:space="0" w:color="auto"/>
              <w:bottom w:val="single" w:sz="4" w:space="0" w:color="auto"/>
              <w:right w:val="single" w:sz="4" w:space="0" w:color="auto"/>
            </w:tcBorders>
          </w:tcPr>
          <w:p w14:paraId="58A8FB03"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31</w:t>
            </w:r>
          </w:p>
        </w:tc>
        <w:tc>
          <w:tcPr>
            <w:tcW w:w="648" w:type="pct"/>
            <w:tcBorders>
              <w:top w:val="single" w:sz="4" w:space="0" w:color="auto"/>
              <w:left w:val="single" w:sz="4" w:space="0" w:color="auto"/>
              <w:bottom w:val="single" w:sz="4" w:space="0" w:color="auto"/>
              <w:right w:val="single" w:sz="4" w:space="0" w:color="auto"/>
            </w:tcBorders>
          </w:tcPr>
          <w:p w14:paraId="65B288F7"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28</w:t>
            </w:r>
          </w:p>
        </w:tc>
        <w:tc>
          <w:tcPr>
            <w:tcW w:w="794" w:type="pct"/>
            <w:tcBorders>
              <w:top w:val="single" w:sz="4" w:space="0" w:color="auto"/>
              <w:left w:val="nil"/>
              <w:bottom w:val="single" w:sz="4" w:space="0" w:color="auto"/>
              <w:right w:val="nil"/>
            </w:tcBorders>
            <w:shd w:val="clear" w:color="auto" w:fill="auto"/>
            <w:vAlign w:val="bottom"/>
          </w:tcPr>
          <w:p w14:paraId="0D3D54A2"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rPr>
              <w:t>-3</w:t>
            </w:r>
          </w:p>
        </w:tc>
        <w:tc>
          <w:tcPr>
            <w:tcW w:w="622" w:type="pct"/>
            <w:tcBorders>
              <w:top w:val="single" w:sz="4" w:space="0" w:color="auto"/>
              <w:left w:val="single" w:sz="4" w:space="0" w:color="auto"/>
              <w:bottom w:val="single" w:sz="4" w:space="0" w:color="auto"/>
              <w:right w:val="single" w:sz="4" w:space="0" w:color="auto"/>
            </w:tcBorders>
          </w:tcPr>
          <w:p w14:paraId="04E489B8"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2</w:t>
            </w:r>
          </w:p>
        </w:tc>
        <w:tc>
          <w:tcPr>
            <w:tcW w:w="623" w:type="pct"/>
            <w:tcBorders>
              <w:top w:val="single" w:sz="4" w:space="0" w:color="auto"/>
              <w:left w:val="single" w:sz="4" w:space="0" w:color="auto"/>
              <w:bottom w:val="single" w:sz="4" w:space="0" w:color="auto"/>
              <w:right w:val="single" w:sz="4" w:space="0" w:color="auto"/>
            </w:tcBorders>
          </w:tcPr>
          <w:p w14:paraId="4E841A88"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209</w:t>
            </w:r>
          </w:p>
        </w:tc>
        <w:tc>
          <w:tcPr>
            <w:tcW w:w="708" w:type="pct"/>
            <w:tcBorders>
              <w:top w:val="single" w:sz="4" w:space="0" w:color="auto"/>
              <w:left w:val="nil"/>
              <w:bottom w:val="single" w:sz="4" w:space="0" w:color="auto"/>
              <w:right w:val="single" w:sz="4" w:space="0" w:color="auto"/>
            </w:tcBorders>
            <w:shd w:val="clear" w:color="auto" w:fill="auto"/>
            <w:vAlign w:val="bottom"/>
          </w:tcPr>
          <w:p w14:paraId="3CFAA035" w14:textId="77777777" w:rsidR="00195A8B" w:rsidRPr="00195A8B" w:rsidRDefault="00195A8B" w:rsidP="00195A8B">
            <w:pPr>
              <w:jc w:val="both"/>
              <w:rPr>
                <w:rFonts w:ascii="Times New Roman" w:hAnsi="Times New Roman" w:cs="Times New Roman"/>
                <w:b/>
                <w:bCs/>
              </w:rPr>
            </w:pPr>
            <w:r w:rsidRPr="00195A8B">
              <w:rPr>
                <w:rFonts w:ascii="Times New Roman" w:hAnsi="Times New Roman" w:cs="Times New Roman"/>
              </w:rPr>
              <w:t>206.6</w:t>
            </w:r>
          </w:p>
        </w:tc>
      </w:tr>
      <w:tr w:rsidR="00195A8B" w:rsidRPr="00195A8B" w14:paraId="5F7A529F" w14:textId="77777777" w:rsidTr="00CA33B8">
        <w:tc>
          <w:tcPr>
            <w:tcW w:w="5000" w:type="pct"/>
            <w:gridSpan w:val="7"/>
            <w:tcBorders>
              <w:top w:val="single" w:sz="4" w:space="0" w:color="auto"/>
              <w:left w:val="single" w:sz="4" w:space="0" w:color="auto"/>
              <w:bottom w:val="single" w:sz="4" w:space="0" w:color="auto"/>
              <w:right w:val="single" w:sz="4" w:space="0" w:color="auto"/>
            </w:tcBorders>
            <w:hideMark/>
          </w:tcPr>
          <w:p w14:paraId="51B31D5D" w14:textId="77777777" w:rsidR="00195A8B" w:rsidRPr="00195A8B" w:rsidRDefault="00195A8B" w:rsidP="00195A8B">
            <w:pPr>
              <w:jc w:val="both"/>
              <w:rPr>
                <w:rFonts w:ascii="Times New Roman" w:hAnsi="Times New Roman" w:cs="Times New Roman"/>
                <w:b/>
                <w:bCs/>
              </w:rPr>
            </w:pPr>
            <w:r w:rsidRPr="00195A8B">
              <w:rPr>
                <w:rFonts w:ascii="Times New Roman" w:hAnsi="Times New Roman" w:cs="Times New Roman"/>
                <w:b/>
                <w:bCs/>
              </w:rPr>
              <w:t>Remuneration</w:t>
            </w:r>
          </w:p>
        </w:tc>
      </w:tr>
      <w:tr w:rsidR="00195A8B" w:rsidRPr="00195A8B" w14:paraId="7FFC67D8" w14:textId="77777777" w:rsidTr="00CA33B8">
        <w:tc>
          <w:tcPr>
            <w:tcW w:w="941" w:type="pct"/>
            <w:tcBorders>
              <w:top w:val="single" w:sz="4" w:space="0" w:color="auto"/>
              <w:left w:val="single" w:sz="4" w:space="0" w:color="auto"/>
              <w:bottom w:val="single" w:sz="4" w:space="0" w:color="auto"/>
              <w:right w:val="single" w:sz="4" w:space="0" w:color="auto"/>
            </w:tcBorders>
            <w:hideMark/>
          </w:tcPr>
          <w:p w14:paraId="72C095CB" w14:textId="77777777" w:rsidR="00195A8B" w:rsidRPr="00195A8B" w:rsidRDefault="00195A8B" w:rsidP="00195A8B">
            <w:pPr>
              <w:jc w:val="both"/>
              <w:rPr>
                <w:rFonts w:ascii="Times New Roman" w:hAnsi="Times New Roman" w:cs="Times New Roman"/>
              </w:rPr>
            </w:pPr>
            <w:r w:rsidRPr="00195A8B">
              <w:rPr>
                <w:rFonts w:ascii="Times New Roman" w:hAnsi="Times New Roman" w:cs="Times New Roman"/>
              </w:rPr>
              <w:t>Wage (monthly in TZS)</w:t>
            </w:r>
          </w:p>
        </w:tc>
        <w:tc>
          <w:tcPr>
            <w:tcW w:w="664" w:type="pct"/>
            <w:tcBorders>
              <w:top w:val="single" w:sz="4" w:space="0" w:color="auto"/>
              <w:left w:val="single" w:sz="4" w:space="0" w:color="auto"/>
              <w:bottom w:val="single" w:sz="4" w:space="0" w:color="auto"/>
              <w:right w:val="single" w:sz="4" w:space="0" w:color="auto"/>
            </w:tcBorders>
          </w:tcPr>
          <w:p w14:paraId="613F8C7F"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95,008.0</w:t>
            </w:r>
          </w:p>
        </w:tc>
        <w:tc>
          <w:tcPr>
            <w:tcW w:w="648" w:type="pct"/>
            <w:tcBorders>
              <w:top w:val="single" w:sz="4" w:space="0" w:color="auto"/>
              <w:left w:val="single" w:sz="4" w:space="0" w:color="auto"/>
              <w:bottom w:val="single" w:sz="4" w:space="0" w:color="auto"/>
              <w:right w:val="single" w:sz="4" w:space="0" w:color="auto"/>
            </w:tcBorders>
          </w:tcPr>
          <w:p w14:paraId="5DFDD8CC"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110,309.7</w:t>
            </w:r>
          </w:p>
        </w:tc>
        <w:tc>
          <w:tcPr>
            <w:tcW w:w="794" w:type="pct"/>
            <w:tcBorders>
              <w:top w:val="single" w:sz="4" w:space="0" w:color="auto"/>
              <w:left w:val="nil"/>
              <w:bottom w:val="single" w:sz="4" w:space="0" w:color="auto"/>
              <w:right w:val="nil"/>
            </w:tcBorders>
            <w:shd w:val="clear" w:color="auto" w:fill="auto"/>
            <w:vAlign w:val="bottom"/>
          </w:tcPr>
          <w:p w14:paraId="6E730331"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rPr>
              <w:t>15,301.70</w:t>
            </w:r>
          </w:p>
        </w:tc>
        <w:tc>
          <w:tcPr>
            <w:tcW w:w="622" w:type="pct"/>
            <w:tcBorders>
              <w:top w:val="single" w:sz="4" w:space="0" w:color="auto"/>
              <w:left w:val="single" w:sz="4" w:space="0" w:color="auto"/>
              <w:bottom w:val="single" w:sz="4" w:space="0" w:color="auto"/>
              <w:right w:val="single" w:sz="4" w:space="0" w:color="auto"/>
            </w:tcBorders>
          </w:tcPr>
          <w:p w14:paraId="4D4E5D05"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57,501.1</w:t>
            </w:r>
          </w:p>
        </w:tc>
        <w:tc>
          <w:tcPr>
            <w:tcW w:w="623" w:type="pct"/>
            <w:tcBorders>
              <w:top w:val="single" w:sz="4" w:space="0" w:color="auto"/>
              <w:left w:val="single" w:sz="4" w:space="0" w:color="auto"/>
              <w:bottom w:val="single" w:sz="4" w:space="0" w:color="auto"/>
              <w:right w:val="single" w:sz="4" w:space="0" w:color="auto"/>
            </w:tcBorders>
          </w:tcPr>
          <w:p w14:paraId="52536A26"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74,035.3</w:t>
            </w:r>
          </w:p>
        </w:tc>
        <w:tc>
          <w:tcPr>
            <w:tcW w:w="708" w:type="pct"/>
            <w:tcBorders>
              <w:top w:val="single" w:sz="8" w:space="0" w:color="000000"/>
              <w:left w:val="single" w:sz="8" w:space="0" w:color="000000"/>
              <w:bottom w:val="single" w:sz="8" w:space="0" w:color="000000"/>
              <w:right w:val="single" w:sz="8" w:space="0" w:color="000000"/>
            </w:tcBorders>
            <w:shd w:val="clear" w:color="auto" w:fill="auto"/>
            <w:vAlign w:val="bottom"/>
          </w:tcPr>
          <w:p w14:paraId="651C0BC5" w14:textId="77777777" w:rsidR="00195A8B" w:rsidRPr="00195A8B" w:rsidRDefault="00195A8B" w:rsidP="00195A8B">
            <w:pPr>
              <w:jc w:val="both"/>
              <w:rPr>
                <w:rFonts w:ascii="Times New Roman" w:hAnsi="Times New Roman" w:cs="Times New Roman"/>
                <w:b/>
                <w:bCs/>
              </w:rPr>
            </w:pPr>
            <w:r w:rsidRPr="00195A8B">
              <w:rPr>
                <w:rFonts w:ascii="Times New Roman" w:hAnsi="Times New Roman" w:cs="Times New Roman"/>
              </w:rPr>
              <w:t>16,534.2</w:t>
            </w:r>
          </w:p>
        </w:tc>
      </w:tr>
      <w:tr w:rsidR="00195A8B" w:rsidRPr="00195A8B" w14:paraId="434AFE5B" w14:textId="77777777" w:rsidTr="00CA33B8">
        <w:tc>
          <w:tcPr>
            <w:tcW w:w="941" w:type="pct"/>
            <w:tcBorders>
              <w:top w:val="single" w:sz="4" w:space="0" w:color="auto"/>
              <w:left w:val="single" w:sz="4" w:space="0" w:color="auto"/>
              <w:bottom w:val="single" w:sz="4" w:space="0" w:color="auto"/>
              <w:right w:val="single" w:sz="4" w:space="0" w:color="auto"/>
            </w:tcBorders>
            <w:hideMark/>
          </w:tcPr>
          <w:p w14:paraId="1128BD29" w14:textId="77777777" w:rsidR="00195A8B" w:rsidRPr="00195A8B" w:rsidRDefault="00195A8B" w:rsidP="00195A8B">
            <w:pPr>
              <w:jc w:val="both"/>
              <w:rPr>
                <w:rFonts w:ascii="Times New Roman" w:hAnsi="Times New Roman" w:cs="Times New Roman"/>
              </w:rPr>
            </w:pPr>
            <w:r w:rsidRPr="00195A8B">
              <w:rPr>
                <w:rFonts w:ascii="Times New Roman" w:hAnsi="Times New Roman" w:cs="Times New Roman"/>
              </w:rPr>
              <w:t>Salary (monthly in TZS)</w:t>
            </w:r>
          </w:p>
        </w:tc>
        <w:tc>
          <w:tcPr>
            <w:tcW w:w="664" w:type="pct"/>
            <w:tcBorders>
              <w:top w:val="single" w:sz="4" w:space="0" w:color="auto"/>
              <w:left w:val="single" w:sz="4" w:space="0" w:color="auto"/>
              <w:bottom w:val="single" w:sz="4" w:space="0" w:color="auto"/>
              <w:right w:val="single" w:sz="4" w:space="0" w:color="auto"/>
            </w:tcBorders>
          </w:tcPr>
          <w:p w14:paraId="62ED92C0"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75,655.9</w:t>
            </w:r>
          </w:p>
        </w:tc>
        <w:tc>
          <w:tcPr>
            <w:tcW w:w="648" w:type="pct"/>
            <w:tcBorders>
              <w:top w:val="single" w:sz="4" w:space="0" w:color="auto"/>
              <w:left w:val="single" w:sz="4" w:space="0" w:color="auto"/>
              <w:bottom w:val="single" w:sz="4" w:space="0" w:color="auto"/>
              <w:right w:val="single" w:sz="4" w:space="0" w:color="auto"/>
            </w:tcBorders>
          </w:tcPr>
          <w:p w14:paraId="4F23CD2E"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86,301.2</w:t>
            </w:r>
          </w:p>
        </w:tc>
        <w:tc>
          <w:tcPr>
            <w:tcW w:w="794" w:type="pct"/>
            <w:tcBorders>
              <w:top w:val="single" w:sz="4" w:space="0" w:color="auto"/>
              <w:left w:val="nil"/>
              <w:bottom w:val="single" w:sz="4" w:space="0" w:color="auto"/>
              <w:right w:val="nil"/>
            </w:tcBorders>
            <w:shd w:val="clear" w:color="auto" w:fill="auto"/>
            <w:vAlign w:val="bottom"/>
          </w:tcPr>
          <w:p w14:paraId="2B833A19"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rPr>
              <w:t>10,645.30</w:t>
            </w:r>
          </w:p>
        </w:tc>
        <w:tc>
          <w:tcPr>
            <w:tcW w:w="622" w:type="pct"/>
            <w:tcBorders>
              <w:top w:val="single" w:sz="4" w:space="0" w:color="auto"/>
              <w:left w:val="single" w:sz="4" w:space="0" w:color="auto"/>
              <w:bottom w:val="single" w:sz="4" w:space="0" w:color="auto"/>
              <w:right w:val="single" w:sz="4" w:space="0" w:color="auto"/>
            </w:tcBorders>
          </w:tcPr>
          <w:p w14:paraId="6458A97F"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82,234.3</w:t>
            </w:r>
          </w:p>
        </w:tc>
        <w:tc>
          <w:tcPr>
            <w:tcW w:w="623" w:type="pct"/>
            <w:tcBorders>
              <w:top w:val="single" w:sz="4" w:space="0" w:color="auto"/>
              <w:left w:val="single" w:sz="4" w:space="0" w:color="auto"/>
              <w:bottom w:val="single" w:sz="4" w:space="0" w:color="auto"/>
              <w:right w:val="single" w:sz="4" w:space="0" w:color="auto"/>
            </w:tcBorders>
          </w:tcPr>
          <w:p w14:paraId="386B53DD"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bCs/>
              </w:rPr>
              <w:t>98,178.3</w:t>
            </w:r>
          </w:p>
        </w:tc>
        <w:tc>
          <w:tcPr>
            <w:tcW w:w="708" w:type="pct"/>
            <w:tcBorders>
              <w:top w:val="single" w:sz="8" w:space="0" w:color="000000"/>
              <w:left w:val="single" w:sz="8" w:space="0" w:color="000000"/>
              <w:bottom w:val="single" w:sz="8" w:space="0" w:color="000000"/>
              <w:right w:val="single" w:sz="8" w:space="0" w:color="000000"/>
            </w:tcBorders>
            <w:shd w:val="clear" w:color="auto" w:fill="auto"/>
            <w:vAlign w:val="bottom"/>
          </w:tcPr>
          <w:p w14:paraId="087D2040" w14:textId="77777777" w:rsidR="00195A8B" w:rsidRPr="00195A8B" w:rsidRDefault="00195A8B" w:rsidP="00195A8B">
            <w:pPr>
              <w:jc w:val="both"/>
              <w:rPr>
                <w:rFonts w:ascii="Times New Roman" w:hAnsi="Times New Roman" w:cs="Times New Roman"/>
                <w:bCs/>
              </w:rPr>
            </w:pPr>
            <w:r w:rsidRPr="00195A8B">
              <w:rPr>
                <w:rFonts w:ascii="Times New Roman" w:hAnsi="Times New Roman" w:cs="Times New Roman"/>
              </w:rPr>
              <w:t>15,944.0</w:t>
            </w:r>
          </w:p>
        </w:tc>
      </w:tr>
    </w:tbl>
    <w:p w14:paraId="2F0CD15C" w14:textId="77777777" w:rsidR="00195A8B" w:rsidRPr="00195A8B" w:rsidRDefault="00195A8B" w:rsidP="00195A8B">
      <w:pPr>
        <w:spacing w:after="160" w:line="259" w:lineRule="auto"/>
        <w:jc w:val="both"/>
        <w:rPr>
          <w:rFonts w:ascii="Times New Roman" w:eastAsia="Calibri" w:hAnsi="Times New Roman" w:cs="Times New Roman"/>
          <w:kern w:val="2"/>
          <w:sz w:val="24"/>
          <w:szCs w:val="24"/>
          <w:lang w:eastAsia="en-US"/>
        </w:rPr>
      </w:pPr>
      <w:r w:rsidRPr="00195A8B">
        <w:rPr>
          <w:rFonts w:ascii="Times New Roman" w:eastAsia="Calibri" w:hAnsi="Times New Roman" w:cs="Times New Roman"/>
          <w:b/>
          <w:bCs/>
          <w:kern w:val="2"/>
          <w:sz w:val="24"/>
          <w:szCs w:val="24"/>
          <w:lang w:eastAsia="en-US"/>
        </w:rPr>
        <w:t>Source</w:t>
      </w:r>
      <w:r w:rsidRPr="00195A8B">
        <w:rPr>
          <w:rFonts w:ascii="Times New Roman" w:eastAsia="Calibri" w:hAnsi="Times New Roman" w:cs="Times New Roman"/>
          <w:kern w:val="2"/>
          <w:sz w:val="24"/>
          <w:szCs w:val="24"/>
          <w:lang w:eastAsia="en-US"/>
        </w:rPr>
        <w:t>: Survey field data, 2023/2024</w:t>
      </w:r>
    </w:p>
    <w:p w14:paraId="19C88A45" w14:textId="77777777" w:rsidR="00195A8B" w:rsidRPr="00195A8B" w:rsidRDefault="00195A8B" w:rsidP="00DF60D8">
      <w:pPr>
        <w:numPr>
          <w:ilvl w:val="1"/>
          <w:numId w:val="39"/>
        </w:numPr>
        <w:adjustRightInd w:val="0"/>
        <w:spacing w:after="120" w:line="259" w:lineRule="auto"/>
        <w:contextualSpacing/>
        <w:jc w:val="both"/>
        <w:rPr>
          <w:rFonts w:ascii="Times New Roman" w:eastAsia="Calibri" w:hAnsi="Times New Roman" w:cs="Times New Roman"/>
          <w:b/>
          <w:bCs/>
          <w:kern w:val="2"/>
          <w:sz w:val="24"/>
          <w:szCs w:val="24"/>
          <w:lang w:val="en-GB" w:eastAsia="en-US"/>
        </w:rPr>
      </w:pPr>
      <w:r w:rsidRPr="00195A8B">
        <w:rPr>
          <w:rFonts w:ascii="Times New Roman" w:eastAsia="Calibri" w:hAnsi="Times New Roman" w:cs="Times New Roman"/>
          <w:b/>
          <w:bCs/>
          <w:kern w:val="2"/>
          <w:sz w:val="24"/>
          <w:szCs w:val="24"/>
          <w:lang w:val="en-GB" w:eastAsia="en-US"/>
        </w:rPr>
        <w:t>Comparison of Business Expansion of Enterprises Established through Economic Empowerment Schemes between Arusha and Mara Regions</w:t>
      </w:r>
    </w:p>
    <w:p w14:paraId="3D6D365C" w14:textId="2092EABD" w:rsidR="00195A8B" w:rsidRPr="00195A8B" w:rsidRDefault="00195A8B" w:rsidP="005C4ABF">
      <w:pPr>
        <w:spacing w:after="160" w:line="360" w:lineRule="auto"/>
        <w:jc w:val="both"/>
        <w:rPr>
          <w:rFonts w:ascii="Times New Roman" w:eastAsia="Calibri" w:hAnsi="Times New Roman" w:cs="Times New Roman"/>
          <w:kern w:val="2"/>
          <w:sz w:val="24"/>
          <w:szCs w:val="24"/>
          <w:lang w:eastAsia="en-US"/>
        </w:rPr>
      </w:pPr>
      <w:r w:rsidRPr="00195A8B">
        <w:rPr>
          <w:rFonts w:ascii="Times New Roman" w:eastAsia="Calibri" w:hAnsi="Times New Roman" w:cs="Times New Roman"/>
          <w:kern w:val="2"/>
          <w:sz w:val="24"/>
          <w:szCs w:val="24"/>
          <w:lang w:eastAsia="en-US"/>
        </w:rPr>
        <w:t xml:space="preserve">The comparative analysis of business expansion among LGA loan beneficiary enterprises in Arusha and Mara reveals how economic empowerment schemes facilitate capital growth and market reach, while also highlighting limitations in achieving broader business goals post-intervention (Table </w:t>
      </w:r>
      <w:r w:rsidR="008A780B">
        <w:rPr>
          <w:rFonts w:ascii="Times New Roman" w:eastAsia="Calibri" w:hAnsi="Times New Roman" w:cs="Times New Roman"/>
          <w:kern w:val="2"/>
          <w:sz w:val="24"/>
          <w:szCs w:val="24"/>
          <w:lang w:eastAsia="en-US"/>
        </w:rPr>
        <w:t>9</w:t>
      </w:r>
      <w:r w:rsidRPr="00195A8B">
        <w:rPr>
          <w:rFonts w:ascii="Times New Roman" w:eastAsia="Calibri" w:hAnsi="Times New Roman" w:cs="Times New Roman"/>
          <w:kern w:val="2"/>
          <w:sz w:val="24"/>
          <w:szCs w:val="24"/>
          <w:lang w:eastAsia="en-US"/>
        </w:rPr>
        <w:t>). Both regions demonstrated an increase in business capital following loan disbursement, with Mara showing a higher average increase (2,160,197 TZS) than Arusha (993,675 TZS). This suggests that loan support under empowerment schemes effectively enhances financial capacity for operational and investment purposes, particularly in rural contexts like Mara where baseline capital levels are lower, aligning with Banerjee et al. (2015) who found that microcredit can boost capital accumulation in low-income settings.</w:t>
      </w:r>
    </w:p>
    <w:p w14:paraId="21CB313A"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eastAsia="en-US"/>
        </w:rPr>
      </w:pPr>
      <w:r w:rsidRPr="00195A8B">
        <w:rPr>
          <w:rFonts w:ascii="Times New Roman" w:eastAsia="Calibri" w:hAnsi="Times New Roman" w:cs="Times New Roman"/>
          <w:kern w:val="2"/>
          <w:sz w:val="24"/>
          <w:szCs w:val="24"/>
          <w:lang w:eastAsia="en-US"/>
        </w:rPr>
        <w:t xml:space="preserve">The expansion in customer base post-loan further underscores positive outcomes of financial support. In Arusha, the dramatic rise in individual (retail) customers from 93 to 1,175 and in Mara from 43 to 71 indicates improved market visibility and consumer trust, consistent with </w:t>
      </w:r>
      <w:r w:rsidRPr="00195A8B">
        <w:rPr>
          <w:rFonts w:ascii="Times New Roman" w:eastAsia="Calibri" w:hAnsi="Times New Roman" w:cs="Times New Roman"/>
          <w:kern w:val="2"/>
          <w:sz w:val="24"/>
          <w:szCs w:val="24"/>
          <w:lang w:eastAsia="en-US"/>
        </w:rPr>
        <w:lastRenderedPageBreak/>
        <w:t>Beck et al. (2008), who argue that access to finance enables micro and small enterprises to scale operations and engage broader customer segments. The growth in wholesale customers in Arusha (+258) suggests that urban enterprises are leveraging loans to expand into higher-value transactions and business-to-business linkages, while the decline in wholesale customers in Mara (-74) may reflect a strategic shift towards retail markets, which often offer faster turnover and lower risk in rural market environments.</w:t>
      </w:r>
    </w:p>
    <w:p w14:paraId="0B2C54B1"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eastAsia="en-US"/>
        </w:rPr>
      </w:pPr>
      <w:r w:rsidRPr="00195A8B">
        <w:rPr>
          <w:rFonts w:ascii="Times New Roman" w:eastAsia="Calibri" w:hAnsi="Times New Roman" w:cs="Times New Roman"/>
          <w:kern w:val="2"/>
          <w:sz w:val="24"/>
          <w:szCs w:val="24"/>
          <w:lang w:eastAsia="en-US"/>
        </w:rPr>
        <w:t xml:space="preserve">However, the analysis of goal achievement presents a paradox, with the proportion of respondents reporting goal attainment decreasing in both Arusha (from 63.5% to 36.5%) and Mara (from 55.3% to 44.7%) post-loan disbursement. This finding resonates with </w:t>
      </w:r>
      <w:proofErr w:type="spellStart"/>
      <w:r w:rsidRPr="00195A8B">
        <w:rPr>
          <w:rFonts w:ascii="Times New Roman" w:eastAsia="Calibri" w:hAnsi="Times New Roman" w:cs="Times New Roman"/>
          <w:kern w:val="2"/>
          <w:sz w:val="24"/>
          <w:szCs w:val="24"/>
          <w:lang w:eastAsia="en-US"/>
        </w:rPr>
        <w:t>Duvendack</w:t>
      </w:r>
      <w:proofErr w:type="spellEnd"/>
      <w:r w:rsidRPr="00195A8B">
        <w:rPr>
          <w:rFonts w:ascii="Times New Roman" w:eastAsia="Calibri" w:hAnsi="Times New Roman" w:cs="Times New Roman"/>
          <w:kern w:val="2"/>
          <w:sz w:val="24"/>
          <w:szCs w:val="24"/>
          <w:lang w:eastAsia="en-US"/>
        </w:rPr>
        <w:t xml:space="preserve"> et al. (2011), who highlight that while microcredit and empowerment schemes enhance business operations, they may not immediately translate into perceived success due to rising aspirations, operational challenges, or external factors such as market competition and policy barriers. The divergence between financial indicators (capital and customers) and subjective perceptions of goal achievement underscores the complexity of measuring empowerment and success, as noted by Bateman (2010), emphasizing that credit alone is insufficient for sustainable empowerment without complementary support mechanisms.</w:t>
      </w:r>
    </w:p>
    <w:p w14:paraId="3EB9BCE1"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eastAsia="en-US"/>
        </w:rPr>
      </w:pPr>
      <w:r w:rsidRPr="00195A8B">
        <w:rPr>
          <w:rFonts w:ascii="Times New Roman" w:eastAsia="Calibri" w:hAnsi="Times New Roman" w:cs="Times New Roman"/>
          <w:kern w:val="2"/>
          <w:sz w:val="24"/>
          <w:szCs w:val="24"/>
          <w:lang w:eastAsia="en-US"/>
        </w:rPr>
        <w:t>These findings indicate that while loan schemes effectively expand business operations and improve market reach, they do not automatically fulfill entrepreneurs’ aspirations, underscoring the need for holistic interventions. As recommended by IFAD (2020), pairing financial support with mentorship, business management training, market facilitation, and post-loan follow-up can bridge the gap between operational improvements and perceived goal achievement, ensuring that the empowerment process translates into meaningful and sustainable business success.</w:t>
      </w:r>
    </w:p>
    <w:p w14:paraId="768FCE84" w14:textId="77777777" w:rsidR="00195A8B" w:rsidRPr="00195A8B" w:rsidRDefault="00195A8B" w:rsidP="005C4ABF">
      <w:pPr>
        <w:spacing w:after="160" w:line="360" w:lineRule="auto"/>
        <w:jc w:val="both"/>
        <w:rPr>
          <w:rFonts w:ascii="Times New Roman" w:eastAsia="Calibri" w:hAnsi="Times New Roman" w:cs="Times New Roman"/>
          <w:kern w:val="2"/>
          <w:sz w:val="24"/>
          <w:szCs w:val="24"/>
          <w:lang w:eastAsia="en-US"/>
        </w:rPr>
      </w:pPr>
      <w:r w:rsidRPr="00195A8B">
        <w:rPr>
          <w:rFonts w:ascii="Times New Roman" w:eastAsia="Calibri" w:hAnsi="Times New Roman" w:cs="Times New Roman"/>
          <w:kern w:val="2"/>
          <w:sz w:val="24"/>
          <w:szCs w:val="24"/>
          <w:lang w:eastAsia="en-US"/>
        </w:rPr>
        <w:t>Generally, the economic empowerment schemes in Arusha and Mara have contributed significantly to business capital growth and customer base expansion, demonstrating their potential as tools for local enterprise development. However, the decline in perceived goal achievement highlights the importance of designing integrated empowerment programs that address structural barriers and capacity limitations to translate financial gains into sustainable and transformative business outcomes.</w:t>
      </w:r>
    </w:p>
    <w:p w14:paraId="05F28270" w14:textId="6BC1B093" w:rsidR="00195A8B" w:rsidRPr="00195A8B" w:rsidRDefault="00195A8B" w:rsidP="00195A8B">
      <w:pPr>
        <w:spacing w:after="0" w:line="259" w:lineRule="auto"/>
        <w:jc w:val="both"/>
        <w:rPr>
          <w:rFonts w:ascii="Times New Roman" w:eastAsia="Calibri" w:hAnsi="Times New Roman" w:cs="Times New Roman"/>
          <w:b/>
          <w:bCs/>
          <w:kern w:val="2"/>
          <w:sz w:val="24"/>
          <w:szCs w:val="24"/>
          <w:lang w:eastAsia="en-US"/>
        </w:rPr>
      </w:pPr>
      <w:r w:rsidRPr="00195A8B">
        <w:rPr>
          <w:rFonts w:ascii="Times New Roman" w:eastAsia="Calibri" w:hAnsi="Times New Roman" w:cs="Times New Roman"/>
          <w:b/>
          <w:bCs/>
          <w:kern w:val="2"/>
          <w:sz w:val="24"/>
          <w:szCs w:val="24"/>
          <w:lang w:eastAsia="en-US"/>
        </w:rPr>
        <w:t xml:space="preserve">Table </w:t>
      </w:r>
      <w:r w:rsidR="008A780B">
        <w:rPr>
          <w:rFonts w:ascii="Times New Roman" w:eastAsia="Calibri" w:hAnsi="Times New Roman" w:cs="Times New Roman"/>
          <w:b/>
          <w:bCs/>
          <w:kern w:val="2"/>
          <w:sz w:val="24"/>
          <w:szCs w:val="24"/>
          <w:lang w:eastAsia="en-US"/>
        </w:rPr>
        <w:t>9</w:t>
      </w:r>
      <w:r w:rsidRPr="00195A8B">
        <w:rPr>
          <w:rFonts w:ascii="Times New Roman" w:eastAsia="Calibri" w:hAnsi="Times New Roman" w:cs="Times New Roman"/>
          <w:b/>
          <w:bCs/>
          <w:kern w:val="2"/>
          <w:sz w:val="24"/>
          <w:szCs w:val="24"/>
          <w:lang w:eastAsia="en-US"/>
        </w:rPr>
        <w:t>.</w:t>
      </w:r>
      <w:r w:rsidRPr="00195A8B">
        <w:rPr>
          <w:rFonts w:ascii="Calibri" w:eastAsia="Calibri" w:hAnsi="Calibri" w:cs="Times New Roman"/>
          <w:b/>
          <w:bCs/>
          <w:kern w:val="2"/>
          <w:lang w:val="en-GB" w:eastAsia="en-US"/>
        </w:rPr>
        <w:t xml:space="preserve"> </w:t>
      </w:r>
      <w:r w:rsidRPr="00195A8B">
        <w:rPr>
          <w:rFonts w:ascii="Times New Roman" w:eastAsia="Calibri" w:hAnsi="Times New Roman" w:cs="Times New Roman"/>
          <w:b/>
          <w:bCs/>
          <w:kern w:val="2"/>
          <w:sz w:val="24"/>
          <w:szCs w:val="24"/>
          <w:lang w:eastAsia="en-US"/>
        </w:rPr>
        <w:t>Comparison of Business Expansion of Enterprises Established through Economic Empowerment Schemes between Arusha and Mara Regions</w:t>
      </w:r>
    </w:p>
    <w:tbl>
      <w:tblPr>
        <w:tblStyle w:val="TableGrid2"/>
        <w:tblW w:w="5107" w:type="pct"/>
        <w:tblLayout w:type="fixed"/>
        <w:tblLook w:val="04A0" w:firstRow="1" w:lastRow="0" w:firstColumn="1" w:lastColumn="0" w:noHBand="0" w:noVBand="1"/>
      </w:tblPr>
      <w:tblGrid>
        <w:gridCol w:w="1907"/>
        <w:gridCol w:w="986"/>
        <w:gridCol w:w="1324"/>
        <w:gridCol w:w="1227"/>
        <w:gridCol w:w="1483"/>
        <w:gridCol w:w="1502"/>
        <w:gridCol w:w="1352"/>
      </w:tblGrid>
      <w:tr w:rsidR="00195A8B" w:rsidRPr="00195A8B" w14:paraId="20DE8F08" w14:textId="77777777" w:rsidTr="00CA33B8">
        <w:tc>
          <w:tcPr>
            <w:tcW w:w="975" w:type="pct"/>
            <w:tcBorders>
              <w:top w:val="single" w:sz="4" w:space="0" w:color="auto"/>
              <w:left w:val="single" w:sz="4" w:space="0" w:color="auto"/>
              <w:bottom w:val="single" w:sz="4" w:space="0" w:color="auto"/>
              <w:right w:val="single" w:sz="4" w:space="0" w:color="auto"/>
            </w:tcBorders>
            <w:hideMark/>
          </w:tcPr>
          <w:p w14:paraId="4382A621" w14:textId="77777777" w:rsidR="00195A8B" w:rsidRPr="00195A8B" w:rsidRDefault="00195A8B" w:rsidP="00195A8B">
            <w:pPr>
              <w:rPr>
                <w:rFonts w:ascii="Times New Roman" w:hAnsi="Times New Roman" w:cs="Times New Roman"/>
                <w:b/>
                <w:bCs/>
                <w:sz w:val="24"/>
                <w:szCs w:val="24"/>
              </w:rPr>
            </w:pPr>
            <w:bookmarkStart w:id="10" w:name="_Hlk202786888"/>
            <w:r w:rsidRPr="00195A8B">
              <w:rPr>
                <w:rFonts w:ascii="Times New Roman" w:hAnsi="Times New Roman" w:cs="Times New Roman"/>
                <w:b/>
                <w:bCs/>
                <w:sz w:val="24"/>
                <w:szCs w:val="24"/>
              </w:rPr>
              <w:lastRenderedPageBreak/>
              <w:t>Indicators</w:t>
            </w:r>
          </w:p>
        </w:tc>
        <w:tc>
          <w:tcPr>
            <w:tcW w:w="1808" w:type="pct"/>
            <w:gridSpan w:val="3"/>
            <w:tcBorders>
              <w:top w:val="single" w:sz="4" w:space="0" w:color="auto"/>
              <w:left w:val="single" w:sz="4" w:space="0" w:color="auto"/>
              <w:bottom w:val="single" w:sz="4" w:space="0" w:color="auto"/>
              <w:right w:val="single" w:sz="4" w:space="0" w:color="auto"/>
            </w:tcBorders>
            <w:hideMark/>
          </w:tcPr>
          <w:p w14:paraId="062C169C" w14:textId="77777777" w:rsidR="00195A8B" w:rsidRPr="00195A8B" w:rsidRDefault="00195A8B" w:rsidP="00195A8B">
            <w:pPr>
              <w:rPr>
                <w:rFonts w:ascii="Times New Roman" w:hAnsi="Times New Roman" w:cs="Times New Roman"/>
                <w:b/>
                <w:bCs/>
                <w:sz w:val="24"/>
                <w:szCs w:val="24"/>
              </w:rPr>
            </w:pPr>
            <w:r w:rsidRPr="00195A8B">
              <w:rPr>
                <w:rFonts w:ascii="Times New Roman" w:hAnsi="Times New Roman" w:cs="Times New Roman"/>
                <w:b/>
                <w:bCs/>
                <w:sz w:val="24"/>
                <w:szCs w:val="24"/>
              </w:rPr>
              <w:t>Arusha</w:t>
            </w:r>
          </w:p>
        </w:tc>
        <w:tc>
          <w:tcPr>
            <w:tcW w:w="2217" w:type="pct"/>
            <w:gridSpan w:val="3"/>
            <w:tcBorders>
              <w:top w:val="single" w:sz="4" w:space="0" w:color="auto"/>
              <w:left w:val="single" w:sz="4" w:space="0" w:color="auto"/>
              <w:bottom w:val="single" w:sz="4" w:space="0" w:color="auto"/>
              <w:right w:val="single" w:sz="4" w:space="0" w:color="auto"/>
            </w:tcBorders>
            <w:hideMark/>
          </w:tcPr>
          <w:p w14:paraId="646C113F" w14:textId="77777777" w:rsidR="00195A8B" w:rsidRPr="00195A8B" w:rsidRDefault="00195A8B" w:rsidP="00195A8B">
            <w:pPr>
              <w:rPr>
                <w:rFonts w:ascii="Times New Roman" w:hAnsi="Times New Roman" w:cs="Times New Roman"/>
                <w:b/>
                <w:bCs/>
                <w:sz w:val="24"/>
                <w:szCs w:val="24"/>
              </w:rPr>
            </w:pPr>
            <w:r w:rsidRPr="00195A8B">
              <w:rPr>
                <w:rFonts w:ascii="Times New Roman" w:hAnsi="Times New Roman" w:cs="Times New Roman"/>
                <w:b/>
                <w:bCs/>
                <w:sz w:val="24"/>
                <w:szCs w:val="24"/>
              </w:rPr>
              <w:t>Mara</w:t>
            </w:r>
          </w:p>
        </w:tc>
      </w:tr>
      <w:tr w:rsidR="00195A8B" w:rsidRPr="00195A8B" w14:paraId="0D7E2B87" w14:textId="77777777" w:rsidTr="00CA33B8">
        <w:tc>
          <w:tcPr>
            <w:tcW w:w="975" w:type="pct"/>
            <w:tcBorders>
              <w:top w:val="single" w:sz="4" w:space="0" w:color="auto"/>
              <w:left w:val="single" w:sz="4" w:space="0" w:color="auto"/>
              <w:bottom w:val="single" w:sz="4" w:space="0" w:color="auto"/>
              <w:right w:val="single" w:sz="4" w:space="0" w:color="auto"/>
            </w:tcBorders>
          </w:tcPr>
          <w:p w14:paraId="1521E406" w14:textId="77777777" w:rsidR="00195A8B" w:rsidRPr="00195A8B" w:rsidRDefault="00195A8B" w:rsidP="00195A8B">
            <w:pPr>
              <w:rPr>
                <w:rFonts w:ascii="Times New Roman" w:hAnsi="Times New Roman" w:cs="Times New Roman"/>
                <w:b/>
                <w:bCs/>
                <w:sz w:val="24"/>
                <w:szCs w:val="24"/>
              </w:rPr>
            </w:pPr>
          </w:p>
        </w:tc>
        <w:tc>
          <w:tcPr>
            <w:tcW w:w="504" w:type="pct"/>
            <w:tcBorders>
              <w:top w:val="single" w:sz="4" w:space="0" w:color="auto"/>
              <w:left w:val="single" w:sz="4" w:space="0" w:color="auto"/>
              <w:bottom w:val="single" w:sz="4" w:space="0" w:color="auto"/>
              <w:right w:val="single" w:sz="4" w:space="0" w:color="auto"/>
            </w:tcBorders>
            <w:hideMark/>
          </w:tcPr>
          <w:p w14:paraId="503583E9" w14:textId="77777777" w:rsidR="00195A8B" w:rsidRPr="00195A8B" w:rsidRDefault="00195A8B" w:rsidP="00195A8B">
            <w:pPr>
              <w:rPr>
                <w:rFonts w:ascii="Times New Roman" w:hAnsi="Times New Roman" w:cs="Times New Roman"/>
                <w:b/>
                <w:bCs/>
                <w:sz w:val="24"/>
                <w:szCs w:val="24"/>
              </w:rPr>
            </w:pPr>
            <w:r w:rsidRPr="00195A8B">
              <w:rPr>
                <w:rFonts w:ascii="Times New Roman" w:hAnsi="Times New Roman" w:cs="Times New Roman"/>
                <w:b/>
                <w:bCs/>
                <w:sz w:val="24"/>
                <w:szCs w:val="24"/>
              </w:rPr>
              <w:t>Before loan</w:t>
            </w:r>
          </w:p>
        </w:tc>
        <w:tc>
          <w:tcPr>
            <w:tcW w:w="677" w:type="pct"/>
            <w:tcBorders>
              <w:top w:val="single" w:sz="4" w:space="0" w:color="auto"/>
              <w:left w:val="single" w:sz="4" w:space="0" w:color="auto"/>
              <w:bottom w:val="single" w:sz="4" w:space="0" w:color="auto"/>
              <w:right w:val="single" w:sz="4" w:space="0" w:color="auto"/>
            </w:tcBorders>
            <w:hideMark/>
          </w:tcPr>
          <w:p w14:paraId="3012514B" w14:textId="77777777" w:rsidR="00195A8B" w:rsidRPr="00195A8B" w:rsidRDefault="00195A8B" w:rsidP="00195A8B">
            <w:pPr>
              <w:rPr>
                <w:rFonts w:ascii="Times New Roman" w:hAnsi="Times New Roman" w:cs="Times New Roman"/>
                <w:b/>
                <w:bCs/>
                <w:sz w:val="24"/>
                <w:szCs w:val="24"/>
              </w:rPr>
            </w:pPr>
            <w:r w:rsidRPr="00195A8B">
              <w:rPr>
                <w:rFonts w:ascii="Times New Roman" w:hAnsi="Times New Roman" w:cs="Times New Roman"/>
                <w:b/>
                <w:bCs/>
                <w:sz w:val="24"/>
                <w:szCs w:val="24"/>
              </w:rPr>
              <w:t>After loan</w:t>
            </w:r>
          </w:p>
        </w:tc>
        <w:tc>
          <w:tcPr>
            <w:tcW w:w="627" w:type="pct"/>
            <w:tcBorders>
              <w:top w:val="single" w:sz="4" w:space="0" w:color="auto"/>
              <w:left w:val="single" w:sz="4" w:space="0" w:color="auto"/>
              <w:bottom w:val="single" w:sz="4" w:space="0" w:color="auto"/>
              <w:right w:val="single" w:sz="4" w:space="0" w:color="auto"/>
            </w:tcBorders>
            <w:hideMark/>
          </w:tcPr>
          <w:p w14:paraId="49C5874F" w14:textId="77777777" w:rsidR="00195A8B" w:rsidRPr="00195A8B" w:rsidRDefault="00195A8B" w:rsidP="00195A8B">
            <w:pPr>
              <w:rPr>
                <w:rFonts w:ascii="Times New Roman" w:hAnsi="Times New Roman" w:cs="Times New Roman"/>
                <w:b/>
                <w:bCs/>
                <w:sz w:val="24"/>
                <w:szCs w:val="24"/>
              </w:rPr>
            </w:pPr>
            <w:r w:rsidRPr="00195A8B">
              <w:rPr>
                <w:rFonts w:ascii="Times New Roman" w:hAnsi="Times New Roman" w:cs="Times New Roman"/>
                <w:b/>
                <w:bCs/>
                <w:sz w:val="24"/>
                <w:szCs w:val="24"/>
              </w:rPr>
              <w:t>Difference</w:t>
            </w:r>
          </w:p>
        </w:tc>
        <w:tc>
          <w:tcPr>
            <w:tcW w:w="758" w:type="pct"/>
            <w:tcBorders>
              <w:top w:val="single" w:sz="4" w:space="0" w:color="auto"/>
              <w:left w:val="single" w:sz="4" w:space="0" w:color="auto"/>
              <w:bottom w:val="single" w:sz="4" w:space="0" w:color="auto"/>
              <w:right w:val="single" w:sz="4" w:space="0" w:color="auto"/>
            </w:tcBorders>
            <w:hideMark/>
          </w:tcPr>
          <w:p w14:paraId="39E4AC1B" w14:textId="77777777" w:rsidR="00195A8B" w:rsidRPr="00195A8B" w:rsidRDefault="00195A8B" w:rsidP="00195A8B">
            <w:pPr>
              <w:rPr>
                <w:rFonts w:ascii="Times New Roman" w:hAnsi="Times New Roman" w:cs="Times New Roman"/>
                <w:b/>
                <w:bCs/>
                <w:sz w:val="24"/>
                <w:szCs w:val="24"/>
              </w:rPr>
            </w:pPr>
            <w:r w:rsidRPr="00195A8B">
              <w:rPr>
                <w:rFonts w:ascii="Times New Roman" w:hAnsi="Times New Roman" w:cs="Times New Roman"/>
                <w:b/>
                <w:bCs/>
                <w:sz w:val="24"/>
                <w:szCs w:val="24"/>
              </w:rPr>
              <w:t>Before loan</w:t>
            </w:r>
          </w:p>
        </w:tc>
        <w:tc>
          <w:tcPr>
            <w:tcW w:w="768" w:type="pct"/>
            <w:tcBorders>
              <w:top w:val="single" w:sz="4" w:space="0" w:color="auto"/>
              <w:left w:val="single" w:sz="4" w:space="0" w:color="auto"/>
              <w:bottom w:val="single" w:sz="4" w:space="0" w:color="auto"/>
              <w:right w:val="single" w:sz="4" w:space="0" w:color="auto"/>
            </w:tcBorders>
            <w:hideMark/>
          </w:tcPr>
          <w:p w14:paraId="14AB4973" w14:textId="77777777" w:rsidR="00195A8B" w:rsidRPr="00195A8B" w:rsidRDefault="00195A8B" w:rsidP="00195A8B">
            <w:pPr>
              <w:rPr>
                <w:rFonts w:ascii="Times New Roman" w:hAnsi="Times New Roman" w:cs="Times New Roman"/>
                <w:b/>
                <w:bCs/>
                <w:sz w:val="24"/>
                <w:szCs w:val="24"/>
              </w:rPr>
            </w:pPr>
            <w:r w:rsidRPr="00195A8B">
              <w:rPr>
                <w:rFonts w:ascii="Times New Roman" w:hAnsi="Times New Roman" w:cs="Times New Roman"/>
                <w:b/>
                <w:bCs/>
                <w:sz w:val="24"/>
                <w:szCs w:val="24"/>
              </w:rPr>
              <w:t>After Loan</w:t>
            </w:r>
          </w:p>
        </w:tc>
        <w:tc>
          <w:tcPr>
            <w:tcW w:w="691" w:type="pct"/>
            <w:tcBorders>
              <w:top w:val="single" w:sz="4" w:space="0" w:color="auto"/>
              <w:left w:val="single" w:sz="4" w:space="0" w:color="auto"/>
              <w:bottom w:val="single" w:sz="4" w:space="0" w:color="auto"/>
              <w:right w:val="single" w:sz="4" w:space="0" w:color="auto"/>
            </w:tcBorders>
            <w:hideMark/>
          </w:tcPr>
          <w:p w14:paraId="0A2D78C1" w14:textId="77777777" w:rsidR="00195A8B" w:rsidRPr="00195A8B" w:rsidRDefault="00195A8B" w:rsidP="00195A8B">
            <w:pPr>
              <w:rPr>
                <w:rFonts w:ascii="Times New Roman" w:hAnsi="Times New Roman" w:cs="Times New Roman"/>
                <w:b/>
                <w:bCs/>
                <w:sz w:val="24"/>
                <w:szCs w:val="24"/>
              </w:rPr>
            </w:pPr>
            <w:r w:rsidRPr="00195A8B">
              <w:rPr>
                <w:rFonts w:ascii="Times New Roman" w:hAnsi="Times New Roman" w:cs="Times New Roman"/>
                <w:b/>
                <w:bCs/>
                <w:sz w:val="24"/>
                <w:szCs w:val="24"/>
              </w:rPr>
              <w:t>Difference</w:t>
            </w:r>
          </w:p>
        </w:tc>
      </w:tr>
      <w:tr w:rsidR="00195A8B" w:rsidRPr="00195A8B" w14:paraId="33659CF1" w14:textId="77777777" w:rsidTr="00CA33B8">
        <w:tc>
          <w:tcPr>
            <w:tcW w:w="975" w:type="pct"/>
            <w:tcBorders>
              <w:top w:val="single" w:sz="4" w:space="0" w:color="auto"/>
              <w:left w:val="single" w:sz="4" w:space="0" w:color="auto"/>
              <w:bottom w:val="single" w:sz="4" w:space="0" w:color="auto"/>
              <w:right w:val="single" w:sz="4" w:space="0" w:color="auto"/>
            </w:tcBorders>
          </w:tcPr>
          <w:p w14:paraId="3C58A259" w14:textId="77777777" w:rsidR="00195A8B" w:rsidRPr="00195A8B" w:rsidRDefault="00195A8B" w:rsidP="00195A8B">
            <w:pPr>
              <w:rPr>
                <w:rFonts w:ascii="Times New Roman" w:hAnsi="Times New Roman" w:cs="Times New Roman"/>
                <w:b/>
                <w:bCs/>
                <w:sz w:val="24"/>
                <w:szCs w:val="24"/>
              </w:rPr>
            </w:pPr>
          </w:p>
        </w:tc>
        <w:tc>
          <w:tcPr>
            <w:tcW w:w="504" w:type="pct"/>
            <w:tcBorders>
              <w:top w:val="single" w:sz="4" w:space="0" w:color="auto"/>
              <w:left w:val="single" w:sz="4" w:space="0" w:color="auto"/>
              <w:bottom w:val="single" w:sz="4" w:space="0" w:color="auto"/>
              <w:right w:val="single" w:sz="4" w:space="0" w:color="auto"/>
            </w:tcBorders>
            <w:hideMark/>
          </w:tcPr>
          <w:p w14:paraId="2F591509" w14:textId="77777777" w:rsidR="00195A8B" w:rsidRPr="00195A8B" w:rsidRDefault="00195A8B" w:rsidP="00195A8B">
            <w:pPr>
              <w:rPr>
                <w:rFonts w:ascii="Times New Roman" w:hAnsi="Times New Roman" w:cs="Times New Roman"/>
                <w:b/>
                <w:bCs/>
                <w:sz w:val="24"/>
                <w:szCs w:val="24"/>
              </w:rPr>
            </w:pPr>
            <w:r w:rsidRPr="00195A8B">
              <w:rPr>
                <w:rFonts w:ascii="Times New Roman" w:hAnsi="Times New Roman" w:cs="Times New Roman"/>
                <w:b/>
                <w:bCs/>
                <w:sz w:val="24"/>
                <w:szCs w:val="24"/>
              </w:rPr>
              <w:t>Mean</w:t>
            </w:r>
          </w:p>
        </w:tc>
        <w:tc>
          <w:tcPr>
            <w:tcW w:w="677" w:type="pct"/>
            <w:tcBorders>
              <w:top w:val="single" w:sz="4" w:space="0" w:color="auto"/>
              <w:left w:val="single" w:sz="4" w:space="0" w:color="auto"/>
              <w:bottom w:val="single" w:sz="4" w:space="0" w:color="auto"/>
              <w:right w:val="single" w:sz="4" w:space="0" w:color="auto"/>
            </w:tcBorders>
            <w:hideMark/>
          </w:tcPr>
          <w:p w14:paraId="0788D8E8" w14:textId="77777777" w:rsidR="00195A8B" w:rsidRPr="00195A8B" w:rsidRDefault="00195A8B" w:rsidP="00195A8B">
            <w:pPr>
              <w:rPr>
                <w:rFonts w:ascii="Times New Roman" w:hAnsi="Times New Roman" w:cs="Times New Roman"/>
                <w:b/>
                <w:bCs/>
                <w:sz w:val="24"/>
                <w:szCs w:val="24"/>
              </w:rPr>
            </w:pPr>
            <w:r w:rsidRPr="00195A8B">
              <w:rPr>
                <w:rFonts w:ascii="Times New Roman" w:hAnsi="Times New Roman" w:cs="Times New Roman"/>
                <w:b/>
                <w:bCs/>
                <w:sz w:val="24"/>
                <w:szCs w:val="24"/>
              </w:rPr>
              <w:t>Mean</w:t>
            </w:r>
          </w:p>
        </w:tc>
        <w:tc>
          <w:tcPr>
            <w:tcW w:w="627" w:type="pct"/>
            <w:tcBorders>
              <w:top w:val="single" w:sz="4" w:space="0" w:color="auto"/>
              <w:left w:val="single" w:sz="4" w:space="0" w:color="auto"/>
              <w:bottom w:val="single" w:sz="4" w:space="0" w:color="auto"/>
              <w:right w:val="single" w:sz="4" w:space="0" w:color="auto"/>
            </w:tcBorders>
            <w:hideMark/>
          </w:tcPr>
          <w:p w14:paraId="27F5FF92" w14:textId="77777777" w:rsidR="00195A8B" w:rsidRPr="00195A8B" w:rsidRDefault="00195A8B" w:rsidP="00195A8B">
            <w:pPr>
              <w:rPr>
                <w:rFonts w:ascii="Times New Roman" w:hAnsi="Times New Roman" w:cs="Times New Roman"/>
                <w:b/>
                <w:bCs/>
                <w:sz w:val="24"/>
                <w:szCs w:val="24"/>
              </w:rPr>
            </w:pPr>
            <w:r w:rsidRPr="00195A8B">
              <w:rPr>
                <w:rFonts w:ascii="Times New Roman" w:hAnsi="Times New Roman" w:cs="Times New Roman"/>
                <w:b/>
                <w:bCs/>
                <w:sz w:val="24"/>
                <w:szCs w:val="24"/>
              </w:rPr>
              <w:t>Mean</w:t>
            </w:r>
          </w:p>
        </w:tc>
        <w:tc>
          <w:tcPr>
            <w:tcW w:w="758" w:type="pct"/>
            <w:tcBorders>
              <w:top w:val="single" w:sz="4" w:space="0" w:color="auto"/>
              <w:left w:val="single" w:sz="4" w:space="0" w:color="auto"/>
              <w:bottom w:val="single" w:sz="4" w:space="0" w:color="auto"/>
              <w:right w:val="single" w:sz="4" w:space="0" w:color="auto"/>
            </w:tcBorders>
            <w:hideMark/>
          </w:tcPr>
          <w:p w14:paraId="235A3BDD" w14:textId="77777777" w:rsidR="00195A8B" w:rsidRPr="00195A8B" w:rsidRDefault="00195A8B" w:rsidP="00195A8B">
            <w:pPr>
              <w:rPr>
                <w:rFonts w:ascii="Times New Roman" w:hAnsi="Times New Roman" w:cs="Times New Roman"/>
                <w:b/>
                <w:bCs/>
                <w:sz w:val="24"/>
                <w:szCs w:val="24"/>
              </w:rPr>
            </w:pPr>
            <w:r w:rsidRPr="00195A8B">
              <w:rPr>
                <w:rFonts w:ascii="Times New Roman" w:hAnsi="Times New Roman" w:cs="Times New Roman"/>
                <w:b/>
                <w:bCs/>
                <w:sz w:val="24"/>
                <w:szCs w:val="24"/>
              </w:rPr>
              <w:t>Mean</w:t>
            </w:r>
          </w:p>
        </w:tc>
        <w:tc>
          <w:tcPr>
            <w:tcW w:w="768" w:type="pct"/>
            <w:tcBorders>
              <w:top w:val="single" w:sz="4" w:space="0" w:color="auto"/>
              <w:left w:val="single" w:sz="4" w:space="0" w:color="auto"/>
              <w:bottom w:val="single" w:sz="4" w:space="0" w:color="auto"/>
              <w:right w:val="single" w:sz="4" w:space="0" w:color="auto"/>
            </w:tcBorders>
            <w:hideMark/>
          </w:tcPr>
          <w:p w14:paraId="57B74D1F" w14:textId="77777777" w:rsidR="00195A8B" w:rsidRPr="00195A8B" w:rsidRDefault="00195A8B" w:rsidP="00195A8B">
            <w:pPr>
              <w:rPr>
                <w:rFonts w:ascii="Times New Roman" w:hAnsi="Times New Roman" w:cs="Times New Roman"/>
                <w:b/>
                <w:bCs/>
                <w:sz w:val="24"/>
                <w:szCs w:val="24"/>
              </w:rPr>
            </w:pPr>
            <w:r w:rsidRPr="00195A8B">
              <w:rPr>
                <w:rFonts w:ascii="Times New Roman" w:hAnsi="Times New Roman" w:cs="Times New Roman"/>
                <w:b/>
                <w:bCs/>
                <w:sz w:val="24"/>
                <w:szCs w:val="24"/>
              </w:rPr>
              <w:t>Mean</w:t>
            </w:r>
          </w:p>
        </w:tc>
        <w:tc>
          <w:tcPr>
            <w:tcW w:w="691" w:type="pct"/>
            <w:tcBorders>
              <w:top w:val="single" w:sz="4" w:space="0" w:color="auto"/>
              <w:left w:val="single" w:sz="4" w:space="0" w:color="auto"/>
              <w:bottom w:val="single" w:sz="4" w:space="0" w:color="auto"/>
              <w:right w:val="single" w:sz="4" w:space="0" w:color="auto"/>
            </w:tcBorders>
            <w:hideMark/>
          </w:tcPr>
          <w:p w14:paraId="2E16952D" w14:textId="77777777" w:rsidR="00195A8B" w:rsidRPr="00195A8B" w:rsidRDefault="00195A8B" w:rsidP="00195A8B">
            <w:pPr>
              <w:rPr>
                <w:rFonts w:ascii="Times New Roman" w:hAnsi="Times New Roman" w:cs="Times New Roman"/>
                <w:b/>
                <w:bCs/>
                <w:sz w:val="24"/>
                <w:szCs w:val="24"/>
              </w:rPr>
            </w:pPr>
            <w:r w:rsidRPr="00195A8B">
              <w:rPr>
                <w:rFonts w:ascii="Times New Roman" w:hAnsi="Times New Roman" w:cs="Times New Roman"/>
                <w:b/>
                <w:bCs/>
                <w:sz w:val="24"/>
                <w:szCs w:val="24"/>
              </w:rPr>
              <w:t>mean</w:t>
            </w:r>
          </w:p>
        </w:tc>
      </w:tr>
      <w:tr w:rsidR="00195A8B" w:rsidRPr="00195A8B" w14:paraId="6EE9FEE1" w14:textId="77777777" w:rsidTr="00CA33B8">
        <w:tc>
          <w:tcPr>
            <w:tcW w:w="975" w:type="pct"/>
            <w:tcBorders>
              <w:top w:val="single" w:sz="4" w:space="0" w:color="auto"/>
              <w:left w:val="single" w:sz="4" w:space="0" w:color="auto"/>
              <w:bottom w:val="single" w:sz="4" w:space="0" w:color="auto"/>
              <w:right w:val="single" w:sz="4" w:space="0" w:color="auto"/>
            </w:tcBorders>
            <w:hideMark/>
          </w:tcPr>
          <w:p w14:paraId="5C4288DD" w14:textId="77777777" w:rsidR="00195A8B" w:rsidRPr="00195A8B" w:rsidRDefault="00195A8B" w:rsidP="00195A8B">
            <w:pPr>
              <w:rPr>
                <w:rFonts w:ascii="Times New Roman" w:hAnsi="Times New Roman" w:cs="Times New Roman"/>
                <w:b/>
                <w:bCs/>
                <w:sz w:val="24"/>
                <w:szCs w:val="24"/>
              </w:rPr>
            </w:pPr>
            <w:r w:rsidRPr="00195A8B">
              <w:rPr>
                <w:rFonts w:ascii="Times New Roman" w:hAnsi="Times New Roman" w:cs="Times New Roman"/>
                <w:b/>
                <w:bCs/>
                <w:sz w:val="24"/>
                <w:szCs w:val="24"/>
              </w:rPr>
              <w:t>Business capital (TZS)</w:t>
            </w:r>
          </w:p>
        </w:tc>
        <w:tc>
          <w:tcPr>
            <w:tcW w:w="504" w:type="pct"/>
            <w:tcBorders>
              <w:top w:val="single" w:sz="4" w:space="0" w:color="auto"/>
              <w:left w:val="single" w:sz="4" w:space="0" w:color="auto"/>
              <w:bottom w:val="single" w:sz="4" w:space="0" w:color="auto"/>
              <w:right w:val="single" w:sz="4" w:space="0" w:color="auto"/>
            </w:tcBorders>
          </w:tcPr>
          <w:p w14:paraId="7F8972C7" w14:textId="77777777" w:rsidR="00195A8B" w:rsidRPr="00195A8B" w:rsidRDefault="00195A8B" w:rsidP="00195A8B">
            <w:pPr>
              <w:rPr>
                <w:rFonts w:ascii="Times New Roman" w:hAnsi="Times New Roman" w:cs="Times New Roman"/>
                <w:bCs/>
                <w:sz w:val="24"/>
                <w:szCs w:val="24"/>
              </w:rPr>
            </w:pPr>
            <w:r w:rsidRPr="00195A8B">
              <w:rPr>
                <w:rFonts w:ascii="Times New Roman" w:hAnsi="Times New Roman" w:cs="Times New Roman"/>
                <w:bCs/>
                <w:sz w:val="24"/>
                <w:szCs w:val="24"/>
              </w:rPr>
              <w:t>3,271,434</w:t>
            </w:r>
          </w:p>
        </w:tc>
        <w:tc>
          <w:tcPr>
            <w:tcW w:w="677" w:type="pct"/>
            <w:tcBorders>
              <w:top w:val="single" w:sz="4" w:space="0" w:color="auto"/>
              <w:left w:val="single" w:sz="4" w:space="0" w:color="auto"/>
              <w:bottom w:val="single" w:sz="4" w:space="0" w:color="auto"/>
              <w:right w:val="single" w:sz="4" w:space="0" w:color="auto"/>
            </w:tcBorders>
          </w:tcPr>
          <w:p w14:paraId="57053D18" w14:textId="77777777" w:rsidR="00195A8B" w:rsidRPr="00195A8B" w:rsidRDefault="00195A8B" w:rsidP="00195A8B">
            <w:pPr>
              <w:rPr>
                <w:rFonts w:ascii="Times New Roman" w:hAnsi="Times New Roman" w:cs="Times New Roman"/>
                <w:bCs/>
                <w:sz w:val="24"/>
                <w:szCs w:val="24"/>
              </w:rPr>
            </w:pPr>
            <w:r w:rsidRPr="00195A8B">
              <w:rPr>
                <w:rFonts w:ascii="Times New Roman" w:hAnsi="Times New Roman" w:cs="Times New Roman"/>
                <w:bCs/>
                <w:sz w:val="24"/>
                <w:szCs w:val="24"/>
              </w:rPr>
              <w:t>4,265,109</w:t>
            </w:r>
          </w:p>
        </w:tc>
        <w:tc>
          <w:tcPr>
            <w:tcW w:w="627" w:type="pct"/>
            <w:tcBorders>
              <w:top w:val="single" w:sz="4" w:space="0" w:color="auto"/>
              <w:left w:val="single" w:sz="4" w:space="0" w:color="auto"/>
              <w:bottom w:val="single" w:sz="4" w:space="0" w:color="auto"/>
              <w:right w:val="single" w:sz="4" w:space="0" w:color="auto"/>
            </w:tcBorders>
          </w:tcPr>
          <w:p w14:paraId="7F05A4D8" w14:textId="77777777" w:rsidR="00195A8B" w:rsidRPr="00195A8B" w:rsidRDefault="00195A8B" w:rsidP="00195A8B">
            <w:pPr>
              <w:rPr>
                <w:rFonts w:ascii="Times New Roman" w:hAnsi="Times New Roman" w:cs="Times New Roman"/>
                <w:bCs/>
                <w:sz w:val="24"/>
                <w:szCs w:val="24"/>
              </w:rPr>
            </w:pPr>
            <w:r w:rsidRPr="00195A8B">
              <w:rPr>
                <w:rFonts w:ascii="Times New Roman" w:hAnsi="Times New Roman" w:cs="Times New Roman"/>
                <w:bCs/>
                <w:sz w:val="24"/>
                <w:szCs w:val="24"/>
              </w:rPr>
              <w:t>993,675</w:t>
            </w:r>
          </w:p>
          <w:p w14:paraId="1691FE96" w14:textId="77777777" w:rsidR="00195A8B" w:rsidRPr="00195A8B" w:rsidRDefault="00195A8B" w:rsidP="00195A8B">
            <w:pPr>
              <w:rPr>
                <w:rFonts w:ascii="Times New Roman" w:hAnsi="Times New Roman" w:cs="Times New Roman"/>
                <w:bCs/>
                <w:sz w:val="24"/>
                <w:szCs w:val="24"/>
              </w:rPr>
            </w:pPr>
          </w:p>
        </w:tc>
        <w:tc>
          <w:tcPr>
            <w:tcW w:w="758" w:type="pct"/>
            <w:tcBorders>
              <w:top w:val="single" w:sz="4" w:space="0" w:color="auto"/>
              <w:left w:val="single" w:sz="4" w:space="0" w:color="auto"/>
              <w:bottom w:val="single" w:sz="4" w:space="0" w:color="auto"/>
              <w:right w:val="single" w:sz="4" w:space="0" w:color="auto"/>
            </w:tcBorders>
          </w:tcPr>
          <w:p w14:paraId="79E08DBD" w14:textId="77777777" w:rsidR="00195A8B" w:rsidRPr="00195A8B" w:rsidRDefault="00195A8B" w:rsidP="00195A8B">
            <w:pPr>
              <w:rPr>
                <w:rFonts w:ascii="Times New Roman" w:hAnsi="Times New Roman" w:cs="Times New Roman"/>
                <w:bCs/>
                <w:sz w:val="24"/>
                <w:szCs w:val="24"/>
              </w:rPr>
            </w:pPr>
            <w:r w:rsidRPr="00195A8B">
              <w:rPr>
                <w:rFonts w:ascii="Times New Roman" w:hAnsi="Times New Roman" w:cs="Times New Roman"/>
                <w:bCs/>
                <w:sz w:val="24"/>
                <w:szCs w:val="24"/>
              </w:rPr>
              <w:t>2,739,512.2</w:t>
            </w:r>
          </w:p>
        </w:tc>
        <w:tc>
          <w:tcPr>
            <w:tcW w:w="768" w:type="pct"/>
            <w:tcBorders>
              <w:top w:val="single" w:sz="4" w:space="0" w:color="auto"/>
              <w:left w:val="single" w:sz="4" w:space="0" w:color="auto"/>
              <w:bottom w:val="single" w:sz="4" w:space="0" w:color="auto"/>
              <w:right w:val="single" w:sz="4" w:space="0" w:color="auto"/>
            </w:tcBorders>
          </w:tcPr>
          <w:p w14:paraId="36AA9647" w14:textId="77777777" w:rsidR="00195A8B" w:rsidRPr="00195A8B" w:rsidRDefault="00195A8B" w:rsidP="00195A8B">
            <w:pPr>
              <w:rPr>
                <w:rFonts w:ascii="Times New Roman" w:hAnsi="Times New Roman" w:cs="Times New Roman"/>
                <w:bCs/>
                <w:sz w:val="24"/>
                <w:szCs w:val="24"/>
              </w:rPr>
            </w:pPr>
            <w:r w:rsidRPr="00195A8B">
              <w:rPr>
                <w:rFonts w:ascii="Times New Roman" w:hAnsi="Times New Roman" w:cs="Times New Roman"/>
                <w:bCs/>
                <w:sz w:val="24"/>
                <w:szCs w:val="24"/>
              </w:rPr>
              <w:t>4,899,708.8</w:t>
            </w:r>
          </w:p>
        </w:tc>
        <w:tc>
          <w:tcPr>
            <w:tcW w:w="691" w:type="pct"/>
            <w:tcBorders>
              <w:top w:val="single" w:sz="4" w:space="0" w:color="auto"/>
              <w:left w:val="single" w:sz="4" w:space="0" w:color="auto"/>
              <w:bottom w:val="single" w:sz="4" w:space="0" w:color="auto"/>
              <w:right w:val="single" w:sz="4" w:space="0" w:color="auto"/>
            </w:tcBorders>
          </w:tcPr>
          <w:p w14:paraId="4953FD21" w14:textId="77777777" w:rsidR="00195A8B" w:rsidRPr="00195A8B" w:rsidRDefault="00195A8B" w:rsidP="00195A8B">
            <w:pPr>
              <w:rPr>
                <w:rFonts w:ascii="Times New Roman" w:hAnsi="Times New Roman" w:cs="Times New Roman"/>
                <w:bCs/>
                <w:sz w:val="24"/>
                <w:szCs w:val="24"/>
              </w:rPr>
            </w:pPr>
            <w:r w:rsidRPr="00195A8B">
              <w:rPr>
                <w:rFonts w:ascii="Times New Roman" w:hAnsi="Times New Roman" w:cs="Times New Roman"/>
                <w:bCs/>
                <w:sz w:val="24"/>
                <w:szCs w:val="24"/>
              </w:rPr>
              <w:t>2,160,197</w:t>
            </w:r>
          </w:p>
          <w:p w14:paraId="3622C4F0" w14:textId="77777777" w:rsidR="00195A8B" w:rsidRPr="00195A8B" w:rsidRDefault="00195A8B" w:rsidP="00195A8B">
            <w:pPr>
              <w:rPr>
                <w:rFonts w:ascii="Times New Roman" w:hAnsi="Times New Roman" w:cs="Times New Roman"/>
                <w:bCs/>
                <w:sz w:val="24"/>
                <w:szCs w:val="24"/>
              </w:rPr>
            </w:pPr>
          </w:p>
        </w:tc>
      </w:tr>
      <w:tr w:rsidR="00195A8B" w:rsidRPr="00195A8B" w14:paraId="41F3BF56" w14:textId="77777777" w:rsidTr="00195A8B">
        <w:tc>
          <w:tcPr>
            <w:tcW w:w="5000" w:type="pct"/>
            <w:gridSpan w:val="7"/>
            <w:tcBorders>
              <w:top w:val="single" w:sz="4" w:space="0" w:color="auto"/>
              <w:left w:val="single" w:sz="4" w:space="0" w:color="auto"/>
              <w:bottom w:val="single" w:sz="4" w:space="0" w:color="auto"/>
              <w:right w:val="single" w:sz="4" w:space="0" w:color="auto"/>
            </w:tcBorders>
            <w:shd w:val="clear" w:color="auto" w:fill="EDEDED"/>
          </w:tcPr>
          <w:p w14:paraId="21E3F9D2" w14:textId="77777777" w:rsidR="00195A8B" w:rsidRPr="00195A8B" w:rsidRDefault="00195A8B" w:rsidP="00195A8B">
            <w:pPr>
              <w:rPr>
                <w:rFonts w:ascii="Times New Roman" w:hAnsi="Times New Roman" w:cs="Times New Roman"/>
                <w:b/>
                <w:bCs/>
                <w:sz w:val="24"/>
                <w:szCs w:val="24"/>
              </w:rPr>
            </w:pPr>
            <w:r w:rsidRPr="00195A8B">
              <w:rPr>
                <w:rFonts w:ascii="Times New Roman" w:hAnsi="Times New Roman" w:cs="Times New Roman"/>
                <w:b/>
                <w:bCs/>
                <w:sz w:val="24"/>
                <w:szCs w:val="24"/>
              </w:rPr>
              <w:t>Types of Customers</w:t>
            </w:r>
          </w:p>
        </w:tc>
      </w:tr>
      <w:tr w:rsidR="00195A8B" w:rsidRPr="00195A8B" w14:paraId="609EAB87" w14:textId="77777777" w:rsidTr="00CA33B8">
        <w:tc>
          <w:tcPr>
            <w:tcW w:w="975" w:type="pct"/>
            <w:tcBorders>
              <w:top w:val="single" w:sz="4" w:space="0" w:color="auto"/>
              <w:left w:val="single" w:sz="4" w:space="0" w:color="auto"/>
              <w:bottom w:val="single" w:sz="4" w:space="0" w:color="auto"/>
              <w:right w:val="single" w:sz="4" w:space="0" w:color="auto"/>
            </w:tcBorders>
            <w:hideMark/>
          </w:tcPr>
          <w:p w14:paraId="3F001C1C" w14:textId="77777777" w:rsidR="00195A8B" w:rsidRPr="00195A8B" w:rsidRDefault="00195A8B" w:rsidP="00195A8B">
            <w:pPr>
              <w:rPr>
                <w:rFonts w:ascii="Times New Roman" w:hAnsi="Times New Roman" w:cs="Times New Roman"/>
                <w:bCs/>
                <w:sz w:val="24"/>
                <w:szCs w:val="24"/>
              </w:rPr>
            </w:pPr>
            <w:r w:rsidRPr="00195A8B">
              <w:rPr>
                <w:rFonts w:ascii="Times New Roman" w:hAnsi="Times New Roman" w:cs="Times New Roman"/>
                <w:bCs/>
                <w:sz w:val="24"/>
                <w:szCs w:val="24"/>
              </w:rPr>
              <w:t>Individual (retail)</w:t>
            </w:r>
          </w:p>
        </w:tc>
        <w:tc>
          <w:tcPr>
            <w:tcW w:w="504" w:type="pct"/>
            <w:tcBorders>
              <w:top w:val="single" w:sz="4" w:space="0" w:color="auto"/>
              <w:left w:val="single" w:sz="4" w:space="0" w:color="auto"/>
              <w:bottom w:val="single" w:sz="4" w:space="0" w:color="auto"/>
              <w:right w:val="single" w:sz="4" w:space="0" w:color="auto"/>
            </w:tcBorders>
          </w:tcPr>
          <w:p w14:paraId="02433E29" w14:textId="77777777" w:rsidR="00195A8B" w:rsidRPr="00195A8B" w:rsidRDefault="00195A8B" w:rsidP="00195A8B">
            <w:pPr>
              <w:rPr>
                <w:rFonts w:ascii="Times New Roman" w:hAnsi="Times New Roman" w:cs="Times New Roman"/>
                <w:bCs/>
                <w:sz w:val="24"/>
                <w:szCs w:val="24"/>
              </w:rPr>
            </w:pPr>
            <w:r w:rsidRPr="00195A8B">
              <w:rPr>
                <w:rFonts w:ascii="Times New Roman" w:hAnsi="Times New Roman" w:cs="Times New Roman"/>
                <w:bCs/>
                <w:sz w:val="24"/>
                <w:szCs w:val="24"/>
              </w:rPr>
              <w:t>93</w:t>
            </w:r>
          </w:p>
        </w:tc>
        <w:tc>
          <w:tcPr>
            <w:tcW w:w="677" w:type="pct"/>
            <w:tcBorders>
              <w:top w:val="single" w:sz="4" w:space="0" w:color="auto"/>
              <w:left w:val="single" w:sz="4" w:space="0" w:color="auto"/>
              <w:bottom w:val="single" w:sz="4" w:space="0" w:color="auto"/>
              <w:right w:val="single" w:sz="4" w:space="0" w:color="auto"/>
            </w:tcBorders>
          </w:tcPr>
          <w:p w14:paraId="68B45228" w14:textId="77777777" w:rsidR="00195A8B" w:rsidRPr="00195A8B" w:rsidRDefault="00195A8B" w:rsidP="00195A8B">
            <w:pPr>
              <w:rPr>
                <w:rFonts w:ascii="Times New Roman" w:hAnsi="Times New Roman" w:cs="Times New Roman"/>
                <w:bCs/>
                <w:sz w:val="24"/>
                <w:szCs w:val="24"/>
              </w:rPr>
            </w:pPr>
            <w:r w:rsidRPr="00195A8B">
              <w:rPr>
                <w:rFonts w:ascii="Times New Roman" w:hAnsi="Times New Roman" w:cs="Times New Roman"/>
                <w:bCs/>
                <w:sz w:val="24"/>
                <w:szCs w:val="24"/>
              </w:rPr>
              <w:t>1175</w:t>
            </w:r>
          </w:p>
        </w:tc>
        <w:tc>
          <w:tcPr>
            <w:tcW w:w="627" w:type="pct"/>
            <w:tcBorders>
              <w:top w:val="single" w:sz="4" w:space="0" w:color="auto"/>
              <w:left w:val="nil"/>
              <w:bottom w:val="single" w:sz="4" w:space="0" w:color="auto"/>
              <w:right w:val="nil"/>
            </w:tcBorders>
            <w:shd w:val="clear" w:color="auto" w:fill="auto"/>
            <w:vAlign w:val="bottom"/>
          </w:tcPr>
          <w:p w14:paraId="68C0A944" w14:textId="77777777" w:rsidR="00195A8B" w:rsidRPr="00195A8B" w:rsidRDefault="00195A8B" w:rsidP="00195A8B">
            <w:pPr>
              <w:rPr>
                <w:rFonts w:ascii="Times New Roman" w:hAnsi="Times New Roman" w:cs="Times New Roman"/>
                <w:bCs/>
                <w:sz w:val="24"/>
                <w:szCs w:val="24"/>
              </w:rPr>
            </w:pPr>
            <w:r w:rsidRPr="00195A8B">
              <w:rPr>
                <w:rFonts w:ascii="Times New Roman" w:hAnsi="Times New Roman" w:cs="Times New Roman"/>
                <w:color w:val="000000"/>
                <w:sz w:val="24"/>
                <w:szCs w:val="24"/>
              </w:rPr>
              <w:t>1082</w:t>
            </w:r>
          </w:p>
        </w:tc>
        <w:tc>
          <w:tcPr>
            <w:tcW w:w="758" w:type="pct"/>
            <w:tcBorders>
              <w:top w:val="single" w:sz="4" w:space="0" w:color="auto"/>
              <w:left w:val="single" w:sz="4" w:space="0" w:color="auto"/>
              <w:bottom w:val="single" w:sz="4" w:space="0" w:color="auto"/>
              <w:right w:val="single" w:sz="4" w:space="0" w:color="auto"/>
            </w:tcBorders>
          </w:tcPr>
          <w:p w14:paraId="422A734A" w14:textId="77777777" w:rsidR="00195A8B" w:rsidRPr="00195A8B" w:rsidRDefault="00195A8B" w:rsidP="00195A8B">
            <w:pPr>
              <w:rPr>
                <w:rFonts w:ascii="Times New Roman" w:hAnsi="Times New Roman" w:cs="Times New Roman"/>
                <w:bCs/>
                <w:sz w:val="24"/>
                <w:szCs w:val="24"/>
              </w:rPr>
            </w:pPr>
            <w:r w:rsidRPr="00195A8B">
              <w:rPr>
                <w:rFonts w:ascii="Times New Roman" w:hAnsi="Times New Roman" w:cs="Times New Roman"/>
                <w:bCs/>
                <w:sz w:val="24"/>
                <w:szCs w:val="24"/>
              </w:rPr>
              <w:t>43</w:t>
            </w:r>
          </w:p>
        </w:tc>
        <w:tc>
          <w:tcPr>
            <w:tcW w:w="768" w:type="pct"/>
            <w:tcBorders>
              <w:top w:val="single" w:sz="4" w:space="0" w:color="auto"/>
              <w:left w:val="single" w:sz="4" w:space="0" w:color="auto"/>
              <w:bottom w:val="single" w:sz="4" w:space="0" w:color="auto"/>
              <w:right w:val="single" w:sz="4" w:space="0" w:color="auto"/>
            </w:tcBorders>
          </w:tcPr>
          <w:p w14:paraId="7195B2B3" w14:textId="77777777" w:rsidR="00195A8B" w:rsidRPr="00195A8B" w:rsidRDefault="00195A8B" w:rsidP="00195A8B">
            <w:pPr>
              <w:rPr>
                <w:rFonts w:ascii="Times New Roman" w:hAnsi="Times New Roman" w:cs="Times New Roman"/>
                <w:bCs/>
                <w:sz w:val="24"/>
                <w:szCs w:val="24"/>
              </w:rPr>
            </w:pPr>
            <w:r w:rsidRPr="00195A8B">
              <w:rPr>
                <w:rFonts w:ascii="Times New Roman" w:hAnsi="Times New Roman" w:cs="Times New Roman"/>
                <w:bCs/>
                <w:sz w:val="24"/>
                <w:szCs w:val="24"/>
              </w:rPr>
              <w:t>71</w:t>
            </w:r>
          </w:p>
        </w:tc>
        <w:tc>
          <w:tcPr>
            <w:tcW w:w="691" w:type="pct"/>
            <w:tcBorders>
              <w:top w:val="single" w:sz="4" w:space="0" w:color="auto"/>
              <w:left w:val="nil"/>
              <w:bottom w:val="single" w:sz="4" w:space="0" w:color="auto"/>
              <w:right w:val="single" w:sz="4" w:space="0" w:color="auto"/>
            </w:tcBorders>
            <w:shd w:val="clear" w:color="auto" w:fill="auto"/>
            <w:vAlign w:val="bottom"/>
          </w:tcPr>
          <w:p w14:paraId="16F56E8C" w14:textId="77777777" w:rsidR="00195A8B" w:rsidRPr="00195A8B" w:rsidRDefault="00195A8B" w:rsidP="00195A8B">
            <w:pPr>
              <w:rPr>
                <w:rFonts w:ascii="Times New Roman" w:hAnsi="Times New Roman" w:cs="Times New Roman"/>
                <w:b/>
                <w:bCs/>
                <w:sz w:val="24"/>
                <w:szCs w:val="24"/>
              </w:rPr>
            </w:pPr>
            <w:r w:rsidRPr="00195A8B">
              <w:rPr>
                <w:rFonts w:ascii="Times New Roman" w:hAnsi="Times New Roman" w:cs="Times New Roman"/>
                <w:color w:val="000000"/>
                <w:sz w:val="24"/>
                <w:szCs w:val="24"/>
              </w:rPr>
              <w:t>28</w:t>
            </w:r>
          </w:p>
        </w:tc>
      </w:tr>
      <w:tr w:rsidR="00195A8B" w:rsidRPr="00195A8B" w14:paraId="3B37BAF9" w14:textId="77777777" w:rsidTr="00CA33B8">
        <w:trPr>
          <w:trHeight w:val="899"/>
        </w:trPr>
        <w:tc>
          <w:tcPr>
            <w:tcW w:w="975" w:type="pct"/>
            <w:tcBorders>
              <w:top w:val="single" w:sz="4" w:space="0" w:color="auto"/>
              <w:left w:val="single" w:sz="4" w:space="0" w:color="auto"/>
              <w:bottom w:val="single" w:sz="4" w:space="0" w:color="auto"/>
              <w:right w:val="single" w:sz="4" w:space="0" w:color="auto"/>
            </w:tcBorders>
            <w:hideMark/>
          </w:tcPr>
          <w:p w14:paraId="42273C80" w14:textId="77777777" w:rsidR="00195A8B" w:rsidRPr="00195A8B" w:rsidRDefault="00195A8B" w:rsidP="00195A8B">
            <w:pPr>
              <w:rPr>
                <w:rFonts w:ascii="Times New Roman" w:hAnsi="Times New Roman" w:cs="Times New Roman"/>
                <w:b/>
                <w:bCs/>
                <w:sz w:val="24"/>
                <w:szCs w:val="24"/>
              </w:rPr>
            </w:pPr>
            <w:r w:rsidRPr="00195A8B">
              <w:rPr>
                <w:rFonts w:ascii="Times New Roman" w:hAnsi="Times New Roman" w:cs="Times New Roman"/>
                <w:bCs/>
                <w:sz w:val="24"/>
                <w:szCs w:val="24"/>
              </w:rPr>
              <w:t>Business (wholesale)</w:t>
            </w:r>
          </w:p>
        </w:tc>
        <w:tc>
          <w:tcPr>
            <w:tcW w:w="504" w:type="pct"/>
            <w:tcBorders>
              <w:top w:val="single" w:sz="4" w:space="0" w:color="auto"/>
              <w:left w:val="single" w:sz="4" w:space="0" w:color="auto"/>
              <w:bottom w:val="single" w:sz="4" w:space="0" w:color="auto"/>
              <w:right w:val="single" w:sz="4" w:space="0" w:color="auto"/>
            </w:tcBorders>
          </w:tcPr>
          <w:p w14:paraId="7648C7E6" w14:textId="77777777" w:rsidR="00195A8B" w:rsidRPr="00195A8B" w:rsidRDefault="00195A8B" w:rsidP="00195A8B">
            <w:pPr>
              <w:rPr>
                <w:rFonts w:ascii="Times New Roman" w:hAnsi="Times New Roman" w:cs="Times New Roman"/>
                <w:bCs/>
                <w:sz w:val="24"/>
                <w:szCs w:val="24"/>
              </w:rPr>
            </w:pPr>
            <w:r w:rsidRPr="00195A8B">
              <w:rPr>
                <w:rFonts w:ascii="Times New Roman" w:hAnsi="Times New Roman" w:cs="Times New Roman"/>
                <w:bCs/>
                <w:sz w:val="24"/>
                <w:szCs w:val="24"/>
              </w:rPr>
              <w:t>305</w:t>
            </w:r>
          </w:p>
        </w:tc>
        <w:tc>
          <w:tcPr>
            <w:tcW w:w="677" w:type="pct"/>
            <w:tcBorders>
              <w:top w:val="single" w:sz="4" w:space="0" w:color="auto"/>
              <w:left w:val="single" w:sz="4" w:space="0" w:color="auto"/>
              <w:bottom w:val="single" w:sz="4" w:space="0" w:color="auto"/>
              <w:right w:val="single" w:sz="4" w:space="0" w:color="auto"/>
            </w:tcBorders>
          </w:tcPr>
          <w:p w14:paraId="6129B4BE" w14:textId="77777777" w:rsidR="00195A8B" w:rsidRPr="00195A8B" w:rsidRDefault="00195A8B" w:rsidP="00195A8B">
            <w:pPr>
              <w:rPr>
                <w:rFonts w:ascii="Times New Roman" w:hAnsi="Times New Roman" w:cs="Times New Roman"/>
                <w:bCs/>
                <w:sz w:val="24"/>
                <w:szCs w:val="24"/>
              </w:rPr>
            </w:pPr>
            <w:r w:rsidRPr="00195A8B">
              <w:rPr>
                <w:rFonts w:ascii="Times New Roman" w:hAnsi="Times New Roman" w:cs="Times New Roman"/>
                <w:bCs/>
                <w:sz w:val="24"/>
                <w:szCs w:val="24"/>
              </w:rPr>
              <w:t>563</w:t>
            </w:r>
          </w:p>
        </w:tc>
        <w:tc>
          <w:tcPr>
            <w:tcW w:w="627" w:type="pct"/>
            <w:tcBorders>
              <w:top w:val="single" w:sz="4" w:space="0" w:color="auto"/>
              <w:left w:val="nil"/>
              <w:bottom w:val="single" w:sz="4" w:space="0" w:color="auto"/>
              <w:right w:val="nil"/>
            </w:tcBorders>
            <w:shd w:val="clear" w:color="auto" w:fill="auto"/>
            <w:vAlign w:val="bottom"/>
          </w:tcPr>
          <w:p w14:paraId="1807D656" w14:textId="77777777" w:rsidR="00195A8B" w:rsidRPr="00195A8B" w:rsidRDefault="00195A8B" w:rsidP="00195A8B">
            <w:pPr>
              <w:rPr>
                <w:rFonts w:ascii="Times New Roman" w:hAnsi="Times New Roman" w:cs="Times New Roman"/>
                <w:bCs/>
                <w:sz w:val="24"/>
                <w:szCs w:val="24"/>
              </w:rPr>
            </w:pPr>
            <w:r w:rsidRPr="00195A8B">
              <w:rPr>
                <w:rFonts w:ascii="Times New Roman" w:hAnsi="Times New Roman" w:cs="Times New Roman"/>
                <w:color w:val="000000"/>
                <w:sz w:val="24"/>
                <w:szCs w:val="24"/>
              </w:rPr>
              <w:t>258</w:t>
            </w:r>
          </w:p>
        </w:tc>
        <w:tc>
          <w:tcPr>
            <w:tcW w:w="758" w:type="pct"/>
            <w:tcBorders>
              <w:top w:val="single" w:sz="4" w:space="0" w:color="auto"/>
              <w:left w:val="single" w:sz="4" w:space="0" w:color="auto"/>
              <w:bottom w:val="single" w:sz="4" w:space="0" w:color="auto"/>
              <w:right w:val="single" w:sz="4" w:space="0" w:color="auto"/>
            </w:tcBorders>
          </w:tcPr>
          <w:p w14:paraId="7FB657A3" w14:textId="77777777" w:rsidR="00195A8B" w:rsidRPr="00195A8B" w:rsidRDefault="00195A8B" w:rsidP="00195A8B">
            <w:pPr>
              <w:rPr>
                <w:rFonts w:ascii="Times New Roman" w:hAnsi="Times New Roman" w:cs="Times New Roman"/>
                <w:bCs/>
                <w:sz w:val="24"/>
                <w:szCs w:val="24"/>
              </w:rPr>
            </w:pPr>
            <w:r w:rsidRPr="00195A8B">
              <w:rPr>
                <w:rFonts w:ascii="Times New Roman" w:hAnsi="Times New Roman" w:cs="Times New Roman"/>
                <w:bCs/>
                <w:sz w:val="24"/>
                <w:szCs w:val="24"/>
              </w:rPr>
              <w:t>131</w:t>
            </w:r>
          </w:p>
        </w:tc>
        <w:tc>
          <w:tcPr>
            <w:tcW w:w="768" w:type="pct"/>
            <w:tcBorders>
              <w:top w:val="single" w:sz="4" w:space="0" w:color="auto"/>
              <w:left w:val="single" w:sz="4" w:space="0" w:color="auto"/>
              <w:bottom w:val="single" w:sz="4" w:space="0" w:color="auto"/>
              <w:right w:val="single" w:sz="4" w:space="0" w:color="auto"/>
            </w:tcBorders>
          </w:tcPr>
          <w:p w14:paraId="114D037A" w14:textId="77777777" w:rsidR="00195A8B" w:rsidRPr="00195A8B" w:rsidRDefault="00195A8B" w:rsidP="00195A8B">
            <w:pPr>
              <w:rPr>
                <w:rFonts w:ascii="Times New Roman" w:hAnsi="Times New Roman" w:cs="Times New Roman"/>
                <w:bCs/>
                <w:sz w:val="24"/>
                <w:szCs w:val="24"/>
              </w:rPr>
            </w:pPr>
            <w:r w:rsidRPr="00195A8B">
              <w:rPr>
                <w:rFonts w:ascii="Times New Roman" w:hAnsi="Times New Roman" w:cs="Times New Roman"/>
                <w:bCs/>
                <w:sz w:val="24"/>
                <w:szCs w:val="24"/>
              </w:rPr>
              <w:t>57</w:t>
            </w:r>
          </w:p>
        </w:tc>
        <w:tc>
          <w:tcPr>
            <w:tcW w:w="691" w:type="pct"/>
            <w:tcBorders>
              <w:top w:val="single" w:sz="4" w:space="0" w:color="auto"/>
              <w:left w:val="nil"/>
              <w:bottom w:val="single" w:sz="4" w:space="0" w:color="auto"/>
              <w:right w:val="single" w:sz="4" w:space="0" w:color="auto"/>
            </w:tcBorders>
            <w:shd w:val="clear" w:color="auto" w:fill="auto"/>
            <w:vAlign w:val="bottom"/>
          </w:tcPr>
          <w:p w14:paraId="528B0B27" w14:textId="77777777" w:rsidR="00195A8B" w:rsidRPr="00195A8B" w:rsidRDefault="00195A8B" w:rsidP="00195A8B">
            <w:pPr>
              <w:rPr>
                <w:rFonts w:ascii="Times New Roman" w:hAnsi="Times New Roman" w:cs="Times New Roman"/>
                <w:b/>
                <w:bCs/>
                <w:sz w:val="24"/>
                <w:szCs w:val="24"/>
              </w:rPr>
            </w:pPr>
            <w:r w:rsidRPr="00195A8B">
              <w:rPr>
                <w:rFonts w:ascii="Times New Roman" w:hAnsi="Times New Roman" w:cs="Times New Roman"/>
                <w:color w:val="000000"/>
                <w:sz w:val="24"/>
                <w:szCs w:val="24"/>
              </w:rPr>
              <w:t>74</w:t>
            </w:r>
          </w:p>
        </w:tc>
      </w:tr>
      <w:tr w:rsidR="00195A8B" w:rsidRPr="00195A8B" w14:paraId="196029CC" w14:textId="77777777" w:rsidTr="00195A8B">
        <w:tc>
          <w:tcPr>
            <w:tcW w:w="975" w:type="pct"/>
            <w:tcBorders>
              <w:top w:val="single" w:sz="4" w:space="0" w:color="auto"/>
              <w:left w:val="single" w:sz="4" w:space="0" w:color="auto"/>
              <w:bottom w:val="single" w:sz="4" w:space="0" w:color="auto"/>
              <w:right w:val="single" w:sz="4" w:space="0" w:color="auto"/>
            </w:tcBorders>
            <w:shd w:val="clear" w:color="auto" w:fill="EDEDED"/>
          </w:tcPr>
          <w:p w14:paraId="640CBA32" w14:textId="77777777" w:rsidR="00195A8B" w:rsidRPr="00195A8B" w:rsidRDefault="00195A8B" w:rsidP="00195A8B">
            <w:pPr>
              <w:rPr>
                <w:rFonts w:ascii="Times New Roman" w:hAnsi="Times New Roman" w:cs="Times New Roman"/>
                <w:b/>
                <w:bCs/>
                <w:sz w:val="24"/>
                <w:szCs w:val="24"/>
              </w:rPr>
            </w:pPr>
          </w:p>
        </w:tc>
        <w:tc>
          <w:tcPr>
            <w:tcW w:w="504" w:type="pct"/>
            <w:tcBorders>
              <w:top w:val="single" w:sz="4" w:space="0" w:color="auto"/>
              <w:left w:val="single" w:sz="4" w:space="0" w:color="auto"/>
              <w:bottom w:val="single" w:sz="4" w:space="0" w:color="auto"/>
              <w:right w:val="single" w:sz="4" w:space="0" w:color="auto"/>
            </w:tcBorders>
            <w:shd w:val="clear" w:color="auto" w:fill="EDEDED"/>
          </w:tcPr>
          <w:p w14:paraId="575004E7" w14:textId="77777777" w:rsidR="00195A8B" w:rsidRPr="00195A8B" w:rsidRDefault="00195A8B" w:rsidP="00195A8B">
            <w:pPr>
              <w:rPr>
                <w:rFonts w:ascii="Times New Roman" w:hAnsi="Times New Roman" w:cs="Times New Roman"/>
                <w:b/>
                <w:bCs/>
                <w:sz w:val="24"/>
                <w:szCs w:val="24"/>
              </w:rPr>
            </w:pPr>
          </w:p>
        </w:tc>
        <w:tc>
          <w:tcPr>
            <w:tcW w:w="677" w:type="pct"/>
            <w:tcBorders>
              <w:top w:val="single" w:sz="4" w:space="0" w:color="auto"/>
              <w:left w:val="single" w:sz="4" w:space="0" w:color="auto"/>
              <w:bottom w:val="single" w:sz="4" w:space="0" w:color="auto"/>
              <w:right w:val="single" w:sz="4" w:space="0" w:color="auto"/>
            </w:tcBorders>
            <w:shd w:val="clear" w:color="auto" w:fill="EDEDED"/>
          </w:tcPr>
          <w:p w14:paraId="33D8EB9C" w14:textId="77777777" w:rsidR="00195A8B" w:rsidRPr="00195A8B" w:rsidRDefault="00195A8B" w:rsidP="00195A8B">
            <w:pPr>
              <w:rPr>
                <w:rFonts w:ascii="Times New Roman" w:hAnsi="Times New Roman" w:cs="Times New Roman"/>
                <w:b/>
                <w:bCs/>
                <w:sz w:val="24"/>
                <w:szCs w:val="24"/>
              </w:rPr>
            </w:pPr>
          </w:p>
        </w:tc>
        <w:tc>
          <w:tcPr>
            <w:tcW w:w="627" w:type="pct"/>
            <w:tcBorders>
              <w:top w:val="single" w:sz="4" w:space="0" w:color="auto"/>
              <w:left w:val="single" w:sz="4" w:space="0" w:color="auto"/>
              <w:bottom w:val="single" w:sz="4" w:space="0" w:color="auto"/>
              <w:right w:val="single" w:sz="4" w:space="0" w:color="auto"/>
            </w:tcBorders>
            <w:shd w:val="clear" w:color="auto" w:fill="EDEDED"/>
          </w:tcPr>
          <w:p w14:paraId="23D38369" w14:textId="77777777" w:rsidR="00195A8B" w:rsidRPr="00195A8B" w:rsidRDefault="00195A8B" w:rsidP="00195A8B">
            <w:pPr>
              <w:rPr>
                <w:rFonts w:ascii="Times New Roman" w:hAnsi="Times New Roman" w:cs="Times New Roman"/>
                <w:b/>
                <w:bCs/>
                <w:sz w:val="24"/>
                <w:szCs w:val="24"/>
              </w:rPr>
            </w:pPr>
          </w:p>
        </w:tc>
        <w:tc>
          <w:tcPr>
            <w:tcW w:w="758" w:type="pct"/>
            <w:tcBorders>
              <w:top w:val="single" w:sz="4" w:space="0" w:color="auto"/>
              <w:left w:val="single" w:sz="4" w:space="0" w:color="auto"/>
              <w:bottom w:val="single" w:sz="4" w:space="0" w:color="auto"/>
              <w:right w:val="single" w:sz="4" w:space="0" w:color="auto"/>
            </w:tcBorders>
            <w:shd w:val="clear" w:color="auto" w:fill="EDEDED"/>
          </w:tcPr>
          <w:p w14:paraId="04650E6B" w14:textId="77777777" w:rsidR="00195A8B" w:rsidRPr="00195A8B" w:rsidRDefault="00195A8B" w:rsidP="00195A8B">
            <w:pPr>
              <w:rPr>
                <w:rFonts w:ascii="Times New Roman" w:hAnsi="Times New Roman" w:cs="Times New Roman"/>
                <w:b/>
                <w:bCs/>
                <w:sz w:val="24"/>
                <w:szCs w:val="24"/>
              </w:rPr>
            </w:pPr>
          </w:p>
        </w:tc>
        <w:tc>
          <w:tcPr>
            <w:tcW w:w="768" w:type="pct"/>
            <w:tcBorders>
              <w:top w:val="single" w:sz="4" w:space="0" w:color="auto"/>
              <w:left w:val="single" w:sz="4" w:space="0" w:color="auto"/>
              <w:bottom w:val="single" w:sz="4" w:space="0" w:color="auto"/>
              <w:right w:val="single" w:sz="4" w:space="0" w:color="auto"/>
            </w:tcBorders>
            <w:shd w:val="clear" w:color="auto" w:fill="EDEDED"/>
          </w:tcPr>
          <w:p w14:paraId="33E6C5FC" w14:textId="77777777" w:rsidR="00195A8B" w:rsidRPr="00195A8B" w:rsidRDefault="00195A8B" w:rsidP="00195A8B">
            <w:pPr>
              <w:rPr>
                <w:rFonts w:ascii="Times New Roman" w:hAnsi="Times New Roman" w:cs="Times New Roman"/>
                <w:b/>
                <w:bCs/>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auto" w:fill="EDEDED"/>
          </w:tcPr>
          <w:p w14:paraId="37462758" w14:textId="77777777" w:rsidR="00195A8B" w:rsidRPr="00195A8B" w:rsidRDefault="00195A8B" w:rsidP="00195A8B">
            <w:pPr>
              <w:rPr>
                <w:rFonts w:ascii="Times New Roman" w:hAnsi="Times New Roman" w:cs="Times New Roman"/>
                <w:b/>
                <w:bCs/>
                <w:sz w:val="24"/>
                <w:szCs w:val="24"/>
              </w:rPr>
            </w:pPr>
          </w:p>
        </w:tc>
      </w:tr>
      <w:tr w:rsidR="00195A8B" w:rsidRPr="00195A8B" w14:paraId="7FB9AE53" w14:textId="77777777" w:rsidTr="00CA33B8">
        <w:tc>
          <w:tcPr>
            <w:tcW w:w="975" w:type="pct"/>
            <w:tcBorders>
              <w:top w:val="single" w:sz="4" w:space="0" w:color="auto"/>
              <w:left w:val="single" w:sz="4" w:space="0" w:color="auto"/>
              <w:bottom w:val="single" w:sz="4" w:space="0" w:color="auto"/>
              <w:right w:val="single" w:sz="4" w:space="0" w:color="auto"/>
            </w:tcBorders>
            <w:hideMark/>
          </w:tcPr>
          <w:p w14:paraId="19302DE2" w14:textId="77777777" w:rsidR="00195A8B" w:rsidRPr="00195A8B" w:rsidRDefault="00195A8B" w:rsidP="00195A8B">
            <w:pPr>
              <w:rPr>
                <w:rFonts w:ascii="Times New Roman" w:hAnsi="Times New Roman" w:cs="Times New Roman"/>
                <w:b/>
                <w:bCs/>
                <w:sz w:val="24"/>
                <w:szCs w:val="24"/>
              </w:rPr>
            </w:pPr>
            <w:r w:rsidRPr="00195A8B">
              <w:rPr>
                <w:rFonts w:ascii="Times New Roman" w:hAnsi="Times New Roman" w:cs="Times New Roman"/>
                <w:b/>
                <w:bCs/>
                <w:sz w:val="24"/>
                <w:szCs w:val="24"/>
              </w:rPr>
              <w:t>Goals Achievement</w:t>
            </w:r>
          </w:p>
        </w:tc>
        <w:tc>
          <w:tcPr>
            <w:tcW w:w="504" w:type="pct"/>
            <w:tcBorders>
              <w:top w:val="single" w:sz="4" w:space="0" w:color="auto"/>
              <w:left w:val="single" w:sz="4" w:space="0" w:color="auto"/>
              <w:bottom w:val="single" w:sz="4" w:space="0" w:color="auto"/>
              <w:right w:val="single" w:sz="4" w:space="0" w:color="auto"/>
            </w:tcBorders>
            <w:hideMark/>
          </w:tcPr>
          <w:p w14:paraId="685D0879" w14:textId="77777777" w:rsidR="00195A8B" w:rsidRPr="00195A8B" w:rsidRDefault="00195A8B" w:rsidP="00195A8B">
            <w:pPr>
              <w:rPr>
                <w:rFonts w:ascii="Times New Roman" w:hAnsi="Times New Roman" w:cs="Times New Roman"/>
                <w:b/>
                <w:bCs/>
                <w:sz w:val="24"/>
                <w:szCs w:val="24"/>
              </w:rPr>
            </w:pPr>
            <w:r w:rsidRPr="00195A8B">
              <w:rPr>
                <w:rFonts w:ascii="Times New Roman" w:hAnsi="Times New Roman" w:cs="Times New Roman"/>
                <w:b/>
                <w:bCs/>
                <w:sz w:val="24"/>
                <w:szCs w:val="24"/>
              </w:rPr>
              <w:t>%</w:t>
            </w:r>
          </w:p>
        </w:tc>
        <w:tc>
          <w:tcPr>
            <w:tcW w:w="677" w:type="pct"/>
            <w:tcBorders>
              <w:top w:val="single" w:sz="4" w:space="0" w:color="auto"/>
              <w:left w:val="single" w:sz="4" w:space="0" w:color="auto"/>
              <w:bottom w:val="single" w:sz="4" w:space="0" w:color="auto"/>
              <w:right w:val="single" w:sz="4" w:space="0" w:color="auto"/>
            </w:tcBorders>
            <w:hideMark/>
          </w:tcPr>
          <w:p w14:paraId="541AEDD6" w14:textId="77777777" w:rsidR="00195A8B" w:rsidRPr="00195A8B" w:rsidRDefault="00195A8B" w:rsidP="00195A8B">
            <w:pPr>
              <w:rPr>
                <w:rFonts w:ascii="Times New Roman" w:hAnsi="Times New Roman" w:cs="Times New Roman"/>
                <w:b/>
                <w:bCs/>
                <w:sz w:val="24"/>
                <w:szCs w:val="24"/>
              </w:rPr>
            </w:pPr>
            <w:r w:rsidRPr="00195A8B">
              <w:rPr>
                <w:rFonts w:ascii="Times New Roman" w:hAnsi="Times New Roman" w:cs="Times New Roman"/>
                <w:b/>
                <w:bCs/>
                <w:sz w:val="24"/>
                <w:szCs w:val="24"/>
              </w:rPr>
              <w:t>%</w:t>
            </w:r>
          </w:p>
        </w:tc>
        <w:tc>
          <w:tcPr>
            <w:tcW w:w="627" w:type="pct"/>
            <w:tcBorders>
              <w:top w:val="single" w:sz="4" w:space="0" w:color="auto"/>
              <w:left w:val="single" w:sz="4" w:space="0" w:color="auto"/>
              <w:bottom w:val="single" w:sz="4" w:space="0" w:color="auto"/>
              <w:right w:val="single" w:sz="4" w:space="0" w:color="auto"/>
            </w:tcBorders>
            <w:hideMark/>
          </w:tcPr>
          <w:p w14:paraId="28230974" w14:textId="77777777" w:rsidR="00195A8B" w:rsidRPr="00195A8B" w:rsidRDefault="00195A8B" w:rsidP="00195A8B">
            <w:pPr>
              <w:rPr>
                <w:rFonts w:ascii="Times New Roman" w:hAnsi="Times New Roman" w:cs="Times New Roman"/>
                <w:b/>
                <w:bCs/>
                <w:sz w:val="24"/>
                <w:szCs w:val="24"/>
              </w:rPr>
            </w:pPr>
            <w:r w:rsidRPr="00195A8B">
              <w:rPr>
                <w:rFonts w:ascii="Times New Roman" w:hAnsi="Times New Roman" w:cs="Times New Roman"/>
                <w:b/>
                <w:bCs/>
                <w:sz w:val="24"/>
                <w:szCs w:val="24"/>
              </w:rPr>
              <w:t>%</w:t>
            </w:r>
          </w:p>
        </w:tc>
        <w:tc>
          <w:tcPr>
            <w:tcW w:w="758" w:type="pct"/>
            <w:tcBorders>
              <w:top w:val="single" w:sz="4" w:space="0" w:color="auto"/>
              <w:left w:val="single" w:sz="4" w:space="0" w:color="auto"/>
              <w:bottom w:val="single" w:sz="4" w:space="0" w:color="auto"/>
              <w:right w:val="single" w:sz="4" w:space="0" w:color="auto"/>
            </w:tcBorders>
            <w:hideMark/>
          </w:tcPr>
          <w:p w14:paraId="632E7165" w14:textId="77777777" w:rsidR="00195A8B" w:rsidRPr="00195A8B" w:rsidRDefault="00195A8B" w:rsidP="00195A8B">
            <w:pPr>
              <w:rPr>
                <w:rFonts w:ascii="Times New Roman" w:hAnsi="Times New Roman" w:cs="Times New Roman"/>
                <w:b/>
                <w:bCs/>
                <w:sz w:val="24"/>
                <w:szCs w:val="24"/>
              </w:rPr>
            </w:pPr>
            <w:r w:rsidRPr="00195A8B">
              <w:rPr>
                <w:rFonts w:ascii="Times New Roman" w:hAnsi="Times New Roman" w:cs="Times New Roman"/>
                <w:b/>
                <w:bCs/>
                <w:sz w:val="24"/>
                <w:szCs w:val="24"/>
              </w:rPr>
              <w:t>%</w:t>
            </w:r>
          </w:p>
        </w:tc>
        <w:tc>
          <w:tcPr>
            <w:tcW w:w="768" w:type="pct"/>
            <w:tcBorders>
              <w:top w:val="single" w:sz="4" w:space="0" w:color="auto"/>
              <w:left w:val="single" w:sz="4" w:space="0" w:color="auto"/>
              <w:bottom w:val="single" w:sz="4" w:space="0" w:color="auto"/>
              <w:right w:val="single" w:sz="4" w:space="0" w:color="auto"/>
            </w:tcBorders>
            <w:hideMark/>
          </w:tcPr>
          <w:p w14:paraId="07C109C2" w14:textId="77777777" w:rsidR="00195A8B" w:rsidRPr="00195A8B" w:rsidRDefault="00195A8B" w:rsidP="00195A8B">
            <w:pPr>
              <w:rPr>
                <w:rFonts w:ascii="Times New Roman" w:hAnsi="Times New Roman" w:cs="Times New Roman"/>
                <w:b/>
                <w:bCs/>
                <w:sz w:val="24"/>
                <w:szCs w:val="24"/>
              </w:rPr>
            </w:pPr>
            <w:r w:rsidRPr="00195A8B">
              <w:rPr>
                <w:rFonts w:ascii="Times New Roman" w:hAnsi="Times New Roman" w:cs="Times New Roman"/>
                <w:b/>
                <w:bCs/>
                <w:sz w:val="24"/>
                <w:szCs w:val="24"/>
              </w:rPr>
              <w:t>%</w:t>
            </w:r>
          </w:p>
        </w:tc>
        <w:tc>
          <w:tcPr>
            <w:tcW w:w="691" w:type="pct"/>
            <w:tcBorders>
              <w:top w:val="single" w:sz="4" w:space="0" w:color="auto"/>
              <w:left w:val="single" w:sz="4" w:space="0" w:color="auto"/>
              <w:bottom w:val="single" w:sz="4" w:space="0" w:color="auto"/>
              <w:right w:val="single" w:sz="4" w:space="0" w:color="auto"/>
            </w:tcBorders>
            <w:hideMark/>
          </w:tcPr>
          <w:p w14:paraId="13A017B1" w14:textId="77777777" w:rsidR="00195A8B" w:rsidRPr="00195A8B" w:rsidRDefault="00195A8B" w:rsidP="00195A8B">
            <w:pPr>
              <w:rPr>
                <w:rFonts w:ascii="Times New Roman" w:hAnsi="Times New Roman" w:cs="Times New Roman"/>
                <w:b/>
                <w:bCs/>
                <w:sz w:val="24"/>
                <w:szCs w:val="24"/>
              </w:rPr>
            </w:pPr>
            <w:r w:rsidRPr="00195A8B">
              <w:rPr>
                <w:rFonts w:ascii="Times New Roman" w:hAnsi="Times New Roman" w:cs="Times New Roman"/>
                <w:b/>
                <w:bCs/>
                <w:sz w:val="24"/>
                <w:szCs w:val="24"/>
              </w:rPr>
              <w:t>%</w:t>
            </w:r>
          </w:p>
        </w:tc>
      </w:tr>
      <w:tr w:rsidR="00195A8B" w:rsidRPr="00195A8B" w14:paraId="184DF6AA" w14:textId="77777777" w:rsidTr="00CA33B8">
        <w:tc>
          <w:tcPr>
            <w:tcW w:w="975" w:type="pct"/>
            <w:tcBorders>
              <w:top w:val="single" w:sz="4" w:space="0" w:color="auto"/>
              <w:left w:val="single" w:sz="4" w:space="0" w:color="auto"/>
              <w:bottom w:val="single" w:sz="4" w:space="0" w:color="auto"/>
              <w:right w:val="single" w:sz="4" w:space="0" w:color="auto"/>
            </w:tcBorders>
            <w:hideMark/>
          </w:tcPr>
          <w:p w14:paraId="11619BDE" w14:textId="77777777" w:rsidR="00195A8B" w:rsidRPr="00195A8B" w:rsidRDefault="00195A8B" w:rsidP="00195A8B">
            <w:pPr>
              <w:rPr>
                <w:rFonts w:ascii="Times New Roman" w:hAnsi="Times New Roman" w:cs="Times New Roman"/>
                <w:b/>
                <w:bCs/>
                <w:sz w:val="24"/>
                <w:szCs w:val="24"/>
              </w:rPr>
            </w:pPr>
            <w:r w:rsidRPr="00195A8B">
              <w:rPr>
                <w:rFonts w:ascii="Times New Roman" w:hAnsi="Times New Roman" w:cs="Times New Roman"/>
                <w:b/>
                <w:bCs/>
                <w:sz w:val="24"/>
                <w:szCs w:val="24"/>
              </w:rPr>
              <w:t>Yes</w:t>
            </w:r>
          </w:p>
        </w:tc>
        <w:tc>
          <w:tcPr>
            <w:tcW w:w="504" w:type="pct"/>
            <w:tcBorders>
              <w:top w:val="single" w:sz="4" w:space="0" w:color="auto"/>
              <w:left w:val="single" w:sz="4" w:space="0" w:color="auto"/>
              <w:bottom w:val="single" w:sz="4" w:space="0" w:color="auto"/>
              <w:right w:val="single" w:sz="4" w:space="0" w:color="auto"/>
            </w:tcBorders>
          </w:tcPr>
          <w:p w14:paraId="68A554E9" w14:textId="77777777" w:rsidR="00195A8B" w:rsidRPr="00195A8B" w:rsidRDefault="00195A8B" w:rsidP="00195A8B">
            <w:pPr>
              <w:rPr>
                <w:rFonts w:ascii="Times New Roman" w:hAnsi="Times New Roman" w:cs="Times New Roman"/>
                <w:bCs/>
                <w:sz w:val="24"/>
                <w:szCs w:val="24"/>
              </w:rPr>
            </w:pPr>
            <w:r w:rsidRPr="00195A8B">
              <w:rPr>
                <w:rFonts w:ascii="Times New Roman" w:hAnsi="Times New Roman" w:cs="Times New Roman"/>
                <w:bCs/>
                <w:sz w:val="24"/>
                <w:szCs w:val="24"/>
              </w:rPr>
              <w:t>63.5</w:t>
            </w:r>
          </w:p>
        </w:tc>
        <w:tc>
          <w:tcPr>
            <w:tcW w:w="677" w:type="pct"/>
            <w:tcBorders>
              <w:top w:val="single" w:sz="4" w:space="0" w:color="auto"/>
              <w:left w:val="single" w:sz="4" w:space="0" w:color="auto"/>
              <w:bottom w:val="single" w:sz="4" w:space="0" w:color="auto"/>
              <w:right w:val="single" w:sz="4" w:space="0" w:color="auto"/>
            </w:tcBorders>
          </w:tcPr>
          <w:p w14:paraId="29B75081" w14:textId="77777777" w:rsidR="00195A8B" w:rsidRPr="00195A8B" w:rsidRDefault="00195A8B" w:rsidP="00195A8B">
            <w:pPr>
              <w:rPr>
                <w:rFonts w:ascii="Times New Roman" w:hAnsi="Times New Roman" w:cs="Times New Roman"/>
                <w:bCs/>
                <w:sz w:val="24"/>
                <w:szCs w:val="24"/>
              </w:rPr>
            </w:pPr>
            <w:r w:rsidRPr="00195A8B">
              <w:rPr>
                <w:rFonts w:ascii="Times New Roman" w:hAnsi="Times New Roman" w:cs="Times New Roman"/>
                <w:bCs/>
                <w:sz w:val="24"/>
                <w:szCs w:val="24"/>
              </w:rPr>
              <w:t>36.5</w:t>
            </w:r>
          </w:p>
        </w:tc>
        <w:tc>
          <w:tcPr>
            <w:tcW w:w="627" w:type="pct"/>
            <w:tcBorders>
              <w:top w:val="single" w:sz="4" w:space="0" w:color="auto"/>
              <w:left w:val="single" w:sz="4" w:space="0" w:color="auto"/>
              <w:bottom w:val="single" w:sz="4" w:space="0" w:color="auto"/>
              <w:right w:val="single" w:sz="4" w:space="0" w:color="auto"/>
            </w:tcBorders>
          </w:tcPr>
          <w:p w14:paraId="789820E1" w14:textId="77777777" w:rsidR="00195A8B" w:rsidRPr="00195A8B" w:rsidRDefault="00195A8B" w:rsidP="00195A8B">
            <w:pPr>
              <w:rPr>
                <w:rFonts w:ascii="Times New Roman" w:hAnsi="Times New Roman" w:cs="Times New Roman"/>
                <w:bCs/>
                <w:sz w:val="24"/>
                <w:szCs w:val="24"/>
              </w:rPr>
            </w:pPr>
            <w:r w:rsidRPr="00195A8B">
              <w:rPr>
                <w:rFonts w:ascii="Times New Roman" w:hAnsi="Times New Roman" w:cs="Times New Roman"/>
                <w:bCs/>
                <w:sz w:val="24"/>
                <w:szCs w:val="24"/>
              </w:rPr>
              <w:t>42.7</w:t>
            </w:r>
          </w:p>
        </w:tc>
        <w:tc>
          <w:tcPr>
            <w:tcW w:w="758" w:type="pct"/>
            <w:tcBorders>
              <w:top w:val="single" w:sz="4" w:space="0" w:color="auto"/>
              <w:left w:val="single" w:sz="4" w:space="0" w:color="auto"/>
              <w:bottom w:val="single" w:sz="4" w:space="0" w:color="auto"/>
              <w:right w:val="single" w:sz="4" w:space="0" w:color="auto"/>
            </w:tcBorders>
          </w:tcPr>
          <w:p w14:paraId="7F324488" w14:textId="77777777" w:rsidR="00195A8B" w:rsidRPr="00195A8B" w:rsidRDefault="00195A8B" w:rsidP="00195A8B">
            <w:pPr>
              <w:rPr>
                <w:rFonts w:ascii="Times New Roman" w:hAnsi="Times New Roman" w:cs="Times New Roman"/>
                <w:bCs/>
                <w:sz w:val="24"/>
                <w:szCs w:val="24"/>
              </w:rPr>
            </w:pPr>
            <w:r w:rsidRPr="00195A8B">
              <w:rPr>
                <w:rFonts w:ascii="Times New Roman" w:hAnsi="Times New Roman" w:cs="Times New Roman"/>
                <w:bCs/>
                <w:sz w:val="24"/>
                <w:szCs w:val="24"/>
              </w:rPr>
              <w:t>57.3</w:t>
            </w:r>
          </w:p>
        </w:tc>
        <w:tc>
          <w:tcPr>
            <w:tcW w:w="768" w:type="pct"/>
            <w:tcBorders>
              <w:top w:val="single" w:sz="4" w:space="0" w:color="auto"/>
              <w:left w:val="single" w:sz="4" w:space="0" w:color="auto"/>
              <w:bottom w:val="single" w:sz="4" w:space="0" w:color="auto"/>
              <w:right w:val="single" w:sz="4" w:space="0" w:color="auto"/>
            </w:tcBorders>
          </w:tcPr>
          <w:p w14:paraId="467C0BB8" w14:textId="77777777" w:rsidR="00195A8B" w:rsidRPr="00195A8B" w:rsidRDefault="00195A8B" w:rsidP="00195A8B">
            <w:pPr>
              <w:rPr>
                <w:rFonts w:ascii="Times New Roman" w:hAnsi="Times New Roman" w:cs="Times New Roman"/>
                <w:bCs/>
                <w:sz w:val="24"/>
                <w:szCs w:val="24"/>
              </w:rPr>
            </w:pPr>
            <w:r w:rsidRPr="00195A8B">
              <w:rPr>
                <w:rFonts w:ascii="Times New Roman" w:hAnsi="Times New Roman" w:cs="Times New Roman"/>
                <w:bCs/>
                <w:sz w:val="24"/>
                <w:szCs w:val="24"/>
              </w:rPr>
              <w:t>55.3</w:t>
            </w:r>
          </w:p>
        </w:tc>
        <w:tc>
          <w:tcPr>
            <w:tcW w:w="691" w:type="pct"/>
            <w:tcBorders>
              <w:top w:val="single" w:sz="4" w:space="0" w:color="auto"/>
              <w:left w:val="single" w:sz="4" w:space="0" w:color="auto"/>
              <w:bottom w:val="single" w:sz="4" w:space="0" w:color="auto"/>
              <w:right w:val="single" w:sz="4" w:space="0" w:color="auto"/>
            </w:tcBorders>
          </w:tcPr>
          <w:p w14:paraId="1FDA647E" w14:textId="77777777" w:rsidR="00195A8B" w:rsidRPr="00195A8B" w:rsidRDefault="00195A8B" w:rsidP="00195A8B">
            <w:pPr>
              <w:rPr>
                <w:rFonts w:ascii="Times New Roman" w:hAnsi="Times New Roman" w:cs="Times New Roman"/>
                <w:bCs/>
                <w:sz w:val="24"/>
                <w:szCs w:val="24"/>
              </w:rPr>
            </w:pPr>
            <w:r w:rsidRPr="00195A8B">
              <w:rPr>
                <w:rFonts w:ascii="Times New Roman" w:hAnsi="Times New Roman" w:cs="Times New Roman"/>
                <w:bCs/>
                <w:sz w:val="24"/>
                <w:szCs w:val="24"/>
              </w:rPr>
              <w:t>44.7</w:t>
            </w:r>
          </w:p>
        </w:tc>
      </w:tr>
      <w:tr w:rsidR="00195A8B" w:rsidRPr="00195A8B" w14:paraId="46EF753B" w14:textId="77777777" w:rsidTr="00CA33B8">
        <w:tc>
          <w:tcPr>
            <w:tcW w:w="975" w:type="pct"/>
            <w:tcBorders>
              <w:top w:val="single" w:sz="4" w:space="0" w:color="auto"/>
              <w:left w:val="single" w:sz="4" w:space="0" w:color="auto"/>
              <w:bottom w:val="single" w:sz="4" w:space="0" w:color="auto"/>
              <w:right w:val="single" w:sz="4" w:space="0" w:color="auto"/>
            </w:tcBorders>
            <w:hideMark/>
          </w:tcPr>
          <w:p w14:paraId="01FC96C7" w14:textId="77777777" w:rsidR="00195A8B" w:rsidRPr="00195A8B" w:rsidRDefault="00195A8B" w:rsidP="00195A8B">
            <w:pPr>
              <w:rPr>
                <w:rFonts w:ascii="Times New Roman" w:hAnsi="Times New Roman" w:cs="Times New Roman"/>
                <w:b/>
                <w:bCs/>
                <w:sz w:val="24"/>
                <w:szCs w:val="24"/>
              </w:rPr>
            </w:pPr>
            <w:r w:rsidRPr="00195A8B">
              <w:rPr>
                <w:rFonts w:ascii="Times New Roman" w:hAnsi="Times New Roman" w:cs="Times New Roman"/>
                <w:b/>
                <w:bCs/>
                <w:sz w:val="24"/>
                <w:szCs w:val="24"/>
              </w:rPr>
              <w:t>No</w:t>
            </w:r>
          </w:p>
        </w:tc>
        <w:tc>
          <w:tcPr>
            <w:tcW w:w="504" w:type="pct"/>
            <w:tcBorders>
              <w:top w:val="single" w:sz="4" w:space="0" w:color="auto"/>
              <w:left w:val="single" w:sz="4" w:space="0" w:color="auto"/>
              <w:bottom w:val="single" w:sz="4" w:space="0" w:color="auto"/>
              <w:right w:val="single" w:sz="4" w:space="0" w:color="auto"/>
            </w:tcBorders>
          </w:tcPr>
          <w:p w14:paraId="5230FA8D" w14:textId="77777777" w:rsidR="00195A8B" w:rsidRPr="00195A8B" w:rsidRDefault="00195A8B" w:rsidP="00195A8B">
            <w:pPr>
              <w:rPr>
                <w:rFonts w:ascii="Times New Roman" w:hAnsi="Times New Roman" w:cs="Times New Roman"/>
                <w:bCs/>
                <w:sz w:val="24"/>
                <w:szCs w:val="24"/>
              </w:rPr>
            </w:pPr>
            <w:r w:rsidRPr="00195A8B">
              <w:rPr>
                <w:rFonts w:ascii="Times New Roman" w:hAnsi="Times New Roman" w:cs="Times New Roman"/>
                <w:bCs/>
                <w:sz w:val="24"/>
                <w:szCs w:val="24"/>
              </w:rPr>
              <w:t>39.4</w:t>
            </w:r>
          </w:p>
        </w:tc>
        <w:tc>
          <w:tcPr>
            <w:tcW w:w="677" w:type="pct"/>
            <w:tcBorders>
              <w:top w:val="single" w:sz="4" w:space="0" w:color="auto"/>
              <w:left w:val="single" w:sz="4" w:space="0" w:color="auto"/>
              <w:bottom w:val="single" w:sz="4" w:space="0" w:color="auto"/>
              <w:right w:val="single" w:sz="4" w:space="0" w:color="auto"/>
            </w:tcBorders>
          </w:tcPr>
          <w:p w14:paraId="3C08DE26" w14:textId="77777777" w:rsidR="00195A8B" w:rsidRPr="00195A8B" w:rsidRDefault="00195A8B" w:rsidP="00195A8B">
            <w:pPr>
              <w:rPr>
                <w:rFonts w:ascii="Times New Roman" w:hAnsi="Times New Roman" w:cs="Times New Roman"/>
                <w:bCs/>
                <w:sz w:val="24"/>
                <w:szCs w:val="24"/>
              </w:rPr>
            </w:pPr>
            <w:r w:rsidRPr="00195A8B">
              <w:rPr>
                <w:rFonts w:ascii="Times New Roman" w:hAnsi="Times New Roman" w:cs="Times New Roman"/>
                <w:bCs/>
                <w:sz w:val="24"/>
                <w:szCs w:val="24"/>
              </w:rPr>
              <w:t>60.6</w:t>
            </w:r>
          </w:p>
        </w:tc>
        <w:tc>
          <w:tcPr>
            <w:tcW w:w="627" w:type="pct"/>
            <w:tcBorders>
              <w:top w:val="single" w:sz="4" w:space="0" w:color="auto"/>
              <w:left w:val="single" w:sz="4" w:space="0" w:color="auto"/>
              <w:bottom w:val="single" w:sz="4" w:space="0" w:color="auto"/>
              <w:right w:val="single" w:sz="4" w:space="0" w:color="auto"/>
            </w:tcBorders>
          </w:tcPr>
          <w:p w14:paraId="3B3F2A00" w14:textId="77777777" w:rsidR="00195A8B" w:rsidRPr="00195A8B" w:rsidRDefault="00195A8B" w:rsidP="00195A8B">
            <w:pPr>
              <w:rPr>
                <w:rFonts w:ascii="Times New Roman" w:hAnsi="Times New Roman" w:cs="Times New Roman"/>
                <w:bCs/>
                <w:sz w:val="24"/>
                <w:szCs w:val="24"/>
              </w:rPr>
            </w:pPr>
            <w:r w:rsidRPr="00195A8B">
              <w:rPr>
                <w:rFonts w:ascii="Times New Roman" w:hAnsi="Times New Roman" w:cs="Times New Roman"/>
                <w:bCs/>
                <w:sz w:val="24"/>
                <w:szCs w:val="24"/>
              </w:rPr>
              <w:t>50.0</w:t>
            </w:r>
          </w:p>
        </w:tc>
        <w:tc>
          <w:tcPr>
            <w:tcW w:w="758" w:type="pct"/>
            <w:tcBorders>
              <w:top w:val="single" w:sz="4" w:space="0" w:color="auto"/>
              <w:left w:val="single" w:sz="4" w:space="0" w:color="auto"/>
              <w:bottom w:val="single" w:sz="4" w:space="0" w:color="auto"/>
              <w:right w:val="single" w:sz="4" w:space="0" w:color="auto"/>
            </w:tcBorders>
          </w:tcPr>
          <w:p w14:paraId="013B25CF" w14:textId="77777777" w:rsidR="00195A8B" w:rsidRPr="00195A8B" w:rsidRDefault="00195A8B" w:rsidP="00195A8B">
            <w:pPr>
              <w:rPr>
                <w:rFonts w:ascii="Times New Roman" w:hAnsi="Times New Roman" w:cs="Times New Roman"/>
                <w:bCs/>
                <w:sz w:val="24"/>
                <w:szCs w:val="24"/>
              </w:rPr>
            </w:pPr>
            <w:r w:rsidRPr="00195A8B">
              <w:rPr>
                <w:rFonts w:ascii="Times New Roman" w:hAnsi="Times New Roman" w:cs="Times New Roman"/>
                <w:bCs/>
                <w:sz w:val="24"/>
                <w:szCs w:val="24"/>
              </w:rPr>
              <w:t>50.0</w:t>
            </w:r>
          </w:p>
        </w:tc>
        <w:tc>
          <w:tcPr>
            <w:tcW w:w="768" w:type="pct"/>
            <w:tcBorders>
              <w:top w:val="single" w:sz="4" w:space="0" w:color="auto"/>
              <w:left w:val="single" w:sz="4" w:space="0" w:color="auto"/>
              <w:bottom w:val="single" w:sz="4" w:space="0" w:color="auto"/>
              <w:right w:val="single" w:sz="4" w:space="0" w:color="auto"/>
            </w:tcBorders>
          </w:tcPr>
          <w:p w14:paraId="55262793" w14:textId="77777777" w:rsidR="00195A8B" w:rsidRPr="00195A8B" w:rsidRDefault="00195A8B" w:rsidP="00195A8B">
            <w:pPr>
              <w:rPr>
                <w:rFonts w:ascii="Times New Roman" w:hAnsi="Times New Roman" w:cs="Times New Roman"/>
                <w:bCs/>
                <w:sz w:val="24"/>
                <w:szCs w:val="24"/>
              </w:rPr>
            </w:pPr>
            <w:r w:rsidRPr="00195A8B">
              <w:rPr>
                <w:rFonts w:ascii="Times New Roman" w:hAnsi="Times New Roman" w:cs="Times New Roman"/>
                <w:bCs/>
                <w:sz w:val="24"/>
                <w:szCs w:val="24"/>
              </w:rPr>
              <w:t>42.5</w:t>
            </w:r>
          </w:p>
        </w:tc>
        <w:tc>
          <w:tcPr>
            <w:tcW w:w="691" w:type="pct"/>
            <w:tcBorders>
              <w:top w:val="single" w:sz="4" w:space="0" w:color="auto"/>
              <w:left w:val="single" w:sz="4" w:space="0" w:color="auto"/>
              <w:bottom w:val="single" w:sz="4" w:space="0" w:color="auto"/>
              <w:right w:val="single" w:sz="4" w:space="0" w:color="auto"/>
            </w:tcBorders>
          </w:tcPr>
          <w:p w14:paraId="33C92725" w14:textId="77777777" w:rsidR="00195A8B" w:rsidRPr="00195A8B" w:rsidRDefault="00195A8B" w:rsidP="00195A8B">
            <w:pPr>
              <w:rPr>
                <w:rFonts w:ascii="Times New Roman" w:hAnsi="Times New Roman" w:cs="Times New Roman"/>
                <w:bCs/>
                <w:sz w:val="24"/>
                <w:szCs w:val="24"/>
              </w:rPr>
            </w:pPr>
            <w:r w:rsidRPr="00195A8B">
              <w:rPr>
                <w:rFonts w:ascii="Times New Roman" w:hAnsi="Times New Roman" w:cs="Times New Roman"/>
                <w:bCs/>
                <w:sz w:val="24"/>
                <w:szCs w:val="24"/>
              </w:rPr>
              <w:t>57.5</w:t>
            </w:r>
          </w:p>
        </w:tc>
      </w:tr>
    </w:tbl>
    <w:bookmarkEnd w:id="10"/>
    <w:p w14:paraId="71DEAADF" w14:textId="7C73B9CE" w:rsidR="00195A8B" w:rsidRPr="00D125C4" w:rsidRDefault="00195A8B" w:rsidP="00D125C4">
      <w:pPr>
        <w:spacing w:after="160" w:line="259" w:lineRule="auto"/>
        <w:jc w:val="both"/>
        <w:rPr>
          <w:rFonts w:ascii="Times New Roman" w:eastAsia="Calibri" w:hAnsi="Times New Roman" w:cs="Times New Roman"/>
          <w:kern w:val="2"/>
          <w:sz w:val="24"/>
          <w:szCs w:val="24"/>
          <w:lang w:eastAsia="en-US"/>
        </w:rPr>
      </w:pPr>
      <w:r w:rsidRPr="00195A8B">
        <w:rPr>
          <w:rFonts w:ascii="Times New Roman" w:eastAsia="Calibri" w:hAnsi="Times New Roman" w:cs="Times New Roman"/>
          <w:b/>
          <w:bCs/>
          <w:kern w:val="2"/>
          <w:sz w:val="24"/>
          <w:szCs w:val="24"/>
          <w:lang w:eastAsia="en-US"/>
        </w:rPr>
        <w:t>Source</w:t>
      </w:r>
      <w:r w:rsidRPr="00195A8B">
        <w:rPr>
          <w:rFonts w:ascii="Times New Roman" w:eastAsia="Calibri" w:hAnsi="Times New Roman" w:cs="Times New Roman"/>
          <w:kern w:val="2"/>
          <w:sz w:val="24"/>
          <w:szCs w:val="24"/>
          <w:lang w:eastAsia="en-US"/>
        </w:rPr>
        <w:t>: Survey field data, 2023/202</w:t>
      </w:r>
      <w:r w:rsidR="00D125C4">
        <w:rPr>
          <w:rFonts w:ascii="Times New Roman" w:eastAsia="Calibri" w:hAnsi="Times New Roman" w:cs="Times New Roman"/>
          <w:kern w:val="2"/>
          <w:sz w:val="24"/>
          <w:szCs w:val="24"/>
          <w:lang w:eastAsia="en-US"/>
        </w:rPr>
        <w:t>.</w:t>
      </w:r>
    </w:p>
    <w:p w14:paraId="064E33D0" w14:textId="4B091E8C" w:rsidR="00195A8B" w:rsidRPr="008A780B" w:rsidRDefault="00195A8B" w:rsidP="00831781">
      <w:pPr>
        <w:pStyle w:val="ListParagraph"/>
        <w:numPr>
          <w:ilvl w:val="1"/>
          <w:numId w:val="38"/>
        </w:numPr>
        <w:adjustRightInd w:val="0"/>
        <w:spacing w:after="120" w:line="240" w:lineRule="auto"/>
        <w:jc w:val="both"/>
        <w:rPr>
          <w:rFonts w:ascii="Times New Roman" w:eastAsia="Calibri" w:hAnsi="Times New Roman" w:cs="Times New Roman"/>
          <w:b/>
          <w:bCs/>
          <w:kern w:val="2"/>
          <w:sz w:val="24"/>
          <w:szCs w:val="24"/>
          <w:lang w:val="en-GB" w:eastAsia="en-US"/>
        </w:rPr>
      </w:pPr>
      <w:r w:rsidRPr="008A780B">
        <w:rPr>
          <w:rFonts w:ascii="Times New Roman" w:eastAsia="Calibri" w:hAnsi="Times New Roman" w:cs="Times New Roman"/>
          <w:b/>
          <w:bCs/>
          <w:kern w:val="2"/>
          <w:sz w:val="24"/>
          <w:szCs w:val="24"/>
          <w:lang w:eastAsia="en-US"/>
        </w:rPr>
        <w:t>Comparison of Post-Loan Achievements of Enterprises Established through Economic Empowerment Schemes between Arusha and Mara Regions</w:t>
      </w:r>
    </w:p>
    <w:p w14:paraId="01265D5A" w14:textId="3B468E32" w:rsidR="00195A8B" w:rsidRPr="00195A8B" w:rsidRDefault="00195A8B" w:rsidP="00960B25">
      <w:pPr>
        <w:spacing w:after="160" w:line="48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 xml:space="preserve">The comparative analysis of post-loan achievements among LGA loan beneficiaries in Arusha and Mara offers critical insights into the diverse pathways through which economic empowerment schemes contribute to livelihood improvements (Table </w:t>
      </w:r>
      <w:r w:rsidR="008A780B">
        <w:rPr>
          <w:rFonts w:ascii="Times New Roman" w:eastAsia="Calibri" w:hAnsi="Times New Roman" w:cs="Times New Roman"/>
          <w:kern w:val="2"/>
          <w:sz w:val="24"/>
          <w:szCs w:val="24"/>
          <w:lang w:val="en-GB" w:eastAsia="en-US"/>
        </w:rPr>
        <w:t>10</w:t>
      </w:r>
      <w:r w:rsidRPr="00195A8B">
        <w:rPr>
          <w:rFonts w:ascii="Times New Roman" w:eastAsia="Calibri" w:hAnsi="Times New Roman" w:cs="Times New Roman"/>
          <w:kern w:val="2"/>
          <w:sz w:val="24"/>
          <w:szCs w:val="24"/>
          <w:lang w:val="en-GB" w:eastAsia="en-US"/>
        </w:rPr>
        <w:t>). Across both regions, beneficiaries reported notable asset acquisition, educational investments, business expansion, and gradual transitions from informal to formal enterprises, reflecting the multifaceted impact of financial interventions on microenterprise development.</w:t>
      </w:r>
    </w:p>
    <w:p w14:paraId="37D7EE4F" w14:textId="77777777" w:rsidR="00195A8B" w:rsidRPr="00195A8B" w:rsidRDefault="00195A8B" w:rsidP="00960B25">
      <w:pPr>
        <w:spacing w:after="160" w:line="48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 xml:space="preserve">Among women beneficiaries, Arusha demonstrated consistently higher rates of achievement across key indicators, with 73.6% paying medical expenses post-loan compared to 26.4% in Mara, 69.0% paying school fees against 31.0% in Mara, and 72.3% reporting business expansion versus 27.7% in Mara. These findings align with </w:t>
      </w:r>
      <w:proofErr w:type="spellStart"/>
      <w:r w:rsidRPr="00195A8B">
        <w:rPr>
          <w:rFonts w:ascii="Times New Roman" w:eastAsia="Calibri" w:hAnsi="Times New Roman" w:cs="Times New Roman"/>
          <w:kern w:val="2"/>
          <w:sz w:val="24"/>
          <w:szCs w:val="24"/>
          <w:lang w:val="en-GB" w:eastAsia="en-US"/>
        </w:rPr>
        <w:t>Karlan</w:t>
      </w:r>
      <w:proofErr w:type="spellEnd"/>
      <w:r w:rsidRPr="00195A8B">
        <w:rPr>
          <w:rFonts w:ascii="Times New Roman" w:eastAsia="Calibri" w:hAnsi="Times New Roman" w:cs="Times New Roman"/>
          <w:kern w:val="2"/>
          <w:sz w:val="24"/>
          <w:szCs w:val="24"/>
          <w:lang w:val="en-GB" w:eastAsia="en-US"/>
        </w:rPr>
        <w:t xml:space="preserve"> and Valdivia (2011), who emphasize that targeted credit support, when complemented with </w:t>
      </w:r>
      <w:proofErr w:type="spellStart"/>
      <w:r w:rsidRPr="00195A8B">
        <w:rPr>
          <w:rFonts w:ascii="Times New Roman" w:eastAsia="Calibri" w:hAnsi="Times New Roman" w:cs="Times New Roman"/>
          <w:kern w:val="2"/>
          <w:sz w:val="24"/>
          <w:szCs w:val="24"/>
          <w:lang w:val="en-GB" w:eastAsia="en-US"/>
        </w:rPr>
        <w:t>favorable</w:t>
      </w:r>
      <w:proofErr w:type="spellEnd"/>
      <w:r w:rsidRPr="00195A8B">
        <w:rPr>
          <w:rFonts w:ascii="Times New Roman" w:eastAsia="Calibri" w:hAnsi="Times New Roman" w:cs="Times New Roman"/>
          <w:kern w:val="2"/>
          <w:sz w:val="24"/>
          <w:szCs w:val="24"/>
          <w:lang w:val="en-GB" w:eastAsia="en-US"/>
        </w:rPr>
        <w:t xml:space="preserve"> market structures and proximity to urban </w:t>
      </w:r>
      <w:proofErr w:type="spellStart"/>
      <w:r w:rsidRPr="00195A8B">
        <w:rPr>
          <w:rFonts w:ascii="Times New Roman" w:eastAsia="Calibri" w:hAnsi="Times New Roman" w:cs="Times New Roman"/>
          <w:kern w:val="2"/>
          <w:sz w:val="24"/>
          <w:szCs w:val="24"/>
          <w:lang w:val="en-GB" w:eastAsia="en-US"/>
        </w:rPr>
        <w:t>centers</w:t>
      </w:r>
      <w:proofErr w:type="spellEnd"/>
      <w:r w:rsidRPr="00195A8B">
        <w:rPr>
          <w:rFonts w:ascii="Times New Roman" w:eastAsia="Calibri" w:hAnsi="Times New Roman" w:cs="Times New Roman"/>
          <w:kern w:val="2"/>
          <w:sz w:val="24"/>
          <w:szCs w:val="24"/>
          <w:lang w:val="en-GB" w:eastAsia="en-US"/>
        </w:rPr>
        <w:t xml:space="preserve">, can significantly enhance women’s capacity to utilize loans for education and </w:t>
      </w:r>
      <w:r w:rsidRPr="00195A8B">
        <w:rPr>
          <w:rFonts w:ascii="Times New Roman" w:eastAsia="Calibri" w:hAnsi="Times New Roman" w:cs="Times New Roman"/>
          <w:kern w:val="2"/>
          <w:sz w:val="24"/>
          <w:szCs w:val="24"/>
          <w:lang w:val="en-GB" w:eastAsia="en-US"/>
        </w:rPr>
        <w:lastRenderedPageBreak/>
        <w:t xml:space="preserve">healthcare investments. Similarly, the higher proportion of women in Arusha (86.7%) transitioning from informal to formal business structures, compared to 13.3% in Mara, reflects the influence of urban institutional support and regulatory facilitation on formalization processes, echoing insights by </w:t>
      </w:r>
      <w:proofErr w:type="spellStart"/>
      <w:r w:rsidRPr="00195A8B">
        <w:rPr>
          <w:rFonts w:ascii="Times New Roman" w:eastAsia="Calibri" w:hAnsi="Times New Roman" w:cs="Times New Roman"/>
          <w:kern w:val="2"/>
          <w:sz w:val="24"/>
          <w:szCs w:val="24"/>
          <w:lang w:val="en-GB" w:eastAsia="en-US"/>
        </w:rPr>
        <w:t>Demirgüç-Kunt</w:t>
      </w:r>
      <w:proofErr w:type="spellEnd"/>
      <w:r w:rsidRPr="00195A8B">
        <w:rPr>
          <w:rFonts w:ascii="Times New Roman" w:eastAsia="Calibri" w:hAnsi="Times New Roman" w:cs="Times New Roman"/>
          <w:kern w:val="2"/>
          <w:sz w:val="24"/>
          <w:szCs w:val="24"/>
          <w:lang w:val="en-GB" w:eastAsia="en-US"/>
        </w:rPr>
        <w:t xml:space="preserve"> et al. (2020) regarding the importance of enabling environments for MSME formalization.</w:t>
      </w:r>
    </w:p>
    <w:p w14:paraId="71DE1168" w14:textId="77777777" w:rsidR="00195A8B" w:rsidRPr="00195A8B" w:rsidRDefault="00195A8B" w:rsidP="00960B25">
      <w:pPr>
        <w:spacing w:after="160" w:line="48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 xml:space="preserve">For youth beneficiaries, a similar trend was evident, with Arusha outperforming Mara in land and house purchases (75% vs. 25%), transport facility acquisition (80% vs. 20%), and household facility purchases (89.7% vs. 10.3%). These patterns indicate the capacity of youth in urban contexts to leverage loans for productive asset accumulation and livelihood diversification, consistent with Cho and </w:t>
      </w:r>
      <w:proofErr w:type="spellStart"/>
      <w:r w:rsidRPr="00195A8B">
        <w:rPr>
          <w:rFonts w:ascii="Times New Roman" w:eastAsia="Calibri" w:hAnsi="Times New Roman" w:cs="Times New Roman"/>
          <w:kern w:val="2"/>
          <w:sz w:val="24"/>
          <w:szCs w:val="24"/>
          <w:lang w:val="en-GB" w:eastAsia="en-US"/>
        </w:rPr>
        <w:t>Honorati</w:t>
      </w:r>
      <w:proofErr w:type="spellEnd"/>
      <w:r w:rsidRPr="00195A8B">
        <w:rPr>
          <w:rFonts w:ascii="Times New Roman" w:eastAsia="Calibri" w:hAnsi="Times New Roman" w:cs="Times New Roman"/>
          <w:kern w:val="2"/>
          <w:sz w:val="24"/>
          <w:szCs w:val="24"/>
          <w:lang w:val="en-GB" w:eastAsia="en-US"/>
        </w:rPr>
        <w:t xml:space="preserve"> (2014), who argue that youth-targeted financial interventions in well-connected markets can yield broader socio-economic gains. Additionally, the higher rate of business expansion among youth in Arusha (73.5% vs. 26.5% in Mara) suggests effective utilization of financial capital for scaling operations, a critical element in fostering youth employment and entrepreneurial growth aligned with SDG 8 (Decent Work and Economic Growth).</w:t>
      </w:r>
    </w:p>
    <w:p w14:paraId="6F4EBDBC" w14:textId="77777777" w:rsidR="00195A8B" w:rsidRPr="00195A8B" w:rsidRDefault="00195A8B" w:rsidP="00960B25">
      <w:pPr>
        <w:spacing w:after="160" w:line="48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 xml:space="preserve">In contrast, the achievements among PWD (Persons with Disabilities) exhibited a divergent pattern. While Arusha reported a 100% success rate in transitioning from informal to formal enterprises, other categories such as asset acquisition, paying medical expenses, and purchasing household facilities recorded zero achievements. Conversely, PWD in Mara displayed higher achievements in these areas, including 100% rates in purchasing land/house, paying school fees, and acquiring household facilities. This contrast highlights the nuanced barriers and opportunities faced by PWD in different regional contexts, supporting findings by Banks and </w:t>
      </w:r>
      <w:r w:rsidRPr="00195A8B">
        <w:rPr>
          <w:rFonts w:ascii="Times New Roman" w:eastAsia="Calibri" w:hAnsi="Times New Roman" w:cs="Times New Roman"/>
          <w:kern w:val="2"/>
          <w:sz w:val="24"/>
          <w:szCs w:val="24"/>
          <w:lang w:val="en-GB" w:eastAsia="en-US"/>
        </w:rPr>
        <w:lastRenderedPageBreak/>
        <w:t>Polack (2014), who emphasize that inclusive financial programs require context-specific adaptations to ensure equitable benefits for PWD.</w:t>
      </w:r>
    </w:p>
    <w:p w14:paraId="3AD1D859" w14:textId="77777777" w:rsidR="00195A8B" w:rsidRPr="00195A8B" w:rsidRDefault="00195A8B" w:rsidP="00960B25">
      <w:pPr>
        <w:spacing w:after="160" w:line="48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The overall post-loan achievement rates, with Arusha recording 71.0% for women and 78.1% for youth compared to 29.0% and 21.9% in Mara, underscore the influence of regional economic ecosystems on the efficacy of empowerment schemes. The urban advantage in Arusha, characterized by better infrastructure, market linkages, and institutional support, facilitates greater and diversified utilization of loans, while Mara’s rural context, despite demonstrating substantial individual gains, may limit the scalability and diversity of post-loan achievements, consistent with the IFAD (2020) rural financial inclusion framework.</w:t>
      </w:r>
    </w:p>
    <w:p w14:paraId="1F659C56" w14:textId="77777777" w:rsidR="00195A8B" w:rsidRPr="00195A8B" w:rsidRDefault="00195A8B" w:rsidP="00960B25">
      <w:pPr>
        <w:spacing w:after="160" w:line="480" w:lineRule="auto"/>
        <w:jc w:val="both"/>
        <w:rPr>
          <w:rFonts w:ascii="Times New Roman" w:eastAsia="Calibri" w:hAnsi="Times New Roman" w:cs="Times New Roman"/>
          <w:kern w:val="2"/>
          <w:sz w:val="24"/>
          <w:szCs w:val="24"/>
          <w:lang w:val="en-GB" w:eastAsia="en-US"/>
        </w:rPr>
      </w:pPr>
      <w:r w:rsidRPr="00195A8B">
        <w:rPr>
          <w:rFonts w:ascii="Times New Roman" w:eastAsia="Calibri" w:hAnsi="Times New Roman" w:cs="Times New Roman"/>
          <w:kern w:val="2"/>
          <w:sz w:val="24"/>
          <w:szCs w:val="24"/>
          <w:lang w:val="en-GB" w:eastAsia="en-US"/>
        </w:rPr>
        <w:t>Importantly, while the achievements reflect significant positive outcomes, the disparities suggest that access to credit alone is insufficient for uniformly maximizing benefits across diverse regions and groups. This resonates with Bateman (2010), who cautions that microcredit must be complemented by non-financial interventions such as business development services, market facilitation, and mentoring to translate financial inputs into sustainable development outcomes.</w:t>
      </w:r>
    </w:p>
    <w:p w14:paraId="182B4618" w14:textId="77777777" w:rsidR="00195A8B" w:rsidRPr="00195A8B" w:rsidRDefault="00195A8B" w:rsidP="00960B25">
      <w:pPr>
        <w:spacing w:after="160" w:line="480" w:lineRule="auto"/>
        <w:jc w:val="both"/>
        <w:rPr>
          <w:rFonts w:ascii="Times New Roman" w:eastAsia="Calibri" w:hAnsi="Times New Roman" w:cs="Times New Roman"/>
          <w:kern w:val="2"/>
          <w:sz w:val="24"/>
          <w:szCs w:val="24"/>
          <w:lang w:eastAsia="en-US"/>
        </w:rPr>
      </w:pPr>
      <w:r w:rsidRPr="00195A8B">
        <w:rPr>
          <w:rFonts w:ascii="Times New Roman" w:eastAsia="Calibri" w:hAnsi="Times New Roman" w:cs="Times New Roman"/>
          <w:kern w:val="2"/>
          <w:sz w:val="24"/>
          <w:szCs w:val="24"/>
          <w:lang w:val="en-GB" w:eastAsia="en-US"/>
        </w:rPr>
        <w:t xml:space="preserve">Overall, the post-loan achievements across Arusha and Mara highlight the potential of economic empowerment schemes to </w:t>
      </w:r>
      <w:proofErr w:type="spellStart"/>
      <w:r w:rsidRPr="00195A8B">
        <w:rPr>
          <w:rFonts w:ascii="Times New Roman" w:eastAsia="Calibri" w:hAnsi="Times New Roman" w:cs="Times New Roman"/>
          <w:kern w:val="2"/>
          <w:sz w:val="24"/>
          <w:szCs w:val="24"/>
          <w:lang w:val="en-GB" w:eastAsia="en-US"/>
        </w:rPr>
        <w:t>catalyze</w:t>
      </w:r>
      <w:proofErr w:type="spellEnd"/>
      <w:r w:rsidRPr="00195A8B">
        <w:rPr>
          <w:rFonts w:ascii="Times New Roman" w:eastAsia="Calibri" w:hAnsi="Times New Roman" w:cs="Times New Roman"/>
          <w:kern w:val="2"/>
          <w:sz w:val="24"/>
          <w:szCs w:val="24"/>
          <w:lang w:val="en-GB" w:eastAsia="en-US"/>
        </w:rPr>
        <w:t xml:space="preserve"> asset accumulation, educational attainment, business growth, and formalization among women, youth, and PWD beneficiaries. However, the regional disparities call for context-sensitive program designs that integrate financial support with tailored non-financial interventions to enhance the inclusivity, equity, and transformative potential of local economic empowerment initiatives in Tanzania</w:t>
      </w:r>
      <w:r w:rsidRPr="00195A8B">
        <w:rPr>
          <w:rFonts w:ascii="Times New Roman" w:eastAsia="Calibri" w:hAnsi="Times New Roman" w:cs="Times New Roman"/>
          <w:kern w:val="2"/>
          <w:sz w:val="24"/>
          <w:szCs w:val="24"/>
          <w:lang w:eastAsia="en-US"/>
        </w:rPr>
        <w:t xml:space="preserve">. </w:t>
      </w:r>
    </w:p>
    <w:p w14:paraId="4F2CB8B2" w14:textId="6D2C0239" w:rsidR="00195A8B" w:rsidRPr="00195A8B" w:rsidRDefault="00195A8B" w:rsidP="00195A8B">
      <w:pPr>
        <w:spacing w:after="0" w:line="259" w:lineRule="auto"/>
        <w:jc w:val="both"/>
        <w:rPr>
          <w:rFonts w:ascii="Times New Roman" w:eastAsia="Calibri" w:hAnsi="Times New Roman" w:cs="Times New Roman"/>
          <w:b/>
          <w:bCs/>
          <w:kern w:val="2"/>
          <w:sz w:val="24"/>
          <w:szCs w:val="24"/>
          <w:lang w:eastAsia="en-US"/>
        </w:rPr>
      </w:pPr>
      <w:r w:rsidRPr="00195A8B">
        <w:rPr>
          <w:rFonts w:ascii="Times New Roman" w:eastAsia="Calibri" w:hAnsi="Times New Roman" w:cs="Times New Roman"/>
          <w:b/>
          <w:bCs/>
          <w:kern w:val="2"/>
          <w:sz w:val="24"/>
          <w:szCs w:val="24"/>
          <w:lang w:eastAsia="en-US"/>
        </w:rPr>
        <w:t xml:space="preserve">Table </w:t>
      </w:r>
      <w:r w:rsidR="008A780B">
        <w:rPr>
          <w:rFonts w:ascii="Times New Roman" w:eastAsia="Calibri" w:hAnsi="Times New Roman" w:cs="Times New Roman"/>
          <w:b/>
          <w:bCs/>
          <w:kern w:val="2"/>
          <w:sz w:val="24"/>
          <w:szCs w:val="24"/>
          <w:lang w:eastAsia="en-US"/>
        </w:rPr>
        <w:t>10</w:t>
      </w:r>
      <w:r w:rsidRPr="00195A8B">
        <w:rPr>
          <w:rFonts w:ascii="Times New Roman" w:eastAsia="Calibri" w:hAnsi="Times New Roman" w:cs="Times New Roman"/>
          <w:b/>
          <w:bCs/>
          <w:kern w:val="2"/>
          <w:sz w:val="24"/>
          <w:szCs w:val="24"/>
          <w:lang w:eastAsia="en-US"/>
        </w:rPr>
        <w:t>. Comparison of Post-Loan Achievements of Enterprises Established through Economic Empowerment Schemes between Arusha and Mara Regions</w:t>
      </w:r>
    </w:p>
    <w:tbl>
      <w:tblPr>
        <w:tblStyle w:val="TableGrid2"/>
        <w:tblW w:w="5000" w:type="pct"/>
        <w:tblLook w:val="04A0" w:firstRow="1" w:lastRow="0" w:firstColumn="1" w:lastColumn="0" w:noHBand="0" w:noVBand="1"/>
      </w:tblPr>
      <w:tblGrid>
        <w:gridCol w:w="1064"/>
        <w:gridCol w:w="3206"/>
        <w:gridCol w:w="1306"/>
        <w:gridCol w:w="1348"/>
        <w:gridCol w:w="1306"/>
        <w:gridCol w:w="1346"/>
      </w:tblGrid>
      <w:tr w:rsidR="00195A8B" w:rsidRPr="00195A8B" w14:paraId="1DF24B77" w14:textId="77777777" w:rsidTr="00CA33B8">
        <w:tc>
          <w:tcPr>
            <w:tcW w:w="555" w:type="pct"/>
            <w:tcBorders>
              <w:top w:val="single" w:sz="4" w:space="0" w:color="auto"/>
              <w:left w:val="single" w:sz="4" w:space="0" w:color="auto"/>
              <w:bottom w:val="single" w:sz="4" w:space="0" w:color="auto"/>
              <w:right w:val="single" w:sz="4" w:space="0" w:color="auto"/>
            </w:tcBorders>
          </w:tcPr>
          <w:p w14:paraId="01B6646D" w14:textId="77777777" w:rsidR="00195A8B" w:rsidRPr="00195A8B" w:rsidRDefault="00195A8B" w:rsidP="00195A8B">
            <w:pPr>
              <w:adjustRightInd w:val="0"/>
              <w:rPr>
                <w:rFonts w:ascii="Times New Roman" w:hAnsi="Times New Roman" w:cs="Times New Roman"/>
                <w:b/>
                <w:bCs/>
                <w:sz w:val="24"/>
                <w:szCs w:val="24"/>
              </w:rPr>
            </w:pPr>
          </w:p>
        </w:tc>
        <w:tc>
          <w:tcPr>
            <w:tcW w:w="1674" w:type="pct"/>
            <w:tcBorders>
              <w:top w:val="single" w:sz="4" w:space="0" w:color="auto"/>
              <w:left w:val="single" w:sz="4" w:space="0" w:color="auto"/>
              <w:bottom w:val="single" w:sz="4" w:space="0" w:color="auto"/>
              <w:right w:val="single" w:sz="4" w:space="0" w:color="auto"/>
            </w:tcBorders>
          </w:tcPr>
          <w:p w14:paraId="4D376251" w14:textId="77777777" w:rsidR="00195A8B" w:rsidRPr="00195A8B" w:rsidRDefault="00195A8B" w:rsidP="00195A8B">
            <w:pPr>
              <w:adjustRightInd w:val="0"/>
              <w:rPr>
                <w:rFonts w:ascii="Times New Roman" w:hAnsi="Times New Roman" w:cs="Times New Roman"/>
                <w:b/>
                <w:bCs/>
                <w:sz w:val="24"/>
                <w:szCs w:val="24"/>
              </w:rPr>
            </w:pPr>
          </w:p>
        </w:tc>
        <w:tc>
          <w:tcPr>
            <w:tcW w:w="1386" w:type="pct"/>
            <w:gridSpan w:val="2"/>
            <w:tcBorders>
              <w:top w:val="single" w:sz="4" w:space="0" w:color="auto"/>
              <w:left w:val="single" w:sz="4" w:space="0" w:color="auto"/>
              <w:bottom w:val="single" w:sz="4" w:space="0" w:color="auto"/>
              <w:right w:val="single" w:sz="4" w:space="0" w:color="auto"/>
            </w:tcBorders>
            <w:hideMark/>
          </w:tcPr>
          <w:p w14:paraId="60C3AA86" w14:textId="77777777" w:rsidR="00195A8B" w:rsidRPr="00195A8B" w:rsidRDefault="00195A8B" w:rsidP="008A780B">
            <w:pPr>
              <w:adjustRightInd w:val="0"/>
              <w:jc w:val="center"/>
              <w:rPr>
                <w:rFonts w:ascii="Times New Roman" w:hAnsi="Times New Roman" w:cs="Times New Roman"/>
                <w:b/>
                <w:bCs/>
                <w:sz w:val="24"/>
                <w:szCs w:val="24"/>
              </w:rPr>
            </w:pPr>
            <w:r w:rsidRPr="00195A8B">
              <w:rPr>
                <w:rFonts w:ascii="Times New Roman" w:hAnsi="Times New Roman" w:cs="Times New Roman"/>
                <w:b/>
                <w:bCs/>
                <w:sz w:val="24"/>
                <w:szCs w:val="24"/>
              </w:rPr>
              <w:t>Arusha</w:t>
            </w:r>
          </w:p>
        </w:tc>
        <w:tc>
          <w:tcPr>
            <w:tcW w:w="1386" w:type="pct"/>
            <w:gridSpan w:val="2"/>
            <w:tcBorders>
              <w:top w:val="single" w:sz="4" w:space="0" w:color="auto"/>
              <w:left w:val="single" w:sz="4" w:space="0" w:color="auto"/>
              <w:bottom w:val="single" w:sz="4" w:space="0" w:color="auto"/>
              <w:right w:val="single" w:sz="4" w:space="0" w:color="auto"/>
            </w:tcBorders>
            <w:hideMark/>
          </w:tcPr>
          <w:p w14:paraId="4D71B324" w14:textId="77777777" w:rsidR="00195A8B" w:rsidRPr="00195A8B" w:rsidRDefault="00195A8B" w:rsidP="008A780B">
            <w:pPr>
              <w:adjustRightInd w:val="0"/>
              <w:jc w:val="center"/>
              <w:rPr>
                <w:rFonts w:ascii="Times New Roman" w:hAnsi="Times New Roman" w:cs="Times New Roman"/>
                <w:b/>
                <w:bCs/>
                <w:sz w:val="24"/>
                <w:szCs w:val="24"/>
              </w:rPr>
            </w:pPr>
            <w:r w:rsidRPr="00195A8B">
              <w:rPr>
                <w:rFonts w:ascii="Times New Roman" w:hAnsi="Times New Roman" w:cs="Times New Roman"/>
                <w:b/>
                <w:bCs/>
                <w:sz w:val="24"/>
                <w:szCs w:val="24"/>
              </w:rPr>
              <w:t>Mara</w:t>
            </w:r>
          </w:p>
        </w:tc>
      </w:tr>
      <w:tr w:rsidR="00195A8B" w:rsidRPr="00195A8B" w14:paraId="640C425C" w14:textId="77777777" w:rsidTr="00CA33B8">
        <w:tc>
          <w:tcPr>
            <w:tcW w:w="555" w:type="pct"/>
            <w:tcBorders>
              <w:top w:val="single" w:sz="4" w:space="0" w:color="auto"/>
              <w:left w:val="single" w:sz="4" w:space="0" w:color="auto"/>
              <w:bottom w:val="single" w:sz="4" w:space="0" w:color="auto"/>
              <w:right w:val="single" w:sz="4" w:space="0" w:color="auto"/>
            </w:tcBorders>
            <w:hideMark/>
          </w:tcPr>
          <w:p w14:paraId="7345D078" w14:textId="77777777" w:rsidR="00195A8B" w:rsidRPr="00195A8B" w:rsidRDefault="00195A8B" w:rsidP="00195A8B">
            <w:pPr>
              <w:adjustRightInd w:val="0"/>
              <w:rPr>
                <w:rFonts w:ascii="Times New Roman" w:hAnsi="Times New Roman" w:cs="Times New Roman"/>
                <w:b/>
                <w:bCs/>
                <w:sz w:val="24"/>
                <w:szCs w:val="24"/>
              </w:rPr>
            </w:pPr>
            <w:r w:rsidRPr="00195A8B">
              <w:rPr>
                <w:rFonts w:ascii="Times New Roman" w:hAnsi="Times New Roman" w:cs="Times New Roman"/>
                <w:b/>
                <w:bCs/>
                <w:sz w:val="24"/>
                <w:szCs w:val="24"/>
              </w:rPr>
              <w:t>Groups</w:t>
            </w:r>
          </w:p>
        </w:tc>
        <w:tc>
          <w:tcPr>
            <w:tcW w:w="1674" w:type="pct"/>
            <w:tcBorders>
              <w:top w:val="single" w:sz="4" w:space="0" w:color="auto"/>
              <w:left w:val="single" w:sz="4" w:space="0" w:color="auto"/>
              <w:bottom w:val="single" w:sz="4" w:space="0" w:color="auto"/>
              <w:right w:val="single" w:sz="4" w:space="0" w:color="auto"/>
            </w:tcBorders>
            <w:hideMark/>
          </w:tcPr>
          <w:p w14:paraId="585B8D4B" w14:textId="77777777" w:rsidR="00195A8B" w:rsidRPr="00195A8B" w:rsidRDefault="00195A8B" w:rsidP="00195A8B">
            <w:pPr>
              <w:adjustRightInd w:val="0"/>
              <w:rPr>
                <w:rFonts w:ascii="Times New Roman" w:hAnsi="Times New Roman" w:cs="Times New Roman"/>
                <w:b/>
                <w:bCs/>
                <w:sz w:val="24"/>
                <w:szCs w:val="24"/>
              </w:rPr>
            </w:pPr>
            <w:r w:rsidRPr="00195A8B">
              <w:rPr>
                <w:rFonts w:ascii="Times New Roman" w:hAnsi="Times New Roman" w:cs="Times New Roman"/>
                <w:b/>
                <w:bCs/>
                <w:sz w:val="24"/>
                <w:szCs w:val="24"/>
              </w:rPr>
              <w:t>Achievements</w:t>
            </w:r>
          </w:p>
        </w:tc>
        <w:tc>
          <w:tcPr>
            <w:tcW w:w="682" w:type="pct"/>
            <w:tcBorders>
              <w:top w:val="single" w:sz="4" w:space="0" w:color="auto"/>
              <w:left w:val="single" w:sz="4" w:space="0" w:color="auto"/>
              <w:bottom w:val="single" w:sz="4" w:space="0" w:color="auto"/>
              <w:right w:val="single" w:sz="4" w:space="0" w:color="auto"/>
            </w:tcBorders>
            <w:hideMark/>
          </w:tcPr>
          <w:p w14:paraId="4B486045"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Frequency</w:t>
            </w:r>
          </w:p>
        </w:tc>
        <w:tc>
          <w:tcPr>
            <w:tcW w:w="704" w:type="pct"/>
            <w:tcBorders>
              <w:top w:val="single" w:sz="4" w:space="0" w:color="auto"/>
              <w:left w:val="single" w:sz="4" w:space="0" w:color="auto"/>
              <w:bottom w:val="single" w:sz="4" w:space="0" w:color="auto"/>
              <w:right w:val="single" w:sz="4" w:space="0" w:color="auto"/>
            </w:tcBorders>
            <w:hideMark/>
          </w:tcPr>
          <w:p w14:paraId="32A211BB"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Percentage</w:t>
            </w:r>
          </w:p>
        </w:tc>
        <w:tc>
          <w:tcPr>
            <w:tcW w:w="682" w:type="pct"/>
            <w:tcBorders>
              <w:top w:val="single" w:sz="4" w:space="0" w:color="auto"/>
              <w:left w:val="single" w:sz="4" w:space="0" w:color="auto"/>
              <w:bottom w:val="single" w:sz="4" w:space="0" w:color="auto"/>
              <w:right w:val="single" w:sz="4" w:space="0" w:color="auto"/>
            </w:tcBorders>
            <w:hideMark/>
          </w:tcPr>
          <w:p w14:paraId="0E8F0489"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Frequency</w:t>
            </w:r>
          </w:p>
        </w:tc>
        <w:tc>
          <w:tcPr>
            <w:tcW w:w="704" w:type="pct"/>
            <w:tcBorders>
              <w:top w:val="single" w:sz="4" w:space="0" w:color="auto"/>
              <w:left w:val="single" w:sz="4" w:space="0" w:color="auto"/>
              <w:bottom w:val="single" w:sz="4" w:space="0" w:color="auto"/>
              <w:right w:val="single" w:sz="4" w:space="0" w:color="auto"/>
            </w:tcBorders>
            <w:hideMark/>
          </w:tcPr>
          <w:p w14:paraId="1FADA7D4"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Percentage</w:t>
            </w:r>
          </w:p>
        </w:tc>
      </w:tr>
      <w:tr w:rsidR="00195A8B" w:rsidRPr="00195A8B" w14:paraId="081D4510" w14:textId="77777777" w:rsidTr="00CA33B8">
        <w:tc>
          <w:tcPr>
            <w:tcW w:w="555" w:type="pct"/>
            <w:vMerge w:val="restart"/>
            <w:tcBorders>
              <w:top w:val="single" w:sz="4" w:space="0" w:color="auto"/>
              <w:left w:val="single" w:sz="4" w:space="0" w:color="auto"/>
              <w:right w:val="single" w:sz="4" w:space="0" w:color="auto"/>
            </w:tcBorders>
            <w:vAlign w:val="center"/>
            <w:hideMark/>
          </w:tcPr>
          <w:p w14:paraId="455AB52A"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lastRenderedPageBreak/>
              <w:t>Women</w:t>
            </w:r>
          </w:p>
        </w:tc>
        <w:tc>
          <w:tcPr>
            <w:tcW w:w="1674" w:type="pct"/>
            <w:tcBorders>
              <w:top w:val="single" w:sz="4" w:space="0" w:color="auto"/>
              <w:left w:val="single" w:sz="4" w:space="0" w:color="auto"/>
              <w:bottom w:val="single" w:sz="4" w:space="0" w:color="auto"/>
              <w:right w:val="single" w:sz="4" w:space="0" w:color="auto"/>
            </w:tcBorders>
            <w:hideMark/>
          </w:tcPr>
          <w:p w14:paraId="43E4DBC2"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Purchased land/house</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3DCF709A"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36</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5A1F9697"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52.9</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08E1061C"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32</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3BB41F30"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47.1</w:t>
            </w:r>
          </w:p>
        </w:tc>
      </w:tr>
      <w:tr w:rsidR="00195A8B" w:rsidRPr="00195A8B" w14:paraId="017A4C90" w14:textId="77777777" w:rsidTr="00CA33B8">
        <w:tc>
          <w:tcPr>
            <w:tcW w:w="555" w:type="pct"/>
            <w:vMerge/>
            <w:tcBorders>
              <w:left w:val="single" w:sz="4" w:space="0" w:color="auto"/>
              <w:right w:val="single" w:sz="4" w:space="0" w:color="auto"/>
            </w:tcBorders>
          </w:tcPr>
          <w:p w14:paraId="65EF3B5F" w14:textId="77777777" w:rsidR="00195A8B" w:rsidRPr="00195A8B" w:rsidRDefault="00195A8B" w:rsidP="00195A8B">
            <w:pPr>
              <w:adjustRightInd w:val="0"/>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14:paraId="25C58D12"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 xml:space="preserve">Purchased transport facility </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26C1B20C"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15</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6FD84D46"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75.0</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58196B3E"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5</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62340A41"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25.0</w:t>
            </w:r>
          </w:p>
        </w:tc>
      </w:tr>
      <w:tr w:rsidR="00195A8B" w:rsidRPr="00195A8B" w14:paraId="27B610A9" w14:textId="77777777" w:rsidTr="00CA33B8">
        <w:tc>
          <w:tcPr>
            <w:tcW w:w="555" w:type="pct"/>
            <w:vMerge/>
            <w:tcBorders>
              <w:left w:val="single" w:sz="4" w:space="0" w:color="auto"/>
              <w:right w:val="single" w:sz="4" w:space="0" w:color="auto"/>
            </w:tcBorders>
          </w:tcPr>
          <w:p w14:paraId="4BD7E7D5" w14:textId="77777777" w:rsidR="00195A8B" w:rsidRPr="00195A8B" w:rsidRDefault="00195A8B" w:rsidP="00195A8B">
            <w:pPr>
              <w:adjustRightInd w:val="0"/>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14:paraId="34E5C713"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Paid School Fees</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6E12EA08"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98</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66A935B5"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69.0</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047E43E3"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44</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7AFF1ADA"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31.0</w:t>
            </w:r>
          </w:p>
        </w:tc>
      </w:tr>
      <w:tr w:rsidR="00195A8B" w:rsidRPr="00195A8B" w14:paraId="7A9EFBFF" w14:textId="77777777" w:rsidTr="00CA33B8">
        <w:tc>
          <w:tcPr>
            <w:tcW w:w="555" w:type="pct"/>
            <w:vMerge/>
            <w:tcBorders>
              <w:left w:val="single" w:sz="4" w:space="0" w:color="auto"/>
              <w:right w:val="single" w:sz="4" w:space="0" w:color="auto"/>
            </w:tcBorders>
          </w:tcPr>
          <w:p w14:paraId="0EA9F9CA" w14:textId="77777777" w:rsidR="00195A8B" w:rsidRPr="00195A8B" w:rsidRDefault="00195A8B" w:rsidP="00195A8B">
            <w:pPr>
              <w:adjustRightInd w:val="0"/>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14:paraId="29E07E6B"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Paid Medical Expenses</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245EA604"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89</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5E13A471"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73.6</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32987DB6"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32</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1F1B6FDC"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26.4</w:t>
            </w:r>
          </w:p>
        </w:tc>
      </w:tr>
      <w:tr w:rsidR="00195A8B" w:rsidRPr="00195A8B" w14:paraId="6FC46AA1" w14:textId="77777777" w:rsidTr="00CA33B8">
        <w:tc>
          <w:tcPr>
            <w:tcW w:w="555" w:type="pct"/>
            <w:vMerge/>
            <w:tcBorders>
              <w:left w:val="single" w:sz="4" w:space="0" w:color="auto"/>
              <w:right w:val="single" w:sz="4" w:space="0" w:color="auto"/>
            </w:tcBorders>
          </w:tcPr>
          <w:p w14:paraId="403664DE" w14:textId="77777777" w:rsidR="00195A8B" w:rsidRPr="00195A8B" w:rsidRDefault="00195A8B" w:rsidP="00195A8B">
            <w:pPr>
              <w:adjustRightInd w:val="0"/>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14:paraId="01C85C9D"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Purchased Household Facilities</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7E959CD7"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73</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4CAEF1F2"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78.5</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6E84BBD6"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20</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7526E24C"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21.5</w:t>
            </w:r>
          </w:p>
        </w:tc>
      </w:tr>
      <w:tr w:rsidR="00195A8B" w:rsidRPr="00195A8B" w14:paraId="13AFC638" w14:textId="77777777" w:rsidTr="00CA33B8">
        <w:tc>
          <w:tcPr>
            <w:tcW w:w="555" w:type="pct"/>
            <w:vMerge/>
            <w:tcBorders>
              <w:left w:val="single" w:sz="4" w:space="0" w:color="auto"/>
              <w:right w:val="single" w:sz="4" w:space="0" w:color="auto"/>
            </w:tcBorders>
          </w:tcPr>
          <w:p w14:paraId="5D3B876A" w14:textId="77777777" w:rsidR="00195A8B" w:rsidRPr="00195A8B" w:rsidRDefault="00195A8B" w:rsidP="00195A8B">
            <w:pPr>
              <w:adjustRightInd w:val="0"/>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14:paraId="4FC6E11F"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Changed from Informal to Formal</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1BB74685"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13</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61191124"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86.7</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19B36E18"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2</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1393444C"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13.3</w:t>
            </w:r>
          </w:p>
        </w:tc>
      </w:tr>
      <w:tr w:rsidR="00195A8B" w:rsidRPr="00195A8B" w14:paraId="390CB836" w14:textId="77777777" w:rsidTr="00CA33B8">
        <w:tc>
          <w:tcPr>
            <w:tcW w:w="555" w:type="pct"/>
            <w:vMerge/>
            <w:tcBorders>
              <w:left w:val="single" w:sz="4" w:space="0" w:color="auto"/>
              <w:right w:val="single" w:sz="4" w:space="0" w:color="auto"/>
            </w:tcBorders>
          </w:tcPr>
          <w:p w14:paraId="59540512" w14:textId="77777777" w:rsidR="00195A8B" w:rsidRPr="00195A8B" w:rsidRDefault="00195A8B" w:rsidP="00195A8B">
            <w:pPr>
              <w:adjustRightInd w:val="0"/>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14:paraId="07535C42"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Expanded my Business</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240705DA"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81</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3C7846AD"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72.3</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6D3C2373"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31</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3728F35B"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27.7</w:t>
            </w:r>
          </w:p>
        </w:tc>
      </w:tr>
      <w:tr w:rsidR="00195A8B" w:rsidRPr="00195A8B" w14:paraId="2319E78D" w14:textId="77777777" w:rsidTr="00CA33B8">
        <w:tc>
          <w:tcPr>
            <w:tcW w:w="555" w:type="pct"/>
            <w:vMerge/>
            <w:tcBorders>
              <w:left w:val="single" w:sz="4" w:space="0" w:color="auto"/>
              <w:right w:val="single" w:sz="4" w:space="0" w:color="auto"/>
            </w:tcBorders>
          </w:tcPr>
          <w:p w14:paraId="3803B467" w14:textId="77777777" w:rsidR="00195A8B" w:rsidRPr="00195A8B" w:rsidRDefault="00195A8B" w:rsidP="00195A8B">
            <w:pPr>
              <w:adjustRightInd w:val="0"/>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012CA385"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House repair</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2889DF76"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3</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4C4E89E9"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75.0</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7C0D7F07"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1</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2CCF2DB9"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25.0</w:t>
            </w:r>
          </w:p>
        </w:tc>
      </w:tr>
      <w:tr w:rsidR="00195A8B" w:rsidRPr="00195A8B" w14:paraId="153BB702" w14:textId="77777777" w:rsidTr="00CA33B8">
        <w:tc>
          <w:tcPr>
            <w:tcW w:w="555" w:type="pct"/>
            <w:vMerge/>
            <w:tcBorders>
              <w:left w:val="single" w:sz="4" w:space="0" w:color="auto"/>
              <w:bottom w:val="single" w:sz="4" w:space="0" w:color="auto"/>
              <w:right w:val="single" w:sz="4" w:space="0" w:color="auto"/>
            </w:tcBorders>
          </w:tcPr>
          <w:p w14:paraId="33D4E1CB" w14:textId="77777777" w:rsidR="00195A8B" w:rsidRPr="00195A8B" w:rsidRDefault="00195A8B" w:rsidP="00195A8B">
            <w:pPr>
              <w:adjustRightInd w:val="0"/>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08E6ECDC"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Total</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1E196BAC"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408</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50445E5B"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71.0</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69E49DBA"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167</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0283CC27"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29.0</w:t>
            </w:r>
          </w:p>
        </w:tc>
      </w:tr>
      <w:tr w:rsidR="00195A8B" w:rsidRPr="00195A8B" w14:paraId="1C86F859" w14:textId="77777777" w:rsidTr="00CA33B8">
        <w:tc>
          <w:tcPr>
            <w:tcW w:w="555" w:type="pct"/>
            <w:vMerge w:val="restart"/>
            <w:tcBorders>
              <w:top w:val="single" w:sz="4" w:space="0" w:color="auto"/>
              <w:left w:val="single" w:sz="4" w:space="0" w:color="auto"/>
              <w:right w:val="single" w:sz="4" w:space="0" w:color="auto"/>
            </w:tcBorders>
            <w:vAlign w:val="center"/>
            <w:hideMark/>
          </w:tcPr>
          <w:p w14:paraId="2EE87C1B"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Youth</w:t>
            </w:r>
          </w:p>
        </w:tc>
        <w:tc>
          <w:tcPr>
            <w:tcW w:w="1674" w:type="pct"/>
            <w:tcBorders>
              <w:top w:val="single" w:sz="4" w:space="0" w:color="auto"/>
              <w:left w:val="single" w:sz="4" w:space="0" w:color="auto"/>
              <w:bottom w:val="single" w:sz="4" w:space="0" w:color="auto"/>
              <w:right w:val="single" w:sz="4" w:space="0" w:color="auto"/>
            </w:tcBorders>
            <w:hideMark/>
          </w:tcPr>
          <w:p w14:paraId="27EDE104"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Purchased land/house</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6BDE1BAF"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27</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42D9027C"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75.0</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1A4116E8"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9</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4E187D2D"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25.0</w:t>
            </w:r>
          </w:p>
        </w:tc>
      </w:tr>
      <w:tr w:rsidR="00195A8B" w:rsidRPr="00195A8B" w14:paraId="01C63051" w14:textId="77777777" w:rsidTr="00CA33B8">
        <w:tc>
          <w:tcPr>
            <w:tcW w:w="555" w:type="pct"/>
            <w:vMerge/>
            <w:tcBorders>
              <w:left w:val="single" w:sz="4" w:space="0" w:color="auto"/>
              <w:right w:val="single" w:sz="4" w:space="0" w:color="auto"/>
            </w:tcBorders>
          </w:tcPr>
          <w:p w14:paraId="00F22F60" w14:textId="77777777" w:rsidR="00195A8B" w:rsidRPr="00195A8B" w:rsidRDefault="00195A8B" w:rsidP="00195A8B">
            <w:pPr>
              <w:adjustRightInd w:val="0"/>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14:paraId="66101C76"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 xml:space="preserve">Purchased transport facility </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1320C99E"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12</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6BE35CCE"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80.0</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0C6C43B3"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3</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306DDD0E"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20.0</w:t>
            </w:r>
          </w:p>
        </w:tc>
      </w:tr>
      <w:tr w:rsidR="00195A8B" w:rsidRPr="00195A8B" w14:paraId="1795D984" w14:textId="77777777" w:rsidTr="00CA33B8">
        <w:tc>
          <w:tcPr>
            <w:tcW w:w="555" w:type="pct"/>
            <w:vMerge/>
            <w:tcBorders>
              <w:left w:val="single" w:sz="4" w:space="0" w:color="auto"/>
              <w:right w:val="single" w:sz="4" w:space="0" w:color="auto"/>
            </w:tcBorders>
          </w:tcPr>
          <w:p w14:paraId="2B3838D1" w14:textId="77777777" w:rsidR="00195A8B" w:rsidRPr="00195A8B" w:rsidRDefault="00195A8B" w:rsidP="00195A8B">
            <w:pPr>
              <w:adjustRightInd w:val="0"/>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14:paraId="26E875E8"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Paid School Fees</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3F0016CE"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36</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0177A84B"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75.0</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667FF559"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12</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55F448B3"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25.0</w:t>
            </w:r>
          </w:p>
        </w:tc>
      </w:tr>
      <w:tr w:rsidR="00195A8B" w:rsidRPr="00195A8B" w14:paraId="3ACA5684" w14:textId="77777777" w:rsidTr="00CA33B8">
        <w:tc>
          <w:tcPr>
            <w:tcW w:w="555" w:type="pct"/>
            <w:vMerge/>
            <w:tcBorders>
              <w:left w:val="single" w:sz="4" w:space="0" w:color="auto"/>
              <w:right w:val="single" w:sz="4" w:space="0" w:color="auto"/>
            </w:tcBorders>
          </w:tcPr>
          <w:p w14:paraId="6AC6524D" w14:textId="77777777" w:rsidR="00195A8B" w:rsidRPr="00195A8B" w:rsidRDefault="00195A8B" w:rsidP="00195A8B">
            <w:pPr>
              <w:adjustRightInd w:val="0"/>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14:paraId="55503A66"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Paid Medical Expenses</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01DD4096"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34</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200372B1"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82.9</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3F53AC9F"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7</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081222B6"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17.1</w:t>
            </w:r>
          </w:p>
        </w:tc>
      </w:tr>
      <w:tr w:rsidR="00195A8B" w:rsidRPr="00195A8B" w14:paraId="4EF0C70E" w14:textId="77777777" w:rsidTr="00CA33B8">
        <w:tc>
          <w:tcPr>
            <w:tcW w:w="555" w:type="pct"/>
            <w:vMerge/>
            <w:tcBorders>
              <w:left w:val="single" w:sz="4" w:space="0" w:color="auto"/>
              <w:right w:val="single" w:sz="4" w:space="0" w:color="auto"/>
            </w:tcBorders>
          </w:tcPr>
          <w:p w14:paraId="7F65DAD8" w14:textId="77777777" w:rsidR="00195A8B" w:rsidRPr="00195A8B" w:rsidRDefault="00195A8B" w:rsidP="00195A8B">
            <w:pPr>
              <w:adjustRightInd w:val="0"/>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14:paraId="018988F5"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Purchased Household Facilities</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1457D57B"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26</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08A58530"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89.7</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50F33593"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3</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1D5B3444"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10.3</w:t>
            </w:r>
          </w:p>
        </w:tc>
      </w:tr>
      <w:tr w:rsidR="00195A8B" w:rsidRPr="00195A8B" w14:paraId="308E8934" w14:textId="77777777" w:rsidTr="00CA33B8">
        <w:tc>
          <w:tcPr>
            <w:tcW w:w="555" w:type="pct"/>
            <w:vMerge/>
            <w:tcBorders>
              <w:left w:val="single" w:sz="4" w:space="0" w:color="auto"/>
              <w:right w:val="single" w:sz="4" w:space="0" w:color="auto"/>
            </w:tcBorders>
          </w:tcPr>
          <w:p w14:paraId="06114054" w14:textId="77777777" w:rsidR="00195A8B" w:rsidRPr="00195A8B" w:rsidRDefault="00195A8B" w:rsidP="00195A8B">
            <w:pPr>
              <w:adjustRightInd w:val="0"/>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14:paraId="5EDD7AA1"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Changed from Informal to Formal</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71B66174"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3</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7CC59FB7"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60.0</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448D23FE"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2</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75AAB27E"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40.0</w:t>
            </w:r>
          </w:p>
        </w:tc>
      </w:tr>
      <w:tr w:rsidR="00195A8B" w:rsidRPr="00195A8B" w14:paraId="76B95111" w14:textId="77777777" w:rsidTr="00CA33B8">
        <w:tc>
          <w:tcPr>
            <w:tcW w:w="555" w:type="pct"/>
            <w:vMerge/>
            <w:tcBorders>
              <w:left w:val="single" w:sz="4" w:space="0" w:color="auto"/>
              <w:right w:val="single" w:sz="4" w:space="0" w:color="auto"/>
            </w:tcBorders>
          </w:tcPr>
          <w:p w14:paraId="67326C6D" w14:textId="77777777" w:rsidR="00195A8B" w:rsidRPr="00195A8B" w:rsidRDefault="00195A8B" w:rsidP="00195A8B">
            <w:pPr>
              <w:adjustRightInd w:val="0"/>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14:paraId="147677F4"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Expanded my Business</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1FE483C4"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36</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1C9FAB8E"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73.5</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348526A7"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13</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732893C1"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26.5</w:t>
            </w:r>
          </w:p>
        </w:tc>
      </w:tr>
      <w:tr w:rsidR="00195A8B" w:rsidRPr="00195A8B" w14:paraId="4F480B2E" w14:textId="77777777" w:rsidTr="00CA33B8">
        <w:tc>
          <w:tcPr>
            <w:tcW w:w="555" w:type="pct"/>
            <w:vMerge/>
            <w:tcBorders>
              <w:left w:val="single" w:sz="4" w:space="0" w:color="auto"/>
              <w:right w:val="single" w:sz="4" w:space="0" w:color="auto"/>
            </w:tcBorders>
          </w:tcPr>
          <w:p w14:paraId="3E67E00E" w14:textId="77777777" w:rsidR="00195A8B" w:rsidRPr="00195A8B" w:rsidRDefault="00195A8B" w:rsidP="00195A8B">
            <w:pPr>
              <w:adjustRightInd w:val="0"/>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320B3BB3"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House repair</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73FE07DC"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1</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738067D9"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100.0</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201CE373"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0</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0F4E70BF"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0.0</w:t>
            </w:r>
          </w:p>
        </w:tc>
      </w:tr>
      <w:tr w:rsidR="00195A8B" w:rsidRPr="00195A8B" w14:paraId="730696FF" w14:textId="77777777" w:rsidTr="00CA33B8">
        <w:tc>
          <w:tcPr>
            <w:tcW w:w="555" w:type="pct"/>
            <w:vMerge/>
            <w:tcBorders>
              <w:left w:val="single" w:sz="4" w:space="0" w:color="auto"/>
              <w:bottom w:val="single" w:sz="4" w:space="0" w:color="auto"/>
              <w:right w:val="single" w:sz="4" w:space="0" w:color="auto"/>
            </w:tcBorders>
          </w:tcPr>
          <w:p w14:paraId="19E1BB9B" w14:textId="77777777" w:rsidR="00195A8B" w:rsidRPr="00195A8B" w:rsidRDefault="00195A8B" w:rsidP="00195A8B">
            <w:pPr>
              <w:adjustRightInd w:val="0"/>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03E6DF43"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Total</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4B0FB86C"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175</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3522F215"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78.1</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18ADEA38"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49</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62FF30F8"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21.9</w:t>
            </w:r>
          </w:p>
        </w:tc>
      </w:tr>
      <w:tr w:rsidR="00195A8B" w:rsidRPr="00195A8B" w14:paraId="4F3316E9" w14:textId="77777777" w:rsidTr="00CA33B8">
        <w:tc>
          <w:tcPr>
            <w:tcW w:w="555" w:type="pct"/>
            <w:vMerge w:val="restart"/>
            <w:tcBorders>
              <w:top w:val="single" w:sz="4" w:space="0" w:color="auto"/>
              <w:left w:val="single" w:sz="4" w:space="0" w:color="auto"/>
              <w:right w:val="single" w:sz="4" w:space="0" w:color="auto"/>
            </w:tcBorders>
            <w:hideMark/>
          </w:tcPr>
          <w:p w14:paraId="5EDBACF8"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PWD</w:t>
            </w:r>
          </w:p>
        </w:tc>
        <w:tc>
          <w:tcPr>
            <w:tcW w:w="1674" w:type="pct"/>
            <w:tcBorders>
              <w:top w:val="single" w:sz="4" w:space="0" w:color="auto"/>
              <w:left w:val="single" w:sz="4" w:space="0" w:color="auto"/>
              <w:bottom w:val="single" w:sz="4" w:space="0" w:color="auto"/>
              <w:right w:val="single" w:sz="4" w:space="0" w:color="auto"/>
            </w:tcBorders>
            <w:hideMark/>
          </w:tcPr>
          <w:p w14:paraId="2C879B82"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Purchased land/house</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696595E7"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0</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7934AA49"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0.0</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7475BDE2"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5</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6402819C"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100.0</w:t>
            </w:r>
          </w:p>
        </w:tc>
      </w:tr>
      <w:tr w:rsidR="00195A8B" w:rsidRPr="00195A8B" w14:paraId="0805F824" w14:textId="77777777" w:rsidTr="00CA33B8">
        <w:tc>
          <w:tcPr>
            <w:tcW w:w="555" w:type="pct"/>
            <w:vMerge/>
            <w:tcBorders>
              <w:left w:val="single" w:sz="4" w:space="0" w:color="auto"/>
              <w:right w:val="single" w:sz="4" w:space="0" w:color="auto"/>
            </w:tcBorders>
          </w:tcPr>
          <w:p w14:paraId="7602CF4B" w14:textId="77777777" w:rsidR="00195A8B" w:rsidRPr="00195A8B" w:rsidRDefault="00195A8B" w:rsidP="00195A8B">
            <w:pPr>
              <w:adjustRightInd w:val="0"/>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14:paraId="64D76A9A"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 xml:space="preserve">Purchased transport facility </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3721879D"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0</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1C5C5A91"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0.0</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1E0B3FEC"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0</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30A01302"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0.0</w:t>
            </w:r>
          </w:p>
        </w:tc>
      </w:tr>
      <w:tr w:rsidR="00195A8B" w:rsidRPr="00195A8B" w14:paraId="069BD94C" w14:textId="77777777" w:rsidTr="00CA33B8">
        <w:tc>
          <w:tcPr>
            <w:tcW w:w="555" w:type="pct"/>
            <w:vMerge/>
            <w:tcBorders>
              <w:left w:val="single" w:sz="4" w:space="0" w:color="auto"/>
              <w:right w:val="single" w:sz="4" w:space="0" w:color="auto"/>
            </w:tcBorders>
          </w:tcPr>
          <w:p w14:paraId="680D2A55" w14:textId="77777777" w:rsidR="00195A8B" w:rsidRPr="00195A8B" w:rsidRDefault="00195A8B" w:rsidP="00195A8B">
            <w:pPr>
              <w:adjustRightInd w:val="0"/>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14:paraId="5C1DF3FE"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Paid School Fees</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04262D72"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0</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47AA1D8B"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0.0</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643C4100"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10</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76967F3A"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100.0</w:t>
            </w:r>
          </w:p>
        </w:tc>
      </w:tr>
      <w:tr w:rsidR="00195A8B" w:rsidRPr="00195A8B" w14:paraId="6F7DF374" w14:textId="77777777" w:rsidTr="00CA33B8">
        <w:tc>
          <w:tcPr>
            <w:tcW w:w="555" w:type="pct"/>
            <w:vMerge/>
            <w:tcBorders>
              <w:left w:val="single" w:sz="4" w:space="0" w:color="auto"/>
              <w:right w:val="single" w:sz="4" w:space="0" w:color="auto"/>
            </w:tcBorders>
          </w:tcPr>
          <w:p w14:paraId="23EBEA97" w14:textId="77777777" w:rsidR="00195A8B" w:rsidRPr="00195A8B" w:rsidRDefault="00195A8B" w:rsidP="00195A8B">
            <w:pPr>
              <w:adjustRightInd w:val="0"/>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14:paraId="2C935C41"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Paid Medical Expenses</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2C46E256"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0</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3665C3FA"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0.0</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791C1347"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7</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451C733E"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100.0</w:t>
            </w:r>
          </w:p>
        </w:tc>
      </w:tr>
      <w:tr w:rsidR="00195A8B" w:rsidRPr="00195A8B" w14:paraId="29CFA88B" w14:textId="77777777" w:rsidTr="00CA33B8">
        <w:tc>
          <w:tcPr>
            <w:tcW w:w="555" w:type="pct"/>
            <w:vMerge/>
            <w:tcBorders>
              <w:left w:val="single" w:sz="4" w:space="0" w:color="auto"/>
              <w:right w:val="single" w:sz="4" w:space="0" w:color="auto"/>
            </w:tcBorders>
          </w:tcPr>
          <w:p w14:paraId="4DF1927D" w14:textId="77777777" w:rsidR="00195A8B" w:rsidRPr="00195A8B" w:rsidRDefault="00195A8B" w:rsidP="00195A8B">
            <w:pPr>
              <w:adjustRightInd w:val="0"/>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14:paraId="478DAE3C"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Purchased Household Facilities</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2162120F"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0</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4A5B9042"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0.0</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35BA0068"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5</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3BAE53BF"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100.0</w:t>
            </w:r>
          </w:p>
        </w:tc>
      </w:tr>
      <w:tr w:rsidR="00195A8B" w:rsidRPr="00195A8B" w14:paraId="508282D5" w14:textId="77777777" w:rsidTr="00CA33B8">
        <w:tc>
          <w:tcPr>
            <w:tcW w:w="555" w:type="pct"/>
            <w:vMerge/>
            <w:tcBorders>
              <w:left w:val="single" w:sz="4" w:space="0" w:color="auto"/>
              <w:right w:val="single" w:sz="4" w:space="0" w:color="auto"/>
            </w:tcBorders>
          </w:tcPr>
          <w:p w14:paraId="1E81B464" w14:textId="77777777" w:rsidR="00195A8B" w:rsidRPr="00195A8B" w:rsidRDefault="00195A8B" w:rsidP="00195A8B">
            <w:pPr>
              <w:adjustRightInd w:val="0"/>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14:paraId="70F21646"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Changed from Informal to Formal</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124D733E"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1</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404AD615"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100.</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1203C530"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0</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35B088F2"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0.0</w:t>
            </w:r>
          </w:p>
        </w:tc>
      </w:tr>
      <w:tr w:rsidR="00195A8B" w:rsidRPr="00195A8B" w14:paraId="16085D3D" w14:textId="77777777" w:rsidTr="00CA33B8">
        <w:tc>
          <w:tcPr>
            <w:tcW w:w="555" w:type="pct"/>
            <w:vMerge/>
            <w:tcBorders>
              <w:left w:val="single" w:sz="4" w:space="0" w:color="auto"/>
              <w:right w:val="single" w:sz="4" w:space="0" w:color="auto"/>
            </w:tcBorders>
          </w:tcPr>
          <w:p w14:paraId="39E1F3D4" w14:textId="77777777" w:rsidR="00195A8B" w:rsidRPr="00195A8B" w:rsidRDefault="00195A8B" w:rsidP="00195A8B">
            <w:pPr>
              <w:adjustRightInd w:val="0"/>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14:paraId="2C53ECAD"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Expanded my Business</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2AAB6877"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1</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0CD358E0"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10.0</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23055355"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9</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1E5AA212"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90.0</w:t>
            </w:r>
          </w:p>
        </w:tc>
      </w:tr>
      <w:tr w:rsidR="00195A8B" w:rsidRPr="00195A8B" w14:paraId="344019BF" w14:textId="77777777" w:rsidTr="00CA33B8">
        <w:tc>
          <w:tcPr>
            <w:tcW w:w="555" w:type="pct"/>
            <w:vMerge/>
            <w:tcBorders>
              <w:left w:val="single" w:sz="4" w:space="0" w:color="auto"/>
              <w:right w:val="single" w:sz="4" w:space="0" w:color="auto"/>
            </w:tcBorders>
          </w:tcPr>
          <w:p w14:paraId="59EDB8B0" w14:textId="77777777" w:rsidR="00195A8B" w:rsidRPr="00195A8B" w:rsidRDefault="00195A8B" w:rsidP="00195A8B">
            <w:pPr>
              <w:adjustRightInd w:val="0"/>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0FD31560"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House repair</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2FE7CAC2"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0</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6A5A47DF"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0.0</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24841639"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0</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7A5544DF"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0.0</w:t>
            </w:r>
          </w:p>
        </w:tc>
      </w:tr>
      <w:tr w:rsidR="00195A8B" w:rsidRPr="00195A8B" w14:paraId="6605E6D7" w14:textId="77777777" w:rsidTr="00CA33B8">
        <w:tc>
          <w:tcPr>
            <w:tcW w:w="555" w:type="pct"/>
            <w:vMerge/>
            <w:tcBorders>
              <w:left w:val="single" w:sz="4" w:space="0" w:color="auto"/>
              <w:bottom w:val="single" w:sz="4" w:space="0" w:color="auto"/>
              <w:right w:val="single" w:sz="4" w:space="0" w:color="auto"/>
            </w:tcBorders>
          </w:tcPr>
          <w:p w14:paraId="1A287C3F" w14:textId="77777777" w:rsidR="00195A8B" w:rsidRPr="00195A8B" w:rsidRDefault="00195A8B" w:rsidP="00195A8B">
            <w:pPr>
              <w:adjustRightInd w:val="0"/>
              <w:rPr>
                <w:rFonts w:ascii="Times New Roman" w:hAnsi="Times New Roman" w:cs="Times New Roman"/>
                <w:sz w:val="24"/>
                <w:szCs w:val="24"/>
              </w:rPr>
            </w:pPr>
          </w:p>
        </w:tc>
        <w:tc>
          <w:tcPr>
            <w:tcW w:w="1674" w:type="pct"/>
            <w:tcBorders>
              <w:top w:val="single" w:sz="4" w:space="0" w:color="auto"/>
              <w:left w:val="single" w:sz="4" w:space="0" w:color="auto"/>
              <w:bottom w:val="single" w:sz="4" w:space="0" w:color="auto"/>
              <w:right w:val="single" w:sz="4" w:space="0" w:color="auto"/>
            </w:tcBorders>
          </w:tcPr>
          <w:p w14:paraId="1E3337C8"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Total</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2DEFC4A8"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2</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62582211"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5.3</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6A1FD97D"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36</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62E77F27" w14:textId="77777777" w:rsidR="00195A8B" w:rsidRPr="00195A8B" w:rsidRDefault="00195A8B" w:rsidP="00195A8B">
            <w:pPr>
              <w:adjustRightInd w:val="0"/>
              <w:rPr>
                <w:rFonts w:ascii="Times New Roman" w:hAnsi="Times New Roman" w:cs="Times New Roman"/>
                <w:sz w:val="24"/>
                <w:szCs w:val="24"/>
              </w:rPr>
            </w:pPr>
            <w:r w:rsidRPr="00195A8B">
              <w:rPr>
                <w:rFonts w:ascii="Times New Roman" w:hAnsi="Times New Roman" w:cs="Times New Roman"/>
                <w:sz w:val="24"/>
                <w:szCs w:val="24"/>
              </w:rPr>
              <w:t>94.7</w:t>
            </w:r>
          </w:p>
        </w:tc>
      </w:tr>
    </w:tbl>
    <w:p w14:paraId="0B75A09F" w14:textId="77777777" w:rsidR="00195A8B" w:rsidRPr="00195A8B" w:rsidRDefault="00195A8B" w:rsidP="00195A8B">
      <w:pPr>
        <w:spacing w:after="160" w:line="259" w:lineRule="auto"/>
        <w:jc w:val="both"/>
        <w:rPr>
          <w:rFonts w:ascii="Times New Roman" w:eastAsia="Calibri" w:hAnsi="Times New Roman" w:cs="Times New Roman"/>
          <w:kern w:val="2"/>
          <w:sz w:val="24"/>
          <w:szCs w:val="24"/>
          <w:lang w:eastAsia="en-US"/>
        </w:rPr>
      </w:pPr>
      <w:r w:rsidRPr="00195A8B">
        <w:rPr>
          <w:rFonts w:ascii="Times New Roman" w:eastAsia="Calibri" w:hAnsi="Times New Roman" w:cs="Times New Roman"/>
          <w:b/>
          <w:bCs/>
          <w:kern w:val="2"/>
          <w:sz w:val="24"/>
          <w:szCs w:val="24"/>
          <w:lang w:eastAsia="en-US"/>
        </w:rPr>
        <w:t>Source</w:t>
      </w:r>
      <w:r w:rsidRPr="00195A8B">
        <w:rPr>
          <w:rFonts w:ascii="Times New Roman" w:eastAsia="Calibri" w:hAnsi="Times New Roman" w:cs="Times New Roman"/>
          <w:kern w:val="2"/>
          <w:sz w:val="24"/>
          <w:szCs w:val="24"/>
          <w:lang w:eastAsia="en-US"/>
        </w:rPr>
        <w:t>: Survey field data, 2023/2024</w:t>
      </w:r>
    </w:p>
    <w:p w14:paraId="1006691B" w14:textId="77777777" w:rsidR="00FC4881" w:rsidRPr="005E3855" w:rsidRDefault="00C73B31" w:rsidP="00497311">
      <w:pPr>
        <w:pStyle w:val="Heading1"/>
        <w:spacing w:before="0" w:line="480" w:lineRule="auto"/>
        <w:jc w:val="both"/>
        <w:rPr>
          <w:rFonts w:ascii="Times New Roman" w:hAnsi="Times New Roman" w:cs="Times New Roman"/>
          <w:color w:val="auto"/>
          <w:sz w:val="24"/>
          <w:szCs w:val="24"/>
          <w:lang w:val="en-GB"/>
        </w:rPr>
      </w:pPr>
      <w:r w:rsidRPr="005E3855">
        <w:rPr>
          <w:rFonts w:ascii="Times New Roman" w:hAnsi="Times New Roman" w:cs="Times New Roman"/>
          <w:color w:val="auto"/>
          <w:sz w:val="24"/>
          <w:szCs w:val="24"/>
          <w:lang w:val="en-GB"/>
        </w:rPr>
        <w:t>4. Conclusion</w:t>
      </w:r>
    </w:p>
    <w:p w14:paraId="0D3E8757" w14:textId="29B1B51D" w:rsidR="00E270F6" w:rsidRPr="00E270F6" w:rsidRDefault="005E3855" w:rsidP="00831781">
      <w:pPr>
        <w:spacing w:line="360" w:lineRule="auto"/>
        <w:jc w:val="both"/>
        <w:rPr>
          <w:rFonts w:ascii="Times New Roman" w:hAnsi="Times New Roman" w:cs="Times New Roman"/>
          <w:sz w:val="24"/>
          <w:szCs w:val="24"/>
          <w:lang w:val="en-GB"/>
        </w:rPr>
      </w:pPr>
      <w:r w:rsidRPr="005E3855">
        <w:rPr>
          <w:rFonts w:ascii="Times New Roman" w:hAnsi="Times New Roman" w:cs="Times New Roman"/>
          <w:sz w:val="24"/>
          <w:szCs w:val="24"/>
          <w:lang w:val="en-GB"/>
        </w:rPr>
        <w:t xml:space="preserve">This study aimed to evaluate the economic performance of enterprises established through Economic Empowerment Schemes (EES) in Tanzania, using evidence from the Mara and Arusha regions, by examining socioeconomic characteristics, profitability, viability, business expansion, employment generation, and revenue growth among LGA loan beneficiaries. </w:t>
      </w:r>
      <w:r w:rsidR="001D53E9" w:rsidRPr="001D53E9">
        <w:rPr>
          <w:rFonts w:ascii="Times New Roman" w:hAnsi="Times New Roman" w:cs="Times New Roman"/>
          <w:sz w:val="24"/>
          <w:szCs w:val="24"/>
          <w:lang w:val="en-GB"/>
        </w:rPr>
        <w:t xml:space="preserve">Descriptive analysis shows Mara has larger household (6) and farm sizes (21 acres) than Arusha (5 members, 7 acres), reflecting regional land and agricultural patterns. Female and youth entrepreneurs </w:t>
      </w:r>
      <w:r w:rsidR="001D53E9" w:rsidRPr="001D53E9">
        <w:rPr>
          <w:rFonts w:ascii="Times New Roman" w:hAnsi="Times New Roman" w:cs="Times New Roman"/>
          <w:sz w:val="24"/>
          <w:szCs w:val="24"/>
          <w:lang w:val="en-GB"/>
        </w:rPr>
        <w:lastRenderedPageBreak/>
        <w:t>dominate in both regions, aligning with EES outreach and national youth enterprise trends. Educational attainment is higher in Arusha, while Mara shows lower levels. Petty business is common across regions, with Mara showing stronger crop and livestock participation, while Arusha’s women and youth focus on petty trade and livestock due to land constraints. Special needs groups in Mara display greater enterprise diversity, indicating progress in inclusive participation.</w:t>
      </w:r>
      <w:r w:rsidR="001D53E9">
        <w:rPr>
          <w:rFonts w:ascii="Times New Roman" w:hAnsi="Times New Roman" w:cs="Times New Roman"/>
          <w:sz w:val="24"/>
          <w:szCs w:val="24"/>
          <w:lang w:val="en-GB"/>
        </w:rPr>
        <w:t xml:space="preserve"> Economic analysis indicates that e</w:t>
      </w:r>
      <w:r w:rsidR="001D53E9" w:rsidRPr="001D53E9">
        <w:rPr>
          <w:rFonts w:ascii="Times New Roman" w:hAnsi="Times New Roman" w:cs="Times New Roman"/>
          <w:sz w:val="24"/>
          <w:szCs w:val="24"/>
          <w:lang w:val="en-GB"/>
        </w:rPr>
        <w:t>nterprises in Arusha exhibited higher operational costs across sectors</w:t>
      </w:r>
      <w:r w:rsidR="001D53E9">
        <w:rPr>
          <w:rFonts w:ascii="Times New Roman" w:hAnsi="Times New Roman" w:cs="Times New Roman"/>
          <w:sz w:val="24"/>
          <w:szCs w:val="24"/>
          <w:lang w:val="en-GB"/>
        </w:rPr>
        <w:t xml:space="preserve"> hence low profitability</w:t>
      </w:r>
      <w:r w:rsidR="001D53E9" w:rsidRPr="001D53E9">
        <w:rPr>
          <w:rFonts w:ascii="Times New Roman" w:hAnsi="Times New Roman" w:cs="Times New Roman"/>
          <w:sz w:val="24"/>
          <w:szCs w:val="24"/>
          <w:lang w:val="en-GB"/>
        </w:rPr>
        <w:t>, especially in livestock and retail, reflecting urban market demands and input prices, while Mara maintained lower costs, enabling gradual growth. Revenue analysis showed higher total and mean revenues in Arusha’s livestock, retail, and construction sectors, whereas Mara’s highest revenues were in crop production and transport, leveraging rural land and market needs. Profitability analysis revealed high ROIs in Mara’s crop and transport enterprises and strong performance in Arusha’s construction and retail sectors, despite transport challenges in Arusha due to high costs. Viability measured by BCR confirmed most enterprises remained economically viable under EES, with Mara’s agriculture and transport sectors showing particularly high viability, supporting targeted policy refinement for sustainable local economic development.</w:t>
      </w:r>
      <w:r w:rsidR="001D53E9">
        <w:rPr>
          <w:rFonts w:ascii="Times New Roman" w:hAnsi="Times New Roman" w:cs="Times New Roman"/>
          <w:sz w:val="24"/>
          <w:szCs w:val="24"/>
          <w:lang w:val="en-GB"/>
        </w:rPr>
        <w:t xml:space="preserve"> Additionally, </w:t>
      </w:r>
      <w:r w:rsidR="001D53E9" w:rsidRPr="001D53E9">
        <w:rPr>
          <w:rFonts w:ascii="Times New Roman" w:hAnsi="Times New Roman" w:cs="Times New Roman"/>
          <w:sz w:val="24"/>
          <w:szCs w:val="24"/>
          <w:lang w:val="en-GB"/>
        </w:rPr>
        <w:t>Loans under EES led to increased female and permanent employment in Arusha and higher temporary employment in Mara, with wages rising in both regions, indicating gender-inclusive income growth. Business capital and customer bases expanded post-loan, especially in Arusha, while Mara showed greater capital growth, though perceived goal achievement declined, highlighting the need for post-loan support. Post-loan, women and youth in Arusha reported higher rates of business formalization and asset acquisition, while Mara beneficiaries, including PWDs, achieved notable gains in assets, reflecting inclusive livelihood improvements shaped by regional contexts.</w:t>
      </w:r>
    </w:p>
    <w:p w14:paraId="2830B840" w14:textId="4C6C0C47" w:rsidR="006C04E5" w:rsidRPr="006C04E5" w:rsidRDefault="005E3855" w:rsidP="006C04E5">
      <w:pPr>
        <w:autoSpaceDE w:val="0"/>
        <w:autoSpaceDN w:val="0"/>
        <w:adjustRightInd w:val="0"/>
        <w:spacing w:after="0" w:line="360" w:lineRule="auto"/>
        <w:jc w:val="both"/>
        <w:rPr>
          <w:rFonts w:ascii="Times New Roman" w:hAnsi="Times New Roman" w:cs="Times New Roman"/>
          <w:b/>
          <w:bCs/>
          <w:sz w:val="24"/>
          <w:szCs w:val="24"/>
          <w:lang w:val="en-GB"/>
        </w:rPr>
      </w:pPr>
      <w:r w:rsidRPr="006C04E5">
        <w:rPr>
          <w:rFonts w:ascii="Times New Roman" w:hAnsi="Times New Roman" w:cs="Times New Roman"/>
          <w:b/>
          <w:bCs/>
          <w:sz w:val="24"/>
          <w:szCs w:val="24"/>
          <w:lang w:val="en-GB"/>
        </w:rPr>
        <w:t>6</w:t>
      </w:r>
      <w:r w:rsidR="006C04E5" w:rsidRPr="006C04E5">
        <w:rPr>
          <w:rFonts w:ascii="Times New Roman" w:hAnsi="Times New Roman" w:cs="Times New Roman"/>
          <w:b/>
          <w:bCs/>
          <w:sz w:val="24"/>
          <w:szCs w:val="24"/>
          <w:lang w:val="en-GB"/>
        </w:rPr>
        <w:t xml:space="preserve">. </w:t>
      </w:r>
      <w:r w:rsidR="006C04E5" w:rsidRPr="006C04E5">
        <w:rPr>
          <w:rFonts w:ascii="Times New Roman" w:eastAsia="Times New Roman" w:hAnsi="Times New Roman" w:cs="Times New Roman"/>
          <w:b/>
          <w:bCs/>
          <w:sz w:val="24"/>
          <w:szCs w:val="24"/>
          <w:lang w:eastAsia="zh-CN"/>
        </w:rPr>
        <w:t>Policy Recommendations</w:t>
      </w:r>
    </w:p>
    <w:p w14:paraId="19C21388" w14:textId="77777777" w:rsidR="006C04E5" w:rsidRDefault="006C04E5" w:rsidP="006C04E5">
      <w:pPr>
        <w:pStyle w:val="NormalWeb"/>
        <w:spacing w:before="0" w:beforeAutospacing="0" w:after="0" w:afterAutospacing="0" w:line="360" w:lineRule="auto"/>
      </w:pPr>
      <w:r>
        <w:t>Based on the findings, the following actions are recommended to enhance the effectiveness of Economic Empowerment Schemes (EES) in Tanzania:</w:t>
      </w:r>
    </w:p>
    <w:p w14:paraId="4573FD9B" w14:textId="77777777" w:rsidR="006C04E5" w:rsidRDefault="006C04E5" w:rsidP="006C04E5">
      <w:pPr>
        <w:pStyle w:val="NormalWeb"/>
        <w:numPr>
          <w:ilvl w:val="0"/>
          <w:numId w:val="42"/>
        </w:numPr>
        <w:spacing w:before="0" w:beforeAutospacing="0" w:after="0" w:afterAutospacing="0" w:line="360" w:lineRule="auto"/>
        <w:jc w:val="both"/>
      </w:pPr>
      <w:r>
        <w:rPr>
          <w:rStyle w:val="Strong"/>
        </w:rPr>
        <w:t>Tailored Loan Products:</w:t>
      </w:r>
      <w:r>
        <w:t xml:space="preserve"> Adjust loan sizes to regional realities, with larger, flexible loans and financial training in Arusha and accessible, right-sized loans for </w:t>
      </w:r>
      <w:proofErr w:type="spellStart"/>
      <w:r>
        <w:t>agro</w:t>
      </w:r>
      <w:proofErr w:type="spellEnd"/>
      <w:r>
        <w:t>-enterprises in Mara.</w:t>
      </w:r>
    </w:p>
    <w:p w14:paraId="0DD4FBCD" w14:textId="77777777" w:rsidR="006C04E5" w:rsidRDefault="006C04E5" w:rsidP="006C04E5">
      <w:pPr>
        <w:pStyle w:val="NormalWeb"/>
        <w:numPr>
          <w:ilvl w:val="0"/>
          <w:numId w:val="42"/>
        </w:numPr>
        <w:spacing w:before="0" w:beforeAutospacing="0" w:line="360" w:lineRule="auto"/>
        <w:jc w:val="both"/>
      </w:pPr>
      <w:r>
        <w:rPr>
          <w:rStyle w:val="Strong"/>
        </w:rPr>
        <w:t>Inclusive Financing for PWDs:</w:t>
      </w:r>
      <w:r>
        <w:t xml:space="preserve"> Develop targeted lending and mentorship programs to improve credit access for Persons with Disabilities.</w:t>
      </w:r>
    </w:p>
    <w:p w14:paraId="3ECCAECE" w14:textId="77777777" w:rsidR="006C04E5" w:rsidRDefault="006C04E5" w:rsidP="006C04E5">
      <w:pPr>
        <w:pStyle w:val="NormalWeb"/>
        <w:numPr>
          <w:ilvl w:val="0"/>
          <w:numId w:val="42"/>
        </w:numPr>
        <w:spacing w:before="0" w:beforeAutospacing="0" w:line="360" w:lineRule="auto"/>
        <w:jc w:val="both"/>
      </w:pPr>
      <w:r>
        <w:rPr>
          <w:rStyle w:val="Strong"/>
        </w:rPr>
        <w:lastRenderedPageBreak/>
        <w:t>Market Access and Value Chains:</w:t>
      </w:r>
      <w:r>
        <w:t xml:space="preserve"> Strengthen agricultural value chains in Mara and improve market linkages in Arusha to enhance enterprise profitability.</w:t>
      </w:r>
    </w:p>
    <w:p w14:paraId="4D5AEBAD" w14:textId="77777777" w:rsidR="006C04E5" w:rsidRDefault="006C04E5" w:rsidP="006C04E5">
      <w:pPr>
        <w:pStyle w:val="NormalWeb"/>
        <w:numPr>
          <w:ilvl w:val="0"/>
          <w:numId w:val="42"/>
        </w:numPr>
        <w:spacing w:before="0" w:beforeAutospacing="0" w:line="360" w:lineRule="auto"/>
        <w:jc w:val="both"/>
      </w:pPr>
      <w:r>
        <w:rPr>
          <w:rStyle w:val="Strong"/>
        </w:rPr>
        <w:t>Capacity Building:</w:t>
      </w:r>
      <w:r>
        <w:t xml:space="preserve"> Integrate entrepreneurship and financial literacy training within EES to support sustainable enterprise growth post-loan.</w:t>
      </w:r>
    </w:p>
    <w:p w14:paraId="341039B2" w14:textId="77777777" w:rsidR="006C04E5" w:rsidRDefault="006C04E5" w:rsidP="006C04E5">
      <w:pPr>
        <w:pStyle w:val="NormalWeb"/>
        <w:numPr>
          <w:ilvl w:val="0"/>
          <w:numId w:val="42"/>
        </w:numPr>
        <w:spacing w:before="0" w:beforeAutospacing="0" w:line="360" w:lineRule="auto"/>
        <w:jc w:val="both"/>
      </w:pPr>
      <w:r>
        <w:rPr>
          <w:rStyle w:val="Strong"/>
        </w:rPr>
        <w:t>Support Formalization:</w:t>
      </w:r>
      <w:r>
        <w:t xml:space="preserve"> Simplify registration and provide incentives to encourage microenterprises to formalize, particularly in Arusha.</w:t>
      </w:r>
    </w:p>
    <w:p w14:paraId="6D822014" w14:textId="77777777" w:rsidR="006C04E5" w:rsidRDefault="006C04E5" w:rsidP="006C04E5">
      <w:pPr>
        <w:pStyle w:val="NormalWeb"/>
        <w:numPr>
          <w:ilvl w:val="0"/>
          <w:numId w:val="42"/>
        </w:numPr>
        <w:spacing w:before="0" w:beforeAutospacing="0" w:line="360" w:lineRule="auto"/>
        <w:jc w:val="both"/>
      </w:pPr>
      <w:r>
        <w:rPr>
          <w:rStyle w:val="Strong"/>
        </w:rPr>
        <w:t>Sectoral Focus:</w:t>
      </w:r>
      <w:r>
        <w:t xml:space="preserve"> Prioritize support for high-return sectors such as crop production in Mara and livestock, retail, and construction in Arusha.</w:t>
      </w:r>
    </w:p>
    <w:p w14:paraId="7BB1503C" w14:textId="333987D1" w:rsidR="006C04E5" w:rsidRPr="006C04E5" w:rsidRDefault="006C04E5" w:rsidP="006C04E5">
      <w:pPr>
        <w:pStyle w:val="NormalWeb"/>
        <w:numPr>
          <w:ilvl w:val="0"/>
          <w:numId w:val="42"/>
        </w:numPr>
        <w:spacing w:before="0" w:beforeAutospacing="0" w:line="360" w:lineRule="auto"/>
        <w:jc w:val="both"/>
      </w:pPr>
      <w:r>
        <w:rPr>
          <w:rStyle w:val="Strong"/>
        </w:rPr>
        <w:t>Monitoring and Evaluation:</w:t>
      </w:r>
      <w:r>
        <w:t xml:space="preserve"> Establish robust systems to track EES impacts on employment and livelihoods for data-driven policy refinement.</w:t>
      </w:r>
    </w:p>
    <w:p w14:paraId="5C601AE3" w14:textId="7182FC45" w:rsidR="006C04E5" w:rsidRPr="00517EFC" w:rsidRDefault="006C04E5" w:rsidP="00517EFC">
      <w:pPr>
        <w:pStyle w:val="ListParagraph"/>
        <w:numPr>
          <w:ilvl w:val="0"/>
          <w:numId w:val="43"/>
        </w:numPr>
        <w:adjustRightInd w:val="0"/>
        <w:spacing w:after="0" w:line="360" w:lineRule="auto"/>
        <w:ind w:left="360"/>
        <w:contextualSpacing w:val="0"/>
        <w:jc w:val="both"/>
        <w:outlineLvl w:val="2"/>
        <w:rPr>
          <w:rFonts w:ascii="Times New Roman" w:eastAsia="Times New Roman" w:hAnsi="Times New Roman" w:cs="Times New Roman"/>
          <w:b/>
          <w:bCs/>
          <w:sz w:val="27"/>
          <w:szCs w:val="27"/>
          <w:lang w:eastAsia="zh-CN"/>
        </w:rPr>
      </w:pPr>
      <w:r w:rsidRPr="00517EFC">
        <w:rPr>
          <w:rFonts w:ascii="Times New Roman" w:eastAsia="Times New Roman" w:hAnsi="Times New Roman" w:cs="Times New Roman"/>
          <w:b/>
          <w:bCs/>
          <w:sz w:val="27"/>
          <w:szCs w:val="27"/>
          <w:lang w:eastAsia="zh-CN"/>
        </w:rPr>
        <w:t>Areas for Further Research</w:t>
      </w:r>
    </w:p>
    <w:p w14:paraId="0D73BA01" w14:textId="77777777" w:rsidR="00517EFC" w:rsidRDefault="00517EFC" w:rsidP="00517EFC">
      <w:pPr>
        <w:pStyle w:val="NormalWeb"/>
        <w:spacing w:before="0" w:beforeAutospacing="0" w:after="0" w:afterAutospacing="0" w:line="360" w:lineRule="auto"/>
        <w:jc w:val="both"/>
      </w:pPr>
      <w:r>
        <w:t>Further research is recommended to:</w:t>
      </w:r>
    </w:p>
    <w:p w14:paraId="2BB363AC" w14:textId="77777777" w:rsidR="00517EFC" w:rsidRDefault="00517EFC" w:rsidP="00517EFC">
      <w:pPr>
        <w:pStyle w:val="NormalWeb"/>
        <w:numPr>
          <w:ilvl w:val="0"/>
          <w:numId w:val="44"/>
        </w:numPr>
        <w:spacing w:before="0" w:beforeAutospacing="0" w:after="0" w:afterAutospacing="0" w:line="360" w:lineRule="auto"/>
        <w:jc w:val="both"/>
      </w:pPr>
      <w:r>
        <w:rPr>
          <w:rStyle w:val="Strong"/>
        </w:rPr>
        <w:t>Assess Long-Term Impacts:</w:t>
      </w:r>
      <w:r>
        <w:t xml:space="preserve"> Track EES-supported enterprises over time to evaluate sustainability in profitability and employment.</w:t>
      </w:r>
    </w:p>
    <w:p w14:paraId="1C0396E0" w14:textId="77777777" w:rsidR="00517EFC" w:rsidRDefault="00517EFC" w:rsidP="00517EFC">
      <w:pPr>
        <w:pStyle w:val="NormalWeb"/>
        <w:numPr>
          <w:ilvl w:val="0"/>
          <w:numId w:val="44"/>
        </w:numPr>
        <w:spacing w:before="0" w:beforeAutospacing="0" w:after="0" w:afterAutospacing="0" w:line="360" w:lineRule="auto"/>
        <w:jc w:val="both"/>
      </w:pPr>
      <w:r>
        <w:rPr>
          <w:rStyle w:val="Strong"/>
        </w:rPr>
        <w:t>Gender Analysis:</w:t>
      </w:r>
      <w:r>
        <w:t xml:space="preserve"> Examine how EES affects women’s agency and household dynamics in rural and urban settings.</w:t>
      </w:r>
    </w:p>
    <w:p w14:paraId="50BFDD99" w14:textId="77777777" w:rsidR="00517EFC" w:rsidRDefault="00517EFC" w:rsidP="00517EFC">
      <w:pPr>
        <w:pStyle w:val="NormalWeb"/>
        <w:numPr>
          <w:ilvl w:val="0"/>
          <w:numId w:val="44"/>
        </w:numPr>
        <w:spacing w:before="0" w:beforeAutospacing="0" w:after="0" w:afterAutospacing="0" w:line="360" w:lineRule="auto"/>
        <w:jc w:val="both"/>
      </w:pPr>
      <w:r>
        <w:rPr>
          <w:rStyle w:val="Strong"/>
        </w:rPr>
        <w:t>PWD Inclusion:</w:t>
      </w:r>
      <w:r>
        <w:t xml:space="preserve"> Identify structural and cultural barriers limiting PWD participation in EES.</w:t>
      </w:r>
    </w:p>
    <w:p w14:paraId="6BA528B2" w14:textId="77777777" w:rsidR="00517EFC" w:rsidRDefault="00517EFC" w:rsidP="00517EFC">
      <w:pPr>
        <w:pStyle w:val="NormalWeb"/>
        <w:numPr>
          <w:ilvl w:val="0"/>
          <w:numId w:val="44"/>
        </w:numPr>
        <w:spacing w:before="0" w:beforeAutospacing="0" w:after="0" w:afterAutospacing="0" w:line="360" w:lineRule="auto"/>
        <w:jc w:val="both"/>
      </w:pPr>
      <w:r>
        <w:rPr>
          <w:rStyle w:val="Strong"/>
        </w:rPr>
        <w:t>Sectoral Dynamics:</w:t>
      </w:r>
      <w:r>
        <w:t xml:space="preserve"> Analyze value chains in key sectors to pinpoint productivity constraints and high-return interventions.</w:t>
      </w:r>
    </w:p>
    <w:p w14:paraId="3A172701" w14:textId="77777777" w:rsidR="00517EFC" w:rsidRDefault="00517EFC" w:rsidP="00517EFC">
      <w:pPr>
        <w:pStyle w:val="NormalWeb"/>
        <w:numPr>
          <w:ilvl w:val="0"/>
          <w:numId w:val="44"/>
        </w:numPr>
        <w:spacing w:before="0" w:beforeAutospacing="0" w:after="0" w:afterAutospacing="0" w:line="360" w:lineRule="auto"/>
        <w:jc w:val="both"/>
      </w:pPr>
      <w:r>
        <w:rPr>
          <w:rStyle w:val="Strong"/>
        </w:rPr>
        <w:t>Market Infrastructure:</w:t>
      </w:r>
      <w:r>
        <w:t xml:space="preserve"> Study the role of infrastructure and digital platforms in enhancing market access for EES beneficiaries.</w:t>
      </w:r>
    </w:p>
    <w:p w14:paraId="25403266" w14:textId="77777777" w:rsidR="00517EFC" w:rsidRDefault="00517EFC" w:rsidP="00517EFC">
      <w:pPr>
        <w:pStyle w:val="NormalWeb"/>
        <w:numPr>
          <w:ilvl w:val="0"/>
          <w:numId w:val="44"/>
        </w:numPr>
        <w:spacing w:before="0" w:beforeAutospacing="0" w:after="0" w:afterAutospacing="0" w:line="360" w:lineRule="auto"/>
        <w:jc w:val="both"/>
      </w:pPr>
      <w:r>
        <w:rPr>
          <w:rStyle w:val="Strong"/>
        </w:rPr>
        <w:t>Formalization Pathways:</w:t>
      </w:r>
      <w:r>
        <w:t xml:space="preserve"> Investigate factors influencing the shift from informal to formal businesses under EES.</w:t>
      </w:r>
    </w:p>
    <w:p w14:paraId="2ADA2F26" w14:textId="77777777" w:rsidR="00517EFC" w:rsidRDefault="00517EFC" w:rsidP="00517EFC">
      <w:pPr>
        <w:pStyle w:val="NormalWeb"/>
        <w:numPr>
          <w:ilvl w:val="0"/>
          <w:numId w:val="44"/>
        </w:numPr>
        <w:spacing w:before="0" w:beforeAutospacing="0" w:after="0" w:afterAutospacing="0" w:line="360" w:lineRule="auto"/>
        <w:jc w:val="both"/>
      </w:pPr>
      <w:r w:rsidRPr="005D19F9">
        <w:rPr>
          <w:rStyle w:val="Strong"/>
        </w:rPr>
        <w:t>Resilience to Shocks:</w:t>
      </w:r>
      <w:r w:rsidRPr="005D19F9">
        <w:t xml:space="preserve"> Explore how EES enterprises respond to climate and market</w:t>
      </w:r>
      <w:r>
        <w:t xml:space="preserve"> disruptions.</w:t>
      </w:r>
    </w:p>
    <w:p w14:paraId="3AC6DD81" w14:textId="0DB85035" w:rsidR="00414B8F" w:rsidRPr="00517EFC" w:rsidRDefault="00517EFC" w:rsidP="005D19F9">
      <w:pPr>
        <w:pStyle w:val="NormalWeb"/>
        <w:numPr>
          <w:ilvl w:val="0"/>
          <w:numId w:val="44"/>
        </w:numPr>
        <w:spacing w:before="0" w:beforeAutospacing="0" w:after="240" w:afterAutospacing="0" w:line="360" w:lineRule="auto"/>
        <w:jc w:val="both"/>
      </w:pPr>
      <w:r>
        <w:rPr>
          <w:rStyle w:val="Strong"/>
        </w:rPr>
        <w:t>Youth Entrepreneurship:</w:t>
      </w:r>
      <w:r>
        <w:t xml:space="preserve"> Analyze challenges and success factors for youth entrepreneurs to improve tailored support under EES.</w:t>
      </w:r>
    </w:p>
    <w:p w14:paraId="68514165" w14:textId="22F93540" w:rsidR="005D19F9" w:rsidRPr="005D19F9" w:rsidRDefault="005D19F9" w:rsidP="00761561">
      <w:pPr>
        <w:pStyle w:val="Heading1"/>
        <w:spacing w:before="0" w:line="480" w:lineRule="auto"/>
        <w:jc w:val="both"/>
        <w:rPr>
          <w:rFonts w:ascii="Times New Roman" w:hAnsi="Times New Roman" w:cs="Times New Roman"/>
          <w:color w:val="auto"/>
          <w:sz w:val="24"/>
          <w:szCs w:val="24"/>
        </w:rPr>
      </w:pPr>
      <w:r w:rsidRPr="005D19F9">
        <w:rPr>
          <w:rFonts w:ascii="Times New Roman" w:hAnsi="Times New Roman" w:cs="Times New Roman"/>
          <w:color w:val="auto"/>
          <w:sz w:val="24"/>
          <w:szCs w:val="24"/>
        </w:rPr>
        <w:lastRenderedPageBreak/>
        <w:t xml:space="preserve">Disclaimer (Artificial Intelligence) </w:t>
      </w:r>
    </w:p>
    <w:p w14:paraId="6A658CF7" w14:textId="77777777" w:rsidR="005D19F9" w:rsidRPr="005D19F9" w:rsidRDefault="005D19F9" w:rsidP="00761561">
      <w:pPr>
        <w:pStyle w:val="Heading1"/>
        <w:spacing w:before="0" w:line="480" w:lineRule="auto"/>
        <w:jc w:val="both"/>
        <w:rPr>
          <w:rFonts w:ascii="Times New Roman" w:hAnsi="Times New Roman" w:cs="Times New Roman"/>
          <w:b w:val="0"/>
          <w:bCs w:val="0"/>
          <w:color w:val="auto"/>
          <w:sz w:val="24"/>
          <w:szCs w:val="24"/>
        </w:rPr>
      </w:pPr>
      <w:r w:rsidRPr="005D19F9">
        <w:rPr>
          <w:rFonts w:ascii="Times New Roman" w:hAnsi="Times New Roman" w:cs="Times New Roman"/>
          <w:b w:val="0"/>
          <w:bCs w:val="0"/>
          <w:color w:val="auto"/>
          <w:sz w:val="24"/>
          <w:szCs w:val="24"/>
        </w:rPr>
        <w:t xml:space="preserve">We declare that no generative Artificial Intelligence and text to text image generators have been made during writing and editing of manuscripts. </w:t>
      </w:r>
    </w:p>
    <w:p w14:paraId="5339B9ED" w14:textId="77777777" w:rsidR="009E6C82" w:rsidRPr="00931B05" w:rsidRDefault="000509D2" w:rsidP="000509D2">
      <w:pPr>
        <w:pStyle w:val="Heading1"/>
        <w:spacing w:before="0" w:line="480" w:lineRule="auto"/>
        <w:jc w:val="both"/>
        <w:rPr>
          <w:rFonts w:ascii="Times New Roman" w:hAnsi="Times New Roman" w:cs="Times New Roman"/>
          <w:color w:val="auto"/>
          <w:sz w:val="24"/>
          <w:szCs w:val="24"/>
        </w:rPr>
      </w:pPr>
      <w:r w:rsidRPr="00931B05">
        <w:rPr>
          <w:rFonts w:ascii="Times New Roman" w:hAnsi="Times New Roman" w:cs="Times New Roman"/>
          <w:color w:val="auto"/>
          <w:sz w:val="24"/>
          <w:szCs w:val="24"/>
        </w:rPr>
        <w:t>References</w:t>
      </w:r>
    </w:p>
    <w:p w14:paraId="689E88BF" w14:textId="77777777" w:rsidR="009E6C82" w:rsidRPr="00931B05" w:rsidRDefault="009E6C82"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lang w:val="it-IT"/>
        </w:rPr>
        <w:t xml:space="preserve">Cena, H., &amp; Calder, P. C. (2020). </w:t>
      </w:r>
      <w:r w:rsidRPr="00931B05">
        <w:rPr>
          <w:rFonts w:ascii="Times New Roman" w:hAnsi="Times New Roman" w:cs="Times New Roman"/>
          <w:sz w:val="24"/>
          <w:szCs w:val="24"/>
        </w:rPr>
        <w:t xml:space="preserve">Defining a healthy diet: evidence for the role of contemporary dietary patterns in health and disease. </w:t>
      </w:r>
      <w:proofErr w:type="gramStart"/>
      <w:r w:rsidRPr="00931B05">
        <w:rPr>
          <w:rFonts w:ascii="Times New Roman" w:hAnsi="Times New Roman" w:cs="Times New Roman"/>
          <w:sz w:val="24"/>
          <w:szCs w:val="24"/>
        </w:rPr>
        <w:t>Nutrients ,</w:t>
      </w:r>
      <w:proofErr w:type="gramEnd"/>
      <w:r w:rsidRPr="00931B05">
        <w:rPr>
          <w:rFonts w:ascii="Times New Roman" w:hAnsi="Times New Roman" w:cs="Times New Roman"/>
          <w:sz w:val="24"/>
          <w:szCs w:val="24"/>
        </w:rPr>
        <w:t xml:space="preserve"> 12 (2), 334.</w:t>
      </w:r>
    </w:p>
    <w:p w14:paraId="24F0E473" w14:textId="77777777" w:rsidR="009E6C82" w:rsidRPr="00931B05" w:rsidRDefault="009E6C82"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Correa-Matos, N., Rodríguez, M. C., &amp; Rodríguez-Pérez, R. (2020). Development and Application of Interactive, Culturally Specific Strategies for the Consumption of High-fiber Foods in Puerto Rican Adolescents. Ecology of Food and Nutrition, 59(6), 639-655.</w:t>
      </w:r>
    </w:p>
    <w:p w14:paraId="4878DA2E" w14:textId="77777777" w:rsidR="009E6C82" w:rsidRPr="00931B05" w:rsidRDefault="009E6C82"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 xml:space="preserve">Fletcher, E. A., McNaughton, S. A., Crawford, D., Cleland, V., Della </w:t>
      </w:r>
      <w:proofErr w:type="spellStart"/>
      <w:r w:rsidRPr="00931B05">
        <w:rPr>
          <w:rFonts w:ascii="Times New Roman" w:hAnsi="Times New Roman" w:cs="Times New Roman"/>
          <w:sz w:val="24"/>
          <w:szCs w:val="24"/>
        </w:rPr>
        <w:t>Gatta</w:t>
      </w:r>
      <w:proofErr w:type="spellEnd"/>
      <w:r w:rsidRPr="00931B05">
        <w:rPr>
          <w:rFonts w:ascii="Times New Roman" w:hAnsi="Times New Roman" w:cs="Times New Roman"/>
          <w:sz w:val="24"/>
          <w:szCs w:val="24"/>
        </w:rPr>
        <w:t xml:space="preserve">, J., </w:t>
      </w:r>
      <w:proofErr w:type="spellStart"/>
      <w:r w:rsidRPr="00931B05">
        <w:rPr>
          <w:rFonts w:ascii="Times New Roman" w:hAnsi="Times New Roman" w:cs="Times New Roman"/>
          <w:sz w:val="24"/>
          <w:szCs w:val="24"/>
        </w:rPr>
        <w:t>Hatt</w:t>
      </w:r>
      <w:proofErr w:type="spellEnd"/>
      <w:r w:rsidRPr="00931B05">
        <w:rPr>
          <w:rFonts w:ascii="Times New Roman" w:hAnsi="Times New Roman" w:cs="Times New Roman"/>
          <w:sz w:val="24"/>
          <w:szCs w:val="24"/>
        </w:rPr>
        <w:t xml:space="preserve">, J., ... &amp; Timperio, A. (2018). Associations between sedentary </w:t>
      </w:r>
      <w:proofErr w:type="spellStart"/>
      <w:r w:rsidRPr="00931B05">
        <w:rPr>
          <w:rFonts w:ascii="Times New Roman" w:hAnsi="Times New Roman" w:cs="Times New Roman"/>
          <w:sz w:val="24"/>
          <w:szCs w:val="24"/>
        </w:rPr>
        <w:t>behaviours</w:t>
      </w:r>
      <w:proofErr w:type="spellEnd"/>
      <w:r w:rsidRPr="00931B05">
        <w:rPr>
          <w:rFonts w:ascii="Times New Roman" w:hAnsi="Times New Roman" w:cs="Times New Roman"/>
          <w:sz w:val="24"/>
          <w:szCs w:val="24"/>
        </w:rPr>
        <w:t xml:space="preserve"> and dietary intakes among adolescents. </w:t>
      </w:r>
      <w:r w:rsidRPr="00931B05">
        <w:rPr>
          <w:rFonts w:ascii="Times New Roman" w:hAnsi="Times New Roman" w:cs="Times New Roman"/>
          <w:i/>
          <w:iCs/>
          <w:sz w:val="24"/>
          <w:szCs w:val="24"/>
        </w:rPr>
        <w:t>Public health nutrition</w:t>
      </w:r>
      <w:r w:rsidRPr="00931B05">
        <w:rPr>
          <w:rFonts w:ascii="Times New Roman" w:hAnsi="Times New Roman" w:cs="Times New Roman"/>
          <w:sz w:val="24"/>
          <w:szCs w:val="24"/>
        </w:rPr>
        <w:t>, </w:t>
      </w:r>
      <w:r w:rsidRPr="00931B05">
        <w:rPr>
          <w:rFonts w:ascii="Times New Roman" w:hAnsi="Times New Roman" w:cs="Times New Roman"/>
          <w:i/>
          <w:iCs/>
          <w:sz w:val="24"/>
          <w:szCs w:val="24"/>
        </w:rPr>
        <w:t>21</w:t>
      </w:r>
      <w:r w:rsidRPr="00931B05">
        <w:rPr>
          <w:rFonts w:ascii="Times New Roman" w:hAnsi="Times New Roman" w:cs="Times New Roman"/>
          <w:sz w:val="24"/>
          <w:szCs w:val="24"/>
        </w:rPr>
        <w:t>(6), 1115-1122.</w:t>
      </w:r>
    </w:p>
    <w:p w14:paraId="5F56FEB6" w14:textId="77777777" w:rsidR="009E6C82" w:rsidRPr="00931B05" w:rsidRDefault="009E6C82"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lang w:val="fi-FI"/>
        </w:rPr>
        <w:t xml:space="preserve">Anekwe, T. D., &amp; Rahkovsky, L. (2015). </w:t>
      </w:r>
      <w:r w:rsidRPr="00931B05">
        <w:rPr>
          <w:rFonts w:ascii="Times New Roman" w:hAnsi="Times New Roman" w:cs="Times New Roman"/>
          <w:sz w:val="24"/>
          <w:szCs w:val="24"/>
        </w:rPr>
        <w:t xml:space="preserve">The association between food prices and the blood glucose level of US adults with type 2 diabetes. </w:t>
      </w:r>
      <w:proofErr w:type="spellStart"/>
      <w:r w:rsidRPr="00931B05">
        <w:rPr>
          <w:rFonts w:ascii="Times New Roman" w:hAnsi="Times New Roman" w:cs="Times New Roman"/>
          <w:sz w:val="24"/>
          <w:szCs w:val="24"/>
        </w:rPr>
        <w:t>Revista</w:t>
      </w:r>
      <w:proofErr w:type="spellEnd"/>
      <w:r w:rsidRPr="00931B05">
        <w:rPr>
          <w:rFonts w:ascii="Times New Roman" w:hAnsi="Times New Roman" w:cs="Times New Roman"/>
          <w:sz w:val="24"/>
          <w:szCs w:val="24"/>
        </w:rPr>
        <w:t xml:space="preserve"> </w:t>
      </w:r>
      <w:proofErr w:type="spellStart"/>
      <w:r w:rsidRPr="00931B05">
        <w:rPr>
          <w:rFonts w:ascii="Times New Roman" w:hAnsi="Times New Roman" w:cs="Times New Roman"/>
          <w:sz w:val="24"/>
          <w:szCs w:val="24"/>
        </w:rPr>
        <w:t>Panamericana</w:t>
      </w:r>
      <w:proofErr w:type="spellEnd"/>
      <w:r w:rsidRPr="00931B05">
        <w:rPr>
          <w:rFonts w:ascii="Times New Roman" w:hAnsi="Times New Roman" w:cs="Times New Roman"/>
          <w:sz w:val="24"/>
          <w:szCs w:val="24"/>
        </w:rPr>
        <w:t xml:space="preserve"> de </w:t>
      </w:r>
      <w:proofErr w:type="spellStart"/>
      <w:r w:rsidRPr="00931B05">
        <w:rPr>
          <w:rFonts w:ascii="Times New Roman" w:hAnsi="Times New Roman" w:cs="Times New Roman"/>
          <w:sz w:val="24"/>
          <w:szCs w:val="24"/>
        </w:rPr>
        <w:t>Salud</w:t>
      </w:r>
      <w:proofErr w:type="spellEnd"/>
      <w:r w:rsidRPr="00931B05">
        <w:rPr>
          <w:rFonts w:ascii="Times New Roman" w:hAnsi="Times New Roman" w:cs="Times New Roman"/>
          <w:sz w:val="24"/>
          <w:szCs w:val="24"/>
        </w:rPr>
        <w:t xml:space="preserve"> Publica= Pan American Journal of Public Health, 37(6), 444-452.</w:t>
      </w:r>
    </w:p>
    <w:p w14:paraId="27766A74" w14:textId="77777777" w:rsidR="009E6C82" w:rsidRPr="00931B05" w:rsidRDefault="009E6C82"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 xml:space="preserve">Canton, H. (2021). World Food </w:t>
      </w:r>
      <w:proofErr w:type="spellStart"/>
      <w:r w:rsidRPr="00931B05">
        <w:rPr>
          <w:rFonts w:ascii="Times New Roman" w:hAnsi="Times New Roman" w:cs="Times New Roman"/>
          <w:sz w:val="24"/>
          <w:szCs w:val="24"/>
        </w:rPr>
        <w:t>Programme</w:t>
      </w:r>
      <w:proofErr w:type="spellEnd"/>
      <w:r w:rsidRPr="00931B05">
        <w:rPr>
          <w:rFonts w:ascii="Times New Roman" w:hAnsi="Times New Roman" w:cs="Times New Roman"/>
          <w:sz w:val="24"/>
          <w:szCs w:val="24"/>
        </w:rPr>
        <w:t>—WFP. In The Europa Directory of International Organizations 2021 (pp. 292-296). Routledge.</w:t>
      </w:r>
    </w:p>
    <w:p w14:paraId="04DEB1EC" w14:textId="77777777" w:rsidR="009E6C82" w:rsidRPr="00931B05" w:rsidRDefault="009E6C82"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 xml:space="preserve">World Food </w:t>
      </w:r>
      <w:proofErr w:type="spellStart"/>
      <w:r w:rsidRPr="00931B05">
        <w:rPr>
          <w:rFonts w:ascii="Times New Roman" w:hAnsi="Times New Roman" w:cs="Times New Roman"/>
          <w:sz w:val="24"/>
          <w:szCs w:val="24"/>
        </w:rPr>
        <w:t>Programme</w:t>
      </w:r>
      <w:proofErr w:type="spellEnd"/>
      <w:r w:rsidRPr="00931B05">
        <w:rPr>
          <w:rFonts w:ascii="Times New Roman" w:hAnsi="Times New Roman" w:cs="Times New Roman"/>
          <w:sz w:val="24"/>
          <w:szCs w:val="24"/>
        </w:rPr>
        <w:t xml:space="preserve"> (WFP). (2019). Cost and Affordability of a Healthy Diet in Tanzania. Retrieved from </w:t>
      </w:r>
      <w:hyperlink r:id="rId9" w:history="1">
        <w:r w:rsidRPr="00931B05">
          <w:rPr>
            <w:rStyle w:val="Hyperlink"/>
            <w:rFonts w:ascii="Times New Roman" w:hAnsi="Times New Roman" w:cs="Times New Roman"/>
            <w:sz w:val="24"/>
            <w:szCs w:val="24"/>
          </w:rPr>
          <w:t>https://www.wfp.org/publications/cost-and-affordability-healthy-diet-tanzania</w:t>
        </w:r>
      </w:hyperlink>
      <w:r w:rsidRPr="00931B05">
        <w:rPr>
          <w:rFonts w:ascii="Times New Roman" w:hAnsi="Times New Roman" w:cs="Times New Roman"/>
          <w:sz w:val="24"/>
          <w:szCs w:val="24"/>
        </w:rPr>
        <w:t>.</w:t>
      </w:r>
    </w:p>
    <w:p w14:paraId="6E5C4CAD" w14:textId="77777777" w:rsidR="009E6C82" w:rsidRPr="00931B05" w:rsidRDefault="009E6C82"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 xml:space="preserve">World Health Organization (WHO). (2020). Food Security and Nutrition in the African Region: Current Status and Future Perspectives. Retrieved from </w:t>
      </w:r>
      <w:hyperlink r:id="rId10" w:history="1">
        <w:r w:rsidRPr="00931B05">
          <w:rPr>
            <w:rStyle w:val="Hyperlink"/>
            <w:rFonts w:ascii="Times New Roman" w:hAnsi="Times New Roman" w:cs="Times New Roman"/>
            <w:sz w:val="24"/>
            <w:szCs w:val="24"/>
          </w:rPr>
          <w:t>https://www.who.int/publications/i/item/9789290234430</w:t>
        </w:r>
      </w:hyperlink>
      <w:r w:rsidRPr="00931B05">
        <w:rPr>
          <w:rFonts w:ascii="Times New Roman" w:hAnsi="Times New Roman" w:cs="Times New Roman"/>
          <w:sz w:val="24"/>
          <w:szCs w:val="24"/>
        </w:rPr>
        <w:t>.</w:t>
      </w:r>
    </w:p>
    <w:p w14:paraId="65F66D8D" w14:textId="77777777" w:rsidR="009E6C82" w:rsidRPr="00931B05" w:rsidRDefault="009E6C82"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 xml:space="preserve">World Health Organization. (2022). The </w:t>
      </w:r>
      <w:proofErr w:type="spellStart"/>
      <w:r w:rsidRPr="00931B05">
        <w:rPr>
          <w:rFonts w:ascii="Times New Roman" w:hAnsi="Times New Roman" w:cs="Times New Roman"/>
          <w:sz w:val="24"/>
          <w:szCs w:val="24"/>
        </w:rPr>
        <w:t>zASxxstate</w:t>
      </w:r>
      <w:proofErr w:type="spellEnd"/>
      <w:r w:rsidRPr="00931B05">
        <w:rPr>
          <w:rFonts w:ascii="Times New Roman" w:hAnsi="Times New Roman" w:cs="Times New Roman"/>
          <w:sz w:val="24"/>
          <w:szCs w:val="24"/>
        </w:rPr>
        <w:t xml:space="preserve"> of food security and nutrition in the world 2022: Repurposing food and agricultural policies to make healthy diets more affordable (Vol. 2022). Food &amp; Agriculture Org.</w:t>
      </w:r>
    </w:p>
    <w:p w14:paraId="39D598DC" w14:textId="77777777" w:rsidR="009E6C82" w:rsidRPr="00931B05" w:rsidRDefault="009E6C82"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Food and Agriculture Organization of the United Nations (FAO). (2022). The impact of the Ukraine crisis on global food security. Retrieved from FAO website.</w:t>
      </w:r>
    </w:p>
    <w:p w14:paraId="5255F335" w14:textId="77777777" w:rsidR="009E6C82" w:rsidRPr="00931B05" w:rsidRDefault="009E6C82"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lastRenderedPageBreak/>
        <w:t xml:space="preserve">Food and Agriculture Organization of the United Nations (FAO). (2021). The State of Food Security and Nutrition in the World 2021. Retrieved from </w:t>
      </w:r>
      <w:hyperlink r:id="rId11" w:history="1">
        <w:r w:rsidRPr="00931B05">
          <w:rPr>
            <w:rStyle w:val="Hyperlink"/>
            <w:rFonts w:ascii="Times New Roman" w:hAnsi="Times New Roman" w:cs="Times New Roman"/>
            <w:sz w:val="24"/>
            <w:szCs w:val="24"/>
          </w:rPr>
          <w:t>https://www.fao.org/publications/sofi/2021/en/</w:t>
        </w:r>
      </w:hyperlink>
      <w:r w:rsidRPr="00931B05">
        <w:rPr>
          <w:rFonts w:ascii="Times New Roman" w:hAnsi="Times New Roman" w:cs="Times New Roman"/>
          <w:sz w:val="24"/>
          <w:szCs w:val="24"/>
        </w:rPr>
        <w:t>.</w:t>
      </w:r>
    </w:p>
    <w:p w14:paraId="46601670" w14:textId="77777777" w:rsidR="009E6C82" w:rsidRPr="00931B05" w:rsidRDefault="009E6C82"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proofErr w:type="spellStart"/>
      <w:r w:rsidRPr="00931B05">
        <w:rPr>
          <w:rFonts w:ascii="Times New Roman" w:hAnsi="Times New Roman" w:cs="Times New Roman"/>
          <w:sz w:val="24"/>
          <w:szCs w:val="24"/>
        </w:rPr>
        <w:t>Marjot</w:t>
      </w:r>
      <w:proofErr w:type="spellEnd"/>
      <w:r w:rsidRPr="00931B05">
        <w:rPr>
          <w:rFonts w:ascii="Times New Roman" w:hAnsi="Times New Roman" w:cs="Times New Roman"/>
          <w:sz w:val="24"/>
          <w:szCs w:val="24"/>
        </w:rPr>
        <w:t xml:space="preserve">, T., Webb, GJ, </w:t>
      </w:r>
      <w:proofErr w:type="spellStart"/>
      <w:r w:rsidRPr="00931B05">
        <w:rPr>
          <w:rFonts w:ascii="Times New Roman" w:hAnsi="Times New Roman" w:cs="Times New Roman"/>
          <w:sz w:val="24"/>
          <w:szCs w:val="24"/>
        </w:rPr>
        <w:t>Barritt</w:t>
      </w:r>
      <w:proofErr w:type="spellEnd"/>
      <w:r w:rsidRPr="00931B05">
        <w:rPr>
          <w:rFonts w:ascii="Times New Roman" w:hAnsi="Times New Roman" w:cs="Times New Roman"/>
          <w:sz w:val="24"/>
          <w:szCs w:val="24"/>
        </w:rPr>
        <w:t xml:space="preserve"> IV, AS, Moon, AM, </w:t>
      </w:r>
      <w:proofErr w:type="spellStart"/>
      <w:r w:rsidRPr="00931B05">
        <w:rPr>
          <w:rFonts w:ascii="Times New Roman" w:hAnsi="Times New Roman" w:cs="Times New Roman"/>
          <w:sz w:val="24"/>
          <w:szCs w:val="24"/>
        </w:rPr>
        <w:t>Stamataki</w:t>
      </w:r>
      <w:proofErr w:type="spellEnd"/>
      <w:r w:rsidRPr="00931B05">
        <w:rPr>
          <w:rFonts w:ascii="Times New Roman" w:hAnsi="Times New Roman" w:cs="Times New Roman"/>
          <w:sz w:val="24"/>
          <w:szCs w:val="24"/>
        </w:rPr>
        <w:t xml:space="preserve">, Z., Wong, VW, &amp; Barnes, E. (2021). COVID-19 and liver disease: mechanistic and clinical perspectives. Nature reviews Gastroenterology &amp; </w:t>
      </w:r>
      <w:proofErr w:type="gramStart"/>
      <w:r w:rsidRPr="00931B05">
        <w:rPr>
          <w:rFonts w:ascii="Times New Roman" w:hAnsi="Times New Roman" w:cs="Times New Roman"/>
          <w:sz w:val="24"/>
          <w:szCs w:val="24"/>
        </w:rPr>
        <w:t>hepatology ,</w:t>
      </w:r>
      <w:proofErr w:type="gramEnd"/>
      <w:r w:rsidRPr="00931B05">
        <w:rPr>
          <w:rFonts w:ascii="Times New Roman" w:hAnsi="Times New Roman" w:cs="Times New Roman"/>
          <w:sz w:val="24"/>
          <w:szCs w:val="24"/>
        </w:rPr>
        <w:t xml:space="preserve"> 18 (5), 348-364.</w:t>
      </w:r>
    </w:p>
    <w:p w14:paraId="6F49ACE3" w14:textId="77777777" w:rsidR="009E6C82" w:rsidRPr="00931B05" w:rsidRDefault="009E6C82"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proofErr w:type="spellStart"/>
      <w:r w:rsidRPr="00931B05">
        <w:rPr>
          <w:rFonts w:ascii="Times New Roman" w:hAnsi="Times New Roman" w:cs="Times New Roman"/>
          <w:sz w:val="24"/>
          <w:szCs w:val="24"/>
        </w:rPr>
        <w:t>Ignowski</w:t>
      </w:r>
      <w:proofErr w:type="spellEnd"/>
      <w:r w:rsidRPr="00931B05">
        <w:rPr>
          <w:rFonts w:ascii="Times New Roman" w:hAnsi="Times New Roman" w:cs="Times New Roman"/>
          <w:sz w:val="24"/>
          <w:szCs w:val="24"/>
        </w:rPr>
        <w:t xml:space="preserve">, L., Belton, B., Ali, H., &amp; </w:t>
      </w:r>
      <w:proofErr w:type="spellStart"/>
      <w:r w:rsidRPr="00931B05">
        <w:rPr>
          <w:rFonts w:ascii="Times New Roman" w:hAnsi="Times New Roman" w:cs="Times New Roman"/>
          <w:sz w:val="24"/>
          <w:szCs w:val="24"/>
        </w:rPr>
        <w:t>Thilsted</w:t>
      </w:r>
      <w:proofErr w:type="spellEnd"/>
      <w:r w:rsidRPr="00931B05">
        <w:rPr>
          <w:rFonts w:ascii="Times New Roman" w:hAnsi="Times New Roman" w:cs="Times New Roman"/>
          <w:sz w:val="24"/>
          <w:szCs w:val="24"/>
        </w:rPr>
        <w:t>, S. H. (2023). Integrated aquatic and terrestrial food production enhances micronutrient and economic productivity for nutrition-sensitive food systems. Nature Food, 4(10), 866-873.</w:t>
      </w:r>
    </w:p>
    <w:p w14:paraId="787A775F" w14:textId="77777777" w:rsidR="009E6C82" w:rsidRPr="00931B05" w:rsidRDefault="009E6C82"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lang w:val="fi-FI"/>
        </w:rPr>
        <w:t xml:space="preserve">Kibona, C. A., Yuejie, Z., &amp; Tian, ​​L. (2022). </w:t>
      </w:r>
      <w:r w:rsidRPr="00931B05">
        <w:rPr>
          <w:rFonts w:ascii="Times New Roman" w:hAnsi="Times New Roman" w:cs="Times New Roman"/>
          <w:sz w:val="24"/>
          <w:szCs w:val="24"/>
        </w:rPr>
        <w:t xml:space="preserve">Towards developing a beef meat export oriented policy in </w:t>
      </w:r>
      <w:proofErr w:type="gramStart"/>
      <w:r w:rsidRPr="00931B05">
        <w:rPr>
          <w:rFonts w:ascii="Times New Roman" w:hAnsi="Times New Roman" w:cs="Times New Roman"/>
          <w:sz w:val="24"/>
          <w:szCs w:val="24"/>
        </w:rPr>
        <w:t>Tanzania:-</w:t>
      </w:r>
      <w:proofErr w:type="gramEnd"/>
      <w:r w:rsidRPr="00931B05">
        <w:rPr>
          <w:rFonts w:ascii="Times New Roman" w:hAnsi="Times New Roman" w:cs="Times New Roman"/>
          <w:sz w:val="24"/>
          <w:szCs w:val="24"/>
        </w:rPr>
        <w:t xml:space="preserve">Exploring the factors that influence beef meat exports. </w:t>
      </w:r>
      <w:proofErr w:type="spellStart"/>
      <w:r w:rsidRPr="00931B05">
        <w:rPr>
          <w:rFonts w:ascii="Times New Roman" w:hAnsi="Times New Roman" w:cs="Times New Roman"/>
          <w:sz w:val="24"/>
          <w:szCs w:val="24"/>
        </w:rPr>
        <w:t>Plos</w:t>
      </w:r>
      <w:proofErr w:type="spellEnd"/>
      <w:r w:rsidRPr="00931B05">
        <w:rPr>
          <w:rFonts w:ascii="Times New Roman" w:hAnsi="Times New Roman" w:cs="Times New Roman"/>
          <w:sz w:val="24"/>
          <w:szCs w:val="24"/>
        </w:rPr>
        <w:t xml:space="preserve"> </w:t>
      </w:r>
      <w:proofErr w:type="gramStart"/>
      <w:r w:rsidRPr="00931B05">
        <w:rPr>
          <w:rFonts w:ascii="Times New Roman" w:hAnsi="Times New Roman" w:cs="Times New Roman"/>
          <w:sz w:val="24"/>
          <w:szCs w:val="24"/>
        </w:rPr>
        <w:t>one ,</w:t>
      </w:r>
      <w:proofErr w:type="gramEnd"/>
      <w:r w:rsidRPr="00931B05">
        <w:rPr>
          <w:rFonts w:ascii="Times New Roman" w:hAnsi="Times New Roman" w:cs="Times New Roman"/>
          <w:sz w:val="24"/>
          <w:szCs w:val="24"/>
        </w:rPr>
        <w:t xml:space="preserve"> 17 (6), e0270146.</w:t>
      </w:r>
    </w:p>
    <w:p w14:paraId="0D4281E8" w14:textId="77777777" w:rsidR="009E6C82" w:rsidRPr="00931B05" w:rsidRDefault="009E6C82"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proofErr w:type="spellStart"/>
      <w:r w:rsidRPr="00931B05">
        <w:rPr>
          <w:rFonts w:ascii="Times New Roman" w:hAnsi="Times New Roman" w:cs="Times New Roman"/>
          <w:sz w:val="24"/>
          <w:szCs w:val="24"/>
        </w:rPr>
        <w:t>Akonaay</w:t>
      </w:r>
      <w:proofErr w:type="spellEnd"/>
      <w:r w:rsidRPr="00931B05">
        <w:rPr>
          <w:rFonts w:ascii="Times New Roman" w:hAnsi="Times New Roman" w:cs="Times New Roman"/>
          <w:sz w:val="24"/>
          <w:szCs w:val="24"/>
        </w:rPr>
        <w:t>, L.B. (2018) Determinants of livestock products export performance in Tanzania (Doctoral dissertation, The University of Dodoma).</w:t>
      </w:r>
    </w:p>
    <w:p w14:paraId="4B7E67A3" w14:textId="77777777" w:rsidR="009E6C82" w:rsidRPr="00931B05" w:rsidRDefault="009E6C82"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 xml:space="preserve">Food and Agriculture Organization of the United Nations Statistics (FAOSTAT). Regional FAO data groupings, 2023. Retrieved on </w:t>
      </w:r>
      <w:hyperlink r:id="rId12" w:anchor="data/QL" w:history="1">
        <w:r w:rsidRPr="00931B05">
          <w:rPr>
            <w:rStyle w:val="Hyperlink"/>
            <w:rFonts w:ascii="Times New Roman" w:hAnsi="Times New Roman" w:cs="Times New Roman"/>
            <w:sz w:val="24"/>
            <w:szCs w:val="24"/>
          </w:rPr>
          <w:t>http://www.fao.org/faostat/en/#data/QL</w:t>
        </w:r>
      </w:hyperlink>
      <w:r w:rsidRPr="00931B05">
        <w:rPr>
          <w:rFonts w:ascii="Times New Roman" w:hAnsi="Times New Roman" w:cs="Times New Roman"/>
          <w:sz w:val="24"/>
          <w:szCs w:val="24"/>
        </w:rPr>
        <w:t>.</w:t>
      </w:r>
    </w:p>
    <w:p w14:paraId="4B5AC78F" w14:textId="77777777" w:rsidR="009E6C82" w:rsidRPr="00931B05" w:rsidRDefault="009E6C82"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United Nations. (2019). World Population Prospects 2019. Retrieved February 23, 2024.</w:t>
      </w:r>
    </w:p>
    <w:p w14:paraId="74A68FA3" w14:textId="77777777" w:rsidR="009E6C82" w:rsidRPr="00931B05" w:rsidRDefault="009E6C82"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World Bank. (2019). Data: World Bank country and lending groups. Retrieved February 22, 2024.</w:t>
      </w:r>
    </w:p>
    <w:p w14:paraId="34E1667D" w14:textId="77777777" w:rsidR="009E6C82" w:rsidRPr="00931B05" w:rsidRDefault="009E6C82"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Central Intelligence Agency. (2019). The World Factbook: Tanzania. Retrieved February 27, 204.</w:t>
      </w:r>
    </w:p>
    <w:p w14:paraId="46259011" w14:textId="77777777" w:rsidR="009E6C82" w:rsidRPr="00931B05" w:rsidRDefault="009E6C82"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 xml:space="preserve">Tanzania Food and Nutrition Centre, &amp; World Food </w:t>
      </w:r>
      <w:proofErr w:type="spellStart"/>
      <w:r w:rsidRPr="00931B05">
        <w:rPr>
          <w:rFonts w:ascii="Times New Roman" w:hAnsi="Times New Roman" w:cs="Times New Roman"/>
          <w:sz w:val="24"/>
          <w:szCs w:val="24"/>
        </w:rPr>
        <w:t>Programme</w:t>
      </w:r>
      <w:proofErr w:type="spellEnd"/>
      <w:r w:rsidRPr="00931B05">
        <w:rPr>
          <w:rFonts w:ascii="Times New Roman" w:hAnsi="Times New Roman" w:cs="Times New Roman"/>
          <w:sz w:val="24"/>
          <w:szCs w:val="24"/>
        </w:rPr>
        <w:t>. (2019). Fill the Nutrient Gap Tanzania: Findings. Accessed February 28, 2024.</w:t>
      </w:r>
    </w:p>
    <w:p w14:paraId="2A14C108" w14:textId="77777777" w:rsidR="009E6C82" w:rsidRPr="00931B05" w:rsidRDefault="009E6C82"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Smith, L. C., &amp; Haddad, L. (2015). Reducing child undernutrition: past drivers and priorities for the post-MDG era. World Development, 68, 180-204.</w:t>
      </w:r>
    </w:p>
    <w:p w14:paraId="793E161C" w14:textId="77777777" w:rsidR="009E6C82" w:rsidRPr="00931B05" w:rsidRDefault="009E6C82"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 xml:space="preserve">World Bank. (2017). Africa's Pulse, No. 15, April 2017: An Analysis of Issues Shaping Africa’s Economic Future. World Bank. Retrieved from </w:t>
      </w:r>
      <w:hyperlink r:id="rId13" w:history="1">
        <w:r w:rsidRPr="00931B05">
          <w:rPr>
            <w:rStyle w:val="Hyperlink"/>
            <w:rFonts w:ascii="Times New Roman" w:hAnsi="Times New Roman" w:cs="Times New Roman"/>
            <w:sz w:val="24"/>
            <w:szCs w:val="24"/>
          </w:rPr>
          <w:t>https://openknowledge.worldbank.org/handle/10986/26477</w:t>
        </w:r>
      </w:hyperlink>
      <w:r w:rsidRPr="00931B05">
        <w:rPr>
          <w:rFonts w:ascii="Times New Roman" w:hAnsi="Times New Roman" w:cs="Times New Roman"/>
          <w:sz w:val="24"/>
          <w:szCs w:val="24"/>
        </w:rPr>
        <w:t>.</w:t>
      </w:r>
    </w:p>
    <w:p w14:paraId="5DE337F1" w14:textId="77777777" w:rsidR="009E6C82" w:rsidRPr="00931B05" w:rsidRDefault="009E6C82"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World Bank. (2022). "Poverty and Shared Prosperity 2022: Reversals of Fortune." Retrieved from World Bank website.</w:t>
      </w:r>
    </w:p>
    <w:p w14:paraId="70E5F77B" w14:textId="77777777" w:rsidR="009E6C82" w:rsidRPr="00931B05" w:rsidRDefault="009E6C82"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lastRenderedPageBreak/>
        <w:t xml:space="preserve">International </w:t>
      </w:r>
      <w:proofErr w:type="spellStart"/>
      <w:r w:rsidRPr="00931B05">
        <w:rPr>
          <w:rFonts w:ascii="Times New Roman" w:hAnsi="Times New Roman" w:cs="Times New Roman"/>
          <w:sz w:val="24"/>
          <w:szCs w:val="24"/>
        </w:rPr>
        <w:t>Labour</w:t>
      </w:r>
      <w:proofErr w:type="spellEnd"/>
      <w:r w:rsidRPr="00931B05">
        <w:rPr>
          <w:rFonts w:ascii="Times New Roman" w:hAnsi="Times New Roman" w:cs="Times New Roman"/>
          <w:sz w:val="24"/>
          <w:szCs w:val="24"/>
        </w:rPr>
        <w:t xml:space="preserve"> Organization (ILO). (2021). "World Employment and Social Outlook – Trends 2021." Retrieved from ILO website.</w:t>
      </w:r>
    </w:p>
    <w:p w14:paraId="41542F35" w14:textId="77777777" w:rsidR="009E6C82" w:rsidRPr="00931B05" w:rsidRDefault="009E6C82"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FAO. (2020). "Food Price Monitoring and Analysis Bulletin." Retrieved from FAO website.</w:t>
      </w:r>
    </w:p>
    <w:p w14:paraId="55A3D21A" w14:textId="77777777" w:rsidR="009E6C82" w:rsidRPr="00931B05" w:rsidRDefault="009E6C82"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National Bureau of Statistics (NBS) Tanzania. (2022). "Household Budget Survey 2021." Retrieved from NBS website.</w:t>
      </w:r>
    </w:p>
    <w:p w14:paraId="08C02516" w14:textId="77777777" w:rsidR="00AA3D3B" w:rsidRPr="00931B05" w:rsidRDefault="009E6C82"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D’Souza, A., &amp; Jolliffe, D. (2021). Rising Food Prices and Coping Strategies: Household-level Evidence from Afghanistan. World Bank Policy Research Working Paper</w:t>
      </w:r>
      <w:r w:rsidR="00FC7598" w:rsidRPr="00931B05">
        <w:rPr>
          <w:rFonts w:ascii="Times New Roman" w:hAnsi="Times New Roman" w:cs="Times New Roman"/>
          <w:sz w:val="24"/>
          <w:szCs w:val="24"/>
        </w:rPr>
        <w:t>.</w:t>
      </w:r>
    </w:p>
    <w:p w14:paraId="69AA1ACB" w14:textId="7AD7771F" w:rsidR="00D02E79" w:rsidRPr="00931B05" w:rsidRDefault="00D02E79"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 xml:space="preserve">Banerjee, A., </w:t>
      </w:r>
      <w:proofErr w:type="spellStart"/>
      <w:r w:rsidRPr="00931B05">
        <w:rPr>
          <w:rFonts w:ascii="Times New Roman" w:hAnsi="Times New Roman" w:cs="Times New Roman"/>
          <w:sz w:val="24"/>
          <w:szCs w:val="24"/>
        </w:rPr>
        <w:t>Duflo</w:t>
      </w:r>
      <w:proofErr w:type="spellEnd"/>
      <w:r w:rsidRPr="00931B05">
        <w:rPr>
          <w:rFonts w:ascii="Times New Roman" w:hAnsi="Times New Roman" w:cs="Times New Roman"/>
          <w:sz w:val="24"/>
          <w:szCs w:val="24"/>
        </w:rPr>
        <w:t xml:space="preserve">, E., </w:t>
      </w:r>
      <w:proofErr w:type="spellStart"/>
      <w:r w:rsidRPr="00931B05">
        <w:rPr>
          <w:rFonts w:ascii="Times New Roman" w:hAnsi="Times New Roman" w:cs="Times New Roman"/>
          <w:sz w:val="24"/>
          <w:szCs w:val="24"/>
        </w:rPr>
        <w:t>Glennerster</w:t>
      </w:r>
      <w:proofErr w:type="spellEnd"/>
      <w:r w:rsidRPr="00931B05">
        <w:rPr>
          <w:rFonts w:ascii="Times New Roman" w:hAnsi="Times New Roman" w:cs="Times New Roman"/>
          <w:sz w:val="24"/>
          <w:szCs w:val="24"/>
        </w:rPr>
        <w:t xml:space="preserve">, R., &amp; </w:t>
      </w:r>
      <w:proofErr w:type="spellStart"/>
      <w:r w:rsidRPr="00931B05">
        <w:rPr>
          <w:rFonts w:ascii="Times New Roman" w:hAnsi="Times New Roman" w:cs="Times New Roman"/>
          <w:sz w:val="24"/>
          <w:szCs w:val="24"/>
        </w:rPr>
        <w:t>Kinnan</w:t>
      </w:r>
      <w:proofErr w:type="spellEnd"/>
      <w:r w:rsidRPr="00931B05">
        <w:rPr>
          <w:rFonts w:ascii="Times New Roman" w:hAnsi="Times New Roman" w:cs="Times New Roman"/>
          <w:sz w:val="24"/>
          <w:szCs w:val="24"/>
        </w:rPr>
        <w:t>, C. (2015). The miracle of microfinance? Evidence from a randomized evaluation. American Economic Journal: Applied Economics, 7(1), 22-53</w:t>
      </w:r>
    </w:p>
    <w:p w14:paraId="5C7A11E1" w14:textId="452ADB67" w:rsidR="00D02E79" w:rsidRPr="00931B05" w:rsidRDefault="00D02E79"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Bateman, M. (2010). Why Doesn’t Microfinance Work? The Destructive Rise of Local Neoliberalism. London: Zed Books</w:t>
      </w:r>
    </w:p>
    <w:p w14:paraId="520CDA9A" w14:textId="77777777" w:rsidR="00D02E79" w:rsidRPr="00931B05" w:rsidRDefault="00D02E79"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Bateman, M., &amp; Chang, H. J. (2012). Microfinance and the illusion of development: From hubris to nemesis in thirty years. World Economic Review, 1, 13-36.</w:t>
      </w:r>
    </w:p>
    <w:p w14:paraId="522B1512" w14:textId="77777777" w:rsidR="00D02E79" w:rsidRPr="00931B05" w:rsidRDefault="00D02E79" w:rsidP="00931B05">
      <w:pPr>
        <w:autoSpaceDE w:val="0"/>
        <w:autoSpaceDN w:val="0"/>
        <w:adjustRightInd w:val="0"/>
        <w:spacing w:after="0" w:line="360" w:lineRule="auto"/>
        <w:jc w:val="both"/>
        <w:rPr>
          <w:rFonts w:ascii="Times New Roman" w:hAnsi="Times New Roman" w:cs="Times New Roman"/>
          <w:sz w:val="24"/>
          <w:szCs w:val="24"/>
        </w:rPr>
      </w:pPr>
    </w:p>
    <w:p w14:paraId="3AC9C053" w14:textId="3719810E" w:rsidR="00D02E79" w:rsidRPr="00931B05" w:rsidRDefault="00D02E79"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 xml:space="preserve">Beck, T., </w:t>
      </w:r>
      <w:proofErr w:type="spellStart"/>
      <w:r w:rsidRPr="00931B05">
        <w:rPr>
          <w:rFonts w:ascii="Times New Roman" w:hAnsi="Times New Roman" w:cs="Times New Roman"/>
          <w:sz w:val="24"/>
          <w:szCs w:val="24"/>
        </w:rPr>
        <w:t>Demirgüç-Kunt</w:t>
      </w:r>
      <w:proofErr w:type="spellEnd"/>
      <w:r w:rsidRPr="00931B05">
        <w:rPr>
          <w:rFonts w:ascii="Times New Roman" w:hAnsi="Times New Roman" w:cs="Times New Roman"/>
          <w:sz w:val="24"/>
          <w:szCs w:val="24"/>
        </w:rPr>
        <w:t>, A., &amp; Maksimovic, V. (2008). Financing patterns around the world: Are small firms different? Journal of Financial Economics, 89(3), 467-487</w:t>
      </w:r>
    </w:p>
    <w:p w14:paraId="111AD308" w14:textId="1699221D" w:rsidR="00D02E79" w:rsidRPr="00931B05" w:rsidRDefault="00D02E79"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 xml:space="preserve">Cho, Y., &amp; </w:t>
      </w:r>
      <w:proofErr w:type="spellStart"/>
      <w:r w:rsidRPr="00931B05">
        <w:rPr>
          <w:rFonts w:ascii="Times New Roman" w:hAnsi="Times New Roman" w:cs="Times New Roman"/>
          <w:sz w:val="24"/>
          <w:szCs w:val="24"/>
        </w:rPr>
        <w:t>Honorati</w:t>
      </w:r>
      <w:proofErr w:type="spellEnd"/>
      <w:r w:rsidRPr="00931B05">
        <w:rPr>
          <w:rFonts w:ascii="Times New Roman" w:hAnsi="Times New Roman" w:cs="Times New Roman"/>
          <w:sz w:val="24"/>
          <w:szCs w:val="24"/>
        </w:rPr>
        <w:t xml:space="preserve">, M. (2014). Entrepreneurship programs in developing countries: A meta regression analysis. </w:t>
      </w:r>
      <w:proofErr w:type="spellStart"/>
      <w:r w:rsidRPr="00931B05">
        <w:rPr>
          <w:rFonts w:ascii="Times New Roman" w:hAnsi="Times New Roman" w:cs="Times New Roman"/>
          <w:sz w:val="24"/>
          <w:szCs w:val="24"/>
        </w:rPr>
        <w:t>Labour</w:t>
      </w:r>
      <w:proofErr w:type="spellEnd"/>
      <w:r w:rsidRPr="00931B05">
        <w:rPr>
          <w:rFonts w:ascii="Times New Roman" w:hAnsi="Times New Roman" w:cs="Times New Roman"/>
          <w:sz w:val="24"/>
          <w:szCs w:val="24"/>
        </w:rPr>
        <w:t xml:space="preserve"> Economics, 28, 110-130.</w:t>
      </w:r>
    </w:p>
    <w:p w14:paraId="2AB21CCA" w14:textId="06543AF3" w:rsidR="00D02E79" w:rsidRPr="00931B05" w:rsidRDefault="00D02E79"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proofErr w:type="spellStart"/>
      <w:r w:rsidRPr="00931B05">
        <w:rPr>
          <w:rFonts w:ascii="Times New Roman" w:hAnsi="Times New Roman" w:cs="Times New Roman"/>
          <w:sz w:val="24"/>
          <w:szCs w:val="24"/>
        </w:rPr>
        <w:t>Demirgüç-Kunt</w:t>
      </w:r>
      <w:proofErr w:type="spellEnd"/>
      <w:r w:rsidRPr="00931B05">
        <w:rPr>
          <w:rFonts w:ascii="Times New Roman" w:hAnsi="Times New Roman" w:cs="Times New Roman"/>
          <w:sz w:val="24"/>
          <w:szCs w:val="24"/>
        </w:rPr>
        <w:t xml:space="preserve">, A., </w:t>
      </w:r>
      <w:proofErr w:type="spellStart"/>
      <w:r w:rsidRPr="00931B05">
        <w:rPr>
          <w:rFonts w:ascii="Times New Roman" w:hAnsi="Times New Roman" w:cs="Times New Roman"/>
          <w:sz w:val="24"/>
          <w:szCs w:val="24"/>
        </w:rPr>
        <w:t>Klapper</w:t>
      </w:r>
      <w:proofErr w:type="spellEnd"/>
      <w:r w:rsidRPr="00931B05">
        <w:rPr>
          <w:rFonts w:ascii="Times New Roman" w:hAnsi="Times New Roman" w:cs="Times New Roman"/>
          <w:sz w:val="24"/>
          <w:szCs w:val="24"/>
        </w:rPr>
        <w:t>, L., Singer, D., Ansar, S., &amp; Hess, J. (2020). The Global Findex Database 2017: Measuring financial inclusion and the fintech revolution. World Bank</w:t>
      </w:r>
    </w:p>
    <w:p w14:paraId="45F7FCBF" w14:textId="4FC37BF9" w:rsidR="00D02E79" w:rsidRPr="00931B05" w:rsidRDefault="00D02E79"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proofErr w:type="spellStart"/>
      <w:r w:rsidRPr="00931B05">
        <w:rPr>
          <w:rFonts w:ascii="Times New Roman" w:hAnsi="Times New Roman" w:cs="Times New Roman"/>
          <w:sz w:val="24"/>
          <w:szCs w:val="24"/>
        </w:rPr>
        <w:t>Duvendack</w:t>
      </w:r>
      <w:proofErr w:type="spellEnd"/>
      <w:r w:rsidRPr="00931B05">
        <w:rPr>
          <w:rFonts w:ascii="Times New Roman" w:hAnsi="Times New Roman" w:cs="Times New Roman"/>
          <w:sz w:val="24"/>
          <w:szCs w:val="24"/>
        </w:rPr>
        <w:t xml:space="preserve">, M., Palmer-Jones, R., </w:t>
      </w:r>
      <w:proofErr w:type="spellStart"/>
      <w:r w:rsidRPr="00931B05">
        <w:rPr>
          <w:rFonts w:ascii="Times New Roman" w:hAnsi="Times New Roman" w:cs="Times New Roman"/>
          <w:sz w:val="24"/>
          <w:szCs w:val="24"/>
        </w:rPr>
        <w:t>Copestake</w:t>
      </w:r>
      <w:proofErr w:type="spellEnd"/>
      <w:r w:rsidRPr="00931B05">
        <w:rPr>
          <w:rFonts w:ascii="Times New Roman" w:hAnsi="Times New Roman" w:cs="Times New Roman"/>
          <w:sz w:val="24"/>
          <w:szCs w:val="24"/>
        </w:rPr>
        <w:t>, J., Hooper, L., Loke, Y., &amp; Rao, N. (2011). What is the evidence of the impact of microfinance on the well-being of poor people? EPPI-Centre, Social Science Research Unit, Institute of Education, University of London.</w:t>
      </w:r>
    </w:p>
    <w:p w14:paraId="28286767" w14:textId="12751C21" w:rsidR="00D02E79" w:rsidRPr="00931B05" w:rsidRDefault="00D02E79"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IFAD. (2020). Rural Development Report 2020: Fostering Inclusive Rural Transformation. Rome: International Fund for Agricultural Development</w:t>
      </w:r>
    </w:p>
    <w:p w14:paraId="580906E9" w14:textId="14DD3554" w:rsidR="00D02E79" w:rsidRPr="00931B05" w:rsidRDefault="00D02E79"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 xml:space="preserve">ILO. (2017). World Employment and Social Outlook: Sustainable enterprises and jobs: Formal enterprises and decent work. Geneva: International </w:t>
      </w:r>
      <w:proofErr w:type="spellStart"/>
      <w:r w:rsidRPr="00931B05">
        <w:rPr>
          <w:rFonts w:ascii="Times New Roman" w:hAnsi="Times New Roman" w:cs="Times New Roman"/>
          <w:sz w:val="24"/>
          <w:szCs w:val="24"/>
        </w:rPr>
        <w:t>Labour</w:t>
      </w:r>
      <w:proofErr w:type="spellEnd"/>
      <w:r w:rsidRPr="00931B05">
        <w:rPr>
          <w:rFonts w:ascii="Times New Roman" w:hAnsi="Times New Roman" w:cs="Times New Roman"/>
          <w:sz w:val="24"/>
          <w:szCs w:val="24"/>
        </w:rPr>
        <w:t xml:space="preserve"> Organization.</w:t>
      </w:r>
    </w:p>
    <w:p w14:paraId="5873A9EB" w14:textId="0F6BCDC1" w:rsidR="00D02E79" w:rsidRPr="00931B05" w:rsidRDefault="00D02E79"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proofErr w:type="spellStart"/>
      <w:r w:rsidRPr="00931B05">
        <w:rPr>
          <w:rFonts w:ascii="Times New Roman" w:hAnsi="Times New Roman" w:cs="Times New Roman"/>
          <w:sz w:val="24"/>
          <w:szCs w:val="24"/>
        </w:rPr>
        <w:lastRenderedPageBreak/>
        <w:t>Isaga</w:t>
      </w:r>
      <w:proofErr w:type="spellEnd"/>
      <w:r w:rsidRPr="00931B05">
        <w:rPr>
          <w:rFonts w:ascii="Times New Roman" w:hAnsi="Times New Roman" w:cs="Times New Roman"/>
          <w:sz w:val="24"/>
          <w:szCs w:val="24"/>
        </w:rPr>
        <w:t>, N. (2018). Access to microfinance and SMEs performance in Tanzania: The moderating effect of entrepreneurial orientation. Journal of Entrepreneurship in Emerging Economies, 10(3), 449-472</w:t>
      </w:r>
      <w:r w:rsidR="00DA3C16" w:rsidRPr="00931B05">
        <w:rPr>
          <w:rFonts w:ascii="Times New Roman" w:hAnsi="Times New Roman" w:cs="Times New Roman"/>
          <w:sz w:val="24"/>
          <w:szCs w:val="24"/>
        </w:rPr>
        <w:t>.</w:t>
      </w:r>
    </w:p>
    <w:p w14:paraId="100C9499" w14:textId="0975E1BF" w:rsidR="00D02E79" w:rsidRPr="00931B05" w:rsidRDefault="00D02E79"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proofErr w:type="spellStart"/>
      <w:r w:rsidRPr="00931B05">
        <w:rPr>
          <w:rFonts w:ascii="Times New Roman" w:hAnsi="Times New Roman" w:cs="Times New Roman"/>
          <w:sz w:val="24"/>
          <w:szCs w:val="24"/>
        </w:rPr>
        <w:t>Karlan</w:t>
      </w:r>
      <w:proofErr w:type="spellEnd"/>
      <w:r w:rsidRPr="00931B05">
        <w:rPr>
          <w:rFonts w:ascii="Times New Roman" w:hAnsi="Times New Roman" w:cs="Times New Roman"/>
          <w:sz w:val="24"/>
          <w:szCs w:val="24"/>
        </w:rPr>
        <w:t>, D., &amp; Valdivia, M. (2011). Teaching entrepreneurship: Impact of business training on microfinance clients and institutions. Review of Economics and Statistics, 93(2), 510-527.</w:t>
      </w:r>
    </w:p>
    <w:p w14:paraId="0F588A24" w14:textId="22091B53" w:rsidR="00D02E79" w:rsidRPr="00931B05" w:rsidRDefault="00D02E79"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proofErr w:type="spellStart"/>
      <w:r w:rsidRPr="00931B05">
        <w:rPr>
          <w:rFonts w:ascii="Times New Roman" w:hAnsi="Times New Roman" w:cs="Times New Roman"/>
          <w:sz w:val="24"/>
          <w:szCs w:val="24"/>
        </w:rPr>
        <w:t>Khandker</w:t>
      </w:r>
      <w:proofErr w:type="spellEnd"/>
      <w:r w:rsidRPr="00931B05">
        <w:rPr>
          <w:rFonts w:ascii="Times New Roman" w:hAnsi="Times New Roman" w:cs="Times New Roman"/>
          <w:sz w:val="24"/>
          <w:szCs w:val="24"/>
        </w:rPr>
        <w:t>, S. R., &amp; Samad, H. A. (2014). Dynamic effects of microcredit in Bangladesh. World Bank Policy Research Working Paper No. 6821.</w:t>
      </w:r>
    </w:p>
    <w:p w14:paraId="04658053" w14:textId="52FAD1BB" w:rsidR="00D02E79" w:rsidRPr="00931B05" w:rsidRDefault="00D02E79"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proofErr w:type="spellStart"/>
      <w:r w:rsidRPr="00931B05">
        <w:rPr>
          <w:rFonts w:ascii="Times New Roman" w:hAnsi="Times New Roman" w:cs="Times New Roman"/>
          <w:sz w:val="24"/>
          <w:szCs w:val="24"/>
        </w:rPr>
        <w:t>Ledgerwood</w:t>
      </w:r>
      <w:proofErr w:type="spellEnd"/>
      <w:r w:rsidRPr="00931B05">
        <w:rPr>
          <w:rFonts w:ascii="Times New Roman" w:hAnsi="Times New Roman" w:cs="Times New Roman"/>
          <w:sz w:val="24"/>
          <w:szCs w:val="24"/>
        </w:rPr>
        <w:t>, J. (2013). The New Microfinance Handbook: A Financial Market System Perspective. Washington, DC: World Bank.</w:t>
      </w:r>
    </w:p>
    <w:p w14:paraId="138753B2" w14:textId="01C5615E" w:rsidR="00D02E79" w:rsidRPr="00931B05" w:rsidRDefault="00D02E79"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proofErr w:type="spellStart"/>
      <w:r w:rsidRPr="00931B05">
        <w:rPr>
          <w:rFonts w:ascii="Times New Roman" w:hAnsi="Times New Roman" w:cs="Times New Roman"/>
          <w:sz w:val="24"/>
          <w:szCs w:val="24"/>
        </w:rPr>
        <w:t>Mayoux</w:t>
      </w:r>
      <w:proofErr w:type="spellEnd"/>
      <w:r w:rsidRPr="00931B05">
        <w:rPr>
          <w:rFonts w:ascii="Times New Roman" w:hAnsi="Times New Roman" w:cs="Times New Roman"/>
          <w:sz w:val="24"/>
          <w:szCs w:val="24"/>
        </w:rPr>
        <w:t>, L. (2001). Tackling the down side: Social capital, women's empowerment and micro-finance in Cameroon. Development and Change, 32(3), 435-464.</w:t>
      </w:r>
    </w:p>
    <w:p w14:paraId="7C0D3767" w14:textId="3899F4E5" w:rsidR="00D02E79" w:rsidRPr="00931B05" w:rsidRDefault="00D02E79"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proofErr w:type="spellStart"/>
      <w:r w:rsidRPr="00931B05">
        <w:rPr>
          <w:rFonts w:ascii="Times New Roman" w:hAnsi="Times New Roman" w:cs="Times New Roman"/>
          <w:sz w:val="24"/>
          <w:szCs w:val="24"/>
        </w:rPr>
        <w:t>Ngalemwa</w:t>
      </w:r>
      <w:proofErr w:type="spellEnd"/>
      <w:r w:rsidRPr="00931B05">
        <w:rPr>
          <w:rFonts w:ascii="Times New Roman" w:hAnsi="Times New Roman" w:cs="Times New Roman"/>
          <w:sz w:val="24"/>
          <w:szCs w:val="24"/>
        </w:rPr>
        <w:t>, M. (2017). Assessment of the contribution of microfinance institutions in poverty reduction in Tanzania. Business Education Journal, 1(2), 1-19.</w:t>
      </w:r>
    </w:p>
    <w:p w14:paraId="5A730F99" w14:textId="4B391777" w:rsidR="00D02E79" w:rsidRPr="00931B05" w:rsidRDefault="00D02E79"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Scoones, I. (2015). Sustainable livelihoods and rural development. Practical Action Publishing.</w:t>
      </w:r>
    </w:p>
    <w:p w14:paraId="5D8040B9" w14:textId="77D7D410" w:rsidR="00D02E79" w:rsidRPr="00931B05" w:rsidRDefault="00D02E79"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 xml:space="preserve">URT (United Republic of Tanzania). (2000). The Tanzania Development Vision 2025. Dar es Salaam: Planning </w:t>
      </w:r>
      <w:proofErr w:type="spellStart"/>
      <w:r w:rsidRPr="00931B05">
        <w:rPr>
          <w:rFonts w:ascii="Times New Roman" w:hAnsi="Times New Roman" w:cs="Times New Roman"/>
          <w:sz w:val="24"/>
          <w:szCs w:val="24"/>
        </w:rPr>
        <w:t>Commission.URT</w:t>
      </w:r>
      <w:proofErr w:type="spellEnd"/>
      <w:r w:rsidRPr="00931B05">
        <w:rPr>
          <w:rFonts w:ascii="Times New Roman" w:hAnsi="Times New Roman" w:cs="Times New Roman"/>
          <w:sz w:val="24"/>
          <w:szCs w:val="24"/>
        </w:rPr>
        <w:t xml:space="preserve"> (United Republic of Tanzania). (2007). National Economic Empowerment Policy. Dar es Salaam: Government Print</w:t>
      </w:r>
    </w:p>
    <w:p w14:paraId="5C952B39" w14:textId="57696C66" w:rsidR="00D02E79" w:rsidRPr="00931B05" w:rsidRDefault="00D02E79"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URT (United Republic of Tanzania). (2019). Five-Year Development Plan III (2021/22–2025/26). Dar es Salaam: Ministry of Finance and Planning.</w:t>
      </w:r>
    </w:p>
    <w:p w14:paraId="0571C57A" w14:textId="37659990" w:rsidR="00D02E79" w:rsidRPr="00931B05" w:rsidRDefault="00D02E79"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URT (United Republic of Tanzania). (2020). Local Government Financial Reports. Dodoma: Ministry of Finance and Planning</w:t>
      </w:r>
      <w:r w:rsidR="00DA3C16" w:rsidRPr="00931B05">
        <w:rPr>
          <w:rFonts w:ascii="Times New Roman" w:hAnsi="Times New Roman" w:cs="Times New Roman"/>
          <w:sz w:val="24"/>
          <w:szCs w:val="24"/>
        </w:rPr>
        <w:t>.</w:t>
      </w:r>
    </w:p>
    <w:p w14:paraId="4C25FA4B" w14:textId="69C0CF84" w:rsidR="00D02E79" w:rsidRPr="00931B05" w:rsidRDefault="00D02E79"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 xml:space="preserve">Yunus, M., &amp; </w:t>
      </w:r>
      <w:proofErr w:type="spellStart"/>
      <w:r w:rsidRPr="00931B05">
        <w:rPr>
          <w:rFonts w:ascii="Times New Roman" w:hAnsi="Times New Roman" w:cs="Times New Roman"/>
          <w:sz w:val="24"/>
          <w:szCs w:val="24"/>
        </w:rPr>
        <w:t>Moingeon</w:t>
      </w:r>
      <w:proofErr w:type="spellEnd"/>
      <w:r w:rsidRPr="00931B05">
        <w:rPr>
          <w:rFonts w:ascii="Times New Roman" w:hAnsi="Times New Roman" w:cs="Times New Roman"/>
          <w:sz w:val="24"/>
          <w:szCs w:val="24"/>
        </w:rPr>
        <w:t>, B. (2010). Building social business models: Lessons from the Grameen experience. Long Range Planning, 43(2-3), 308-325</w:t>
      </w:r>
    </w:p>
    <w:p w14:paraId="4A425C32" w14:textId="67FFE988" w:rsidR="00D02E79" w:rsidRPr="00931B05" w:rsidRDefault="00D02E79"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Yamane, T. (1967). Statistics: An Introductory Analysis (2nd ed.). New York: Harper and Row.</w:t>
      </w:r>
    </w:p>
    <w:p w14:paraId="44C32F87" w14:textId="75187715" w:rsidR="00DA3C16" w:rsidRPr="00931B05" w:rsidRDefault="00DA3C16"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proofErr w:type="spellStart"/>
      <w:r w:rsidRPr="00931B05">
        <w:rPr>
          <w:rFonts w:ascii="Times New Roman" w:hAnsi="Times New Roman" w:cs="Times New Roman"/>
          <w:sz w:val="24"/>
          <w:szCs w:val="24"/>
        </w:rPr>
        <w:t>Ledgerwood</w:t>
      </w:r>
      <w:proofErr w:type="spellEnd"/>
      <w:r w:rsidRPr="00931B05">
        <w:rPr>
          <w:rFonts w:ascii="Times New Roman" w:hAnsi="Times New Roman" w:cs="Times New Roman"/>
          <w:sz w:val="24"/>
          <w:szCs w:val="24"/>
        </w:rPr>
        <w:t>, J. (2013). The New Microfinance Handbook: A Financial Market System Perspective. Washington, DC: World Bank.</w:t>
      </w:r>
    </w:p>
    <w:p w14:paraId="3C1E4663" w14:textId="0F0337C5" w:rsidR="00DA3C16" w:rsidRPr="00931B05" w:rsidRDefault="00DA3C16" w:rsidP="00931B0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931B05">
        <w:rPr>
          <w:rFonts w:ascii="Times New Roman" w:hAnsi="Times New Roman" w:cs="Times New Roman"/>
          <w:sz w:val="24"/>
          <w:szCs w:val="24"/>
        </w:rPr>
        <w:t>Scoones, I. (2015). Sustainable Livelihoods and Rural Development. Rugby, UK: Practical Action Publishing.</w:t>
      </w:r>
    </w:p>
    <w:sectPr w:rsidR="00DA3C16" w:rsidRPr="00931B05" w:rsidSect="00391E0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FA5C0" w14:textId="77777777" w:rsidR="00387AE5" w:rsidRDefault="00387AE5" w:rsidP="002F7DB1">
      <w:pPr>
        <w:spacing w:after="0" w:line="240" w:lineRule="auto"/>
      </w:pPr>
      <w:r>
        <w:separator/>
      </w:r>
    </w:p>
  </w:endnote>
  <w:endnote w:type="continuationSeparator" w:id="0">
    <w:p w14:paraId="25E39F6D" w14:textId="77777777" w:rsidR="00387AE5" w:rsidRDefault="00387AE5" w:rsidP="002F7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C3762" w14:textId="77777777" w:rsidR="0071276C" w:rsidRDefault="00712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2113041"/>
      <w:docPartObj>
        <w:docPartGallery w:val="Page Numbers (Bottom of Page)"/>
        <w:docPartUnique/>
      </w:docPartObj>
    </w:sdtPr>
    <w:sdtEndPr/>
    <w:sdtContent>
      <w:sdt>
        <w:sdtPr>
          <w:rPr>
            <w:rFonts w:ascii="Times New Roman" w:hAnsi="Times New Roman" w:cs="Times New Roman"/>
            <w:sz w:val="24"/>
            <w:szCs w:val="24"/>
          </w:rPr>
          <w:id w:val="565050523"/>
          <w:docPartObj>
            <w:docPartGallery w:val="Page Numbers (Top of Page)"/>
            <w:docPartUnique/>
          </w:docPartObj>
        </w:sdtPr>
        <w:sdtEndPr/>
        <w:sdtContent>
          <w:p w14:paraId="2C42ABD2" w14:textId="77777777" w:rsidR="004160ED" w:rsidRPr="0028641F" w:rsidRDefault="004160ED">
            <w:pPr>
              <w:pStyle w:val="Footer"/>
              <w:jc w:val="right"/>
              <w:rPr>
                <w:rFonts w:ascii="Times New Roman" w:hAnsi="Times New Roman" w:cs="Times New Roman"/>
                <w:sz w:val="24"/>
                <w:szCs w:val="24"/>
              </w:rPr>
            </w:pPr>
            <w:r w:rsidRPr="0028641F">
              <w:rPr>
                <w:rFonts w:ascii="Times New Roman" w:hAnsi="Times New Roman" w:cs="Times New Roman"/>
                <w:sz w:val="24"/>
                <w:szCs w:val="24"/>
              </w:rPr>
              <w:t xml:space="preserve"> </w:t>
            </w:r>
            <w:r w:rsidR="004D23E2" w:rsidRPr="0028641F">
              <w:rPr>
                <w:rFonts w:ascii="Times New Roman" w:hAnsi="Times New Roman" w:cs="Times New Roman"/>
                <w:sz w:val="24"/>
                <w:szCs w:val="24"/>
              </w:rPr>
              <w:fldChar w:fldCharType="begin"/>
            </w:r>
            <w:r w:rsidRPr="0028641F">
              <w:rPr>
                <w:rFonts w:ascii="Times New Roman" w:hAnsi="Times New Roman" w:cs="Times New Roman"/>
                <w:sz w:val="24"/>
                <w:szCs w:val="24"/>
              </w:rPr>
              <w:instrText xml:space="preserve"> PAGE </w:instrText>
            </w:r>
            <w:r w:rsidR="004D23E2" w:rsidRPr="0028641F">
              <w:rPr>
                <w:rFonts w:ascii="Times New Roman" w:hAnsi="Times New Roman" w:cs="Times New Roman"/>
                <w:sz w:val="24"/>
                <w:szCs w:val="24"/>
              </w:rPr>
              <w:fldChar w:fldCharType="separate"/>
            </w:r>
            <w:r w:rsidR="00711E41">
              <w:rPr>
                <w:rFonts w:ascii="Times New Roman" w:hAnsi="Times New Roman" w:cs="Times New Roman"/>
                <w:noProof/>
                <w:sz w:val="24"/>
                <w:szCs w:val="24"/>
              </w:rPr>
              <w:t>2</w:t>
            </w:r>
            <w:r w:rsidR="004D23E2" w:rsidRPr="0028641F">
              <w:rPr>
                <w:rFonts w:ascii="Times New Roman" w:hAnsi="Times New Roman" w:cs="Times New Roman"/>
                <w:sz w:val="24"/>
                <w:szCs w:val="24"/>
              </w:rPr>
              <w:fldChar w:fldCharType="end"/>
            </w:r>
            <w:r w:rsidRPr="0028641F">
              <w:rPr>
                <w:rFonts w:ascii="Times New Roman" w:hAnsi="Times New Roman" w:cs="Times New Roman"/>
                <w:sz w:val="24"/>
                <w:szCs w:val="24"/>
              </w:rPr>
              <w:t>/</w:t>
            </w:r>
            <w:r w:rsidR="004D23E2" w:rsidRPr="0028641F">
              <w:rPr>
                <w:rFonts w:ascii="Times New Roman" w:hAnsi="Times New Roman" w:cs="Times New Roman"/>
                <w:sz w:val="24"/>
                <w:szCs w:val="24"/>
              </w:rPr>
              <w:fldChar w:fldCharType="begin"/>
            </w:r>
            <w:r w:rsidRPr="0028641F">
              <w:rPr>
                <w:rFonts w:ascii="Times New Roman" w:hAnsi="Times New Roman" w:cs="Times New Roman"/>
                <w:sz w:val="24"/>
                <w:szCs w:val="24"/>
              </w:rPr>
              <w:instrText xml:space="preserve"> NUMPAGES  </w:instrText>
            </w:r>
            <w:r w:rsidR="004D23E2" w:rsidRPr="0028641F">
              <w:rPr>
                <w:rFonts w:ascii="Times New Roman" w:hAnsi="Times New Roman" w:cs="Times New Roman"/>
                <w:sz w:val="24"/>
                <w:szCs w:val="24"/>
              </w:rPr>
              <w:fldChar w:fldCharType="separate"/>
            </w:r>
            <w:r w:rsidR="00711E41">
              <w:rPr>
                <w:rFonts w:ascii="Times New Roman" w:hAnsi="Times New Roman" w:cs="Times New Roman"/>
                <w:noProof/>
                <w:sz w:val="24"/>
                <w:szCs w:val="24"/>
              </w:rPr>
              <w:t>24</w:t>
            </w:r>
            <w:r w:rsidR="004D23E2" w:rsidRPr="0028641F">
              <w:rPr>
                <w:rFonts w:ascii="Times New Roman" w:hAnsi="Times New Roman" w:cs="Times New Roman"/>
                <w:sz w:val="24"/>
                <w:szCs w:val="24"/>
              </w:rPr>
              <w:fldChar w:fldCharType="end"/>
            </w:r>
          </w:p>
        </w:sdtContent>
      </w:sdt>
    </w:sdtContent>
  </w:sdt>
  <w:p w14:paraId="14C658B4" w14:textId="77777777" w:rsidR="004160ED" w:rsidRDefault="004160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C127E" w14:textId="77777777" w:rsidR="0071276C" w:rsidRDefault="00712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CD9A0" w14:textId="77777777" w:rsidR="00387AE5" w:rsidRDefault="00387AE5" w:rsidP="002F7DB1">
      <w:pPr>
        <w:spacing w:after="0" w:line="240" w:lineRule="auto"/>
      </w:pPr>
      <w:r>
        <w:separator/>
      </w:r>
    </w:p>
  </w:footnote>
  <w:footnote w:type="continuationSeparator" w:id="0">
    <w:p w14:paraId="55F53D9F" w14:textId="77777777" w:rsidR="00387AE5" w:rsidRDefault="00387AE5" w:rsidP="002F7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53BB7" w14:textId="58958A7A" w:rsidR="0071276C" w:rsidRDefault="0071276C">
    <w:pPr>
      <w:pStyle w:val="Header"/>
    </w:pPr>
    <w:r>
      <w:rPr>
        <w:noProof/>
      </w:rPr>
      <w:pict w14:anchorId="51E4F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393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798FB" w14:textId="5D2BEFF5" w:rsidR="0071276C" w:rsidRDefault="0071276C">
    <w:pPr>
      <w:pStyle w:val="Header"/>
    </w:pPr>
    <w:r>
      <w:rPr>
        <w:noProof/>
      </w:rPr>
      <w:pict w14:anchorId="3E444C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393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C2399" w14:textId="73EB03AA" w:rsidR="0071276C" w:rsidRDefault="0071276C">
    <w:pPr>
      <w:pStyle w:val="Header"/>
    </w:pPr>
    <w:r>
      <w:rPr>
        <w:noProof/>
      </w:rPr>
      <w:pict w14:anchorId="736E92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393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3297"/>
    <w:multiLevelType w:val="multilevel"/>
    <w:tmpl w:val="F0D24028"/>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745530"/>
    <w:multiLevelType w:val="multilevel"/>
    <w:tmpl w:val="BD62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01956"/>
    <w:multiLevelType w:val="multilevel"/>
    <w:tmpl w:val="524A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94781"/>
    <w:multiLevelType w:val="multilevel"/>
    <w:tmpl w:val="EAE2A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C5123D"/>
    <w:multiLevelType w:val="hybridMultilevel"/>
    <w:tmpl w:val="B802C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224F6"/>
    <w:multiLevelType w:val="multilevel"/>
    <w:tmpl w:val="5058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7E5DF8"/>
    <w:multiLevelType w:val="hybridMultilevel"/>
    <w:tmpl w:val="5BFAE2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A20E22"/>
    <w:multiLevelType w:val="multilevel"/>
    <w:tmpl w:val="AD367B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9A16B3"/>
    <w:multiLevelType w:val="hybridMultilevel"/>
    <w:tmpl w:val="12E057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C92411"/>
    <w:multiLevelType w:val="hybridMultilevel"/>
    <w:tmpl w:val="ACC0E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73CB2"/>
    <w:multiLevelType w:val="hybridMultilevel"/>
    <w:tmpl w:val="8A02E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5F3449"/>
    <w:multiLevelType w:val="multilevel"/>
    <w:tmpl w:val="45D4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3D4702"/>
    <w:multiLevelType w:val="multilevel"/>
    <w:tmpl w:val="B2D6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D038EA"/>
    <w:multiLevelType w:val="multilevel"/>
    <w:tmpl w:val="5C6C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B7598E"/>
    <w:multiLevelType w:val="hybridMultilevel"/>
    <w:tmpl w:val="B0FADE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CE51A0"/>
    <w:multiLevelType w:val="multilevel"/>
    <w:tmpl w:val="D77686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33C80"/>
    <w:multiLevelType w:val="multilevel"/>
    <w:tmpl w:val="6C5C72F4"/>
    <w:lvl w:ilvl="0">
      <w:start w:val="1"/>
      <w:numFmt w:val="decimal"/>
      <w:lvlText w:val="%1."/>
      <w:lvlJc w:val="left"/>
      <w:pPr>
        <w:ind w:left="765" w:hanging="360"/>
      </w:pPr>
    </w:lvl>
    <w:lvl w:ilvl="1">
      <w:start w:val="4"/>
      <w:numFmt w:val="decimal"/>
      <w:isLgl/>
      <w:lvlText w:val="%1.%2"/>
      <w:lvlJc w:val="left"/>
      <w:pPr>
        <w:ind w:left="775" w:hanging="370"/>
      </w:pPr>
    </w:lvl>
    <w:lvl w:ilvl="2">
      <w:start w:val="1"/>
      <w:numFmt w:val="decimal"/>
      <w:isLgl/>
      <w:lvlText w:val="%1.%2.%3"/>
      <w:lvlJc w:val="left"/>
      <w:pPr>
        <w:ind w:left="1125" w:hanging="720"/>
      </w:pPr>
    </w:lvl>
    <w:lvl w:ilvl="3">
      <w:start w:val="1"/>
      <w:numFmt w:val="decimal"/>
      <w:isLgl/>
      <w:lvlText w:val="%1.%2.%3.%4"/>
      <w:lvlJc w:val="left"/>
      <w:pPr>
        <w:ind w:left="1125" w:hanging="720"/>
      </w:pPr>
    </w:lvl>
    <w:lvl w:ilvl="4">
      <w:start w:val="1"/>
      <w:numFmt w:val="decimal"/>
      <w:isLgl/>
      <w:lvlText w:val="%1.%2.%3.%4.%5"/>
      <w:lvlJc w:val="left"/>
      <w:pPr>
        <w:ind w:left="1485" w:hanging="1080"/>
      </w:pPr>
    </w:lvl>
    <w:lvl w:ilvl="5">
      <w:start w:val="1"/>
      <w:numFmt w:val="decimal"/>
      <w:isLgl/>
      <w:lvlText w:val="%1.%2.%3.%4.%5.%6"/>
      <w:lvlJc w:val="left"/>
      <w:pPr>
        <w:ind w:left="1485" w:hanging="1080"/>
      </w:pPr>
    </w:lvl>
    <w:lvl w:ilvl="6">
      <w:start w:val="1"/>
      <w:numFmt w:val="decimal"/>
      <w:isLgl/>
      <w:lvlText w:val="%1.%2.%3.%4.%5.%6.%7"/>
      <w:lvlJc w:val="left"/>
      <w:pPr>
        <w:ind w:left="1845" w:hanging="1440"/>
      </w:pPr>
    </w:lvl>
    <w:lvl w:ilvl="7">
      <w:start w:val="1"/>
      <w:numFmt w:val="decimal"/>
      <w:isLgl/>
      <w:lvlText w:val="%1.%2.%3.%4.%5.%6.%7.%8"/>
      <w:lvlJc w:val="left"/>
      <w:pPr>
        <w:ind w:left="1845" w:hanging="1440"/>
      </w:pPr>
    </w:lvl>
    <w:lvl w:ilvl="8">
      <w:start w:val="1"/>
      <w:numFmt w:val="decimal"/>
      <w:isLgl/>
      <w:lvlText w:val="%1.%2.%3.%4.%5.%6.%7.%8.%9"/>
      <w:lvlJc w:val="left"/>
      <w:pPr>
        <w:ind w:left="2205" w:hanging="1800"/>
      </w:pPr>
    </w:lvl>
  </w:abstractNum>
  <w:abstractNum w:abstractNumId="17" w15:restartNumberingAfterBreak="0">
    <w:nsid w:val="32517E02"/>
    <w:multiLevelType w:val="multilevel"/>
    <w:tmpl w:val="AD6A44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74B63"/>
    <w:multiLevelType w:val="multilevel"/>
    <w:tmpl w:val="B338F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827198"/>
    <w:multiLevelType w:val="hybridMultilevel"/>
    <w:tmpl w:val="46F6B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163117"/>
    <w:multiLevelType w:val="multilevel"/>
    <w:tmpl w:val="1E40048C"/>
    <w:lvl w:ilvl="0">
      <w:start w:val="1"/>
      <w:numFmt w:val="decimal"/>
      <w:lvlText w:val="%1."/>
      <w:lvlJc w:val="left"/>
      <w:pPr>
        <w:ind w:left="720" w:hanging="360"/>
      </w:pPr>
      <w:rPr>
        <w:rFonts w:hint="default"/>
      </w:rPr>
    </w:lvl>
    <w:lvl w:ilvl="1">
      <w:start w:val="1"/>
      <w:numFmt w:val="decimal"/>
      <w:isLgl/>
      <w:lvlText w:val="%1.%2."/>
      <w:lvlJc w:val="left"/>
      <w:pPr>
        <w:ind w:left="2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9E544CB"/>
    <w:multiLevelType w:val="multilevel"/>
    <w:tmpl w:val="B664C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080483"/>
    <w:multiLevelType w:val="multilevel"/>
    <w:tmpl w:val="9842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7F7789"/>
    <w:multiLevelType w:val="multilevel"/>
    <w:tmpl w:val="1EB2F1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5E1EF6"/>
    <w:multiLevelType w:val="multilevel"/>
    <w:tmpl w:val="69FC70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662D20"/>
    <w:multiLevelType w:val="hybridMultilevel"/>
    <w:tmpl w:val="D3B683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DC3D89"/>
    <w:multiLevelType w:val="multilevel"/>
    <w:tmpl w:val="F2F4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0734A6"/>
    <w:multiLevelType w:val="hybridMultilevel"/>
    <w:tmpl w:val="06B6DF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7118BF"/>
    <w:multiLevelType w:val="multilevel"/>
    <w:tmpl w:val="09E8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E61378"/>
    <w:multiLevelType w:val="hybridMultilevel"/>
    <w:tmpl w:val="35D82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2A0ECB"/>
    <w:multiLevelType w:val="hybridMultilevel"/>
    <w:tmpl w:val="89CA8E2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85E443B"/>
    <w:multiLevelType w:val="hybridMultilevel"/>
    <w:tmpl w:val="C14AE5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3F17A5"/>
    <w:multiLevelType w:val="multilevel"/>
    <w:tmpl w:val="602C07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D67B38"/>
    <w:multiLevelType w:val="multilevel"/>
    <w:tmpl w:val="DE4A4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0E5084"/>
    <w:multiLevelType w:val="multilevel"/>
    <w:tmpl w:val="3E94FFCA"/>
    <w:lvl w:ilvl="0">
      <w:start w:val="3"/>
      <w:numFmt w:val="decimal"/>
      <w:lvlText w:val="%1."/>
      <w:lvlJc w:val="left"/>
      <w:pPr>
        <w:ind w:left="360" w:hanging="360"/>
      </w:pPr>
      <w:rPr>
        <w:rFonts w:hint="default"/>
      </w:rPr>
    </w:lvl>
    <w:lvl w:ilvl="1">
      <w:start w:val="1"/>
      <w:numFmt w:val="decimal"/>
      <w:lvlText w:val="%1.%2."/>
      <w:lvlJc w:val="left"/>
      <w:pPr>
        <w:ind w:left="2070" w:hanging="360"/>
      </w:pPr>
      <w:rPr>
        <w:rFonts w:hint="default"/>
      </w:rPr>
    </w:lvl>
    <w:lvl w:ilvl="2">
      <w:start w:val="1"/>
      <w:numFmt w:val="decimal"/>
      <w:lvlText w:val="%1.%2.%3."/>
      <w:lvlJc w:val="left"/>
      <w:pPr>
        <w:ind w:left="4140" w:hanging="720"/>
      </w:pPr>
      <w:rPr>
        <w:rFonts w:hint="default"/>
      </w:rPr>
    </w:lvl>
    <w:lvl w:ilvl="3">
      <w:start w:val="1"/>
      <w:numFmt w:val="decimal"/>
      <w:lvlText w:val="%1.%2.%3.%4."/>
      <w:lvlJc w:val="left"/>
      <w:pPr>
        <w:ind w:left="5850" w:hanging="720"/>
      </w:pPr>
      <w:rPr>
        <w:rFonts w:hint="default"/>
      </w:rPr>
    </w:lvl>
    <w:lvl w:ilvl="4">
      <w:start w:val="1"/>
      <w:numFmt w:val="decimal"/>
      <w:lvlText w:val="%1.%2.%3.%4.%5."/>
      <w:lvlJc w:val="left"/>
      <w:pPr>
        <w:ind w:left="7920" w:hanging="1080"/>
      </w:pPr>
      <w:rPr>
        <w:rFonts w:hint="default"/>
      </w:rPr>
    </w:lvl>
    <w:lvl w:ilvl="5">
      <w:start w:val="1"/>
      <w:numFmt w:val="decimal"/>
      <w:lvlText w:val="%1.%2.%3.%4.%5.%6."/>
      <w:lvlJc w:val="left"/>
      <w:pPr>
        <w:ind w:left="9630" w:hanging="1080"/>
      </w:pPr>
      <w:rPr>
        <w:rFonts w:hint="default"/>
      </w:rPr>
    </w:lvl>
    <w:lvl w:ilvl="6">
      <w:start w:val="1"/>
      <w:numFmt w:val="decimal"/>
      <w:lvlText w:val="%1.%2.%3.%4.%5.%6.%7."/>
      <w:lvlJc w:val="left"/>
      <w:pPr>
        <w:ind w:left="11700" w:hanging="1440"/>
      </w:pPr>
      <w:rPr>
        <w:rFonts w:hint="default"/>
      </w:rPr>
    </w:lvl>
    <w:lvl w:ilvl="7">
      <w:start w:val="1"/>
      <w:numFmt w:val="decimal"/>
      <w:lvlText w:val="%1.%2.%3.%4.%5.%6.%7.%8."/>
      <w:lvlJc w:val="left"/>
      <w:pPr>
        <w:ind w:left="13410" w:hanging="1440"/>
      </w:pPr>
      <w:rPr>
        <w:rFonts w:hint="default"/>
      </w:rPr>
    </w:lvl>
    <w:lvl w:ilvl="8">
      <w:start w:val="1"/>
      <w:numFmt w:val="decimal"/>
      <w:lvlText w:val="%1.%2.%3.%4.%5.%6.%7.%8.%9."/>
      <w:lvlJc w:val="left"/>
      <w:pPr>
        <w:ind w:left="15480" w:hanging="1800"/>
      </w:pPr>
      <w:rPr>
        <w:rFonts w:hint="default"/>
      </w:rPr>
    </w:lvl>
  </w:abstractNum>
  <w:abstractNum w:abstractNumId="35" w15:restartNumberingAfterBreak="0">
    <w:nsid w:val="67F022A5"/>
    <w:multiLevelType w:val="hybridMultilevel"/>
    <w:tmpl w:val="AAD2A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1613A3"/>
    <w:multiLevelType w:val="multilevel"/>
    <w:tmpl w:val="04FA5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A56A01"/>
    <w:multiLevelType w:val="multilevel"/>
    <w:tmpl w:val="E780DD0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082EB5"/>
    <w:multiLevelType w:val="multilevel"/>
    <w:tmpl w:val="32F4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1F7D5C"/>
    <w:multiLevelType w:val="multilevel"/>
    <w:tmpl w:val="20F81AE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A175FC"/>
    <w:multiLevelType w:val="multilevel"/>
    <w:tmpl w:val="125A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B0130E"/>
    <w:multiLevelType w:val="multilevel"/>
    <w:tmpl w:val="6798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7F5854"/>
    <w:multiLevelType w:val="multilevel"/>
    <w:tmpl w:val="9D80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751353"/>
    <w:multiLevelType w:val="hybridMultilevel"/>
    <w:tmpl w:val="DD465D1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9"/>
  </w:num>
  <w:num w:numId="3">
    <w:abstractNumId w:val="29"/>
  </w:num>
  <w:num w:numId="4">
    <w:abstractNumId w:val="6"/>
  </w:num>
  <w:num w:numId="5">
    <w:abstractNumId w:val="10"/>
  </w:num>
  <w:num w:numId="6">
    <w:abstractNumId w:val="25"/>
  </w:num>
  <w:num w:numId="7">
    <w:abstractNumId w:val="14"/>
  </w:num>
  <w:num w:numId="8">
    <w:abstractNumId w:val="31"/>
  </w:num>
  <w:num w:numId="9">
    <w:abstractNumId w:val="8"/>
  </w:num>
  <w:num w:numId="10">
    <w:abstractNumId w:val="27"/>
  </w:num>
  <w:num w:numId="11">
    <w:abstractNumId w:val="9"/>
  </w:num>
  <w:num w:numId="12">
    <w:abstractNumId w:val="4"/>
  </w:num>
  <w:num w:numId="13">
    <w:abstractNumId w:val="5"/>
  </w:num>
  <w:num w:numId="14">
    <w:abstractNumId w:val="30"/>
  </w:num>
  <w:num w:numId="15">
    <w:abstractNumId w:val="13"/>
  </w:num>
  <w:num w:numId="16">
    <w:abstractNumId w:val="32"/>
  </w:num>
  <w:num w:numId="17">
    <w:abstractNumId w:val="26"/>
  </w:num>
  <w:num w:numId="18">
    <w:abstractNumId w:val="7"/>
  </w:num>
  <w:num w:numId="19">
    <w:abstractNumId w:val="42"/>
  </w:num>
  <w:num w:numId="20">
    <w:abstractNumId w:val="24"/>
  </w:num>
  <w:num w:numId="21">
    <w:abstractNumId w:val="33"/>
  </w:num>
  <w:num w:numId="22">
    <w:abstractNumId w:val="23"/>
  </w:num>
  <w:num w:numId="23">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8"/>
  </w:num>
  <w:num w:numId="26">
    <w:abstractNumId w:val="41"/>
  </w:num>
  <w:num w:numId="27">
    <w:abstractNumId w:val="40"/>
  </w:num>
  <w:num w:numId="28">
    <w:abstractNumId w:val="38"/>
  </w:num>
  <w:num w:numId="29">
    <w:abstractNumId w:val="12"/>
  </w:num>
  <w:num w:numId="30">
    <w:abstractNumId w:val="2"/>
  </w:num>
  <w:num w:numId="31">
    <w:abstractNumId w:val="22"/>
  </w:num>
  <w:num w:numId="32">
    <w:abstractNumId w:val="20"/>
  </w:num>
  <w:num w:numId="33">
    <w:abstractNumId w:val="39"/>
  </w:num>
  <w:num w:numId="34">
    <w:abstractNumId w:val="17"/>
  </w:num>
  <w:num w:numId="35">
    <w:abstractNumId w:val="34"/>
  </w:num>
  <w:num w:numId="36">
    <w:abstractNumId w:val="1"/>
  </w:num>
  <w:num w:numId="37">
    <w:abstractNumId w:val="15"/>
  </w:num>
  <w:num w:numId="38">
    <w:abstractNumId w:val="37"/>
  </w:num>
  <w:num w:numId="39">
    <w:abstractNumId w:val="0"/>
  </w:num>
  <w:num w:numId="40">
    <w:abstractNumId w:val="21"/>
  </w:num>
  <w:num w:numId="41">
    <w:abstractNumId w:val="18"/>
  </w:num>
  <w:num w:numId="42">
    <w:abstractNumId w:val="3"/>
  </w:num>
  <w:num w:numId="43">
    <w:abstractNumId w:val="43"/>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DYyNTI3NjY2AwIjAyUdpeDU4uLM/DyQAhPDWgAJt9h6LQAAAA=="/>
  </w:docVars>
  <w:rsids>
    <w:rsidRoot w:val="00374FD5"/>
    <w:rsid w:val="00000181"/>
    <w:rsid w:val="000005C3"/>
    <w:rsid w:val="0000070C"/>
    <w:rsid w:val="00000832"/>
    <w:rsid w:val="0000094D"/>
    <w:rsid w:val="0000106B"/>
    <w:rsid w:val="000016F2"/>
    <w:rsid w:val="00001FDE"/>
    <w:rsid w:val="00002131"/>
    <w:rsid w:val="00002896"/>
    <w:rsid w:val="00002932"/>
    <w:rsid w:val="0000297A"/>
    <w:rsid w:val="00003912"/>
    <w:rsid w:val="000049DE"/>
    <w:rsid w:val="00004F9C"/>
    <w:rsid w:val="0000522B"/>
    <w:rsid w:val="000053ED"/>
    <w:rsid w:val="00005960"/>
    <w:rsid w:val="000059B3"/>
    <w:rsid w:val="000060CB"/>
    <w:rsid w:val="000061FA"/>
    <w:rsid w:val="00006C42"/>
    <w:rsid w:val="0000787D"/>
    <w:rsid w:val="00007C53"/>
    <w:rsid w:val="00007F24"/>
    <w:rsid w:val="000104C7"/>
    <w:rsid w:val="00010641"/>
    <w:rsid w:val="00010CD5"/>
    <w:rsid w:val="00011281"/>
    <w:rsid w:val="00011AC9"/>
    <w:rsid w:val="00012DBD"/>
    <w:rsid w:val="00013156"/>
    <w:rsid w:val="00013A1B"/>
    <w:rsid w:val="00013E15"/>
    <w:rsid w:val="000143C2"/>
    <w:rsid w:val="0001449E"/>
    <w:rsid w:val="00014B96"/>
    <w:rsid w:val="000161E3"/>
    <w:rsid w:val="0001659F"/>
    <w:rsid w:val="00016791"/>
    <w:rsid w:val="00017990"/>
    <w:rsid w:val="000209CB"/>
    <w:rsid w:val="00020BAD"/>
    <w:rsid w:val="00020E84"/>
    <w:rsid w:val="00020ED8"/>
    <w:rsid w:val="00021037"/>
    <w:rsid w:val="000212CD"/>
    <w:rsid w:val="000213AB"/>
    <w:rsid w:val="00021EC6"/>
    <w:rsid w:val="0002276D"/>
    <w:rsid w:val="00022A9C"/>
    <w:rsid w:val="00022AA9"/>
    <w:rsid w:val="00022F5D"/>
    <w:rsid w:val="00023EC3"/>
    <w:rsid w:val="00024907"/>
    <w:rsid w:val="00025213"/>
    <w:rsid w:val="000254B4"/>
    <w:rsid w:val="000260AA"/>
    <w:rsid w:val="00026889"/>
    <w:rsid w:val="000268BD"/>
    <w:rsid w:val="00026929"/>
    <w:rsid w:val="00027520"/>
    <w:rsid w:val="00027C37"/>
    <w:rsid w:val="000304BC"/>
    <w:rsid w:val="000308E0"/>
    <w:rsid w:val="000317FE"/>
    <w:rsid w:val="00031A82"/>
    <w:rsid w:val="00031F58"/>
    <w:rsid w:val="000351CD"/>
    <w:rsid w:val="000353F4"/>
    <w:rsid w:val="000357CD"/>
    <w:rsid w:val="0003587A"/>
    <w:rsid w:val="00036063"/>
    <w:rsid w:val="000366E2"/>
    <w:rsid w:val="00036B4F"/>
    <w:rsid w:val="0003713D"/>
    <w:rsid w:val="0003793C"/>
    <w:rsid w:val="00037E2D"/>
    <w:rsid w:val="0004027E"/>
    <w:rsid w:val="00041639"/>
    <w:rsid w:val="00041E8F"/>
    <w:rsid w:val="0004256C"/>
    <w:rsid w:val="0004274E"/>
    <w:rsid w:val="00042773"/>
    <w:rsid w:val="00042D81"/>
    <w:rsid w:val="0004312A"/>
    <w:rsid w:val="0004361D"/>
    <w:rsid w:val="00043719"/>
    <w:rsid w:val="000437D8"/>
    <w:rsid w:val="000437F0"/>
    <w:rsid w:val="00043800"/>
    <w:rsid w:val="00043F37"/>
    <w:rsid w:val="00044993"/>
    <w:rsid w:val="000452CC"/>
    <w:rsid w:val="00045A7E"/>
    <w:rsid w:val="00045D00"/>
    <w:rsid w:val="00046441"/>
    <w:rsid w:val="000475B4"/>
    <w:rsid w:val="000477F0"/>
    <w:rsid w:val="000478E3"/>
    <w:rsid w:val="000509D2"/>
    <w:rsid w:val="000516BC"/>
    <w:rsid w:val="00051D54"/>
    <w:rsid w:val="00051E3A"/>
    <w:rsid w:val="000526A2"/>
    <w:rsid w:val="0005303B"/>
    <w:rsid w:val="00053DA4"/>
    <w:rsid w:val="00054722"/>
    <w:rsid w:val="00054DFF"/>
    <w:rsid w:val="0005511F"/>
    <w:rsid w:val="000551C6"/>
    <w:rsid w:val="00055617"/>
    <w:rsid w:val="000561E1"/>
    <w:rsid w:val="0005623B"/>
    <w:rsid w:val="00061C07"/>
    <w:rsid w:val="00062147"/>
    <w:rsid w:val="0006224A"/>
    <w:rsid w:val="00063922"/>
    <w:rsid w:val="000643F2"/>
    <w:rsid w:val="00064543"/>
    <w:rsid w:val="00064B1C"/>
    <w:rsid w:val="00066125"/>
    <w:rsid w:val="00067850"/>
    <w:rsid w:val="00070105"/>
    <w:rsid w:val="00070234"/>
    <w:rsid w:val="00071EF6"/>
    <w:rsid w:val="00072A51"/>
    <w:rsid w:val="000739C1"/>
    <w:rsid w:val="00073DEF"/>
    <w:rsid w:val="00074545"/>
    <w:rsid w:val="0007480F"/>
    <w:rsid w:val="000748EF"/>
    <w:rsid w:val="00074F18"/>
    <w:rsid w:val="0007535B"/>
    <w:rsid w:val="00075643"/>
    <w:rsid w:val="0007580A"/>
    <w:rsid w:val="00076447"/>
    <w:rsid w:val="00077138"/>
    <w:rsid w:val="0007781F"/>
    <w:rsid w:val="0008003F"/>
    <w:rsid w:val="00080CC7"/>
    <w:rsid w:val="00080E65"/>
    <w:rsid w:val="00080E7C"/>
    <w:rsid w:val="00080F15"/>
    <w:rsid w:val="0008272F"/>
    <w:rsid w:val="00084529"/>
    <w:rsid w:val="00085066"/>
    <w:rsid w:val="00086352"/>
    <w:rsid w:val="000863AA"/>
    <w:rsid w:val="00086CED"/>
    <w:rsid w:val="00087419"/>
    <w:rsid w:val="00087CA3"/>
    <w:rsid w:val="00087FE4"/>
    <w:rsid w:val="0009033F"/>
    <w:rsid w:val="00090B48"/>
    <w:rsid w:val="00090FF5"/>
    <w:rsid w:val="00091645"/>
    <w:rsid w:val="00091EEB"/>
    <w:rsid w:val="00091F88"/>
    <w:rsid w:val="000925CD"/>
    <w:rsid w:val="0009304E"/>
    <w:rsid w:val="000930E1"/>
    <w:rsid w:val="00094224"/>
    <w:rsid w:val="0009453E"/>
    <w:rsid w:val="0009481B"/>
    <w:rsid w:val="00094B24"/>
    <w:rsid w:val="0009548F"/>
    <w:rsid w:val="000956D9"/>
    <w:rsid w:val="000960DA"/>
    <w:rsid w:val="0009656F"/>
    <w:rsid w:val="0009728A"/>
    <w:rsid w:val="000A00E7"/>
    <w:rsid w:val="000A01D4"/>
    <w:rsid w:val="000A06C2"/>
    <w:rsid w:val="000A06D9"/>
    <w:rsid w:val="000A09D9"/>
    <w:rsid w:val="000A0C3B"/>
    <w:rsid w:val="000A0E03"/>
    <w:rsid w:val="000A0EBE"/>
    <w:rsid w:val="000A13B3"/>
    <w:rsid w:val="000A1607"/>
    <w:rsid w:val="000A186A"/>
    <w:rsid w:val="000A1D78"/>
    <w:rsid w:val="000A2340"/>
    <w:rsid w:val="000A3064"/>
    <w:rsid w:val="000A3476"/>
    <w:rsid w:val="000A38E0"/>
    <w:rsid w:val="000A3ACA"/>
    <w:rsid w:val="000A4B2E"/>
    <w:rsid w:val="000A4CCF"/>
    <w:rsid w:val="000A532C"/>
    <w:rsid w:val="000A541A"/>
    <w:rsid w:val="000A59A8"/>
    <w:rsid w:val="000A5A19"/>
    <w:rsid w:val="000A5B90"/>
    <w:rsid w:val="000A5D35"/>
    <w:rsid w:val="000A7588"/>
    <w:rsid w:val="000A7775"/>
    <w:rsid w:val="000A7D7C"/>
    <w:rsid w:val="000A7EAB"/>
    <w:rsid w:val="000B0D15"/>
    <w:rsid w:val="000B1086"/>
    <w:rsid w:val="000B10FC"/>
    <w:rsid w:val="000B1BA4"/>
    <w:rsid w:val="000B1D50"/>
    <w:rsid w:val="000B2332"/>
    <w:rsid w:val="000B25D4"/>
    <w:rsid w:val="000B26C9"/>
    <w:rsid w:val="000B2C25"/>
    <w:rsid w:val="000B30A5"/>
    <w:rsid w:val="000B3289"/>
    <w:rsid w:val="000B33C3"/>
    <w:rsid w:val="000B3D5C"/>
    <w:rsid w:val="000B4926"/>
    <w:rsid w:val="000B5DEB"/>
    <w:rsid w:val="000B5FE6"/>
    <w:rsid w:val="000B6098"/>
    <w:rsid w:val="000B6274"/>
    <w:rsid w:val="000B65DA"/>
    <w:rsid w:val="000B73F9"/>
    <w:rsid w:val="000B7670"/>
    <w:rsid w:val="000B79D8"/>
    <w:rsid w:val="000B7AC1"/>
    <w:rsid w:val="000B7C81"/>
    <w:rsid w:val="000B7CDF"/>
    <w:rsid w:val="000C024C"/>
    <w:rsid w:val="000C0D93"/>
    <w:rsid w:val="000C11BD"/>
    <w:rsid w:val="000C2018"/>
    <w:rsid w:val="000C3376"/>
    <w:rsid w:val="000C3408"/>
    <w:rsid w:val="000C4047"/>
    <w:rsid w:val="000C442A"/>
    <w:rsid w:val="000C4887"/>
    <w:rsid w:val="000C49B8"/>
    <w:rsid w:val="000C59BA"/>
    <w:rsid w:val="000C59EF"/>
    <w:rsid w:val="000C5F32"/>
    <w:rsid w:val="000C64B4"/>
    <w:rsid w:val="000C6F53"/>
    <w:rsid w:val="000D0A4A"/>
    <w:rsid w:val="000D0C13"/>
    <w:rsid w:val="000D0F32"/>
    <w:rsid w:val="000D121A"/>
    <w:rsid w:val="000D1630"/>
    <w:rsid w:val="000D1A00"/>
    <w:rsid w:val="000D2DCB"/>
    <w:rsid w:val="000D2E92"/>
    <w:rsid w:val="000D33C3"/>
    <w:rsid w:val="000D4165"/>
    <w:rsid w:val="000D47D9"/>
    <w:rsid w:val="000D4C6D"/>
    <w:rsid w:val="000D4E37"/>
    <w:rsid w:val="000D5FAB"/>
    <w:rsid w:val="000D608A"/>
    <w:rsid w:val="000D614D"/>
    <w:rsid w:val="000D616D"/>
    <w:rsid w:val="000D6583"/>
    <w:rsid w:val="000D6AC2"/>
    <w:rsid w:val="000D707B"/>
    <w:rsid w:val="000D7BDE"/>
    <w:rsid w:val="000D7E83"/>
    <w:rsid w:val="000D7E9A"/>
    <w:rsid w:val="000E0104"/>
    <w:rsid w:val="000E09C6"/>
    <w:rsid w:val="000E12A1"/>
    <w:rsid w:val="000E1344"/>
    <w:rsid w:val="000E1416"/>
    <w:rsid w:val="000E1719"/>
    <w:rsid w:val="000E1D08"/>
    <w:rsid w:val="000E2194"/>
    <w:rsid w:val="000E26C8"/>
    <w:rsid w:val="000E2CEF"/>
    <w:rsid w:val="000E2D6A"/>
    <w:rsid w:val="000E2E6A"/>
    <w:rsid w:val="000E331F"/>
    <w:rsid w:val="000E36F8"/>
    <w:rsid w:val="000E38C2"/>
    <w:rsid w:val="000E3E05"/>
    <w:rsid w:val="000E4163"/>
    <w:rsid w:val="000E423C"/>
    <w:rsid w:val="000E5241"/>
    <w:rsid w:val="000E583B"/>
    <w:rsid w:val="000E5896"/>
    <w:rsid w:val="000E6236"/>
    <w:rsid w:val="000E70B1"/>
    <w:rsid w:val="000E7E62"/>
    <w:rsid w:val="000F0348"/>
    <w:rsid w:val="000F0BE2"/>
    <w:rsid w:val="000F0D46"/>
    <w:rsid w:val="000F18BC"/>
    <w:rsid w:val="000F1FCB"/>
    <w:rsid w:val="000F22E4"/>
    <w:rsid w:val="000F2437"/>
    <w:rsid w:val="000F25CF"/>
    <w:rsid w:val="000F274A"/>
    <w:rsid w:val="000F33B1"/>
    <w:rsid w:val="000F38E4"/>
    <w:rsid w:val="000F44A4"/>
    <w:rsid w:val="000F5218"/>
    <w:rsid w:val="000F590B"/>
    <w:rsid w:val="000F5A15"/>
    <w:rsid w:val="000F5C3D"/>
    <w:rsid w:val="000F5DCF"/>
    <w:rsid w:val="000F5DE1"/>
    <w:rsid w:val="000F65A4"/>
    <w:rsid w:val="000F6D74"/>
    <w:rsid w:val="000F73C5"/>
    <w:rsid w:val="00100FEC"/>
    <w:rsid w:val="00101E57"/>
    <w:rsid w:val="00101FDD"/>
    <w:rsid w:val="00102E38"/>
    <w:rsid w:val="00103408"/>
    <w:rsid w:val="0010391F"/>
    <w:rsid w:val="00103CCB"/>
    <w:rsid w:val="00104107"/>
    <w:rsid w:val="001047F2"/>
    <w:rsid w:val="00105AD2"/>
    <w:rsid w:val="00105C12"/>
    <w:rsid w:val="00105F74"/>
    <w:rsid w:val="0010641D"/>
    <w:rsid w:val="00106732"/>
    <w:rsid w:val="00106994"/>
    <w:rsid w:val="00106E3F"/>
    <w:rsid w:val="00110255"/>
    <w:rsid w:val="00110380"/>
    <w:rsid w:val="00111978"/>
    <w:rsid w:val="00112414"/>
    <w:rsid w:val="001126BE"/>
    <w:rsid w:val="001134CE"/>
    <w:rsid w:val="0011367B"/>
    <w:rsid w:val="00113A3D"/>
    <w:rsid w:val="001142F6"/>
    <w:rsid w:val="00114302"/>
    <w:rsid w:val="001149D7"/>
    <w:rsid w:val="00114DBD"/>
    <w:rsid w:val="001152C5"/>
    <w:rsid w:val="00115542"/>
    <w:rsid w:val="0011597F"/>
    <w:rsid w:val="00115A30"/>
    <w:rsid w:val="00116240"/>
    <w:rsid w:val="00116BEB"/>
    <w:rsid w:val="00116DCA"/>
    <w:rsid w:val="00117A05"/>
    <w:rsid w:val="0012048F"/>
    <w:rsid w:val="00120F84"/>
    <w:rsid w:val="001213E2"/>
    <w:rsid w:val="00121C0B"/>
    <w:rsid w:val="00122020"/>
    <w:rsid w:val="001221CC"/>
    <w:rsid w:val="00122502"/>
    <w:rsid w:val="00122533"/>
    <w:rsid w:val="001227BB"/>
    <w:rsid w:val="00122EA2"/>
    <w:rsid w:val="00123D8A"/>
    <w:rsid w:val="001244FB"/>
    <w:rsid w:val="0012468A"/>
    <w:rsid w:val="001248D3"/>
    <w:rsid w:val="00125272"/>
    <w:rsid w:val="00126028"/>
    <w:rsid w:val="0012680A"/>
    <w:rsid w:val="00126D73"/>
    <w:rsid w:val="001271BD"/>
    <w:rsid w:val="00127EB9"/>
    <w:rsid w:val="001302F0"/>
    <w:rsid w:val="00131C3A"/>
    <w:rsid w:val="00131E12"/>
    <w:rsid w:val="00132066"/>
    <w:rsid w:val="00132AA1"/>
    <w:rsid w:val="00132DEB"/>
    <w:rsid w:val="0013342D"/>
    <w:rsid w:val="00133BE1"/>
    <w:rsid w:val="00134DD2"/>
    <w:rsid w:val="00134E99"/>
    <w:rsid w:val="00134FB3"/>
    <w:rsid w:val="001353BA"/>
    <w:rsid w:val="001368D7"/>
    <w:rsid w:val="00137465"/>
    <w:rsid w:val="00137503"/>
    <w:rsid w:val="00137585"/>
    <w:rsid w:val="00137B85"/>
    <w:rsid w:val="00140A69"/>
    <w:rsid w:val="001414F3"/>
    <w:rsid w:val="00141990"/>
    <w:rsid w:val="00141B9D"/>
    <w:rsid w:val="001420EC"/>
    <w:rsid w:val="0014214B"/>
    <w:rsid w:val="001421A9"/>
    <w:rsid w:val="00142A0A"/>
    <w:rsid w:val="00142B59"/>
    <w:rsid w:val="0014334F"/>
    <w:rsid w:val="001434C1"/>
    <w:rsid w:val="00143591"/>
    <w:rsid w:val="0014373F"/>
    <w:rsid w:val="0014390F"/>
    <w:rsid w:val="00143A78"/>
    <w:rsid w:val="0014416E"/>
    <w:rsid w:val="001442A8"/>
    <w:rsid w:val="00144D95"/>
    <w:rsid w:val="001451F7"/>
    <w:rsid w:val="00145202"/>
    <w:rsid w:val="00145A69"/>
    <w:rsid w:val="00146701"/>
    <w:rsid w:val="00146C9B"/>
    <w:rsid w:val="001501BE"/>
    <w:rsid w:val="0015036E"/>
    <w:rsid w:val="00150CA8"/>
    <w:rsid w:val="00151062"/>
    <w:rsid w:val="001514FF"/>
    <w:rsid w:val="00152093"/>
    <w:rsid w:val="001523FF"/>
    <w:rsid w:val="001524C4"/>
    <w:rsid w:val="00152899"/>
    <w:rsid w:val="00152ED3"/>
    <w:rsid w:val="0015399F"/>
    <w:rsid w:val="00153FE9"/>
    <w:rsid w:val="001542B6"/>
    <w:rsid w:val="00154EDD"/>
    <w:rsid w:val="00155AEE"/>
    <w:rsid w:val="00155CDE"/>
    <w:rsid w:val="001565E7"/>
    <w:rsid w:val="0015663D"/>
    <w:rsid w:val="001567DE"/>
    <w:rsid w:val="00156CFF"/>
    <w:rsid w:val="00156D92"/>
    <w:rsid w:val="0015739D"/>
    <w:rsid w:val="001577B4"/>
    <w:rsid w:val="0015791F"/>
    <w:rsid w:val="0016018F"/>
    <w:rsid w:val="00160F1A"/>
    <w:rsid w:val="00160F6B"/>
    <w:rsid w:val="00161B80"/>
    <w:rsid w:val="00161E3A"/>
    <w:rsid w:val="0016210A"/>
    <w:rsid w:val="00162B8F"/>
    <w:rsid w:val="0016339F"/>
    <w:rsid w:val="0016362B"/>
    <w:rsid w:val="00163676"/>
    <w:rsid w:val="00163865"/>
    <w:rsid w:val="00166256"/>
    <w:rsid w:val="0016635B"/>
    <w:rsid w:val="001678EE"/>
    <w:rsid w:val="00167CE8"/>
    <w:rsid w:val="00170425"/>
    <w:rsid w:val="0017063C"/>
    <w:rsid w:val="001723BC"/>
    <w:rsid w:val="0017271D"/>
    <w:rsid w:val="00172D9F"/>
    <w:rsid w:val="00172F29"/>
    <w:rsid w:val="001730D8"/>
    <w:rsid w:val="00173629"/>
    <w:rsid w:val="00173A17"/>
    <w:rsid w:val="0017484D"/>
    <w:rsid w:val="00174944"/>
    <w:rsid w:val="00174A79"/>
    <w:rsid w:val="00174D51"/>
    <w:rsid w:val="00175D46"/>
    <w:rsid w:val="001760C9"/>
    <w:rsid w:val="00176ACB"/>
    <w:rsid w:val="001772F2"/>
    <w:rsid w:val="001774B8"/>
    <w:rsid w:val="00177B82"/>
    <w:rsid w:val="001802DE"/>
    <w:rsid w:val="00181480"/>
    <w:rsid w:val="0018153B"/>
    <w:rsid w:val="001816B2"/>
    <w:rsid w:val="001816FA"/>
    <w:rsid w:val="001817BB"/>
    <w:rsid w:val="001821B8"/>
    <w:rsid w:val="00183016"/>
    <w:rsid w:val="0018369D"/>
    <w:rsid w:val="00183B81"/>
    <w:rsid w:val="001848E3"/>
    <w:rsid w:val="0018548E"/>
    <w:rsid w:val="001859BD"/>
    <w:rsid w:val="00185C77"/>
    <w:rsid w:val="00185FF0"/>
    <w:rsid w:val="00186D72"/>
    <w:rsid w:val="00187AF3"/>
    <w:rsid w:val="00190AAB"/>
    <w:rsid w:val="00191BA4"/>
    <w:rsid w:val="00191CD8"/>
    <w:rsid w:val="00192059"/>
    <w:rsid w:val="00192921"/>
    <w:rsid w:val="00193825"/>
    <w:rsid w:val="0019387B"/>
    <w:rsid w:val="00193BA4"/>
    <w:rsid w:val="001940FD"/>
    <w:rsid w:val="0019562D"/>
    <w:rsid w:val="00195853"/>
    <w:rsid w:val="00195A24"/>
    <w:rsid w:val="00195A8B"/>
    <w:rsid w:val="00195C6D"/>
    <w:rsid w:val="001962C4"/>
    <w:rsid w:val="001969E1"/>
    <w:rsid w:val="001973EC"/>
    <w:rsid w:val="00197B81"/>
    <w:rsid w:val="00197CD4"/>
    <w:rsid w:val="001A0D65"/>
    <w:rsid w:val="001A1063"/>
    <w:rsid w:val="001A133C"/>
    <w:rsid w:val="001A1483"/>
    <w:rsid w:val="001A161D"/>
    <w:rsid w:val="001A1A7D"/>
    <w:rsid w:val="001A1B5E"/>
    <w:rsid w:val="001A1E7F"/>
    <w:rsid w:val="001A21FD"/>
    <w:rsid w:val="001A34B8"/>
    <w:rsid w:val="001A3AEC"/>
    <w:rsid w:val="001A3B30"/>
    <w:rsid w:val="001A49E7"/>
    <w:rsid w:val="001A4A54"/>
    <w:rsid w:val="001A4B3D"/>
    <w:rsid w:val="001A51DB"/>
    <w:rsid w:val="001A52D8"/>
    <w:rsid w:val="001A53CF"/>
    <w:rsid w:val="001A5A6F"/>
    <w:rsid w:val="001A6819"/>
    <w:rsid w:val="001A6C85"/>
    <w:rsid w:val="001A7206"/>
    <w:rsid w:val="001A770A"/>
    <w:rsid w:val="001A7C6F"/>
    <w:rsid w:val="001A7F32"/>
    <w:rsid w:val="001B00B6"/>
    <w:rsid w:val="001B0775"/>
    <w:rsid w:val="001B07C0"/>
    <w:rsid w:val="001B0D04"/>
    <w:rsid w:val="001B0E78"/>
    <w:rsid w:val="001B1091"/>
    <w:rsid w:val="001B1530"/>
    <w:rsid w:val="001B36E1"/>
    <w:rsid w:val="001B3843"/>
    <w:rsid w:val="001B3ED6"/>
    <w:rsid w:val="001B40F1"/>
    <w:rsid w:val="001B4134"/>
    <w:rsid w:val="001B43DC"/>
    <w:rsid w:val="001B4882"/>
    <w:rsid w:val="001B4A5E"/>
    <w:rsid w:val="001B5372"/>
    <w:rsid w:val="001B578B"/>
    <w:rsid w:val="001B5928"/>
    <w:rsid w:val="001B59A4"/>
    <w:rsid w:val="001B6AB7"/>
    <w:rsid w:val="001B7269"/>
    <w:rsid w:val="001B75EC"/>
    <w:rsid w:val="001B7B87"/>
    <w:rsid w:val="001B7C0B"/>
    <w:rsid w:val="001B7D46"/>
    <w:rsid w:val="001B7E16"/>
    <w:rsid w:val="001C09CD"/>
    <w:rsid w:val="001C25F2"/>
    <w:rsid w:val="001C2688"/>
    <w:rsid w:val="001C2B58"/>
    <w:rsid w:val="001C3B91"/>
    <w:rsid w:val="001C407A"/>
    <w:rsid w:val="001C4EFF"/>
    <w:rsid w:val="001C588C"/>
    <w:rsid w:val="001C643C"/>
    <w:rsid w:val="001C65AA"/>
    <w:rsid w:val="001C69EE"/>
    <w:rsid w:val="001C726A"/>
    <w:rsid w:val="001C73E1"/>
    <w:rsid w:val="001D0116"/>
    <w:rsid w:val="001D0B2E"/>
    <w:rsid w:val="001D0F2A"/>
    <w:rsid w:val="001D1E8E"/>
    <w:rsid w:val="001D231F"/>
    <w:rsid w:val="001D27A7"/>
    <w:rsid w:val="001D407C"/>
    <w:rsid w:val="001D41C8"/>
    <w:rsid w:val="001D44C4"/>
    <w:rsid w:val="001D4880"/>
    <w:rsid w:val="001D53E9"/>
    <w:rsid w:val="001D5C6E"/>
    <w:rsid w:val="001D6A33"/>
    <w:rsid w:val="001D7344"/>
    <w:rsid w:val="001D791F"/>
    <w:rsid w:val="001E081E"/>
    <w:rsid w:val="001E0FDE"/>
    <w:rsid w:val="001E1180"/>
    <w:rsid w:val="001E12BA"/>
    <w:rsid w:val="001E1689"/>
    <w:rsid w:val="001E3296"/>
    <w:rsid w:val="001E3A17"/>
    <w:rsid w:val="001E4116"/>
    <w:rsid w:val="001E4FE3"/>
    <w:rsid w:val="001E535F"/>
    <w:rsid w:val="001E536A"/>
    <w:rsid w:val="001E6A12"/>
    <w:rsid w:val="001E6C25"/>
    <w:rsid w:val="001F0510"/>
    <w:rsid w:val="001F1520"/>
    <w:rsid w:val="001F1DF6"/>
    <w:rsid w:val="001F1EB9"/>
    <w:rsid w:val="001F22D8"/>
    <w:rsid w:val="001F28DA"/>
    <w:rsid w:val="001F2C2E"/>
    <w:rsid w:val="001F2F57"/>
    <w:rsid w:val="001F3FDF"/>
    <w:rsid w:val="001F4458"/>
    <w:rsid w:val="001F4460"/>
    <w:rsid w:val="001F4D4A"/>
    <w:rsid w:val="001F5F8F"/>
    <w:rsid w:val="001F62A2"/>
    <w:rsid w:val="001F645A"/>
    <w:rsid w:val="001F6C18"/>
    <w:rsid w:val="001F6C83"/>
    <w:rsid w:val="001F75B1"/>
    <w:rsid w:val="001F7E0C"/>
    <w:rsid w:val="00200A64"/>
    <w:rsid w:val="002011EB"/>
    <w:rsid w:val="002014A3"/>
    <w:rsid w:val="00201514"/>
    <w:rsid w:val="00201B92"/>
    <w:rsid w:val="002024C4"/>
    <w:rsid w:val="00202A47"/>
    <w:rsid w:val="00202CB2"/>
    <w:rsid w:val="002030BA"/>
    <w:rsid w:val="00203116"/>
    <w:rsid w:val="002033C2"/>
    <w:rsid w:val="002035A9"/>
    <w:rsid w:val="00203C76"/>
    <w:rsid w:val="00204253"/>
    <w:rsid w:val="0020450A"/>
    <w:rsid w:val="002047C6"/>
    <w:rsid w:val="00204F8E"/>
    <w:rsid w:val="00204F97"/>
    <w:rsid w:val="0020504A"/>
    <w:rsid w:val="002052EE"/>
    <w:rsid w:val="0020540B"/>
    <w:rsid w:val="0020567C"/>
    <w:rsid w:val="00205C7D"/>
    <w:rsid w:val="00205D48"/>
    <w:rsid w:val="00206659"/>
    <w:rsid w:val="00206BAB"/>
    <w:rsid w:val="00207095"/>
    <w:rsid w:val="0020721F"/>
    <w:rsid w:val="00207A28"/>
    <w:rsid w:val="00207D94"/>
    <w:rsid w:val="00210031"/>
    <w:rsid w:val="002103AF"/>
    <w:rsid w:val="00210FB1"/>
    <w:rsid w:val="00213A07"/>
    <w:rsid w:val="00213F97"/>
    <w:rsid w:val="00214061"/>
    <w:rsid w:val="00214A26"/>
    <w:rsid w:val="00214D9F"/>
    <w:rsid w:val="002157FD"/>
    <w:rsid w:val="00215847"/>
    <w:rsid w:val="00216330"/>
    <w:rsid w:val="002163F1"/>
    <w:rsid w:val="0021684A"/>
    <w:rsid w:val="00216D2F"/>
    <w:rsid w:val="00216F06"/>
    <w:rsid w:val="00216F37"/>
    <w:rsid w:val="002208D3"/>
    <w:rsid w:val="0022091C"/>
    <w:rsid w:val="00220DE0"/>
    <w:rsid w:val="002213A9"/>
    <w:rsid w:val="00222087"/>
    <w:rsid w:val="00222B14"/>
    <w:rsid w:val="00222CB3"/>
    <w:rsid w:val="00222D8F"/>
    <w:rsid w:val="00224B8F"/>
    <w:rsid w:val="00224E98"/>
    <w:rsid w:val="00225809"/>
    <w:rsid w:val="00225C0D"/>
    <w:rsid w:val="00226649"/>
    <w:rsid w:val="00226D01"/>
    <w:rsid w:val="00226E80"/>
    <w:rsid w:val="00227D51"/>
    <w:rsid w:val="00231A26"/>
    <w:rsid w:val="00231C65"/>
    <w:rsid w:val="0023214A"/>
    <w:rsid w:val="00232689"/>
    <w:rsid w:val="00232D09"/>
    <w:rsid w:val="00233A58"/>
    <w:rsid w:val="0023425E"/>
    <w:rsid w:val="00234392"/>
    <w:rsid w:val="002347F5"/>
    <w:rsid w:val="00234ADF"/>
    <w:rsid w:val="00234B0F"/>
    <w:rsid w:val="00235021"/>
    <w:rsid w:val="00235A44"/>
    <w:rsid w:val="00236847"/>
    <w:rsid w:val="002368C1"/>
    <w:rsid w:val="00237A95"/>
    <w:rsid w:val="00240956"/>
    <w:rsid w:val="00240CC8"/>
    <w:rsid w:val="0024191A"/>
    <w:rsid w:val="00241A40"/>
    <w:rsid w:val="0024245E"/>
    <w:rsid w:val="0024265F"/>
    <w:rsid w:val="0024298D"/>
    <w:rsid w:val="00242C8A"/>
    <w:rsid w:val="0024431C"/>
    <w:rsid w:val="00244390"/>
    <w:rsid w:val="00244599"/>
    <w:rsid w:val="00244B4D"/>
    <w:rsid w:val="00244E4C"/>
    <w:rsid w:val="00245113"/>
    <w:rsid w:val="00246568"/>
    <w:rsid w:val="002467F2"/>
    <w:rsid w:val="00247208"/>
    <w:rsid w:val="0025146D"/>
    <w:rsid w:val="00251AEA"/>
    <w:rsid w:val="002523BC"/>
    <w:rsid w:val="00252B25"/>
    <w:rsid w:val="00253A8F"/>
    <w:rsid w:val="00253AA3"/>
    <w:rsid w:val="00253AAB"/>
    <w:rsid w:val="00253FAE"/>
    <w:rsid w:val="00253FF9"/>
    <w:rsid w:val="00254ABF"/>
    <w:rsid w:val="00254B3E"/>
    <w:rsid w:val="00254BD2"/>
    <w:rsid w:val="00254F97"/>
    <w:rsid w:val="00256C1D"/>
    <w:rsid w:val="00257467"/>
    <w:rsid w:val="00257AE9"/>
    <w:rsid w:val="0026047B"/>
    <w:rsid w:val="002606C2"/>
    <w:rsid w:val="00261650"/>
    <w:rsid w:val="00261D38"/>
    <w:rsid w:val="002628D4"/>
    <w:rsid w:val="002635EE"/>
    <w:rsid w:val="0026367E"/>
    <w:rsid w:val="00263897"/>
    <w:rsid w:val="002642F3"/>
    <w:rsid w:val="0026439E"/>
    <w:rsid w:val="00264CDE"/>
    <w:rsid w:val="0026552C"/>
    <w:rsid w:val="00265DE4"/>
    <w:rsid w:val="00265F2B"/>
    <w:rsid w:val="00266923"/>
    <w:rsid w:val="00267921"/>
    <w:rsid w:val="00267A76"/>
    <w:rsid w:val="00267D79"/>
    <w:rsid w:val="0027069C"/>
    <w:rsid w:val="002707BC"/>
    <w:rsid w:val="00270D7C"/>
    <w:rsid w:val="002710EC"/>
    <w:rsid w:val="00271877"/>
    <w:rsid w:val="00271E9C"/>
    <w:rsid w:val="0027342F"/>
    <w:rsid w:val="00274339"/>
    <w:rsid w:val="00274BF6"/>
    <w:rsid w:val="002750FE"/>
    <w:rsid w:val="00275917"/>
    <w:rsid w:val="002767C0"/>
    <w:rsid w:val="002768A8"/>
    <w:rsid w:val="0027707C"/>
    <w:rsid w:val="00280756"/>
    <w:rsid w:val="00280A0A"/>
    <w:rsid w:val="00280ABE"/>
    <w:rsid w:val="00280CC1"/>
    <w:rsid w:val="00281571"/>
    <w:rsid w:val="00282132"/>
    <w:rsid w:val="002823EE"/>
    <w:rsid w:val="00282557"/>
    <w:rsid w:val="00282777"/>
    <w:rsid w:val="00282BC5"/>
    <w:rsid w:val="00282C88"/>
    <w:rsid w:val="00282F79"/>
    <w:rsid w:val="002836C4"/>
    <w:rsid w:val="00283A15"/>
    <w:rsid w:val="00283F53"/>
    <w:rsid w:val="00284463"/>
    <w:rsid w:val="002854A5"/>
    <w:rsid w:val="00285580"/>
    <w:rsid w:val="002858FB"/>
    <w:rsid w:val="00285A99"/>
    <w:rsid w:val="0028632C"/>
    <w:rsid w:val="0028641F"/>
    <w:rsid w:val="002866BC"/>
    <w:rsid w:val="00286784"/>
    <w:rsid w:val="002874D8"/>
    <w:rsid w:val="00290059"/>
    <w:rsid w:val="00290148"/>
    <w:rsid w:val="00290F71"/>
    <w:rsid w:val="00291237"/>
    <w:rsid w:val="00291814"/>
    <w:rsid w:val="00292971"/>
    <w:rsid w:val="00292BD9"/>
    <w:rsid w:val="0029373F"/>
    <w:rsid w:val="00293B9E"/>
    <w:rsid w:val="00294300"/>
    <w:rsid w:val="00295477"/>
    <w:rsid w:val="00295E37"/>
    <w:rsid w:val="00295FCD"/>
    <w:rsid w:val="00296AE1"/>
    <w:rsid w:val="00297060"/>
    <w:rsid w:val="00297191"/>
    <w:rsid w:val="002A0491"/>
    <w:rsid w:val="002A0E7D"/>
    <w:rsid w:val="002A0EF2"/>
    <w:rsid w:val="002A10CB"/>
    <w:rsid w:val="002A13D8"/>
    <w:rsid w:val="002A1463"/>
    <w:rsid w:val="002A1D98"/>
    <w:rsid w:val="002A29BF"/>
    <w:rsid w:val="002A2A01"/>
    <w:rsid w:val="002A2B03"/>
    <w:rsid w:val="002A3E29"/>
    <w:rsid w:val="002A43DF"/>
    <w:rsid w:val="002A517D"/>
    <w:rsid w:val="002A54C4"/>
    <w:rsid w:val="002A5801"/>
    <w:rsid w:val="002A5D4D"/>
    <w:rsid w:val="002A5EB8"/>
    <w:rsid w:val="002A606B"/>
    <w:rsid w:val="002A69D2"/>
    <w:rsid w:val="002A6D8C"/>
    <w:rsid w:val="002A7464"/>
    <w:rsid w:val="002A7EE2"/>
    <w:rsid w:val="002B05C6"/>
    <w:rsid w:val="002B073A"/>
    <w:rsid w:val="002B091D"/>
    <w:rsid w:val="002B1BD8"/>
    <w:rsid w:val="002B1D80"/>
    <w:rsid w:val="002B30C8"/>
    <w:rsid w:val="002B32BA"/>
    <w:rsid w:val="002B393F"/>
    <w:rsid w:val="002B3D4C"/>
    <w:rsid w:val="002B3DBF"/>
    <w:rsid w:val="002B3DEC"/>
    <w:rsid w:val="002B43CA"/>
    <w:rsid w:val="002B45BA"/>
    <w:rsid w:val="002B5461"/>
    <w:rsid w:val="002B5B04"/>
    <w:rsid w:val="002B6F79"/>
    <w:rsid w:val="002B72FC"/>
    <w:rsid w:val="002B747F"/>
    <w:rsid w:val="002B766F"/>
    <w:rsid w:val="002B77BD"/>
    <w:rsid w:val="002B7F44"/>
    <w:rsid w:val="002C0340"/>
    <w:rsid w:val="002C08DB"/>
    <w:rsid w:val="002C0A0F"/>
    <w:rsid w:val="002C12D7"/>
    <w:rsid w:val="002C161C"/>
    <w:rsid w:val="002C1960"/>
    <w:rsid w:val="002C1E28"/>
    <w:rsid w:val="002C1EC0"/>
    <w:rsid w:val="002C237B"/>
    <w:rsid w:val="002C24F2"/>
    <w:rsid w:val="002C2A25"/>
    <w:rsid w:val="002C2ECC"/>
    <w:rsid w:val="002C342F"/>
    <w:rsid w:val="002C4503"/>
    <w:rsid w:val="002C4EF6"/>
    <w:rsid w:val="002C5238"/>
    <w:rsid w:val="002C5609"/>
    <w:rsid w:val="002C64DC"/>
    <w:rsid w:val="002C69F0"/>
    <w:rsid w:val="002C6D56"/>
    <w:rsid w:val="002C6D67"/>
    <w:rsid w:val="002C7ABC"/>
    <w:rsid w:val="002C7CE7"/>
    <w:rsid w:val="002C7EE8"/>
    <w:rsid w:val="002D0E12"/>
    <w:rsid w:val="002D134C"/>
    <w:rsid w:val="002D1627"/>
    <w:rsid w:val="002D1C57"/>
    <w:rsid w:val="002D265A"/>
    <w:rsid w:val="002D2BFE"/>
    <w:rsid w:val="002D326F"/>
    <w:rsid w:val="002D349F"/>
    <w:rsid w:val="002D3A85"/>
    <w:rsid w:val="002D3EDA"/>
    <w:rsid w:val="002D3F12"/>
    <w:rsid w:val="002D492C"/>
    <w:rsid w:val="002D4D96"/>
    <w:rsid w:val="002D4E50"/>
    <w:rsid w:val="002D4F14"/>
    <w:rsid w:val="002D4FF6"/>
    <w:rsid w:val="002D50D2"/>
    <w:rsid w:val="002D5932"/>
    <w:rsid w:val="002D5965"/>
    <w:rsid w:val="002D6258"/>
    <w:rsid w:val="002D704F"/>
    <w:rsid w:val="002D707E"/>
    <w:rsid w:val="002D736F"/>
    <w:rsid w:val="002D78AC"/>
    <w:rsid w:val="002D7EE3"/>
    <w:rsid w:val="002D7F37"/>
    <w:rsid w:val="002E0B7C"/>
    <w:rsid w:val="002E0C55"/>
    <w:rsid w:val="002E2612"/>
    <w:rsid w:val="002E287A"/>
    <w:rsid w:val="002E2C24"/>
    <w:rsid w:val="002E32C1"/>
    <w:rsid w:val="002E3CB4"/>
    <w:rsid w:val="002E4B22"/>
    <w:rsid w:val="002E4E38"/>
    <w:rsid w:val="002E4F39"/>
    <w:rsid w:val="002E57EE"/>
    <w:rsid w:val="002E6023"/>
    <w:rsid w:val="002F026F"/>
    <w:rsid w:val="002F0732"/>
    <w:rsid w:val="002F13A1"/>
    <w:rsid w:val="002F1C60"/>
    <w:rsid w:val="002F1D61"/>
    <w:rsid w:val="002F23D3"/>
    <w:rsid w:val="002F3104"/>
    <w:rsid w:val="002F40C4"/>
    <w:rsid w:val="002F410C"/>
    <w:rsid w:val="002F43D9"/>
    <w:rsid w:val="002F43E0"/>
    <w:rsid w:val="002F4DC1"/>
    <w:rsid w:val="002F517E"/>
    <w:rsid w:val="002F5919"/>
    <w:rsid w:val="002F6B5D"/>
    <w:rsid w:val="002F7444"/>
    <w:rsid w:val="002F74F5"/>
    <w:rsid w:val="002F7DB1"/>
    <w:rsid w:val="0030048E"/>
    <w:rsid w:val="00300647"/>
    <w:rsid w:val="00300733"/>
    <w:rsid w:val="0030086F"/>
    <w:rsid w:val="003008C5"/>
    <w:rsid w:val="00300C9B"/>
    <w:rsid w:val="00301266"/>
    <w:rsid w:val="0030134A"/>
    <w:rsid w:val="00301742"/>
    <w:rsid w:val="003034E7"/>
    <w:rsid w:val="003041C2"/>
    <w:rsid w:val="00304807"/>
    <w:rsid w:val="00304C7B"/>
    <w:rsid w:val="00305221"/>
    <w:rsid w:val="0030600D"/>
    <w:rsid w:val="00306167"/>
    <w:rsid w:val="00306565"/>
    <w:rsid w:val="003069C9"/>
    <w:rsid w:val="00307497"/>
    <w:rsid w:val="0030751E"/>
    <w:rsid w:val="003077A9"/>
    <w:rsid w:val="00307A52"/>
    <w:rsid w:val="00307AEC"/>
    <w:rsid w:val="0031090D"/>
    <w:rsid w:val="00310D8A"/>
    <w:rsid w:val="00310E8F"/>
    <w:rsid w:val="00311884"/>
    <w:rsid w:val="00311C30"/>
    <w:rsid w:val="00312F7A"/>
    <w:rsid w:val="003130A8"/>
    <w:rsid w:val="00313420"/>
    <w:rsid w:val="00313EC1"/>
    <w:rsid w:val="00314991"/>
    <w:rsid w:val="003152D7"/>
    <w:rsid w:val="00315512"/>
    <w:rsid w:val="00315B65"/>
    <w:rsid w:val="00316097"/>
    <w:rsid w:val="003176FD"/>
    <w:rsid w:val="00317A02"/>
    <w:rsid w:val="0032096A"/>
    <w:rsid w:val="0032223B"/>
    <w:rsid w:val="00323612"/>
    <w:rsid w:val="00323964"/>
    <w:rsid w:val="00324139"/>
    <w:rsid w:val="00324591"/>
    <w:rsid w:val="00324B9A"/>
    <w:rsid w:val="00324E83"/>
    <w:rsid w:val="00325074"/>
    <w:rsid w:val="0032645C"/>
    <w:rsid w:val="003269A2"/>
    <w:rsid w:val="00326A5B"/>
    <w:rsid w:val="00326DF4"/>
    <w:rsid w:val="003275B8"/>
    <w:rsid w:val="00330322"/>
    <w:rsid w:val="00330BE3"/>
    <w:rsid w:val="00331A83"/>
    <w:rsid w:val="00331AFC"/>
    <w:rsid w:val="00331DF9"/>
    <w:rsid w:val="00332D45"/>
    <w:rsid w:val="00333117"/>
    <w:rsid w:val="0033356F"/>
    <w:rsid w:val="00334235"/>
    <w:rsid w:val="00334A0C"/>
    <w:rsid w:val="00334AB5"/>
    <w:rsid w:val="00334C0E"/>
    <w:rsid w:val="00334C86"/>
    <w:rsid w:val="003358D3"/>
    <w:rsid w:val="00335C04"/>
    <w:rsid w:val="00335CFA"/>
    <w:rsid w:val="00335E3B"/>
    <w:rsid w:val="003362A5"/>
    <w:rsid w:val="00336A3A"/>
    <w:rsid w:val="00337273"/>
    <w:rsid w:val="003403B5"/>
    <w:rsid w:val="00340468"/>
    <w:rsid w:val="00340572"/>
    <w:rsid w:val="00340749"/>
    <w:rsid w:val="00340EE2"/>
    <w:rsid w:val="00340FCE"/>
    <w:rsid w:val="0034154E"/>
    <w:rsid w:val="00341641"/>
    <w:rsid w:val="00341883"/>
    <w:rsid w:val="0034340D"/>
    <w:rsid w:val="003437A1"/>
    <w:rsid w:val="0034465C"/>
    <w:rsid w:val="003446D8"/>
    <w:rsid w:val="00344E4D"/>
    <w:rsid w:val="0034511E"/>
    <w:rsid w:val="00345397"/>
    <w:rsid w:val="00345F4C"/>
    <w:rsid w:val="00346767"/>
    <w:rsid w:val="00347605"/>
    <w:rsid w:val="003477DC"/>
    <w:rsid w:val="003479ED"/>
    <w:rsid w:val="00347B77"/>
    <w:rsid w:val="00347BE9"/>
    <w:rsid w:val="00347E8B"/>
    <w:rsid w:val="00350983"/>
    <w:rsid w:val="00350B8D"/>
    <w:rsid w:val="003514B1"/>
    <w:rsid w:val="00351586"/>
    <w:rsid w:val="003524B5"/>
    <w:rsid w:val="0035259F"/>
    <w:rsid w:val="003526F2"/>
    <w:rsid w:val="0035361E"/>
    <w:rsid w:val="003537A1"/>
    <w:rsid w:val="00353C3A"/>
    <w:rsid w:val="00354544"/>
    <w:rsid w:val="003546A9"/>
    <w:rsid w:val="00354F0F"/>
    <w:rsid w:val="00355071"/>
    <w:rsid w:val="003552FE"/>
    <w:rsid w:val="00355393"/>
    <w:rsid w:val="00355A34"/>
    <w:rsid w:val="003560C2"/>
    <w:rsid w:val="00356385"/>
    <w:rsid w:val="00357077"/>
    <w:rsid w:val="00357170"/>
    <w:rsid w:val="0035764A"/>
    <w:rsid w:val="00357912"/>
    <w:rsid w:val="00357B6D"/>
    <w:rsid w:val="00357EB4"/>
    <w:rsid w:val="003604CA"/>
    <w:rsid w:val="003606BB"/>
    <w:rsid w:val="00361748"/>
    <w:rsid w:val="00361766"/>
    <w:rsid w:val="00361CD2"/>
    <w:rsid w:val="00362ABA"/>
    <w:rsid w:val="00362BC6"/>
    <w:rsid w:val="00363570"/>
    <w:rsid w:val="00364BFB"/>
    <w:rsid w:val="00365661"/>
    <w:rsid w:val="0036578B"/>
    <w:rsid w:val="00366D16"/>
    <w:rsid w:val="003673FA"/>
    <w:rsid w:val="003674C1"/>
    <w:rsid w:val="00367CA2"/>
    <w:rsid w:val="00367F41"/>
    <w:rsid w:val="00370095"/>
    <w:rsid w:val="00370DDB"/>
    <w:rsid w:val="00371053"/>
    <w:rsid w:val="0037127D"/>
    <w:rsid w:val="00372F1A"/>
    <w:rsid w:val="003734CC"/>
    <w:rsid w:val="00374BF2"/>
    <w:rsid w:val="00374FD5"/>
    <w:rsid w:val="00375086"/>
    <w:rsid w:val="00375E79"/>
    <w:rsid w:val="00376736"/>
    <w:rsid w:val="00377817"/>
    <w:rsid w:val="00381D85"/>
    <w:rsid w:val="00382663"/>
    <w:rsid w:val="00383493"/>
    <w:rsid w:val="00383947"/>
    <w:rsid w:val="00384AC2"/>
    <w:rsid w:val="00385AC2"/>
    <w:rsid w:val="00386154"/>
    <w:rsid w:val="003865A2"/>
    <w:rsid w:val="00386885"/>
    <w:rsid w:val="00386C99"/>
    <w:rsid w:val="00386D41"/>
    <w:rsid w:val="0038731F"/>
    <w:rsid w:val="00387398"/>
    <w:rsid w:val="00387AE5"/>
    <w:rsid w:val="00391709"/>
    <w:rsid w:val="00391963"/>
    <w:rsid w:val="00391E00"/>
    <w:rsid w:val="00392F8C"/>
    <w:rsid w:val="00393129"/>
    <w:rsid w:val="00393257"/>
    <w:rsid w:val="003937CC"/>
    <w:rsid w:val="00393895"/>
    <w:rsid w:val="00393A19"/>
    <w:rsid w:val="00393CAE"/>
    <w:rsid w:val="00393CFD"/>
    <w:rsid w:val="00393D92"/>
    <w:rsid w:val="00393E49"/>
    <w:rsid w:val="003944C2"/>
    <w:rsid w:val="003948C0"/>
    <w:rsid w:val="00394C2C"/>
    <w:rsid w:val="00394F01"/>
    <w:rsid w:val="0039514F"/>
    <w:rsid w:val="00395A69"/>
    <w:rsid w:val="00396F76"/>
    <w:rsid w:val="0039761D"/>
    <w:rsid w:val="003A04CF"/>
    <w:rsid w:val="003A1217"/>
    <w:rsid w:val="003A18A8"/>
    <w:rsid w:val="003A1ECA"/>
    <w:rsid w:val="003A1F5F"/>
    <w:rsid w:val="003A2388"/>
    <w:rsid w:val="003A26E3"/>
    <w:rsid w:val="003A2C4C"/>
    <w:rsid w:val="003A2CCE"/>
    <w:rsid w:val="003A3AA7"/>
    <w:rsid w:val="003A3AEE"/>
    <w:rsid w:val="003A3F62"/>
    <w:rsid w:val="003A41E8"/>
    <w:rsid w:val="003A42DA"/>
    <w:rsid w:val="003A4720"/>
    <w:rsid w:val="003A4CB1"/>
    <w:rsid w:val="003A574A"/>
    <w:rsid w:val="003A5D77"/>
    <w:rsid w:val="003A5DF5"/>
    <w:rsid w:val="003A6933"/>
    <w:rsid w:val="003A735F"/>
    <w:rsid w:val="003A7362"/>
    <w:rsid w:val="003A75BD"/>
    <w:rsid w:val="003A7A13"/>
    <w:rsid w:val="003B020E"/>
    <w:rsid w:val="003B0792"/>
    <w:rsid w:val="003B08F4"/>
    <w:rsid w:val="003B0C30"/>
    <w:rsid w:val="003B1028"/>
    <w:rsid w:val="003B1CE8"/>
    <w:rsid w:val="003B2571"/>
    <w:rsid w:val="003B2A89"/>
    <w:rsid w:val="003B2F80"/>
    <w:rsid w:val="003B3386"/>
    <w:rsid w:val="003B3FD8"/>
    <w:rsid w:val="003B5314"/>
    <w:rsid w:val="003B6B0A"/>
    <w:rsid w:val="003C0161"/>
    <w:rsid w:val="003C07F3"/>
    <w:rsid w:val="003C0A52"/>
    <w:rsid w:val="003C0B96"/>
    <w:rsid w:val="003C0EE8"/>
    <w:rsid w:val="003C1255"/>
    <w:rsid w:val="003C13A1"/>
    <w:rsid w:val="003C1721"/>
    <w:rsid w:val="003C2C28"/>
    <w:rsid w:val="003C2F38"/>
    <w:rsid w:val="003C3071"/>
    <w:rsid w:val="003C3827"/>
    <w:rsid w:val="003C412C"/>
    <w:rsid w:val="003C49D5"/>
    <w:rsid w:val="003C5134"/>
    <w:rsid w:val="003C5248"/>
    <w:rsid w:val="003C5F37"/>
    <w:rsid w:val="003C6C4F"/>
    <w:rsid w:val="003C733A"/>
    <w:rsid w:val="003C7C49"/>
    <w:rsid w:val="003D0AA5"/>
    <w:rsid w:val="003D0EBB"/>
    <w:rsid w:val="003D0ECB"/>
    <w:rsid w:val="003D1479"/>
    <w:rsid w:val="003D1968"/>
    <w:rsid w:val="003D1E49"/>
    <w:rsid w:val="003D2A2C"/>
    <w:rsid w:val="003D2A30"/>
    <w:rsid w:val="003D3109"/>
    <w:rsid w:val="003D4FBA"/>
    <w:rsid w:val="003D5DA7"/>
    <w:rsid w:val="003D685D"/>
    <w:rsid w:val="003D6E51"/>
    <w:rsid w:val="003E004D"/>
    <w:rsid w:val="003E0762"/>
    <w:rsid w:val="003E0BD3"/>
    <w:rsid w:val="003E0D4D"/>
    <w:rsid w:val="003E10B1"/>
    <w:rsid w:val="003E1279"/>
    <w:rsid w:val="003E14E1"/>
    <w:rsid w:val="003E1639"/>
    <w:rsid w:val="003E1A52"/>
    <w:rsid w:val="003E2702"/>
    <w:rsid w:val="003E2797"/>
    <w:rsid w:val="003E2810"/>
    <w:rsid w:val="003E2D75"/>
    <w:rsid w:val="003E2E95"/>
    <w:rsid w:val="003E33D5"/>
    <w:rsid w:val="003E33F5"/>
    <w:rsid w:val="003E36D4"/>
    <w:rsid w:val="003E3A5D"/>
    <w:rsid w:val="003E40CA"/>
    <w:rsid w:val="003E4168"/>
    <w:rsid w:val="003E42C3"/>
    <w:rsid w:val="003E4BCD"/>
    <w:rsid w:val="003E50E7"/>
    <w:rsid w:val="003E51FE"/>
    <w:rsid w:val="003E53CB"/>
    <w:rsid w:val="003E54F0"/>
    <w:rsid w:val="003E5A16"/>
    <w:rsid w:val="003E5B32"/>
    <w:rsid w:val="003E627E"/>
    <w:rsid w:val="003E630B"/>
    <w:rsid w:val="003E638B"/>
    <w:rsid w:val="003E6FFD"/>
    <w:rsid w:val="003E7129"/>
    <w:rsid w:val="003E732E"/>
    <w:rsid w:val="003F0E69"/>
    <w:rsid w:val="003F10D2"/>
    <w:rsid w:val="003F1BDE"/>
    <w:rsid w:val="003F3324"/>
    <w:rsid w:val="003F392F"/>
    <w:rsid w:val="003F3B6A"/>
    <w:rsid w:val="003F3BE4"/>
    <w:rsid w:val="003F5408"/>
    <w:rsid w:val="003F5CAA"/>
    <w:rsid w:val="003F5DC1"/>
    <w:rsid w:val="003F5F90"/>
    <w:rsid w:val="003F66C4"/>
    <w:rsid w:val="003F66D4"/>
    <w:rsid w:val="003F6C6E"/>
    <w:rsid w:val="003F7320"/>
    <w:rsid w:val="003F79B3"/>
    <w:rsid w:val="00400220"/>
    <w:rsid w:val="00400D3B"/>
    <w:rsid w:val="004010CF"/>
    <w:rsid w:val="00401439"/>
    <w:rsid w:val="0040152B"/>
    <w:rsid w:val="004015F9"/>
    <w:rsid w:val="00402225"/>
    <w:rsid w:val="004022E7"/>
    <w:rsid w:val="0040242E"/>
    <w:rsid w:val="00402922"/>
    <w:rsid w:val="0040381B"/>
    <w:rsid w:val="0040449D"/>
    <w:rsid w:val="00404C45"/>
    <w:rsid w:val="00404CDD"/>
    <w:rsid w:val="0040545A"/>
    <w:rsid w:val="004059AB"/>
    <w:rsid w:val="00406186"/>
    <w:rsid w:val="004062A4"/>
    <w:rsid w:val="004065EE"/>
    <w:rsid w:val="0040662F"/>
    <w:rsid w:val="00406BBD"/>
    <w:rsid w:val="0040795B"/>
    <w:rsid w:val="0041159F"/>
    <w:rsid w:val="0041183A"/>
    <w:rsid w:val="004122B8"/>
    <w:rsid w:val="0041398C"/>
    <w:rsid w:val="00413C9E"/>
    <w:rsid w:val="00413DF2"/>
    <w:rsid w:val="00414419"/>
    <w:rsid w:val="00414B8F"/>
    <w:rsid w:val="00415198"/>
    <w:rsid w:val="00415B27"/>
    <w:rsid w:val="004160ED"/>
    <w:rsid w:val="00416482"/>
    <w:rsid w:val="00416D72"/>
    <w:rsid w:val="00416E41"/>
    <w:rsid w:val="00417D36"/>
    <w:rsid w:val="0042025D"/>
    <w:rsid w:val="0042043B"/>
    <w:rsid w:val="0042068F"/>
    <w:rsid w:val="004208FE"/>
    <w:rsid w:val="004211EE"/>
    <w:rsid w:val="0042134F"/>
    <w:rsid w:val="0042198F"/>
    <w:rsid w:val="0042199A"/>
    <w:rsid w:val="00421A8F"/>
    <w:rsid w:val="004221E9"/>
    <w:rsid w:val="004226DA"/>
    <w:rsid w:val="00422FFF"/>
    <w:rsid w:val="004233E5"/>
    <w:rsid w:val="0042359B"/>
    <w:rsid w:val="004243B3"/>
    <w:rsid w:val="00424BEF"/>
    <w:rsid w:val="00425060"/>
    <w:rsid w:val="00425205"/>
    <w:rsid w:val="0042546E"/>
    <w:rsid w:val="004258E8"/>
    <w:rsid w:val="00425CCF"/>
    <w:rsid w:val="00425E32"/>
    <w:rsid w:val="004265EC"/>
    <w:rsid w:val="004267EA"/>
    <w:rsid w:val="00426BDF"/>
    <w:rsid w:val="004274B7"/>
    <w:rsid w:val="004276DB"/>
    <w:rsid w:val="00427849"/>
    <w:rsid w:val="00430830"/>
    <w:rsid w:val="00430BC3"/>
    <w:rsid w:val="00430C08"/>
    <w:rsid w:val="00430FB8"/>
    <w:rsid w:val="004310CF"/>
    <w:rsid w:val="004318A4"/>
    <w:rsid w:val="00432620"/>
    <w:rsid w:val="00432F3F"/>
    <w:rsid w:val="004330BB"/>
    <w:rsid w:val="00433261"/>
    <w:rsid w:val="00433CFA"/>
    <w:rsid w:val="00433D19"/>
    <w:rsid w:val="0043407F"/>
    <w:rsid w:val="004346FE"/>
    <w:rsid w:val="004347F3"/>
    <w:rsid w:val="00434820"/>
    <w:rsid w:val="00434B75"/>
    <w:rsid w:val="0043566C"/>
    <w:rsid w:val="004362E4"/>
    <w:rsid w:val="00436BAE"/>
    <w:rsid w:val="00437491"/>
    <w:rsid w:val="004378B1"/>
    <w:rsid w:val="00441160"/>
    <w:rsid w:val="00442180"/>
    <w:rsid w:val="004428EF"/>
    <w:rsid w:val="004428F0"/>
    <w:rsid w:val="00443423"/>
    <w:rsid w:val="00443F84"/>
    <w:rsid w:val="00444C67"/>
    <w:rsid w:val="00444C76"/>
    <w:rsid w:val="00444EE9"/>
    <w:rsid w:val="00444FD9"/>
    <w:rsid w:val="0044511B"/>
    <w:rsid w:val="0044556A"/>
    <w:rsid w:val="00445A3F"/>
    <w:rsid w:val="00445AB7"/>
    <w:rsid w:val="00445C52"/>
    <w:rsid w:val="00445CE2"/>
    <w:rsid w:val="004468F2"/>
    <w:rsid w:val="00446F07"/>
    <w:rsid w:val="00450564"/>
    <w:rsid w:val="00452487"/>
    <w:rsid w:val="00453108"/>
    <w:rsid w:val="004532EA"/>
    <w:rsid w:val="00453D5B"/>
    <w:rsid w:val="00453F52"/>
    <w:rsid w:val="0045436D"/>
    <w:rsid w:val="00454419"/>
    <w:rsid w:val="00454586"/>
    <w:rsid w:val="004558DD"/>
    <w:rsid w:val="0045616F"/>
    <w:rsid w:val="00456B7C"/>
    <w:rsid w:val="00456F6A"/>
    <w:rsid w:val="004570E7"/>
    <w:rsid w:val="0045774B"/>
    <w:rsid w:val="00457872"/>
    <w:rsid w:val="004578C8"/>
    <w:rsid w:val="00460F15"/>
    <w:rsid w:val="0046162A"/>
    <w:rsid w:val="00462178"/>
    <w:rsid w:val="004621D4"/>
    <w:rsid w:val="00462842"/>
    <w:rsid w:val="00462ACF"/>
    <w:rsid w:val="00463402"/>
    <w:rsid w:val="004641AA"/>
    <w:rsid w:val="00466510"/>
    <w:rsid w:val="00467050"/>
    <w:rsid w:val="004671CF"/>
    <w:rsid w:val="00467550"/>
    <w:rsid w:val="00467770"/>
    <w:rsid w:val="004679E5"/>
    <w:rsid w:val="00467A39"/>
    <w:rsid w:val="00467F98"/>
    <w:rsid w:val="00470027"/>
    <w:rsid w:val="004706DB"/>
    <w:rsid w:val="00471B05"/>
    <w:rsid w:val="0047265A"/>
    <w:rsid w:val="004731A2"/>
    <w:rsid w:val="00473448"/>
    <w:rsid w:val="004734F4"/>
    <w:rsid w:val="0047352E"/>
    <w:rsid w:val="00473BCE"/>
    <w:rsid w:val="00473E03"/>
    <w:rsid w:val="00473FA6"/>
    <w:rsid w:val="004741CC"/>
    <w:rsid w:val="00474256"/>
    <w:rsid w:val="0047473E"/>
    <w:rsid w:val="0047480E"/>
    <w:rsid w:val="00474BAC"/>
    <w:rsid w:val="004759FE"/>
    <w:rsid w:val="00475C76"/>
    <w:rsid w:val="0047603C"/>
    <w:rsid w:val="004761C1"/>
    <w:rsid w:val="00476478"/>
    <w:rsid w:val="0047692A"/>
    <w:rsid w:val="00476EA5"/>
    <w:rsid w:val="004777A8"/>
    <w:rsid w:val="00477CAB"/>
    <w:rsid w:val="00480BB8"/>
    <w:rsid w:val="00480DE0"/>
    <w:rsid w:val="00481079"/>
    <w:rsid w:val="00481D96"/>
    <w:rsid w:val="00482406"/>
    <w:rsid w:val="004825C4"/>
    <w:rsid w:val="00483878"/>
    <w:rsid w:val="00483CFC"/>
    <w:rsid w:val="004843D8"/>
    <w:rsid w:val="00486FA2"/>
    <w:rsid w:val="004875B7"/>
    <w:rsid w:val="0048779D"/>
    <w:rsid w:val="00487EE7"/>
    <w:rsid w:val="00490D64"/>
    <w:rsid w:val="00491C41"/>
    <w:rsid w:val="0049204F"/>
    <w:rsid w:val="00492085"/>
    <w:rsid w:val="00492B8B"/>
    <w:rsid w:val="0049449A"/>
    <w:rsid w:val="00496252"/>
    <w:rsid w:val="00496AF1"/>
    <w:rsid w:val="00497241"/>
    <w:rsid w:val="00497311"/>
    <w:rsid w:val="00497318"/>
    <w:rsid w:val="004A03B0"/>
    <w:rsid w:val="004A10E7"/>
    <w:rsid w:val="004A263D"/>
    <w:rsid w:val="004A2C0D"/>
    <w:rsid w:val="004A30DE"/>
    <w:rsid w:val="004A390A"/>
    <w:rsid w:val="004A392F"/>
    <w:rsid w:val="004A3F4E"/>
    <w:rsid w:val="004A5089"/>
    <w:rsid w:val="004A508D"/>
    <w:rsid w:val="004A61F3"/>
    <w:rsid w:val="004A6EA5"/>
    <w:rsid w:val="004A739C"/>
    <w:rsid w:val="004A74EB"/>
    <w:rsid w:val="004A7549"/>
    <w:rsid w:val="004A7F6E"/>
    <w:rsid w:val="004B1313"/>
    <w:rsid w:val="004B13D0"/>
    <w:rsid w:val="004B16FB"/>
    <w:rsid w:val="004B2417"/>
    <w:rsid w:val="004B273D"/>
    <w:rsid w:val="004B3681"/>
    <w:rsid w:val="004B441B"/>
    <w:rsid w:val="004B5146"/>
    <w:rsid w:val="004B5296"/>
    <w:rsid w:val="004B53F4"/>
    <w:rsid w:val="004B66A7"/>
    <w:rsid w:val="004B6B34"/>
    <w:rsid w:val="004B7680"/>
    <w:rsid w:val="004B78B5"/>
    <w:rsid w:val="004B7BD7"/>
    <w:rsid w:val="004C01FD"/>
    <w:rsid w:val="004C0ABB"/>
    <w:rsid w:val="004C0E95"/>
    <w:rsid w:val="004C109B"/>
    <w:rsid w:val="004C1BF8"/>
    <w:rsid w:val="004C1CA2"/>
    <w:rsid w:val="004C214D"/>
    <w:rsid w:val="004C229C"/>
    <w:rsid w:val="004C31E6"/>
    <w:rsid w:val="004C3253"/>
    <w:rsid w:val="004C43B1"/>
    <w:rsid w:val="004C43E1"/>
    <w:rsid w:val="004C57BC"/>
    <w:rsid w:val="004C6BFB"/>
    <w:rsid w:val="004C6D48"/>
    <w:rsid w:val="004C7110"/>
    <w:rsid w:val="004C7248"/>
    <w:rsid w:val="004C7946"/>
    <w:rsid w:val="004C7B61"/>
    <w:rsid w:val="004D028C"/>
    <w:rsid w:val="004D1486"/>
    <w:rsid w:val="004D1551"/>
    <w:rsid w:val="004D15FB"/>
    <w:rsid w:val="004D18A9"/>
    <w:rsid w:val="004D23E2"/>
    <w:rsid w:val="004D2E25"/>
    <w:rsid w:val="004D3015"/>
    <w:rsid w:val="004D4B21"/>
    <w:rsid w:val="004D4B8C"/>
    <w:rsid w:val="004D4EBA"/>
    <w:rsid w:val="004D595A"/>
    <w:rsid w:val="004D60E1"/>
    <w:rsid w:val="004D6CFC"/>
    <w:rsid w:val="004D7681"/>
    <w:rsid w:val="004D7C54"/>
    <w:rsid w:val="004E0256"/>
    <w:rsid w:val="004E0737"/>
    <w:rsid w:val="004E0942"/>
    <w:rsid w:val="004E1D50"/>
    <w:rsid w:val="004E2693"/>
    <w:rsid w:val="004E32F2"/>
    <w:rsid w:val="004E3463"/>
    <w:rsid w:val="004E40A8"/>
    <w:rsid w:val="004E4228"/>
    <w:rsid w:val="004E4C93"/>
    <w:rsid w:val="004E4DDA"/>
    <w:rsid w:val="004E5D28"/>
    <w:rsid w:val="004E764E"/>
    <w:rsid w:val="004E78D5"/>
    <w:rsid w:val="004E7D5A"/>
    <w:rsid w:val="004F041F"/>
    <w:rsid w:val="004F07E9"/>
    <w:rsid w:val="004F0A8B"/>
    <w:rsid w:val="004F20D7"/>
    <w:rsid w:val="004F26E5"/>
    <w:rsid w:val="004F3059"/>
    <w:rsid w:val="004F336D"/>
    <w:rsid w:val="004F3624"/>
    <w:rsid w:val="004F3ED7"/>
    <w:rsid w:val="004F535A"/>
    <w:rsid w:val="004F53CE"/>
    <w:rsid w:val="004F5615"/>
    <w:rsid w:val="004F5B30"/>
    <w:rsid w:val="004F5C7E"/>
    <w:rsid w:val="004F5EA8"/>
    <w:rsid w:val="004F5ECB"/>
    <w:rsid w:val="004F64C1"/>
    <w:rsid w:val="004F7D3F"/>
    <w:rsid w:val="0050043E"/>
    <w:rsid w:val="00500854"/>
    <w:rsid w:val="005026BD"/>
    <w:rsid w:val="005026F7"/>
    <w:rsid w:val="00502958"/>
    <w:rsid w:val="005038D6"/>
    <w:rsid w:val="005039FF"/>
    <w:rsid w:val="00503BD0"/>
    <w:rsid w:val="005040EF"/>
    <w:rsid w:val="00504761"/>
    <w:rsid w:val="00504DDD"/>
    <w:rsid w:val="005053EE"/>
    <w:rsid w:val="00505989"/>
    <w:rsid w:val="00505C0F"/>
    <w:rsid w:val="005060C5"/>
    <w:rsid w:val="0050679F"/>
    <w:rsid w:val="0050696F"/>
    <w:rsid w:val="00507885"/>
    <w:rsid w:val="00510078"/>
    <w:rsid w:val="00510CBC"/>
    <w:rsid w:val="00510ECB"/>
    <w:rsid w:val="00511BA7"/>
    <w:rsid w:val="0051292E"/>
    <w:rsid w:val="005133A8"/>
    <w:rsid w:val="005135CE"/>
    <w:rsid w:val="005145BE"/>
    <w:rsid w:val="0051514E"/>
    <w:rsid w:val="00515990"/>
    <w:rsid w:val="00515D32"/>
    <w:rsid w:val="00515E0A"/>
    <w:rsid w:val="00516162"/>
    <w:rsid w:val="0051678E"/>
    <w:rsid w:val="00517553"/>
    <w:rsid w:val="00517CA3"/>
    <w:rsid w:val="00517EFC"/>
    <w:rsid w:val="005202FF"/>
    <w:rsid w:val="00520325"/>
    <w:rsid w:val="00520373"/>
    <w:rsid w:val="005203A0"/>
    <w:rsid w:val="00520803"/>
    <w:rsid w:val="00520E79"/>
    <w:rsid w:val="005210A2"/>
    <w:rsid w:val="005210AF"/>
    <w:rsid w:val="005211CE"/>
    <w:rsid w:val="00521520"/>
    <w:rsid w:val="0052181A"/>
    <w:rsid w:val="005220AC"/>
    <w:rsid w:val="005222F8"/>
    <w:rsid w:val="00522ADC"/>
    <w:rsid w:val="00523425"/>
    <w:rsid w:val="00523483"/>
    <w:rsid w:val="00523C90"/>
    <w:rsid w:val="00524FF0"/>
    <w:rsid w:val="00525393"/>
    <w:rsid w:val="00525483"/>
    <w:rsid w:val="00525524"/>
    <w:rsid w:val="005279C6"/>
    <w:rsid w:val="00530C67"/>
    <w:rsid w:val="005319D0"/>
    <w:rsid w:val="005319D4"/>
    <w:rsid w:val="0053239E"/>
    <w:rsid w:val="0053343E"/>
    <w:rsid w:val="00533BCB"/>
    <w:rsid w:val="005342D1"/>
    <w:rsid w:val="0053460A"/>
    <w:rsid w:val="00534A9D"/>
    <w:rsid w:val="005353A8"/>
    <w:rsid w:val="00535537"/>
    <w:rsid w:val="00535A5D"/>
    <w:rsid w:val="00535BFF"/>
    <w:rsid w:val="005361E5"/>
    <w:rsid w:val="005361F3"/>
    <w:rsid w:val="005363CD"/>
    <w:rsid w:val="00537C12"/>
    <w:rsid w:val="00537E38"/>
    <w:rsid w:val="00540544"/>
    <w:rsid w:val="00540ECE"/>
    <w:rsid w:val="005413FD"/>
    <w:rsid w:val="00542EDC"/>
    <w:rsid w:val="005439ED"/>
    <w:rsid w:val="005447AC"/>
    <w:rsid w:val="00545565"/>
    <w:rsid w:val="00545760"/>
    <w:rsid w:val="0054583A"/>
    <w:rsid w:val="005459C4"/>
    <w:rsid w:val="00545E99"/>
    <w:rsid w:val="00546742"/>
    <w:rsid w:val="00546F4E"/>
    <w:rsid w:val="00547879"/>
    <w:rsid w:val="005479EB"/>
    <w:rsid w:val="0055002B"/>
    <w:rsid w:val="00550B2F"/>
    <w:rsid w:val="00551915"/>
    <w:rsid w:val="00552722"/>
    <w:rsid w:val="00552B32"/>
    <w:rsid w:val="00552B3D"/>
    <w:rsid w:val="0055351E"/>
    <w:rsid w:val="0055439E"/>
    <w:rsid w:val="00554615"/>
    <w:rsid w:val="00554A71"/>
    <w:rsid w:val="00554B41"/>
    <w:rsid w:val="005553CA"/>
    <w:rsid w:val="005554F2"/>
    <w:rsid w:val="00555BCA"/>
    <w:rsid w:val="00555FA0"/>
    <w:rsid w:val="0055621C"/>
    <w:rsid w:val="0055670F"/>
    <w:rsid w:val="0055679E"/>
    <w:rsid w:val="00557118"/>
    <w:rsid w:val="005574A1"/>
    <w:rsid w:val="0055797B"/>
    <w:rsid w:val="00557E18"/>
    <w:rsid w:val="005601A7"/>
    <w:rsid w:val="00560BEB"/>
    <w:rsid w:val="005612A9"/>
    <w:rsid w:val="00561488"/>
    <w:rsid w:val="005618F6"/>
    <w:rsid w:val="005622D3"/>
    <w:rsid w:val="005625B2"/>
    <w:rsid w:val="0056279C"/>
    <w:rsid w:val="00563253"/>
    <w:rsid w:val="005637A8"/>
    <w:rsid w:val="00563E0C"/>
    <w:rsid w:val="005641C8"/>
    <w:rsid w:val="005647F9"/>
    <w:rsid w:val="005648CA"/>
    <w:rsid w:val="00564F43"/>
    <w:rsid w:val="005652FE"/>
    <w:rsid w:val="00565651"/>
    <w:rsid w:val="005656D1"/>
    <w:rsid w:val="00566069"/>
    <w:rsid w:val="00566169"/>
    <w:rsid w:val="00566382"/>
    <w:rsid w:val="005663FA"/>
    <w:rsid w:val="005665C5"/>
    <w:rsid w:val="00567C91"/>
    <w:rsid w:val="005702A1"/>
    <w:rsid w:val="0057137A"/>
    <w:rsid w:val="00571809"/>
    <w:rsid w:val="00572650"/>
    <w:rsid w:val="005728A4"/>
    <w:rsid w:val="00573092"/>
    <w:rsid w:val="00573445"/>
    <w:rsid w:val="00573A98"/>
    <w:rsid w:val="005741CA"/>
    <w:rsid w:val="0057453C"/>
    <w:rsid w:val="00574836"/>
    <w:rsid w:val="00574ABA"/>
    <w:rsid w:val="00574B62"/>
    <w:rsid w:val="00574E9E"/>
    <w:rsid w:val="005755BA"/>
    <w:rsid w:val="00575A99"/>
    <w:rsid w:val="00576F60"/>
    <w:rsid w:val="0057759E"/>
    <w:rsid w:val="00577969"/>
    <w:rsid w:val="005779EF"/>
    <w:rsid w:val="00577B79"/>
    <w:rsid w:val="00580023"/>
    <w:rsid w:val="00580622"/>
    <w:rsid w:val="00580B9A"/>
    <w:rsid w:val="00581D12"/>
    <w:rsid w:val="00582CB8"/>
    <w:rsid w:val="0058349F"/>
    <w:rsid w:val="00583537"/>
    <w:rsid w:val="00583AF1"/>
    <w:rsid w:val="0058452E"/>
    <w:rsid w:val="0058552A"/>
    <w:rsid w:val="0058570B"/>
    <w:rsid w:val="00585C2D"/>
    <w:rsid w:val="0058657D"/>
    <w:rsid w:val="00586D4B"/>
    <w:rsid w:val="005873B9"/>
    <w:rsid w:val="00587D9E"/>
    <w:rsid w:val="0059032C"/>
    <w:rsid w:val="0059048B"/>
    <w:rsid w:val="005916D0"/>
    <w:rsid w:val="00591780"/>
    <w:rsid w:val="0059256C"/>
    <w:rsid w:val="00592639"/>
    <w:rsid w:val="00593072"/>
    <w:rsid w:val="00594B61"/>
    <w:rsid w:val="00595BF2"/>
    <w:rsid w:val="00596294"/>
    <w:rsid w:val="00597067"/>
    <w:rsid w:val="00597093"/>
    <w:rsid w:val="005A0426"/>
    <w:rsid w:val="005A0D36"/>
    <w:rsid w:val="005A11A9"/>
    <w:rsid w:val="005A13D8"/>
    <w:rsid w:val="005A2A3E"/>
    <w:rsid w:val="005A2C08"/>
    <w:rsid w:val="005A39DB"/>
    <w:rsid w:val="005A43AF"/>
    <w:rsid w:val="005A4589"/>
    <w:rsid w:val="005A4AD8"/>
    <w:rsid w:val="005A4CF5"/>
    <w:rsid w:val="005A58C8"/>
    <w:rsid w:val="005A5BB7"/>
    <w:rsid w:val="005A614B"/>
    <w:rsid w:val="005A62D1"/>
    <w:rsid w:val="005A69CF"/>
    <w:rsid w:val="005A6B75"/>
    <w:rsid w:val="005A7187"/>
    <w:rsid w:val="005B010C"/>
    <w:rsid w:val="005B05A7"/>
    <w:rsid w:val="005B0DDC"/>
    <w:rsid w:val="005B1576"/>
    <w:rsid w:val="005B16D6"/>
    <w:rsid w:val="005B22A5"/>
    <w:rsid w:val="005B2329"/>
    <w:rsid w:val="005B28BF"/>
    <w:rsid w:val="005B2DBF"/>
    <w:rsid w:val="005B3241"/>
    <w:rsid w:val="005B3374"/>
    <w:rsid w:val="005B3951"/>
    <w:rsid w:val="005B3A3A"/>
    <w:rsid w:val="005B3EDF"/>
    <w:rsid w:val="005B439B"/>
    <w:rsid w:val="005B4973"/>
    <w:rsid w:val="005B49CC"/>
    <w:rsid w:val="005B4A11"/>
    <w:rsid w:val="005B5560"/>
    <w:rsid w:val="005B5956"/>
    <w:rsid w:val="005B79D6"/>
    <w:rsid w:val="005B7C2A"/>
    <w:rsid w:val="005B7F26"/>
    <w:rsid w:val="005C016B"/>
    <w:rsid w:val="005C02B0"/>
    <w:rsid w:val="005C05FA"/>
    <w:rsid w:val="005C10EF"/>
    <w:rsid w:val="005C2485"/>
    <w:rsid w:val="005C371A"/>
    <w:rsid w:val="005C3896"/>
    <w:rsid w:val="005C3BE9"/>
    <w:rsid w:val="005C3D01"/>
    <w:rsid w:val="005C45A1"/>
    <w:rsid w:val="005C4ABF"/>
    <w:rsid w:val="005C53EE"/>
    <w:rsid w:val="005C58B3"/>
    <w:rsid w:val="005C5C81"/>
    <w:rsid w:val="005C64FE"/>
    <w:rsid w:val="005C72C1"/>
    <w:rsid w:val="005C7749"/>
    <w:rsid w:val="005C7BF4"/>
    <w:rsid w:val="005C7F53"/>
    <w:rsid w:val="005C7FE1"/>
    <w:rsid w:val="005D0096"/>
    <w:rsid w:val="005D0CC3"/>
    <w:rsid w:val="005D0D8A"/>
    <w:rsid w:val="005D19F9"/>
    <w:rsid w:val="005D1F59"/>
    <w:rsid w:val="005D20BF"/>
    <w:rsid w:val="005D250E"/>
    <w:rsid w:val="005D28F5"/>
    <w:rsid w:val="005D2C14"/>
    <w:rsid w:val="005D3111"/>
    <w:rsid w:val="005D38B4"/>
    <w:rsid w:val="005D4383"/>
    <w:rsid w:val="005D45C6"/>
    <w:rsid w:val="005D5060"/>
    <w:rsid w:val="005D52A0"/>
    <w:rsid w:val="005D56F6"/>
    <w:rsid w:val="005D60C7"/>
    <w:rsid w:val="005D629B"/>
    <w:rsid w:val="005D642B"/>
    <w:rsid w:val="005D6775"/>
    <w:rsid w:val="005D6A78"/>
    <w:rsid w:val="005D6D15"/>
    <w:rsid w:val="005D6D34"/>
    <w:rsid w:val="005D73B0"/>
    <w:rsid w:val="005D777D"/>
    <w:rsid w:val="005E095F"/>
    <w:rsid w:val="005E0B7F"/>
    <w:rsid w:val="005E1333"/>
    <w:rsid w:val="005E1F24"/>
    <w:rsid w:val="005E2273"/>
    <w:rsid w:val="005E23EA"/>
    <w:rsid w:val="005E285F"/>
    <w:rsid w:val="005E3855"/>
    <w:rsid w:val="005E3F64"/>
    <w:rsid w:val="005E460D"/>
    <w:rsid w:val="005E5637"/>
    <w:rsid w:val="005E57C6"/>
    <w:rsid w:val="005E62B1"/>
    <w:rsid w:val="005E664A"/>
    <w:rsid w:val="005E7067"/>
    <w:rsid w:val="005E7332"/>
    <w:rsid w:val="005E7CE7"/>
    <w:rsid w:val="005F0475"/>
    <w:rsid w:val="005F1E12"/>
    <w:rsid w:val="005F232A"/>
    <w:rsid w:val="005F2794"/>
    <w:rsid w:val="005F2988"/>
    <w:rsid w:val="005F2A62"/>
    <w:rsid w:val="005F2CF0"/>
    <w:rsid w:val="005F3BC1"/>
    <w:rsid w:val="005F46A7"/>
    <w:rsid w:val="005F4D48"/>
    <w:rsid w:val="005F513A"/>
    <w:rsid w:val="005F53B8"/>
    <w:rsid w:val="005F5AC9"/>
    <w:rsid w:val="005F5E94"/>
    <w:rsid w:val="005F6FCB"/>
    <w:rsid w:val="005F79C8"/>
    <w:rsid w:val="005F7AF5"/>
    <w:rsid w:val="005F7F9E"/>
    <w:rsid w:val="00600079"/>
    <w:rsid w:val="006000BA"/>
    <w:rsid w:val="0060062C"/>
    <w:rsid w:val="006010A8"/>
    <w:rsid w:val="00602783"/>
    <w:rsid w:val="006028E0"/>
    <w:rsid w:val="006037D6"/>
    <w:rsid w:val="00603E51"/>
    <w:rsid w:val="00603E95"/>
    <w:rsid w:val="0060486B"/>
    <w:rsid w:val="006058AF"/>
    <w:rsid w:val="0060595A"/>
    <w:rsid w:val="0060599A"/>
    <w:rsid w:val="00606449"/>
    <w:rsid w:val="00606655"/>
    <w:rsid w:val="00606F45"/>
    <w:rsid w:val="00607985"/>
    <w:rsid w:val="00607C2E"/>
    <w:rsid w:val="00610439"/>
    <w:rsid w:val="00611990"/>
    <w:rsid w:val="00611BAA"/>
    <w:rsid w:val="00611C15"/>
    <w:rsid w:val="00611E4E"/>
    <w:rsid w:val="006124F5"/>
    <w:rsid w:val="00612D37"/>
    <w:rsid w:val="00613703"/>
    <w:rsid w:val="00613C5E"/>
    <w:rsid w:val="00614A0A"/>
    <w:rsid w:val="00614A7C"/>
    <w:rsid w:val="006151CE"/>
    <w:rsid w:val="00615BE6"/>
    <w:rsid w:val="00615D99"/>
    <w:rsid w:val="0061611D"/>
    <w:rsid w:val="0061669A"/>
    <w:rsid w:val="00616EBC"/>
    <w:rsid w:val="00617622"/>
    <w:rsid w:val="0062057A"/>
    <w:rsid w:val="006207E7"/>
    <w:rsid w:val="00620BB6"/>
    <w:rsid w:val="00620D13"/>
    <w:rsid w:val="00620F32"/>
    <w:rsid w:val="00621444"/>
    <w:rsid w:val="00622DA6"/>
    <w:rsid w:val="006237BC"/>
    <w:rsid w:val="00623CA4"/>
    <w:rsid w:val="00623EC1"/>
    <w:rsid w:val="006240F8"/>
    <w:rsid w:val="0062411E"/>
    <w:rsid w:val="00624493"/>
    <w:rsid w:val="00625955"/>
    <w:rsid w:val="00625CD1"/>
    <w:rsid w:val="0062658A"/>
    <w:rsid w:val="0062689B"/>
    <w:rsid w:val="00626BBF"/>
    <w:rsid w:val="00626BF4"/>
    <w:rsid w:val="00626F72"/>
    <w:rsid w:val="006271A3"/>
    <w:rsid w:val="00627EFF"/>
    <w:rsid w:val="0063065C"/>
    <w:rsid w:val="00630D50"/>
    <w:rsid w:val="00630E82"/>
    <w:rsid w:val="0063157E"/>
    <w:rsid w:val="00631B0B"/>
    <w:rsid w:val="00632BBB"/>
    <w:rsid w:val="00634E21"/>
    <w:rsid w:val="0063634E"/>
    <w:rsid w:val="006363C8"/>
    <w:rsid w:val="0063725F"/>
    <w:rsid w:val="00637A37"/>
    <w:rsid w:val="00637A70"/>
    <w:rsid w:val="00637F5D"/>
    <w:rsid w:val="006401EF"/>
    <w:rsid w:val="00640B81"/>
    <w:rsid w:val="00641117"/>
    <w:rsid w:val="006412D5"/>
    <w:rsid w:val="00641BEA"/>
    <w:rsid w:val="00641FE2"/>
    <w:rsid w:val="0064211D"/>
    <w:rsid w:val="0064215A"/>
    <w:rsid w:val="00642750"/>
    <w:rsid w:val="00643225"/>
    <w:rsid w:val="00644122"/>
    <w:rsid w:val="00644202"/>
    <w:rsid w:val="00644C2D"/>
    <w:rsid w:val="00644F4D"/>
    <w:rsid w:val="00645136"/>
    <w:rsid w:val="006459B3"/>
    <w:rsid w:val="006459C1"/>
    <w:rsid w:val="00646042"/>
    <w:rsid w:val="006467AA"/>
    <w:rsid w:val="00646B54"/>
    <w:rsid w:val="00647BDA"/>
    <w:rsid w:val="00647F2A"/>
    <w:rsid w:val="00650253"/>
    <w:rsid w:val="00650486"/>
    <w:rsid w:val="006507B5"/>
    <w:rsid w:val="006509ED"/>
    <w:rsid w:val="00650B19"/>
    <w:rsid w:val="006511D0"/>
    <w:rsid w:val="0065200B"/>
    <w:rsid w:val="00652408"/>
    <w:rsid w:val="0065299B"/>
    <w:rsid w:val="00653471"/>
    <w:rsid w:val="00653CF5"/>
    <w:rsid w:val="00653DAF"/>
    <w:rsid w:val="00653E4F"/>
    <w:rsid w:val="006544EE"/>
    <w:rsid w:val="00654767"/>
    <w:rsid w:val="00655548"/>
    <w:rsid w:val="00655AA4"/>
    <w:rsid w:val="006566C6"/>
    <w:rsid w:val="0065747A"/>
    <w:rsid w:val="006577F7"/>
    <w:rsid w:val="00657B27"/>
    <w:rsid w:val="00657E22"/>
    <w:rsid w:val="006608A1"/>
    <w:rsid w:val="00661523"/>
    <w:rsid w:val="00661F33"/>
    <w:rsid w:val="00664E0A"/>
    <w:rsid w:val="00664ED2"/>
    <w:rsid w:val="00665148"/>
    <w:rsid w:val="006655E7"/>
    <w:rsid w:val="006656AA"/>
    <w:rsid w:val="00665AAD"/>
    <w:rsid w:val="0066620F"/>
    <w:rsid w:val="0066658D"/>
    <w:rsid w:val="006667E8"/>
    <w:rsid w:val="006677BC"/>
    <w:rsid w:val="00667971"/>
    <w:rsid w:val="00667E09"/>
    <w:rsid w:val="00670270"/>
    <w:rsid w:val="0067100E"/>
    <w:rsid w:val="0067121A"/>
    <w:rsid w:val="0067152A"/>
    <w:rsid w:val="00671DCA"/>
    <w:rsid w:val="00671E08"/>
    <w:rsid w:val="00671EEF"/>
    <w:rsid w:val="006726E0"/>
    <w:rsid w:val="00673DFA"/>
    <w:rsid w:val="00674227"/>
    <w:rsid w:val="00674565"/>
    <w:rsid w:val="0067460A"/>
    <w:rsid w:val="006746B3"/>
    <w:rsid w:val="006747E4"/>
    <w:rsid w:val="00674C60"/>
    <w:rsid w:val="00674CB7"/>
    <w:rsid w:val="00675DDD"/>
    <w:rsid w:val="00676603"/>
    <w:rsid w:val="00676725"/>
    <w:rsid w:val="00676998"/>
    <w:rsid w:val="0067735D"/>
    <w:rsid w:val="00677B17"/>
    <w:rsid w:val="00677CBB"/>
    <w:rsid w:val="00677DC7"/>
    <w:rsid w:val="00677E0F"/>
    <w:rsid w:val="00677F16"/>
    <w:rsid w:val="0068002E"/>
    <w:rsid w:val="00680F97"/>
    <w:rsid w:val="00681201"/>
    <w:rsid w:val="0068222B"/>
    <w:rsid w:val="00682E37"/>
    <w:rsid w:val="00683107"/>
    <w:rsid w:val="0068328A"/>
    <w:rsid w:val="006837CB"/>
    <w:rsid w:val="00683DC4"/>
    <w:rsid w:val="00683E93"/>
    <w:rsid w:val="00683EA9"/>
    <w:rsid w:val="00684064"/>
    <w:rsid w:val="00684407"/>
    <w:rsid w:val="006845C4"/>
    <w:rsid w:val="006845CE"/>
    <w:rsid w:val="0068499B"/>
    <w:rsid w:val="00684D1D"/>
    <w:rsid w:val="0068508C"/>
    <w:rsid w:val="00685467"/>
    <w:rsid w:val="0068641E"/>
    <w:rsid w:val="0068685C"/>
    <w:rsid w:val="00686BF3"/>
    <w:rsid w:val="006901C6"/>
    <w:rsid w:val="0069025E"/>
    <w:rsid w:val="006910BF"/>
    <w:rsid w:val="006919DA"/>
    <w:rsid w:val="006920D8"/>
    <w:rsid w:val="006922FB"/>
    <w:rsid w:val="00692F54"/>
    <w:rsid w:val="0069336A"/>
    <w:rsid w:val="0069365B"/>
    <w:rsid w:val="00694921"/>
    <w:rsid w:val="00694E85"/>
    <w:rsid w:val="0069576F"/>
    <w:rsid w:val="006958CA"/>
    <w:rsid w:val="00696028"/>
    <w:rsid w:val="00696FE6"/>
    <w:rsid w:val="0069715B"/>
    <w:rsid w:val="00697511"/>
    <w:rsid w:val="006A0285"/>
    <w:rsid w:val="006A0CC4"/>
    <w:rsid w:val="006A1521"/>
    <w:rsid w:val="006A16F9"/>
    <w:rsid w:val="006A1C24"/>
    <w:rsid w:val="006A256D"/>
    <w:rsid w:val="006A2945"/>
    <w:rsid w:val="006A2C8F"/>
    <w:rsid w:val="006A3A60"/>
    <w:rsid w:val="006A4B1B"/>
    <w:rsid w:val="006A535D"/>
    <w:rsid w:val="006A5814"/>
    <w:rsid w:val="006A5ED5"/>
    <w:rsid w:val="006A5FA6"/>
    <w:rsid w:val="006A661D"/>
    <w:rsid w:val="006A721D"/>
    <w:rsid w:val="006A74CB"/>
    <w:rsid w:val="006B026F"/>
    <w:rsid w:val="006B0835"/>
    <w:rsid w:val="006B0C5E"/>
    <w:rsid w:val="006B10A7"/>
    <w:rsid w:val="006B2113"/>
    <w:rsid w:val="006B24F4"/>
    <w:rsid w:val="006B289F"/>
    <w:rsid w:val="006B2B9A"/>
    <w:rsid w:val="006B391D"/>
    <w:rsid w:val="006B409E"/>
    <w:rsid w:val="006B45C9"/>
    <w:rsid w:val="006B60D9"/>
    <w:rsid w:val="006B6273"/>
    <w:rsid w:val="006B63BB"/>
    <w:rsid w:val="006B6D6B"/>
    <w:rsid w:val="006B74A9"/>
    <w:rsid w:val="006C019C"/>
    <w:rsid w:val="006C0444"/>
    <w:rsid w:val="006C04E5"/>
    <w:rsid w:val="006C10D9"/>
    <w:rsid w:val="006C1603"/>
    <w:rsid w:val="006C1B89"/>
    <w:rsid w:val="006C2623"/>
    <w:rsid w:val="006C2BBF"/>
    <w:rsid w:val="006C2FE9"/>
    <w:rsid w:val="006C350A"/>
    <w:rsid w:val="006C3E7F"/>
    <w:rsid w:val="006C4144"/>
    <w:rsid w:val="006C483F"/>
    <w:rsid w:val="006C4E00"/>
    <w:rsid w:val="006C4E5E"/>
    <w:rsid w:val="006C54F5"/>
    <w:rsid w:val="006C551A"/>
    <w:rsid w:val="006C5745"/>
    <w:rsid w:val="006C747E"/>
    <w:rsid w:val="006C77A3"/>
    <w:rsid w:val="006D052B"/>
    <w:rsid w:val="006D0684"/>
    <w:rsid w:val="006D0853"/>
    <w:rsid w:val="006D0B0C"/>
    <w:rsid w:val="006D0B4B"/>
    <w:rsid w:val="006D0CF4"/>
    <w:rsid w:val="006D0D2E"/>
    <w:rsid w:val="006D1491"/>
    <w:rsid w:val="006D16A2"/>
    <w:rsid w:val="006D19CE"/>
    <w:rsid w:val="006D1A29"/>
    <w:rsid w:val="006D1AB6"/>
    <w:rsid w:val="006D2AA4"/>
    <w:rsid w:val="006D2E53"/>
    <w:rsid w:val="006D2F83"/>
    <w:rsid w:val="006D3699"/>
    <w:rsid w:val="006D3748"/>
    <w:rsid w:val="006D37B3"/>
    <w:rsid w:val="006D4166"/>
    <w:rsid w:val="006D44D0"/>
    <w:rsid w:val="006D4AA9"/>
    <w:rsid w:val="006D511C"/>
    <w:rsid w:val="006D550C"/>
    <w:rsid w:val="006D559D"/>
    <w:rsid w:val="006D5ED2"/>
    <w:rsid w:val="006D60C1"/>
    <w:rsid w:val="006D6AFB"/>
    <w:rsid w:val="006D6EB8"/>
    <w:rsid w:val="006D75FE"/>
    <w:rsid w:val="006D7CF5"/>
    <w:rsid w:val="006E095F"/>
    <w:rsid w:val="006E0976"/>
    <w:rsid w:val="006E27C5"/>
    <w:rsid w:val="006E2E72"/>
    <w:rsid w:val="006E3070"/>
    <w:rsid w:val="006E30AE"/>
    <w:rsid w:val="006E3A59"/>
    <w:rsid w:val="006E40DB"/>
    <w:rsid w:val="006E43F1"/>
    <w:rsid w:val="006E4599"/>
    <w:rsid w:val="006E46E1"/>
    <w:rsid w:val="006E49D5"/>
    <w:rsid w:val="006E4DCF"/>
    <w:rsid w:val="006E4FA7"/>
    <w:rsid w:val="006E525B"/>
    <w:rsid w:val="006E553F"/>
    <w:rsid w:val="006E5A92"/>
    <w:rsid w:val="006E62A7"/>
    <w:rsid w:val="006E68DF"/>
    <w:rsid w:val="006E6FE6"/>
    <w:rsid w:val="006E7BF9"/>
    <w:rsid w:val="006F0C14"/>
    <w:rsid w:val="006F0EBF"/>
    <w:rsid w:val="006F11CD"/>
    <w:rsid w:val="006F1DD5"/>
    <w:rsid w:val="006F222E"/>
    <w:rsid w:val="006F3262"/>
    <w:rsid w:val="006F38FA"/>
    <w:rsid w:val="006F3C53"/>
    <w:rsid w:val="006F3E63"/>
    <w:rsid w:val="006F4EC5"/>
    <w:rsid w:val="006F4F7A"/>
    <w:rsid w:val="006F5970"/>
    <w:rsid w:val="006F6584"/>
    <w:rsid w:val="006F6F25"/>
    <w:rsid w:val="006F6FD1"/>
    <w:rsid w:val="006F784B"/>
    <w:rsid w:val="00700A97"/>
    <w:rsid w:val="00700FB8"/>
    <w:rsid w:val="0070111B"/>
    <w:rsid w:val="007012B7"/>
    <w:rsid w:val="007022ED"/>
    <w:rsid w:val="00702E7E"/>
    <w:rsid w:val="00703587"/>
    <w:rsid w:val="007038A0"/>
    <w:rsid w:val="007039E1"/>
    <w:rsid w:val="0070418A"/>
    <w:rsid w:val="00705B00"/>
    <w:rsid w:val="00707B68"/>
    <w:rsid w:val="00707DE0"/>
    <w:rsid w:val="007102B2"/>
    <w:rsid w:val="00710568"/>
    <w:rsid w:val="007109F2"/>
    <w:rsid w:val="00710CE7"/>
    <w:rsid w:val="00710F90"/>
    <w:rsid w:val="007110BF"/>
    <w:rsid w:val="00711584"/>
    <w:rsid w:val="00711916"/>
    <w:rsid w:val="007119BE"/>
    <w:rsid w:val="00711E41"/>
    <w:rsid w:val="00711E57"/>
    <w:rsid w:val="0071276C"/>
    <w:rsid w:val="00712878"/>
    <w:rsid w:val="00712A3F"/>
    <w:rsid w:val="00712C0A"/>
    <w:rsid w:val="00712CB8"/>
    <w:rsid w:val="00712E80"/>
    <w:rsid w:val="00712FBE"/>
    <w:rsid w:val="0071335B"/>
    <w:rsid w:val="00713A78"/>
    <w:rsid w:val="0071420D"/>
    <w:rsid w:val="00714949"/>
    <w:rsid w:val="00714A1A"/>
    <w:rsid w:val="0071577E"/>
    <w:rsid w:val="00715C0D"/>
    <w:rsid w:val="00715E27"/>
    <w:rsid w:val="007160FD"/>
    <w:rsid w:val="0071628C"/>
    <w:rsid w:val="007164BD"/>
    <w:rsid w:val="00716575"/>
    <w:rsid w:val="007166F9"/>
    <w:rsid w:val="00716767"/>
    <w:rsid w:val="00717EED"/>
    <w:rsid w:val="0072023E"/>
    <w:rsid w:val="00720564"/>
    <w:rsid w:val="0072071D"/>
    <w:rsid w:val="00720766"/>
    <w:rsid w:val="0072101E"/>
    <w:rsid w:val="007212A2"/>
    <w:rsid w:val="007213EC"/>
    <w:rsid w:val="0072151C"/>
    <w:rsid w:val="00721762"/>
    <w:rsid w:val="00721B41"/>
    <w:rsid w:val="00721C90"/>
    <w:rsid w:val="00722B86"/>
    <w:rsid w:val="00722C1D"/>
    <w:rsid w:val="00722E5A"/>
    <w:rsid w:val="00723678"/>
    <w:rsid w:val="00723867"/>
    <w:rsid w:val="00723D23"/>
    <w:rsid w:val="00724A54"/>
    <w:rsid w:val="00724B11"/>
    <w:rsid w:val="00724CD1"/>
    <w:rsid w:val="00725151"/>
    <w:rsid w:val="007251E7"/>
    <w:rsid w:val="007254CD"/>
    <w:rsid w:val="00725F2E"/>
    <w:rsid w:val="007261AE"/>
    <w:rsid w:val="00726501"/>
    <w:rsid w:val="00726654"/>
    <w:rsid w:val="00726A5A"/>
    <w:rsid w:val="00726EB4"/>
    <w:rsid w:val="0072701C"/>
    <w:rsid w:val="007274DA"/>
    <w:rsid w:val="007275E7"/>
    <w:rsid w:val="00727C3A"/>
    <w:rsid w:val="00727CB8"/>
    <w:rsid w:val="00730ECE"/>
    <w:rsid w:val="007318BC"/>
    <w:rsid w:val="00731AC7"/>
    <w:rsid w:val="00732080"/>
    <w:rsid w:val="00732C0C"/>
    <w:rsid w:val="00732D3E"/>
    <w:rsid w:val="00733366"/>
    <w:rsid w:val="007333B5"/>
    <w:rsid w:val="007333E0"/>
    <w:rsid w:val="00734F4C"/>
    <w:rsid w:val="00734F76"/>
    <w:rsid w:val="007351B8"/>
    <w:rsid w:val="00735AAC"/>
    <w:rsid w:val="0073776B"/>
    <w:rsid w:val="00737D93"/>
    <w:rsid w:val="00737E1D"/>
    <w:rsid w:val="00740556"/>
    <w:rsid w:val="00740876"/>
    <w:rsid w:val="0074111D"/>
    <w:rsid w:val="0074195E"/>
    <w:rsid w:val="00741E1D"/>
    <w:rsid w:val="007423C9"/>
    <w:rsid w:val="00742BA4"/>
    <w:rsid w:val="007437A9"/>
    <w:rsid w:val="007437B2"/>
    <w:rsid w:val="007447AB"/>
    <w:rsid w:val="00744E93"/>
    <w:rsid w:val="00745870"/>
    <w:rsid w:val="00745D11"/>
    <w:rsid w:val="00745F17"/>
    <w:rsid w:val="007463DF"/>
    <w:rsid w:val="00746B9F"/>
    <w:rsid w:val="007476F9"/>
    <w:rsid w:val="00747AE6"/>
    <w:rsid w:val="00750546"/>
    <w:rsid w:val="007508A5"/>
    <w:rsid w:val="0075177A"/>
    <w:rsid w:val="00751C7B"/>
    <w:rsid w:val="00751DFE"/>
    <w:rsid w:val="00752106"/>
    <w:rsid w:val="007525BC"/>
    <w:rsid w:val="007538F0"/>
    <w:rsid w:val="0075449F"/>
    <w:rsid w:val="007549F2"/>
    <w:rsid w:val="00754E10"/>
    <w:rsid w:val="00755A17"/>
    <w:rsid w:val="00756069"/>
    <w:rsid w:val="00756A6A"/>
    <w:rsid w:val="00756E24"/>
    <w:rsid w:val="00760B60"/>
    <w:rsid w:val="00761561"/>
    <w:rsid w:val="007617AE"/>
    <w:rsid w:val="007619F2"/>
    <w:rsid w:val="00762960"/>
    <w:rsid w:val="00762E17"/>
    <w:rsid w:val="007631AC"/>
    <w:rsid w:val="0076408F"/>
    <w:rsid w:val="00764703"/>
    <w:rsid w:val="00764AD8"/>
    <w:rsid w:val="007658CE"/>
    <w:rsid w:val="00765E88"/>
    <w:rsid w:val="00767007"/>
    <w:rsid w:val="0076722F"/>
    <w:rsid w:val="007675E7"/>
    <w:rsid w:val="007679F0"/>
    <w:rsid w:val="00767BF6"/>
    <w:rsid w:val="00767D05"/>
    <w:rsid w:val="00767DDB"/>
    <w:rsid w:val="00767DE9"/>
    <w:rsid w:val="00770076"/>
    <w:rsid w:val="00770CC3"/>
    <w:rsid w:val="00771E6A"/>
    <w:rsid w:val="00772019"/>
    <w:rsid w:val="00772880"/>
    <w:rsid w:val="00772A7D"/>
    <w:rsid w:val="007733B2"/>
    <w:rsid w:val="007738DF"/>
    <w:rsid w:val="00773C74"/>
    <w:rsid w:val="0077414B"/>
    <w:rsid w:val="0077445B"/>
    <w:rsid w:val="00775397"/>
    <w:rsid w:val="00776D5A"/>
    <w:rsid w:val="00777289"/>
    <w:rsid w:val="007774AB"/>
    <w:rsid w:val="0078042D"/>
    <w:rsid w:val="00780472"/>
    <w:rsid w:val="00780A90"/>
    <w:rsid w:val="007816A9"/>
    <w:rsid w:val="00781E00"/>
    <w:rsid w:val="007822EA"/>
    <w:rsid w:val="007826E5"/>
    <w:rsid w:val="00782736"/>
    <w:rsid w:val="00783B8C"/>
    <w:rsid w:val="00783C5B"/>
    <w:rsid w:val="0078491B"/>
    <w:rsid w:val="007852CB"/>
    <w:rsid w:val="00785A9F"/>
    <w:rsid w:val="00786323"/>
    <w:rsid w:val="00786B8A"/>
    <w:rsid w:val="00786DC9"/>
    <w:rsid w:val="007878A6"/>
    <w:rsid w:val="00787B64"/>
    <w:rsid w:val="00787D3A"/>
    <w:rsid w:val="00790C6C"/>
    <w:rsid w:val="00791044"/>
    <w:rsid w:val="00791773"/>
    <w:rsid w:val="00791AB5"/>
    <w:rsid w:val="00791B38"/>
    <w:rsid w:val="00792113"/>
    <w:rsid w:val="007929BF"/>
    <w:rsid w:val="00792E41"/>
    <w:rsid w:val="00793458"/>
    <w:rsid w:val="00793685"/>
    <w:rsid w:val="00793945"/>
    <w:rsid w:val="00793C4E"/>
    <w:rsid w:val="00793CAF"/>
    <w:rsid w:val="007941C6"/>
    <w:rsid w:val="00795280"/>
    <w:rsid w:val="00795CD0"/>
    <w:rsid w:val="007965B2"/>
    <w:rsid w:val="00796C0C"/>
    <w:rsid w:val="00796C14"/>
    <w:rsid w:val="00796E9C"/>
    <w:rsid w:val="0079775D"/>
    <w:rsid w:val="007A04EB"/>
    <w:rsid w:val="007A0C5C"/>
    <w:rsid w:val="007A0CFB"/>
    <w:rsid w:val="007A0F5D"/>
    <w:rsid w:val="007A17FA"/>
    <w:rsid w:val="007A228C"/>
    <w:rsid w:val="007A2747"/>
    <w:rsid w:val="007A2A4E"/>
    <w:rsid w:val="007A2EDD"/>
    <w:rsid w:val="007A3E17"/>
    <w:rsid w:val="007A50BA"/>
    <w:rsid w:val="007A53B8"/>
    <w:rsid w:val="007A5B4A"/>
    <w:rsid w:val="007A5ED2"/>
    <w:rsid w:val="007A6A6C"/>
    <w:rsid w:val="007A7197"/>
    <w:rsid w:val="007A71E7"/>
    <w:rsid w:val="007A73AA"/>
    <w:rsid w:val="007A746B"/>
    <w:rsid w:val="007A7672"/>
    <w:rsid w:val="007B02CC"/>
    <w:rsid w:val="007B1235"/>
    <w:rsid w:val="007B164B"/>
    <w:rsid w:val="007B1ECA"/>
    <w:rsid w:val="007B2060"/>
    <w:rsid w:val="007B2A07"/>
    <w:rsid w:val="007B2FC7"/>
    <w:rsid w:val="007B3428"/>
    <w:rsid w:val="007B3EA6"/>
    <w:rsid w:val="007B3EBF"/>
    <w:rsid w:val="007B5084"/>
    <w:rsid w:val="007B52E9"/>
    <w:rsid w:val="007B5462"/>
    <w:rsid w:val="007B57FF"/>
    <w:rsid w:val="007B5FE8"/>
    <w:rsid w:val="007B6789"/>
    <w:rsid w:val="007B6A7E"/>
    <w:rsid w:val="007B719B"/>
    <w:rsid w:val="007B7C2F"/>
    <w:rsid w:val="007C0071"/>
    <w:rsid w:val="007C0501"/>
    <w:rsid w:val="007C0818"/>
    <w:rsid w:val="007C084A"/>
    <w:rsid w:val="007C186A"/>
    <w:rsid w:val="007C19FF"/>
    <w:rsid w:val="007C22A4"/>
    <w:rsid w:val="007C2450"/>
    <w:rsid w:val="007C2C72"/>
    <w:rsid w:val="007C3219"/>
    <w:rsid w:val="007C489A"/>
    <w:rsid w:val="007C4A23"/>
    <w:rsid w:val="007C5B40"/>
    <w:rsid w:val="007C6201"/>
    <w:rsid w:val="007C63FE"/>
    <w:rsid w:val="007C6874"/>
    <w:rsid w:val="007C694A"/>
    <w:rsid w:val="007C7099"/>
    <w:rsid w:val="007C75E2"/>
    <w:rsid w:val="007C7820"/>
    <w:rsid w:val="007C798C"/>
    <w:rsid w:val="007C7BE9"/>
    <w:rsid w:val="007D00DF"/>
    <w:rsid w:val="007D105F"/>
    <w:rsid w:val="007D1229"/>
    <w:rsid w:val="007D2770"/>
    <w:rsid w:val="007D2DAA"/>
    <w:rsid w:val="007D3187"/>
    <w:rsid w:val="007D3CB4"/>
    <w:rsid w:val="007D3E7F"/>
    <w:rsid w:val="007D4059"/>
    <w:rsid w:val="007D499D"/>
    <w:rsid w:val="007D59E8"/>
    <w:rsid w:val="007D5D79"/>
    <w:rsid w:val="007D6C26"/>
    <w:rsid w:val="007D6DDA"/>
    <w:rsid w:val="007D6E1E"/>
    <w:rsid w:val="007D714B"/>
    <w:rsid w:val="007D7260"/>
    <w:rsid w:val="007D793D"/>
    <w:rsid w:val="007D7A77"/>
    <w:rsid w:val="007E0411"/>
    <w:rsid w:val="007E09FF"/>
    <w:rsid w:val="007E0DD8"/>
    <w:rsid w:val="007E2490"/>
    <w:rsid w:val="007E38F9"/>
    <w:rsid w:val="007E3A5B"/>
    <w:rsid w:val="007E3E6E"/>
    <w:rsid w:val="007E45D5"/>
    <w:rsid w:val="007E4B2F"/>
    <w:rsid w:val="007E609C"/>
    <w:rsid w:val="007E63C8"/>
    <w:rsid w:val="007E693F"/>
    <w:rsid w:val="007E69E6"/>
    <w:rsid w:val="007F08D1"/>
    <w:rsid w:val="007F0EBF"/>
    <w:rsid w:val="007F2238"/>
    <w:rsid w:val="007F28C9"/>
    <w:rsid w:val="007F3806"/>
    <w:rsid w:val="007F3FE7"/>
    <w:rsid w:val="007F43CD"/>
    <w:rsid w:val="007F44B4"/>
    <w:rsid w:val="007F45CE"/>
    <w:rsid w:val="007F4613"/>
    <w:rsid w:val="007F4752"/>
    <w:rsid w:val="007F5330"/>
    <w:rsid w:val="007F54B8"/>
    <w:rsid w:val="007F5F1C"/>
    <w:rsid w:val="007F68FA"/>
    <w:rsid w:val="007F6AAF"/>
    <w:rsid w:val="007F6CB8"/>
    <w:rsid w:val="007F6CD5"/>
    <w:rsid w:val="00800FF3"/>
    <w:rsid w:val="00801034"/>
    <w:rsid w:val="00801308"/>
    <w:rsid w:val="008018BA"/>
    <w:rsid w:val="00802671"/>
    <w:rsid w:val="008027A4"/>
    <w:rsid w:val="00802F2A"/>
    <w:rsid w:val="008030C3"/>
    <w:rsid w:val="008030CA"/>
    <w:rsid w:val="00803194"/>
    <w:rsid w:val="008033A1"/>
    <w:rsid w:val="008035E0"/>
    <w:rsid w:val="00803FE8"/>
    <w:rsid w:val="0080514B"/>
    <w:rsid w:val="0080525A"/>
    <w:rsid w:val="008066A9"/>
    <w:rsid w:val="008068EB"/>
    <w:rsid w:val="00807C01"/>
    <w:rsid w:val="00807D76"/>
    <w:rsid w:val="00810791"/>
    <w:rsid w:val="008107A2"/>
    <w:rsid w:val="00811598"/>
    <w:rsid w:val="00811C35"/>
    <w:rsid w:val="008125B5"/>
    <w:rsid w:val="008126B2"/>
    <w:rsid w:val="0081319E"/>
    <w:rsid w:val="008134B8"/>
    <w:rsid w:val="00814220"/>
    <w:rsid w:val="00815421"/>
    <w:rsid w:val="00816FDF"/>
    <w:rsid w:val="008178C8"/>
    <w:rsid w:val="00817CC1"/>
    <w:rsid w:val="00817E28"/>
    <w:rsid w:val="0082042F"/>
    <w:rsid w:val="008213A6"/>
    <w:rsid w:val="00821ABE"/>
    <w:rsid w:val="00821C78"/>
    <w:rsid w:val="0082212F"/>
    <w:rsid w:val="00822164"/>
    <w:rsid w:val="0082256F"/>
    <w:rsid w:val="00822C40"/>
    <w:rsid w:val="00822C71"/>
    <w:rsid w:val="00823721"/>
    <w:rsid w:val="00824455"/>
    <w:rsid w:val="0082445D"/>
    <w:rsid w:val="00824685"/>
    <w:rsid w:val="00825347"/>
    <w:rsid w:val="00826128"/>
    <w:rsid w:val="00826BE5"/>
    <w:rsid w:val="00827732"/>
    <w:rsid w:val="00827834"/>
    <w:rsid w:val="00830369"/>
    <w:rsid w:val="0083080E"/>
    <w:rsid w:val="008308F7"/>
    <w:rsid w:val="00830A39"/>
    <w:rsid w:val="00831781"/>
    <w:rsid w:val="00831916"/>
    <w:rsid w:val="00832055"/>
    <w:rsid w:val="0083219C"/>
    <w:rsid w:val="00832208"/>
    <w:rsid w:val="00832258"/>
    <w:rsid w:val="008323E6"/>
    <w:rsid w:val="00833632"/>
    <w:rsid w:val="00834AA4"/>
    <w:rsid w:val="00834F0F"/>
    <w:rsid w:val="00834F45"/>
    <w:rsid w:val="008350DE"/>
    <w:rsid w:val="008351B3"/>
    <w:rsid w:val="00836D13"/>
    <w:rsid w:val="008375A8"/>
    <w:rsid w:val="00837B28"/>
    <w:rsid w:val="00840E84"/>
    <w:rsid w:val="00841616"/>
    <w:rsid w:val="008420A2"/>
    <w:rsid w:val="00842532"/>
    <w:rsid w:val="00842A05"/>
    <w:rsid w:val="00842ACC"/>
    <w:rsid w:val="0084442A"/>
    <w:rsid w:val="00844503"/>
    <w:rsid w:val="00844E38"/>
    <w:rsid w:val="00845CDD"/>
    <w:rsid w:val="00845D84"/>
    <w:rsid w:val="00845F18"/>
    <w:rsid w:val="0084667B"/>
    <w:rsid w:val="00846C87"/>
    <w:rsid w:val="00846D3F"/>
    <w:rsid w:val="00847080"/>
    <w:rsid w:val="00847317"/>
    <w:rsid w:val="00847AF2"/>
    <w:rsid w:val="00850649"/>
    <w:rsid w:val="008509ED"/>
    <w:rsid w:val="00850BB1"/>
    <w:rsid w:val="00851012"/>
    <w:rsid w:val="00851868"/>
    <w:rsid w:val="00851B05"/>
    <w:rsid w:val="00851C17"/>
    <w:rsid w:val="00851D5D"/>
    <w:rsid w:val="008521C2"/>
    <w:rsid w:val="0085287C"/>
    <w:rsid w:val="008538DC"/>
    <w:rsid w:val="00853DFC"/>
    <w:rsid w:val="00854DEE"/>
    <w:rsid w:val="00855BAD"/>
    <w:rsid w:val="00856667"/>
    <w:rsid w:val="00856903"/>
    <w:rsid w:val="00856A1C"/>
    <w:rsid w:val="00856FD4"/>
    <w:rsid w:val="008570A9"/>
    <w:rsid w:val="00857741"/>
    <w:rsid w:val="00857F0D"/>
    <w:rsid w:val="00857FB8"/>
    <w:rsid w:val="008601EF"/>
    <w:rsid w:val="008610F6"/>
    <w:rsid w:val="00861AC6"/>
    <w:rsid w:val="00861FFC"/>
    <w:rsid w:val="00862684"/>
    <w:rsid w:val="00863878"/>
    <w:rsid w:val="008645B6"/>
    <w:rsid w:val="008658ED"/>
    <w:rsid w:val="00865A48"/>
    <w:rsid w:val="00866303"/>
    <w:rsid w:val="00866784"/>
    <w:rsid w:val="008667CA"/>
    <w:rsid w:val="0086689E"/>
    <w:rsid w:val="00866BA4"/>
    <w:rsid w:val="00867260"/>
    <w:rsid w:val="00867282"/>
    <w:rsid w:val="00867497"/>
    <w:rsid w:val="00867586"/>
    <w:rsid w:val="00867FE1"/>
    <w:rsid w:val="008704E6"/>
    <w:rsid w:val="008705DD"/>
    <w:rsid w:val="00870D3C"/>
    <w:rsid w:val="00871A6B"/>
    <w:rsid w:val="00871EE4"/>
    <w:rsid w:val="008729D8"/>
    <w:rsid w:val="00872A61"/>
    <w:rsid w:val="00872CCF"/>
    <w:rsid w:val="00872DE1"/>
    <w:rsid w:val="00872DF2"/>
    <w:rsid w:val="008730D1"/>
    <w:rsid w:val="008747EF"/>
    <w:rsid w:val="00874DDA"/>
    <w:rsid w:val="00874E92"/>
    <w:rsid w:val="00875333"/>
    <w:rsid w:val="008756D1"/>
    <w:rsid w:val="0087592B"/>
    <w:rsid w:val="0087622B"/>
    <w:rsid w:val="00877065"/>
    <w:rsid w:val="00877428"/>
    <w:rsid w:val="00880800"/>
    <w:rsid w:val="00880D39"/>
    <w:rsid w:val="00880ED6"/>
    <w:rsid w:val="008810BD"/>
    <w:rsid w:val="008826AF"/>
    <w:rsid w:val="008826BF"/>
    <w:rsid w:val="00882928"/>
    <w:rsid w:val="00882B20"/>
    <w:rsid w:val="00882B74"/>
    <w:rsid w:val="00883459"/>
    <w:rsid w:val="00883999"/>
    <w:rsid w:val="00883A05"/>
    <w:rsid w:val="00884B68"/>
    <w:rsid w:val="00885B05"/>
    <w:rsid w:val="0088658B"/>
    <w:rsid w:val="00886CC4"/>
    <w:rsid w:val="00886F96"/>
    <w:rsid w:val="00887704"/>
    <w:rsid w:val="00887927"/>
    <w:rsid w:val="00887B7E"/>
    <w:rsid w:val="00890A8F"/>
    <w:rsid w:val="00890B72"/>
    <w:rsid w:val="00890C7F"/>
    <w:rsid w:val="00891CCD"/>
    <w:rsid w:val="008926AB"/>
    <w:rsid w:val="008930B4"/>
    <w:rsid w:val="00894508"/>
    <w:rsid w:val="00895059"/>
    <w:rsid w:val="0089578F"/>
    <w:rsid w:val="008963EA"/>
    <w:rsid w:val="00896728"/>
    <w:rsid w:val="00896824"/>
    <w:rsid w:val="0089704C"/>
    <w:rsid w:val="00897069"/>
    <w:rsid w:val="00897B56"/>
    <w:rsid w:val="008A0E70"/>
    <w:rsid w:val="008A11EF"/>
    <w:rsid w:val="008A1219"/>
    <w:rsid w:val="008A147F"/>
    <w:rsid w:val="008A1C28"/>
    <w:rsid w:val="008A1FCF"/>
    <w:rsid w:val="008A2CDE"/>
    <w:rsid w:val="008A2ED9"/>
    <w:rsid w:val="008A3065"/>
    <w:rsid w:val="008A4637"/>
    <w:rsid w:val="008A4699"/>
    <w:rsid w:val="008A46AD"/>
    <w:rsid w:val="008A4BAD"/>
    <w:rsid w:val="008A6423"/>
    <w:rsid w:val="008A652A"/>
    <w:rsid w:val="008A682B"/>
    <w:rsid w:val="008A6CC4"/>
    <w:rsid w:val="008A76D0"/>
    <w:rsid w:val="008A780B"/>
    <w:rsid w:val="008A7B8E"/>
    <w:rsid w:val="008B00F2"/>
    <w:rsid w:val="008B0944"/>
    <w:rsid w:val="008B09B4"/>
    <w:rsid w:val="008B1370"/>
    <w:rsid w:val="008B1476"/>
    <w:rsid w:val="008B1735"/>
    <w:rsid w:val="008B1FDB"/>
    <w:rsid w:val="008B22C2"/>
    <w:rsid w:val="008B2503"/>
    <w:rsid w:val="008B2740"/>
    <w:rsid w:val="008B2BE7"/>
    <w:rsid w:val="008B2E60"/>
    <w:rsid w:val="008B314D"/>
    <w:rsid w:val="008B3A03"/>
    <w:rsid w:val="008B4B6C"/>
    <w:rsid w:val="008B4BEE"/>
    <w:rsid w:val="008B503B"/>
    <w:rsid w:val="008B5836"/>
    <w:rsid w:val="008B5AB8"/>
    <w:rsid w:val="008B5BF0"/>
    <w:rsid w:val="008B5FF5"/>
    <w:rsid w:val="008B60C6"/>
    <w:rsid w:val="008B6469"/>
    <w:rsid w:val="008B6A38"/>
    <w:rsid w:val="008B6BC1"/>
    <w:rsid w:val="008B6C82"/>
    <w:rsid w:val="008B7CCD"/>
    <w:rsid w:val="008B7F74"/>
    <w:rsid w:val="008C0F3A"/>
    <w:rsid w:val="008C1906"/>
    <w:rsid w:val="008C1968"/>
    <w:rsid w:val="008C1A00"/>
    <w:rsid w:val="008C1A09"/>
    <w:rsid w:val="008C3D61"/>
    <w:rsid w:val="008C43C3"/>
    <w:rsid w:val="008C484A"/>
    <w:rsid w:val="008C4BA4"/>
    <w:rsid w:val="008C52FF"/>
    <w:rsid w:val="008C61C4"/>
    <w:rsid w:val="008C6630"/>
    <w:rsid w:val="008C6BF4"/>
    <w:rsid w:val="008C7785"/>
    <w:rsid w:val="008D01A2"/>
    <w:rsid w:val="008D0782"/>
    <w:rsid w:val="008D0C6A"/>
    <w:rsid w:val="008D11CD"/>
    <w:rsid w:val="008D1274"/>
    <w:rsid w:val="008D1CAB"/>
    <w:rsid w:val="008D24ED"/>
    <w:rsid w:val="008D2955"/>
    <w:rsid w:val="008D55C4"/>
    <w:rsid w:val="008D58A6"/>
    <w:rsid w:val="008D6F97"/>
    <w:rsid w:val="008D7EE1"/>
    <w:rsid w:val="008E024A"/>
    <w:rsid w:val="008E02E6"/>
    <w:rsid w:val="008E04BC"/>
    <w:rsid w:val="008E08B1"/>
    <w:rsid w:val="008E12A9"/>
    <w:rsid w:val="008E1613"/>
    <w:rsid w:val="008E1DC1"/>
    <w:rsid w:val="008E2D13"/>
    <w:rsid w:val="008E3373"/>
    <w:rsid w:val="008E4E21"/>
    <w:rsid w:val="008E5AC8"/>
    <w:rsid w:val="008E5F56"/>
    <w:rsid w:val="008E619F"/>
    <w:rsid w:val="008E683C"/>
    <w:rsid w:val="008E6E01"/>
    <w:rsid w:val="008E7B8D"/>
    <w:rsid w:val="008E7C95"/>
    <w:rsid w:val="008F07F3"/>
    <w:rsid w:val="008F13F2"/>
    <w:rsid w:val="008F164A"/>
    <w:rsid w:val="008F19E4"/>
    <w:rsid w:val="008F1DA5"/>
    <w:rsid w:val="008F1EA7"/>
    <w:rsid w:val="008F2601"/>
    <w:rsid w:val="008F307E"/>
    <w:rsid w:val="008F415D"/>
    <w:rsid w:val="008F4247"/>
    <w:rsid w:val="008F4AD3"/>
    <w:rsid w:val="008F4E2B"/>
    <w:rsid w:val="008F4ED7"/>
    <w:rsid w:val="008F54B6"/>
    <w:rsid w:val="008F5986"/>
    <w:rsid w:val="008F6598"/>
    <w:rsid w:val="008F736E"/>
    <w:rsid w:val="008F7C9F"/>
    <w:rsid w:val="0090015F"/>
    <w:rsid w:val="009003B7"/>
    <w:rsid w:val="0090178F"/>
    <w:rsid w:val="00902D80"/>
    <w:rsid w:val="009032B7"/>
    <w:rsid w:val="009033BF"/>
    <w:rsid w:val="00903533"/>
    <w:rsid w:val="00903F4C"/>
    <w:rsid w:val="0090441E"/>
    <w:rsid w:val="00904B08"/>
    <w:rsid w:val="00905D74"/>
    <w:rsid w:val="00905EC8"/>
    <w:rsid w:val="0090603A"/>
    <w:rsid w:val="009060A9"/>
    <w:rsid w:val="00906297"/>
    <w:rsid w:val="009064BE"/>
    <w:rsid w:val="00906895"/>
    <w:rsid w:val="00906A88"/>
    <w:rsid w:val="00906FDD"/>
    <w:rsid w:val="0090700A"/>
    <w:rsid w:val="0090709E"/>
    <w:rsid w:val="0090754F"/>
    <w:rsid w:val="00907A1A"/>
    <w:rsid w:val="00907D3D"/>
    <w:rsid w:val="009101ED"/>
    <w:rsid w:val="009108ED"/>
    <w:rsid w:val="00910EA9"/>
    <w:rsid w:val="009116B0"/>
    <w:rsid w:val="009119F2"/>
    <w:rsid w:val="00911EF3"/>
    <w:rsid w:val="009126DC"/>
    <w:rsid w:val="00912C16"/>
    <w:rsid w:val="00912E7B"/>
    <w:rsid w:val="00913347"/>
    <w:rsid w:val="009138C5"/>
    <w:rsid w:val="009139F8"/>
    <w:rsid w:val="00913C19"/>
    <w:rsid w:val="00914E16"/>
    <w:rsid w:val="00915A10"/>
    <w:rsid w:val="00915C34"/>
    <w:rsid w:val="0091675C"/>
    <w:rsid w:val="00917011"/>
    <w:rsid w:val="009179B3"/>
    <w:rsid w:val="00917E8D"/>
    <w:rsid w:val="00921862"/>
    <w:rsid w:val="00922032"/>
    <w:rsid w:val="009221DA"/>
    <w:rsid w:val="00922AAD"/>
    <w:rsid w:val="00924C59"/>
    <w:rsid w:val="00924D64"/>
    <w:rsid w:val="0092538A"/>
    <w:rsid w:val="0092586E"/>
    <w:rsid w:val="009273A3"/>
    <w:rsid w:val="009273C6"/>
    <w:rsid w:val="0093065B"/>
    <w:rsid w:val="00931281"/>
    <w:rsid w:val="009316D5"/>
    <w:rsid w:val="0093198A"/>
    <w:rsid w:val="00931B05"/>
    <w:rsid w:val="00933A0E"/>
    <w:rsid w:val="00933FF8"/>
    <w:rsid w:val="00934033"/>
    <w:rsid w:val="0093452B"/>
    <w:rsid w:val="0093514C"/>
    <w:rsid w:val="009353B0"/>
    <w:rsid w:val="009357F7"/>
    <w:rsid w:val="00935811"/>
    <w:rsid w:val="009364AD"/>
    <w:rsid w:val="009366C9"/>
    <w:rsid w:val="00937200"/>
    <w:rsid w:val="009376A0"/>
    <w:rsid w:val="00937C01"/>
    <w:rsid w:val="009406F4"/>
    <w:rsid w:val="00940842"/>
    <w:rsid w:val="00940EF7"/>
    <w:rsid w:val="0094176C"/>
    <w:rsid w:val="00941DBA"/>
    <w:rsid w:val="00942D9B"/>
    <w:rsid w:val="00943408"/>
    <w:rsid w:val="00943A19"/>
    <w:rsid w:val="00943B03"/>
    <w:rsid w:val="00943B53"/>
    <w:rsid w:val="00943ED0"/>
    <w:rsid w:val="0094463A"/>
    <w:rsid w:val="00945377"/>
    <w:rsid w:val="009457CC"/>
    <w:rsid w:val="009459C5"/>
    <w:rsid w:val="009459DD"/>
    <w:rsid w:val="009464BF"/>
    <w:rsid w:val="00946847"/>
    <w:rsid w:val="0094773C"/>
    <w:rsid w:val="00947A02"/>
    <w:rsid w:val="00947A98"/>
    <w:rsid w:val="009500A3"/>
    <w:rsid w:val="00950643"/>
    <w:rsid w:val="00950C5F"/>
    <w:rsid w:val="00950EC6"/>
    <w:rsid w:val="009510DF"/>
    <w:rsid w:val="00951186"/>
    <w:rsid w:val="0095128C"/>
    <w:rsid w:val="00952637"/>
    <w:rsid w:val="00953B0D"/>
    <w:rsid w:val="00953CD7"/>
    <w:rsid w:val="00954934"/>
    <w:rsid w:val="00954E4F"/>
    <w:rsid w:val="009550A9"/>
    <w:rsid w:val="00956286"/>
    <w:rsid w:val="009572A6"/>
    <w:rsid w:val="009572C2"/>
    <w:rsid w:val="0095796B"/>
    <w:rsid w:val="00957D02"/>
    <w:rsid w:val="009609DB"/>
    <w:rsid w:val="00960A03"/>
    <w:rsid w:val="00960B25"/>
    <w:rsid w:val="00960C8C"/>
    <w:rsid w:val="0096195A"/>
    <w:rsid w:val="00963296"/>
    <w:rsid w:val="009634B6"/>
    <w:rsid w:val="00964BBB"/>
    <w:rsid w:val="00964CD5"/>
    <w:rsid w:val="009653FA"/>
    <w:rsid w:val="00965665"/>
    <w:rsid w:val="00966622"/>
    <w:rsid w:val="00966B7B"/>
    <w:rsid w:val="00966FEE"/>
    <w:rsid w:val="009676A7"/>
    <w:rsid w:val="00967DE6"/>
    <w:rsid w:val="00967E73"/>
    <w:rsid w:val="009712EB"/>
    <w:rsid w:val="0097136C"/>
    <w:rsid w:val="00971DEA"/>
    <w:rsid w:val="009729BF"/>
    <w:rsid w:val="00972B41"/>
    <w:rsid w:val="00972BF1"/>
    <w:rsid w:val="00973150"/>
    <w:rsid w:val="0097336D"/>
    <w:rsid w:val="0097372C"/>
    <w:rsid w:val="00973810"/>
    <w:rsid w:val="00973BFD"/>
    <w:rsid w:val="00973E5F"/>
    <w:rsid w:val="00974958"/>
    <w:rsid w:val="00974C75"/>
    <w:rsid w:val="0097539D"/>
    <w:rsid w:val="00976389"/>
    <w:rsid w:val="0097662B"/>
    <w:rsid w:val="00976A67"/>
    <w:rsid w:val="009777D9"/>
    <w:rsid w:val="00977DB9"/>
    <w:rsid w:val="009816B9"/>
    <w:rsid w:val="00981D17"/>
    <w:rsid w:val="009823DC"/>
    <w:rsid w:val="00982D53"/>
    <w:rsid w:val="00982D6A"/>
    <w:rsid w:val="00983552"/>
    <w:rsid w:val="00983E5E"/>
    <w:rsid w:val="00984AE4"/>
    <w:rsid w:val="0098505E"/>
    <w:rsid w:val="00985173"/>
    <w:rsid w:val="00985614"/>
    <w:rsid w:val="00985935"/>
    <w:rsid w:val="00986317"/>
    <w:rsid w:val="00986507"/>
    <w:rsid w:val="0098663E"/>
    <w:rsid w:val="00987452"/>
    <w:rsid w:val="00987580"/>
    <w:rsid w:val="00987F12"/>
    <w:rsid w:val="00990952"/>
    <w:rsid w:val="00990F3E"/>
    <w:rsid w:val="00991029"/>
    <w:rsid w:val="009910F4"/>
    <w:rsid w:val="0099138C"/>
    <w:rsid w:val="00992449"/>
    <w:rsid w:val="00993542"/>
    <w:rsid w:val="00994220"/>
    <w:rsid w:val="0099427A"/>
    <w:rsid w:val="00994CBE"/>
    <w:rsid w:val="00994FBA"/>
    <w:rsid w:val="00995CC6"/>
    <w:rsid w:val="0099605B"/>
    <w:rsid w:val="009960F5"/>
    <w:rsid w:val="00996778"/>
    <w:rsid w:val="00996EFE"/>
    <w:rsid w:val="00997319"/>
    <w:rsid w:val="009A07F1"/>
    <w:rsid w:val="009A0EA6"/>
    <w:rsid w:val="009A1406"/>
    <w:rsid w:val="009A18A3"/>
    <w:rsid w:val="009A25D1"/>
    <w:rsid w:val="009A2B3A"/>
    <w:rsid w:val="009A2C93"/>
    <w:rsid w:val="009A2E22"/>
    <w:rsid w:val="009A3978"/>
    <w:rsid w:val="009A3BCB"/>
    <w:rsid w:val="009A3F0C"/>
    <w:rsid w:val="009A4640"/>
    <w:rsid w:val="009A592D"/>
    <w:rsid w:val="009A6CE8"/>
    <w:rsid w:val="009A6EC2"/>
    <w:rsid w:val="009A71E8"/>
    <w:rsid w:val="009A724C"/>
    <w:rsid w:val="009B013E"/>
    <w:rsid w:val="009B02B0"/>
    <w:rsid w:val="009B0333"/>
    <w:rsid w:val="009B06B4"/>
    <w:rsid w:val="009B0C7A"/>
    <w:rsid w:val="009B0D63"/>
    <w:rsid w:val="009B1751"/>
    <w:rsid w:val="009B17EA"/>
    <w:rsid w:val="009B1D0E"/>
    <w:rsid w:val="009B2264"/>
    <w:rsid w:val="009B23BE"/>
    <w:rsid w:val="009B2C34"/>
    <w:rsid w:val="009B3561"/>
    <w:rsid w:val="009B3575"/>
    <w:rsid w:val="009B358B"/>
    <w:rsid w:val="009B3A40"/>
    <w:rsid w:val="009B4358"/>
    <w:rsid w:val="009B49CC"/>
    <w:rsid w:val="009B5085"/>
    <w:rsid w:val="009B5363"/>
    <w:rsid w:val="009B5607"/>
    <w:rsid w:val="009B5ECD"/>
    <w:rsid w:val="009B6592"/>
    <w:rsid w:val="009B6D81"/>
    <w:rsid w:val="009B75C1"/>
    <w:rsid w:val="009C0175"/>
    <w:rsid w:val="009C11B9"/>
    <w:rsid w:val="009C1226"/>
    <w:rsid w:val="009C1805"/>
    <w:rsid w:val="009C19D8"/>
    <w:rsid w:val="009C1FF9"/>
    <w:rsid w:val="009C2CE2"/>
    <w:rsid w:val="009C3707"/>
    <w:rsid w:val="009C50F2"/>
    <w:rsid w:val="009C5786"/>
    <w:rsid w:val="009C57A4"/>
    <w:rsid w:val="009C69CA"/>
    <w:rsid w:val="009C70E1"/>
    <w:rsid w:val="009C7435"/>
    <w:rsid w:val="009D00DC"/>
    <w:rsid w:val="009D1115"/>
    <w:rsid w:val="009D1131"/>
    <w:rsid w:val="009D1B92"/>
    <w:rsid w:val="009D1E88"/>
    <w:rsid w:val="009D2542"/>
    <w:rsid w:val="009D2F41"/>
    <w:rsid w:val="009D31A6"/>
    <w:rsid w:val="009D4758"/>
    <w:rsid w:val="009D4C22"/>
    <w:rsid w:val="009D5074"/>
    <w:rsid w:val="009D6146"/>
    <w:rsid w:val="009D6449"/>
    <w:rsid w:val="009D6DD3"/>
    <w:rsid w:val="009D6F4F"/>
    <w:rsid w:val="009D7599"/>
    <w:rsid w:val="009D7625"/>
    <w:rsid w:val="009D76DD"/>
    <w:rsid w:val="009D7B14"/>
    <w:rsid w:val="009E0423"/>
    <w:rsid w:val="009E05C1"/>
    <w:rsid w:val="009E09E6"/>
    <w:rsid w:val="009E0B6F"/>
    <w:rsid w:val="009E0DDC"/>
    <w:rsid w:val="009E1A5F"/>
    <w:rsid w:val="009E1B37"/>
    <w:rsid w:val="009E1FB3"/>
    <w:rsid w:val="009E29EA"/>
    <w:rsid w:val="009E2DD1"/>
    <w:rsid w:val="009E3DE3"/>
    <w:rsid w:val="009E431C"/>
    <w:rsid w:val="009E48DA"/>
    <w:rsid w:val="009E4F62"/>
    <w:rsid w:val="009E504C"/>
    <w:rsid w:val="009E50FB"/>
    <w:rsid w:val="009E55F1"/>
    <w:rsid w:val="009E5C3D"/>
    <w:rsid w:val="009E5E4B"/>
    <w:rsid w:val="009E5EC0"/>
    <w:rsid w:val="009E64A1"/>
    <w:rsid w:val="009E6C82"/>
    <w:rsid w:val="009E7102"/>
    <w:rsid w:val="009E716A"/>
    <w:rsid w:val="009E775D"/>
    <w:rsid w:val="009E7980"/>
    <w:rsid w:val="009F0D73"/>
    <w:rsid w:val="009F0EB2"/>
    <w:rsid w:val="009F20E7"/>
    <w:rsid w:val="009F2369"/>
    <w:rsid w:val="009F2590"/>
    <w:rsid w:val="009F27DB"/>
    <w:rsid w:val="009F3CE5"/>
    <w:rsid w:val="009F3FC9"/>
    <w:rsid w:val="009F49C0"/>
    <w:rsid w:val="009F56EF"/>
    <w:rsid w:val="009F59B4"/>
    <w:rsid w:val="009F5C50"/>
    <w:rsid w:val="009F62FE"/>
    <w:rsid w:val="009F721B"/>
    <w:rsid w:val="00A003AC"/>
    <w:rsid w:val="00A00B1C"/>
    <w:rsid w:val="00A0112E"/>
    <w:rsid w:val="00A01787"/>
    <w:rsid w:val="00A02220"/>
    <w:rsid w:val="00A023C3"/>
    <w:rsid w:val="00A025E3"/>
    <w:rsid w:val="00A027DE"/>
    <w:rsid w:val="00A03349"/>
    <w:rsid w:val="00A03943"/>
    <w:rsid w:val="00A03AFF"/>
    <w:rsid w:val="00A04CD4"/>
    <w:rsid w:val="00A04EEB"/>
    <w:rsid w:val="00A04F99"/>
    <w:rsid w:val="00A059D1"/>
    <w:rsid w:val="00A0624B"/>
    <w:rsid w:val="00A06634"/>
    <w:rsid w:val="00A066FB"/>
    <w:rsid w:val="00A06D35"/>
    <w:rsid w:val="00A071B1"/>
    <w:rsid w:val="00A07836"/>
    <w:rsid w:val="00A07C63"/>
    <w:rsid w:val="00A12551"/>
    <w:rsid w:val="00A130D5"/>
    <w:rsid w:val="00A13A1C"/>
    <w:rsid w:val="00A13AF7"/>
    <w:rsid w:val="00A13B35"/>
    <w:rsid w:val="00A13DE4"/>
    <w:rsid w:val="00A14D5C"/>
    <w:rsid w:val="00A151D1"/>
    <w:rsid w:val="00A15240"/>
    <w:rsid w:val="00A15317"/>
    <w:rsid w:val="00A1609B"/>
    <w:rsid w:val="00A16BCD"/>
    <w:rsid w:val="00A17485"/>
    <w:rsid w:val="00A174F2"/>
    <w:rsid w:val="00A177A4"/>
    <w:rsid w:val="00A1789F"/>
    <w:rsid w:val="00A178B4"/>
    <w:rsid w:val="00A2025D"/>
    <w:rsid w:val="00A2083A"/>
    <w:rsid w:val="00A209FB"/>
    <w:rsid w:val="00A21079"/>
    <w:rsid w:val="00A211BB"/>
    <w:rsid w:val="00A2130B"/>
    <w:rsid w:val="00A220C9"/>
    <w:rsid w:val="00A221BB"/>
    <w:rsid w:val="00A224A0"/>
    <w:rsid w:val="00A22759"/>
    <w:rsid w:val="00A2326D"/>
    <w:rsid w:val="00A241B5"/>
    <w:rsid w:val="00A24FD4"/>
    <w:rsid w:val="00A25983"/>
    <w:rsid w:val="00A25D5C"/>
    <w:rsid w:val="00A2636C"/>
    <w:rsid w:val="00A265F6"/>
    <w:rsid w:val="00A27324"/>
    <w:rsid w:val="00A27417"/>
    <w:rsid w:val="00A2743B"/>
    <w:rsid w:val="00A301FB"/>
    <w:rsid w:val="00A302A2"/>
    <w:rsid w:val="00A305A8"/>
    <w:rsid w:val="00A30DE9"/>
    <w:rsid w:val="00A3168A"/>
    <w:rsid w:val="00A3184B"/>
    <w:rsid w:val="00A3270F"/>
    <w:rsid w:val="00A32F25"/>
    <w:rsid w:val="00A350A2"/>
    <w:rsid w:val="00A35BB2"/>
    <w:rsid w:val="00A35F5F"/>
    <w:rsid w:val="00A36814"/>
    <w:rsid w:val="00A369A9"/>
    <w:rsid w:val="00A36F21"/>
    <w:rsid w:val="00A3789D"/>
    <w:rsid w:val="00A401E4"/>
    <w:rsid w:val="00A40D31"/>
    <w:rsid w:val="00A414BA"/>
    <w:rsid w:val="00A4163B"/>
    <w:rsid w:val="00A419FE"/>
    <w:rsid w:val="00A42026"/>
    <w:rsid w:val="00A42B02"/>
    <w:rsid w:val="00A434F1"/>
    <w:rsid w:val="00A4353C"/>
    <w:rsid w:val="00A43F45"/>
    <w:rsid w:val="00A441A5"/>
    <w:rsid w:val="00A44206"/>
    <w:rsid w:val="00A44955"/>
    <w:rsid w:val="00A44AC9"/>
    <w:rsid w:val="00A44D59"/>
    <w:rsid w:val="00A44D75"/>
    <w:rsid w:val="00A455E8"/>
    <w:rsid w:val="00A45AA4"/>
    <w:rsid w:val="00A45C4C"/>
    <w:rsid w:val="00A45CB7"/>
    <w:rsid w:val="00A4649F"/>
    <w:rsid w:val="00A46E79"/>
    <w:rsid w:val="00A46F67"/>
    <w:rsid w:val="00A47141"/>
    <w:rsid w:val="00A478D3"/>
    <w:rsid w:val="00A507F1"/>
    <w:rsid w:val="00A50A2D"/>
    <w:rsid w:val="00A51EE8"/>
    <w:rsid w:val="00A52557"/>
    <w:rsid w:val="00A52A87"/>
    <w:rsid w:val="00A52C28"/>
    <w:rsid w:val="00A52EE1"/>
    <w:rsid w:val="00A52F66"/>
    <w:rsid w:val="00A52F92"/>
    <w:rsid w:val="00A54003"/>
    <w:rsid w:val="00A541EE"/>
    <w:rsid w:val="00A54AD7"/>
    <w:rsid w:val="00A54AF8"/>
    <w:rsid w:val="00A54E3A"/>
    <w:rsid w:val="00A5501E"/>
    <w:rsid w:val="00A555F1"/>
    <w:rsid w:val="00A573DD"/>
    <w:rsid w:val="00A60299"/>
    <w:rsid w:val="00A60717"/>
    <w:rsid w:val="00A6236B"/>
    <w:rsid w:val="00A62871"/>
    <w:rsid w:val="00A62A47"/>
    <w:rsid w:val="00A62B00"/>
    <w:rsid w:val="00A62BBE"/>
    <w:rsid w:val="00A62F1C"/>
    <w:rsid w:val="00A63705"/>
    <w:rsid w:val="00A63A64"/>
    <w:rsid w:val="00A63BBC"/>
    <w:rsid w:val="00A63C83"/>
    <w:rsid w:val="00A64199"/>
    <w:rsid w:val="00A641E9"/>
    <w:rsid w:val="00A64E87"/>
    <w:rsid w:val="00A64FC3"/>
    <w:rsid w:val="00A65729"/>
    <w:rsid w:val="00A658D7"/>
    <w:rsid w:val="00A66091"/>
    <w:rsid w:val="00A67118"/>
    <w:rsid w:val="00A6730B"/>
    <w:rsid w:val="00A67E12"/>
    <w:rsid w:val="00A71419"/>
    <w:rsid w:val="00A7189A"/>
    <w:rsid w:val="00A71941"/>
    <w:rsid w:val="00A71E6D"/>
    <w:rsid w:val="00A71FDB"/>
    <w:rsid w:val="00A73152"/>
    <w:rsid w:val="00A737E6"/>
    <w:rsid w:val="00A7410F"/>
    <w:rsid w:val="00A74466"/>
    <w:rsid w:val="00A7480C"/>
    <w:rsid w:val="00A7485E"/>
    <w:rsid w:val="00A75688"/>
    <w:rsid w:val="00A75A60"/>
    <w:rsid w:val="00A75E05"/>
    <w:rsid w:val="00A762BE"/>
    <w:rsid w:val="00A767F5"/>
    <w:rsid w:val="00A7687E"/>
    <w:rsid w:val="00A76E66"/>
    <w:rsid w:val="00A77476"/>
    <w:rsid w:val="00A77FD5"/>
    <w:rsid w:val="00A80D95"/>
    <w:rsid w:val="00A81345"/>
    <w:rsid w:val="00A813B7"/>
    <w:rsid w:val="00A821CD"/>
    <w:rsid w:val="00A82CCF"/>
    <w:rsid w:val="00A83208"/>
    <w:rsid w:val="00A8371D"/>
    <w:rsid w:val="00A8404F"/>
    <w:rsid w:val="00A84E98"/>
    <w:rsid w:val="00A859A0"/>
    <w:rsid w:val="00A85BDE"/>
    <w:rsid w:val="00A864D2"/>
    <w:rsid w:val="00A86E42"/>
    <w:rsid w:val="00A9049D"/>
    <w:rsid w:val="00A9194B"/>
    <w:rsid w:val="00A91A50"/>
    <w:rsid w:val="00A91CE3"/>
    <w:rsid w:val="00A91DA4"/>
    <w:rsid w:val="00A91F67"/>
    <w:rsid w:val="00A9236E"/>
    <w:rsid w:val="00A92B96"/>
    <w:rsid w:val="00A933C9"/>
    <w:rsid w:val="00A933DE"/>
    <w:rsid w:val="00A935A1"/>
    <w:rsid w:val="00A93C20"/>
    <w:rsid w:val="00A94AC4"/>
    <w:rsid w:val="00A94CC8"/>
    <w:rsid w:val="00A94DA0"/>
    <w:rsid w:val="00A96157"/>
    <w:rsid w:val="00A9629E"/>
    <w:rsid w:val="00A96A47"/>
    <w:rsid w:val="00A96FDB"/>
    <w:rsid w:val="00A972C2"/>
    <w:rsid w:val="00A972DE"/>
    <w:rsid w:val="00A97A69"/>
    <w:rsid w:val="00AA0642"/>
    <w:rsid w:val="00AA1818"/>
    <w:rsid w:val="00AA2049"/>
    <w:rsid w:val="00AA207D"/>
    <w:rsid w:val="00AA21D2"/>
    <w:rsid w:val="00AA2286"/>
    <w:rsid w:val="00AA2A2B"/>
    <w:rsid w:val="00AA2BCF"/>
    <w:rsid w:val="00AA30F4"/>
    <w:rsid w:val="00AA31C9"/>
    <w:rsid w:val="00AA3A26"/>
    <w:rsid w:val="00AA3A29"/>
    <w:rsid w:val="00AA3D3B"/>
    <w:rsid w:val="00AA3F68"/>
    <w:rsid w:val="00AA5291"/>
    <w:rsid w:val="00AA62D2"/>
    <w:rsid w:val="00AA64FD"/>
    <w:rsid w:val="00AA7352"/>
    <w:rsid w:val="00AA7875"/>
    <w:rsid w:val="00AA7E32"/>
    <w:rsid w:val="00AB08CE"/>
    <w:rsid w:val="00AB1095"/>
    <w:rsid w:val="00AB124C"/>
    <w:rsid w:val="00AB12C3"/>
    <w:rsid w:val="00AB1816"/>
    <w:rsid w:val="00AB1EC9"/>
    <w:rsid w:val="00AB21BC"/>
    <w:rsid w:val="00AB26CE"/>
    <w:rsid w:val="00AB2756"/>
    <w:rsid w:val="00AB2BD6"/>
    <w:rsid w:val="00AB2C1C"/>
    <w:rsid w:val="00AB2F30"/>
    <w:rsid w:val="00AB2F62"/>
    <w:rsid w:val="00AB3777"/>
    <w:rsid w:val="00AB37E9"/>
    <w:rsid w:val="00AB411D"/>
    <w:rsid w:val="00AB445A"/>
    <w:rsid w:val="00AB67CF"/>
    <w:rsid w:val="00AB7E4A"/>
    <w:rsid w:val="00AC01D1"/>
    <w:rsid w:val="00AC0655"/>
    <w:rsid w:val="00AC06EF"/>
    <w:rsid w:val="00AC0B96"/>
    <w:rsid w:val="00AC0DD2"/>
    <w:rsid w:val="00AC1350"/>
    <w:rsid w:val="00AC22C4"/>
    <w:rsid w:val="00AC2548"/>
    <w:rsid w:val="00AC37D0"/>
    <w:rsid w:val="00AC39B3"/>
    <w:rsid w:val="00AC3A02"/>
    <w:rsid w:val="00AC3B9E"/>
    <w:rsid w:val="00AC4074"/>
    <w:rsid w:val="00AC4727"/>
    <w:rsid w:val="00AC4969"/>
    <w:rsid w:val="00AC4E44"/>
    <w:rsid w:val="00AC4FE0"/>
    <w:rsid w:val="00AC552F"/>
    <w:rsid w:val="00AC5D08"/>
    <w:rsid w:val="00AC62BE"/>
    <w:rsid w:val="00AC62E6"/>
    <w:rsid w:val="00AC6681"/>
    <w:rsid w:val="00AC6E53"/>
    <w:rsid w:val="00AC7CA4"/>
    <w:rsid w:val="00AC7E2E"/>
    <w:rsid w:val="00AD07B8"/>
    <w:rsid w:val="00AD0873"/>
    <w:rsid w:val="00AD0BC9"/>
    <w:rsid w:val="00AD10FA"/>
    <w:rsid w:val="00AD14CA"/>
    <w:rsid w:val="00AD1882"/>
    <w:rsid w:val="00AD19C3"/>
    <w:rsid w:val="00AD1D58"/>
    <w:rsid w:val="00AD25F8"/>
    <w:rsid w:val="00AD298C"/>
    <w:rsid w:val="00AD2D9C"/>
    <w:rsid w:val="00AD3D2E"/>
    <w:rsid w:val="00AD3DC4"/>
    <w:rsid w:val="00AD45C4"/>
    <w:rsid w:val="00AD45D5"/>
    <w:rsid w:val="00AD4717"/>
    <w:rsid w:val="00AD49B9"/>
    <w:rsid w:val="00AD4B64"/>
    <w:rsid w:val="00AD4C53"/>
    <w:rsid w:val="00AD562B"/>
    <w:rsid w:val="00AD571C"/>
    <w:rsid w:val="00AD5894"/>
    <w:rsid w:val="00AD5B2E"/>
    <w:rsid w:val="00AD62F7"/>
    <w:rsid w:val="00AD6D5E"/>
    <w:rsid w:val="00AD7BA1"/>
    <w:rsid w:val="00AD7FB0"/>
    <w:rsid w:val="00AE0214"/>
    <w:rsid w:val="00AE072A"/>
    <w:rsid w:val="00AE0B66"/>
    <w:rsid w:val="00AE0DAD"/>
    <w:rsid w:val="00AE11D1"/>
    <w:rsid w:val="00AE1781"/>
    <w:rsid w:val="00AE1A4A"/>
    <w:rsid w:val="00AE1B3C"/>
    <w:rsid w:val="00AE1BCA"/>
    <w:rsid w:val="00AE20FA"/>
    <w:rsid w:val="00AE2286"/>
    <w:rsid w:val="00AE271F"/>
    <w:rsid w:val="00AE274B"/>
    <w:rsid w:val="00AE34D2"/>
    <w:rsid w:val="00AE3E5F"/>
    <w:rsid w:val="00AE3F0F"/>
    <w:rsid w:val="00AE3F82"/>
    <w:rsid w:val="00AE4387"/>
    <w:rsid w:val="00AE49E9"/>
    <w:rsid w:val="00AE4ADA"/>
    <w:rsid w:val="00AE552B"/>
    <w:rsid w:val="00AE5E55"/>
    <w:rsid w:val="00AE6ABF"/>
    <w:rsid w:val="00AE6B0F"/>
    <w:rsid w:val="00AE78DF"/>
    <w:rsid w:val="00AE7A2C"/>
    <w:rsid w:val="00AE7C18"/>
    <w:rsid w:val="00AE7D9E"/>
    <w:rsid w:val="00AF0588"/>
    <w:rsid w:val="00AF08C2"/>
    <w:rsid w:val="00AF18E8"/>
    <w:rsid w:val="00AF1C39"/>
    <w:rsid w:val="00AF2268"/>
    <w:rsid w:val="00AF243C"/>
    <w:rsid w:val="00AF2F90"/>
    <w:rsid w:val="00AF38D0"/>
    <w:rsid w:val="00AF3CD8"/>
    <w:rsid w:val="00AF51AE"/>
    <w:rsid w:val="00AF53F6"/>
    <w:rsid w:val="00AF591F"/>
    <w:rsid w:val="00AF63E9"/>
    <w:rsid w:val="00AF6A73"/>
    <w:rsid w:val="00AF70DA"/>
    <w:rsid w:val="00AF7135"/>
    <w:rsid w:val="00AF7B1B"/>
    <w:rsid w:val="00B008D5"/>
    <w:rsid w:val="00B010CE"/>
    <w:rsid w:val="00B01F5A"/>
    <w:rsid w:val="00B0280E"/>
    <w:rsid w:val="00B03055"/>
    <w:rsid w:val="00B0385E"/>
    <w:rsid w:val="00B04647"/>
    <w:rsid w:val="00B0497A"/>
    <w:rsid w:val="00B04F7B"/>
    <w:rsid w:val="00B069DF"/>
    <w:rsid w:val="00B06CBA"/>
    <w:rsid w:val="00B07C1F"/>
    <w:rsid w:val="00B107D5"/>
    <w:rsid w:val="00B1096F"/>
    <w:rsid w:val="00B11A31"/>
    <w:rsid w:val="00B11A5C"/>
    <w:rsid w:val="00B12B79"/>
    <w:rsid w:val="00B1378D"/>
    <w:rsid w:val="00B1384C"/>
    <w:rsid w:val="00B14165"/>
    <w:rsid w:val="00B14177"/>
    <w:rsid w:val="00B14B88"/>
    <w:rsid w:val="00B14BA4"/>
    <w:rsid w:val="00B15845"/>
    <w:rsid w:val="00B16EB9"/>
    <w:rsid w:val="00B1797D"/>
    <w:rsid w:val="00B17BF7"/>
    <w:rsid w:val="00B2062E"/>
    <w:rsid w:val="00B2099F"/>
    <w:rsid w:val="00B20CAA"/>
    <w:rsid w:val="00B212B0"/>
    <w:rsid w:val="00B218CB"/>
    <w:rsid w:val="00B21BA0"/>
    <w:rsid w:val="00B22F88"/>
    <w:rsid w:val="00B23DD3"/>
    <w:rsid w:val="00B242C6"/>
    <w:rsid w:val="00B26716"/>
    <w:rsid w:val="00B26E8E"/>
    <w:rsid w:val="00B30526"/>
    <w:rsid w:val="00B3093B"/>
    <w:rsid w:val="00B3137F"/>
    <w:rsid w:val="00B31D88"/>
    <w:rsid w:val="00B32BA6"/>
    <w:rsid w:val="00B32DD1"/>
    <w:rsid w:val="00B32FB3"/>
    <w:rsid w:val="00B3400C"/>
    <w:rsid w:val="00B34053"/>
    <w:rsid w:val="00B3426D"/>
    <w:rsid w:val="00B344AF"/>
    <w:rsid w:val="00B355EC"/>
    <w:rsid w:val="00B35B8C"/>
    <w:rsid w:val="00B35DD8"/>
    <w:rsid w:val="00B35E0F"/>
    <w:rsid w:val="00B35F42"/>
    <w:rsid w:val="00B35FF1"/>
    <w:rsid w:val="00B367E5"/>
    <w:rsid w:val="00B3734D"/>
    <w:rsid w:val="00B37791"/>
    <w:rsid w:val="00B37EC3"/>
    <w:rsid w:val="00B37F19"/>
    <w:rsid w:val="00B403B4"/>
    <w:rsid w:val="00B4072A"/>
    <w:rsid w:val="00B40F7E"/>
    <w:rsid w:val="00B41296"/>
    <w:rsid w:val="00B41CD1"/>
    <w:rsid w:val="00B41DB9"/>
    <w:rsid w:val="00B4268E"/>
    <w:rsid w:val="00B42960"/>
    <w:rsid w:val="00B42EF5"/>
    <w:rsid w:val="00B42F8F"/>
    <w:rsid w:val="00B4370C"/>
    <w:rsid w:val="00B43AC8"/>
    <w:rsid w:val="00B43D9E"/>
    <w:rsid w:val="00B43E16"/>
    <w:rsid w:val="00B448BC"/>
    <w:rsid w:val="00B45340"/>
    <w:rsid w:val="00B46D5C"/>
    <w:rsid w:val="00B4724A"/>
    <w:rsid w:val="00B500E0"/>
    <w:rsid w:val="00B50EE7"/>
    <w:rsid w:val="00B5150C"/>
    <w:rsid w:val="00B51771"/>
    <w:rsid w:val="00B51A89"/>
    <w:rsid w:val="00B51B7C"/>
    <w:rsid w:val="00B52555"/>
    <w:rsid w:val="00B52897"/>
    <w:rsid w:val="00B52D37"/>
    <w:rsid w:val="00B53CEF"/>
    <w:rsid w:val="00B53E7F"/>
    <w:rsid w:val="00B53E81"/>
    <w:rsid w:val="00B53EA6"/>
    <w:rsid w:val="00B54518"/>
    <w:rsid w:val="00B5451C"/>
    <w:rsid w:val="00B54ACD"/>
    <w:rsid w:val="00B5528E"/>
    <w:rsid w:val="00B55AB6"/>
    <w:rsid w:val="00B5627D"/>
    <w:rsid w:val="00B56674"/>
    <w:rsid w:val="00B566F5"/>
    <w:rsid w:val="00B56F37"/>
    <w:rsid w:val="00B57218"/>
    <w:rsid w:val="00B57546"/>
    <w:rsid w:val="00B57657"/>
    <w:rsid w:val="00B57BFE"/>
    <w:rsid w:val="00B60433"/>
    <w:rsid w:val="00B604C2"/>
    <w:rsid w:val="00B60F84"/>
    <w:rsid w:val="00B617C6"/>
    <w:rsid w:val="00B6208A"/>
    <w:rsid w:val="00B62A36"/>
    <w:rsid w:val="00B62A69"/>
    <w:rsid w:val="00B63A6F"/>
    <w:rsid w:val="00B63FE8"/>
    <w:rsid w:val="00B64B5A"/>
    <w:rsid w:val="00B65427"/>
    <w:rsid w:val="00B656C5"/>
    <w:rsid w:val="00B657B9"/>
    <w:rsid w:val="00B65D63"/>
    <w:rsid w:val="00B66148"/>
    <w:rsid w:val="00B66561"/>
    <w:rsid w:val="00B666AA"/>
    <w:rsid w:val="00B669C8"/>
    <w:rsid w:val="00B66C7F"/>
    <w:rsid w:val="00B66E56"/>
    <w:rsid w:val="00B66FEA"/>
    <w:rsid w:val="00B6752B"/>
    <w:rsid w:val="00B67960"/>
    <w:rsid w:val="00B67D8A"/>
    <w:rsid w:val="00B67F6F"/>
    <w:rsid w:val="00B702B2"/>
    <w:rsid w:val="00B70905"/>
    <w:rsid w:val="00B70D40"/>
    <w:rsid w:val="00B7112B"/>
    <w:rsid w:val="00B7138F"/>
    <w:rsid w:val="00B71A35"/>
    <w:rsid w:val="00B71B05"/>
    <w:rsid w:val="00B72102"/>
    <w:rsid w:val="00B72269"/>
    <w:rsid w:val="00B722E4"/>
    <w:rsid w:val="00B73055"/>
    <w:rsid w:val="00B7540A"/>
    <w:rsid w:val="00B75715"/>
    <w:rsid w:val="00B75862"/>
    <w:rsid w:val="00B75BF7"/>
    <w:rsid w:val="00B76652"/>
    <w:rsid w:val="00B77272"/>
    <w:rsid w:val="00B778D0"/>
    <w:rsid w:val="00B80040"/>
    <w:rsid w:val="00B80F97"/>
    <w:rsid w:val="00B814CF"/>
    <w:rsid w:val="00B8178F"/>
    <w:rsid w:val="00B818AF"/>
    <w:rsid w:val="00B819E1"/>
    <w:rsid w:val="00B81C02"/>
    <w:rsid w:val="00B81C53"/>
    <w:rsid w:val="00B8236C"/>
    <w:rsid w:val="00B82839"/>
    <w:rsid w:val="00B82B1A"/>
    <w:rsid w:val="00B82F60"/>
    <w:rsid w:val="00B83404"/>
    <w:rsid w:val="00B83692"/>
    <w:rsid w:val="00B83972"/>
    <w:rsid w:val="00B8439A"/>
    <w:rsid w:val="00B85BCB"/>
    <w:rsid w:val="00B86418"/>
    <w:rsid w:val="00B87081"/>
    <w:rsid w:val="00B8724C"/>
    <w:rsid w:val="00B87585"/>
    <w:rsid w:val="00B876A5"/>
    <w:rsid w:val="00B87C50"/>
    <w:rsid w:val="00B87DCC"/>
    <w:rsid w:val="00B9085A"/>
    <w:rsid w:val="00B90E3F"/>
    <w:rsid w:val="00B91079"/>
    <w:rsid w:val="00B924DC"/>
    <w:rsid w:val="00B9338C"/>
    <w:rsid w:val="00B94A89"/>
    <w:rsid w:val="00B94FA2"/>
    <w:rsid w:val="00B96637"/>
    <w:rsid w:val="00B96DA1"/>
    <w:rsid w:val="00B97F5B"/>
    <w:rsid w:val="00BA07DB"/>
    <w:rsid w:val="00BA1023"/>
    <w:rsid w:val="00BA1439"/>
    <w:rsid w:val="00BA1CE9"/>
    <w:rsid w:val="00BA2AF3"/>
    <w:rsid w:val="00BA3125"/>
    <w:rsid w:val="00BA33F1"/>
    <w:rsid w:val="00BA35C1"/>
    <w:rsid w:val="00BA3627"/>
    <w:rsid w:val="00BA399F"/>
    <w:rsid w:val="00BA3EC2"/>
    <w:rsid w:val="00BA411C"/>
    <w:rsid w:val="00BA4853"/>
    <w:rsid w:val="00BA529F"/>
    <w:rsid w:val="00BA5389"/>
    <w:rsid w:val="00BA54D0"/>
    <w:rsid w:val="00BA54D4"/>
    <w:rsid w:val="00BA5511"/>
    <w:rsid w:val="00BA656E"/>
    <w:rsid w:val="00BA692D"/>
    <w:rsid w:val="00BA6EB6"/>
    <w:rsid w:val="00BA76C0"/>
    <w:rsid w:val="00BA7B9F"/>
    <w:rsid w:val="00BA7F5B"/>
    <w:rsid w:val="00BB15CB"/>
    <w:rsid w:val="00BB1821"/>
    <w:rsid w:val="00BB1A1B"/>
    <w:rsid w:val="00BB1B38"/>
    <w:rsid w:val="00BB1EE8"/>
    <w:rsid w:val="00BB452D"/>
    <w:rsid w:val="00BB4EEB"/>
    <w:rsid w:val="00BB50C5"/>
    <w:rsid w:val="00BB54F1"/>
    <w:rsid w:val="00BB58EA"/>
    <w:rsid w:val="00BB62C7"/>
    <w:rsid w:val="00BB666F"/>
    <w:rsid w:val="00BB6BCD"/>
    <w:rsid w:val="00BB6C93"/>
    <w:rsid w:val="00BB721F"/>
    <w:rsid w:val="00BB7DE5"/>
    <w:rsid w:val="00BC01F2"/>
    <w:rsid w:val="00BC031A"/>
    <w:rsid w:val="00BC0C83"/>
    <w:rsid w:val="00BC102F"/>
    <w:rsid w:val="00BC16BB"/>
    <w:rsid w:val="00BC1811"/>
    <w:rsid w:val="00BC1B3A"/>
    <w:rsid w:val="00BC257D"/>
    <w:rsid w:val="00BC27C3"/>
    <w:rsid w:val="00BC2D49"/>
    <w:rsid w:val="00BC2DFC"/>
    <w:rsid w:val="00BC2F6D"/>
    <w:rsid w:val="00BC3D56"/>
    <w:rsid w:val="00BC3DCB"/>
    <w:rsid w:val="00BC430A"/>
    <w:rsid w:val="00BC4EF2"/>
    <w:rsid w:val="00BC5159"/>
    <w:rsid w:val="00BC524E"/>
    <w:rsid w:val="00BC53A0"/>
    <w:rsid w:val="00BC61E3"/>
    <w:rsid w:val="00BC6367"/>
    <w:rsid w:val="00BC6368"/>
    <w:rsid w:val="00BC6558"/>
    <w:rsid w:val="00BC6587"/>
    <w:rsid w:val="00BC6ABD"/>
    <w:rsid w:val="00BC6ABF"/>
    <w:rsid w:val="00BC6E83"/>
    <w:rsid w:val="00BC6F40"/>
    <w:rsid w:val="00BC7934"/>
    <w:rsid w:val="00BD0A2A"/>
    <w:rsid w:val="00BD0F84"/>
    <w:rsid w:val="00BD12AB"/>
    <w:rsid w:val="00BD1808"/>
    <w:rsid w:val="00BD186F"/>
    <w:rsid w:val="00BD2365"/>
    <w:rsid w:val="00BD2827"/>
    <w:rsid w:val="00BD2857"/>
    <w:rsid w:val="00BD2FBE"/>
    <w:rsid w:val="00BD38C0"/>
    <w:rsid w:val="00BD45A5"/>
    <w:rsid w:val="00BD4687"/>
    <w:rsid w:val="00BD4B89"/>
    <w:rsid w:val="00BD5089"/>
    <w:rsid w:val="00BD5737"/>
    <w:rsid w:val="00BD58F2"/>
    <w:rsid w:val="00BD67D3"/>
    <w:rsid w:val="00BD784A"/>
    <w:rsid w:val="00BE06BF"/>
    <w:rsid w:val="00BE15FC"/>
    <w:rsid w:val="00BE18A6"/>
    <w:rsid w:val="00BE1F2C"/>
    <w:rsid w:val="00BE22C0"/>
    <w:rsid w:val="00BE2D81"/>
    <w:rsid w:val="00BE3859"/>
    <w:rsid w:val="00BE3ECF"/>
    <w:rsid w:val="00BE5FC3"/>
    <w:rsid w:val="00BE62BE"/>
    <w:rsid w:val="00BE63A6"/>
    <w:rsid w:val="00BE6C3F"/>
    <w:rsid w:val="00BE78F7"/>
    <w:rsid w:val="00BF0844"/>
    <w:rsid w:val="00BF15CA"/>
    <w:rsid w:val="00BF1993"/>
    <w:rsid w:val="00BF281D"/>
    <w:rsid w:val="00BF3E86"/>
    <w:rsid w:val="00BF4056"/>
    <w:rsid w:val="00BF410F"/>
    <w:rsid w:val="00BF54BA"/>
    <w:rsid w:val="00BF5BD2"/>
    <w:rsid w:val="00BF6120"/>
    <w:rsid w:val="00BF6C41"/>
    <w:rsid w:val="00BF6CF3"/>
    <w:rsid w:val="00BF76D4"/>
    <w:rsid w:val="00BF7BAC"/>
    <w:rsid w:val="00C000E8"/>
    <w:rsid w:val="00C00611"/>
    <w:rsid w:val="00C0114D"/>
    <w:rsid w:val="00C038B6"/>
    <w:rsid w:val="00C03E1B"/>
    <w:rsid w:val="00C041D4"/>
    <w:rsid w:val="00C053FD"/>
    <w:rsid w:val="00C0644D"/>
    <w:rsid w:val="00C0646C"/>
    <w:rsid w:val="00C06D34"/>
    <w:rsid w:val="00C07748"/>
    <w:rsid w:val="00C10713"/>
    <w:rsid w:val="00C1098F"/>
    <w:rsid w:val="00C10A38"/>
    <w:rsid w:val="00C11040"/>
    <w:rsid w:val="00C11703"/>
    <w:rsid w:val="00C1189B"/>
    <w:rsid w:val="00C118B3"/>
    <w:rsid w:val="00C11926"/>
    <w:rsid w:val="00C119DD"/>
    <w:rsid w:val="00C12752"/>
    <w:rsid w:val="00C13016"/>
    <w:rsid w:val="00C1308E"/>
    <w:rsid w:val="00C13A64"/>
    <w:rsid w:val="00C1410C"/>
    <w:rsid w:val="00C14B06"/>
    <w:rsid w:val="00C14C6C"/>
    <w:rsid w:val="00C15F13"/>
    <w:rsid w:val="00C17D25"/>
    <w:rsid w:val="00C17FF2"/>
    <w:rsid w:val="00C202A0"/>
    <w:rsid w:val="00C20BD1"/>
    <w:rsid w:val="00C21576"/>
    <w:rsid w:val="00C21718"/>
    <w:rsid w:val="00C219AA"/>
    <w:rsid w:val="00C221A6"/>
    <w:rsid w:val="00C223CE"/>
    <w:rsid w:val="00C223DF"/>
    <w:rsid w:val="00C2250A"/>
    <w:rsid w:val="00C22C02"/>
    <w:rsid w:val="00C23BA1"/>
    <w:rsid w:val="00C24F13"/>
    <w:rsid w:val="00C24FA2"/>
    <w:rsid w:val="00C258E7"/>
    <w:rsid w:val="00C25A1C"/>
    <w:rsid w:val="00C2607C"/>
    <w:rsid w:val="00C27ADF"/>
    <w:rsid w:val="00C27FC1"/>
    <w:rsid w:val="00C313DA"/>
    <w:rsid w:val="00C31D49"/>
    <w:rsid w:val="00C32DB7"/>
    <w:rsid w:val="00C33096"/>
    <w:rsid w:val="00C33463"/>
    <w:rsid w:val="00C335C6"/>
    <w:rsid w:val="00C335DB"/>
    <w:rsid w:val="00C33975"/>
    <w:rsid w:val="00C33B8B"/>
    <w:rsid w:val="00C33CDC"/>
    <w:rsid w:val="00C33CF2"/>
    <w:rsid w:val="00C33D24"/>
    <w:rsid w:val="00C33F02"/>
    <w:rsid w:val="00C33F53"/>
    <w:rsid w:val="00C34073"/>
    <w:rsid w:val="00C34317"/>
    <w:rsid w:val="00C35B44"/>
    <w:rsid w:val="00C36455"/>
    <w:rsid w:val="00C36708"/>
    <w:rsid w:val="00C36C0D"/>
    <w:rsid w:val="00C37C97"/>
    <w:rsid w:val="00C37E2C"/>
    <w:rsid w:val="00C401EE"/>
    <w:rsid w:val="00C40A65"/>
    <w:rsid w:val="00C40AD0"/>
    <w:rsid w:val="00C412D6"/>
    <w:rsid w:val="00C41610"/>
    <w:rsid w:val="00C42070"/>
    <w:rsid w:val="00C423FB"/>
    <w:rsid w:val="00C42F1A"/>
    <w:rsid w:val="00C4332F"/>
    <w:rsid w:val="00C43E7E"/>
    <w:rsid w:val="00C4417A"/>
    <w:rsid w:val="00C44EE6"/>
    <w:rsid w:val="00C459E0"/>
    <w:rsid w:val="00C45F85"/>
    <w:rsid w:val="00C4653F"/>
    <w:rsid w:val="00C469E5"/>
    <w:rsid w:val="00C47050"/>
    <w:rsid w:val="00C470AC"/>
    <w:rsid w:val="00C471DB"/>
    <w:rsid w:val="00C47889"/>
    <w:rsid w:val="00C47A78"/>
    <w:rsid w:val="00C47FB3"/>
    <w:rsid w:val="00C50D09"/>
    <w:rsid w:val="00C5133A"/>
    <w:rsid w:val="00C51510"/>
    <w:rsid w:val="00C51632"/>
    <w:rsid w:val="00C52CF4"/>
    <w:rsid w:val="00C52D10"/>
    <w:rsid w:val="00C52D53"/>
    <w:rsid w:val="00C52D91"/>
    <w:rsid w:val="00C53335"/>
    <w:rsid w:val="00C53E77"/>
    <w:rsid w:val="00C5447B"/>
    <w:rsid w:val="00C5476F"/>
    <w:rsid w:val="00C54B19"/>
    <w:rsid w:val="00C54C18"/>
    <w:rsid w:val="00C54CCE"/>
    <w:rsid w:val="00C54DFE"/>
    <w:rsid w:val="00C54E8A"/>
    <w:rsid w:val="00C55192"/>
    <w:rsid w:val="00C551B4"/>
    <w:rsid w:val="00C559E9"/>
    <w:rsid w:val="00C57101"/>
    <w:rsid w:val="00C57203"/>
    <w:rsid w:val="00C60142"/>
    <w:rsid w:val="00C60209"/>
    <w:rsid w:val="00C608F4"/>
    <w:rsid w:val="00C60E9F"/>
    <w:rsid w:val="00C60EF7"/>
    <w:rsid w:val="00C62CC2"/>
    <w:rsid w:val="00C64138"/>
    <w:rsid w:val="00C64DD3"/>
    <w:rsid w:val="00C651F1"/>
    <w:rsid w:val="00C65375"/>
    <w:rsid w:val="00C653A7"/>
    <w:rsid w:val="00C65D8A"/>
    <w:rsid w:val="00C65F73"/>
    <w:rsid w:val="00C66B81"/>
    <w:rsid w:val="00C67A49"/>
    <w:rsid w:val="00C7029C"/>
    <w:rsid w:val="00C7122B"/>
    <w:rsid w:val="00C71864"/>
    <w:rsid w:val="00C718C7"/>
    <w:rsid w:val="00C71F10"/>
    <w:rsid w:val="00C723ED"/>
    <w:rsid w:val="00C72DEF"/>
    <w:rsid w:val="00C73057"/>
    <w:rsid w:val="00C732B7"/>
    <w:rsid w:val="00C73B31"/>
    <w:rsid w:val="00C73C60"/>
    <w:rsid w:val="00C74116"/>
    <w:rsid w:val="00C746F8"/>
    <w:rsid w:val="00C747DC"/>
    <w:rsid w:val="00C74846"/>
    <w:rsid w:val="00C75EA4"/>
    <w:rsid w:val="00C76827"/>
    <w:rsid w:val="00C76911"/>
    <w:rsid w:val="00C76EE9"/>
    <w:rsid w:val="00C77794"/>
    <w:rsid w:val="00C8040A"/>
    <w:rsid w:val="00C80568"/>
    <w:rsid w:val="00C80C74"/>
    <w:rsid w:val="00C80F84"/>
    <w:rsid w:val="00C80F9A"/>
    <w:rsid w:val="00C8166B"/>
    <w:rsid w:val="00C822FC"/>
    <w:rsid w:val="00C82705"/>
    <w:rsid w:val="00C82B83"/>
    <w:rsid w:val="00C82C0D"/>
    <w:rsid w:val="00C8350F"/>
    <w:rsid w:val="00C84347"/>
    <w:rsid w:val="00C85A5F"/>
    <w:rsid w:val="00C85A87"/>
    <w:rsid w:val="00C86643"/>
    <w:rsid w:val="00C86BF1"/>
    <w:rsid w:val="00C86FF2"/>
    <w:rsid w:val="00C87BA1"/>
    <w:rsid w:val="00C87F53"/>
    <w:rsid w:val="00C90157"/>
    <w:rsid w:val="00C903BA"/>
    <w:rsid w:val="00C903F0"/>
    <w:rsid w:val="00C90419"/>
    <w:rsid w:val="00C910B6"/>
    <w:rsid w:val="00C9130A"/>
    <w:rsid w:val="00C9166D"/>
    <w:rsid w:val="00C92434"/>
    <w:rsid w:val="00C926FA"/>
    <w:rsid w:val="00C9357F"/>
    <w:rsid w:val="00C939CD"/>
    <w:rsid w:val="00C9434C"/>
    <w:rsid w:val="00C95B03"/>
    <w:rsid w:val="00C95C3A"/>
    <w:rsid w:val="00C95EE3"/>
    <w:rsid w:val="00C961C7"/>
    <w:rsid w:val="00C964DB"/>
    <w:rsid w:val="00C971C8"/>
    <w:rsid w:val="00C97546"/>
    <w:rsid w:val="00C97569"/>
    <w:rsid w:val="00C9769F"/>
    <w:rsid w:val="00C9778C"/>
    <w:rsid w:val="00C979BE"/>
    <w:rsid w:val="00C97AB0"/>
    <w:rsid w:val="00CA023C"/>
    <w:rsid w:val="00CA0CB3"/>
    <w:rsid w:val="00CA1510"/>
    <w:rsid w:val="00CA16CB"/>
    <w:rsid w:val="00CA1BAF"/>
    <w:rsid w:val="00CA1CBC"/>
    <w:rsid w:val="00CA22D5"/>
    <w:rsid w:val="00CA26A6"/>
    <w:rsid w:val="00CA2813"/>
    <w:rsid w:val="00CA305B"/>
    <w:rsid w:val="00CA35DF"/>
    <w:rsid w:val="00CA383E"/>
    <w:rsid w:val="00CA3845"/>
    <w:rsid w:val="00CA39DA"/>
    <w:rsid w:val="00CA3AE5"/>
    <w:rsid w:val="00CA4107"/>
    <w:rsid w:val="00CA4811"/>
    <w:rsid w:val="00CA4961"/>
    <w:rsid w:val="00CA4ABB"/>
    <w:rsid w:val="00CA5035"/>
    <w:rsid w:val="00CA55B1"/>
    <w:rsid w:val="00CA5857"/>
    <w:rsid w:val="00CA5B3B"/>
    <w:rsid w:val="00CA5FDC"/>
    <w:rsid w:val="00CA7C37"/>
    <w:rsid w:val="00CB04DE"/>
    <w:rsid w:val="00CB0559"/>
    <w:rsid w:val="00CB06A9"/>
    <w:rsid w:val="00CB0BB9"/>
    <w:rsid w:val="00CB0CFC"/>
    <w:rsid w:val="00CB12DC"/>
    <w:rsid w:val="00CB1C85"/>
    <w:rsid w:val="00CB1F23"/>
    <w:rsid w:val="00CB4536"/>
    <w:rsid w:val="00CB45C8"/>
    <w:rsid w:val="00CB5493"/>
    <w:rsid w:val="00CB554A"/>
    <w:rsid w:val="00CB6B54"/>
    <w:rsid w:val="00CB6FE1"/>
    <w:rsid w:val="00CB7920"/>
    <w:rsid w:val="00CB7984"/>
    <w:rsid w:val="00CB7B9D"/>
    <w:rsid w:val="00CC042A"/>
    <w:rsid w:val="00CC0799"/>
    <w:rsid w:val="00CC0E95"/>
    <w:rsid w:val="00CC0EA9"/>
    <w:rsid w:val="00CC2029"/>
    <w:rsid w:val="00CC2474"/>
    <w:rsid w:val="00CC261A"/>
    <w:rsid w:val="00CC2851"/>
    <w:rsid w:val="00CC2AFF"/>
    <w:rsid w:val="00CC2B3E"/>
    <w:rsid w:val="00CC2D96"/>
    <w:rsid w:val="00CC30CF"/>
    <w:rsid w:val="00CC3698"/>
    <w:rsid w:val="00CC36D1"/>
    <w:rsid w:val="00CC4782"/>
    <w:rsid w:val="00CC4AF4"/>
    <w:rsid w:val="00CC5667"/>
    <w:rsid w:val="00CC5BB6"/>
    <w:rsid w:val="00CC64D0"/>
    <w:rsid w:val="00CC64DC"/>
    <w:rsid w:val="00CC7899"/>
    <w:rsid w:val="00CC797E"/>
    <w:rsid w:val="00CD0752"/>
    <w:rsid w:val="00CD079D"/>
    <w:rsid w:val="00CD0A9C"/>
    <w:rsid w:val="00CD1523"/>
    <w:rsid w:val="00CD1BB1"/>
    <w:rsid w:val="00CD3AF5"/>
    <w:rsid w:val="00CD4635"/>
    <w:rsid w:val="00CD52FA"/>
    <w:rsid w:val="00CD6285"/>
    <w:rsid w:val="00CD636F"/>
    <w:rsid w:val="00CD707F"/>
    <w:rsid w:val="00CD7111"/>
    <w:rsid w:val="00CD75C6"/>
    <w:rsid w:val="00CD7947"/>
    <w:rsid w:val="00CE0866"/>
    <w:rsid w:val="00CE0D9E"/>
    <w:rsid w:val="00CE1086"/>
    <w:rsid w:val="00CE1225"/>
    <w:rsid w:val="00CE1484"/>
    <w:rsid w:val="00CE153A"/>
    <w:rsid w:val="00CE19EC"/>
    <w:rsid w:val="00CE1EC7"/>
    <w:rsid w:val="00CE2CBE"/>
    <w:rsid w:val="00CE3226"/>
    <w:rsid w:val="00CE3334"/>
    <w:rsid w:val="00CE3EC1"/>
    <w:rsid w:val="00CE4CBF"/>
    <w:rsid w:val="00CE5CFB"/>
    <w:rsid w:val="00CE5DCE"/>
    <w:rsid w:val="00CE5EC4"/>
    <w:rsid w:val="00CE6E0C"/>
    <w:rsid w:val="00CE6F05"/>
    <w:rsid w:val="00CE7AE3"/>
    <w:rsid w:val="00CE7BBD"/>
    <w:rsid w:val="00CE7E47"/>
    <w:rsid w:val="00CF0814"/>
    <w:rsid w:val="00CF0C3A"/>
    <w:rsid w:val="00CF3725"/>
    <w:rsid w:val="00CF43E2"/>
    <w:rsid w:val="00CF4781"/>
    <w:rsid w:val="00CF4A6D"/>
    <w:rsid w:val="00CF526C"/>
    <w:rsid w:val="00CF7026"/>
    <w:rsid w:val="00CF70AD"/>
    <w:rsid w:val="00D0087A"/>
    <w:rsid w:val="00D00890"/>
    <w:rsid w:val="00D010B1"/>
    <w:rsid w:val="00D01123"/>
    <w:rsid w:val="00D0158C"/>
    <w:rsid w:val="00D01C62"/>
    <w:rsid w:val="00D01CFE"/>
    <w:rsid w:val="00D0296E"/>
    <w:rsid w:val="00D02E79"/>
    <w:rsid w:val="00D03070"/>
    <w:rsid w:val="00D033A1"/>
    <w:rsid w:val="00D03B15"/>
    <w:rsid w:val="00D03C87"/>
    <w:rsid w:val="00D03F10"/>
    <w:rsid w:val="00D049AF"/>
    <w:rsid w:val="00D0701B"/>
    <w:rsid w:val="00D07856"/>
    <w:rsid w:val="00D07E2B"/>
    <w:rsid w:val="00D07E37"/>
    <w:rsid w:val="00D1105A"/>
    <w:rsid w:val="00D1111D"/>
    <w:rsid w:val="00D1132B"/>
    <w:rsid w:val="00D1161C"/>
    <w:rsid w:val="00D11B40"/>
    <w:rsid w:val="00D122DE"/>
    <w:rsid w:val="00D12462"/>
    <w:rsid w:val="00D125C4"/>
    <w:rsid w:val="00D1268F"/>
    <w:rsid w:val="00D126BA"/>
    <w:rsid w:val="00D12C23"/>
    <w:rsid w:val="00D13511"/>
    <w:rsid w:val="00D1352A"/>
    <w:rsid w:val="00D142B6"/>
    <w:rsid w:val="00D145BC"/>
    <w:rsid w:val="00D15977"/>
    <w:rsid w:val="00D160C4"/>
    <w:rsid w:val="00D16584"/>
    <w:rsid w:val="00D16D5C"/>
    <w:rsid w:val="00D17BC2"/>
    <w:rsid w:val="00D17C3E"/>
    <w:rsid w:val="00D20311"/>
    <w:rsid w:val="00D21A15"/>
    <w:rsid w:val="00D2244E"/>
    <w:rsid w:val="00D22A9E"/>
    <w:rsid w:val="00D24D16"/>
    <w:rsid w:val="00D24F62"/>
    <w:rsid w:val="00D25541"/>
    <w:rsid w:val="00D259E5"/>
    <w:rsid w:val="00D26506"/>
    <w:rsid w:val="00D265C3"/>
    <w:rsid w:val="00D268D4"/>
    <w:rsid w:val="00D26C76"/>
    <w:rsid w:val="00D26D13"/>
    <w:rsid w:val="00D26DA2"/>
    <w:rsid w:val="00D276A8"/>
    <w:rsid w:val="00D27B00"/>
    <w:rsid w:val="00D27FEB"/>
    <w:rsid w:val="00D30641"/>
    <w:rsid w:val="00D307C5"/>
    <w:rsid w:val="00D31759"/>
    <w:rsid w:val="00D335A9"/>
    <w:rsid w:val="00D337C1"/>
    <w:rsid w:val="00D33836"/>
    <w:rsid w:val="00D33B14"/>
    <w:rsid w:val="00D3450A"/>
    <w:rsid w:val="00D35333"/>
    <w:rsid w:val="00D354F3"/>
    <w:rsid w:val="00D362DB"/>
    <w:rsid w:val="00D36338"/>
    <w:rsid w:val="00D3714E"/>
    <w:rsid w:val="00D41329"/>
    <w:rsid w:val="00D4138A"/>
    <w:rsid w:val="00D417A4"/>
    <w:rsid w:val="00D41C80"/>
    <w:rsid w:val="00D41EB6"/>
    <w:rsid w:val="00D4241D"/>
    <w:rsid w:val="00D428C3"/>
    <w:rsid w:val="00D42AFB"/>
    <w:rsid w:val="00D42BE8"/>
    <w:rsid w:val="00D43ADD"/>
    <w:rsid w:val="00D43CAA"/>
    <w:rsid w:val="00D43D3F"/>
    <w:rsid w:val="00D43E07"/>
    <w:rsid w:val="00D43F23"/>
    <w:rsid w:val="00D44D64"/>
    <w:rsid w:val="00D44F11"/>
    <w:rsid w:val="00D455E1"/>
    <w:rsid w:val="00D45A84"/>
    <w:rsid w:val="00D47010"/>
    <w:rsid w:val="00D472E3"/>
    <w:rsid w:val="00D47BA9"/>
    <w:rsid w:val="00D47BD7"/>
    <w:rsid w:val="00D51B13"/>
    <w:rsid w:val="00D523A3"/>
    <w:rsid w:val="00D52709"/>
    <w:rsid w:val="00D52A77"/>
    <w:rsid w:val="00D52E39"/>
    <w:rsid w:val="00D53281"/>
    <w:rsid w:val="00D538F7"/>
    <w:rsid w:val="00D54728"/>
    <w:rsid w:val="00D54776"/>
    <w:rsid w:val="00D54A24"/>
    <w:rsid w:val="00D54A96"/>
    <w:rsid w:val="00D54C6C"/>
    <w:rsid w:val="00D550C4"/>
    <w:rsid w:val="00D55A75"/>
    <w:rsid w:val="00D56F82"/>
    <w:rsid w:val="00D57063"/>
    <w:rsid w:val="00D60B48"/>
    <w:rsid w:val="00D60FD0"/>
    <w:rsid w:val="00D61510"/>
    <w:rsid w:val="00D617F9"/>
    <w:rsid w:val="00D618C9"/>
    <w:rsid w:val="00D61D72"/>
    <w:rsid w:val="00D6219B"/>
    <w:rsid w:val="00D621FE"/>
    <w:rsid w:val="00D629C9"/>
    <w:rsid w:val="00D62B7C"/>
    <w:rsid w:val="00D62CAB"/>
    <w:rsid w:val="00D62EFB"/>
    <w:rsid w:val="00D645BC"/>
    <w:rsid w:val="00D64D58"/>
    <w:rsid w:val="00D64F8E"/>
    <w:rsid w:val="00D6579D"/>
    <w:rsid w:val="00D657DF"/>
    <w:rsid w:val="00D65D7F"/>
    <w:rsid w:val="00D66641"/>
    <w:rsid w:val="00D669F2"/>
    <w:rsid w:val="00D675D1"/>
    <w:rsid w:val="00D675D9"/>
    <w:rsid w:val="00D67613"/>
    <w:rsid w:val="00D676C6"/>
    <w:rsid w:val="00D67AAB"/>
    <w:rsid w:val="00D67B84"/>
    <w:rsid w:val="00D703AD"/>
    <w:rsid w:val="00D7123D"/>
    <w:rsid w:val="00D725BA"/>
    <w:rsid w:val="00D73897"/>
    <w:rsid w:val="00D750CF"/>
    <w:rsid w:val="00D75585"/>
    <w:rsid w:val="00D75F3F"/>
    <w:rsid w:val="00D76F29"/>
    <w:rsid w:val="00D77360"/>
    <w:rsid w:val="00D7750A"/>
    <w:rsid w:val="00D77CB8"/>
    <w:rsid w:val="00D80419"/>
    <w:rsid w:val="00D807B8"/>
    <w:rsid w:val="00D807E6"/>
    <w:rsid w:val="00D819DD"/>
    <w:rsid w:val="00D8264C"/>
    <w:rsid w:val="00D82ACE"/>
    <w:rsid w:val="00D833B7"/>
    <w:rsid w:val="00D839F6"/>
    <w:rsid w:val="00D83B15"/>
    <w:rsid w:val="00D83FCF"/>
    <w:rsid w:val="00D844BB"/>
    <w:rsid w:val="00D85626"/>
    <w:rsid w:val="00D85B1C"/>
    <w:rsid w:val="00D85C4E"/>
    <w:rsid w:val="00D861B4"/>
    <w:rsid w:val="00D86D8B"/>
    <w:rsid w:val="00D86EEE"/>
    <w:rsid w:val="00D87071"/>
    <w:rsid w:val="00D87B43"/>
    <w:rsid w:val="00D90261"/>
    <w:rsid w:val="00D903DD"/>
    <w:rsid w:val="00D90BBA"/>
    <w:rsid w:val="00D90F38"/>
    <w:rsid w:val="00D91851"/>
    <w:rsid w:val="00D92236"/>
    <w:rsid w:val="00D930DD"/>
    <w:rsid w:val="00D9363F"/>
    <w:rsid w:val="00D952F7"/>
    <w:rsid w:val="00D95CCB"/>
    <w:rsid w:val="00D97446"/>
    <w:rsid w:val="00D9762E"/>
    <w:rsid w:val="00D97A8D"/>
    <w:rsid w:val="00DA1E72"/>
    <w:rsid w:val="00DA1EC1"/>
    <w:rsid w:val="00DA26EA"/>
    <w:rsid w:val="00DA305D"/>
    <w:rsid w:val="00DA3160"/>
    <w:rsid w:val="00DA350E"/>
    <w:rsid w:val="00DA3798"/>
    <w:rsid w:val="00DA3960"/>
    <w:rsid w:val="00DA3967"/>
    <w:rsid w:val="00DA3AFC"/>
    <w:rsid w:val="00DA3C16"/>
    <w:rsid w:val="00DA41BB"/>
    <w:rsid w:val="00DA48EB"/>
    <w:rsid w:val="00DA4A58"/>
    <w:rsid w:val="00DA538C"/>
    <w:rsid w:val="00DA617A"/>
    <w:rsid w:val="00DA64B6"/>
    <w:rsid w:val="00DA7F69"/>
    <w:rsid w:val="00DB0702"/>
    <w:rsid w:val="00DB1AD7"/>
    <w:rsid w:val="00DB28D0"/>
    <w:rsid w:val="00DB3942"/>
    <w:rsid w:val="00DB4700"/>
    <w:rsid w:val="00DB4985"/>
    <w:rsid w:val="00DB5CC2"/>
    <w:rsid w:val="00DB64F3"/>
    <w:rsid w:val="00DB6715"/>
    <w:rsid w:val="00DB6E3A"/>
    <w:rsid w:val="00DB6FB6"/>
    <w:rsid w:val="00DB73DD"/>
    <w:rsid w:val="00DB74F7"/>
    <w:rsid w:val="00DB79B3"/>
    <w:rsid w:val="00DB7C05"/>
    <w:rsid w:val="00DB7D71"/>
    <w:rsid w:val="00DC0220"/>
    <w:rsid w:val="00DC0A86"/>
    <w:rsid w:val="00DC0E15"/>
    <w:rsid w:val="00DC2BA3"/>
    <w:rsid w:val="00DC3153"/>
    <w:rsid w:val="00DC33CB"/>
    <w:rsid w:val="00DC3ABD"/>
    <w:rsid w:val="00DC42DE"/>
    <w:rsid w:val="00DC5201"/>
    <w:rsid w:val="00DC53F2"/>
    <w:rsid w:val="00DC5805"/>
    <w:rsid w:val="00DC626F"/>
    <w:rsid w:val="00DC6557"/>
    <w:rsid w:val="00DC66AA"/>
    <w:rsid w:val="00DC68C1"/>
    <w:rsid w:val="00DC6A95"/>
    <w:rsid w:val="00DC719C"/>
    <w:rsid w:val="00DC7F09"/>
    <w:rsid w:val="00DD0538"/>
    <w:rsid w:val="00DD079F"/>
    <w:rsid w:val="00DD08D8"/>
    <w:rsid w:val="00DD0EBA"/>
    <w:rsid w:val="00DD1170"/>
    <w:rsid w:val="00DD11A5"/>
    <w:rsid w:val="00DD1347"/>
    <w:rsid w:val="00DD190D"/>
    <w:rsid w:val="00DD24E3"/>
    <w:rsid w:val="00DD31A8"/>
    <w:rsid w:val="00DD33A3"/>
    <w:rsid w:val="00DD48B6"/>
    <w:rsid w:val="00DD4F7D"/>
    <w:rsid w:val="00DD6778"/>
    <w:rsid w:val="00DD7100"/>
    <w:rsid w:val="00DD7FF0"/>
    <w:rsid w:val="00DE0398"/>
    <w:rsid w:val="00DE1082"/>
    <w:rsid w:val="00DE1577"/>
    <w:rsid w:val="00DE1BD4"/>
    <w:rsid w:val="00DE1F01"/>
    <w:rsid w:val="00DE23BD"/>
    <w:rsid w:val="00DE2952"/>
    <w:rsid w:val="00DE304F"/>
    <w:rsid w:val="00DE3068"/>
    <w:rsid w:val="00DE31A6"/>
    <w:rsid w:val="00DE33ED"/>
    <w:rsid w:val="00DE3536"/>
    <w:rsid w:val="00DE4C7E"/>
    <w:rsid w:val="00DE5D2F"/>
    <w:rsid w:val="00DE60C2"/>
    <w:rsid w:val="00DE6732"/>
    <w:rsid w:val="00DE6ADB"/>
    <w:rsid w:val="00DE72EB"/>
    <w:rsid w:val="00DE7405"/>
    <w:rsid w:val="00DE792B"/>
    <w:rsid w:val="00DF0751"/>
    <w:rsid w:val="00DF07AA"/>
    <w:rsid w:val="00DF26C6"/>
    <w:rsid w:val="00DF2EC7"/>
    <w:rsid w:val="00DF40B6"/>
    <w:rsid w:val="00DF41F6"/>
    <w:rsid w:val="00DF4301"/>
    <w:rsid w:val="00DF47B4"/>
    <w:rsid w:val="00DF4A2A"/>
    <w:rsid w:val="00DF54A0"/>
    <w:rsid w:val="00DF5BC0"/>
    <w:rsid w:val="00DF5F73"/>
    <w:rsid w:val="00DF60D8"/>
    <w:rsid w:val="00DF68B4"/>
    <w:rsid w:val="00DF70EA"/>
    <w:rsid w:val="00DF7F61"/>
    <w:rsid w:val="00E000BB"/>
    <w:rsid w:val="00E00200"/>
    <w:rsid w:val="00E01A4B"/>
    <w:rsid w:val="00E01CBD"/>
    <w:rsid w:val="00E02F9D"/>
    <w:rsid w:val="00E030B6"/>
    <w:rsid w:val="00E04713"/>
    <w:rsid w:val="00E048A4"/>
    <w:rsid w:val="00E04A6A"/>
    <w:rsid w:val="00E04A97"/>
    <w:rsid w:val="00E04C34"/>
    <w:rsid w:val="00E05651"/>
    <w:rsid w:val="00E0583D"/>
    <w:rsid w:val="00E101B7"/>
    <w:rsid w:val="00E10A7E"/>
    <w:rsid w:val="00E10B09"/>
    <w:rsid w:val="00E11007"/>
    <w:rsid w:val="00E113C0"/>
    <w:rsid w:val="00E11851"/>
    <w:rsid w:val="00E11988"/>
    <w:rsid w:val="00E11C0A"/>
    <w:rsid w:val="00E120E1"/>
    <w:rsid w:val="00E12C3E"/>
    <w:rsid w:val="00E12F08"/>
    <w:rsid w:val="00E13818"/>
    <w:rsid w:val="00E13DD1"/>
    <w:rsid w:val="00E14C90"/>
    <w:rsid w:val="00E14D44"/>
    <w:rsid w:val="00E15E60"/>
    <w:rsid w:val="00E15F19"/>
    <w:rsid w:val="00E16FD9"/>
    <w:rsid w:val="00E174FF"/>
    <w:rsid w:val="00E20000"/>
    <w:rsid w:val="00E20322"/>
    <w:rsid w:val="00E203D7"/>
    <w:rsid w:val="00E217FB"/>
    <w:rsid w:val="00E22914"/>
    <w:rsid w:val="00E2300B"/>
    <w:rsid w:val="00E239D3"/>
    <w:rsid w:val="00E2430B"/>
    <w:rsid w:val="00E248A7"/>
    <w:rsid w:val="00E24B2B"/>
    <w:rsid w:val="00E25760"/>
    <w:rsid w:val="00E25F21"/>
    <w:rsid w:val="00E26AC5"/>
    <w:rsid w:val="00E27004"/>
    <w:rsid w:val="00E270F6"/>
    <w:rsid w:val="00E27C3D"/>
    <w:rsid w:val="00E30EED"/>
    <w:rsid w:val="00E30F50"/>
    <w:rsid w:val="00E325D0"/>
    <w:rsid w:val="00E32AD4"/>
    <w:rsid w:val="00E32EE0"/>
    <w:rsid w:val="00E33A40"/>
    <w:rsid w:val="00E34402"/>
    <w:rsid w:val="00E34630"/>
    <w:rsid w:val="00E34690"/>
    <w:rsid w:val="00E35442"/>
    <w:rsid w:val="00E364C5"/>
    <w:rsid w:val="00E36D13"/>
    <w:rsid w:val="00E36E5D"/>
    <w:rsid w:val="00E3737D"/>
    <w:rsid w:val="00E37781"/>
    <w:rsid w:val="00E37A9F"/>
    <w:rsid w:val="00E407DD"/>
    <w:rsid w:val="00E40DD4"/>
    <w:rsid w:val="00E415F7"/>
    <w:rsid w:val="00E41DC5"/>
    <w:rsid w:val="00E422E2"/>
    <w:rsid w:val="00E4321D"/>
    <w:rsid w:val="00E43333"/>
    <w:rsid w:val="00E43742"/>
    <w:rsid w:val="00E45093"/>
    <w:rsid w:val="00E4555D"/>
    <w:rsid w:val="00E4633D"/>
    <w:rsid w:val="00E471BC"/>
    <w:rsid w:val="00E47313"/>
    <w:rsid w:val="00E473A6"/>
    <w:rsid w:val="00E47740"/>
    <w:rsid w:val="00E50A91"/>
    <w:rsid w:val="00E52008"/>
    <w:rsid w:val="00E52615"/>
    <w:rsid w:val="00E52760"/>
    <w:rsid w:val="00E54ACE"/>
    <w:rsid w:val="00E555C5"/>
    <w:rsid w:val="00E55DC2"/>
    <w:rsid w:val="00E56586"/>
    <w:rsid w:val="00E565C5"/>
    <w:rsid w:val="00E56E48"/>
    <w:rsid w:val="00E5711F"/>
    <w:rsid w:val="00E57D79"/>
    <w:rsid w:val="00E57FFA"/>
    <w:rsid w:val="00E60070"/>
    <w:rsid w:val="00E60231"/>
    <w:rsid w:val="00E609DB"/>
    <w:rsid w:val="00E60B72"/>
    <w:rsid w:val="00E6103A"/>
    <w:rsid w:val="00E61842"/>
    <w:rsid w:val="00E61869"/>
    <w:rsid w:val="00E61B77"/>
    <w:rsid w:val="00E61D10"/>
    <w:rsid w:val="00E62358"/>
    <w:rsid w:val="00E6235E"/>
    <w:rsid w:val="00E62994"/>
    <w:rsid w:val="00E643CE"/>
    <w:rsid w:val="00E6458F"/>
    <w:rsid w:val="00E653D1"/>
    <w:rsid w:val="00E65943"/>
    <w:rsid w:val="00E659BF"/>
    <w:rsid w:val="00E65CFE"/>
    <w:rsid w:val="00E65D2D"/>
    <w:rsid w:val="00E6610E"/>
    <w:rsid w:val="00E671CE"/>
    <w:rsid w:val="00E67D86"/>
    <w:rsid w:val="00E70057"/>
    <w:rsid w:val="00E70253"/>
    <w:rsid w:val="00E7048F"/>
    <w:rsid w:val="00E705A9"/>
    <w:rsid w:val="00E709DA"/>
    <w:rsid w:val="00E70FDB"/>
    <w:rsid w:val="00E713EE"/>
    <w:rsid w:val="00E720A0"/>
    <w:rsid w:val="00E7213E"/>
    <w:rsid w:val="00E72AB3"/>
    <w:rsid w:val="00E72C7B"/>
    <w:rsid w:val="00E7309A"/>
    <w:rsid w:val="00E731AA"/>
    <w:rsid w:val="00E73811"/>
    <w:rsid w:val="00E74466"/>
    <w:rsid w:val="00E748C7"/>
    <w:rsid w:val="00E759BE"/>
    <w:rsid w:val="00E75E06"/>
    <w:rsid w:val="00E7755E"/>
    <w:rsid w:val="00E7764C"/>
    <w:rsid w:val="00E77771"/>
    <w:rsid w:val="00E779A9"/>
    <w:rsid w:val="00E77EF6"/>
    <w:rsid w:val="00E77F95"/>
    <w:rsid w:val="00E80699"/>
    <w:rsid w:val="00E80793"/>
    <w:rsid w:val="00E80C8B"/>
    <w:rsid w:val="00E81512"/>
    <w:rsid w:val="00E81722"/>
    <w:rsid w:val="00E8185D"/>
    <w:rsid w:val="00E8194F"/>
    <w:rsid w:val="00E82790"/>
    <w:rsid w:val="00E82935"/>
    <w:rsid w:val="00E82BA5"/>
    <w:rsid w:val="00E82D91"/>
    <w:rsid w:val="00E82E25"/>
    <w:rsid w:val="00E82FBE"/>
    <w:rsid w:val="00E83093"/>
    <w:rsid w:val="00E83B84"/>
    <w:rsid w:val="00E8443F"/>
    <w:rsid w:val="00E84A2B"/>
    <w:rsid w:val="00E85262"/>
    <w:rsid w:val="00E85948"/>
    <w:rsid w:val="00E85A5E"/>
    <w:rsid w:val="00E900AC"/>
    <w:rsid w:val="00E902A6"/>
    <w:rsid w:val="00E914F6"/>
    <w:rsid w:val="00E91B9B"/>
    <w:rsid w:val="00E927FF"/>
    <w:rsid w:val="00E92BF3"/>
    <w:rsid w:val="00E92DA5"/>
    <w:rsid w:val="00E93BD9"/>
    <w:rsid w:val="00E93D99"/>
    <w:rsid w:val="00E9415E"/>
    <w:rsid w:val="00E9424D"/>
    <w:rsid w:val="00E94A37"/>
    <w:rsid w:val="00E94C8F"/>
    <w:rsid w:val="00E95918"/>
    <w:rsid w:val="00E9617A"/>
    <w:rsid w:val="00E9648F"/>
    <w:rsid w:val="00E979E1"/>
    <w:rsid w:val="00E97A98"/>
    <w:rsid w:val="00EA08E1"/>
    <w:rsid w:val="00EA1E0A"/>
    <w:rsid w:val="00EA1FD6"/>
    <w:rsid w:val="00EA259F"/>
    <w:rsid w:val="00EA2888"/>
    <w:rsid w:val="00EA2E80"/>
    <w:rsid w:val="00EA3412"/>
    <w:rsid w:val="00EA3666"/>
    <w:rsid w:val="00EA38E2"/>
    <w:rsid w:val="00EA407A"/>
    <w:rsid w:val="00EA42C1"/>
    <w:rsid w:val="00EA5F4E"/>
    <w:rsid w:val="00EA745C"/>
    <w:rsid w:val="00EB01C0"/>
    <w:rsid w:val="00EB01C9"/>
    <w:rsid w:val="00EB0CB4"/>
    <w:rsid w:val="00EB0CF9"/>
    <w:rsid w:val="00EB1105"/>
    <w:rsid w:val="00EB1677"/>
    <w:rsid w:val="00EB18A0"/>
    <w:rsid w:val="00EB2049"/>
    <w:rsid w:val="00EB32BD"/>
    <w:rsid w:val="00EB3936"/>
    <w:rsid w:val="00EB41FD"/>
    <w:rsid w:val="00EB4E16"/>
    <w:rsid w:val="00EB5244"/>
    <w:rsid w:val="00EB58BF"/>
    <w:rsid w:val="00EB6297"/>
    <w:rsid w:val="00EB68B3"/>
    <w:rsid w:val="00EB74BA"/>
    <w:rsid w:val="00EB7784"/>
    <w:rsid w:val="00EB77BC"/>
    <w:rsid w:val="00EC0AE4"/>
    <w:rsid w:val="00EC21EB"/>
    <w:rsid w:val="00EC27AE"/>
    <w:rsid w:val="00EC31D3"/>
    <w:rsid w:val="00EC36EE"/>
    <w:rsid w:val="00EC3A83"/>
    <w:rsid w:val="00EC3E19"/>
    <w:rsid w:val="00EC405D"/>
    <w:rsid w:val="00EC5247"/>
    <w:rsid w:val="00EC5549"/>
    <w:rsid w:val="00EC5DEE"/>
    <w:rsid w:val="00EC6A7D"/>
    <w:rsid w:val="00EC6C89"/>
    <w:rsid w:val="00EC7AF4"/>
    <w:rsid w:val="00ED033D"/>
    <w:rsid w:val="00ED059B"/>
    <w:rsid w:val="00ED0B37"/>
    <w:rsid w:val="00ED0EBF"/>
    <w:rsid w:val="00ED0FB2"/>
    <w:rsid w:val="00ED1759"/>
    <w:rsid w:val="00ED18A6"/>
    <w:rsid w:val="00ED19FF"/>
    <w:rsid w:val="00ED299A"/>
    <w:rsid w:val="00ED299C"/>
    <w:rsid w:val="00ED2D8C"/>
    <w:rsid w:val="00ED3297"/>
    <w:rsid w:val="00ED36B9"/>
    <w:rsid w:val="00ED37CD"/>
    <w:rsid w:val="00ED3A11"/>
    <w:rsid w:val="00ED4ADD"/>
    <w:rsid w:val="00ED5A3F"/>
    <w:rsid w:val="00ED5C72"/>
    <w:rsid w:val="00ED5CE8"/>
    <w:rsid w:val="00ED5D52"/>
    <w:rsid w:val="00ED67E2"/>
    <w:rsid w:val="00ED6A97"/>
    <w:rsid w:val="00ED6B7B"/>
    <w:rsid w:val="00ED712F"/>
    <w:rsid w:val="00ED721D"/>
    <w:rsid w:val="00ED7501"/>
    <w:rsid w:val="00ED7ED1"/>
    <w:rsid w:val="00EE04A9"/>
    <w:rsid w:val="00EE067B"/>
    <w:rsid w:val="00EE1F89"/>
    <w:rsid w:val="00EE2084"/>
    <w:rsid w:val="00EE255D"/>
    <w:rsid w:val="00EE368A"/>
    <w:rsid w:val="00EE46E0"/>
    <w:rsid w:val="00EE4ADE"/>
    <w:rsid w:val="00EE5631"/>
    <w:rsid w:val="00EE5844"/>
    <w:rsid w:val="00EE5BBC"/>
    <w:rsid w:val="00EE5BFC"/>
    <w:rsid w:val="00EE6384"/>
    <w:rsid w:val="00EE655C"/>
    <w:rsid w:val="00EE6FE3"/>
    <w:rsid w:val="00EE7721"/>
    <w:rsid w:val="00EE7890"/>
    <w:rsid w:val="00EE7EE7"/>
    <w:rsid w:val="00EF0764"/>
    <w:rsid w:val="00EF1134"/>
    <w:rsid w:val="00EF2481"/>
    <w:rsid w:val="00EF2EAE"/>
    <w:rsid w:val="00EF382D"/>
    <w:rsid w:val="00EF3C56"/>
    <w:rsid w:val="00EF427B"/>
    <w:rsid w:val="00EF5DB2"/>
    <w:rsid w:val="00EF5EF9"/>
    <w:rsid w:val="00EF647C"/>
    <w:rsid w:val="00EF7CB7"/>
    <w:rsid w:val="00EF7E79"/>
    <w:rsid w:val="00F000DC"/>
    <w:rsid w:val="00F00331"/>
    <w:rsid w:val="00F0098E"/>
    <w:rsid w:val="00F019F3"/>
    <w:rsid w:val="00F029C8"/>
    <w:rsid w:val="00F02FCD"/>
    <w:rsid w:val="00F03AA3"/>
    <w:rsid w:val="00F03D44"/>
    <w:rsid w:val="00F03EA1"/>
    <w:rsid w:val="00F03F32"/>
    <w:rsid w:val="00F04632"/>
    <w:rsid w:val="00F04F21"/>
    <w:rsid w:val="00F050A0"/>
    <w:rsid w:val="00F05457"/>
    <w:rsid w:val="00F055BA"/>
    <w:rsid w:val="00F0582B"/>
    <w:rsid w:val="00F058C3"/>
    <w:rsid w:val="00F0672C"/>
    <w:rsid w:val="00F06825"/>
    <w:rsid w:val="00F06D5C"/>
    <w:rsid w:val="00F10555"/>
    <w:rsid w:val="00F1099C"/>
    <w:rsid w:val="00F1131A"/>
    <w:rsid w:val="00F11BFD"/>
    <w:rsid w:val="00F12AE1"/>
    <w:rsid w:val="00F130A7"/>
    <w:rsid w:val="00F133BF"/>
    <w:rsid w:val="00F13461"/>
    <w:rsid w:val="00F13466"/>
    <w:rsid w:val="00F1366B"/>
    <w:rsid w:val="00F14529"/>
    <w:rsid w:val="00F15480"/>
    <w:rsid w:val="00F159A6"/>
    <w:rsid w:val="00F1638C"/>
    <w:rsid w:val="00F16C60"/>
    <w:rsid w:val="00F17292"/>
    <w:rsid w:val="00F173E7"/>
    <w:rsid w:val="00F17491"/>
    <w:rsid w:val="00F1759E"/>
    <w:rsid w:val="00F17AFE"/>
    <w:rsid w:val="00F202D4"/>
    <w:rsid w:val="00F224E6"/>
    <w:rsid w:val="00F228F5"/>
    <w:rsid w:val="00F22B59"/>
    <w:rsid w:val="00F23706"/>
    <w:rsid w:val="00F23742"/>
    <w:rsid w:val="00F238F8"/>
    <w:rsid w:val="00F24D0B"/>
    <w:rsid w:val="00F24DFC"/>
    <w:rsid w:val="00F25157"/>
    <w:rsid w:val="00F25484"/>
    <w:rsid w:val="00F25774"/>
    <w:rsid w:val="00F25797"/>
    <w:rsid w:val="00F25A75"/>
    <w:rsid w:val="00F25C0E"/>
    <w:rsid w:val="00F26080"/>
    <w:rsid w:val="00F26213"/>
    <w:rsid w:val="00F300B3"/>
    <w:rsid w:val="00F3011B"/>
    <w:rsid w:val="00F30D97"/>
    <w:rsid w:val="00F31115"/>
    <w:rsid w:val="00F314EC"/>
    <w:rsid w:val="00F31E5B"/>
    <w:rsid w:val="00F32839"/>
    <w:rsid w:val="00F32952"/>
    <w:rsid w:val="00F33159"/>
    <w:rsid w:val="00F3364D"/>
    <w:rsid w:val="00F336F7"/>
    <w:rsid w:val="00F34218"/>
    <w:rsid w:val="00F34552"/>
    <w:rsid w:val="00F34773"/>
    <w:rsid w:val="00F34920"/>
    <w:rsid w:val="00F35BE6"/>
    <w:rsid w:val="00F35E9D"/>
    <w:rsid w:val="00F3653B"/>
    <w:rsid w:val="00F36C24"/>
    <w:rsid w:val="00F36EA8"/>
    <w:rsid w:val="00F3706F"/>
    <w:rsid w:val="00F372C5"/>
    <w:rsid w:val="00F37A57"/>
    <w:rsid w:val="00F37B5C"/>
    <w:rsid w:val="00F406E3"/>
    <w:rsid w:val="00F410DD"/>
    <w:rsid w:val="00F411C5"/>
    <w:rsid w:val="00F41496"/>
    <w:rsid w:val="00F4173A"/>
    <w:rsid w:val="00F41CC4"/>
    <w:rsid w:val="00F41F48"/>
    <w:rsid w:val="00F423C9"/>
    <w:rsid w:val="00F43A08"/>
    <w:rsid w:val="00F44AF3"/>
    <w:rsid w:val="00F44B09"/>
    <w:rsid w:val="00F450F0"/>
    <w:rsid w:val="00F452F7"/>
    <w:rsid w:val="00F455AA"/>
    <w:rsid w:val="00F46331"/>
    <w:rsid w:val="00F46691"/>
    <w:rsid w:val="00F46D1A"/>
    <w:rsid w:val="00F46E0D"/>
    <w:rsid w:val="00F46E2F"/>
    <w:rsid w:val="00F47CF0"/>
    <w:rsid w:val="00F47DCB"/>
    <w:rsid w:val="00F508FF"/>
    <w:rsid w:val="00F51305"/>
    <w:rsid w:val="00F519F5"/>
    <w:rsid w:val="00F52213"/>
    <w:rsid w:val="00F53970"/>
    <w:rsid w:val="00F53E28"/>
    <w:rsid w:val="00F541EB"/>
    <w:rsid w:val="00F546BE"/>
    <w:rsid w:val="00F5472A"/>
    <w:rsid w:val="00F54B44"/>
    <w:rsid w:val="00F553BC"/>
    <w:rsid w:val="00F55631"/>
    <w:rsid w:val="00F55A11"/>
    <w:rsid w:val="00F56C19"/>
    <w:rsid w:val="00F56F69"/>
    <w:rsid w:val="00F57D25"/>
    <w:rsid w:val="00F600D1"/>
    <w:rsid w:val="00F60133"/>
    <w:rsid w:val="00F603C1"/>
    <w:rsid w:val="00F60552"/>
    <w:rsid w:val="00F61CD3"/>
    <w:rsid w:val="00F62188"/>
    <w:rsid w:val="00F624ED"/>
    <w:rsid w:val="00F6252F"/>
    <w:rsid w:val="00F62834"/>
    <w:rsid w:val="00F62B5D"/>
    <w:rsid w:val="00F633E4"/>
    <w:rsid w:val="00F63580"/>
    <w:rsid w:val="00F6409E"/>
    <w:rsid w:val="00F64BFA"/>
    <w:rsid w:val="00F652EC"/>
    <w:rsid w:val="00F653ED"/>
    <w:rsid w:val="00F65731"/>
    <w:rsid w:val="00F65759"/>
    <w:rsid w:val="00F65A93"/>
    <w:rsid w:val="00F660B6"/>
    <w:rsid w:val="00F66AC9"/>
    <w:rsid w:val="00F672E4"/>
    <w:rsid w:val="00F67B93"/>
    <w:rsid w:val="00F7056E"/>
    <w:rsid w:val="00F705EC"/>
    <w:rsid w:val="00F70A22"/>
    <w:rsid w:val="00F70ED6"/>
    <w:rsid w:val="00F713C3"/>
    <w:rsid w:val="00F71735"/>
    <w:rsid w:val="00F718B4"/>
    <w:rsid w:val="00F725FF"/>
    <w:rsid w:val="00F72CAA"/>
    <w:rsid w:val="00F7334E"/>
    <w:rsid w:val="00F7462C"/>
    <w:rsid w:val="00F74755"/>
    <w:rsid w:val="00F749C1"/>
    <w:rsid w:val="00F75E79"/>
    <w:rsid w:val="00F76750"/>
    <w:rsid w:val="00F76D20"/>
    <w:rsid w:val="00F7723C"/>
    <w:rsid w:val="00F77E02"/>
    <w:rsid w:val="00F8045D"/>
    <w:rsid w:val="00F80C86"/>
    <w:rsid w:val="00F80EF7"/>
    <w:rsid w:val="00F80F2F"/>
    <w:rsid w:val="00F811CF"/>
    <w:rsid w:val="00F81490"/>
    <w:rsid w:val="00F815BE"/>
    <w:rsid w:val="00F81618"/>
    <w:rsid w:val="00F82666"/>
    <w:rsid w:val="00F829A6"/>
    <w:rsid w:val="00F83535"/>
    <w:rsid w:val="00F837FB"/>
    <w:rsid w:val="00F83A05"/>
    <w:rsid w:val="00F8437D"/>
    <w:rsid w:val="00F848C8"/>
    <w:rsid w:val="00F84A65"/>
    <w:rsid w:val="00F85955"/>
    <w:rsid w:val="00F85AE8"/>
    <w:rsid w:val="00F85C34"/>
    <w:rsid w:val="00F85CC5"/>
    <w:rsid w:val="00F85CC8"/>
    <w:rsid w:val="00F86FEF"/>
    <w:rsid w:val="00F87988"/>
    <w:rsid w:val="00F87994"/>
    <w:rsid w:val="00F87AE3"/>
    <w:rsid w:val="00F87C61"/>
    <w:rsid w:val="00F9022A"/>
    <w:rsid w:val="00F904F2"/>
    <w:rsid w:val="00F9162C"/>
    <w:rsid w:val="00F91E65"/>
    <w:rsid w:val="00F921CE"/>
    <w:rsid w:val="00F92641"/>
    <w:rsid w:val="00F92E04"/>
    <w:rsid w:val="00F9332B"/>
    <w:rsid w:val="00F93744"/>
    <w:rsid w:val="00F9432B"/>
    <w:rsid w:val="00F94703"/>
    <w:rsid w:val="00F94880"/>
    <w:rsid w:val="00F9532B"/>
    <w:rsid w:val="00F9749F"/>
    <w:rsid w:val="00F9770B"/>
    <w:rsid w:val="00F9784F"/>
    <w:rsid w:val="00F978DD"/>
    <w:rsid w:val="00F97929"/>
    <w:rsid w:val="00FA0030"/>
    <w:rsid w:val="00FA032A"/>
    <w:rsid w:val="00FA074D"/>
    <w:rsid w:val="00FA0BAD"/>
    <w:rsid w:val="00FA0C89"/>
    <w:rsid w:val="00FA11EF"/>
    <w:rsid w:val="00FA13A7"/>
    <w:rsid w:val="00FA1867"/>
    <w:rsid w:val="00FA190A"/>
    <w:rsid w:val="00FA1912"/>
    <w:rsid w:val="00FA1D4B"/>
    <w:rsid w:val="00FA42A4"/>
    <w:rsid w:val="00FA452D"/>
    <w:rsid w:val="00FA5BB1"/>
    <w:rsid w:val="00FA5DFC"/>
    <w:rsid w:val="00FA5E86"/>
    <w:rsid w:val="00FA6584"/>
    <w:rsid w:val="00FA6585"/>
    <w:rsid w:val="00FA692A"/>
    <w:rsid w:val="00FA6AA4"/>
    <w:rsid w:val="00FA6F70"/>
    <w:rsid w:val="00FA7BFB"/>
    <w:rsid w:val="00FB1623"/>
    <w:rsid w:val="00FB214A"/>
    <w:rsid w:val="00FB2155"/>
    <w:rsid w:val="00FB258D"/>
    <w:rsid w:val="00FB26E0"/>
    <w:rsid w:val="00FB2E17"/>
    <w:rsid w:val="00FB2E30"/>
    <w:rsid w:val="00FB37D6"/>
    <w:rsid w:val="00FB4EED"/>
    <w:rsid w:val="00FB5481"/>
    <w:rsid w:val="00FB564F"/>
    <w:rsid w:val="00FB5839"/>
    <w:rsid w:val="00FB5C19"/>
    <w:rsid w:val="00FB63CF"/>
    <w:rsid w:val="00FB6B57"/>
    <w:rsid w:val="00FB6E4C"/>
    <w:rsid w:val="00FB6EF9"/>
    <w:rsid w:val="00FB7525"/>
    <w:rsid w:val="00FB78B9"/>
    <w:rsid w:val="00FB7B7B"/>
    <w:rsid w:val="00FC012D"/>
    <w:rsid w:val="00FC1193"/>
    <w:rsid w:val="00FC1EBC"/>
    <w:rsid w:val="00FC22A9"/>
    <w:rsid w:val="00FC25D6"/>
    <w:rsid w:val="00FC323E"/>
    <w:rsid w:val="00FC3622"/>
    <w:rsid w:val="00FC3F71"/>
    <w:rsid w:val="00FC4136"/>
    <w:rsid w:val="00FC4881"/>
    <w:rsid w:val="00FC4E61"/>
    <w:rsid w:val="00FC5250"/>
    <w:rsid w:val="00FC593B"/>
    <w:rsid w:val="00FC677E"/>
    <w:rsid w:val="00FC6CEB"/>
    <w:rsid w:val="00FC70D6"/>
    <w:rsid w:val="00FC72F4"/>
    <w:rsid w:val="00FC7598"/>
    <w:rsid w:val="00FC78B0"/>
    <w:rsid w:val="00FD0526"/>
    <w:rsid w:val="00FD32E5"/>
    <w:rsid w:val="00FD3853"/>
    <w:rsid w:val="00FD5911"/>
    <w:rsid w:val="00FD66AA"/>
    <w:rsid w:val="00FD73C2"/>
    <w:rsid w:val="00FE00B3"/>
    <w:rsid w:val="00FE0E6D"/>
    <w:rsid w:val="00FE180A"/>
    <w:rsid w:val="00FE18E2"/>
    <w:rsid w:val="00FE19FD"/>
    <w:rsid w:val="00FE1ACE"/>
    <w:rsid w:val="00FE212F"/>
    <w:rsid w:val="00FE2B76"/>
    <w:rsid w:val="00FE3053"/>
    <w:rsid w:val="00FE3595"/>
    <w:rsid w:val="00FE3BC5"/>
    <w:rsid w:val="00FE4226"/>
    <w:rsid w:val="00FE46FD"/>
    <w:rsid w:val="00FE56ED"/>
    <w:rsid w:val="00FE5E4F"/>
    <w:rsid w:val="00FE5EC7"/>
    <w:rsid w:val="00FE5F4F"/>
    <w:rsid w:val="00FE60E4"/>
    <w:rsid w:val="00FE6BB6"/>
    <w:rsid w:val="00FE6C28"/>
    <w:rsid w:val="00FE6EE6"/>
    <w:rsid w:val="00FE70D1"/>
    <w:rsid w:val="00FE7CB1"/>
    <w:rsid w:val="00FF0E1C"/>
    <w:rsid w:val="00FF1286"/>
    <w:rsid w:val="00FF17BA"/>
    <w:rsid w:val="00FF1A62"/>
    <w:rsid w:val="00FF1AF2"/>
    <w:rsid w:val="00FF1D93"/>
    <w:rsid w:val="00FF215F"/>
    <w:rsid w:val="00FF21B2"/>
    <w:rsid w:val="00FF2A3E"/>
    <w:rsid w:val="00FF2F61"/>
    <w:rsid w:val="00FF3A56"/>
    <w:rsid w:val="00FF445D"/>
    <w:rsid w:val="00FF4D06"/>
    <w:rsid w:val="00FF4D15"/>
    <w:rsid w:val="00FF4D1F"/>
    <w:rsid w:val="00FF5068"/>
    <w:rsid w:val="00FF5273"/>
    <w:rsid w:val="00FF5A06"/>
    <w:rsid w:val="00FF6835"/>
    <w:rsid w:val="00FF6967"/>
    <w:rsid w:val="00FF6BA9"/>
    <w:rsid w:val="00FF7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A8AF59"/>
  <w15:docId w15:val="{FAF5621D-B82F-41AB-B81B-63B01472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72E4"/>
  </w:style>
  <w:style w:type="paragraph" w:styleId="Heading1">
    <w:name w:val="heading 1"/>
    <w:basedOn w:val="Normal"/>
    <w:next w:val="Normal"/>
    <w:link w:val="Heading1Char"/>
    <w:uiPriority w:val="9"/>
    <w:qFormat/>
    <w:rsid w:val="00FC36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43B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D707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43CA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95A8B"/>
    <w:pPr>
      <w:keepNext/>
      <w:keepLines/>
      <w:spacing w:before="40" w:after="0"/>
      <w:outlineLvl w:val="4"/>
    </w:pPr>
    <w:rPr>
      <w:rFonts w:eastAsia="DengXian Light" w:cs="Times New Roman"/>
      <w:color w:val="2F5496"/>
    </w:rPr>
  </w:style>
  <w:style w:type="paragraph" w:styleId="Heading6">
    <w:name w:val="heading 6"/>
    <w:basedOn w:val="Normal"/>
    <w:next w:val="Normal"/>
    <w:link w:val="Heading6Char"/>
    <w:uiPriority w:val="9"/>
    <w:semiHidden/>
    <w:unhideWhenUsed/>
    <w:qFormat/>
    <w:rsid w:val="00195A8B"/>
    <w:pPr>
      <w:keepNext/>
      <w:keepLines/>
      <w:spacing w:before="40" w:after="0"/>
      <w:outlineLvl w:val="5"/>
    </w:pPr>
    <w:rPr>
      <w:rFonts w:eastAsia="DengXian Light" w:cs="Times New Roman"/>
      <w:i/>
      <w:iCs/>
      <w:color w:val="595959"/>
    </w:rPr>
  </w:style>
  <w:style w:type="paragraph" w:styleId="Heading7">
    <w:name w:val="heading 7"/>
    <w:basedOn w:val="Normal"/>
    <w:next w:val="Normal"/>
    <w:link w:val="Heading7Char"/>
    <w:uiPriority w:val="9"/>
    <w:semiHidden/>
    <w:unhideWhenUsed/>
    <w:qFormat/>
    <w:rsid w:val="00195A8B"/>
    <w:pPr>
      <w:keepNext/>
      <w:keepLines/>
      <w:spacing w:before="40" w:after="0"/>
      <w:outlineLvl w:val="6"/>
    </w:pPr>
    <w:rPr>
      <w:rFonts w:eastAsia="DengXian Light" w:cs="Times New Roman"/>
      <w:color w:val="595959"/>
    </w:rPr>
  </w:style>
  <w:style w:type="paragraph" w:styleId="Heading8">
    <w:name w:val="heading 8"/>
    <w:basedOn w:val="Normal"/>
    <w:next w:val="Normal"/>
    <w:link w:val="Heading8Char"/>
    <w:uiPriority w:val="9"/>
    <w:semiHidden/>
    <w:unhideWhenUsed/>
    <w:qFormat/>
    <w:rsid w:val="00195A8B"/>
    <w:pPr>
      <w:keepNext/>
      <w:keepLines/>
      <w:spacing w:before="40" w:after="0"/>
      <w:outlineLvl w:val="7"/>
    </w:pPr>
    <w:rPr>
      <w:rFonts w:eastAsia="DengXian Light" w:cs="Times New Roman"/>
      <w:i/>
      <w:iCs/>
      <w:color w:val="272727"/>
    </w:rPr>
  </w:style>
  <w:style w:type="paragraph" w:styleId="Heading9">
    <w:name w:val="heading 9"/>
    <w:basedOn w:val="Normal"/>
    <w:next w:val="Normal"/>
    <w:link w:val="Heading9Char"/>
    <w:uiPriority w:val="9"/>
    <w:semiHidden/>
    <w:unhideWhenUsed/>
    <w:qFormat/>
    <w:rsid w:val="00195A8B"/>
    <w:pPr>
      <w:keepNext/>
      <w:keepLines/>
      <w:spacing w:before="40" w:after="0"/>
      <w:outlineLvl w:val="8"/>
    </w:pPr>
    <w:rPr>
      <w:rFonts w:eastAsia="DengXian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3authornames">
    <w:name w:val="MDPI_1.3_authornames"/>
    <w:basedOn w:val="Normal"/>
    <w:next w:val="Normal"/>
    <w:qFormat/>
    <w:rsid w:val="00374FD5"/>
    <w:pPr>
      <w:adjustRightInd w:val="0"/>
      <w:snapToGrid w:val="0"/>
      <w:spacing w:after="120" w:line="260" w:lineRule="atLeast"/>
    </w:pPr>
    <w:rPr>
      <w:rFonts w:ascii="Palatino Linotype" w:eastAsia="Times New Roman" w:hAnsi="Palatino Linotype" w:cs="Times New Roman"/>
      <w:b/>
      <w:color w:val="000000"/>
      <w:sz w:val="20"/>
      <w:lang w:eastAsia="de-DE" w:bidi="en-US"/>
    </w:rPr>
  </w:style>
  <w:style w:type="paragraph" w:customStyle="1" w:styleId="Default">
    <w:name w:val="Default"/>
    <w:rsid w:val="00C412D6"/>
    <w:pPr>
      <w:autoSpaceDE w:val="0"/>
      <w:autoSpaceDN w:val="0"/>
      <w:adjustRightInd w:val="0"/>
      <w:spacing w:after="0" w:line="240" w:lineRule="auto"/>
    </w:pPr>
    <w:rPr>
      <w:rFonts w:ascii="Arial" w:hAnsi="Arial" w:cs="Arial"/>
      <w:color w:val="000000"/>
      <w:sz w:val="24"/>
      <w:szCs w:val="24"/>
    </w:rPr>
  </w:style>
  <w:style w:type="paragraph" w:customStyle="1" w:styleId="MDPI21heading1">
    <w:name w:val="MDPI_2.1_heading1"/>
    <w:basedOn w:val="Normal"/>
    <w:qFormat/>
    <w:rsid w:val="00C412D6"/>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eastAsia="de-DE" w:bidi="en-US"/>
    </w:rPr>
  </w:style>
  <w:style w:type="character" w:styleId="Hyperlink">
    <w:name w:val="Hyperlink"/>
    <w:uiPriority w:val="99"/>
    <w:unhideWhenUsed/>
    <w:rsid w:val="00C412D6"/>
    <w:rPr>
      <w:color w:val="0563C1"/>
      <w:u w:val="single"/>
    </w:rPr>
  </w:style>
  <w:style w:type="character" w:customStyle="1" w:styleId="Heading1Char">
    <w:name w:val="Heading 1 Char"/>
    <w:basedOn w:val="DefaultParagraphFont"/>
    <w:link w:val="Heading1"/>
    <w:uiPriority w:val="9"/>
    <w:rsid w:val="00FC362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0F5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31text">
    <w:name w:val="MDPI_3.1_text"/>
    <w:qFormat/>
    <w:rsid w:val="00834F0F"/>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styleId="PlaceholderText">
    <w:name w:val="Placeholder Text"/>
    <w:basedOn w:val="DefaultParagraphFont"/>
    <w:uiPriority w:val="99"/>
    <w:semiHidden/>
    <w:rsid w:val="00C1308E"/>
    <w:rPr>
      <w:color w:val="808080"/>
    </w:rPr>
  </w:style>
  <w:style w:type="paragraph" w:styleId="ListParagraph">
    <w:name w:val="List Paragraph"/>
    <w:basedOn w:val="Normal"/>
    <w:uiPriority w:val="34"/>
    <w:qFormat/>
    <w:rsid w:val="009D76DD"/>
    <w:pPr>
      <w:ind w:left="720"/>
      <w:contextualSpacing/>
    </w:pPr>
  </w:style>
  <w:style w:type="table" w:styleId="LightShading-Accent3">
    <w:name w:val="Light Shading Accent 3"/>
    <w:basedOn w:val="TableNormal"/>
    <w:uiPriority w:val="60"/>
    <w:rsid w:val="002F7DB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rsid w:val="002F7D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0357C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A8">
    <w:name w:val="A8"/>
    <w:uiPriority w:val="99"/>
    <w:rsid w:val="009D7625"/>
    <w:rPr>
      <w:rFonts w:cs="Cambria"/>
      <w:color w:val="000000"/>
      <w:sz w:val="18"/>
      <w:szCs w:val="18"/>
    </w:rPr>
  </w:style>
  <w:style w:type="character" w:styleId="Strong">
    <w:name w:val="Strong"/>
    <w:basedOn w:val="DefaultParagraphFont"/>
    <w:uiPriority w:val="22"/>
    <w:qFormat/>
    <w:rsid w:val="009D7625"/>
    <w:rPr>
      <w:b/>
      <w:bCs/>
    </w:rPr>
  </w:style>
  <w:style w:type="character" w:styleId="Emphasis">
    <w:name w:val="Emphasis"/>
    <w:basedOn w:val="DefaultParagraphFont"/>
    <w:uiPriority w:val="20"/>
    <w:qFormat/>
    <w:rsid w:val="009D7625"/>
    <w:rPr>
      <w:i/>
      <w:iCs/>
    </w:rPr>
  </w:style>
  <w:style w:type="character" w:customStyle="1" w:styleId="A5">
    <w:name w:val="A5"/>
    <w:uiPriority w:val="99"/>
    <w:rsid w:val="009D7625"/>
    <w:rPr>
      <w:rFonts w:cs="Minion Pro"/>
      <w:color w:val="000000"/>
      <w:sz w:val="22"/>
      <w:szCs w:val="22"/>
    </w:rPr>
  </w:style>
  <w:style w:type="character" w:styleId="FollowedHyperlink">
    <w:name w:val="FollowedHyperlink"/>
    <w:basedOn w:val="DefaultParagraphFont"/>
    <w:uiPriority w:val="99"/>
    <w:semiHidden/>
    <w:unhideWhenUsed/>
    <w:rsid w:val="002B073A"/>
    <w:rPr>
      <w:color w:val="800080" w:themeColor="followedHyperlink"/>
      <w:u w:val="single"/>
    </w:rPr>
  </w:style>
  <w:style w:type="character" w:customStyle="1" w:styleId="Heading2Char">
    <w:name w:val="Heading 2 Char"/>
    <w:basedOn w:val="DefaultParagraphFont"/>
    <w:link w:val="Heading2"/>
    <w:uiPriority w:val="9"/>
    <w:rsid w:val="00943B53"/>
    <w:rPr>
      <w:rFonts w:asciiTheme="majorHAnsi" w:eastAsiaTheme="majorEastAsia" w:hAnsiTheme="majorHAnsi" w:cstheme="majorBidi"/>
      <w:b/>
      <w:bCs/>
      <w:color w:val="4F81BD" w:themeColor="accent1"/>
      <w:sz w:val="26"/>
      <w:szCs w:val="26"/>
    </w:rPr>
  </w:style>
  <w:style w:type="character" w:customStyle="1" w:styleId="A1">
    <w:name w:val="A1"/>
    <w:uiPriority w:val="99"/>
    <w:rsid w:val="00BA2AF3"/>
    <w:rPr>
      <w:color w:val="000000"/>
      <w:sz w:val="22"/>
      <w:szCs w:val="22"/>
    </w:rPr>
  </w:style>
  <w:style w:type="character" w:customStyle="1" w:styleId="Heading3Char">
    <w:name w:val="Heading 3 Char"/>
    <w:basedOn w:val="DefaultParagraphFont"/>
    <w:link w:val="Heading3"/>
    <w:uiPriority w:val="9"/>
    <w:rsid w:val="000D707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126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80A"/>
  </w:style>
  <w:style w:type="paragraph" w:styleId="Footer">
    <w:name w:val="footer"/>
    <w:basedOn w:val="Normal"/>
    <w:link w:val="FooterChar"/>
    <w:uiPriority w:val="99"/>
    <w:unhideWhenUsed/>
    <w:rsid w:val="00126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80A"/>
  </w:style>
  <w:style w:type="character" w:styleId="LineNumber">
    <w:name w:val="line number"/>
    <w:basedOn w:val="DefaultParagraphFont"/>
    <w:uiPriority w:val="99"/>
    <w:semiHidden/>
    <w:unhideWhenUsed/>
    <w:rsid w:val="003477DC"/>
  </w:style>
  <w:style w:type="paragraph" w:styleId="BalloonText">
    <w:name w:val="Balloon Text"/>
    <w:basedOn w:val="Normal"/>
    <w:link w:val="BalloonTextChar"/>
    <w:uiPriority w:val="99"/>
    <w:semiHidden/>
    <w:unhideWhenUsed/>
    <w:rsid w:val="00883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A05"/>
    <w:rPr>
      <w:rFonts w:ascii="Tahoma" w:hAnsi="Tahoma" w:cs="Tahoma"/>
      <w:sz w:val="16"/>
      <w:szCs w:val="16"/>
    </w:rPr>
  </w:style>
  <w:style w:type="table" w:customStyle="1" w:styleId="LightShading2">
    <w:name w:val="Light Shading2"/>
    <w:basedOn w:val="TableNormal"/>
    <w:uiPriority w:val="60"/>
    <w:rsid w:val="00E819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6D41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3130A8"/>
    <w:rPr>
      <w:sz w:val="16"/>
      <w:szCs w:val="16"/>
    </w:rPr>
  </w:style>
  <w:style w:type="paragraph" w:styleId="CommentText">
    <w:name w:val="annotation text"/>
    <w:basedOn w:val="Normal"/>
    <w:link w:val="CommentTextChar"/>
    <w:uiPriority w:val="99"/>
    <w:unhideWhenUsed/>
    <w:rsid w:val="003130A8"/>
    <w:pPr>
      <w:spacing w:line="240" w:lineRule="auto"/>
    </w:pPr>
    <w:rPr>
      <w:sz w:val="20"/>
      <w:szCs w:val="20"/>
    </w:rPr>
  </w:style>
  <w:style w:type="character" w:customStyle="1" w:styleId="CommentTextChar">
    <w:name w:val="Comment Text Char"/>
    <w:basedOn w:val="DefaultParagraphFont"/>
    <w:link w:val="CommentText"/>
    <w:uiPriority w:val="99"/>
    <w:rsid w:val="003130A8"/>
    <w:rPr>
      <w:sz w:val="20"/>
      <w:szCs w:val="20"/>
    </w:rPr>
  </w:style>
  <w:style w:type="paragraph" w:styleId="Revision">
    <w:name w:val="Revision"/>
    <w:hidden/>
    <w:uiPriority w:val="99"/>
    <w:semiHidden/>
    <w:rsid w:val="00F546BE"/>
    <w:pPr>
      <w:spacing w:after="0" w:line="240" w:lineRule="auto"/>
    </w:pPr>
  </w:style>
  <w:style w:type="character" w:customStyle="1" w:styleId="Heading4Char">
    <w:name w:val="Heading 4 Char"/>
    <w:basedOn w:val="DefaultParagraphFont"/>
    <w:link w:val="Heading4"/>
    <w:uiPriority w:val="9"/>
    <w:rsid w:val="00D43CAA"/>
    <w:rPr>
      <w:rFonts w:asciiTheme="majorHAnsi" w:eastAsiaTheme="majorEastAsia" w:hAnsiTheme="majorHAnsi" w:cstheme="majorBidi"/>
      <w:b/>
      <w:bCs/>
      <w:i/>
      <w:iCs/>
      <w:color w:val="4F81BD" w:themeColor="accent1"/>
    </w:rPr>
  </w:style>
  <w:style w:type="table" w:customStyle="1" w:styleId="LightShading3">
    <w:name w:val="Light Shading3"/>
    <w:basedOn w:val="TableNormal"/>
    <w:next w:val="LightShading"/>
    <w:uiPriority w:val="60"/>
    <w:rsid w:val="005C371A"/>
    <w:pPr>
      <w:spacing w:after="0" w:line="240" w:lineRule="auto"/>
    </w:pPr>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5C371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qFormat/>
    <w:rsid w:val="00167CE8"/>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4">
    <w:name w:val="Light Shading4"/>
    <w:basedOn w:val="TableNormal"/>
    <w:next w:val="LightShading"/>
    <w:uiPriority w:val="60"/>
    <w:rsid w:val="00522ADC"/>
    <w:pPr>
      <w:spacing w:after="0" w:line="240" w:lineRule="auto"/>
    </w:pPr>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
    <w:name w:val="Light Shading5"/>
    <w:basedOn w:val="TableNormal"/>
    <w:next w:val="LightShading"/>
    <w:uiPriority w:val="60"/>
    <w:rsid w:val="00711916"/>
    <w:pPr>
      <w:spacing w:after="0" w:line="240" w:lineRule="auto"/>
    </w:pPr>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563E0C"/>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Heading51">
    <w:name w:val="Heading 51"/>
    <w:basedOn w:val="Normal"/>
    <w:next w:val="Normal"/>
    <w:uiPriority w:val="9"/>
    <w:semiHidden/>
    <w:unhideWhenUsed/>
    <w:qFormat/>
    <w:rsid w:val="00195A8B"/>
    <w:pPr>
      <w:keepNext/>
      <w:keepLines/>
      <w:spacing w:before="80" w:after="40" w:line="259" w:lineRule="auto"/>
      <w:outlineLvl w:val="4"/>
    </w:pPr>
    <w:rPr>
      <w:rFonts w:eastAsia="DengXian Light" w:cs="Times New Roman"/>
      <w:color w:val="2F5496"/>
      <w:kern w:val="2"/>
      <w:lang w:val="en-GB" w:eastAsia="en-US"/>
    </w:rPr>
  </w:style>
  <w:style w:type="paragraph" w:customStyle="1" w:styleId="Heading61">
    <w:name w:val="Heading 61"/>
    <w:basedOn w:val="Normal"/>
    <w:next w:val="Normal"/>
    <w:uiPriority w:val="9"/>
    <w:semiHidden/>
    <w:unhideWhenUsed/>
    <w:qFormat/>
    <w:rsid w:val="00195A8B"/>
    <w:pPr>
      <w:keepNext/>
      <w:keepLines/>
      <w:spacing w:before="40" w:after="0" w:line="259" w:lineRule="auto"/>
      <w:outlineLvl w:val="5"/>
    </w:pPr>
    <w:rPr>
      <w:rFonts w:eastAsia="DengXian Light" w:cs="Times New Roman"/>
      <w:i/>
      <w:iCs/>
      <w:color w:val="595959"/>
      <w:kern w:val="2"/>
      <w:lang w:val="en-GB" w:eastAsia="en-US"/>
    </w:rPr>
  </w:style>
  <w:style w:type="paragraph" w:customStyle="1" w:styleId="Heading71">
    <w:name w:val="Heading 71"/>
    <w:basedOn w:val="Normal"/>
    <w:next w:val="Normal"/>
    <w:uiPriority w:val="9"/>
    <w:semiHidden/>
    <w:unhideWhenUsed/>
    <w:qFormat/>
    <w:rsid w:val="00195A8B"/>
    <w:pPr>
      <w:keepNext/>
      <w:keepLines/>
      <w:spacing w:before="40" w:after="0" w:line="259" w:lineRule="auto"/>
      <w:outlineLvl w:val="6"/>
    </w:pPr>
    <w:rPr>
      <w:rFonts w:eastAsia="DengXian Light" w:cs="Times New Roman"/>
      <w:color w:val="595959"/>
      <w:kern w:val="2"/>
      <w:lang w:val="en-GB" w:eastAsia="en-US"/>
    </w:rPr>
  </w:style>
  <w:style w:type="paragraph" w:customStyle="1" w:styleId="Heading81">
    <w:name w:val="Heading 81"/>
    <w:basedOn w:val="Normal"/>
    <w:next w:val="Normal"/>
    <w:uiPriority w:val="9"/>
    <w:semiHidden/>
    <w:unhideWhenUsed/>
    <w:qFormat/>
    <w:rsid w:val="00195A8B"/>
    <w:pPr>
      <w:keepNext/>
      <w:keepLines/>
      <w:spacing w:after="0" w:line="259" w:lineRule="auto"/>
      <w:outlineLvl w:val="7"/>
    </w:pPr>
    <w:rPr>
      <w:rFonts w:eastAsia="DengXian Light" w:cs="Times New Roman"/>
      <w:i/>
      <w:iCs/>
      <w:color w:val="272727"/>
      <w:kern w:val="2"/>
      <w:lang w:val="en-GB" w:eastAsia="en-US"/>
    </w:rPr>
  </w:style>
  <w:style w:type="paragraph" w:customStyle="1" w:styleId="Heading91">
    <w:name w:val="Heading 91"/>
    <w:basedOn w:val="Normal"/>
    <w:next w:val="Normal"/>
    <w:uiPriority w:val="9"/>
    <w:semiHidden/>
    <w:unhideWhenUsed/>
    <w:qFormat/>
    <w:rsid w:val="00195A8B"/>
    <w:pPr>
      <w:keepNext/>
      <w:keepLines/>
      <w:spacing w:after="0" w:line="259" w:lineRule="auto"/>
      <w:outlineLvl w:val="8"/>
    </w:pPr>
    <w:rPr>
      <w:rFonts w:eastAsia="DengXian Light" w:cs="Times New Roman"/>
      <w:color w:val="272727"/>
      <w:kern w:val="2"/>
      <w:lang w:val="en-GB" w:eastAsia="en-US"/>
    </w:rPr>
  </w:style>
  <w:style w:type="numbering" w:customStyle="1" w:styleId="NoList1">
    <w:name w:val="No List1"/>
    <w:next w:val="NoList"/>
    <w:uiPriority w:val="99"/>
    <w:semiHidden/>
    <w:unhideWhenUsed/>
    <w:rsid w:val="00195A8B"/>
  </w:style>
  <w:style w:type="character" w:customStyle="1" w:styleId="Heading5Char">
    <w:name w:val="Heading 5 Char"/>
    <w:basedOn w:val="DefaultParagraphFont"/>
    <w:link w:val="Heading5"/>
    <w:uiPriority w:val="9"/>
    <w:semiHidden/>
    <w:rsid w:val="00195A8B"/>
    <w:rPr>
      <w:rFonts w:eastAsia="DengXian Light" w:cs="Times New Roman"/>
      <w:color w:val="2F5496"/>
    </w:rPr>
  </w:style>
  <w:style w:type="character" w:customStyle="1" w:styleId="Heading6Char">
    <w:name w:val="Heading 6 Char"/>
    <w:basedOn w:val="DefaultParagraphFont"/>
    <w:link w:val="Heading6"/>
    <w:uiPriority w:val="9"/>
    <w:semiHidden/>
    <w:rsid w:val="00195A8B"/>
    <w:rPr>
      <w:rFonts w:eastAsia="DengXian Light" w:cs="Times New Roman"/>
      <w:i/>
      <w:iCs/>
      <w:color w:val="595959"/>
    </w:rPr>
  </w:style>
  <w:style w:type="character" w:customStyle="1" w:styleId="Heading7Char">
    <w:name w:val="Heading 7 Char"/>
    <w:basedOn w:val="DefaultParagraphFont"/>
    <w:link w:val="Heading7"/>
    <w:uiPriority w:val="9"/>
    <w:semiHidden/>
    <w:rsid w:val="00195A8B"/>
    <w:rPr>
      <w:rFonts w:eastAsia="DengXian Light" w:cs="Times New Roman"/>
      <w:color w:val="595959"/>
    </w:rPr>
  </w:style>
  <w:style w:type="character" w:customStyle="1" w:styleId="Heading8Char">
    <w:name w:val="Heading 8 Char"/>
    <w:basedOn w:val="DefaultParagraphFont"/>
    <w:link w:val="Heading8"/>
    <w:uiPriority w:val="9"/>
    <w:semiHidden/>
    <w:rsid w:val="00195A8B"/>
    <w:rPr>
      <w:rFonts w:eastAsia="DengXian Light" w:cs="Times New Roman"/>
      <w:i/>
      <w:iCs/>
      <w:color w:val="272727"/>
    </w:rPr>
  </w:style>
  <w:style w:type="character" w:customStyle="1" w:styleId="Heading9Char">
    <w:name w:val="Heading 9 Char"/>
    <w:basedOn w:val="DefaultParagraphFont"/>
    <w:link w:val="Heading9"/>
    <w:uiPriority w:val="9"/>
    <w:semiHidden/>
    <w:rsid w:val="00195A8B"/>
    <w:rPr>
      <w:rFonts w:eastAsia="DengXian Light" w:cs="Times New Roman"/>
      <w:color w:val="272727"/>
    </w:rPr>
  </w:style>
  <w:style w:type="paragraph" w:customStyle="1" w:styleId="Title1">
    <w:name w:val="Title1"/>
    <w:basedOn w:val="Normal"/>
    <w:next w:val="Normal"/>
    <w:uiPriority w:val="10"/>
    <w:qFormat/>
    <w:rsid w:val="00195A8B"/>
    <w:pPr>
      <w:spacing w:after="80" w:line="240" w:lineRule="auto"/>
      <w:contextualSpacing/>
    </w:pPr>
    <w:rPr>
      <w:rFonts w:ascii="Calibri Light" w:eastAsia="DengXian Light" w:hAnsi="Calibri Light" w:cs="Times New Roman"/>
      <w:spacing w:val="-10"/>
      <w:kern w:val="28"/>
      <w:sz w:val="56"/>
      <w:szCs w:val="56"/>
      <w:lang w:val="en-GB" w:eastAsia="en-US"/>
    </w:rPr>
  </w:style>
  <w:style w:type="character" w:customStyle="1" w:styleId="TitleChar">
    <w:name w:val="Title Char"/>
    <w:basedOn w:val="DefaultParagraphFont"/>
    <w:link w:val="Title"/>
    <w:uiPriority w:val="10"/>
    <w:rsid w:val="00195A8B"/>
    <w:rPr>
      <w:rFonts w:ascii="Calibri Light" w:eastAsia="DengXian Light" w:hAnsi="Calibri Light" w:cs="Times New Roman"/>
      <w:spacing w:val="-10"/>
      <w:kern w:val="28"/>
      <w:sz w:val="56"/>
      <w:szCs w:val="56"/>
    </w:rPr>
  </w:style>
  <w:style w:type="paragraph" w:customStyle="1" w:styleId="Subtitle1">
    <w:name w:val="Subtitle1"/>
    <w:basedOn w:val="Normal"/>
    <w:next w:val="Normal"/>
    <w:uiPriority w:val="11"/>
    <w:qFormat/>
    <w:rsid w:val="00195A8B"/>
    <w:pPr>
      <w:numPr>
        <w:ilvl w:val="1"/>
      </w:numPr>
      <w:spacing w:after="160" w:line="259" w:lineRule="auto"/>
    </w:pPr>
    <w:rPr>
      <w:rFonts w:eastAsia="DengXian Light" w:cs="Times New Roman"/>
      <w:color w:val="595959"/>
      <w:spacing w:val="15"/>
      <w:kern w:val="2"/>
      <w:sz w:val="28"/>
      <w:szCs w:val="28"/>
      <w:lang w:val="en-GB" w:eastAsia="en-US"/>
    </w:rPr>
  </w:style>
  <w:style w:type="character" w:customStyle="1" w:styleId="SubtitleChar">
    <w:name w:val="Subtitle Char"/>
    <w:basedOn w:val="DefaultParagraphFont"/>
    <w:link w:val="Subtitle"/>
    <w:uiPriority w:val="11"/>
    <w:rsid w:val="00195A8B"/>
    <w:rPr>
      <w:rFonts w:eastAsia="DengXian Light" w:cs="Times New Roman"/>
      <w:color w:val="595959"/>
      <w:spacing w:val="15"/>
      <w:sz w:val="28"/>
      <w:szCs w:val="28"/>
    </w:rPr>
  </w:style>
  <w:style w:type="paragraph" w:customStyle="1" w:styleId="Quote1">
    <w:name w:val="Quote1"/>
    <w:basedOn w:val="Normal"/>
    <w:next w:val="Normal"/>
    <w:uiPriority w:val="29"/>
    <w:qFormat/>
    <w:rsid w:val="00195A8B"/>
    <w:pPr>
      <w:spacing w:before="160" w:after="160" w:line="259" w:lineRule="auto"/>
      <w:jc w:val="center"/>
    </w:pPr>
    <w:rPr>
      <w:rFonts w:eastAsia="Calibri"/>
      <w:i/>
      <w:iCs/>
      <w:color w:val="404040"/>
      <w:kern w:val="2"/>
      <w:lang w:val="en-GB" w:eastAsia="en-US"/>
    </w:rPr>
  </w:style>
  <w:style w:type="character" w:customStyle="1" w:styleId="QuoteChar">
    <w:name w:val="Quote Char"/>
    <w:basedOn w:val="DefaultParagraphFont"/>
    <w:link w:val="Quote"/>
    <w:uiPriority w:val="29"/>
    <w:rsid w:val="00195A8B"/>
    <w:rPr>
      <w:i/>
      <w:iCs/>
      <w:color w:val="404040"/>
    </w:rPr>
  </w:style>
  <w:style w:type="character" w:customStyle="1" w:styleId="IntenseEmphasis1">
    <w:name w:val="Intense Emphasis1"/>
    <w:basedOn w:val="DefaultParagraphFont"/>
    <w:uiPriority w:val="21"/>
    <w:qFormat/>
    <w:rsid w:val="00195A8B"/>
    <w:rPr>
      <w:i/>
      <w:iCs/>
      <w:color w:val="2F5496"/>
    </w:rPr>
  </w:style>
  <w:style w:type="paragraph" w:customStyle="1" w:styleId="IntenseQuote1">
    <w:name w:val="Intense Quote1"/>
    <w:basedOn w:val="Normal"/>
    <w:next w:val="Normal"/>
    <w:uiPriority w:val="30"/>
    <w:qFormat/>
    <w:rsid w:val="00195A8B"/>
    <w:pPr>
      <w:pBdr>
        <w:top w:val="single" w:sz="4" w:space="10" w:color="2F5496"/>
        <w:bottom w:val="single" w:sz="4" w:space="10" w:color="2F5496"/>
      </w:pBdr>
      <w:spacing w:before="360" w:after="360" w:line="259" w:lineRule="auto"/>
      <w:ind w:left="864" w:right="864"/>
      <w:jc w:val="center"/>
    </w:pPr>
    <w:rPr>
      <w:rFonts w:eastAsia="Calibri"/>
      <w:i/>
      <w:iCs/>
      <w:color w:val="2F5496"/>
      <w:kern w:val="2"/>
      <w:lang w:val="en-GB" w:eastAsia="en-US"/>
    </w:rPr>
  </w:style>
  <w:style w:type="character" w:customStyle="1" w:styleId="IntenseQuoteChar">
    <w:name w:val="Intense Quote Char"/>
    <w:basedOn w:val="DefaultParagraphFont"/>
    <w:link w:val="IntenseQuote"/>
    <w:uiPriority w:val="30"/>
    <w:rsid w:val="00195A8B"/>
    <w:rPr>
      <w:i/>
      <w:iCs/>
      <w:color w:val="2F5496"/>
    </w:rPr>
  </w:style>
  <w:style w:type="character" w:customStyle="1" w:styleId="IntenseReference1">
    <w:name w:val="Intense Reference1"/>
    <w:basedOn w:val="DefaultParagraphFont"/>
    <w:uiPriority w:val="32"/>
    <w:qFormat/>
    <w:rsid w:val="00195A8B"/>
    <w:rPr>
      <w:b/>
      <w:bCs/>
      <w:smallCaps/>
      <w:color w:val="2F5496"/>
      <w:spacing w:val="5"/>
    </w:rPr>
  </w:style>
  <w:style w:type="table" w:customStyle="1" w:styleId="GridTable21">
    <w:name w:val="Grid Table 21"/>
    <w:basedOn w:val="TableNormal"/>
    <w:next w:val="GridTable2"/>
    <w:uiPriority w:val="47"/>
    <w:rsid w:val="00195A8B"/>
    <w:pPr>
      <w:spacing w:after="0" w:line="240" w:lineRule="auto"/>
    </w:pPr>
    <w:rPr>
      <w:rFonts w:eastAsia="Calibri"/>
      <w:kern w:val="2"/>
      <w:lang w:val="en-GB"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
    <w:name w:val="Plain Table 41"/>
    <w:basedOn w:val="TableNormal"/>
    <w:next w:val="PlainTable4"/>
    <w:uiPriority w:val="44"/>
    <w:rsid w:val="00195A8B"/>
    <w:pPr>
      <w:spacing w:after="0" w:line="240" w:lineRule="auto"/>
    </w:pPr>
    <w:rPr>
      <w:rFonts w:eastAsia="Calibri"/>
      <w:kern w:val="2"/>
      <w:lang w:val="en-GB"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1">
    <w:name w:val="Table Grid11"/>
    <w:basedOn w:val="TableNormal"/>
    <w:next w:val="TableGrid"/>
    <w:uiPriority w:val="59"/>
    <w:rsid w:val="00195A8B"/>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95A8B"/>
    <w:pPr>
      <w:spacing w:after="0" w:line="240" w:lineRule="auto"/>
    </w:pPr>
    <w:rPr>
      <w:rFonts w:eastAsia="Calibri"/>
      <w:kern w:val="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95A8B"/>
    <w:pPr>
      <w:spacing w:after="160"/>
    </w:pPr>
    <w:rPr>
      <w:rFonts w:eastAsia="Calibri"/>
      <w:b/>
      <w:bCs/>
      <w:kern w:val="2"/>
      <w:lang w:val="en-GB" w:eastAsia="en-US"/>
    </w:rPr>
  </w:style>
  <w:style w:type="character" w:customStyle="1" w:styleId="CommentSubjectChar">
    <w:name w:val="Comment Subject Char"/>
    <w:basedOn w:val="CommentTextChar"/>
    <w:link w:val="CommentSubject"/>
    <w:uiPriority w:val="99"/>
    <w:semiHidden/>
    <w:rsid w:val="00195A8B"/>
    <w:rPr>
      <w:rFonts w:eastAsia="Calibri"/>
      <w:b/>
      <w:bCs/>
      <w:kern w:val="2"/>
      <w:sz w:val="20"/>
      <w:szCs w:val="20"/>
      <w:lang w:val="en-GB" w:eastAsia="en-US"/>
    </w:rPr>
  </w:style>
  <w:style w:type="character" w:customStyle="1" w:styleId="Heading5Char1">
    <w:name w:val="Heading 5 Char1"/>
    <w:basedOn w:val="DefaultParagraphFont"/>
    <w:uiPriority w:val="9"/>
    <w:semiHidden/>
    <w:rsid w:val="00195A8B"/>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195A8B"/>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195A8B"/>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195A8B"/>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95A8B"/>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195A8B"/>
    <w:pPr>
      <w:spacing w:after="0" w:line="240" w:lineRule="auto"/>
      <w:contextualSpacing/>
    </w:pPr>
    <w:rPr>
      <w:rFonts w:ascii="Calibri Light" w:eastAsia="DengXian Light" w:hAnsi="Calibri Light" w:cs="Times New Roman"/>
      <w:spacing w:val="-10"/>
      <w:kern w:val="28"/>
      <w:sz w:val="56"/>
      <w:szCs w:val="56"/>
    </w:rPr>
  </w:style>
  <w:style w:type="character" w:customStyle="1" w:styleId="TitleChar1">
    <w:name w:val="Title Char1"/>
    <w:basedOn w:val="DefaultParagraphFont"/>
    <w:uiPriority w:val="10"/>
    <w:rsid w:val="00195A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A8B"/>
    <w:pPr>
      <w:numPr>
        <w:ilvl w:val="1"/>
      </w:numPr>
      <w:spacing w:after="160"/>
    </w:pPr>
    <w:rPr>
      <w:rFonts w:eastAsia="DengXian Light" w:cs="Times New Roman"/>
      <w:color w:val="595959"/>
      <w:spacing w:val="15"/>
      <w:sz w:val="28"/>
      <w:szCs w:val="28"/>
    </w:rPr>
  </w:style>
  <w:style w:type="character" w:customStyle="1" w:styleId="SubtitleChar1">
    <w:name w:val="Subtitle Char1"/>
    <w:basedOn w:val="DefaultParagraphFont"/>
    <w:uiPriority w:val="11"/>
    <w:rsid w:val="00195A8B"/>
    <w:rPr>
      <w:color w:val="5A5A5A" w:themeColor="text1" w:themeTint="A5"/>
      <w:spacing w:val="15"/>
    </w:rPr>
  </w:style>
  <w:style w:type="paragraph" w:styleId="Quote">
    <w:name w:val="Quote"/>
    <w:basedOn w:val="Normal"/>
    <w:next w:val="Normal"/>
    <w:link w:val="QuoteChar"/>
    <w:uiPriority w:val="29"/>
    <w:qFormat/>
    <w:rsid w:val="00195A8B"/>
    <w:pPr>
      <w:spacing w:before="200" w:after="160"/>
      <w:ind w:left="864" w:right="864"/>
      <w:jc w:val="center"/>
    </w:pPr>
    <w:rPr>
      <w:i/>
      <w:iCs/>
      <w:color w:val="404040"/>
    </w:rPr>
  </w:style>
  <w:style w:type="character" w:customStyle="1" w:styleId="QuoteChar1">
    <w:name w:val="Quote Char1"/>
    <w:basedOn w:val="DefaultParagraphFont"/>
    <w:uiPriority w:val="29"/>
    <w:rsid w:val="00195A8B"/>
    <w:rPr>
      <w:i/>
      <w:iCs/>
      <w:color w:val="404040" w:themeColor="text1" w:themeTint="BF"/>
    </w:rPr>
  </w:style>
  <w:style w:type="character" w:styleId="IntenseEmphasis">
    <w:name w:val="Intense Emphasis"/>
    <w:basedOn w:val="DefaultParagraphFont"/>
    <w:uiPriority w:val="21"/>
    <w:qFormat/>
    <w:rsid w:val="00195A8B"/>
    <w:rPr>
      <w:i/>
      <w:iCs/>
      <w:color w:val="4F81BD" w:themeColor="accent1"/>
    </w:rPr>
  </w:style>
  <w:style w:type="paragraph" w:styleId="IntenseQuote">
    <w:name w:val="Intense Quote"/>
    <w:basedOn w:val="Normal"/>
    <w:next w:val="Normal"/>
    <w:link w:val="IntenseQuoteChar"/>
    <w:uiPriority w:val="30"/>
    <w:qFormat/>
    <w:rsid w:val="00195A8B"/>
    <w:pPr>
      <w:pBdr>
        <w:top w:val="single" w:sz="4" w:space="10" w:color="4F81BD" w:themeColor="accent1"/>
        <w:bottom w:val="single" w:sz="4" w:space="10" w:color="4F81BD"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195A8B"/>
    <w:rPr>
      <w:i/>
      <w:iCs/>
      <w:color w:val="4F81BD" w:themeColor="accent1"/>
    </w:rPr>
  </w:style>
  <w:style w:type="character" w:styleId="IntenseReference">
    <w:name w:val="Intense Reference"/>
    <w:basedOn w:val="DefaultParagraphFont"/>
    <w:uiPriority w:val="32"/>
    <w:qFormat/>
    <w:rsid w:val="00195A8B"/>
    <w:rPr>
      <w:b/>
      <w:bCs/>
      <w:smallCaps/>
      <w:color w:val="4F81BD" w:themeColor="accent1"/>
      <w:spacing w:val="5"/>
    </w:rPr>
  </w:style>
  <w:style w:type="table" w:styleId="GridTable2">
    <w:name w:val="Grid Table 2"/>
    <w:basedOn w:val="TableNormal"/>
    <w:uiPriority w:val="47"/>
    <w:rsid w:val="00195A8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195A8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76655">
      <w:bodyDiv w:val="1"/>
      <w:marLeft w:val="0"/>
      <w:marRight w:val="0"/>
      <w:marTop w:val="0"/>
      <w:marBottom w:val="0"/>
      <w:divBdr>
        <w:top w:val="none" w:sz="0" w:space="0" w:color="auto"/>
        <w:left w:val="none" w:sz="0" w:space="0" w:color="auto"/>
        <w:bottom w:val="none" w:sz="0" w:space="0" w:color="auto"/>
        <w:right w:val="none" w:sz="0" w:space="0" w:color="auto"/>
      </w:divBdr>
    </w:div>
    <w:div w:id="296573127">
      <w:bodyDiv w:val="1"/>
      <w:marLeft w:val="0"/>
      <w:marRight w:val="0"/>
      <w:marTop w:val="0"/>
      <w:marBottom w:val="0"/>
      <w:divBdr>
        <w:top w:val="none" w:sz="0" w:space="0" w:color="auto"/>
        <w:left w:val="none" w:sz="0" w:space="0" w:color="auto"/>
        <w:bottom w:val="none" w:sz="0" w:space="0" w:color="auto"/>
        <w:right w:val="none" w:sz="0" w:space="0" w:color="auto"/>
      </w:divBdr>
    </w:div>
    <w:div w:id="336230462">
      <w:bodyDiv w:val="1"/>
      <w:marLeft w:val="0"/>
      <w:marRight w:val="0"/>
      <w:marTop w:val="0"/>
      <w:marBottom w:val="0"/>
      <w:divBdr>
        <w:top w:val="none" w:sz="0" w:space="0" w:color="auto"/>
        <w:left w:val="none" w:sz="0" w:space="0" w:color="auto"/>
        <w:bottom w:val="none" w:sz="0" w:space="0" w:color="auto"/>
        <w:right w:val="none" w:sz="0" w:space="0" w:color="auto"/>
      </w:divBdr>
    </w:div>
    <w:div w:id="348797706">
      <w:bodyDiv w:val="1"/>
      <w:marLeft w:val="0"/>
      <w:marRight w:val="0"/>
      <w:marTop w:val="0"/>
      <w:marBottom w:val="0"/>
      <w:divBdr>
        <w:top w:val="none" w:sz="0" w:space="0" w:color="auto"/>
        <w:left w:val="none" w:sz="0" w:space="0" w:color="auto"/>
        <w:bottom w:val="none" w:sz="0" w:space="0" w:color="auto"/>
        <w:right w:val="none" w:sz="0" w:space="0" w:color="auto"/>
      </w:divBdr>
    </w:div>
    <w:div w:id="364211446">
      <w:bodyDiv w:val="1"/>
      <w:marLeft w:val="0"/>
      <w:marRight w:val="0"/>
      <w:marTop w:val="0"/>
      <w:marBottom w:val="0"/>
      <w:divBdr>
        <w:top w:val="none" w:sz="0" w:space="0" w:color="auto"/>
        <w:left w:val="none" w:sz="0" w:space="0" w:color="auto"/>
        <w:bottom w:val="none" w:sz="0" w:space="0" w:color="auto"/>
        <w:right w:val="none" w:sz="0" w:space="0" w:color="auto"/>
      </w:divBdr>
    </w:div>
    <w:div w:id="533495121">
      <w:bodyDiv w:val="1"/>
      <w:marLeft w:val="0"/>
      <w:marRight w:val="0"/>
      <w:marTop w:val="0"/>
      <w:marBottom w:val="0"/>
      <w:divBdr>
        <w:top w:val="none" w:sz="0" w:space="0" w:color="auto"/>
        <w:left w:val="none" w:sz="0" w:space="0" w:color="auto"/>
        <w:bottom w:val="none" w:sz="0" w:space="0" w:color="auto"/>
        <w:right w:val="none" w:sz="0" w:space="0" w:color="auto"/>
      </w:divBdr>
    </w:div>
    <w:div w:id="576986728">
      <w:bodyDiv w:val="1"/>
      <w:marLeft w:val="0"/>
      <w:marRight w:val="0"/>
      <w:marTop w:val="0"/>
      <w:marBottom w:val="0"/>
      <w:divBdr>
        <w:top w:val="none" w:sz="0" w:space="0" w:color="auto"/>
        <w:left w:val="none" w:sz="0" w:space="0" w:color="auto"/>
        <w:bottom w:val="none" w:sz="0" w:space="0" w:color="auto"/>
        <w:right w:val="none" w:sz="0" w:space="0" w:color="auto"/>
      </w:divBdr>
    </w:div>
    <w:div w:id="925579354">
      <w:bodyDiv w:val="1"/>
      <w:marLeft w:val="0"/>
      <w:marRight w:val="0"/>
      <w:marTop w:val="0"/>
      <w:marBottom w:val="0"/>
      <w:divBdr>
        <w:top w:val="none" w:sz="0" w:space="0" w:color="auto"/>
        <w:left w:val="none" w:sz="0" w:space="0" w:color="auto"/>
        <w:bottom w:val="none" w:sz="0" w:space="0" w:color="auto"/>
        <w:right w:val="none" w:sz="0" w:space="0" w:color="auto"/>
      </w:divBdr>
    </w:div>
    <w:div w:id="1048606029">
      <w:bodyDiv w:val="1"/>
      <w:marLeft w:val="0"/>
      <w:marRight w:val="0"/>
      <w:marTop w:val="0"/>
      <w:marBottom w:val="0"/>
      <w:divBdr>
        <w:top w:val="none" w:sz="0" w:space="0" w:color="auto"/>
        <w:left w:val="none" w:sz="0" w:space="0" w:color="auto"/>
        <w:bottom w:val="none" w:sz="0" w:space="0" w:color="auto"/>
        <w:right w:val="none" w:sz="0" w:space="0" w:color="auto"/>
      </w:divBdr>
    </w:div>
    <w:div w:id="1057124795">
      <w:bodyDiv w:val="1"/>
      <w:marLeft w:val="0"/>
      <w:marRight w:val="0"/>
      <w:marTop w:val="0"/>
      <w:marBottom w:val="0"/>
      <w:divBdr>
        <w:top w:val="none" w:sz="0" w:space="0" w:color="auto"/>
        <w:left w:val="none" w:sz="0" w:space="0" w:color="auto"/>
        <w:bottom w:val="none" w:sz="0" w:space="0" w:color="auto"/>
        <w:right w:val="none" w:sz="0" w:space="0" w:color="auto"/>
      </w:divBdr>
    </w:div>
    <w:div w:id="1068650189">
      <w:bodyDiv w:val="1"/>
      <w:marLeft w:val="0"/>
      <w:marRight w:val="0"/>
      <w:marTop w:val="0"/>
      <w:marBottom w:val="0"/>
      <w:divBdr>
        <w:top w:val="none" w:sz="0" w:space="0" w:color="auto"/>
        <w:left w:val="none" w:sz="0" w:space="0" w:color="auto"/>
        <w:bottom w:val="none" w:sz="0" w:space="0" w:color="auto"/>
        <w:right w:val="none" w:sz="0" w:space="0" w:color="auto"/>
      </w:divBdr>
    </w:div>
    <w:div w:id="1399090241">
      <w:bodyDiv w:val="1"/>
      <w:marLeft w:val="0"/>
      <w:marRight w:val="0"/>
      <w:marTop w:val="0"/>
      <w:marBottom w:val="0"/>
      <w:divBdr>
        <w:top w:val="none" w:sz="0" w:space="0" w:color="auto"/>
        <w:left w:val="none" w:sz="0" w:space="0" w:color="auto"/>
        <w:bottom w:val="none" w:sz="0" w:space="0" w:color="auto"/>
        <w:right w:val="none" w:sz="0" w:space="0" w:color="auto"/>
      </w:divBdr>
      <w:divsChild>
        <w:div w:id="883911506">
          <w:marLeft w:val="0"/>
          <w:marRight w:val="0"/>
          <w:marTop w:val="0"/>
          <w:marBottom w:val="0"/>
          <w:divBdr>
            <w:top w:val="none" w:sz="0" w:space="0" w:color="auto"/>
            <w:left w:val="none" w:sz="0" w:space="0" w:color="auto"/>
            <w:bottom w:val="none" w:sz="0" w:space="0" w:color="auto"/>
            <w:right w:val="none" w:sz="0" w:space="0" w:color="auto"/>
          </w:divBdr>
          <w:divsChild>
            <w:div w:id="210819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41995">
      <w:bodyDiv w:val="1"/>
      <w:marLeft w:val="0"/>
      <w:marRight w:val="0"/>
      <w:marTop w:val="0"/>
      <w:marBottom w:val="0"/>
      <w:divBdr>
        <w:top w:val="none" w:sz="0" w:space="0" w:color="auto"/>
        <w:left w:val="none" w:sz="0" w:space="0" w:color="auto"/>
        <w:bottom w:val="none" w:sz="0" w:space="0" w:color="auto"/>
        <w:right w:val="none" w:sz="0" w:space="0" w:color="auto"/>
      </w:divBdr>
    </w:div>
    <w:div w:id="1508785649">
      <w:bodyDiv w:val="1"/>
      <w:marLeft w:val="0"/>
      <w:marRight w:val="0"/>
      <w:marTop w:val="0"/>
      <w:marBottom w:val="0"/>
      <w:divBdr>
        <w:top w:val="none" w:sz="0" w:space="0" w:color="auto"/>
        <w:left w:val="none" w:sz="0" w:space="0" w:color="auto"/>
        <w:bottom w:val="none" w:sz="0" w:space="0" w:color="auto"/>
        <w:right w:val="none" w:sz="0" w:space="0" w:color="auto"/>
      </w:divBdr>
    </w:div>
    <w:div w:id="1547371563">
      <w:bodyDiv w:val="1"/>
      <w:marLeft w:val="0"/>
      <w:marRight w:val="0"/>
      <w:marTop w:val="0"/>
      <w:marBottom w:val="0"/>
      <w:divBdr>
        <w:top w:val="none" w:sz="0" w:space="0" w:color="auto"/>
        <w:left w:val="none" w:sz="0" w:space="0" w:color="auto"/>
        <w:bottom w:val="none" w:sz="0" w:space="0" w:color="auto"/>
        <w:right w:val="none" w:sz="0" w:space="0" w:color="auto"/>
      </w:divBdr>
    </w:div>
    <w:div w:id="1591305432">
      <w:bodyDiv w:val="1"/>
      <w:marLeft w:val="0"/>
      <w:marRight w:val="0"/>
      <w:marTop w:val="0"/>
      <w:marBottom w:val="0"/>
      <w:divBdr>
        <w:top w:val="none" w:sz="0" w:space="0" w:color="auto"/>
        <w:left w:val="none" w:sz="0" w:space="0" w:color="auto"/>
        <w:bottom w:val="none" w:sz="0" w:space="0" w:color="auto"/>
        <w:right w:val="none" w:sz="0" w:space="0" w:color="auto"/>
      </w:divBdr>
    </w:div>
    <w:div w:id="1627009161">
      <w:bodyDiv w:val="1"/>
      <w:marLeft w:val="0"/>
      <w:marRight w:val="0"/>
      <w:marTop w:val="0"/>
      <w:marBottom w:val="0"/>
      <w:divBdr>
        <w:top w:val="none" w:sz="0" w:space="0" w:color="auto"/>
        <w:left w:val="none" w:sz="0" w:space="0" w:color="auto"/>
        <w:bottom w:val="none" w:sz="0" w:space="0" w:color="auto"/>
        <w:right w:val="none" w:sz="0" w:space="0" w:color="auto"/>
      </w:divBdr>
    </w:div>
    <w:div w:id="1747729836">
      <w:bodyDiv w:val="1"/>
      <w:marLeft w:val="0"/>
      <w:marRight w:val="0"/>
      <w:marTop w:val="0"/>
      <w:marBottom w:val="0"/>
      <w:divBdr>
        <w:top w:val="none" w:sz="0" w:space="0" w:color="auto"/>
        <w:left w:val="none" w:sz="0" w:space="0" w:color="auto"/>
        <w:bottom w:val="none" w:sz="0" w:space="0" w:color="auto"/>
        <w:right w:val="none" w:sz="0" w:space="0" w:color="auto"/>
      </w:divBdr>
    </w:div>
    <w:div w:id="1752196905">
      <w:bodyDiv w:val="1"/>
      <w:marLeft w:val="0"/>
      <w:marRight w:val="0"/>
      <w:marTop w:val="0"/>
      <w:marBottom w:val="0"/>
      <w:divBdr>
        <w:top w:val="none" w:sz="0" w:space="0" w:color="auto"/>
        <w:left w:val="none" w:sz="0" w:space="0" w:color="auto"/>
        <w:bottom w:val="none" w:sz="0" w:space="0" w:color="auto"/>
        <w:right w:val="none" w:sz="0" w:space="0" w:color="auto"/>
      </w:divBdr>
    </w:div>
    <w:div w:id="1988431756">
      <w:bodyDiv w:val="1"/>
      <w:marLeft w:val="0"/>
      <w:marRight w:val="0"/>
      <w:marTop w:val="0"/>
      <w:marBottom w:val="0"/>
      <w:divBdr>
        <w:top w:val="none" w:sz="0" w:space="0" w:color="auto"/>
        <w:left w:val="none" w:sz="0" w:space="0" w:color="auto"/>
        <w:bottom w:val="none" w:sz="0" w:space="0" w:color="auto"/>
        <w:right w:val="none" w:sz="0" w:space="0" w:color="auto"/>
      </w:divBdr>
    </w:div>
    <w:div w:id="2040467084">
      <w:bodyDiv w:val="1"/>
      <w:marLeft w:val="0"/>
      <w:marRight w:val="0"/>
      <w:marTop w:val="0"/>
      <w:marBottom w:val="0"/>
      <w:divBdr>
        <w:top w:val="none" w:sz="0" w:space="0" w:color="auto"/>
        <w:left w:val="none" w:sz="0" w:space="0" w:color="auto"/>
        <w:bottom w:val="none" w:sz="0" w:space="0" w:color="auto"/>
        <w:right w:val="none" w:sz="0" w:space="0" w:color="auto"/>
      </w:divBdr>
    </w:div>
    <w:div w:id="211355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penknowledge.worldbank.org/handle/10986/26477"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o.org/faostat/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o.org/publications/sofi/2021/e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ho.int/publications/i/item/978929023443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wfp.org/publications/cost-and-affordability-healthy-diet-tanzani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501696-3ECE-4DB1-880C-3848AFEA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11799</Words>
  <Characters>67259</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 .A.KIBONA</dc:creator>
  <cp:lastModifiedBy>SDI 1180</cp:lastModifiedBy>
  <cp:revision>4</cp:revision>
  <cp:lastPrinted>2025-07-09T17:27:00Z</cp:lastPrinted>
  <dcterms:created xsi:type="dcterms:W3CDTF">2025-07-09T18:44:00Z</dcterms:created>
  <dcterms:modified xsi:type="dcterms:W3CDTF">2025-07-09T11:57:00Z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90434909-e8ab-4a5e-b89a-31101f76689c</vt:lpwstr>
  </property>
</Properties>
</file>