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A5341" w14:textId="77777777" w:rsidR="00487CB5" w:rsidRDefault="002B62DD">
      <w:pPr>
        <w:ind w:left="283" w:firstLine="28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Understanding the Role of Personal Norms and Consumer Scepticism in Green Purchase Decisions</w:t>
      </w:r>
    </w:p>
    <w:p w14:paraId="0388CC2B" w14:textId="77777777" w:rsidR="00487CB5" w:rsidRDefault="00487CB5">
      <w:pPr>
        <w:ind w:left="283" w:firstLine="283"/>
        <w:jc w:val="center"/>
        <w:rPr>
          <w:rFonts w:ascii="Times New Roman" w:eastAsia="Times New Roman" w:hAnsi="Times New Roman" w:cs="Times New Roman"/>
          <w:b/>
          <w:sz w:val="26"/>
          <w:szCs w:val="26"/>
        </w:rPr>
      </w:pPr>
    </w:p>
    <w:p w14:paraId="7D0554D7" w14:textId="77777777" w:rsidR="00487CB5" w:rsidRDefault="00487CB5">
      <w:pPr>
        <w:ind w:left="283" w:firstLine="283"/>
        <w:jc w:val="center"/>
        <w:rPr>
          <w:rFonts w:ascii="Times New Roman" w:eastAsia="Times New Roman" w:hAnsi="Times New Roman" w:cs="Times New Roman"/>
          <w:b/>
          <w:sz w:val="26"/>
          <w:szCs w:val="26"/>
        </w:rPr>
      </w:pPr>
    </w:p>
    <w:p w14:paraId="5094AE25" w14:textId="77777777" w:rsidR="00487CB5" w:rsidRDefault="002B62DD">
      <w:pPr>
        <w:spacing w:before="240" w:after="24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Abstract</w:t>
      </w:r>
    </w:p>
    <w:p w14:paraId="72E9ACF6"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Understanding consumer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in the context of sustainable consumption is crucial for fostering long-term environmental responsibility. This study examines the interconnections between personal norms, green purchase intention, consumer buying processes, and post-purchase outcomes. The research investigates how personal norms shape green purchase intention and how consumer satisfaction and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influence continued green consumption. The study also explores the role of greenwashing in </w:t>
      </w:r>
      <w:proofErr w:type="spellStart"/>
      <w:r>
        <w:rPr>
          <w:rFonts w:ascii="Times New Roman" w:eastAsia="Times New Roman" w:hAnsi="Times New Roman" w:cs="Times New Roman"/>
        </w:rPr>
        <w:t>fueling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and alternative evaluation in influencing purchase satisfaction. Employing a correlational research design, data was collected through a structured questionnaire using a five-point Likert scale. A pilot study confirmed the reliability of adapted scales, and statistical analyses were conducted to determine relationships between the following key variables: personal norms, green purchase intention, green choice, satisfaction, alternative evaluation, greenwashing, and consumer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It further </w:t>
      </w:r>
      <w:proofErr w:type="spellStart"/>
      <w:r>
        <w:rPr>
          <w:rFonts w:ascii="Times New Roman" w:eastAsia="Times New Roman" w:hAnsi="Times New Roman" w:cs="Times New Roman"/>
        </w:rPr>
        <w:t>analyzed</w:t>
      </w:r>
      <w:proofErr w:type="spellEnd"/>
      <w:r>
        <w:rPr>
          <w:rFonts w:ascii="Times New Roman" w:eastAsia="Times New Roman" w:hAnsi="Times New Roman" w:cs="Times New Roman"/>
        </w:rPr>
        <w:t xml:space="preserve"> variations across socio-demographic factors such as gender, area of residence, and income groups. Findings reveal that personal norms significantly influence green purchase intention, which in turn impacts satisfaction. Satisfaction positively correlates with consumer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highlighting the complexity of green consumption. Additionally, alternative evaluation is linked to both satisfaction and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suggesting that consumers reassess their choices in response to market inconsistencies. Mediation analyses demonstrate that green purchase intention partially mediates the relationship between personal norms and green purchases, while consumer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mediates the relationship between alternative evaluation and both satisfaction and green purchase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This research contributes to the existing literature by elucidating the psychological and </w:t>
      </w:r>
      <w:proofErr w:type="spellStart"/>
      <w:r>
        <w:rPr>
          <w:rFonts w:ascii="Times New Roman" w:eastAsia="Times New Roman" w:hAnsi="Times New Roman" w:cs="Times New Roman"/>
        </w:rPr>
        <w:t>behavioral</w:t>
      </w:r>
      <w:proofErr w:type="spellEnd"/>
      <w:r>
        <w:rPr>
          <w:rFonts w:ascii="Times New Roman" w:eastAsia="Times New Roman" w:hAnsi="Times New Roman" w:cs="Times New Roman"/>
        </w:rPr>
        <w:t xml:space="preserve"> mechanisms underlying green purchase decisions. The findings offer valuable insights for policymakers, businesses, and marketers to develop strategies that enhance consumer trust, reduce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and promote sustainable consumption.</w:t>
      </w:r>
    </w:p>
    <w:p w14:paraId="099D4C50" w14:textId="77777777" w:rsidR="00487CB5" w:rsidRDefault="00487CB5">
      <w:pPr>
        <w:rPr>
          <w:rFonts w:ascii="Times New Roman" w:eastAsia="Times New Roman" w:hAnsi="Times New Roman" w:cs="Times New Roman"/>
        </w:rPr>
      </w:pPr>
    </w:p>
    <w:p w14:paraId="72853EC0" w14:textId="7177ADA5" w:rsidR="00487CB5" w:rsidRDefault="002B62DD">
      <w:pPr>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Green Purchase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Consumer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Personal Norms, Greenwashing, Sustainable Consumption</w:t>
      </w:r>
    </w:p>
    <w:p w14:paraId="174D935F" w14:textId="77777777" w:rsidR="002B62DD" w:rsidRDefault="002B62DD">
      <w:pPr>
        <w:rPr>
          <w:rFonts w:ascii="Times New Roman" w:eastAsia="Times New Roman" w:hAnsi="Times New Roman" w:cs="Times New Roman"/>
        </w:rPr>
      </w:pPr>
    </w:p>
    <w:p w14:paraId="09BB0A6C" w14:textId="610D88DC" w:rsidR="00DB7FD8" w:rsidRDefault="00DB7FD8">
      <w:pPr>
        <w:rPr>
          <w:rFonts w:ascii="Times New Roman" w:eastAsia="Times New Roman" w:hAnsi="Times New Roman" w:cs="Times New Roman"/>
          <w:b/>
          <w:sz w:val="24"/>
        </w:rPr>
      </w:pPr>
      <w:r w:rsidRPr="002B62DD">
        <w:rPr>
          <w:rFonts w:ascii="Times New Roman" w:eastAsia="Times New Roman" w:hAnsi="Times New Roman" w:cs="Times New Roman"/>
          <w:b/>
          <w:sz w:val="24"/>
        </w:rPr>
        <w:t xml:space="preserve">Introduction </w:t>
      </w:r>
    </w:p>
    <w:p w14:paraId="5F48564F" w14:textId="77777777" w:rsidR="002B62DD" w:rsidRDefault="002B62DD">
      <w:pPr>
        <w:rPr>
          <w:rFonts w:ascii="Times New Roman" w:eastAsia="Times New Roman" w:hAnsi="Times New Roman" w:cs="Times New Roman"/>
          <w:b/>
          <w:sz w:val="24"/>
        </w:rPr>
      </w:pPr>
    </w:p>
    <w:p w14:paraId="0C0E91F0" w14:textId="7BB382CA" w:rsidR="002B62DD" w:rsidRPr="002B62DD" w:rsidRDefault="002B62DD" w:rsidP="002B62DD">
      <w:pPr>
        <w:jc w:val="both"/>
        <w:rPr>
          <w:rFonts w:ascii="Times New Roman" w:eastAsia="Times New Roman" w:hAnsi="Times New Roman" w:cs="Times New Roman"/>
          <w:sz w:val="24"/>
        </w:rPr>
      </w:pPr>
      <w:r w:rsidRPr="002B62DD">
        <w:rPr>
          <w:rFonts w:ascii="Times New Roman" w:eastAsia="Times New Roman" w:hAnsi="Times New Roman" w:cs="Times New Roman"/>
          <w:sz w:val="24"/>
        </w:rPr>
        <w:t xml:space="preserve">Consumer green purchase </w:t>
      </w:r>
      <w:proofErr w:type="spellStart"/>
      <w:r w:rsidRPr="002B62DD">
        <w:rPr>
          <w:rFonts w:ascii="Times New Roman" w:eastAsia="Times New Roman" w:hAnsi="Times New Roman" w:cs="Times New Roman"/>
          <w:sz w:val="24"/>
        </w:rPr>
        <w:t>behavior</w:t>
      </w:r>
      <w:proofErr w:type="spellEnd"/>
      <w:r w:rsidRPr="002B62DD">
        <w:rPr>
          <w:rFonts w:ascii="Times New Roman" w:eastAsia="Times New Roman" w:hAnsi="Times New Roman" w:cs="Times New Roman"/>
          <w:sz w:val="24"/>
        </w:rPr>
        <w:t xml:space="preserve"> has become one of the most popular research topics among academics, especially in the last three decades. Once, consumer demographics were one of the most widely used methods. However later literature reviews </w:t>
      </w:r>
      <w:proofErr w:type="gramStart"/>
      <w:r w:rsidRPr="002B62DD">
        <w:rPr>
          <w:rFonts w:ascii="Times New Roman" w:eastAsia="Times New Roman" w:hAnsi="Times New Roman" w:cs="Times New Roman"/>
          <w:sz w:val="24"/>
        </w:rPr>
        <w:t>showed  that</w:t>
      </w:r>
      <w:proofErr w:type="gramEnd"/>
      <w:r w:rsidRPr="002B62DD">
        <w:rPr>
          <w:rFonts w:ascii="Times New Roman" w:eastAsia="Times New Roman" w:hAnsi="Times New Roman" w:cs="Times New Roman"/>
          <w:sz w:val="24"/>
        </w:rPr>
        <w:t xml:space="preserve">  </w:t>
      </w:r>
      <w:proofErr w:type="gramStart"/>
      <w:r w:rsidRPr="002B62DD">
        <w:rPr>
          <w:rFonts w:ascii="Times New Roman" w:eastAsia="Times New Roman" w:hAnsi="Times New Roman" w:cs="Times New Roman"/>
          <w:sz w:val="24"/>
        </w:rPr>
        <w:t>they  have</w:t>
      </w:r>
      <w:proofErr w:type="gramEnd"/>
      <w:r w:rsidRPr="002B62DD">
        <w:rPr>
          <w:rFonts w:ascii="Times New Roman" w:eastAsia="Times New Roman" w:hAnsi="Times New Roman" w:cs="Times New Roman"/>
          <w:sz w:val="24"/>
        </w:rPr>
        <w:t xml:space="preserve">  </w:t>
      </w:r>
      <w:proofErr w:type="gramStart"/>
      <w:r w:rsidRPr="002B62DD">
        <w:rPr>
          <w:rFonts w:ascii="Times New Roman" w:eastAsia="Times New Roman" w:hAnsi="Times New Roman" w:cs="Times New Roman"/>
          <w:sz w:val="24"/>
        </w:rPr>
        <w:t>had  only</w:t>
      </w:r>
      <w:proofErr w:type="gramEnd"/>
      <w:r w:rsidRPr="002B62DD">
        <w:rPr>
          <w:rFonts w:ascii="Times New Roman" w:eastAsia="Times New Roman" w:hAnsi="Times New Roman" w:cs="Times New Roman"/>
          <w:sz w:val="24"/>
        </w:rPr>
        <w:t xml:space="preserve">  </w:t>
      </w:r>
      <w:proofErr w:type="gramStart"/>
      <w:r w:rsidRPr="002B62DD">
        <w:rPr>
          <w:rFonts w:ascii="Times New Roman" w:eastAsia="Times New Roman" w:hAnsi="Times New Roman" w:cs="Times New Roman"/>
          <w:sz w:val="24"/>
        </w:rPr>
        <w:t>limited  success</w:t>
      </w:r>
      <w:proofErr w:type="gramEnd"/>
      <w:r w:rsidRPr="002B62DD">
        <w:rPr>
          <w:rFonts w:ascii="Times New Roman" w:eastAsia="Times New Roman" w:hAnsi="Times New Roman" w:cs="Times New Roman"/>
          <w:sz w:val="24"/>
        </w:rPr>
        <w:t xml:space="preserve">  </w:t>
      </w:r>
      <w:proofErr w:type="gramStart"/>
      <w:r w:rsidRPr="002B62DD">
        <w:rPr>
          <w:rFonts w:ascii="Times New Roman" w:eastAsia="Times New Roman" w:hAnsi="Times New Roman" w:cs="Times New Roman"/>
          <w:sz w:val="24"/>
        </w:rPr>
        <w:t>to  explain</w:t>
      </w:r>
      <w:proofErr w:type="gramEnd"/>
      <w:r w:rsidRPr="002B62DD">
        <w:rPr>
          <w:rFonts w:ascii="Times New Roman" w:eastAsia="Times New Roman" w:hAnsi="Times New Roman" w:cs="Times New Roman"/>
          <w:sz w:val="24"/>
        </w:rPr>
        <w:t xml:space="preserve">  </w:t>
      </w:r>
      <w:proofErr w:type="gramStart"/>
      <w:r w:rsidRPr="002B62DD">
        <w:rPr>
          <w:rFonts w:ascii="Times New Roman" w:eastAsia="Times New Roman" w:hAnsi="Times New Roman" w:cs="Times New Roman"/>
          <w:sz w:val="24"/>
        </w:rPr>
        <w:t>consumer  green</w:t>
      </w:r>
      <w:proofErr w:type="gramEnd"/>
      <w:r w:rsidRPr="002B62DD">
        <w:rPr>
          <w:rFonts w:ascii="Times New Roman" w:eastAsia="Times New Roman" w:hAnsi="Times New Roman" w:cs="Times New Roman"/>
          <w:sz w:val="24"/>
        </w:rPr>
        <w:t xml:space="preserve">  </w:t>
      </w:r>
      <w:proofErr w:type="gramStart"/>
      <w:r w:rsidRPr="002B62DD">
        <w:rPr>
          <w:rFonts w:ascii="Times New Roman" w:eastAsia="Times New Roman" w:hAnsi="Times New Roman" w:cs="Times New Roman"/>
          <w:sz w:val="24"/>
        </w:rPr>
        <w:t>purchase  behaviour</w:t>
      </w:r>
      <w:proofErr w:type="gramEnd"/>
      <w:r>
        <w:rPr>
          <w:rFonts w:ascii="Times New Roman" w:eastAsia="Times New Roman" w:hAnsi="Times New Roman" w:cs="Times New Roman"/>
          <w:sz w:val="24"/>
        </w:rPr>
        <w:t xml:space="preserve"> </w:t>
      </w:r>
      <w:r w:rsidRPr="002B62DD">
        <w:rPr>
          <w:rFonts w:ascii="Times New Roman" w:eastAsia="Times New Roman" w:hAnsi="Times New Roman" w:cs="Times New Roman"/>
          <w:sz w:val="24"/>
        </w:rPr>
        <w:t>(Albayrak et al., 2011).</w:t>
      </w:r>
      <w:r>
        <w:rPr>
          <w:rFonts w:ascii="Times New Roman" w:eastAsia="Times New Roman" w:hAnsi="Times New Roman" w:cs="Times New Roman"/>
          <w:sz w:val="24"/>
        </w:rPr>
        <w:t xml:space="preserve"> </w:t>
      </w:r>
      <w:r w:rsidRPr="002B62DD">
        <w:rPr>
          <w:rFonts w:ascii="Times New Roman" w:eastAsia="Times New Roman" w:hAnsi="Times New Roman" w:cs="Times New Roman"/>
          <w:sz w:val="24"/>
        </w:rPr>
        <w:t xml:space="preserve">One type of environmentally sensitive </w:t>
      </w:r>
      <w:proofErr w:type="spellStart"/>
      <w:r w:rsidRPr="002B62DD">
        <w:rPr>
          <w:rFonts w:ascii="Times New Roman" w:eastAsia="Times New Roman" w:hAnsi="Times New Roman" w:cs="Times New Roman"/>
          <w:sz w:val="24"/>
        </w:rPr>
        <w:t>behavior</w:t>
      </w:r>
      <w:proofErr w:type="spellEnd"/>
      <w:r w:rsidRPr="002B62DD">
        <w:rPr>
          <w:rFonts w:ascii="Times New Roman" w:eastAsia="Times New Roman" w:hAnsi="Times New Roman" w:cs="Times New Roman"/>
          <w:sz w:val="24"/>
        </w:rPr>
        <w:t xml:space="preserve"> is “green purchase </w:t>
      </w:r>
      <w:proofErr w:type="spellStart"/>
      <w:r w:rsidRPr="002B62DD">
        <w:rPr>
          <w:rFonts w:ascii="Times New Roman" w:eastAsia="Times New Roman" w:hAnsi="Times New Roman" w:cs="Times New Roman"/>
          <w:sz w:val="24"/>
        </w:rPr>
        <w:t>behavior</w:t>
      </w:r>
      <w:proofErr w:type="spellEnd"/>
      <w:r w:rsidRPr="002B62DD">
        <w:rPr>
          <w:rFonts w:ascii="Times New Roman" w:eastAsia="Times New Roman" w:hAnsi="Times New Roman" w:cs="Times New Roman"/>
          <w:sz w:val="24"/>
        </w:rPr>
        <w:t xml:space="preserve">” which can  be observed in those consumers who scrutinise labels, who use biodegradable garbage bags and biodegradable soaps and natural detergents, who  purchase  goods  with  biodegradable  packaging  and  who  refuse  to  purchase  from  restaurants  where </w:t>
      </w:r>
      <w:proofErr w:type="spellStart"/>
      <w:r w:rsidRPr="002B62DD">
        <w:rPr>
          <w:rFonts w:ascii="Times New Roman" w:eastAsia="Times New Roman" w:hAnsi="Times New Roman" w:cs="Times New Roman"/>
          <w:sz w:val="24"/>
        </w:rPr>
        <w:t>styrofoam</w:t>
      </w:r>
      <w:proofErr w:type="spellEnd"/>
      <w:r w:rsidRPr="002B62DD">
        <w:rPr>
          <w:rFonts w:ascii="Times New Roman" w:eastAsia="Times New Roman" w:hAnsi="Times New Roman" w:cs="Times New Roman"/>
          <w:sz w:val="24"/>
        </w:rPr>
        <w:t xml:space="preserve"> packages are used</w:t>
      </w:r>
      <w:r>
        <w:rPr>
          <w:rFonts w:ascii="Times New Roman" w:eastAsia="Times New Roman" w:hAnsi="Times New Roman" w:cs="Times New Roman"/>
          <w:sz w:val="24"/>
        </w:rPr>
        <w:t xml:space="preserve"> </w:t>
      </w:r>
      <w:r w:rsidRPr="002B62DD">
        <w:rPr>
          <w:rFonts w:ascii="Times New Roman" w:eastAsia="Times New Roman" w:hAnsi="Times New Roman" w:cs="Times New Roman"/>
          <w:sz w:val="24"/>
        </w:rPr>
        <w:t>(</w:t>
      </w:r>
      <w:proofErr w:type="spellStart"/>
      <w:r w:rsidRPr="002B62DD">
        <w:rPr>
          <w:rFonts w:ascii="Times New Roman" w:eastAsia="Times New Roman" w:hAnsi="Times New Roman" w:cs="Times New Roman"/>
          <w:sz w:val="24"/>
        </w:rPr>
        <w:t>Kreczmańska-Gigol</w:t>
      </w:r>
      <w:proofErr w:type="spellEnd"/>
      <w:r w:rsidRPr="002B62DD">
        <w:rPr>
          <w:rFonts w:ascii="Times New Roman" w:eastAsia="Times New Roman" w:hAnsi="Times New Roman" w:cs="Times New Roman"/>
          <w:sz w:val="24"/>
        </w:rPr>
        <w:t xml:space="preserve"> &amp; </w:t>
      </w:r>
      <w:proofErr w:type="spellStart"/>
      <w:r w:rsidRPr="002B62DD">
        <w:rPr>
          <w:rFonts w:ascii="Times New Roman" w:eastAsia="Times New Roman" w:hAnsi="Times New Roman" w:cs="Times New Roman"/>
          <w:sz w:val="24"/>
        </w:rPr>
        <w:t>Gigol</w:t>
      </w:r>
      <w:proofErr w:type="spellEnd"/>
      <w:r w:rsidRPr="002B62DD">
        <w:rPr>
          <w:rFonts w:ascii="Times New Roman" w:eastAsia="Times New Roman" w:hAnsi="Times New Roman" w:cs="Times New Roman"/>
          <w:sz w:val="24"/>
        </w:rPr>
        <w:t>, 2022)</w:t>
      </w:r>
      <w:r>
        <w:rPr>
          <w:rFonts w:ascii="Times New Roman" w:eastAsia="Times New Roman" w:hAnsi="Times New Roman" w:cs="Times New Roman"/>
          <w:sz w:val="24"/>
        </w:rPr>
        <w:t xml:space="preserve">. </w:t>
      </w:r>
    </w:p>
    <w:p w14:paraId="7CC53399" w14:textId="77777777" w:rsidR="00487CB5" w:rsidRDefault="002B62DD">
      <w:pPr>
        <w:ind w:left="283" w:firstLine="28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34596B7F" w14:textId="77777777" w:rsidR="00487CB5" w:rsidRDefault="00487CB5">
      <w:pPr>
        <w:ind w:left="283" w:firstLine="283"/>
        <w:jc w:val="center"/>
        <w:rPr>
          <w:rFonts w:ascii="Times New Roman" w:eastAsia="Times New Roman" w:hAnsi="Times New Roman" w:cs="Times New Roman"/>
          <w:b/>
          <w:sz w:val="26"/>
          <w:szCs w:val="26"/>
        </w:rPr>
      </w:pPr>
    </w:p>
    <w:p w14:paraId="2028391F" w14:textId="77777777" w:rsidR="00487CB5" w:rsidRDefault="00487CB5">
      <w:pPr>
        <w:rPr>
          <w:rFonts w:ascii="Times New Roman" w:eastAsia="Times New Roman" w:hAnsi="Times New Roman" w:cs="Times New Roman"/>
        </w:rPr>
      </w:pPr>
    </w:p>
    <w:p w14:paraId="42241C46"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Greenwashing</w:t>
      </w:r>
    </w:p>
    <w:p w14:paraId="7E5D843D" w14:textId="77777777" w:rsidR="00487CB5" w:rsidRDefault="00487CB5">
      <w:pPr>
        <w:rPr>
          <w:rFonts w:ascii="Times New Roman" w:eastAsia="Times New Roman" w:hAnsi="Times New Roman" w:cs="Times New Roman"/>
          <w:b/>
        </w:rPr>
      </w:pPr>
    </w:p>
    <w:p w14:paraId="64A71E0E"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Lyon and Maxwell, who presented the first economic analysis of greenwashing in 2011, considered selective disclosure to also be a form of greenwashing. Selective disclosure of positive information about a company’s environmental or social performance, without full disclosure of negative information on these dimensions, was done in order to maintain a pristine corporate image.</w:t>
      </w:r>
    </w:p>
    <w:p w14:paraId="7A38EFB3" w14:textId="77777777" w:rsidR="00487CB5" w:rsidRDefault="00487CB5">
      <w:pPr>
        <w:ind w:left="283"/>
        <w:jc w:val="both"/>
        <w:rPr>
          <w:rFonts w:ascii="Times New Roman" w:eastAsia="Times New Roman" w:hAnsi="Times New Roman" w:cs="Times New Roman"/>
        </w:rPr>
      </w:pPr>
    </w:p>
    <w:p w14:paraId="7550A674"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Siano et al., associate greenwashing with symbolic actions, describing it as a practice that shifts focus to minor issues or generates "green talk"—statements intended to meet stakeholder expectations regarding sustainability without implementing any meaningful actions. The phenomenon of greenwashing has also been linked to corporate legitimacy theory in existing literature, which categorizes legitimacy into three types: cognitive, pragmatic, and moral. According to Seele and Gatti in 2017, greenwashing is primarily associated with pragmatic legitimacy. They explain that “cognitive legitimacy is rooted in shared, taken-for-granted assumptions within an organization’s societal environment,” while “moral legitimacy is based on ethical evaluations of the organization and its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Pragmatic legitimacy, on the other hand, arises from the self-interested calculations of key stakeholders and depends on their perception of personal benefits gained from the organization’s actions and communications.</w:t>
      </w:r>
    </w:p>
    <w:p w14:paraId="320E96DE" w14:textId="77777777" w:rsidR="00487CB5" w:rsidRDefault="00487CB5">
      <w:pPr>
        <w:rPr>
          <w:rFonts w:ascii="Times New Roman" w:eastAsia="Times New Roman" w:hAnsi="Times New Roman" w:cs="Times New Roman"/>
        </w:rPr>
      </w:pPr>
    </w:p>
    <w:p w14:paraId="74BE9DAF" w14:textId="77777777" w:rsidR="00487CB5" w:rsidRDefault="00487CB5">
      <w:pPr>
        <w:rPr>
          <w:rFonts w:ascii="Times New Roman" w:eastAsia="Times New Roman" w:hAnsi="Times New Roman" w:cs="Times New Roman"/>
          <w:shd w:val="clear" w:color="auto" w:fill="FFF2CC"/>
        </w:rPr>
      </w:pPr>
    </w:p>
    <w:p w14:paraId="4FB43703"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Green Purchase Intention</w:t>
      </w:r>
    </w:p>
    <w:p w14:paraId="4FAF526B" w14:textId="77777777" w:rsidR="00487CB5" w:rsidRDefault="00487CB5">
      <w:pPr>
        <w:rPr>
          <w:rFonts w:ascii="Times New Roman" w:eastAsia="Times New Roman" w:hAnsi="Times New Roman" w:cs="Times New Roman"/>
          <w:b/>
        </w:rPr>
      </w:pPr>
    </w:p>
    <w:p w14:paraId="13F9B508"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According to Chen &amp; Chang, Green purchase intention (GPI) refers to a consumer's willingness or likelihood to prefer eco-friendly products over conventional alternatives. It reflects a conscious effort by individuals to minimize their environmental impact through consumption choices. GPI is often influenced by a combination of internal factors (e.g., attitudes, values) and external factors (e.g., societal norms, marketing strategies). It is a significant predictor of green purchase behaviour, meaning that it positively affects the likelihood of a customer deciding whether or not to buy green products. In Chan’s study in 2001, he found that there was a low degree of actual commitment to green purchases.</w:t>
      </w:r>
    </w:p>
    <w:p w14:paraId="6DA2A56E" w14:textId="77777777" w:rsidR="00487CB5" w:rsidRDefault="00487CB5">
      <w:pPr>
        <w:rPr>
          <w:rFonts w:ascii="Times New Roman" w:eastAsia="Times New Roman" w:hAnsi="Times New Roman" w:cs="Times New Roman"/>
        </w:rPr>
      </w:pPr>
    </w:p>
    <w:p w14:paraId="13B16FA4"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The Theory of Planned Behaviour (TPB), developed by Ajzen in 1991, provides a fundamental archetype for researching GPI. TPB claims that viewpoints on eco-friendly items have a big impact on consumers' intention to buy them. Customers' aspirations to select green alternatives are frequently fortified by conducive opinions about the advantages for the environment, product quality, and health. </w:t>
      </w:r>
    </w:p>
    <w:p w14:paraId="191491AA" w14:textId="77777777" w:rsidR="00487CB5" w:rsidRDefault="00487CB5">
      <w:pPr>
        <w:rPr>
          <w:rFonts w:ascii="Times New Roman" w:eastAsia="Times New Roman" w:hAnsi="Times New Roman" w:cs="Times New Roman"/>
        </w:rPr>
      </w:pPr>
    </w:p>
    <w:p w14:paraId="4524EB3E"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A consumer's perception that their personal activities can help protect the environment is known as perceived consumer effectiveness, or PCE and because customers feel more empowered to influence their purchasing decisions, higher PCE boosts GPI.</w:t>
      </w:r>
    </w:p>
    <w:p w14:paraId="3461841D" w14:textId="77777777" w:rsidR="00487CB5" w:rsidRDefault="00487CB5">
      <w:pPr>
        <w:rPr>
          <w:rFonts w:ascii="Times New Roman" w:eastAsia="Times New Roman" w:hAnsi="Times New Roman" w:cs="Times New Roman"/>
          <w:shd w:val="clear" w:color="auto" w:fill="FCE5CD"/>
        </w:rPr>
      </w:pPr>
    </w:p>
    <w:p w14:paraId="1C16172B"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 &amp; Decision Making</w:t>
      </w:r>
    </w:p>
    <w:p w14:paraId="16837CCE" w14:textId="77777777" w:rsidR="00487CB5" w:rsidRDefault="00487CB5">
      <w:pPr>
        <w:rPr>
          <w:rFonts w:ascii="Times New Roman" w:eastAsia="Times New Roman" w:hAnsi="Times New Roman" w:cs="Times New Roman"/>
          <w:b/>
        </w:rPr>
      </w:pPr>
    </w:p>
    <w:p w14:paraId="4D57967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Decision making is a cognitive process that involves coming to a conclusion about taking an action after going through multiple or different alternatives or options. The Engel Blackwell Miniard model, or EBM model, is the most commonly recognized model among several that have been constructed </w:t>
      </w:r>
      <w:r>
        <w:rPr>
          <w:rFonts w:ascii="Times New Roman" w:eastAsia="Times New Roman" w:hAnsi="Times New Roman" w:cs="Times New Roman"/>
        </w:rPr>
        <w:lastRenderedPageBreak/>
        <w:t xml:space="preserve">(Engel et al., 1995).  According to this model, a buyer goes through five stages when making a decision. The phases are - (I) Need Recognition, (II) Information Search, (III) Evaluation of Alternatives, (IV) Purchase and (V) Post Purchase. </w:t>
      </w:r>
    </w:p>
    <w:p w14:paraId="34336251" w14:textId="77777777" w:rsidR="00487CB5" w:rsidRDefault="00487CB5">
      <w:pPr>
        <w:rPr>
          <w:rFonts w:ascii="Times New Roman" w:eastAsia="Times New Roman" w:hAnsi="Times New Roman" w:cs="Times New Roman"/>
        </w:rPr>
      </w:pPr>
    </w:p>
    <w:p w14:paraId="324F7B2B"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The initial three phases are together referred to as the Pre-Purchasing stage. This stage is when a customer realizes that they need a particular good, and looks for data to satisfy that need. When all of the options have been compared and assessed, the best option is finally chosen (Mishra, 2018). </w:t>
      </w:r>
    </w:p>
    <w:p w14:paraId="2E34EDE0" w14:textId="77777777" w:rsidR="00487CB5" w:rsidRDefault="00487CB5">
      <w:pPr>
        <w:rPr>
          <w:rFonts w:ascii="Times New Roman" w:eastAsia="Times New Roman" w:hAnsi="Times New Roman" w:cs="Times New Roman"/>
        </w:rPr>
      </w:pPr>
    </w:p>
    <w:p w14:paraId="3F966844"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Gay et al. (2010) described that evaluation entails gathering and evaluating the data collected during the information search phase. The benchmarks that customers use to distinguish between various products or brand types are known as evaluative criteria. </w:t>
      </w:r>
    </w:p>
    <w:p w14:paraId="082AD3E5" w14:textId="77777777" w:rsidR="00487CB5" w:rsidRDefault="00487CB5">
      <w:pPr>
        <w:rPr>
          <w:rFonts w:ascii="Times New Roman" w:eastAsia="Times New Roman" w:hAnsi="Times New Roman" w:cs="Times New Roman"/>
        </w:rPr>
      </w:pPr>
    </w:p>
    <w:p w14:paraId="6E0FADD6"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This assessment may be subjective or objective. The practical parts of the product, such as its properties and the advantages that it offers are considered objective attributes. Conversely, subjective elements are associated with the sentimental aspects of the product, such as ease, status, etc. When making a first-time purchase, consumers carefully assess a number of product types, whereas habitual decision-makers may not weigh as many options. When a consumer is faced with a choice between multiple products, he must also conduct an extended examination of his options (Soloman, 2004). </w:t>
      </w:r>
    </w:p>
    <w:p w14:paraId="6A8CED0A" w14:textId="77777777" w:rsidR="00487CB5" w:rsidRDefault="00487CB5">
      <w:pPr>
        <w:rPr>
          <w:rFonts w:ascii="Times New Roman" w:eastAsia="Times New Roman" w:hAnsi="Times New Roman" w:cs="Times New Roman"/>
        </w:rPr>
      </w:pPr>
    </w:p>
    <w:p w14:paraId="3B6E940A"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There are a number of criteria which consumers use for alternative evaluation. One of the key factors considered while comparing options is price. One of the most widely held notions among customers is the price-quality correlation. Pechmann and Ratneshwar stated that in general, buyers view price as an exterior characteristic to assess the quality of the goods (1991). However, Rao and Monroe (1988) believed that when customers can manage to comprehend various other indicators, the likelihood of them to consider cost as a measure of quality decreases. In a study conducted by Mishra (2018) on the criteria for alternative evaluation among </w:t>
      </w:r>
      <w:proofErr w:type="gramStart"/>
      <w:r>
        <w:rPr>
          <w:rFonts w:ascii="Times New Roman" w:eastAsia="Times New Roman" w:hAnsi="Times New Roman" w:cs="Times New Roman"/>
        </w:rPr>
        <w:t>consumers ,</w:t>
      </w:r>
      <w:proofErr w:type="gramEnd"/>
      <w:r>
        <w:rPr>
          <w:rFonts w:ascii="Times New Roman" w:eastAsia="Times New Roman" w:hAnsi="Times New Roman" w:cs="Times New Roman"/>
        </w:rPr>
        <w:t xml:space="preserve"> 856 respondents were studied. The results showed that 50% people always used price as a </w:t>
      </w:r>
      <w:proofErr w:type="gramStart"/>
      <w:r>
        <w:rPr>
          <w:rFonts w:ascii="Times New Roman" w:eastAsia="Times New Roman" w:hAnsi="Times New Roman" w:cs="Times New Roman"/>
        </w:rPr>
        <w:t>criteria</w:t>
      </w:r>
      <w:proofErr w:type="gramEnd"/>
      <w:r>
        <w:rPr>
          <w:rFonts w:ascii="Times New Roman" w:eastAsia="Times New Roman" w:hAnsi="Times New Roman" w:cs="Times New Roman"/>
        </w:rPr>
        <w:t xml:space="preserve"> for comparison, and when it comes to product quality, more than half the respondents agreed to it always being a factor to consider purchase. </w:t>
      </w:r>
    </w:p>
    <w:p w14:paraId="1C3223B2" w14:textId="77777777" w:rsidR="00487CB5" w:rsidRDefault="00487CB5">
      <w:pPr>
        <w:ind w:left="283"/>
        <w:rPr>
          <w:rFonts w:ascii="Times New Roman" w:eastAsia="Times New Roman" w:hAnsi="Times New Roman" w:cs="Times New Roman"/>
        </w:rPr>
      </w:pPr>
    </w:p>
    <w:p w14:paraId="4A9011E5"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Another </w:t>
      </w:r>
      <w:proofErr w:type="gramStart"/>
      <w:r>
        <w:rPr>
          <w:rFonts w:ascii="Times New Roman" w:eastAsia="Times New Roman" w:hAnsi="Times New Roman" w:cs="Times New Roman"/>
        </w:rPr>
        <w:t>criteria</w:t>
      </w:r>
      <w:proofErr w:type="gramEnd"/>
      <w:r>
        <w:rPr>
          <w:rFonts w:ascii="Times New Roman" w:eastAsia="Times New Roman" w:hAnsi="Times New Roman" w:cs="Times New Roman"/>
        </w:rPr>
        <w:t xml:space="preserve"> used for alternative evaluation is brand. Choosing and sticking to a certain brand is a popular method of streamlining the decision-making process. The client can then spend less time in the information and assessment phases. The customer can just decide to buy directly from their favoured brand (Mishra, 2018). Aaker and Keller in 1990 said that customers relate with the brand identity and hence, it becomes an important criterion to base purchase decisions. Businesses think that by developing a robust brand perception in the eyes of the customers, they might lessen the consumer's uncertainty while weighing the pros and cons of several options. Additionally, this enhances one's commitment to the brand and the potential for buying from the brand rises. When making regular purchases, a customer might not consider all the options available and ultimately, just buy their preferred brand. On the other hand, consumers will weigh the pros and disadvantages of several brands while making their initial product purchase (Mishra, 2018).</w:t>
      </w:r>
    </w:p>
    <w:p w14:paraId="140B5ACE" w14:textId="77777777" w:rsidR="00487CB5" w:rsidRDefault="00487CB5">
      <w:pPr>
        <w:rPr>
          <w:rFonts w:ascii="Times New Roman" w:eastAsia="Times New Roman" w:hAnsi="Times New Roman" w:cs="Times New Roman"/>
        </w:rPr>
      </w:pPr>
    </w:p>
    <w:p w14:paraId="12A757CC"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Offering sales and discounts affects consumers' perceptions of the worth of their purchases. Customers believe that they have negotiated because of sales and discounts which fosters “transaction utility” or “smart shopper thoughts.” The hedonic value rises as a result. Furthermore, bargains and reductions may result in the purchase of an effective final good, which might increase utilitarian value (Babin et al., 1994). </w:t>
      </w:r>
      <w:proofErr w:type="spellStart"/>
      <w:r>
        <w:rPr>
          <w:rFonts w:ascii="Times New Roman" w:eastAsia="Times New Roman" w:hAnsi="Times New Roman" w:cs="Times New Roman"/>
        </w:rPr>
        <w:t>Muruganantham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Bhakat</w:t>
      </w:r>
      <w:proofErr w:type="spellEnd"/>
      <w:r>
        <w:rPr>
          <w:rFonts w:ascii="Times New Roman" w:eastAsia="Times New Roman" w:hAnsi="Times New Roman" w:cs="Times New Roman"/>
        </w:rPr>
        <w:t xml:space="preserve"> in their 2013 study stated that offers have been identified as one of the primary factors driving consumers’ impulsive purchases.</w:t>
      </w:r>
    </w:p>
    <w:p w14:paraId="38DFE11C" w14:textId="77777777" w:rsidR="00487CB5" w:rsidRDefault="00487CB5">
      <w:pPr>
        <w:rPr>
          <w:rFonts w:ascii="Times New Roman" w:eastAsia="Times New Roman" w:hAnsi="Times New Roman" w:cs="Times New Roman"/>
        </w:rPr>
      </w:pPr>
    </w:p>
    <w:p w14:paraId="7FCBCB41"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lastRenderedPageBreak/>
        <w:t xml:space="preserve">Majority of word-of-mouth comes from people the consumer trusts like friends and family (Bansal and Voyer, 2000; Brown and </w:t>
      </w:r>
      <w:proofErr w:type="spellStart"/>
      <w:r>
        <w:rPr>
          <w:rFonts w:ascii="Times New Roman" w:eastAsia="Times New Roman" w:hAnsi="Times New Roman" w:cs="Times New Roman"/>
        </w:rPr>
        <w:t>Reingen</w:t>
      </w:r>
      <w:proofErr w:type="spellEnd"/>
      <w:r>
        <w:rPr>
          <w:rFonts w:ascii="Times New Roman" w:eastAsia="Times New Roman" w:hAnsi="Times New Roman" w:cs="Times New Roman"/>
        </w:rPr>
        <w:t xml:space="preserve">, 1987). Some customers only buy products from brands they have used in their own family. </w:t>
      </w:r>
    </w:p>
    <w:p w14:paraId="484185E2" w14:textId="77777777" w:rsidR="00487CB5" w:rsidRDefault="00487CB5">
      <w:pPr>
        <w:rPr>
          <w:rFonts w:ascii="Times New Roman" w:eastAsia="Times New Roman" w:hAnsi="Times New Roman" w:cs="Times New Roman"/>
        </w:rPr>
      </w:pPr>
    </w:p>
    <w:p w14:paraId="14B9FFF4"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The appraisal of options is the most important of these three sub-stages. It brings consumers to the point of purchase in their decision-making process. Mishra (2018) suggested the assessment criteria can be roughly categorised as follows: non-product associated criteria, primary product criteria, and additional item related criteria for alternative evaluation.</w:t>
      </w:r>
    </w:p>
    <w:p w14:paraId="3E9CE6BE" w14:textId="77777777" w:rsidR="00487CB5" w:rsidRDefault="00487CB5">
      <w:pPr>
        <w:rPr>
          <w:rFonts w:ascii="Times New Roman" w:eastAsia="Times New Roman" w:hAnsi="Times New Roman" w:cs="Times New Roman"/>
        </w:rPr>
      </w:pPr>
    </w:p>
    <w:p w14:paraId="244CDC38" w14:textId="77777777" w:rsidR="00487CB5" w:rsidRDefault="002B62DD">
      <w:pPr>
        <w:rPr>
          <w:rFonts w:ascii="Times New Roman" w:eastAsia="Times New Roman" w:hAnsi="Times New Roman" w:cs="Times New Roman"/>
        </w:rPr>
      </w:pPr>
      <w:proofErr w:type="spellStart"/>
      <w:r>
        <w:rPr>
          <w:rFonts w:ascii="Times New Roman" w:eastAsia="Times New Roman" w:hAnsi="Times New Roman" w:cs="Times New Roman"/>
        </w:rPr>
        <w:t>Emekci</w:t>
      </w:r>
      <w:proofErr w:type="spellEnd"/>
      <w:r>
        <w:rPr>
          <w:rFonts w:ascii="Times New Roman" w:eastAsia="Times New Roman" w:hAnsi="Times New Roman" w:cs="Times New Roman"/>
        </w:rPr>
        <w:t xml:space="preserve"> (2019) believed that personality attributes, rather than socioeconomic considerations, are a more reliable predictor of environmentally conscious consumers. The Big Five Personality Traits theory initially given by </w:t>
      </w:r>
      <w:proofErr w:type="spellStart"/>
      <w:r>
        <w:rPr>
          <w:rFonts w:ascii="Times New Roman" w:eastAsia="Times New Roman" w:hAnsi="Times New Roman" w:cs="Times New Roman"/>
        </w:rPr>
        <w:t>D.</w:t>
      </w:r>
      <w:proofErr w:type="gramStart"/>
      <w:r>
        <w:rPr>
          <w:rFonts w:ascii="Times New Roman" w:eastAsia="Times New Roman" w:hAnsi="Times New Roman" w:cs="Times New Roman"/>
        </w:rPr>
        <w:t>W.Fiske</w:t>
      </w:r>
      <w:proofErr w:type="spellEnd"/>
      <w:proofErr w:type="gramEnd"/>
      <w:r>
        <w:rPr>
          <w:rFonts w:ascii="Times New Roman" w:eastAsia="Times New Roman" w:hAnsi="Times New Roman" w:cs="Times New Roman"/>
        </w:rPr>
        <w:t xml:space="preserve"> talks about five major personality traits - neuroticism, agreeableness, extraversion, conscientiousness, and openness. </w:t>
      </w:r>
    </w:p>
    <w:p w14:paraId="33A917FA" w14:textId="77777777" w:rsidR="00487CB5" w:rsidRDefault="00487CB5">
      <w:pPr>
        <w:rPr>
          <w:rFonts w:ascii="Times New Roman" w:eastAsia="Times New Roman" w:hAnsi="Times New Roman" w:cs="Times New Roman"/>
        </w:rPr>
      </w:pPr>
    </w:p>
    <w:p w14:paraId="79099E2B"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A study done by </w:t>
      </w:r>
      <w:proofErr w:type="spellStart"/>
      <w:r>
        <w:rPr>
          <w:rFonts w:ascii="Times New Roman" w:eastAsia="Times New Roman" w:hAnsi="Times New Roman" w:cs="Times New Roman"/>
        </w:rPr>
        <w:t>Bhrambhatt</w:t>
      </w:r>
      <w:proofErr w:type="spellEnd"/>
      <w:r>
        <w:rPr>
          <w:rFonts w:ascii="Times New Roman" w:eastAsia="Times New Roman" w:hAnsi="Times New Roman" w:cs="Times New Roman"/>
        </w:rPr>
        <w:t xml:space="preserve"> in 2023 showed that people with high scores for Openness, Conscientiousness, Extraversion, and Agreeableness also scored considerably high in their Green Purchase Intention. However, no correlation was found between individuals with high scores for green purchase intention and high scores for Neuroticism personality traits. </w:t>
      </w:r>
    </w:p>
    <w:p w14:paraId="0105DB59" w14:textId="77777777" w:rsidR="00487CB5" w:rsidRDefault="00487CB5">
      <w:pPr>
        <w:rPr>
          <w:rFonts w:ascii="Times New Roman" w:eastAsia="Times New Roman" w:hAnsi="Times New Roman" w:cs="Times New Roman"/>
        </w:rPr>
      </w:pPr>
    </w:p>
    <w:p w14:paraId="58BCA565"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In the same research, those with high scores on environmental concern were also found to have considerably greater ratings on extraversion, conscientiousness, agreeableness and openness in the OCEAN personality traits. Yet, no association was found between those with high scores on environmental importance and neuroticism traits.</w:t>
      </w:r>
    </w:p>
    <w:p w14:paraId="5821F925" w14:textId="77777777" w:rsidR="00487CB5" w:rsidRDefault="00487CB5">
      <w:pPr>
        <w:rPr>
          <w:rFonts w:ascii="Times New Roman" w:eastAsia="Times New Roman" w:hAnsi="Times New Roman" w:cs="Times New Roman"/>
        </w:rPr>
      </w:pPr>
    </w:p>
    <w:p w14:paraId="2A5FE380"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Schwartz created the Norm activation theory (NAT) to explain the connection between actions, personal norms, and activators (Harland et al., 2007). NAT was originally developed to explain helping behaviour, but it was later expanded to philanthropic behaviour that benefits others in general. One of the primary NAT theories is that pro-social conduct is influenced by the stimulation of ethical values that an individual has (Turaga et al., 2010). NAT is frequently used to explain how decisions are made in moral contexts like environmentally conscious behaviour (Stern et al., 1999). </w:t>
      </w:r>
    </w:p>
    <w:p w14:paraId="3BA75DEC" w14:textId="77777777" w:rsidR="00487CB5" w:rsidRDefault="00487CB5">
      <w:pPr>
        <w:rPr>
          <w:rFonts w:ascii="Times New Roman" w:eastAsia="Times New Roman" w:hAnsi="Times New Roman" w:cs="Times New Roman"/>
        </w:rPr>
      </w:pPr>
    </w:p>
    <w:p w14:paraId="1ECAF7F6"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Norm-activations as defined by NAT, are the processes by which people form expectations for oneself about pro-social behaviour. These self-expectations are referred to as "personal norms" and are characterised by righteous duties or responsibilities that directly impact conduct (Harland et al., 2007). </w:t>
      </w:r>
      <w:proofErr w:type="gramStart"/>
      <w:r>
        <w:rPr>
          <w:rFonts w:ascii="Times New Roman" w:eastAsia="Times New Roman" w:hAnsi="Times New Roman" w:cs="Times New Roman"/>
        </w:rPr>
        <w:t>However</w:t>
      </w:r>
      <w:proofErr w:type="gramEnd"/>
      <w:r>
        <w:rPr>
          <w:rFonts w:ascii="Times New Roman" w:eastAsia="Times New Roman" w:hAnsi="Times New Roman" w:cs="Times New Roman"/>
        </w:rPr>
        <w:t xml:space="preserve"> the study by Harland et al. in 2007 also mentioned that personal norm activation alone, is insufficient to promote prosocial behaviour because it can be countered by downplaying the impact of one’s actions on other people or by downplaying one’s own responsibility for their deeds. </w:t>
      </w:r>
    </w:p>
    <w:p w14:paraId="6B9747F2" w14:textId="77777777" w:rsidR="00487CB5" w:rsidRDefault="00487CB5">
      <w:pPr>
        <w:rPr>
          <w:rFonts w:ascii="Times New Roman" w:eastAsia="Times New Roman" w:hAnsi="Times New Roman" w:cs="Times New Roman"/>
        </w:rPr>
      </w:pPr>
    </w:p>
    <w:p w14:paraId="25AFF5DE"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Four situational elements or activators namely,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awareness of need, (ii) situational accountability, (iii) efficacy, and (iv) ability as well as two activators of personality traits i.e.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awareness of consequences and (ii) denial of accountability—combine to form the framework of norm activation. </w:t>
      </w:r>
    </w:p>
    <w:p w14:paraId="6A780F4D" w14:textId="77777777" w:rsidR="00487CB5" w:rsidRDefault="00487CB5">
      <w:pPr>
        <w:ind w:left="283"/>
        <w:rPr>
          <w:rFonts w:ascii="Times New Roman" w:eastAsia="Times New Roman" w:hAnsi="Times New Roman" w:cs="Times New Roman"/>
        </w:rPr>
      </w:pPr>
    </w:p>
    <w:p w14:paraId="1AEFEC05" w14:textId="77777777" w:rsidR="00487CB5" w:rsidRDefault="002B62DD">
      <w:pPr>
        <w:rPr>
          <w:rFonts w:ascii="Times New Roman" w:eastAsia="Times New Roman" w:hAnsi="Times New Roman" w:cs="Times New Roman"/>
        </w:rPr>
      </w:pP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NAT states that environmentally friendly behaviour in people emerges when they acknowledge responsibility for doing their part for the good of all mankind and when they are mindful of the implications of their choices and </w:t>
      </w:r>
      <w:proofErr w:type="spellStart"/>
      <w:r>
        <w:rPr>
          <w:rFonts w:ascii="Times New Roman" w:eastAsia="Times New Roman" w:hAnsi="Times New Roman" w:cs="Times New Roman"/>
        </w:rPr>
        <w:t>behaviors</w:t>
      </w:r>
      <w:proofErr w:type="spellEnd"/>
      <w:r>
        <w:rPr>
          <w:rFonts w:ascii="Times New Roman" w:eastAsia="Times New Roman" w:hAnsi="Times New Roman" w:cs="Times New Roman"/>
        </w:rPr>
        <w:t xml:space="preserve"> on the planet (Turaga et al., 2010). </w:t>
      </w:r>
    </w:p>
    <w:p w14:paraId="013E36A4" w14:textId="77777777" w:rsidR="00487CB5" w:rsidRDefault="00487CB5">
      <w:pPr>
        <w:rPr>
          <w:rFonts w:ascii="Times New Roman" w:eastAsia="Times New Roman" w:hAnsi="Times New Roman" w:cs="Times New Roman"/>
          <w:b/>
        </w:rPr>
      </w:pPr>
    </w:p>
    <w:p w14:paraId="4AC2D53E"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Green Purchase Behaviour </w:t>
      </w:r>
    </w:p>
    <w:p w14:paraId="2F7B970C" w14:textId="77777777" w:rsidR="00487CB5" w:rsidRDefault="00487CB5">
      <w:pPr>
        <w:rPr>
          <w:rFonts w:ascii="Times New Roman" w:eastAsia="Times New Roman" w:hAnsi="Times New Roman" w:cs="Times New Roman"/>
          <w:b/>
        </w:rPr>
      </w:pPr>
    </w:p>
    <w:p w14:paraId="335E7F67"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lastRenderedPageBreak/>
        <w:t xml:space="preserve">According to Joshi &amp; Rahman, Green purchase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(GPB) refers to the actual buying actions of consumers who prioritize environmentally friendly products and services over conventional ones. Unlike green purchase intention, which reflects willingness or readiness, GPB is the manifestation of these intentions in real purchasing decisions. </w:t>
      </w:r>
    </w:p>
    <w:p w14:paraId="4B4A564D" w14:textId="77777777" w:rsidR="00487CB5" w:rsidRDefault="00487CB5">
      <w:pPr>
        <w:rPr>
          <w:rFonts w:ascii="Times New Roman" w:eastAsia="Times New Roman" w:hAnsi="Times New Roman" w:cs="Times New Roman"/>
        </w:rPr>
      </w:pPr>
    </w:p>
    <w:p w14:paraId="7DDDB78A" w14:textId="77777777" w:rsidR="00487CB5" w:rsidRDefault="002B62DD">
      <w:pPr>
        <w:rPr>
          <w:rFonts w:ascii="Times New Roman" w:eastAsia="Times New Roman" w:hAnsi="Times New Roman" w:cs="Times New Roman"/>
        </w:rPr>
      </w:pPr>
      <w:proofErr w:type="spellStart"/>
      <w:r>
        <w:rPr>
          <w:rFonts w:ascii="Times New Roman" w:eastAsia="Times New Roman" w:hAnsi="Times New Roman" w:cs="Times New Roman"/>
        </w:rPr>
        <w:t>Taufique</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Vaithianathan’s</w:t>
      </w:r>
      <w:proofErr w:type="spellEnd"/>
      <w:r>
        <w:rPr>
          <w:rFonts w:ascii="Times New Roman" w:eastAsia="Times New Roman" w:hAnsi="Times New Roman" w:cs="Times New Roman"/>
        </w:rPr>
        <w:t xml:space="preserve"> study on understanding green consumer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among young urban Indian consumers reveal that environmental knowledge—both general and product-specific—has a significant impact on GPB. Consumers who understand environmental issues, such as climate change and resource depletion, are more inclined to support eco-friendly products. </w:t>
      </w:r>
    </w:p>
    <w:p w14:paraId="3DD714BB" w14:textId="77777777" w:rsidR="00487CB5" w:rsidRDefault="00487CB5">
      <w:pPr>
        <w:rPr>
          <w:rFonts w:ascii="Times New Roman" w:eastAsia="Times New Roman" w:hAnsi="Times New Roman" w:cs="Times New Roman"/>
        </w:rPr>
      </w:pPr>
    </w:p>
    <w:p w14:paraId="7F431D7A"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Consumer </w:t>
      </w:r>
      <w:proofErr w:type="spellStart"/>
      <w:r>
        <w:rPr>
          <w:rFonts w:ascii="Times New Roman" w:eastAsia="Times New Roman" w:hAnsi="Times New Roman" w:cs="Times New Roman"/>
          <w:b/>
          <w:sz w:val="24"/>
          <w:szCs w:val="24"/>
        </w:rPr>
        <w:t>Skepticism</w:t>
      </w:r>
      <w:proofErr w:type="spellEnd"/>
      <w:r>
        <w:rPr>
          <w:rFonts w:ascii="Times New Roman" w:eastAsia="Times New Roman" w:hAnsi="Times New Roman" w:cs="Times New Roman"/>
          <w:b/>
          <w:sz w:val="24"/>
          <w:szCs w:val="24"/>
        </w:rPr>
        <w:t xml:space="preserve"> </w:t>
      </w:r>
    </w:p>
    <w:p w14:paraId="4CCEBF77" w14:textId="77777777" w:rsidR="00487CB5" w:rsidRDefault="00487CB5">
      <w:pPr>
        <w:rPr>
          <w:rFonts w:ascii="Times New Roman" w:eastAsia="Times New Roman" w:hAnsi="Times New Roman" w:cs="Times New Roman"/>
        </w:rPr>
      </w:pPr>
    </w:p>
    <w:p w14:paraId="329412AC" w14:textId="77777777" w:rsidR="00487CB5" w:rsidRDefault="002B62DD">
      <w:pPr>
        <w:rPr>
          <w:rFonts w:ascii="Times New Roman" w:eastAsia="Times New Roman" w:hAnsi="Times New Roman" w:cs="Times New Roman"/>
        </w:rPr>
      </w:pPr>
      <w:proofErr w:type="spellStart"/>
      <w:r>
        <w:rPr>
          <w:rFonts w:ascii="Times New Roman" w:eastAsia="Times New Roman" w:hAnsi="Times New Roman" w:cs="Times New Roman"/>
        </w:rPr>
        <w:t>Foreh</w:t>
      </w:r>
      <w:proofErr w:type="spellEnd"/>
      <w:r>
        <w:rPr>
          <w:rFonts w:ascii="Times New Roman" w:eastAsia="Times New Roman" w:hAnsi="Times New Roman" w:cs="Times New Roman"/>
        </w:rPr>
        <w:t xml:space="preserve"> &amp; Grier, used the definition of the term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is that it refers to an individual's inclination to doubt, disbelieve, or question someone or something.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is a topic studied across different fields of subjects such as psychology, sociology, politics, and philosophy. </w:t>
      </w:r>
    </w:p>
    <w:p w14:paraId="759D0D2C" w14:textId="77777777" w:rsidR="00487CB5" w:rsidRDefault="00487CB5">
      <w:pPr>
        <w:rPr>
          <w:rFonts w:ascii="Times New Roman" w:eastAsia="Times New Roman" w:hAnsi="Times New Roman" w:cs="Times New Roman"/>
        </w:rPr>
      </w:pPr>
    </w:p>
    <w:p w14:paraId="250F562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According to Obermiller, consumer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refers to the degree to which consumers doubt or question the authenticity of marketing claims, especially those related to environmental and ethical issues. This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is crucial in the context of greenwashing, where companies may falsely portray their products or practices as environmentally friendly. As confirmed by Goh and Balaji in </w:t>
      </w:r>
      <w:proofErr w:type="gramStart"/>
      <w:r>
        <w:rPr>
          <w:rFonts w:ascii="Times New Roman" w:eastAsia="Times New Roman" w:hAnsi="Times New Roman" w:cs="Times New Roman"/>
        </w:rPr>
        <w:t>2016,  greenwashing</w:t>
      </w:r>
      <w:proofErr w:type="gramEnd"/>
      <w:r>
        <w:rPr>
          <w:rFonts w:ascii="Times New Roman" w:eastAsia="Times New Roman" w:hAnsi="Times New Roman" w:cs="Times New Roman"/>
        </w:rPr>
        <w:t xml:space="preserve"> leads to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which directly impacts the green purchase decision of the consumers. Therefore,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in this context is the tendency of consumers to disbelieve advertising information and distrust the advertiser’s intentions. </w:t>
      </w:r>
    </w:p>
    <w:p w14:paraId="586827A6" w14:textId="77777777" w:rsidR="00487CB5" w:rsidRDefault="00487CB5">
      <w:pPr>
        <w:rPr>
          <w:rFonts w:ascii="Times New Roman" w:eastAsia="Times New Roman" w:hAnsi="Times New Roman" w:cs="Times New Roman"/>
        </w:rPr>
      </w:pPr>
    </w:p>
    <w:p w14:paraId="2EC5E838"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Consumers'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increases when green claims lack credibility or transparency. According to Aji and </w:t>
      </w:r>
      <w:proofErr w:type="spellStart"/>
      <w:r>
        <w:rPr>
          <w:rFonts w:ascii="Times New Roman" w:eastAsia="Times New Roman" w:hAnsi="Times New Roman" w:cs="Times New Roman"/>
        </w:rPr>
        <w:t>Sutikno</w:t>
      </w:r>
      <w:proofErr w:type="spellEnd"/>
      <w:r>
        <w:rPr>
          <w:rFonts w:ascii="Times New Roman" w:eastAsia="Times New Roman" w:hAnsi="Times New Roman" w:cs="Times New Roman"/>
        </w:rPr>
        <w:t xml:space="preserve"> (2015), when companies make environmental claims without providing evidence or clear explanations, it diminishes consumer trust and encourages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They noted </w:t>
      </w:r>
      <w:proofErr w:type="gramStart"/>
      <w:r>
        <w:rPr>
          <w:rFonts w:ascii="Times New Roman" w:eastAsia="Times New Roman" w:hAnsi="Times New Roman" w:cs="Times New Roman"/>
        </w:rPr>
        <w:t xml:space="preserve">that  </w:t>
      </w:r>
      <w:proofErr w:type="spellStart"/>
      <w:r>
        <w:rPr>
          <w:rFonts w:ascii="Times New Roman" w:eastAsia="Times New Roman" w:hAnsi="Times New Roman" w:cs="Times New Roman"/>
        </w:rPr>
        <w:t>Skepticism</w:t>
      </w:r>
      <w:proofErr w:type="spellEnd"/>
      <w:proofErr w:type="gramEnd"/>
      <w:r>
        <w:rPr>
          <w:rFonts w:ascii="Times New Roman" w:eastAsia="Times New Roman" w:hAnsi="Times New Roman" w:cs="Times New Roman"/>
        </w:rPr>
        <w:t xml:space="preserve"> also arises from what has been termed "green talk"—exaggerated or unsubstantiated environmental claims. When companies overstate their environmental achievements without any verifiable evidence, it only fuels consumer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The use of vague language like "eco-friendly" or "green" without accompanying proof leads to a negative perception among consumers, who begin to question the sincerity of companies' green intentions.</w:t>
      </w:r>
    </w:p>
    <w:p w14:paraId="796A68CF" w14:textId="77777777" w:rsidR="00487CB5" w:rsidRDefault="00487CB5">
      <w:pPr>
        <w:rPr>
          <w:rFonts w:ascii="Times New Roman" w:eastAsia="Times New Roman" w:hAnsi="Times New Roman" w:cs="Times New Roman"/>
        </w:rPr>
      </w:pPr>
    </w:p>
    <w:p w14:paraId="0243BD7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According to Romani, </w:t>
      </w:r>
      <w:proofErr w:type="spellStart"/>
      <w:r>
        <w:rPr>
          <w:rFonts w:ascii="Times New Roman" w:eastAsia="Times New Roman" w:hAnsi="Times New Roman" w:cs="Times New Roman"/>
        </w:rPr>
        <w:t>Grappi</w:t>
      </w:r>
      <w:proofErr w:type="spellEnd"/>
      <w:r>
        <w:rPr>
          <w:rFonts w:ascii="Times New Roman" w:eastAsia="Times New Roman" w:hAnsi="Times New Roman" w:cs="Times New Roman"/>
        </w:rPr>
        <w:t xml:space="preserve">, &amp; Bagozzi, there are two possible types of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situational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also known as state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in which, people's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fluctuates depending on the source and message variables; and dispositional/trait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in which people have doubts about business, marketing, advertising, and organizational communication. </w:t>
      </w:r>
    </w:p>
    <w:p w14:paraId="7BC775C8" w14:textId="77777777" w:rsidR="00487CB5" w:rsidRDefault="00487CB5">
      <w:pPr>
        <w:rPr>
          <w:rFonts w:ascii="Times New Roman" w:eastAsia="Times New Roman" w:hAnsi="Times New Roman" w:cs="Times New Roman"/>
        </w:rPr>
      </w:pPr>
    </w:p>
    <w:p w14:paraId="2DFE82C7"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Situational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relies on the circumstances and is not influenced by an individual's traits. It occurs in circumstances where people might have doubts in trusting certain green claims. Situational factors like time constraints, accessibility, and perceived social norms can further fuel this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leading individuals to revert to more familiar, mainstream products despite their environmental concerns. This hesitation to fully embrace green consumption can be exacerbated by greenwashing tactics, where companies make misleading or unsubstantiated environmental claims to attract eco-conscious consumers. Consumers who display dispositional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may be more likely to scrutinize the sustainability and eco-friendly credentials of products rather than simply trust manufacturers' marketing claims. This is because they are ‘predisposed’ to questioning the authenticity. Dispositional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occurs among consumers who have a tendency to be critical </w:t>
      </w:r>
      <w:r>
        <w:rPr>
          <w:rFonts w:ascii="Times New Roman" w:eastAsia="Times New Roman" w:hAnsi="Times New Roman" w:cs="Times New Roman"/>
        </w:rPr>
        <w:lastRenderedPageBreak/>
        <w:t xml:space="preserve">and analytical of everything they come across. They may carefully research and evaluate the actual environmental impact and production processes behind "green" goods, looking for objective evidence to support any environmental benefits. Dispositional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in green consumption can also manifest as a general distrust of corporate motives, doubting whether companies are genuinely committed to sustainability or are merely using it as a marketing ploy. </w:t>
      </w:r>
    </w:p>
    <w:p w14:paraId="17EBE649" w14:textId="77777777" w:rsidR="00487CB5" w:rsidRDefault="00487CB5">
      <w:pPr>
        <w:rPr>
          <w:rFonts w:ascii="Times New Roman" w:eastAsia="Times New Roman" w:hAnsi="Times New Roman" w:cs="Times New Roman"/>
        </w:rPr>
      </w:pPr>
    </w:p>
    <w:p w14:paraId="4FEE37C4"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Chaabane &amp; </w:t>
      </w:r>
      <w:proofErr w:type="spellStart"/>
      <w:r>
        <w:rPr>
          <w:rFonts w:ascii="Times New Roman" w:eastAsia="Times New Roman" w:hAnsi="Times New Roman" w:cs="Times New Roman"/>
        </w:rPr>
        <w:t>Parguel</w:t>
      </w:r>
      <w:proofErr w:type="spellEnd"/>
      <w:r>
        <w:rPr>
          <w:rFonts w:ascii="Times New Roman" w:eastAsia="Times New Roman" w:hAnsi="Times New Roman" w:cs="Times New Roman"/>
        </w:rPr>
        <w:t xml:space="preserve"> emphasize that high levels of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can dampen attitudes toward the message, the organization, and purchase intention, as well as reduce positive feelings. While this outcome was a case of situational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studies offer empirical evidence for similar outcomes with dispositional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w:t>
      </w:r>
    </w:p>
    <w:p w14:paraId="00DE2B5B" w14:textId="77777777" w:rsidR="00487CB5" w:rsidRDefault="00487CB5">
      <w:pPr>
        <w:rPr>
          <w:rFonts w:ascii="Times New Roman" w:eastAsia="Times New Roman" w:hAnsi="Times New Roman" w:cs="Times New Roman"/>
        </w:rPr>
      </w:pPr>
    </w:p>
    <w:p w14:paraId="6631EAAB"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Ottman </w:t>
      </w:r>
      <w:proofErr w:type="gramStart"/>
      <w:r>
        <w:rPr>
          <w:rFonts w:ascii="Times New Roman" w:eastAsia="Times New Roman" w:hAnsi="Times New Roman" w:cs="Times New Roman"/>
        </w:rPr>
        <w:t>et al..</w:t>
      </w:r>
      <w:proofErr w:type="gramEnd"/>
      <w:r>
        <w:rPr>
          <w:rFonts w:ascii="Times New Roman" w:eastAsia="Times New Roman" w:hAnsi="Times New Roman" w:cs="Times New Roman"/>
        </w:rPr>
        <w:t xml:space="preserve"> (2006) emphasized that companies should communicate their environmental practices to gain consumer confidence. Moreover, when the information presented is vague or misleading, consumers are likely to perceive the claims as manipulative, significantly increasing their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w:t>
      </w:r>
    </w:p>
    <w:p w14:paraId="24048D32" w14:textId="77777777" w:rsidR="00487CB5" w:rsidRDefault="00487CB5">
      <w:pPr>
        <w:rPr>
          <w:rFonts w:ascii="Times New Roman" w:eastAsia="Times New Roman" w:hAnsi="Times New Roman" w:cs="Times New Roman"/>
        </w:rPr>
      </w:pPr>
    </w:p>
    <w:p w14:paraId="5DA98BC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Third-party certifications play a critical role in alleviating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According to Zinkhan and Carlson (1995), certifications like Energy Star or Fair Trade provide consumers with an objective measure of a product's environmental credentials, helping them overcome doubts about the legitimacy of green claims. </w:t>
      </w:r>
    </w:p>
    <w:p w14:paraId="4C636E16" w14:textId="77777777" w:rsidR="00487CB5" w:rsidRDefault="00487CB5">
      <w:pPr>
        <w:rPr>
          <w:rFonts w:ascii="Times New Roman" w:eastAsia="Times New Roman" w:hAnsi="Times New Roman" w:cs="Times New Roman"/>
        </w:rPr>
      </w:pPr>
    </w:p>
    <w:p w14:paraId="1D832F51"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A study conducted by Khandelwal, Sharma &amp; Jain (2019) confirmed that the level of awareness of customers is low by testing how greenwashing affects customers’ perception. In Context to this study, the attitude towards quality </w:t>
      </w:r>
      <w:proofErr w:type="spellStart"/>
      <w:r>
        <w:rPr>
          <w:rFonts w:ascii="Times New Roman" w:eastAsia="Times New Roman" w:hAnsi="Times New Roman" w:cs="Times New Roman"/>
        </w:rPr>
        <w:t>labeling</w:t>
      </w:r>
      <w:proofErr w:type="spellEnd"/>
      <w:r>
        <w:rPr>
          <w:rFonts w:ascii="Times New Roman" w:eastAsia="Times New Roman" w:hAnsi="Times New Roman" w:cs="Times New Roman"/>
        </w:rPr>
        <w:t xml:space="preserve"> and the perceived value were assumed to decline when customers are getting informed about greenwashing. The awareness has been considered to influence customers' beliefs and norms, consequently affecting customers’ purchase decision, in particular, on the tested constructs of the attitude towards quality label and their perceived value. It became clear that the explanation of the phenomenon had a consequential effect on participants’ responses. Overall, this indicates a decline in customers' decisions to purchase quality-</w:t>
      </w:r>
      <w:proofErr w:type="spellStart"/>
      <w:r>
        <w:rPr>
          <w:rFonts w:ascii="Times New Roman" w:eastAsia="Times New Roman" w:hAnsi="Times New Roman" w:cs="Times New Roman"/>
        </w:rPr>
        <w:t>labeled</w:t>
      </w:r>
      <w:proofErr w:type="spellEnd"/>
      <w:r>
        <w:rPr>
          <w:rFonts w:ascii="Times New Roman" w:eastAsia="Times New Roman" w:hAnsi="Times New Roman" w:cs="Times New Roman"/>
        </w:rPr>
        <w:t xml:space="preserve"> products. This outcome is further supported by the respondents' preference for either </w:t>
      </w:r>
      <w:proofErr w:type="spellStart"/>
      <w:r>
        <w:rPr>
          <w:rFonts w:ascii="Times New Roman" w:eastAsia="Times New Roman" w:hAnsi="Times New Roman" w:cs="Times New Roman"/>
        </w:rPr>
        <w:t>labeled</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unlabeled</w:t>
      </w:r>
      <w:proofErr w:type="spellEnd"/>
      <w:r>
        <w:rPr>
          <w:rFonts w:ascii="Times New Roman" w:eastAsia="Times New Roman" w:hAnsi="Times New Roman" w:cs="Times New Roman"/>
        </w:rPr>
        <w:t xml:space="preserve"> packaging. The number of respondents choosing the </w:t>
      </w:r>
      <w:proofErr w:type="spellStart"/>
      <w:r>
        <w:rPr>
          <w:rFonts w:ascii="Times New Roman" w:eastAsia="Times New Roman" w:hAnsi="Times New Roman" w:cs="Times New Roman"/>
        </w:rPr>
        <w:t>unlabeled</w:t>
      </w:r>
      <w:proofErr w:type="spellEnd"/>
      <w:r>
        <w:rPr>
          <w:rFonts w:ascii="Times New Roman" w:eastAsia="Times New Roman" w:hAnsi="Times New Roman" w:cs="Times New Roman"/>
        </w:rPr>
        <w:t xml:space="preserve"> product increased, while the choice for the </w:t>
      </w:r>
      <w:proofErr w:type="spellStart"/>
      <w:r>
        <w:rPr>
          <w:rFonts w:ascii="Times New Roman" w:eastAsia="Times New Roman" w:hAnsi="Times New Roman" w:cs="Times New Roman"/>
        </w:rPr>
        <w:t>labeled</w:t>
      </w:r>
      <w:proofErr w:type="spellEnd"/>
      <w:r>
        <w:rPr>
          <w:rFonts w:ascii="Times New Roman" w:eastAsia="Times New Roman" w:hAnsi="Times New Roman" w:cs="Times New Roman"/>
        </w:rPr>
        <w:t xml:space="preserve"> product decreased. </w:t>
      </w:r>
    </w:p>
    <w:p w14:paraId="4CBAEA6D" w14:textId="77777777" w:rsidR="00487CB5" w:rsidRDefault="00487CB5">
      <w:pPr>
        <w:rPr>
          <w:rFonts w:ascii="Times New Roman" w:eastAsia="Times New Roman" w:hAnsi="Times New Roman" w:cs="Times New Roman"/>
          <w:b/>
        </w:rPr>
      </w:pPr>
    </w:p>
    <w:p w14:paraId="39C033AF"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Theoretical Framework</w:t>
      </w:r>
    </w:p>
    <w:p w14:paraId="1D8BA37B" w14:textId="77777777" w:rsidR="00487CB5" w:rsidRDefault="00487CB5">
      <w:pPr>
        <w:rPr>
          <w:rFonts w:ascii="Times New Roman" w:eastAsia="Times New Roman" w:hAnsi="Times New Roman" w:cs="Times New Roman"/>
          <w:b/>
        </w:rPr>
      </w:pPr>
    </w:p>
    <w:p w14:paraId="110B7689"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This research seeks to unravel the complexities of green purchase behaviour by exploring the interplay between personal norms, green purchase intention, consumer buying processes, and post-purchase outcomes. Personal norms act as the moral compass driving intention, which serves as the bridge between values and action. Four situational elements or activators namely,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awareness of need, (ii) situational accountability, (iii) efficacy, and (iv) ability as well as two activators of personality traits i.e.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awareness of consequences and (ii) denial of accountability—combine to form the framework of norm activation. (Harland et al., 2007) This combined set of traits makes up behaviour, which in this case is the intention to purchase green products or GPI. This study aims to examine a consumer’s process of purchasing, and this step is necessary as it determines whether an individual is willing to purchase green products; the Purchase Intention, without which the process wouldn't exist. The consumer buying process encompasses alternative evaluation, decision-making, and reflection on outcomes. The framework is inspired by the Engel Blackwell Miniard model. This model includes the five phases a buyer goes through before making a purchase </w:t>
      </w:r>
      <w:proofErr w:type="gramStart"/>
      <w:r>
        <w:rPr>
          <w:rFonts w:ascii="Times New Roman" w:eastAsia="Times New Roman" w:hAnsi="Times New Roman" w:cs="Times New Roman"/>
        </w:rPr>
        <w:t>being  (</w:t>
      </w:r>
      <w:proofErr w:type="gramEnd"/>
      <w:r>
        <w:rPr>
          <w:rFonts w:ascii="Times New Roman" w:eastAsia="Times New Roman" w:hAnsi="Times New Roman" w:cs="Times New Roman"/>
        </w:rPr>
        <w:t xml:space="preserve">I) Need Recognition, (II) Information Search, (III) Evaluation of Alternatives, (IV) Purchase and (V) Post </w:t>
      </w:r>
      <w:r>
        <w:rPr>
          <w:rFonts w:ascii="Times New Roman" w:eastAsia="Times New Roman" w:hAnsi="Times New Roman" w:cs="Times New Roman"/>
        </w:rPr>
        <w:lastRenderedPageBreak/>
        <w:t xml:space="preserve">Purchase (Engel et al., 1995). The framework for this study includes Personal Norms and GPI as pre-purchasing steps as they work to build the intent of a consumer to purchase green products, leading to the eventual purchasing behaviour, refer diagram 1. The crux of this model, which is the purchase, the outcome (consumer satisfaction or dissatisfaction), and the evaluation of alternatives, are one of the focal points of this study. The outcome is either satisfaction or dissatisfaction that further governs the behaviour of the consumer. If the consumer is satisfied with their product the cycle ends there, but if the purchase leads to dissatisfaction, the cycle further goes onto the next phase of the process, which is consumer scepticism and alternative evaluation of a product. A study conducted by Mishra (2018), served as the basis for evaluation criteria of various </w:t>
      </w:r>
      <w:proofErr w:type="spellStart"/>
      <w:proofErr w:type="gramStart"/>
      <w:r>
        <w:rPr>
          <w:rFonts w:ascii="Times New Roman" w:eastAsia="Times New Roman" w:hAnsi="Times New Roman" w:cs="Times New Roman"/>
        </w:rPr>
        <w:t>consumers.Post</w:t>
      </w:r>
      <w:proofErr w:type="spellEnd"/>
      <w:proofErr w:type="gramEnd"/>
      <w:r>
        <w:rPr>
          <w:rFonts w:ascii="Times New Roman" w:eastAsia="Times New Roman" w:hAnsi="Times New Roman" w:cs="Times New Roman"/>
        </w:rPr>
        <w:t xml:space="preserve">-purchase outcomes, </w:t>
      </w:r>
      <w:proofErr w:type="spellStart"/>
      <w:r>
        <w:rPr>
          <w:rFonts w:ascii="Times New Roman" w:eastAsia="Times New Roman" w:hAnsi="Times New Roman" w:cs="Times New Roman"/>
        </w:rPr>
        <w:t>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or satisfaction, significantly influence whether consumers persist in their green consumption journey or retreat to conventional choices. Scepticism, often </w:t>
      </w:r>
      <w:proofErr w:type="spellStart"/>
      <w:r>
        <w:rPr>
          <w:rFonts w:ascii="Times New Roman" w:eastAsia="Times New Roman" w:hAnsi="Times New Roman" w:cs="Times New Roman"/>
        </w:rPr>
        <w:t>fueled</w:t>
      </w:r>
      <w:proofErr w:type="spellEnd"/>
      <w:r>
        <w:rPr>
          <w:rFonts w:ascii="Times New Roman" w:eastAsia="Times New Roman" w:hAnsi="Times New Roman" w:cs="Times New Roman"/>
        </w:rPr>
        <w:t xml:space="preserve"> by greenwashing or perceived inauthenticity, challenges the credibility of green claims, while satisfaction reinforces trust and encourages repeat purchases. This study is focused on a vital aspect of greenwashing and it further examines how consumers navigate obstacles like inconvenience and misinformation and whether they remain steadfast in their pursuit of sustainable products. By </w:t>
      </w:r>
      <w:proofErr w:type="spellStart"/>
      <w:r>
        <w:rPr>
          <w:rFonts w:ascii="Times New Roman" w:eastAsia="Times New Roman" w:hAnsi="Times New Roman" w:cs="Times New Roman"/>
        </w:rPr>
        <w:t>analyzing</w:t>
      </w:r>
      <w:proofErr w:type="spellEnd"/>
      <w:r>
        <w:rPr>
          <w:rFonts w:ascii="Times New Roman" w:eastAsia="Times New Roman" w:hAnsi="Times New Roman" w:cs="Times New Roman"/>
        </w:rPr>
        <w:t xml:space="preserve"> these dynamics, the research aims to provide actionable insights into fostering sustained green consumption and mitigating barriers such as scepticism or dissatisfaction. </w:t>
      </w:r>
    </w:p>
    <w:p w14:paraId="21B5AF0C" w14:textId="1222105B" w:rsidR="00DB7FD8" w:rsidRDefault="00DB7FD8" w:rsidP="00DB7FD8">
      <w:pPr>
        <w:rPr>
          <w:rFonts w:ascii="Times New Roman" w:eastAsia="Times New Roman" w:hAnsi="Times New Roman" w:cs="Times New Roman"/>
          <w:b/>
          <w:sz w:val="24"/>
          <w:szCs w:val="24"/>
        </w:rPr>
      </w:pPr>
      <w:r>
        <w:rPr>
          <w:rFonts w:ascii="Times New Roman" w:eastAsia="Times New Roman" w:hAnsi="Times New Roman" w:cs="Times New Roman"/>
        </w:rPr>
        <w:t xml:space="preserve">Diagram </w:t>
      </w: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w:t>
      </w:r>
      <w:r>
        <w:rPr>
          <w:rFonts w:ascii="Times New Roman" w:eastAsia="Times New Roman" w:hAnsi="Times New Roman" w:cs="Times New Roman"/>
          <w:b/>
          <w:sz w:val="24"/>
          <w:szCs w:val="24"/>
        </w:rPr>
        <w:t>Theoretical Framework</w:t>
      </w:r>
    </w:p>
    <w:p w14:paraId="1B677774" w14:textId="52092052" w:rsidR="00DB7FD8" w:rsidRDefault="00DB7FD8">
      <w:pPr>
        <w:rPr>
          <w:rFonts w:ascii="Times New Roman" w:eastAsia="Times New Roman" w:hAnsi="Times New Roman" w:cs="Times New Roman"/>
        </w:rPr>
      </w:pPr>
    </w:p>
    <w:p w14:paraId="7FCF18DE" w14:textId="77777777" w:rsidR="00487CB5" w:rsidRDefault="002B62DD">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C1232C4" wp14:editId="671C2E47">
            <wp:extent cx="5925312" cy="2055571"/>
            <wp:effectExtent l="0" t="0" r="0" b="190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7"/>
                    <a:srcRect l="7308" t="19786" r="9014" b="28653"/>
                    <a:stretch>
                      <a:fillRect/>
                    </a:stretch>
                  </pic:blipFill>
                  <pic:spPr bwMode="auto">
                    <a:xfrm>
                      <a:off x="0" y="0"/>
                      <a:ext cx="5926253" cy="2055897"/>
                    </a:xfrm>
                    <a:prstGeom prst="rect">
                      <a:avLst/>
                    </a:prstGeom>
                    <a:ln>
                      <a:noFill/>
                    </a:ln>
                    <a:extLst>
                      <a:ext uri="{53640926-AAD7-44D8-BBD7-CCE9431645EC}">
                        <a14:shadowObscured xmlns:a14="http://schemas.microsoft.com/office/drawing/2010/main"/>
                      </a:ext>
                    </a:extLst>
                  </pic:spPr>
                </pic:pic>
              </a:graphicData>
            </a:graphic>
          </wp:inline>
        </w:drawing>
      </w:r>
    </w:p>
    <w:p w14:paraId="46F9F835" w14:textId="77777777" w:rsidR="00487CB5" w:rsidRDefault="00487CB5">
      <w:pPr>
        <w:rPr>
          <w:rFonts w:ascii="Times New Roman" w:eastAsia="Times New Roman" w:hAnsi="Times New Roman" w:cs="Times New Roman"/>
        </w:rPr>
      </w:pPr>
    </w:p>
    <w:p w14:paraId="7EB3D0F5"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6"/>
          <w:szCs w:val="26"/>
        </w:rPr>
        <w:t>Methodology:</w:t>
      </w:r>
    </w:p>
    <w:p w14:paraId="536440B0"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Hypotheses</w:t>
      </w:r>
    </w:p>
    <w:p w14:paraId="4812792D" w14:textId="77777777" w:rsidR="00487CB5" w:rsidRDefault="00487CB5">
      <w:pPr>
        <w:rPr>
          <w:rFonts w:ascii="Times New Roman" w:eastAsia="Times New Roman" w:hAnsi="Times New Roman" w:cs="Times New Roman"/>
          <w:b/>
          <w:sz w:val="24"/>
          <w:szCs w:val="24"/>
        </w:rPr>
      </w:pPr>
    </w:p>
    <w:p w14:paraId="07BF9A01"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Correlation:</w:t>
      </w:r>
    </w:p>
    <w:p w14:paraId="5C83C5FE" w14:textId="77777777" w:rsidR="00487CB5" w:rsidRDefault="00487CB5">
      <w:pPr>
        <w:rPr>
          <w:rFonts w:ascii="Times New Roman" w:eastAsia="Times New Roman" w:hAnsi="Times New Roman" w:cs="Times New Roman"/>
        </w:rPr>
      </w:pPr>
    </w:p>
    <w:p w14:paraId="464F92DD" w14:textId="77777777" w:rsidR="00487CB5" w:rsidRDefault="002B62DD">
      <w:pPr>
        <w:numPr>
          <w:ilvl w:val="0"/>
          <w:numId w:val="1"/>
        </w:numPr>
        <w:rPr>
          <w:rFonts w:ascii="Times New Roman" w:eastAsia="Times New Roman" w:hAnsi="Times New Roman" w:cs="Times New Roman"/>
        </w:rPr>
      </w:pPr>
      <w:r>
        <w:rPr>
          <w:rFonts w:ascii="Times New Roman" w:eastAsia="Times New Roman" w:hAnsi="Times New Roman" w:cs="Times New Roman"/>
        </w:rPr>
        <w:t>There is no significant correlation between (a.) personal norms and (b.) consumer’s intention of buying green products. (H 1)</w:t>
      </w:r>
    </w:p>
    <w:p w14:paraId="75C21035" w14:textId="77777777" w:rsidR="00487CB5" w:rsidRDefault="002B62DD">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There is no significant correlation between the intention of buying green products and the outcome (satisfaction or dissatisfaction) of the purchase. (H 2) </w:t>
      </w:r>
    </w:p>
    <w:p w14:paraId="30F4BEFC" w14:textId="77777777" w:rsidR="00487CB5" w:rsidRDefault="002B62DD">
      <w:pPr>
        <w:numPr>
          <w:ilvl w:val="0"/>
          <w:numId w:val="1"/>
        </w:numPr>
        <w:rPr>
          <w:rFonts w:ascii="Times New Roman" w:eastAsia="Times New Roman" w:hAnsi="Times New Roman" w:cs="Times New Roman"/>
        </w:rPr>
      </w:pPr>
      <w:r>
        <w:rPr>
          <w:rFonts w:ascii="Times New Roman" w:eastAsia="Times New Roman" w:hAnsi="Times New Roman" w:cs="Times New Roman"/>
        </w:rPr>
        <w:t>There is no significant correlation between consumer satisfaction and the alternative evaluation of green products. (H 3)</w:t>
      </w:r>
    </w:p>
    <w:p w14:paraId="384F9B98" w14:textId="77777777" w:rsidR="00487CB5" w:rsidRDefault="002B62DD">
      <w:pPr>
        <w:numPr>
          <w:ilvl w:val="0"/>
          <w:numId w:val="1"/>
        </w:numPr>
        <w:rPr>
          <w:rFonts w:ascii="Times New Roman" w:eastAsia="Times New Roman" w:hAnsi="Times New Roman" w:cs="Times New Roman"/>
        </w:rPr>
      </w:pPr>
      <w:r>
        <w:rPr>
          <w:rFonts w:ascii="Times New Roman" w:eastAsia="Times New Roman" w:hAnsi="Times New Roman" w:cs="Times New Roman"/>
        </w:rPr>
        <w:t>There is no significant correlation between the outcome of the purchase of green products and consumer scepticism of green products. (H 4)</w:t>
      </w:r>
    </w:p>
    <w:p w14:paraId="6110EC16" w14:textId="77777777" w:rsidR="00487CB5" w:rsidRDefault="002B62DD">
      <w:pPr>
        <w:numPr>
          <w:ilvl w:val="0"/>
          <w:numId w:val="1"/>
        </w:numPr>
        <w:rPr>
          <w:rFonts w:ascii="Times New Roman" w:eastAsia="Times New Roman" w:hAnsi="Times New Roman" w:cs="Times New Roman"/>
        </w:rPr>
      </w:pPr>
      <w:r>
        <w:rPr>
          <w:rFonts w:ascii="Times New Roman" w:eastAsia="Times New Roman" w:hAnsi="Times New Roman" w:cs="Times New Roman"/>
        </w:rPr>
        <w:t>There is no significant correlation between the evaluation of alternatives and consumer scepticism of green products. (H 5)</w:t>
      </w:r>
    </w:p>
    <w:p w14:paraId="613DE7F9" w14:textId="77777777" w:rsidR="00487CB5" w:rsidRDefault="00487CB5">
      <w:pPr>
        <w:rPr>
          <w:rFonts w:ascii="Times New Roman" w:eastAsia="Times New Roman" w:hAnsi="Times New Roman" w:cs="Times New Roman"/>
        </w:rPr>
      </w:pPr>
    </w:p>
    <w:p w14:paraId="1EF92F73"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Social Demographics with Personal Norms:</w:t>
      </w:r>
    </w:p>
    <w:p w14:paraId="589E0925" w14:textId="77777777" w:rsidR="00487CB5" w:rsidRDefault="00487CB5">
      <w:pPr>
        <w:rPr>
          <w:rFonts w:ascii="Times New Roman" w:eastAsia="Times New Roman" w:hAnsi="Times New Roman" w:cs="Times New Roman"/>
        </w:rPr>
      </w:pPr>
    </w:p>
    <w:p w14:paraId="41D1BD63" w14:textId="77777777" w:rsidR="00487CB5" w:rsidRDefault="002B62DD">
      <w:pPr>
        <w:numPr>
          <w:ilvl w:val="0"/>
          <w:numId w:val="6"/>
        </w:numPr>
        <w:rPr>
          <w:rFonts w:ascii="Times New Roman" w:eastAsia="Times New Roman" w:hAnsi="Times New Roman" w:cs="Times New Roman"/>
        </w:rPr>
      </w:pPr>
      <w:r>
        <w:rPr>
          <w:rFonts w:ascii="Times New Roman" w:eastAsia="Times New Roman" w:hAnsi="Times New Roman" w:cs="Times New Roman"/>
        </w:rPr>
        <w:t>There will not be a significant difference in “Personal Norms” between “Genders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H 6.1)</w:t>
      </w:r>
    </w:p>
    <w:p w14:paraId="265B5CDA" w14:textId="77777777" w:rsidR="00487CB5" w:rsidRDefault="002B62DD">
      <w:pPr>
        <w:numPr>
          <w:ilvl w:val="0"/>
          <w:numId w:val="6"/>
        </w:numPr>
        <w:rPr>
          <w:rFonts w:ascii="Times New Roman" w:eastAsia="Times New Roman" w:hAnsi="Times New Roman" w:cs="Times New Roman"/>
        </w:rPr>
      </w:pPr>
      <w:r>
        <w:rPr>
          <w:rFonts w:ascii="Times New Roman" w:eastAsia="Times New Roman" w:hAnsi="Times New Roman" w:cs="Times New Roman"/>
        </w:rPr>
        <w:t>There will not be a significant difference in “Personal Norms” between “Area of Residence”. (H 6.2)</w:t>
      </w:r>
    </w:p>
    <w:p w14:paraId="1A05E187" w14:textId="77777777" w:rsidR="00487CB5" w:rsidRDefault="002B62DD">
      <w:pPr>
        <w:numPr>
          <w:ilvl w:val="0"/>
          <w:numId w:val="6"/>
        </w:numPr>
        <w:rPr>
          <w:rFonts w:ascii="Times New Roman" w:eastAsia="Times New Roman" w:hAnsi="Times New Roman" w:cs="Times New Roman"/>
        </w:rPr>
      </w:pPr>
      <w:r>
        <w:rPr>
          <w:rFonts w:ascii="Times New Roman" w:eastAsia="Times New Roman" w:hAnsi="Times New Roman" w:cs="Times New Roman"/>
        </w:rPr>
        <w:t>There will not be a significant difference in “Personal Norms” between “Family Income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H 6.3)</w:t>
      </w:r>
    </w:p>
    <w:p w14:paraId="6EA9B2B6" w14:textId="77777777" w:rsidR="00487CB5" w:rsidRDefault="00487CB5">
      <w:pPr>
        <w:ind w:left="720"/>
        <w:rPr>
          <w:rFonts w:ascii="Times New Roman" w:eastAsia="Times New Roman" w:hAnsi="Times New Roman" w:cs="Times New Roman"/>
        </w:rPr>
      </w:pPr>
    </w:p>
    <w:p w14:paraId="7F39D292"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Demographics with Alternative Evaluation:</w:t>
      </w:r>
    </w:p>
    <w:p w14:paraId="68501EF3" w14:textId="77777777" w:rsidR="00487CB5" w:rsidRDefault="00487CB5">
      <w:pPr>
        <w:rPr>
          <w:rFonts w:ascii="Times New Roman" w:eastAsia="Times New Roman" w:hAnsi="Times New Roman" w:cs="Times New Roman"/>
          <w:b/>
          <w:sz w:val="24"/>
          <w:szCs w:val="24"/>
        </w:rPr>
      </w:pPr>
    </w:p>
    <w:p w14:paraId="64C0507A" w14:textId="77777777" w:rsidR="00487CB5" w:rsidRDefault="002B62DD">
      <w:pPr>
        <w:numPr>
          <w:ilvl w:val="0"/>
          <w:numId w:val="5"/>
        </w:numPr>
        <w:rPr>
          <w:rFonts w:ascii="Times New Roman" w:eastAsia="Times New Roman" w:hAnsi="Times New Roman" w:cs="Times New Roman"/>
        </w:rPr>
      </w:pPr>
      <w:r>
        <w:rPr>
          <w:rFonts w:ascii="Times New Roman" w:eastAsia="Times New Roman" w:hAnsi="Times New Roman" w:cs="Times New Roman"/>
        </w:rPr>
        <w:t>There will not be a significant difference in “Alternative Evaluation” between “Genders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H 7.1)</w:t>
      </w:r>
    </w:p>
    <w:p w14:paraId="40DC505B" w14:textId="77777777" w:rsidR="00487CB5" w:rsidRDefault="002B62DD">
      <w:pPr>
        <w:numPr>
          <w:ilvl w:val="0"/>
          <w:numId w:val="5"/>
        </w:numPr>
        <w:rPr>
          <w:rFonts w:ascii="Times New Roman" w:eastAsia="Times New Roman" w:hAnsi="Times New Roman" w:cs="Times New Roman"/>
        </w:rPr>
      </w:pPr>
      <w:r>
        <w:rPr>
          <w:rFonts w:ascii="Times New Roman" w:eastAsia="Times New Roman" w:hAnsi="Times New Roman" w:cs="Times New Roman"/>
        </w:rPr>
        <w:t>There will not be a significant difference in “Alternative Evaluation” between “Area of Residence”. (H 7.2)</w:t>
      </w:r>
    </w:p>
    <w:p w14:paraId="5F038C72" w14:textId="77777777" w:rsidR="00487CB5" w:rsidRDefault="002B62DD">
      <w:pPr>
        <w:numPr>
          <w:ilvl w:val="0"/>
          <w:numId w:val="5"/>
        </w:numPr>
        <w:rPr>
          <w:rFonts w:ascii="Times New Roman" w:eastAsia="Times New Roman" w:hAnsi="Times New Roman" w:cs="Times New Roman"/>
        </w:rPr>
      </w:pPr>
      <w:r>
        <w:rPr>
          <w:rFonts w:ascii="Times New Roman" w:eastAsia="Times New Roman" w:hAnsi="Times New Roman" w:cs="Times New Roman"/>
        </w:rPr>
        <w:t>There will not be a significant difference in “Alternative Evaluation” between “Family Income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H 7.3)</w:t>
      </w:r>
    </w:p>
    <w:p w14:paraId="262FE601" w14:textId="77777777" w:rsidR="00487CB5" w:rsidRDefault="00487CB5">
      <w:pPr>
        <w:rPr>
          <w:rFonts w:ascii="Times New Roman" w:eastAsia="Times New Roman" w:hAnsi="Times New Roman" w:cs="Times New Roman"/>
        </w:rPr>
      </w:pPr>
    </w:p>
    <w:p w14:paraId="1697801E" w14:textId="77777777" w:rsidR="00487CB5" w:rsidRDefault="00487CB5">
      <w:pPr>
        <w:rPr>
          <w:rFonts w:ascii="Times New Roman" w:eastAsia="Times New Roman" w:hAnsi="Times New Roman" w:cs="Times New Roman"/>
          <w:b/>
          <w:sz w:val="24"/>
          <w:szCs w:val="24"/>
        </w:rPr>
      </w:pPr>
    </w:p>
    <w:p w14:paraId="4D1ACAE0"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Social Demographics with Consumer Scepticism:</w:t>
      </w:r>
    </w:p>
    <w:p w14:paraId="17E5D443" w14:textId="77777777" w:rsidR="00487CB5" w:rsidRDefault="00487CB5">
      <w:pPr>
        <w:rPr>
          <w:rFonts w:ascii="Times New Roman" w:eastAsia="Times New Roman" w:hAnsi="Times New Roman" w:cs="Times New Roman"/>
        </w:rPr>
      </w:pPr>
    </w:p>
    <w:p w14:paraId="670CBC7E" w14:textId="77777777" w:rsidR="00487CB5" w:rsidRDefault="002B62DD">
      <w:pPr>
        <w:numPr>
          <w:ilvl w:val="0"/>
          <w:numId w:val="4"/>
        </w:numPr>
        <w:rPr>
          <w:rFonts w:ascii="Times New Roman" w:eastAsia="Times New Roman" w:hAnsi="Times New Roman" w:cs="Times New Roman"/>
        </w:rPr>
      </w:pPr>
      <w:r>
        <w:rPr>
          <w:rFonts w:ascii="Times New Roman" w:eastAsia="Times New Roman" w:hAnsi="Times New Roman" w:cs="Times New Roman"/>
        </w:rPr>
        <w:t>There will not be a significant difference in “Consumer Scepticism” between “Genders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H 8.1)</w:t>
      </w:r>
    </w:p>
    <w:p w14:paraId="6EA829C7" w14:textId="77777777" w:rsidR="00487CB5" w:rsidRDefault="002B62DD">
      <w:pPr>
        <w:numPr>
          <w:ilvl w:val="0"/>
          <w:numId w:val="4"/>
        </w:numPr>
        <w:rPr>
          <w:rFonts w:ascii="Times New Roman" w:eastAsia="Times New Roman" w:hAnsi="Times New Roman" w:cs="Times New Roman"/>
        </w:rPr>
      </w:pPr>
      <w:r>
        <w:rPr>
          <w:rFonts w:ascii="Times New Roman" w:eastAsia="Times New Roman" w:hAnsi="Times New Roman" w:cs="Times New Roman"/>
        </w:rPr>
        <w:t>There will not be a significant difference in “Consumer Scepticism” between “Area of Residence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H 8.2)</w:t>
      </w:r>
    </w:p>
    <w:p w14:paraId="4457A8BC" w14:textId="77777777" w:rsidR="00487CB5" w:rsidRDefault="002B62DD">
      <w:pPr>
        <w:numPr>
          <w:ilvl w:val="0"/>
          <w:numId w:val="4"/>
        </w:numPr>
        <w:rPr>
          <w:rFonts w:ascii="Times New Roman" w:eastAsia="Times New Roman" w:hAnsi="Times New Roman" w:cs="Times New Roman"/>
        </w:rPr>
      </w:pPr>
      <w:r>
        <w:rPr>
          <w:rFonts w:ascii="Times New Roman" w:eastAsia="Times New Roman" w:hAnsi="Times New Roman" w:cs="Times New Roman"/>
        </w:rPr>
        <w:t>There will not be a significant difference in “Consumer Scepticism” between “Family Income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H 8.3)</w:t>
      </w:r>
    </w:p>
    <w:p w14:paraId="71F10E6F" w14:textId="77777777" w:rsidR="00487CB5" w:rsidRDefault="00487CB5">
      <w:pPr>
        <w:rPr>
          <w:rFonts w:ascii="Times New Roman" w:eastAsia="Times New Roman" w:hAnsi="Times New Roman" w:cs="Times New Roman"/>
        </w:rPr>
      </w:pPr>
    </w:p>
    <w:p w14:paraId="47C3A5DF"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Mediation</w:t>
      </w:r>
    </w:p>
    <w:p w14:paraId="37BF2511" w14:textId="77777777" w:rsidR="00487CB5" w:rsidRDefault="00487CB5">
      <w:pPr>
        <w:rPr>
          <w:rFonts w:ascii="Times New Roman" w:eastAsia="Times New Roman" w:hAnsi="Times New Roman" w:cs="Times New Roman"/>
        </w:rPr>
      </w:pPr>
    </w:p>
    <w:p w14:paraId="3AFDDAD6" w14:textId="77777777" w:rsidR="00487CB5" w:rsidRDefault="002B62DD">
      <w:pPr>
        <w:numPr>
          <w:ilvl w:val="0"/>
          <w:numId w:val="2"/>
        </w:numPr>
        <w:rPr>
          <w:rFonts w:ascii="Times New Roman" w:eastAsia="Times New Roman" w:hAnsi="Times New Roman" w:cs="Times New Roman"/>
        </w:rPr>
      </w:pPr>
      <w:r>
        <w:rPr>
          <w:rFonts w:ascii="Times New Roman" w:eastAsia="Times New Roman" w:hAnsi="Times New Roman" w:cs="Times New Roman"/>
        </w:rPr>
        <w:t>The relationship between</w:t>
      </w:r>
      <w:r>
        <w:rPr>
          <w:rFonts w:ascii="Times New Roman" w:eastAsia="Times New Roman" w:hAnsi="Times New Roman" w:cs="Times New Roman"/>
          <w:b/>
        </w:rPr>
        <w:t xml:space="preserve"> Personal norms</w:t>
      </w:r>
      <w:r>
        <w:rPr>
          <w:rFonts w:ascii="Times New Roman" w:eastAsia="Times New Roman" w:hAnsi="Times New Roman" w:cs="Times New Roman"/>
        </w:rPr>
        <w:t xml:space="preserve"> and </w:t>
      </w:r>
      <w:r>
        <w:rPr>
          <w:rFonts w:ascii="Times New Roman" w:eastAsia="Times New Roman" w:hAnsi="Times New Roman" w:cs="Times New Roman"/>
          <w:b/>
        </w:rPr>
        <w:t>Green purchase</w:t>
      </w:r>
      <w:r>
        <w:rPr>
          <w:rFonts w:ascii="Times New Roman" w:eastAsia="Times New Roman" w:hAnsi="Times New Roman" w:cs="Times New Roman"/>
        </w:rPr>
        <w:t xml:space="preserve"> is not mediated by (not accounted for by) </w:t>
      </w:r>
      <w:r>
        <w:rPr>
          <w:rFonts w:ascii="Times New Roman" w:eastAsia="Times New Roman" w:hAnsi="Times New Roman" w:cs="Times New Roman"/>
          <w:b/>
        </w:rPr>
        <w:t>Green purchase intention</w:t>
      </w:r>
      <w:r>
        <w:rPr>
          <w:rFonts w:ascii="Times New Roman" w:eastAsia="Times New Roman" w:hAnsi="Times New Roman" w:cs="Times New Roman"/>
        </w:rPr>
        <w:t>. (H 9.1) (A-B-C)</w:t>
      </w:r>
    </w:p>
    <w:p w14:paraId="37C11F88" w14:textId="77777777" w:rsidR="00487CB5" w:rsidRDefault="002B62DD">
      <w:pPr>
        <w:numPr>
          <w:ilvl w:val="0"/>
          <w:numId w:val="2"/>
        </w:numPr>
        <w:rPr>
          <w:rFonts w:ascii="Times New Roman" w:eastAsia="Times New Roman" w:hAnsi="Times New Roman" w:cs="Times New Roman"/>
        </w:rPr>
      </w:pPr>
      <w:r>
        <w:rPr>
          <w:rFonts w:ascii="Times New Roman" w:eastAsia="Times New Roman" w:hAnsi="Times New Roman" w:cs="Times New Roman"/>
        </w:rPr>
        <w:t>The relationship between</w:t>
      </w:r>
      <w:r>
        <w:rPr>
          <w:rFonts w:ascii="Times New Roman" w:eastAsia="Times New Roman" w:hAnsi="Times New Roman" w:cs="Times New Roman"/>
          <w:b/>
        </w:rPr>
        <w:t xml:space="preserve"> Alternative Evaluation</w:t>
      </w:r>
      <w:r>
        <w:rPr>
          <w:rFonts w:ascii="Times New Roman" w:eastAsia="Times New Roman" w:hAnsi="Times New Roman" w:cs="Times New Roman"/>
        </w:rPr>
        <w:t xml:space="preserve"> and </w:t>
      </w:r>
      <w:r>
        <w:rPr>
          <w:rFonts w:ascii="Times New Roman" w:eastAsia="Times New Roman" w:hAnsi="Times New Roman" w:cs="Times New Roman"/>
          <w:b/>
        </w:rPr>
        <w:t>outcome (purchase Satisfaction)</w:t>
      </w:r>
      <w:r>
        <w:rPr>
          <w:rFonts w:ascii="Times New Roman" w:eastAsia="Times New Roman" w:hAnsi="Times New Roman" w:cs="Times New Roman"/>
        </w:rPr>
        <w:t xml:space="preserve"> is not mediated by (not accounted for by) </w:t>
      </w:r>
      <w:r>
        <w:rPr>
          <w:rFonts w:ascii="Times New Roman" w:eastAsia="Times New Roman" w:hAnsi="Times New Roman" w:cs="Times New Roman"/>
          <w:b/>
        </w:rPr>
        <w:t xml:space="preserve">Consumer </w:t>
      </w:r>
      <w:proofErr w:type="spellStart"/>
      <w:r>
        <w:rPr>
          <w:rFonts w:ascii="Times New Roman" w:eastAsia="Times New Roman" w:hAnsi="Times New Roman" w:cs="Times New Roman"/>
          <w:b/>
        </w:rPr>
        <w:t>Skepticism</w:t>
      </w:r>
      <w:proofErr w:type="spellEnd"/>
      <w:r>
        <w:rPr>
          <w:rFonts w:ascii="Times New Roman" w:eastAsia="Times New Roman" w:hAnsi="Times New Roman" w:cs="Times New Roman"/>
        </w:rPr>
        <w:t>. (H 9.2) (E-G-D)</w:t>
      </w:r>
    </w:p>
    <w:p w14:paraId="06E36B71" w14:textId="77777777" w:rsidR="00487CB5" w:rsidRDefault="002B62DD">
      <w:pPr>
        <w:numPr>
          <w:ilvl w:val="0"/>
          <w:numId w:val="2"/>
        </w:numPr>
        <w:rPr>
          <w:rFonts w:ascii="Times New Roman" w:eastAsia="Times New Roman" w:hAnsi="Times New Roman" w:cs="Times New Roman"/>
        </w:rPr>
      </w:pPr>
      <w:r>
        <w:rPr>
          <w:rFonts w:ascii="Times New Roman" w:eastAsia="Times New Roman" w:hAnsi="Times New Roman" w:cs="Times New Roman"/>
        </w:rPr>
        <w:t>The relationship between</w:t>
      </w:r>
      <w:r>
        <w:rPr>
          <w:rFonts w:ascii="Times New Roman" w:eastAsia="Times New Roman" w:hAnsi="Times New Roman" w:cs="Times New Roman"/>
          <w:b/>
        </w:rPr>
        <w:t xml:space="preserve"> Alternative Evaluation</w:t>
      </w:r>
      <w:r>
        <w:rPr>
          <w:rFonts w:ascii="Times New Roman" w:eastAsia="Times New Roman" w:hAnsi="Times New Roman" w:cs="Times New Roman"/>
        </w:rPr>
        <w:t xml:space="preserve"> and </w:t>
      </w:r>
      <w:r>
        <w:rPr>
          <w:rFonts w:ascii="Times New Roman" w:eastAsia="Times New Roman" w:hAnsi="Times New Roman" w:cs="Times New Roman"/>
          <w:b/>
        </w:rPr>
        <w:t>Green Purchase</w:t>
      </w:r>
      <w:r>
        <w:rPr>
          <w:rFonts w:ascii="Times New Roman" w:eastAsia="Times New Roman" w:hAnsi="Times New Roman" w:cs="Times New Roman"/>
        </w:rPr>
        <w:t xml:space="preserve"> is not mediated by (not accounted for by) </w:t>
      </w:r>
      <w:r>
        <w:rPr>
          <w:rFonts w:ascii="Times New Roman" w:eastAsia="Times New Roman" w:hAnsi="Times New Roman" w:cs="Times New Roman"/>
          <w:b/>
        </w:rPr>
        <w:t>consumer scepticism</w:t>
      </w:r>
      <w:r>
        <w:rPr>
          <w:rFonts w:ascii="Times New Roman" w:eastAsia="Times New Roman" w:hAnsi="Times New Roman" w:cs="Times New Roman"/>
        </w:rPr>
        <w:t>. (H 9.3) (E-G-C)</w:t>
      </w:r>
    </w:p>
    <w:p w14:paraId="5D9D8905" w14:textId="77777777" w:rsidR="00487CB5" w:rsidRDefault="00487CB5">
      <w:pPr>
        <w:rPr>
          <w:rFonts w:ascii="Times New Roman" w:eastAsia="Times New Roman" w:hAnsi="Times New Roman" w:cs="Times New Roman"/>
        </w:rPr>
      </w:pPr>
    </w:p>
    <w:p w14:paraId="7F9E5CC7"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 Measuring Scales:</w:t>
      </w:r>
    </w:p>
    <w:p w14:paraId="795A47EF" w14:textId="77777777" w:rsidR="00487CB5" w:rsidRDefault="00487CB5">
      <w:pPr>
        <w:rPr>
          <w:rFonts w:ascii="Times New Roman" w:eastAsia="Times New Roman" w:hAnsi="Times New Roman" w:cs="Times New Roman"/>
        </w:rPr>
      </w:pPr>
    </w:p>
    <w:p w14:paraId="17868F97"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The scales and measures used for the constructs were adapted from:</w:t>
      </w:r>
    </w:p>
    <w:p w14:paraId="203F5FC3"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(Chandra,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 consisting of 4 items for</w:t>
      </w:r>
      <w:r>
        <w:rPr>
          <w:rFonts w:ascii="Times New Roman" w:eastAsia="Times New Roman" w:hAnsi="Times New Roman" w:cs="Times New Roman"/>
          <w:b/>
        </w:rPr>
        <w:t xml:space="preserve"> Personal Norms</w:t>
      </w:r>
      <w:r>
        <w:rPr>
          <w:rFonts w:ascii="Times New Roman" w:eastAsia="Times New Roman" w:hAnsi="Times New Roman" w:cs="Times New Roman"/>
        </w:rPr>
        <w:t xml:space="preserve">. </w:t>
      </w:r>
    </w:p>
    <w:p w14:paraId="3A496F64"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(Li et al., 2021) consisting of 7 items for </w:t>
      </w:r>
      <w:r>
        <w:rPr>
          <w:rFonts w:ascii="Times New Roman" w:eastAsia="Times New Roman" w:hAnsi="Times New Roman" w:cs="Times New Roman"/>
          <w:b/>
        </w:rPr>
        <w:t>Green Purchase Intention</w:t>
      </w:r>
      <w:r>
        <w:rPr>
          <w:rFonts w:ascii="Times New Roman" w:eastAsia="Times New Roman" w:hAnsi="Times New Roman" w:cs="Times New Roman"/>
        </w:rPr>
        <w:t xml:space="preserve">. </w:t>
      </w:r>
    </w:p>
    <w:p w14:paraId="2E4327F8"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(Gupta, 2022) consisting of 2 items for </w:t>
      </w:r>
      <w:r>
        <w:rPr>
          <w:rFonts w:ascii="Times New Roman" w:eastAsia="Times New Roman" w:hAnsi="Times New Roman" w:cs="Times New Roman"/>
          <w:b/>
        </w:rPr>
        <w:t>Purchase</w:t>
      </w:r>
      <w:r>
        <w:rPr>
          <w:rFonts w:ascii="Times New Roman" w:eastAsia="Times New Roman" w:hAnsi="Times New Roman" w:cs="Times New Roman"/>
        </w:rPr>
        <w:t>.</w:t>
      </w:r>
    </w:p>
    <w:p w14:paraId="61612A5C"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(Braga et al., 2019) consisting of 6 items for </w:t>
      </w:r>
      <w:r>
        <w:rPr>
          <w:rFonts w:ascii="Times New Roman" w:eastAsia="Times New Roman" w:hAnsi="Times New Roman" w:cs="Times New Roman"/>
          <w:b/>
        </w:rPr>
        <w:t>Satisfaction</w:t>
      </w:r>
      <w:r>
        <w:rPr>
          <w:rFonts w:ascii="Times New Roman" w:eastAsia="Times New Roman" w:hAnsi="Times New Roman" w:cs="Times New Roman"/>
        </w:rPr>
        <w:t>.</w:t>
      </w:r>
    </w:p>
    <w:p w14:paraId="67A3006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(Mishra, 2018) consisting of 4 items for </w:t>
      </w:r>
      <w:r>
        <w:rPr>
          <w:rFonts w:ascii="Times New Roman" w:eastAsia="Times New Roman" w:hAnsi="Times New Roman" w:cs="Times New Roman"/>
          <w:b/>
        </w:rPr>
        <w:t>Alternative Evaluation</w:t>
      </w:r>
      <w:r>
        <w:rPr>
          <w:rFonts w:ascii="Times New Roman" w:eastAsia="Times New Roman" w:hAnsi="Times New Roman" w:cs="Times New Roman"/>
        </w:rPr>
        <w:t xml:space="preserve"> (questions derived from the stated criteria).</w:t>
      </w:r>
    </w:p>
    <w:p w14:paraId="73529E31"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(Li et al., 2021) consisting of 5 items for </w:t>
      </w:r>
      <w:r>
        <w:rPr>
          <w:rFonts w:ascii="Times New Roman" w:eastAsia="Times New Roman" w:hAnsi="Times New Roman" w:cs="Times New Roman"/>
          <w:b/>
        </w:rPr>
        <w:t>Greenwashing</w:t>
      </w:r>
      <w:r>
        <w:rPr>
          <w:rFonts w:ascii="Times New Roman" w:eastAsia="Times New Roman" w:hAnsi="Times New Roman" w:cs="Times New Roman"/>
        </w:rPr>
        <w:t>.</w:t>
      </w:r>
    </w:p>
    <w:p w14:paraId="438BC1E6"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(Braga et al., 2019) consisting of 6 items for </w:t>
      </w:r>
      <w:r>
        <w:rPr>
          <w:rFonts w:ascii="Times New Roman" w:eastAsia="Times New Roman" w:hAnsi="Times New Roman" w:cs="Times New Roman"/>
          <w:b/>
        </w:rPr>
        <w:t>Consumer Scepticism</w:t>
      </w:r>
      <w:r>
        <w:rPr>
          <w:rFonts w:ascii="Times New Roman" w:eastAsia="Times New Roman" w:hAnsi="Times New Roman" w:cs="Times New Roman"/>
        </w:rPr>
        <w:t>.</w:t>
      </w:r>
    </w:p>
    <w:p w14:paraId="639A7762" w14:textId="77777777" w:rsidR="00487CB5" w:rsidRDefault="00487CB5">
      <w:pPr>
        <w:rPr>
          <w:rFonts w:ascii="Times New Roman" w:eastAsia="Times New Roman" w:hAnsi="Times New Roman" w:cs="Times New Roman"/>
        </w:rPr>
      </w:pPr>
    </w:p>
    <w:p w14:paraId="37E2DAD8"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All the adapted scales used a five-point Likert scale. The Likert scale ranges from 1 to 5, where 1 represents strongly disagree and 5 represents strongly agree. A pilot study involving 25 participants was carried out to evaluate the internal consistency of the scales. A metric called Cronbach's alpha was employed to evaluate internal consistency. The analysis's findings are presented below in Table 1.</w:t>
      </w:r>
    </w:p>
    <w:p w14:paraId="14F26E0F" w14:textId="77777777" w:rsidR="00487CB5" w:rsidRDefault="00487CB5">
      <w:pPr>
        <w:rPr>
          <w:rFonts w:ascii="Times New Roman" w:eastAsia="Times New Roman" w:hAnsi="Times New Roman" w:cs="Times New Roman"/>
        </w:rPr>
      </w:pPr>
    </w:p>
    <w:p w14:paraId="26580670" w14:textId="77777777" w:rsidR="00487CB5" w:rsidRDefault="00487CB5">
      <w:pPr>
        <w:jc w:val="center"/>
        <w:rPr>
          <w:rFonts w:ascii="Times New Roman" w:eastAsia="Times New Roman" w:hAnsi="Times New Roman" w:cs="Times New Roman"/>
          <w:b/>
        </w:rPr>
      </w:pPr>
    </w:p>
    <w:p w14:paraId="52B6033B" w14:textId="77777777" w:rsidR="00B16A5C" w:rsidRDefault="002B62DD" w:rsidP="00B16A5C">
      <w:pPr>
        <w:jc w:val="center"/>
        <w:rPr>
          <w:rFonts w:ascii="Times New Roman" w:eastAsia="Times New Roman" w:hAnsi="Times New Roman" w:cs="Times New Roman"/>
          <w:b/>
          <w:sz w:val="24"/>
          <w:szCs w:val="24"/>
        </w:rPr>
      </w:pPr>
      <w:r>
        <w:rPr>
          <w:rFonts w:ascii="Times New Roman" w:eastAsia="Times New Roman" w:hAnsi="Times New Roman" w:cs="Times New Roman"/>
          <w:b/>
        </w:rPr>
        <w:t>Table: 1</w:t>
      </w:r>
      <w:r w:rsidR="00B16A5C">
        <w:rPr>
          <w:rFonts w:ascii="Times New Roman" w:eastAsia="Times New Roman" w:hAnsi="Times New Roman" w:cs="Times New Roman"/>
          <w:b/>
        </w:rPr>
        <w:t xml:space="preserve">: </w:t>
      </w:r>
      <w:r w:rsidR="00B16A5C">
        <w:rPr>
          <w:rFonts w:ascii="Times New Roman" w:eastAsia="Times New Roman" w:hAnsi="Times New Roman" w:cs="Times New Roman"/>
          <w:b/>
          <w:sz w:val="24"/>
          <w:szCs w:val="24"/>
        </w:rPr>
        <w:t>Cronbach’s Alpha Value of a Pilot with 25 Subjects</w:t>
      </w:r>
    </w:p>
    <w:p w14:paraId="19FBB149" w14:textId="2BA6BD7C" w:rsidR="00487CB5" w:rsidRDefault="00487CB5">
      <w:pPr>
        <w:rPr>
          <w:rFonts w:ascii="Times New Roman" w:eastAsia="Times New Roman" w:hAnsi="Times New Roman" w:cs="Times New Roman"/>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4755"/>
        <w:gridCol w:w="3000"/>
      </w:tblGrid>
      <w:tr w:rsidR="00487CB5" w14:paraId="58310D0A" w14:textId="77777777">
        <w:tc>
          <w:tcPr>
            <w:tcW w:w="1245" w:type="dxa"/>
            <w:shd w:val="clear" w:color="auto" w:fill="auto"/>
            <w:tcMar>
              <w:top w:w="100" w:type="dxa"/>
              <w:left w:w="100" w:type="dxa"/>
              <w:bottom w:w="100" w:type="dxa"/>
              <w:right w:w="100" w:type="dxa"/>
            </w:tcMar>
          </w:tcPr>
          <w:p w14:paraId="67CCF2A4" w14:textId="77777777" w:rsidR="00487CB5" w:rsidRDefault="002B62DD">
            <w:pPr>
              <w:widowControl w:val="0"/>
              <w:rPr>
                <w:rFonts w:ascii="Times New Roman" w:eastAsia="Times New Roman" w:hAnsi="Times New Roman" w:cs="Times New Roman"/>
                <w:b/>
              </w:rPr>
            </w:pPr>
            <w:proofErr w:type="spellStart"/>
            <w:proofErr w:type="gramStart"/>
            <w:r>
              <w:rPr>
                <w:rFonts w:ascii="Times New Roman" w:eastAsia="Times New Roman" w:hAnsi="Times New Roman" w:cs="Times New Roman"/>
                <w:b/>
              </w:rPr>
              <w:t>Sr.No</w:t>
            </w:r>
            <w:proofErr w:type="spellEnd"/>
            <w:proofErr w:type="gramEnd"/>
            <w:r>
              <w:rPr>
                <w:rFonts w:ascii="Times New Roman" w:eastAsia="Times New Roman" w:hAnsi="Times New Roman" w:cs="Times New Roman"/>
                <w:b/>
              </w:rPr>
              <w:t xml:space="preserve"> </w:t>
            </w:r>
          </w:p>
        </w:tc>
        <w:tc>
          <w:tcPr>
            <w:tcW w:w="4755" w:type="dxa"/>
            <w:shd w:val="clear" w:color="auto" w:fill="auto"/>
            <w:tcMar>
              <w:top w:w="100" w:type="dxa"/>
              <w:left w:w="100" w:type="dxa"/>
              <w:bottom w:w="100" w:type="dxa"/>
              <w:right w:w="100" w:type="dxa"/>
            </w:tcMar>
          </w:tcPr>
          <w:p w14:paraId="3C857577"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shd w:val="clear" w:color="auto" w:fill="auto"/>
            <w:tcMar>
              <w:top w:w="100" w:type="dxa"/>
              <w:left w:w="100" w:type="dxa"/>
              <w:bottom w:w="100" w:type="dxa"/>
              <w:right w:w="100" w:type="dxa"/>
            </w:tcMar>
          </w:tcPr>
          <w:p w14:paraId="66F821AE"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65F77FA1" w14:textId="77777777">
        <w:tc>
          <w:tcPr>
            <w:tcW w:w="1245" w:type="dxa"/>
            <w:shd w:val="clear" w:color="auto" w:fill="auto"/>
            <w:tcMar>
              <w:top w:w="100" w:type="dxa"/>
              <w:left w:w="100" w:type="dxa"/>
              <w:bottom w:w="100" w:type="dxa"/>
              <w:right w:w="100" w:type="dxa"/>
            </w:tcMar>
          </w:tcPr>
          <w:p w14:paraId="6CCE29FF"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A.</w:t>
            </w:r>
          </w:p>
        </w:tc>
        <w:tc>
          <w:tcPr>
            <w:tcW w:w="4755" w:type="dxa"/>
            <w:shd w:val="clear" w:color="auto" w:fill="auto"/>
            <w:tcMar>
              <w:top w:w="100" w:type="dxa"/>
              <w:left w:w="100" w:type="dxa"/>
              <w:bottom w:w="100" w:type="dxa"/>
              <w:right w:w="100" w:type="dxa"/>
            </w:tcMar>
          </w:tcPr>
          <w:p w14:paraId="3C2E1505"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Personal Norms.</w:t>
            </w:r>
          </w:p>
        </w:tc>
        <w:tc>
          <w:tcPr>
            <w:tcW w:w="3000" w:type="dxa"/>
            <w:shd w:val="clear" w:color="auto" w:fill="auto"/>
            <w:tcMar>
              <w:top w:w="100" w:type="dxa"/>
              <w:left w:w="100" w:type="dxa"/>
              <w:bottom w:w="100" w:type="dxa"/>
              <w:right w:w="100" w:type="dxa"/>
            </w:tcMar>
          </w:tcPr>
          <w:p w14:paraId="4EE9448C"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0.857</w:t>
            </w:r>
          </w:p>
        </w:tc>
      </w:tr>
      <w:tr w:rsidR="00487CB5" w14:paraId="0D452231" w14:textId="77777777">
        <w:tc>
          <w:tcPr>
            <w:tcW w:w="1245" w:type="dxa"/>
            <w:shd w:val="clear" w:color="auto" w:fill="auto"/>
            <w:tcMar>
              <w:top w:w="100" w:type="dxa"/>
              <w:left w:w="100" w:type="dxa"/>
              <w:bottom w:w="100" w:type="dxa"/>
              <w:right w:w="100" w:type="dxa"/>
            </w:tcMar>
          </w:tcPr>
          <w:p w14:paraId="62E83C5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shd w:val="clear" w:color="auto" w:fill="auto"/>
            <w:tcMar>
              <w:top w:w="100" w:type="dxa"/>
              <w:left w:w="100" w:type="dxa"/>
              <w:bottom w:w="100" w:type="dxa"/>
              <w:right w:w="100" w:type="dxa"/>
            </w:tcMar>
          </w:tcPr>
          <w:p w14:paraId="025FFBA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I feel morally obliged to protect the environment.  </w:t>
            </w:r>
          </w:p>
        </w:tc>
        <w:tc>
          <w:tcPr>
            <w:tcW w:w="3000" w:type="dxa"/>
            <w:shd w:val="clear" w:color="auto" w:fill="auto"/>
            <w:tcMar>
              <w:top w:w="100" w:type="dxa"/>
              <w:left w:w="100" w:type="dxa"/>
              <w:bottom w:w="100" w:type="dxa"/>
              <w:right w:w="100" w:type="dxa"/>
            </w:tcMar>
          </w:tcPr>
          <w:p w14:paraId="3745D690" w14:textId="77777777" w:rsidR="00487CB5" w:rsidRDefault="00487CB5">
            <w:pPr>
              <w:widowControl w:val="0"/>
              <w:rPr>
                <w:rFonts w:ascii="Times New Roman" w:eastAsia="Times New Roman" w:hAnsi="Times New Roman" w:cs="Times New Roman"/>
              </w:rPr>
            </w:pPr>
          </w:p>
        </w:tc>
      </w:tr>
      <w:tr w:rsidR="00487CB5" w14:paraId="0DE555B7" w14:textId="77777777">
        <w:tc>
          <w:tcPr>
            <w:tcW w:w="1245" w:type="dxa"/>
            <w:shd w:val="clear" w:color="auto" w:fill="auto"/>
            <w:tcMar>
              <w:top w:w="100" w:type="dxa"/>
              <w:left w:w="100" w:type="dxa"/>
              <w:bottom w:w="100" w:type="dxa"/>
              <w:right w:w="100" w:type="dxa"/>
            </w:tcMar>
          </w:tcPr>
          <w:p w14:paraId="303D6E0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shd w:val="clear" w:color="auto" w:fill="auto"/>
            <w:tcMar>
              <w:top w:w="100" w:type="dxa"/>
              <w:left w:w="100" w:type="dxa"/>
              <w:bottom w:w="100" w:type="dxa"/>
              <w:right w:w="100" w:type="dxa"/>
            </w:tcMar>
          </w:tcPr>
          <w:p w14:paraId="3FB3775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I feel it is important that people in general have concern about the environment.  </w:t>
            </w:r>
          </w:p>
        </w:tc>
        <w:tc>
          <w:tcPr>
            <w:tcW w:w="3000" w:type="dxa"/>
            <w:shd w:val="clear" w:color="auto" w:fill="auto"/>
            <w:tcMar>
              <w:top w:w="100" w:type="dxa"/>
              <w:left w:w="100" w:type="dxa"/>
              <w:bottom w:w="100" w:type="dxa"/>
              <w:right w:w="100" w:type="dxa"/>
            </w:tcMar>
          </w:tcPr>
          <w:p w14:paraId="62F5E1D3" w14:textId="77777777" w:rsidR="00487CB5" w:rsidRDefault="00487CB5">
            <w:pPr>
              <w:widowControl w:val="0"/>
              <w:rPr>
                <w:rFonts w:ascii="Times New Roman" w:eastAsia="Times New Roman" w:hAnsi="Times New Roman" w:cs="Times New Roman"/>
              </w:rPr>
            </w:pPr>
          </w:p>
        </w:tc>
      </w:tr>
      <w:tr w:rsidR="00487CB5" w14:paraId="11E46D3C" w14:textId="77777777">
        <w:tc>
          <w:tcPr>
            <w:tcW w:w="1245" w:type="dxa"/>
            <w:shd w:val="clear" w:color="auto" w:fill="auto"/>
            <w:tcMar>
              <w:top w:w="100" w:type="dxa"/>
              <w:left w:w="100" w:type="dxa"/>
              <w:bottom w:w="100" w:type="dxa"/>
              <w:right w:w="100" w:type="dxa"/>
            </w:tcMar>
          </w:tcPr>
          <w:p w14:paraId="3215FCD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4755" w:type="dxa"/>
            <w:shd w:val="clear" w:color="auto" w:fill="auto"/>
            <w:tcMar>
              <w:top w:w="100" w:type="dxa"/>
              <w:left w:w="100" w:type="dxa"/>
              <w:bottom w:w="100" w:type="dxa"/>
              <w:right w:w="100" w:type="dxa"/>
            </w:tcMar>
          </w:tcPr>
          <w:p w14:paraId="10916FC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Because of my personal norms and values, I feel it’s important to be as environmentally friendly as possible.   </w:t>
            </w:r>
          </w:p>
        </w:tc>
        <w:tc>
          <w:tcPr>
            <w:tcW w:w="3000" w:type="dxa"/>
            <w:shd w:val="clear" w:color="auto" w:fill="auto"/>
            <w:tcMar>
              <w:top w:w="100" w:type="dxa"/>
              <w:left w:w="100" w:type="dxa"/>
              <w:bottom w:w="100" w:type="dxa"/>
              <w:right w:w="100" w:type="dxa"/>
            </w:tcMar>
          </w:tcPr>
          <w:p w14:paraId="367A6E40" w14:textId="77777777" w:rsidR="00487CB5" w:rsidRDefault="00487CB5">
            <w:pPr>
              <w:widowControl w:val="0"/>
              <w:rPr>
                <w:rFonts w:ascii="Times New Roman" w:eastAsia="Times New Roman" w:hAnsi="Times New Roman" w:cs="Times New Roman"/>
              </w:rPr>
            </w:pPr>
          </w:p>
        </w:tc>
      </w:tr>
      <w:tr w:rsidR="00487CB5" w14:paraId="572BCCBC" w14:textId="77777777">
        <w:tc>
          <w:tcPr>
            <w:tcW w:w="1245" w:type="dxa"/>
            <w:shd w:val="clear" w:color="auto" w:fill="auto"/>
            <w:tcMar>
              <w:top w:w="100" w:type="dxa"/>
              <w:left w:w="100" w:type="dxa"/>
              <w:bottom w:w="100" w:type="dxa"/>
              <w:right w:w="100" w:type="dxa"/>
            </w:tcMar>
          </w:tcPr>
          <w:p w14:paraId="033F646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shd w:val="clear" w:color="auto" w:fill="auto"/>
            <w:tcMar>
              <w:top w:w="100" w:type="dxa"/>
              <w:left w:w="100" w:type="dxa"/>
              <w:bottom w:w="100" w:type="dxa"/>
              <w:right w:w="100" w:type="dxa"/>
            </w:tcMar>
          </w:tcPr>
          <w:p w14:paraId="31FC63F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I feel like I should protect the environment even if it is a small act of my own.</w:t>
            </w:r>
          </w:p>
        </w:tc>
        <w:tc>
          <w:tcPr>
            <w:tcW w:w="3000" w:type="dxa"/>
            <w:shd w:val="clear" w:color="auto" w:fill="auto"/>
            <w:tcMar>
              <w:top w:w="100" w:type="dxa"/>
              <w:left w:w="100" w:type="dxa"/>
              <w:bottom w:w="100" w:type="dxa"/>
              <w:right w:w="100" w:type="dxa"/>
            </w:tcMar>
          </w:tcPr>
          <w:p w14:paraId="3A93E7AE" w14:textId="77777777" w:rsidR="00487CB5" w:rsidRDefault="00487CB5">
            <w:pPr>
              <w:widowControl w:val="0"/>
              <w:rPr>
                <w:rFonts w:ascii="Times New Roman" w:eastAsia="Times New Roman" w:hAnsi="Times New Roman" w:cs="Times New Roman"/>
              </w:rPr>
            </w:pPr>
          </w:p>
        </w:tc>
      </w:tr>
      <w:tr w:rsidR="00487CB5" w14:paraId="464DE398" w14:textId="77777777">
        <w:tc>
          <w:tcPr>
            <w:tcW w:w="1245" w:type="dxa"/>
            <w:shd w:val="clear" w:color="auto" w:fill="auto"/>
            <w:tcMar>
              <w:top w:w="100" w:type="dxa"/>
              <w:left w:w="100" w:type="dxa"/>
              <w:bottom w:w="100" w:type="dxa"/>
              <w:right w:w="100" w:type="dxa"/>
            </w:tcMar>
          </w:tcPr>
          <w:p w14:paraId="465A2FEC"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0CED5298"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07864D3D" w14:textId="77777777" w:rsidR="00487CB5" w:rsidRDefault="00487CB5">
            <w:pPr>
              <w:widowControl w:val="0"/>
              <w:rPr>
                <w:rFonts w:ascii="Times New Roman" w:eastAsia="Times New Roman" w:hAnsi="Times New Roman" w:cs="Times New Roman"/>
              </w:rPr>
            </w:pPr>
          </w:p>
        </w:tc>
      </w:tr>
      <w:tr w:rsidR="00487CB5" w14:paraId="0FA21122" w14:textId="77777777">
        <w:tc>
          <w:tcPr>
            <w:tcW w:w="1245" w:type="dxa"/>
            <w:shd w:val="clear" w:color="auto" w:fill="auto"/>
            <w:tcMar>
              <w:top w:w="100" w:type="dxa"/>
              <w:left w:w="100" w:type="dxa"/>
              <w:bottom w:w="100" w:type="dxa"/>
              <w:right w:w="100" w:type="dxa"/>
            </w:tcMar>
          </w:tcPr>
          <w:p w14:paraId="35210E2B" w14:textId="77777777" w:rsidR="00487CB5" w:rsidRDefault="002B62DD">
            <w:pPr>
              <w:widowControl w:val="0"/>
              <w:rPr>
                <w:rFonts w:ascii="Times New Roman" w:eastAsia="Times New Roman" w:hAnsi="Times New Roman" w:cs="Times New Roman"/>
                <w:b/>
              </w:rPr>
            </w:pPr>
            <w:proofErr w:type="spellStart"/>
            <w:proofErr w:type="gramStart"/>
            <w:r>
              <w:rPr>
                <w:rFonts w:ascii="Times New Roman" w:eastAsia="Times New Roman" w:hAnsi="Times New Roman" w:cs="Times New Roman"/>
                <w:b/>
              </w:rPr>
              <w:t>Sr.No</w:t>
            </w:r>
            <w:proofErr w:type="spellEnd"/>
            <w:proofErr w:type="gramEnd"/>
            <w:r>
              <w:rPr>
                <w:rFonts w:ascii="Times New Roman" w:eastAsia="Times New Roman" w:hAnsi="Times New Roman" w:cs="Times New Roman"/>
                <w:b/>
              </w:rPr>
              <w:t xml:space="preserve"> </w:t>
            </w:r>
          </w:p>
        </w:tc>
        <w:tc>
          <w:tcPr>
            <w:tcW w:w="4755" w:type="dxa"/>
            <w:shd w:val="clear" w:color="auto" w:fill="auto"/>
            <w:tcMar>
              <w:top w:w="100" w:type="dxa"/>
              <w:left w:w="100" w:type="dxa"/>
              <w:bottom w:w="100" w:type="dxa"/>
              <w:right w:w="100" w:type="dxa"/>
            </w:tcMar>
          </w:tcPr>
          <w:p w14:paraId="50295A31"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shd w:val="clear" w:color="auto" w:fill="auto"/>
            <w:tcMar>
              <w:top w:w="100" w:type="dxa"/>
              <w:left w:w="100" w:type="dxa"/>
              <w:bottom w:w="100" w:type="dxa"/>
              <w:right w:w="100" w:type="dxa"/>
            </w:tcMar>
          </w:tcPr>
          <w:p w14:paraId="5D75EA15"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267E9DCA" w14:textId="77777777">
        <w:tc>
          <w:tcPr>
            <w:tcW w:w="1245" w:type="dxa"/>
            <w:shd w:val="clear" w:color="auto" w:fill="auto"/>
            <w:tcMar>
              <w:top w:w="100" w:type="dxa"/>
              <w:left w:w="100" w:type="dxa"/>
              <w:bottom w:w="100" w:type="dxa"/>
              <w:right w:w="100" w:type="dxa"/>
            </w:tcMar>
          </w:tcPr>
          <w:p w14:paraId="5777EF3C"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B.</w:t>
            </w:r>
          </w:p>
        </w:tc>
        <w:tc>
          <w:tcPr>
            <w:tcW w:w="4755" w:type="dxa"/>
            <w:shd w:val="clear" w:color="auto" w:fill="auto"/>
            <w:tcMar>
              <w:top w:w="100" w:type="dxa"/>
              <w:left w:w="100" w:type="dxa"/>
              <w:bottom w:w="100" w:type="dxa"/>
              <w:right w:w="100" w:type="dxa"/>
            </w:tcMar>
          </w:tcPr>
          <w:p w14:paraId="2F21BF3E"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Green Purchase Intention.</w:t>
            </w:r>
          </w:p>
        </w:tc>
        <w:tc>
          <w:tcPr>
            <w:tcW w:w="3000" w:type="dxa"/>
            <w:shd w:val="clear" w:color="auto" w:fill="auto"/>
            <w:tcMar>
              <w:top w:w="100" w:type="dxa"/>
              <w:left w:w="100" w:type="dxa"/>
              <w:bottom w:w="100" w:type="dxa"/>
              <w:right w:w="100" w:type="dxa"/>
            </w:tcMar>
          </w:tcPr>
          <w:p w14:paraId="3CB27D53"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0.883</w:t>
            </w:r>
          </w:p>
        </w:tc>
      </w:tr>
      <w:tr w:rsidR="00487CB5" w14:paraId="62BA8CA3" w14:textId="77777777">
        <w:tc>
          <w:tcPr>
            <w:tcW w:w="1245" w:type="dxa"/>
            <w:shd w:val="clear" w:color="auto" w:fill="auto"/>
            <w:tcMar>
              <w:top w:w="100" w:type="dxa"/>
              <w:left w:w="100" w:type="dxa"/>
              <w:bottom w:w="100" w:type="dxa"/>
              <w:right w:w="100" w:type="dxa"/>
            </w:tcMar>
          </w:tcPr>
          <w:p w14:paraId="6278108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shd w:val="clear" w:color="auto" w:fill="auto"/>
            <w:tcMar>
              <w:top w:w="100" w:type="dxa"/>
              <w:left w:w="100" w:type="dxa"/>
              <w:bottom w:w="100" w:type="dxa"/>
              <w:right w:w="100" w:type="dxa"/>
            </w:tcMar>
          </w:tcPr>
          <w:p w14:paraId="331F8D3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You expect to buy environmentally friendly and sustainable products.</w:t>
            </w:r>
          </w:p>
        </w:tc>
        <w:tc>
          <w:tcPr>
            <w:tcW w:w="3000" w:type="dxa"/>
            <w:shd w:val="clear" w:color="auto" w:fill="auto"/>
            <w:tcMar>
              <w:top w:w="100" w:type="dxa"/>
              <w:left w:w="100" w:type="dxa"/>
              <w:bottom w:w="100" w:type="dxa"/>
              <w:right w:w="100" w:type="dxa"/>
            </w:tcMar>
          </w:tcPr>
          <w:p w14:paraId="5C7A812D" w14:textId="77777777" w:rsidR="00487CB5" w:rsidRDefault="00487CB5">
            <w:pPr>
              <w:widowControl w:val="0"/>
              <w:rPr>
                <w:rFonts w:ascii="Times New Roman" w:eastAsia="Times New Roman" w:hAnsi="Times New Roman" w:cs="Times New Roman"/>
              </w:rPr>
            </w:pPr>
          </w:p>
        </w:tc>
      </w:tr>
      <w:tr w:rsidR="00487CB5" w14:paraId="185B9D62" w14:textId="77777777">
        <w:tc>
          <w:tcPr>
            <w:tcW w:w="1245" w:type="dxa"/>
            <w:shd w:val="clear" w:color="auto" w:fill="auto"/>
            <w:tcMar>
              <w:top w:w="100" w:type="dxa"/>
              <w:left w:w="100" w:type="dxa"/>
              <w:bottom w:w="100" w:type="dxa"/>
              <w:right w:w="100" w:type="dxa"/>
            </w:tcMar>
          </w:tcPr>
          <w:p w14:paraId="29B23BA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shd w:val="clear" w:color="auto" w:fill="auto"/>
            <w:tcMar>
              <w:top w:w="100" w:type="dxa"/>
              <w:left w:w="100" w:type="dxa"/>
              <w:bottom w:w="100" w:type="dxa"/>
              <w:right w:w="100" w:type="dxa"/>
            </w:tcMar>
          </w:tcPr>
          <w:p w14:paraId="35A6775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You tend to buy products that are recyclable or that have a clear way to dispose of them at the end of their use.</w:t>
            </w:r>
          </w:p>
        </w:tc>
        <w:tc>
          <w:tcPr>
            <w:tcW w:w="3000" w:type="dxa"/>
            <w:shd w:val="clear" w:color="auto" w:fill="auto"/>
            <w:tcMar>
              <w:top w:w="100" w:type="dxa"/>
              <w:left w:w="100" w:type="dxa"/>
              <w:bottom w:w="100" w:type="dxa"/>
              <w:right w:w="100" w:type="dxa"/>
            </w:tcMar>
          </w:tcPr>
          <w:p w14:paraId="4E3D1501" w14:textId="77777777" w:rsidR="00487CB5" w:rsidRDefault="00487CB5">
            <w:pPr>
              <w:widowControl w:val="0"/>
              <w:rPr>
                <w:rFonts w:ascii="Times New Roman" w:eastAsia="Times New Roman" w:hAnsi="Times New Roman" w:cs="Times New Roman"/>
              </w:rPr>
            </w:pPr>
          </w:p>
        </w:tc>
      </w:tr>
      <w:tr w:rsidR="00487CB5" w14:paraId="2F73EE69" w14:textId="77777777">
        <w:tc>
          <w:tcPr>
            <w:tcW w:w="1245" w:type="dxa"/>
            <w:shd w:val="clear" w:color="auto" w:fill="auto"/>
            <w:tcMar>
              <w:top w:w="100" w:type="dxa"/>
              <w:left w:w="100" w:type="dxa"/>
              <w:bottom w:w="100" w:type="dxa"/>
              <w:right w:w="100" w:type="dxa"/>
            </w:tcMar>
          </w:tcPr>
          <w:p w14:paraId="0DB1802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4755" w:type="dxa"/>
            <w:shd w:val="clear" w:color="auto" w:fill="auto"/>
            <w:tcMar>
              <w:top w:w="100" w:type="dxa"/>
              <w:left w:w="100" w:type="dxa"/>
              <w:bottom w:w="100" w:type="dxa"/>
              <w:right w:w="100" w:type="dxa"/>
            </w:tcMar>
          </w:tcPr>
          <w:p w14:paraId="6D8E6A4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When purchasing a product, you will consider whether the production of the product is harmful to animals and plants.  </w:t>
            </w:r>
          </w:p>
        </w:tc>
        <w:tc>
          <w:tcPr>
            <w:tcW w:w="3000" w:type="dxa"/>
            <w:shd w:val="clear" w:color="auto" w:fill="auto"/>
            <w:tcMar>
              <w:top w:w="100" w:type="dxa"/>
              <w:left w:w="100" w:type="dxa"/>
              <w:bottom w:w="100" w:type="dxa"/>
              <w:right w:w="100" w:type="dxa"/>
            </w:tcMar>
          </w:tcPr>
          <w:p w14:paraId="0B900747" w14:textId="77777777" w:rsidR="00487CB5" w:rsidRDefault="00487CB5">
            <w:pPr>
              <w:widowControl w:val="0"/>
              <w:rPr>
                <w:rFonts w:ascii="Times New Roman" w:eastAsia="Times New Roman" w:hAnsi="Times New Roman" w:cs="Times New Roman"/>
              </w:rPr>
            </w:pPr>
          </w:p>
        </w:tc>
      </w:tr>
      <w:tr w:rsidR="00487CB5" w14:paraId="12E215CF" w14:textId="77777777">
        <w:tc>
          <w:tcPr>
            <w:tcW w:w="1245" w:type="dxa"/>
            <w:shd w:val="clear" w:color="auto" w:fill="auto"/>
            <w:tcMar>
              <w:top w:w="100" w:type="dxa"/>
              <w:left w:w="100" w:type="dxa"/>
              <w:bottom w:w="100" w:type="dxa"/>
              <w:right w:w="100" w:type="dxa"/>
            </w:tcMar>
          </w:tcPr>
          <w:p w14:paraId="0D8DEDC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shd w:val="clear" w:color="auto" w:fill="auto"/>
            <w:tcMar>
              <w:top w:w="100" w:type="dxa"/>
              <w:left w:w="100" w:type="dxa"/>
              <w:bottom w:w="100" w:type="dxa"/>
              <w:right w:w="100" w:type="dxa"/>
            </w:tcMar>
          </w:tcPr>
          <w:p w14:paraId="18E8285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You want to buy products with environmental performance (energy saving and emission reduction), such as energy-saving air conditioning.  </w:t>
            </w:r>
          </w:p>
        </w:tc>
        <w:tc>
          <w:tcPr>
            <w:tcW w:w="3000" w:type="dxa"/>
            <w:shd w:val="clear" w:color="auto" w:fill="auto"/>
            <w:tcMar>
              <w:top w:w="100" w:type="dxa"/>
              <w:left w:w="100" w:type="dxa"/>
              <w:bottom w:w="100" w:type="dxa"/>
              <w:right w:w="100" w:type="dxa"/>
            </w:tcMar>
          </w:tcPr>
          <w:p w14:paraId="1D604FCC" w14:textId="77777777" w:rsidR="00487CB5" w:rsidRDefault="00487CB5">
            <w:pPr>
              <w:widowControl w:val="0"/>
              <w:rPr>
                <w:rFonts w:ascii="Times New Roman" w:eastAsia="Times New Roman" w:hAnsi="Times New Roman" w:cs="Times New Roman"/>
              </w:rPr>
            </w:pPr>
          </w:p>
        </w:tc>
      </w:tr>
      <w:tr w:rsidR="00487CB5" w14:paraId="7C9CB510" w14:textId="77777777">
        <w:tc>
          <w:tcPr>
            <w:tcW w:w="1245" w:type="dxa"/>
            <w:shd w:val="clear" w:color="auto" w:fill="auto"/>
            <w:tcMar>
              <w:top w:w="100" w:type="dxa"/>
              <w:left w:w="100" w:type="dxa"/>
              <w:bottom w:w="100" w:type="dxa"/>
              <w:right w:w="100" w:type="dxa"/>
            </w:tcMar>
          </w:tcPr>
          <w:p w14:paraId="066B71B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5.</w:t>
            </w:r>
          </w:p>
        </w:tc>
        <w:tc>
          <w:tcPr>
            <w:tcW w:w="4755" w:type="dxa"/>
            <w:shd w:val="clear" w:color="auto" w:fill="auto"/>
            <w:tcMar>
              <w:top w:w="100" w:type="dxa"/>
              <w:left w:w="100" w:type="dxa"/>
              <w:bottom w:w="100" w:type="dxa"/>
              <w:right w:w="100" w:type="dxa"/>
            </w:tcMar>
          </w:tcPr>
          <w:p w14:paraId="62F6CA01"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For ecological reasons, you may consider switching to a greener brand.  </w:t>
            </w:r>
          </w:p>
        </w:tc>
        <w:tc>
          <w:tcPr>
            <w:tcW w:w="3000" w:type="dxa"/>
            <w:shd w:val="clear" w:color="auto" w:fill="auto"/>
            <w:tcMar>
              <w:top w:w="100" w:type="dxa"/>
              <w:left w:w="100" w:type="dxa"/>
              <w:bottom w:w="100" w:type="dxa"/>
              <w:right w:w="100" w:type="dxa"/>
            </w:tcMar>
          </w:tcPr>
          <w:p w14:paraId="30B0759C" w14:textId="77777777" w:rsidR="00487CB5" w:rsidRDefault="00487CB5">
            <w:pPr>
              <w:widowControl w:val="0"/>
              <w:rPr>
                <w:rFonts w:ascii="Times New Roman" w:eastAsia="Times New Roman" w:hAnsi="Times New Roman" w:cs="Times New Roman"/>
              </w:rPr>
            </w:pPr>
          </w:p>
        </w:tc>
      </w:tr>
      <w:tr w:rsidR="00487CB5" w14:paraId="2B92BFEA" w14:textId="77777777">
        <w:tc>
          <w:tcPr>
            <w:tcW w:w="1245" w:type="dxa"/>
            <w:shd w:val="clear" w:color="auto" w:fill="auto"/>
            <w:tcMar>
              <w:top w:w="100" w:type="dxa"/>
              <w:left w:w="100" w:type="dxa"/>
              <w:bottom w:w="100" w:type="dxa"/>
              <w:right w:w="100" w:type="dxa"/>
            </w:tcMar>
          </w:tcPr>
          <w:p w14:paraId="22DB2D6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6.</w:t>
            </w:r>
          </w:p>
        </w:tc>
        <w:tc>
          <w:tcPr>
            <w:tcW w:w="4755" w:type="dxa"/>
            <w:shd w:val="clear" w:color="auto" w:fill="auto"/>
            <w:tcMar>
              <w:top w:w="100" w:type="dxa"/>
              <w:left w:w="100" w:type="dxa"/>
              <w:bottom w:w="100" w:type="dxa"/>
              <w:right w:w="100" w:type="dxa"/>
            </w:tcMar>
          </w:tcPr>
          <w:p w14:paraId="4D68EB22"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You plan to switch to a green product (e.g. replace </w:t>
            </w:r>
            <w:r>
              <w:rPr>
                <w:rFonts w:ascii="Times New Roman" w:eastAsia="Times New Roman" w:hAnsi="Times New Roman" w:cs="Times New Roman"/>
                <w:color w:val="202124"/>
              </w:rPr>
              <w:lastRenderedPageBreak/>
              <w:t xml:space="preserve">the lights in your home with energy efficient ones).  </w:t>
            </w:r>
          </w:p>
        </w:tc>
        <w:tc>
          <w:tcPr>
            <w:tcW w:w="3000" w:type="dxa"/>
            <w:shd w:val="clear" w:color="auto" w:fill="auto"/>
            <w:tcMar>
              <w:top w:w="100" w:type="dxa"/>
              <w:left w:w="100" w:type="dxa"/>
              <w:bottom w:w="100" w:type="dxa"/>
              <w:right w:w="100" w:type="dxa"/>
            </w:tcMar>
          </w:tcPr>
          <w:p w14:paraId="4D114BB8" w14:textId="77777777" w:rsidR="00487CB5" w:rsidRDefault="00487CB5">
            <w:pPr>
              <w:widowControl w:val="0"/>
              <w:rPr>
                <w:rFonts w:ascii="Times New Roman" w:eastAsia="Times New Roman" w:hAnsi="Times New Roman" w:cs="Times New Roman"/>
              </w:rPr>
            </w:pPr>
          </w:p>
        </w:tc>
      </w:tr>
      <w:tr w:rsidR="00487CB5" w14:paraId="69290732" w14:textId="77777777">
        <w:tc>
          <w:tcPr>
            <w:tcW w:w="1245" w:type="dxa"/>
            <w:shd w:val="clear" w:color="auto" w:fill="auto"/>
            <w:tcMar>
              <w:top w:w="100" w:type="dxa"/>
              <w:left w:w="100" w:type="dxa"/>
              <w:bottom w:w="100" w:type="dxa"/>
              <w:right w:w="100" w:type="dxa"/>
            </w:tcMar>
          </w:tcPr>
          <w:p w14:paraId="37D9475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7.</w:t>
            </w:r>
          </w:p>
        </w:tc>
        <w:tc>
          <w:tcPr>
            <w:tcW w:w="4755" w:type="dxa"/>
            <w:shd w:val="clear" w:color="auto" w:fill="auto"/>
            <w:tcMar>
              <w:top w:w="100" w:type="dxa"/>
              <w:left w:w="100" w:type="dxa"/>
              <w:bottom w:w="100" w:type="dxa"/>
              <w:right w:w="100" w:type="dxa"/>
            </w:tcMar>
          </w:tcPr>
          <w:p w14:paraId="25923AC2"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In future consumption, you want to increase the purchase/use of green products for yourself.   </w:t>
            </w:r>
          </w:p>
        </w:tc>
        <w:tc>
          <w:tcPr>
            <w:tcW w:w="3000" w:type="dxa"/>
            <w:shd w:val="clear" w:color="auto" w:fill="auto"/>
            <w:tcMar>
              <w:top w:w="100" w:type="dxa"/>
              <w:left w:w="100" w:type="dxa"/>
              <w:bottom w:w="100" w:type="dxa"/>
              <w:right w:w="100" w:type="dxa"/>
            </w:tcMar>
          </w:tcPr>
          <w:p w14:paraId="75E4E4C3" w14:textId="77777777" w:rsidR="00487CB5" w:rsidRDefault="00487CB5">
            <w:pPr>
              <w:widowControl w:val="0"/>
              <w:rPr>
                <w:rFonts w:ascii="Times New Roman" w:eastAsia="Times New Roman" w:hAnsi="Times New Roman" w:cs="Times New Roman"/>
              </w:rPr>
            </w:pPr>
          </w:p>
        </w:tc>
      </w:tr>
      <w:tr w:rsidR="00487CB5" w14:paraId="2C42131A" w14:textId="77777777">
        <w:tc>
          <w:tcPr>
            <w:tcW w:w="1245" w:type="dxa"/>
            <w:shd w:val="clear" w:color="auto" w:fill="auto"/>
            <w:tcMar>
              <w:top w:w="100" w:type="dxa"/>
              <w:left w:w="100" w:type="dxa"/>
              <w:bottom w:w="100" w:type="dxa"/>
              <w:right w:w="100" w:type="dxa"/>
            </w:tcMar>
          </w:tcPr>
          <w:p w14:paraId="6605FAD4"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0E7485EA"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27420EE4" w14:textId="77777777" w:rsidR="00487CB5" w:rsidRDefault="00487CB5">
            <w:pPr>
              <w:widowControl w:val="0"/>
              <w:rPr>
                <w:rFonts w:ascii="Times New Roman" w:eastAsia="Times New Roman" w:hAnsi="Times New Roman" w:cs="Times New Roman"/>
              </w:rPr>
            </w:pPr>
          </w:p>
        </w:tc>
      </w:tr>
      <w:tr w:rsidR="00487CB5" w14:paraId="7071E908" w14:textId="77777777">
        <w:tc>
          <w:tcPr>
            <w:tcW w:w="1245" w:type="dxa"/>
          </w:tcPr>
          <w:p w14:paraId="7DE390DA" w14:textId="77777777" w:rsidR="00487CB5" w:rsidRDefault="002B62DD">
            <w:pPr>
              <w:widowControl w:val="0"/>
              <w:rPr>
                <w:rFonts w:ascii="Times New Roman" w:eastAsia="Times New Roman" w:hAnsi="Times New Roman" w:cs="Times New Roman"/>
                <w:b/>
              </w:rPr>
            </w:pPr>
            <w:proofErr w:type="spellStart"/>
            <w:proofErr w:type="gramStart"/>
            <w:r>
              <w:rPr>
                <w:rFonts w:ascii="Times New Roman" w:eastAsia="Times New Roman" w:hAnsi="Times New Roman" w:cs="Times New Roman"/>
                <w:b/>
              </w:rPr>
              <w:t>Sr.No</w:t>
            </w:r>
            <w:proofErr w:type="spellEnd"/>
            <w:proofErr w:type="gramEnd"/>
            <w:r>
              <w:rPr>
                <w:rFonts w:ascii="Times New Roman" w:eastAsia="Times New Roman" w:hAnsi="Times New Roman" w:cs="Times New Roman"/>
                <w:b/>
              </w:rPr>
              <w:t xml:space="preserve"> </w:t>
            </w:r>
          </w:p>
        </w:tc>
        <w:tc>
          <w:tcPr>
            <w:tcW w:w="4755" w:type="dxa"/>
          </w:tcPr>
          <w:p w14:paraId="1E38F52E"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tcPr>
          <w:p w14:paraId="0A22B477"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56309247" w14:textId="77777777">
        <w:tc>
          <w:tcPr>
            <w:tcW w:w="1245" w:type="dxa"/>
          </w:tcPr>
          <w:p w14:paraId="5D05D3C3"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C.</w:t>
            </w:r>
          </w:p>
        </w:tc>
        <w:tc>
          <w:tcPr>
            <w:tcW w:w="4755" w:type="dxa"/>
          </w:tcPr>
          <w:p w14:paraId="4399C36B"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 xml:space="preserve">The </w:t>
            </w:r>
            <w:proofErr w:type="gramStart"/>
            <w:r>
              <w:rPr>
                <w:rFonts w:ascii="Times New Roman" w:eastAsia="Times New Roman" w:hAnsi="Times New Roman" w:cs="Times New Roman"/>
                <w:b/>
                <w:color w:val="202124"/>
                <w:highlight w:val="white"/>
              </w:rPr>
              <w:t>Decision Making</w:t>
            </w:r>
            <w:proofErr w:type="gramEnd"/>
            <w:r>
              <w:rPr>
                <w:rFonts w:ascii="Times New Roman" w:eastAsia="Times New Roman" w:hAnsi="Times New Roman" w:cs="Times New Roman"/>
                <w:b/>
                <w:color w:val="202124"/>
                <w:highlight w:val="white"/>
              </w:rPr>
              <w:t xml:space="preserve"> Process: Green Choice (Purchase).</w:t>
            </w:r>
          </w:p>
        </w:tc>
        <w:tc>
          <w:tcPr>
            <w:tcW w:w="3000" w:type="dxa"/>
          </w:tcPr>
          <w:p w14:paraId="7CEAC911"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0.72</w:t>
            </w:r>
          </w:p>
        </w:tc>
      </w:tr>
      <w:tr w:rsidR="00487CB5" w14:paraId="4FEF6E85" w14:textId="77777777">
        <w:tc>
          <w:tcPr>
            <w:tcW w:w="1245" w:type="dxa"/>
          </w:tcPr>
          <w:p w14:paraId="2068866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tcPr>
          <w:p w14:paraId="64FA259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You use green products because they are the best choice for you.</w:t>
            </w:r>
          </w:p>
        </w:tc>
        <w:tc>
          <w:tcPr>
            <w:tcW w:w="3000" w:type="dxa"/>
          </w:tcPr>
          <w:p w14:paraId="6B8106D1" w14:textId="77777777" w:rsidR="00487CB5" w:rsidRDefault="00487CB5">
            <w:pPr>
              <w:widowControl w:val="0"/>
              <w:rPr>
                <w:rFonts w:ascii="Times New Roman" w:eastAsia="Times New Roman" w:hAnsi="Times New Roman" w:cs="Times New Roman"/>
              </w:rPr>
            </w:pPr>
          </w:p>
        </w:tc>
      </w:tr>
      <w:tr w:rsidR="00487CB5" w14:paraId="56637D00" w14:textId="77777777">
        <w:tc>
          <w:tcPr>
            <w:tcW w:w="1245" w:type="dxa"/>
          </w:tcPr>
          <w:p w14:paraId="2F6FC20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tcPr>
          <w:p w14:paraId="6D744F7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In comparison to non-green products, green products are growing in popularity.  </w:t>
            </w:r>
          </w:p>
        </w:tc>
        <w:tc>
          <w:tcPr>
            <w:tcW w:w="3000" w:type="dxa"/>
          </w:tcPr>
          <w:p w14:paraId="2219E499" w14:textId="77777777" w:rsidR="00487CB5" w:rsidRDefault="00487CB5">
            <w:pPr>
              <w:widowControl w:val="0"/>
              <w:rPr>
                <w:rFonts w:ascii="Times New Roman" w:eastAsia="Times New Roman" w:hAnsi="Times New Roman" w:cs="Times New Roman"/>
              </w:rPr>
            </w:pPr>
          </w:p>
        </w:tc>
      </w:tr>
      <w:tr w:rsidR="00487CB5" w14:paraId="7B99160E" w14:textId="77777777">
        <w:tc>
          <w:tcPr>
            <w:tcW w:w="1245" w:type="dxa"/>
            <w:shd w:val="clear" w:color="auto" w:fill="auto"/>
            <w:tcMar>
              <w:top w:w="100" w:type="dxa"/>
              <w:left w:w="100" w:type="dxa"/>
              <w:bottom w:w="100" w:type="dxa"/>
              <w:right w:w="100" w:type="dxa"/>
            </w:tcMar>
          </w:tcPr>
          <w:p w14:paraId="41BF446A"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61B0610F"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46887263" w14:textId="77777777" w:rsidR="00487CB5" w:rsidRDefault="00487CB5">
            <w:pPr>
              <w:widowControl w:val="0"/>
              <w:rPr>
                <w:rFonts w:ascii="Times New Roman" w:eastAsia="Times New Roman" w:hAnsi="Times New Roman" w:cs="Times New Roman"/>
              </w:rPr>
            </w:pPr>
          </w:p>
        </w:tc>
      </w:tr>
      <w:tr w:rsidR="00487CB5" w14:paraId="470A316D" w14:textId="77777777">
        <w:tc>
          <w:tcPr>
            <w:tcW w:w="1245" w:type="dxa"/>
          </w:tcPr>
          <w:p w14:paraId="3AF00BFA" w14:textId="77777777" w:rsidR="00487CB5" w:rsidRDefault="002B62DD">
            <w:pPr>
              <w:widowControl w:val="0"/>
              <w:rPr>
                <w:rFonts w:ascii="Times New Roman" w:eastAsia="Times New Roman" w:hAnsi="Times New Roman" w:cs="Times New Roman"/>
                <w:b/>
              </w:rPr>
            </w:pPr>
            <w:proofErr w:type="spellStart"/>
            <w:proofErr w:type="gramStart"/>
            <w:r>
              <w:rPr>
                <w:rFonts w:ascii="Times New Roman" w:eastAsia="Times New Roman" w:hAnsi="Times New Roman" w:cs="Times New Roman"/>
                <w:b/>
              </w:rPr>
              <w:t>Sr.No</w:t>
            </w:r>
            <w:proofErr w:type="spellEnd"/>
            <w:proofErr w:type="gramEnd"/>
            <w:r>
              <w:rPr>
                <w:rFonts w:ascii="Times New Roman" w:eastAsia="Times New Roman" w:hAnsi="Times New Roman" w:cs="Times New Roman"/>
                <w:b/>
              </w:rPr>
              <w:t xml:space="preserve"> </w:t>
            </w:r>
          </w:p>
        </w:tc>
        <w:tc>
          <w:tcPr>
            <w:tcW w:w="4755" w:type="dxa"/>
          </w:tcPr>
          <w:p w14:paraId="26083716"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tcPr>
          <w:p w14:paraId="2436027D"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7F95CCF4" w14:textId="77777777">
        <w:tc>
          <w:tcPr>
            <w:tcW w:w="1245" w:type="dxa"/>
          </w:tcPr>
          <w:p w14:paraId="6D170F64"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D.</w:t>
            </w:r>
          </w:p>
        </w:tc>
        <w:tc>
          <w:tcPr>
            <w:tcW w:w="4755" w:type="dxa"/>
          </w:tcPr>
          <w:p w14:paraId="28B665A4"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 xml:space="preserve">The </w:t>
            </w:r>
            <w:proofErr w:type="gramStart"/>
            <w:r>
              <w:rPr>
                <w:rFonts w:ascii="Times New Roman" w:eastAsia="Times New Roman" w:hAnsi="Times New Roman" w:cs="Times New Roman"/>
                <w:b/>
                <w:color w:val="202124"/>
                <w:highlight w:val="white"/>
              </w:rPr>
              <w:t>Decision Making</w:t>
            </w:r>
            <w:proofErr w:type="gramEnd"/>
            <w:r>
              <w:rPr>
                <w:rFonts w:ascii="Times New Roman" w:eastAsia="Times New Roman" w:hAnsi="Times New Roman" w:cs="Times New Roman"/>
                <w:b/>
                <w:color w:val="202124"/>
                <w:highlight w:val="white"/>
              </w:rPr>
              <w:t xml:space="preserve"> Process: Satisfaction (Outcome).</w:t>
            </w:r>
          </w:p>
        </w:tc>
        <w:tc>
          <w:tcPr>
            <w:tcW w:w="3000" w:type="dxa"/>
          </w:tcPr>
          <w:p w14:paraId="78661739"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0.713</w:t>
            </w:r>
          </w:p>
        </w:tc>
      </w:tr>
      <w:tr w:rsidR="00487CB5" w14:paraId="787CA557" w14:textId="77777777">
        <w:tc>
          <w:tcPr>
            <w:tcW w:w="1245" w:type="dxa"/>
          </w:tcPr>
          <w:p w14:paraId="30E4B88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tcPr>
          <w:p w14:paraId="5188180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I always identify with green products.</w:t>
            </w:r>
          </w:p>
        </w:tc>
        <w:tc>
          <w:tcPr>
            <w:tcW w:w="3000" w:type="dxa"/>
          </w:tcPr>
          <w:p w14:paraId="6D0F2147" w14:textId="77777777" w:rsidR="00487CB5" w:rsidRDefault="00487CB5">
            <w:pPr>
              <w:widowControl w:val="0"/>
              <w:rPr>
                <w:rFonts w:ascii="Times New Roman" w:eastAsia="Times New Roman" w:hAnsi="Times New Roman" w:cs="Times New Roman"/>
              </w:rPr>
            </w:pPr>
          </w:p>
        </w:tc>
      </w:tr>
      <w:tr w:rsidR="00487CB5" w14:paraId="1C3DDD61" w14:textId="77777777">
        <w:tc>
          <w:tcPr>
            <w:tcW w:w="1245" w:type="dxa"/>
          </w:tcPr>
          <w:p w14:paraId="60DFE0E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tcPr>
          <w:p w14:paraId="07C315B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I always recommend green products to my friends and family members.</w:t>
            </w:r>
          </w:p>
        </w:tc>
        <w:tc>
          <w:tcPr>
            <w:tcW w:w="3000" w:type="dxa"/>
          </w:tcPr>
          <w:p w14:paraId="62240E1A" w14:textId="77777777" w:rsidR="00487CB5" w:rsidRDefault="00487CB5">
            <w:pPr>
              <w:widowControl w:val="0"/>
              <w:rPr>
                <w:rFonts w:ascii="Times New Roman" w:eastAsia="Times New Roman" w:hAnsi="Times New Roman" w:cs="Times New Roman"/>
              </w:rPr>
            </w:pPr>
          </w:p>
        </w:tc>
      </w:tr>
      <w:tr w:rsidR="00487CB5" w14:paraId="011AAA27" w14:textId="77777777">
        <w:tc>
          <w:tcPr>
            <w:tcW w:w="1245" w:type="dxa"/>
          </w:tcPr>
          <w:p w14:paraId="0C62953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4755" w:type="dxa"/>
          </w:tcPr>
          <w:p w14:paraId="3D039462"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Green products meet my quality expectations.</w:t>
            </w:r>
          </w:p>
        </w:tc>
        <w:tc>
          <w:tcPr>
            <w:tcW w:w="3000" w:type="dxa"/>
          </w:tcPr>
          <w:p w14:paraId="4D6043ED" w14:textId="77777777" w:rsidR="00487CB5" w:rsidRDefault="00487CB5">
            <w:pPr>
              <w:widowControl w:val="0"/>
              <w:rPr>
                <w:rFonts w:ascii="Times New Roman" w:eastAsia="Times New Roman" w:hAnsi="Times New Roman" w:cs="Times New Roman"/>
              </w:rPr>
            </w:pPr>
          </w:p>
        </w:tc>
      </w:tr>
      <w:tr w:rsidR="00487CB5" w14:paraId="2332FD75" w14:textId="77777777">
        <w:tc>
          <w:tcPr>
            <w:tcW w:w="1245" w:type="dxa"/>
          </w:tcPr>
          <w:p w14:paraId="76FE3F7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tcPr>
          <w:p w14:paraId="12D63D0F"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Green product prices represent their quality.</w:t>
            </w:r>
          </w:p>
        </w:tc>
        <w:tc>
          <w:tcPr>
            <w:tcW w:w="3000" w:type="dxa"/>
          </w:tcPr>
          <w:p w14:paraId="3FF132B4" w14:textId="77777777" w:rsidR="00487CB5" w:rsidRDefault="00487CB5">
            <w:pPr>
              <w:widowControl w:val="0"/>
              <w:rPr>
                <w:rFonts w:ascii="Times New Roman" w:eastAsia="Times New Roman" w:hAnsi="Times New Roman" w:cs="Times New Roman"/>
              </w:rPr>
            </w:pPr>
          </w:p>
        </w:tc>
      </w:tr>
      <w:tr w:rsidR="00487CB5" w14:paraId="419A4F0C" w14:textId="77777777">
        <w:tc>
          <w:tcPr>
            <w:tcW w:w="1245" w:type="dxa"/>
          </w:tcPr>
          <w:p w14:paraId="763231B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5.</w:t>
            </w:r>
          </w:p>
        </w:tc>
        <w:tc>
          <w:tcPr>
            <w:tcW w:w="4755" w:type="dxa"/>
          </w:tcPr>
          <w:p w14:paraId="7EAA2CDE"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Green product prices are higher than their quality.</w:t>
            </w:r>
          </w:p>
        </w:tc>
        <w:tc>
          <w:tcPr>
            <w:tcW w:w="3000" w:type="dxa"/>
          </w:tcPr>
          <w:p w14:paraId="6188365C" w14:textId="77777777" w:rsidR="00487CB5" w:rsidRDefault="00487CB5">
            <w:pPr>
              <w:widowControl w:val="0"/>
              <w:rPr>
                <w:rFonts w:ascii="Times New Roman" w:eastAsia="Times New Roman" w:hAnsi="Times New Roman" w:cs="Times New Roman"/>
              </w:rPr>
            </w:pPr>
          </w:p>
        </w:tc>
      </w:tr>
      <w:tr w:rsidR="00487CB5" w14:paraId="1500574C" w14:textId="77777777">
        <w:tc>
          <w:tcPr>
            <w:tcW w:w="1245" w:type="dxa"/>
          </w:tcPr>
          <w:p w14:paraId="57D7613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6.</w:t>
            </w:r>
          </w:p>
        </w:tc>
        <w:tc>
          <w:tcPr>
            <w:tcW w:w="4755" w:type="dxa"/>
          </w:tcPr>
          <w:p w14:paraId="7CB95D5C"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When I buy a green product, I'm satisfied with its quality.</w:t>
            </w:r>
          </w:p>
        </w:tc>
        <w:tc>
          <w:tcPr>
            <w:tcW w:w="3000" w:type="dxa"/>
          </w:tcPr>
          <w:p w14:paraId="6E3F7F37" w14:textId="77777777" w:rsidR="00487CB5" w:rsidRDefault="00487CB5">
            <w:pPr>
              <w:widowControl w:val="0"/>
              <w:rPr>
                <w:rFonts w:ascii="Times New Roman" w:eastAsia="Times New Roman" w:hAnsi="Times New Roman" w:cs="Times New Roman"/>
              </w:rPr>
            </w:pPr>
          </w:p>
        </w:tc>
      </w:tr>
      <w:tr w:rsidR="00487CB5" w14:paraId="2A7AD291" w14:textId="77777777">
        <w:tc>
          <w:tcPr>
            <w:tcW w:w="1245" w:type="dxa"/>
            <w:shd w:val="clear" w:color="auto" w:fill="auto"/>
            <w:tcMar>
              <w:top w:w="100" w:type="dxa"/>
              <w:left w:w="100" w:type="dxa"/>
              <w:bottom w:w="100" w:type="dxa"/>
              <w:right w:w="100" w:type="dxa"/>
            </w:tcMar>
          </w:tcPr>
          <w:p w14:paraId="4921AAE4"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2BA5D415"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13C5E8A6" w14:textId="77777777" w:rsidR="00487CB5" w:rsidRDefault="00487CB5">
            <w:pPr>
              <w:widowControl w:val="0"/>
              <w:rPr>
                <w:rFonts w:ascii="Times New Roman" w:eastAsia="Times New Roman" w:hAnsi="Times New Roman" w:cs="Times New Roman"/>
              </w:rPr>
            </w:pPr>
          </w:p>
        </w:tc>
      </w:tr>
      <w:tr w:rsidR="00487CB5" w14:paraId="2AC7BA98" w14:textId="77777777">
        <w:tc>
          <w:tcPr>
            <w:tcW w:w="1245" w:type="dxa"/>
          </w:tcPr>
          <w:p w14:paraId="44ECC93C" w14:textId="77777777" w:rsidR="00487CB5" w:rsidRDefault="002B62DD">
            <w:pPr>
              <w:widowControl w:val="0"/>
              <w:rPr>
                <w:rFonts w:ascii="Times New Roman" w:eastAsia="Times New Roman" w:hAnsi="Times New Roman" w:cs="Times New Roman"/>
                <w:b/>
              </w:rPr>
            </w:pPr>
            <w:proofErr w:type="spellStart"/>
            <w:proofErr w:type="gramStart"/>
            <w:r>
              <w:rPr>
                <w:rFonts w:ascii="Times New Roman" w:eastAsia="Times New Roman" w:hAnsi="Times New Roman" w:cs="Times New Roman"/>
                <w:b/>
              </w:rPr>
              <w:t>Sr.No</w:t>
            </w:r>
            <w:proofErr w:type="spellEnd"/>
            <w:proofErr w:type="gramEnd"/>
            <w:r>
              <w:rPr>
                <w:rFonts w:ascii="Times New Roman" w:eastAsia="Times New Roman" w:hAnsi="Times New Roman" w:cs="Times New Roman"/>
                <w:b/>
              </w:rPr>
              <w:t xml:space="preserve"> </w:t>
            </w:r>
          </w:p>
        </w:tc>
        <w:tc>
          <w:tcPr>
            <w:tcW w:w="4755" w:type="dxa"/>
          </w:tcPr>
          <w:p w14:paraId="4AF0E45A"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tcPr>
          <w:p w14:paraId="16753D92"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3AA55413" w14:textId="77777777">
        <w:tc>
          <w:tcPr>
            <w:tcW w:w="1245" w:type="dxa"/>
          </w:tcPr>
          <w:p w14:paraId="4B4E27AB"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E.</w:t>
            </w:r>
          </w:p>
        </w:tc>
        <w:tc>
          <w:tcPr>
            <w:tcW w:w="4755" w:type="dxa"/>
          </w:tcPr>
          <w:p w14:paraId="1054ABC8"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 xml:space="preserve">The </w:t>
            </w:r>
            <w:proofErr w:type="gramStart"/>
            <w:r>
              <w:rPr>
                <w:rFonts w:ascii="Times New Roman" w:eastAsia="Times New Roman" w:hAnsi="Times New Roman" w:cs="Times New Roman"/>
                <w:b/>
                <w:color w:val="202124"/>
                <w:highlight w:val="white"/>
              </w:rPr>
              <w:t>Decision Making</w:t>
            </w:r>
            <w:proofErr w:type="gramEnd"/>
            <w:r>
              <w:rPr>
                <w:rFonts w:ascii="Times New Roman" w:eastAsia="Times New Roman" w:hAnsi="Times New Roman" w:cs="Times New Roman"/>
                <w:b/>
                <w:color w:val="202124"/>
                <w:highlight w:val="white"/>
              </w:rPr>
              <w:t xml:space="preserve"> Process: Alternative Evaluation.</w:t>
            </w:r>
          </w:p>
        </w:tc>
        <w:tc>
          <w:tcPr>
            <w:tcW w:w="3000" w:type="dxa"/>
          </w:tcPr>
          <w:p w14:paraId="1B4ED746"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0.898</w:t>
            </w:r>
          </w:p>
        </w:tc>
      </w:tr>
      <w:tr w:rsidR="00487CB5" w14:paraId="06531212" w14:textId="77777777">
        <w:tc>
          <w:tcPr>
            <w:tcW w:w="1245" w:type="dxa"/>
          </w:tcPr>
          <w:p w14:paraId="739726D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tcPr>
          <w:p w14:paraId="08BA841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I compare the price of a particular product with other relevant products, before making a purchase.</w:t>
            </w:r>
          </w:p>
        </w:tc>
        <w:tc>
          <w:tcPr>
            <w:tcW w:w="3000" w:type="dxa"/>
          </w:tcPr>
          <w:p w14:paraId="766B1D61" w14:textId="77777777" w:rsidR="00487CB5" w:rsidRDefault="00487CB5">
            <w:pPr>
              <w:widowControl w:val="0"/>
              <w:rPr>
                <w:rFonts w:ascii="Times New Roman" w:eastAsia="Times New Roman" w:hAnsi="Times New Roman" w:cs="Times New Roman"/>
              </w:rPr>
            </w:pPr>
          </w:p>
        </w:tc>
      </w:tr>
      <w:tr w:rsidR="00487CB5" w14:paraId="3AA63F96" w14:textId="77777777">
        <w:tc>
          <w:tcPr>
            <w:tcW w:w="1245" w:type="dxa"/>
          </w:tcPr>
          <w:p w14:paraId="3BE8EB8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tcPr>
          <w:p w14:paraId="71A022E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I check and compare the quality of multiple products before making a purchase.</w:t>
            </w:r>
          </w:p>
        </w:tc>
        <w:tc>
          <w:tcPr>
            <w:tcW w:w="3000" w:type="dxa"/>
          </w:tcPr>
          <w:p w14:paraId="27672294" w14:textId="77777777" w:rsidR="00487CB5" w:rsidRDefault="00487CB5">
            <w:pPr>
              <w:widowControl w:val="0"/>
              <w:rPr>
                <w:rFonts w:ascii="Times New Roman" w:eastAsia="Times New Roman" w:hAnsi="Times New Roman" w:cs="Times New Roman"/>
              </w:rPr>
            </w:pPr>
          </w:p>
        </w:tc>
      </w:tr>
      <w:tr w:rsidR="00487CB5" w14:paraId="3B1169B8" w14:textId="77777777">
        <w:tc>
          <w:tcPr>
            <w:tcW w:w="1245" w:type="dxa"/>
          </w:tcPr>
          <w:p w14:paraId="16E243B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lastRenderedPageBreak/>
              <w:t>3.</w:t>
            </w:r>
          </w:p>
        </w:tc>
        <w:tc>
          <w:tcPr>
            <w:tcW w:w="4755" w:type="dxa"/>
          </w:tcPr>
          <w:p w14:paraId="014BD437"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I compare discounts and deals of various products in a given market, as the availability of such factors adds value to the overall purchasing decision.</w:t>
            </w:r>
          </w:p>
        </w:tc>
        <w:tc>
          <w:tcPr>
            <w:tcW w:w="3000" w:type="dxa"/>
          </w:tcPr>
          <w:p w14:paraId="5518FF92" w14:textId="77777777" w:rsidR="00487CB5" w:rsidRDefault="00487CB5">
            <w:pPr>
              <w:widowControl w:val="0"/>
              <w:rPr>
                <w:rFonts w:ascii="Times New Roman" w:eastAsia="Times New Roman" w:hAnsi="Times New Roman" w:cs="Times New Roman"/>
              </w:rPr>
            </w:pPr>
          </w:p>
        </w:tc>
      </w:tr>
      <w:tr w:rsidR="00487CB5" w14:paraId="2AC855B7" w14:textId="77777777">
        <w:tc>
          <w:tcPr>
            <w:tcW w:w="1245" w:type="dxa"/>
          </w:tcPr>
          <w:p w14:paraId="2611897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tcPr>
          <w:p w14:paraId="09D2867A"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I make purchasing decisions based on the experience of using the products, </w:t>
            </w:r>
            <w:proofErr w:type="spellStart"/>
            <w:r>
              <w:rPr>
                <w:rFonts w:ascii="Times New Roman" w:eastAsia="Times New Roman" w:hAnsi="Times New Roman" w:cs="Times New Roman"/>
                <w:color w:val="202124"/>
              </w:rPr>
              <w:t>eg</w:t>
            </w:r>
            <w:proofErr w:type="spellEnd"/>
            <w:r>
              <w:rPr>
                <w:rFonts w:ascii="Times New Roman" w:eastAsia="Times New Roman" w:hAnsi="Times New Roman" w:cs="Times New Roman"/>
                <w:color w:val="202124"/>
              </w:rPr>
              <w:t>: customer reviews, discussion with family and friends.</w:t>
            </w:r>
          </w:p>
        </w:tc>
        <w:tc>
          <w:tcPr>
            <w:tcW w:w="3000" w:type="dxa"/>
          </w:tcPr>
          <w:p w14:paraId="6C7DA24D" w14:textId="77777777" w:rsidR="00487CB5" w:rsidRDefault="00487CB5">
            <w:pPr>
              <w:widowControl w:val="0"/>
              <w:rPr>
                <w:rFonts w:ascii="Times New Roman" w:eastAsia="Times New Roman" w:hAnsi="Times New Roman" w:cs="Times New Roman"/>
              </w:rPr>
            </w:pPr>
          </w:p>
        </w:tc>
      </w:tr>
      <w:tr w:rsidR="00487CB5" w14:paraId="09B274A1" w14:textId="77777777">
        <w:tc>
          <w:tcPr>
            <w:tcW w:w="1245" w:type="dxa"/>
            <w:shd w:val="clear" w:color="auto" w:fill="auto"/>
            <w:tcMar>
              <w:top w:w="100" w:type="dxa"/>
              <w:left w:w="100" w:type="dxa"/>
              <w:bottom w:w="100" w:type="dxa"/>
              <w:right w:w="100" w:type="dxa"/>
            </w:tcMar>
          </w:tcPr>
          <w:p w14:paraId="628D1D21"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5AA3580C"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4775B520" w14:textId="77777777" w:rsidR="00487CB5" w:rsidRDefault="00487CB5">
            <w:pPr>
              <w:widowControl w:val="0"/>
              <w:rPr>
                <w:rFonts w:ascii="Times New Roman" w:eastAsia="Times New Roman" w:hAnsi="Times New Roman" w:cs="Times New Roman"/>
              </w:rPr>
            </w:pPr>
          </w:p>
        </w:tc>
      </w:tr>
      <w:tr w:rsidR="00487CB5" w14:paraId="6952D797" w14:textId="77777777">
        <w:tc>
          <w:tcPr>
            <w:tcW w:w="1245" w:type="dxa"/>
          </w:tcPr>
          <w:p w14:paraId="1E30FC76" w14:textId="77777777" w:rsidR="00487CB5" w:rsidRDefault="002B62DD">
            <w:pPr>
              <w:widowControl w:val="0"/>
              <w:rPr>
                <w:rFonts w:ascii="Times New Roman" w:eastAsia="Times New Roman" w:hAnsi="Times New Roman" w:cs="Times New Roman"/>
                <w:b/>
              </w:rPr>
            </w:pPr>
            <w:proofErr w:type="spellStart"/>
            <w:proofErr w:type="gramStart"/>
            <w:r>
              <w:rPr>
                <w:rFonts w:ascii="Times New Roman" w:eastAsia="Times New Roman" w:hAnsi="Times New Roman" w:cs="Times New Roman"/>
                <w:b/>
              </w:rPr>
              <w:t>Sr.No</w:t>
            </w:r>
            <w:proofErr w:type="spellEnd"/>
            <w:proofErr w:type="gramEnd"/>
            <w:r>
              <w:rPr>
                <w:rFonts w:ascii="Times New Roman" w:eastAsia="Times New Roman" w:hAnsi="Times New Roman" w:cs="Times New Roman"/>
                <w:b/>
              </w:rPr>
              <w:t xml:space="preserve"> </w:t>
            </w:r>
          </w:p>
        </w:tc>
        <w:tc>
          <w:tcPr>
            <w:tcW w:w="4755" w:type="dxa"/>
          </w:tcPr>
          <w:p w14:paraId="585208A4"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tcPr>
          <w:p w14:paraId="5E226A3F"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12A64522" w14:textId="77777777">
        <w:tc>
          <w:tcPr>
            <w:tcW w:w="1245" w:type="dxa"/>
          </w:tcPr>
          <w:p w14:paraId="2A259A7E"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F.</w:t>
            </w:r>
          </w:p>
        </w:tc>
        <w:tc>
          <w:tcPr>
            <w:tcW w:w="4755" w:type="dxa"/>
          </w:tcPr>
          <w:p w14:paraId="7FA4970E"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Greenwashing.</w:t>
            </w:r>
          </w:p>
        </w:tc>
        <w:tc>
          <w:tcPr>
            <w:tcW w:w="3000" w:type="dxa"/>
          </w:tcPr>
          <w:p w14:paraId="6843F8A2"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0.912</w:t>
            </w:r>
          </w:p>
        </w:tc>
      </w:tr>
      <w:tr w:rsidR="00487CB5" w14:paraId="0DC3759C" w14:textId="77777777">
        <w:tc>
          <w:tcPr>
            <w:tcW w:w="1245" w:type="dxa"/>
          </w:tcPr>
          <w:p w14:paraId="0FB6DA8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tcPr>
          <w:p w14:paraId="74E966B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You can recognize that the product is literally misleading about its environmental characteristics.  </w:t>
            </w:r>
          </w:p>
        </w:tc>
        <w:tc>
          <w:tcPr>
            <w:tcW w:w="3000" w:type="dxa"/>
          </w:tcPr>
          <w:p w14:paraId="3915A0B8" w14:textId="77777777" w:rsidR="00487CB5" w:rsidRDefault="00487CB5">
            <w:pPr>
              <w:widowControl w:val="0"/>
              <w:rPr>
                <w:rFonts w:ascii="Times New Roman" w:eastAsia="Times New Roman" w:hAnsi="Times New Roman" w:cs="Times New Roman"/>
              </w:rPr>
            </w:pPr>
          </w:p>
        </w:tc>
      </w:tr>
      <w:tr w:rsidR="00487CB5" w14:paraId="667174EB" w14:textId="77777777">
        <w:tc>
          <w:tcPr>
            <w:tcW w:w="1245" w:type="dxa"/>
          </w:tcPr>
          <w:p w14:paraId="1E838F1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tcPr>
          <w:p w14:paraId="3814CEF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 xml:space="preserve">You can identify products with "green labels" or images that mislead the nature of their environment.  </w:t>
            </w:r>
          </w:p>
        </w:tc>
        <w:tc>
          <w:tcPr>
            <w:tcW w:w="3000" w:type="dxa"/>
          </w:tcPr>
          <w:p w14:paraId="11543492" w14:textId="77777777" w:rsidR="00487CB5" w:rsidRDefault="00487CB5">
            <w:pPr>
              <w:widowControl w:val="0"/>
              <w:rPr>
                <w:rFonts w:ascii="Times New Roman" w:eastAsia="Times New Roman" w:hAnsi="Times New Roman" w:cs="Times New Roman"/>
              </w:rPr>
            </w:pPr>
          </w:p>
        </w:tc>
      </w:tr>
      <w:tr w:rsidR="00487CB5" w14:paraId="5ECC6CC0" w14:textId="77777777">
        <w:tc>
          <w:tcPr>
            <w:tcW w:w="1245" w:type="dxa"/>
          </w:tcPr>
          <w:p w14:paraId="299F37D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4755" w:type="dxa"/>
          </w:tcPr>
          <w:p w14:paraId="5C2DC5C3"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You can recognize that the product has a vague or seemingly unprovable green claim.  </w:t>
            </w:r>
          </w:p>
        </w:tc>
        <w:tc>
          <w:tcPr>
            <w:tcW w:w="3000" w:type="dxa"/>
          </w:tcPr>
          <w:p w14:paraId="6308AC72" w14:textId="77777777" w:rsidR="00487CB5" w:rsidRDefault="00487CB5">
            <w:pPr>
              <w:widowControl w:val="0"/>
              <w:rPr>
                <w:rFonts w:ascii="Times New Roman" w:eastAsia="Times New Roman" w:hAnsi="Times New Roman" w:cs="Times New Roman"/>
              </w:rPr>
            </w:pPr>
          </w:p>
        </w:tc>
      </w:tr>
      <w:tr w:rsidR="00487CB5" w14:paraId="698FD924" w14:textId="77777777">
        <w:tc>
          <w:tcPr>
            <w:tcW w:w="1245" w:type="dxa"/>
          </w:tcPr>
          <w:p w14:paraId="6374EBB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tcPr>
          <w:p w14:paraId="178305BA"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You can tell that the product is exaggerating its green features.  </w:t>
            </w:r>
          </w:p>
        </w:tc>
        <w:tc>
          <w:tcPr>
            <w:tcW w:w="3000" w:type="dxa"/>
          </w:tcPr>
          <w:p w14:paraId="187F5FEE" w14:textId="77777777" w:rsidR="00487CB5" w:rsidRDefault="00487CB5">
            <w:pPr>
              <w:widowControl w:val="0"/>
              <w:rPr>
                <w:rFonts w:ascii="Times New Roman" w:eastAsia="Times New Roman" w:hAnsi="Times New Roman" w:cs="Times New Roman"/>
              </w:rPr>
            </w:pPr>
          </w:p>
        </w:tc>
      </w:tr>
      <w:tr w:rsidR="00487CB5" w14:paraId="16F40443" w14:textId="77777777">
        <w:tc>
          <w:tcPr>
            <w:tcW w:w="1245" w:type="dxa"/>
          </w:tcPr>
          <w:p w14:paraId="4E8A364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5.</w:t>
            </w:r>
          </w:p>
        </w:tc>
        <w:tc>
          <w:tcPr>
            <w:tcW w:w="4755" w:type="dxa"/>
          </w:tcPr>
          <w:p w14:paraId="275254AF"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 xml:space="preserve">You can tell that the product omits or obscures important information to make the green claim sound better than it should.  </w:t>
            </w:r>
          </w:p>
        </w:tc>
        <w:tc>
          <w:tcPr>
            <w:tcW w:w="3000" w:type="dxa"/>
          </w:tcPr>
          <w:p w14:paraId="1C878B34" w14:textId="77777777" w:rsidR="00487CB5" w:rsidRDefault="00487CB5">
            <w:pPr>
              <w:widowControl w:val="0"/>
              <w:rPr>
                <w:rFonts w:ascii="Times New Roman" w:eastAsia="Times New Roman" w:hAnsi="Times New Roman" w:cs="Times New Roman"/>
              </w:rPr>
            </w:pPr>
          </w:p>
        </w:tc>
      </w:tr>
      <w:tr w:rsidR="00487CB5" w14:paraId="15046064" w14:textId="77777777">
        <w:tc>
          <w:tcPr>
            <w:tcW w:w="1245" w:type="dxa"/>
            <w:shd w:val="clear" w:color="auto" w:fill="auto"/>
            <w:tcMar>
              <w:top w:w="100" w:type="dxa"/>
              <w:left w:w="100" w:type="dxa"/>
              <w:bottom w:w="100" w:type="dxa"/>
              <w:right w:w="100" w:type="dxa"/>
            </w:tcMar>
          </w:tcPr>
          <w:p w14:paraId="2A5444ED" w14:textId="77777777" w:rsidR="00487CB5" w:rsidRDefault="00487CB5">
            <w:pPr>
              <w:widowControl w:val="0"/>
              <w:rPr>
                <w:rFonts w:ascii="Times New Roman" w:eastAsia="Times New Roman" w:hAnsi="Times New Roman" w:cs="Times New Roman"/>
              </w:rPr>
            </w:pPr>
          </w:p>
        </w:tc>
        <w:tc>
          <w:tcPr>
            <w:tcW w:w="4755" w:type="dxa"/>
            <w:shd w:val="clear" w:color="auto" w:fill="auto"/>
            <w:tcMar>
              <w:top w:w="100" w:type="dxa"/>
              <w:left w:w="100" w:type="dxa"/>
              <w:bottom w:w="100" w:type="dxa"/>
              <w:right w:w="100" w:type="dxa"/>
            </w:tcMar>
          </w:tcPr>
          <w:p w14:paraId="7DE4EF9E" w14:textId="77777777" w:rsidR="00487CB5" w:rsidRDefault="00487CB5">
            <w:pPr>
              <w:widowControl w:val="0"/>
              <w:rPr>
                <w:rFonts w:ascii="Times New Roman" w:eastAsia="Times New Roman" w:hAnsi="Times New Roman" w:cs="Times New Roman"/>
              </w:rPr>
            </w:pPr>
          </w:p>
        </w:tc>
        <w:tc>
          <w:tcPr>
            <w:tcW w:w="3000" w:type="dxa"/>
            <w:shd w:val="clear" w:color="auto" w:fill="auto"/>
            <w:tcMar>
              <w:top w:w="100" w:type="dxa"/>
              <w:left w:w="100" w:type="dxa"/>
              <w:bottom w:w="100" w:type="dxa"/>
              <w:right w:w="100" w:type="dxa"/>
            </w:tcMar>
          </w:tcPr>
          <w:p w14:paraId="52C97117" w14:textId="77777777" w:rsidR="00487CB5" w:rsidRDefault="00487CB5">
            <w:pPr>
              <w:widowControl w:val="0"/>
              <w:rPr>
                <w:rFonts w:ascii="Times New Roman" w:eastAsia="Times New Roman" w:hAnsi="Times New Roman" w:cs="Times New Roman"/>
              </w:rPr>
            </w:pPr>
          </w:p>
        </w:tc>
      </w:tr>
      <w:tr w:rsidR="00487CB5" w14:paraId="745501F0" w14:textId="77777777">
        <w:tc>
          <w:tcPr>
            <w:tcW w:w="1245" w:type="dxa"/>
          </w:tcPr>
          <w:p w14:paraId="63F2986B" w14:textId="77777777" w:rsidR="00487CB5" w:rsidRDefault="002B62DD">
            <w:pPr>
              <w:widowControl w:val="0"/>
              <w:rPr>
                <w:rFonts w:ascii="Times New Roman" w:eastAsia="Times New Roman" w:hAnsi="Times New Roman" w:cs="Times New Roman"/>
                <w:b/>
              </w:rPr>
            </w:pPr>
            <w:proofErr w:type="spellStart"/>
            <w:proofErr w:type="gramStart"/>
            <w:r>
              <w:rPr>
                <w:rFonts w:ascii="Times New Roman" w:eastAsia="Times New Roman" w:hAnsi="Times New Roman" w:cs="Times New Roman"/>
                <w:b/>
              </w:rPr>
              <w:t>Sr.No</w:t>
            </w:r>
            <w:proofErr w:type="spellEnd"/>
            <w:proofErr w:type="gramEnd"/>
            <w:r>
              <w:rPr>
                <w:rFonts w:ascii="Times New Roman" w:eastAsia="Times New Roman" w:hAnsi="Times New Roman" w:cs="Times New Roman"/>
                <w:b/>
              </w:rPr>
              <w:t xml:space="preserve"> </w:t>
            </w:r>
          </w:p>
        </w:tc>
        <w:tc>
          <w:tcPr>
            <w:tcW w:w="4755" w:type="dxa"/>
          </w:tcPr>
          <w:p w14:paraId="6CCE34A2"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Variable</w:t>
            </w:r>
          </w:p>
        </w:tc>
        <w:tc>
          <w:tcPr>
            <w:tcW w:w="3000" w:type="dxa"/>
          </w:tcPr>
          <w:p w14:paraId="3DC61D0B"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Cronbach’s Alpha Value</w:t>
            </w:r>
          </w:p>
        </w:tc>
      </w:tr>
      <w:tr w:rsidR="00487CB5" w14:paraId="60D0ED1D" w14:textId="77777777">
        <w:tc>
          <w:tcPr>
            <w:tcW w:w="1245" w:type="dxa"/>
          </w:tcPr>
          <w:p w14:paraId="7C38574F"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G.</w:t>
            </w:r>
          </w:p>
        </w:tc>
        <w:tc>
          <w:tcPr>
            <w:tcW w:w="4755" w:type="dxa"/>
          </w:tcPr>
          <w:p w14:paraId="187A6D1C"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color w:val="202124"/>
                <w:highlight w:val="white"/>
              </w:rPr>
              <w:t>Consumer Scepticism.</w:t>
            </w:r>
          </w:p>
        </w:tc>
        <w:tc>
          <w:tcPr>
            <w:tcW w:w="3000" w:type="dxa"/>
          </w:tcPr>
          <w:p w14:paraId="2BB884F1" w14:textId="77777777" w:rsidR="00487CB5" w:rsidRDefault="002B62DD">
            <w:pPr>
              <w:widowControl w:val="0"/>
              <w:rPr>
                <w:rFonts w:ascii="Times New Roman" w:eastAsia="Times New Roman" w:hAnsi="Times New Roman" w:cs="Times New Roman"/>
                <w:b/>
              </w:rPr>
            </w:pPr>
            <w:r>
              <w:rPr>
                <w:rFonts w:ascii="Times New Roman" w:eastAsia="Times New Roman" w:hAnsi="Times New Roman" w:cs="Times New Roman"/>
                <w:b/>
              </w:rPr>
              <w:t>0.854</w:t>
            </w:r>
          </w:p>
        </w:tc>
      </w:tr>
      <w:tr w:rsidR="00487CB5" w14:paraId="508D10D3" w14:textId="77777777">
        <w:tc>
          <w:tcPr>
            <w:tcW w:w="1245" w:type="dxa"/>
          </w:tcPr>
          <w:p w14:paraId="4A254A0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4755" w:type="dxa"/>
          </w:tcPr>
          <w:p w14:paraId="1395B5E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There is a great similarity between many products and this makes it hard to know which one is green.</w:t>
            </w:r>
          </w:p>
        </w:tc>
        <w:tc>
          <w:tcPr>
            <w:tcW w:w="3000" w:type="dxa"/>
          </w:tcPr>
          <w:p w14:paraId="716F2937" w14:textId="77777777" w:rsidR="00487CB5" w:rsidRDefault="00487CB5">
            <w:pPr>
              <w:widowControl w:val="0"/>
              <w:rPr>
                <w:rFonts w:ascii="Times New Roman" w:eastAsia="Times New Roman" w:hAnsi="Times New Roman" w:cs="Times New Roman"/>
              </w:rPr>
            </w:pPr>
          </w:p>
        </w:tc>
      </w:tr>
      <w:tr w:rsidR="00487CB5" w14:paraId="40C07412" w14:textId="77777777">
        <w:tc>
          <w:tcPr>
            <w:tcW w:w="1245" w:type="dxa"/>
          </w:tcPr>
          <w:p w14:paraId="4ECB539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4755" w:type="dxa"/>
          </w:tcPr>
          <w:p w14:paraId="6952484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color w:val="202124"/>
              </w:rPr>
              <w:t>Recognizing the differences between a green product and other products on the market is very difficult.</w:t>
            </w:r>
          </w:p>
        </w:tc>
        <w:tc>
          <w:tcPr>
            <w:tcW w:w="3000" w:type="dxa"/>
          </w:tcPr>
          <w:p w14:paraId="14ACB5A0" w14:textId="77777777" w:rsidR="00487CB5" w:rsidRDefault="00487CB5">
            <w:pPr>
              <w:widowControl w:val="0"/>
              <w:rPr>
                <w:rFonts w:ascii="Times New Roman" w:eastAsia="Times New Roman" w:hAnsi="Times New Roman" w:cs="Times New Roman"/>
              </w:rPr>
            </w:pPr>
          </w:p>
        </w:tc>
      </w:tr>
      <w:tr w:rsidR="00487CB5" w14:paraId="5E0BFA5C" w14:textId="77777777">
        <w:tc>
          <w:tcPr>
            <w:tcW w:w="1245" w:type="dxa"/>
          </w:tcPr>
          <w:p w14:paraId="3231B22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4755" w:type="dxa"/>
          </w:tcPr>
          <w:p w14:paraId="378D47CF"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The fact that there are many products on the market always creates confusion in recognizing their green characteristics.</w:t>
            </w:r>
          </w:p>
        </w:tc>
        <w:tc>
          <w:tcPr>
            <w:tcW w:w="3000" w:type="dxa"/>
          </w:tcPr>
          <w:p w14:paraId="42089369" w14:textId="77777777" w:rsidR="00487CB5" w:rsidRDefault="00487CB5">
            <w:pPr>
              <w:widowControl w:val="0"/>
              <w:rPr>
                <w:rFonts w:ascii="Times New Roman" w:eastAsia="Times New Roman" w:hAnsi="Times New Roman" w:cs="Times New Roman"/>
              </w:rPr>
            </w:pPr>
          </w:p>
        </w:tc>
      </w:tr>
      <w:tr w:rsidR="00487CB5" w14:paraId="1069CA85" w14:textId="77777777">
        <w:tc>
          <w:tcPr>
            <w:tcW w:w="1245" w:type="dxa"/>
          </w:tcPr>
          <w:p w14:paraId="0C9085C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w:t>
            </w:r>
          </w:p>
        </w:tc>
        <w:tc>
          <w:tcPr>
            <w:tcW w:w="4755" w:type="dxa"/>
          </w:tcPr>
          <w:p w14:paraId="1F67C090"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There are so many products that it is hard to decide to buy the one that respects the proper use of environmentally resources.</w:t>
            </w:r>
          </w:p>
        </w:tc>
        <w:tc>
          <w:tcPr>
            <w:tcW w:w="3000" w:type="dxa"/>
          </w:tcPr>
          <w:p w14:paraId="6A53156C" w14:textId="77777777" w:rsidR="00487CB5" w:rsidRDefault="00487CB5">
            <w:pPr>
              <w:widowControl w:val="0"/>
              <w:rPr>
                <w:rFonts w:ascii="Times New Roman" w:eastAsia="Times New Roman" w:hAnsi="Times New Roman" w:cs="Times New Roman"/>
              </w:rPr>
            </w:pPr>
          </w:p>
        </w:tc>
      </w:tr>
      <w:tr w:rsidR="00487CB5" w14:paraId="53F213FC" w14:textId="77777777">
        <w:tc>
          <w:tcPr>
            <w:tcW w:w="1245" w:type="dxa"/>
          </w:tcPr>
          <w:p w14:paraId="458B149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lastRenderedPageBreak/>
              <w:t>5.</w:t>
            </w:r>
          </w:p>
        </w:tc>
        <w:tc>
          <w:tcPr>
            <w:tcW w:w="4755" w:type="dxa"/>
          </w:tcPr>
          <w:p w14:paraId="03A13774"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Whenever I buy a product, I don't feel sufficiently informed whether or not it is green.</w:t>
            </w:r>
          </w:p>
        </w:tc>
        <w:tc>
          <w:tcPr>
            <w:tcW w:w="3000" w:type="dxa"/>
          </w:tcPr>
          <w:p w14:paraId="5AD90DC5" w14:textId="77777777" w:rsidR="00487CB5" w:rsidRDefault="00487CB5">
            <w:pPr>
              <w:widowControl w:val="0"/>
              <w:rPr>
                <w:rFonts w:ascii="Times New Roman" w:eastAsia="Times New Roman" w:hAnsi="Times New Roman" w:cs="Times New Roman"/>
              </w:rPr>
            </w:pPr>
          </w:p>
        </w:tc>
      </w:tr>
      <w:tr w:rsidR="00487CB5" w14:paraId="0ABA70D6" w14:textId="77777777">
        <w:tc>
          <w:tcPr>
            <w:tcW w:w="1245" w:type="dxa"/>
          </w:tcPr>
          <w:p w14:paraId="08F5871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6.</w:t>
            </w:r>
          </w:p>
        </w:tc>
        <w:tc>
          <w:tcPr>
            <w:tcW w:w="4755" w:type="dxa"/>
          </w:tcPr>
          <w:p w14:paraId="4E4C16FB" w14:textId="77777777" w:rsidR="00487CB5" w:rsidRDefault="002B62DD">
            <w:pPr>
              <w:widowControl w:val="0"/>
              <w:rPr>
                <w:rFonts w:ascii="Times New Roman" w:eastAsia="Times New Roman" w:hAnsi="Times New Roman" w:cs="Times New Roman"/>
                <w:color w:val="202124"/>
              </w:rPr>
            </w:pPr>
            <w:r>
              <w:rPr>
                <w:rFonts w:ascii="Times New Roman" w:eastAsia="Times New Roman" w:hAnsi="Times New Roman" w:cs="Times New Roman"/>
                <w:color w:val="202124"/>
              </w:rPr>
              <w:t>Whenever I buy a product I question its green characteristics.</w:t>
            </w:r>
          </w:p>
        </w:tc>
        <w:tc>
          <w:tcPr>
            <w:tcW w:w="3000" w:type="dxa"/>
          </w:tcPr>
          <w:p w14:paraId="581A79AB" w14:textId="77777777" w:rsidR="00487CB5" w:rsidRDefault="00487CB5">
            <w:pPr>
              <w:widowControl w:val="0"/>
              <w:rPr>
                <w:rFonts w:ascii="Times New Roman" w:eastAsia="Times New Roman" w:hAnsi="Times New Roman" w:cs="Times New Roman"/>
              </w:rPr>
            </w:pPr>
          </w:p>
        </w:tc>
      </w:tr>
    </w:tbl>
    <w:p w14:paraId="2D8781CF" w14:textId="77777777" w:rsidR="00487CB5" w:rsidRDefault="00487CB5">
      <w:pPr>
        <w:rPr>
          <w:rFonts w:ascii="Times New Roman" w:eastAsia="Times New Roman" w:hAnsi="Times New Roman" w:cs="Times New Roman"/>
          <w:b/>
          <w:sz w:val="24"/>
          <w:szCs w:val="24"/>
        </w:rPr>
      </w:pPr>
    </w:p>
    <w:p w14:paraId="428BA14A"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Design</w:t>
      </w:r>
    </w:p>
    <w:p w14:paraId="01B76B7A" w14:textId="77777777" w:rsidR="00487CB5" w:rsidRDefault="00487CB5">
      <w:pPr>
        <w:rPr>
          <w:rFonts w:ascii="Times New Roman" w:eastAsia="Times New Roman" w:hAnsi="Times New Roman" w:cs="Times New Roman"/>
        </w:rPr>
      </w:pPr>
    </w:p>
    <w:p w14:paraId="74A2E7C1"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This study uses a correlational research design to explore relationships between two or more variables, aiming to identify statistically significant correlations. Data collection centres on the relevant variables, which are analysed using statistical techniques to assess the strength and direction of their relationships. The questionnaire employed validated, reliable scales, adapted to suit the specific research context. This approach helps reveal how the variables are connected and interact with one another.</w:t>
      </w:r>
    </w:p>
    <w:p w14:paraId="28A1DF69" w14:textId="77777777" w:rsidR="00487CB5" w:rsidRDefault="00487CB5">
      <w:pPr>
        <w:rPr>
          <w:rFonts w:ascii="Times New Roman" w:eastAsia="Times New Roman" w:hAnsi="Times New Roman" w:cs="Times New Roman"/>
        </w:rPr>
      </w:pPr>
    </w:p>
    <w:p w14:paraId="65049922"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Participants</w:t>
      </w:r>
    </w:p>
    <w:p w14:paraId="7C738CF5" w14:textId="77777777" w:rsidR="00487CB5" w:rsidRDefault="00487CB5">
      <w:pPr>
        <w:rPr>
          <w:rFonts w:ascii="Times New Roman" w:eastAsia="Times New Roman" w:hAnsi="Times New Roman" w:cs="Times New Roman"/>
          <w:b/>
        </w:rPr>
      </w:pPr>
    </w:p>
    <w:p w14:paraId="77F38A83"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Inclusion criteria:</w:t>
      </w:r>
    </w:p>
    <w:p w14:paraId="5515B900"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Minimum 18 years of age  </w:t>
      </w:r>
    </w:p>
    <w:p w14:paraId="3D67271E"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Female, Male, Other Gender.</w:t>
      </w:r>
    </w:p>
    <w:p w14:paraId="395475E0" w14:textId="77777777" w:rsidR="00487CB5" w:rsidRDefault="00487CB5">
      <w:pPr>
        <w:rPr>
          <w:rFonts w:ascii="Times New Roman" w:eastAsia="Times New Roman" w:hAnsi="Times New Roman" w:cs="Times New Roman"/>
        </w:rPr>
      </w:pPr>
    </w:p>
    <w:p w14:paraId="783AF341"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Exclusion criteria:</w:t>
      </w:r>
    </w:p>
    <w:p w14:paraId="0892FF80"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Anyone under 18 years of age.  </w:t>
      </w:r>
    </w:p>
    <w:p w14:paraId="0A6080C9" w14:textId="77777777" w:rsidR="00487CB5" w:rsidRDefault="00487CB5">
      <w:pPr>
        <w:rPr>
          <w:rFonts w:ascii="Times New Roman" w:eastAsia="Times New Roman" w:hAnsi="Times New Roman" w:cs="Times New Roman"/>
        </w:rPr>
      </w:pPr>
    </w:p>
    <w:p w14:paraId="333943BC"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Demographic Details of the Participants:</w:t>
      </w:r>
    </w:p>
    <w:p w14:paraId="36E85D49"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Demographic Details of the Participants: Of the 340 participants, 94 were male (30.1%), 215 female (68.9%), 3 were other (1%).</w:t>
      </w:r>
    </w:p>
    <w:p w14:paraId="0B4F9922" w14:textId="77777777" w:rsidR="00487CB5" w:rsidRDefault="00487CB5">
      <w:pPr>
        <w:rPr>
          <w:rFonts w:ascii="Times New Roman" w:eastAsia="Times New Roman" w:hAnsi="Times New Roman" w:cs="Times New Roman"/>
        </w:rPr>
      </w:pPr>
    </w:p>
    <w:p w14:paraId="07B25824"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Majority of the sample lies in the age range of 18-24 (166, 53.2%), followed by 45 and above (60, 19.2%), and 25-34 (50, 16%), 35-44 (36, 11.5%).</w:t>
      </w:r>
    </w:p>
    <w:p w14:paraId="5FEC05B0" w14:textId="77777777" w:rsidR="00487CB5" w:rsidRDefault="00487CB5">
      <w:pPr>
        <w:rPr>
          <w:rFonts w:ascii="Times New Roman" w:eastAsia="Times New Roman" w:hAnsi="Times New Roman" w:cs="Times New Roman"/>
        </w:rPr>
      </w:pPr>
    </w:p>
    <w:p w14:paraId="7CA31C0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152 (48.7%) undergraduates (pursuing as well as graduates), and 135 (43.3%) pursuing or having completed post-graduation or above, 24 (7.7%) were educated between 8 and 13 years, with 1 (0.3%), educated up to 8 years.</w:t>
      </w:r>
    </w:p>
    <w:p w14:paraId="18766839" w14:textId="77777777" w:rsidR="00487CB5" w:rsidRDefault="00487CB5">
      <w:pPr>
        <w:rPr>
          <w:rFonts w:ascii="Times New Roman" w:eastAsia="Times New Roman" w:hAnsi="Times New Roman" w:cs="Times New Roman"/>
        </w:rPr>
      </w:pPr>
    </w:p>
    <w:p w14:paraId="118910FA"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153 participants (49%) were students, 21 (6.7%) were unemployed, and 138 (44.2%) were employed (Salaried, Self-employed and/or by other means) </w:t>
      </w:r>
    </w:p>
    <w:p w14:paraId="525CF81F" w14:textId="77777777" w:rsidR="00487CB5" w:rsidRDefault="00487CB5">
      <w:pPr>
        <w:rPr>
          <w:rFonts w:ascii="Times New Roman" w:eastAsia="Times New Roman" w:hAnsi="Times New Roman" w:cs="Times New Roman"/>
        </w:rPr>
      </w:pPr>
    </w:p>
    <w:p w14:paraId="53A7AB08"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75 participants (24%) reported family income below 3 lakhs, 96 participants (30.8%) between 3 and 8 lakhs, 60 participants (19.2%) between 8 and 12 lakhs, and 81 participants (26%) above 12 lakhs.</w:t>
      </w:r>
    </w:p>
    <w:p w14:paraId="62592FB7" w14:textId="77777777" w:rsidR="00487CB5" w:rsidRDefault="00487CB5">
      <w:pPr>
        <w:rPr>
          <w:rFonts w:ascii="Times New Roman" w:eastAsia="Times New Roman" w:hAnsi="Times New Roman" w:cs="Times New Roman"/>
        </w:rPr>
      </w:pPr>
    </w:p>
    <w:p w14:paraId="12886935"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271 (86.9%) participants resided in urban areas, while 41 (13.1%) resided in rural areas.</w:t>
      </w:r>
    </w:p>
    <w:p w14:paraId="1638D50C" w14:textId="77777777" w:rsidR="00487CB5" w:rsidRDefault="00487CB5">
      <w:pPr>
        <w:rPr>
          <w:rFonts w:ascii="Times New Roman" w:eastAsia="Times New Roman" w:hAnsi="Times New Roman" w:cs="Times New Roman"/>
        </w:rPr>
      </w:pPr>
    </w:p>
    <w:p w14:paraId="1D51E914"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186 (59.6%) participants reported their marital status as single, 121 (38.8%) reported to be married and 5 (1.6%) participants reported to have been separated. </w:t>
      </w:r>
    </w:p>
    <w:p w14:paraId="6A677530" w14:textId="77777777" w:rsidR="00487CB5" w:rsidRDefault="00487CB5">
      <w:pPr>
        <w:rPr>
          <w:rFonts w:ascii="Times New Roman" w:eastAsia="Times New Roman" w:hAnsi="Times New Roman" w:cs="Times New Roman"/>
        </w:rPr>
      </w:pPr>
    </w:p>
    <w:p w14:paraId="1E0792DF"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14:paraId="239A4616" w14:textId="77777777" w:rsidR="00487CB5" w:rsidRDefault="00487CB5">
      <w:pPr>
        <w:rPr>
          <w:rFonts w:ascii="Times New Roman" w:eastAsia="Times New Roman" w:hAnsi="Times New Roman" w:cs="Times New Roman"/>
        </w:rPr>
      </w:pPr>
    </w:p>
    <w:p w14:paraId="707F81FF"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This study aimed to explore the relationship between various variables: Personal Norms, Green Purchase Intention, Green Choice, Satisfaction, Alternative Evaluation, Greenwashing, and Consumer Scepticism. It also examined how these variables differed across socio-demographic groups, including gender, area, and family income. Data was collected using an online Google Form to maximise reach, with a consent form ensuring participants' privacy and willingness to participate. Instructions guided participants on using a five-point Likert scale, where 1 indicated strong disagreement and 5 indicated strong agreement, to rate the relevance of topics to their experiences. The questionnaire consisted of 34 items, including seven questions related to socio-demographics. The Likert scale helped in measuring participants' responses across the study's key topics, enabling a thorough understanding of their perspectives on green choices and consumer scepticism in relation to personal norms and greenwashing.</w:t>
      </w:r>
    </w:p>
    <w:p w14:paraId="66AB02D4" w14:textId="77777777" w:rsidR="00487CB5" w:rsidRDefault="00487CB5">
      <w:pPr>
        <w:rPr>
          <w:rFonts w:ascii="Times New Roman" w:eastAsia="Times New Roman" w:hAnsi="Times New Roman" w:cs="Times New Roman"/>
        </w:rPr>
      </w:pPr>
    </w:p>
    <w:p w14:paraId="49986E22"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77C5F680" w14:textId="77777777" w:rsidR="00487CB5" w:rsidRDefault="00487CB5">
      <w:pPr>
        <w:rPr>
          <w:rFonts w:ascii="Times New Roman" w:eastAsia="Times New Roman" w:hAnsi="Times New Roman" w:cs="Times New Roman"/>
        </w:rPr>
      </w:pPr>
    </w:p>
    <w:p w14:paraId="008E78C7"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Descriptive statistics were conducted for the scores of Personal Norms, Green Purchase Intention, Green Choice, Satisfaction, Alternative Evaluation, Greenwashing, and Consumer Scepticism in a sample of 340 participants. Table </w:t>
      </w:r>
      <w:proofErr w:type="gramStart"/>
      <w:r>
        <w:rPr>
          <w:rFonts w:ascii="Times New Roman" w:eastAsia="Times New Roman" w:hAnsi="Times New Roman" w:cs="Times New Roman"/>
        </w:rPr>
        <w:t>2  shows</w:t>
      </w:r>
      <w:proofErr w:type="gramEnd"/>
      <w:r>
        <w:rPr>
          <w:rFonts w:ascii="Times New Roman" w:eastAsia="Times New Roman" w:hAnsi="Times New Roman" w:cs="Times New Roman"/>
        </w:rPr>
        <w:t xml:space="preserve"> the mean and standard deviation for the mentioned variables. </w:t>
      </w:r>
    </w:p>
    <w:p w14:paraId="74BC0989"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They are as follows: “Personal Norms” (M = 28.412, SD = 4.213), “Green Purchase Intention” </w:t>
      </w:r>
    </w:p>
    <w:p w14:paraId="6CC6C328"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(M = 17.374, SD = 2.317), “Green Choice” (M = 21.685, SD = 3.443) “Satisfaction”</w:t>
      </w:r>
    </w:p>
    <w:p w14:paraId="2039BA9D"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(M = 16.271, SD = 2.504), “Alternative Evaluation” (M = 18.312, </w:t>
      </w:r>
      <w:proofErr w:type="gramStart"/>
      <w:r>
        <w:rPr>
          <w:rFonts w:ascii="Times New Roman" w:eastAsia="Times New Roman" w:hAnsi="Times New Roman" w:cs="Times New Roman"/>
        </w:rPr>
        <w:t>SD  =</w:t>
      </w:r>
      <w:proofErr w:type="gramEnd"/>
      <w:r>
        <w:rPr>
          <w:rFonts w:ascii="Times New Roman" w:eastAsia="Times New Roman" w:hAnsi="Times New Roman" w:cs="Times New Roman"/>
        </w:rPr>
        <w:t xml:space="preserve">3.314), </w:t>
      </w:r>
    </w:p>
    <w:p w14:paraId="61B8CDDC"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“Greenwashing” (M = 22.241, SD =3.729), “Consumer </w:t>
      </w:r>
      <w:proofErr w:type="gramStart"/>
      <w:r>
        <w:rPr>
          <w:rFonts w:ascii="Times New Roman" w:eastAsia="Times New Roman" w:hAnsi="Times New Roman" w:cs="Times New Roman"/>
        </w:rPr>
        <w:t>Scepticism”(</w:t>
      </w:r>
      <w:proofErr w:type="gramEnd"/>
      <w:r>
        <w:rPr>
          <w:rFonts w:ascii="Times New Roman" w:eastAsia="Times New Roman" w:hAnsi="Times New Roman" w:cs="Times New Roman"/>
        </w:rPr>
        <w:t xml:space="preserve">M = 7.603, SD = 1.332).  </w:t>
      </w:r>
    </w:p>
    <w:p w14:paraId="09BE4CF0" w14:textId="77777777" w:rsidR="00487CB5" w:rsidRDefault="00487CB5">
      <w:pPr>
        <w:rPr>
          <w:rFonts w:ascii="Times New Roman" w:eastAsia="Times New Roman" w:hAnsi="Times New Roman" w:cs="Times New Roman"/>
        </w:rPr>
      </w:pPr>
    </w:p>
    <w:p w14:paraId="649A48C2" w14:textId="77777777" w:rsidR="00487CB5" w:rsidRDefault="002B62DD">
      <w:pPr>
        <w:jc w:val="center"/>
        <w:rPr>
          <w:rFonts w:ascii="Times New Roman" w:eastAsia="Times New Roman" w:hAnsi="Times New Roman" w:cs="Times New Roman"/>
          <w:b/>
        </w:rPr>
      </w:pPr>
      <w:r>
        <w:rPr>
          <w:rFonts w:ascii="Times New Roman" w:eastAsia="Times New Roman" w:hAnsi="Times New Roman" w:cs="Times New Roman"/>
          <w:b/>
        </w:rPr>
        <w:t xml:space="preserve">Table 2: Descriptive Statistics for </w:t>
      </w:r>
      <w:proofErr w:type="gramStart"/>
      <w:r>
        <w:rPr>
          <w:rFonts w:ascii="Times New Roman" w:eastAsia="Times New Roman" w:hAnsi="Times New Roman" w:cs="Times New Roman"/>
          <w:b/>
        </w:rPr>
        <w:t>Variables(</w:t>
      </w:r>
      <w:proofErr w:type="gramEnd"/>
      <w:r>
        <w:rPr>
          <w:rFonts w:ascii="Times New Roman" w:eastAsia="Times New Roman" w:hAnsi="Times New Roman" w:cs="Times New Roman"/>
          <w:b/>
        </w:rPr>
        <w:t>N = 340)</w:t>
      </w:r>
    </w:p>
    <w:p w14:paraId="0DE635D0" w14:textId="77777777" w:rsidR="00487CB5" w:rsidRDefault="00487CB5">
      <w:pPr>
        <w:jc w:val="center"/>
        <w:rPr>
          <w:rFonts w:ascii="Times New Roman" w:eastAsia="Times New Roman" w:hAnsi="Times New Roman" w:cs="Times New Roman"/>
        </w:rPr>
      </w:pPr>
    </w:p>
    <w:tbl>
      <w:tblPr>
        <w:tblStyle w:val="a0"/>
        <w:tblW w:w="8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990"/>
        <w:gridCol w:w="960"/>
        <w:gridCol w:w="1035"/>
        <w:gridCol w:w="1110"/>
        <w:gridCol w:w="1095"/>
        <w:gridCol w:w="1110"/>
        <w:gridCol w:w="1155"/>
      </w:tblGrid>
      <w:tr w:rsidR="00487CB5" w14:paraId="558E409B" w14:textId="77777777">
        <w:tc>
          <w:tcPr>
            <w:tcW w:w="1425" w:type="dxa"/>
            <w:shd w:val="clear" w:color="auto" w:fill="auto"/>
            <w:tcMar>
              <w:top w:w="100" w:type="dxa"/>
              <w:left w:w="100" w:type="dxa"/>
              <w:bottom w:w="100" w:type="dxa"/>
              <w:right w:w="100" w:type="dxa"/>
            </w:tcMar>
          </w:tcPr>
          <w:p w14:paraId="53AB1F4A"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990" w:type="dxa"/>
            <w:shd w:val="clear" w:color="auto" w:fill="auto"/>
            <w:tcMar>
              <w:top w:w="100" w:type="dxa"/>
              <w:left w:w="100" w:type="dxa"/>
              <w:bottom w:w="100" w:type="dxa"/>
              <w:right w:w="100" w:type="dxa"/>
            </w:tcMar>
          </w:tcPr>
          <w:p w14:paraId="66DC329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A</w:t>
            </w:r>
          </w:p>
        </w:tc>
        <w:tc>
          <w:tcPr>
            <w:tcW w:w="960" w:type="dxa"/>
            <w:shd w:val="clear" w:color="auto" w:fill="auto"/>
            <w:tcMar>
              <w:top w:w="100" w:type="dxa"/>
              <w:left w:w="100" w:type="dxa"/>
              <w:bottom w:w="100" w:type="dxa"/>
              <w:right w:w="100" w:type="dxa"/>
            </w:tcMar>
          </w:tcPr>
          <w:p w14:paraId="288DF3D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B</w:t>
            </w:r>
          </w:p>
        </w:tc>
        <w:tc>
          <w:tcPr>
            <w:tcW w:w="1035" w:type="dxa"/>
            <w:shd w:val="clear" w:color="auto" w:fill="auto"/>
            <w:tcMar>
              <w:top w:w="100" w:type="dxa"/>
              <w:left w:w="100" w:type="dxa"/>
              <w:bottom w:w="100" w:type="dxa"/>
              <w:right w:w="100" w:type="dxa"/>
            </w:tcMar>
          </w:tcPr>
          <w:p w14:paraId="68CF89C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C</w:t>
            </w:r>
          </w:p>
        </w:tc>
        <w:tc>
          <w:tcPr>
            <w:tcW w:w="1110" w:type="dxa"/>
            <w:shd w:val="clear" w:color="auto" w:fill="auto"/>
            <w:tcMar>
              <w:top w:w="100" w:type="dxa"/>
              <w:left w:w="100" w:type="dxa"/>
              <w:bottom w:w="100" w:type="dxa"/>
              <w:right w:w="100" w:type="dxa"/>
            </w:tcMar>
          </w:tcPr>
          <w:p w14:paraId="7CE5132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D</w:t>
            </w:r>
          </w:p>
        </w:tc>
        <w:tc>
          <w:tcPr>
            <w:tcW w:w="1095" w:type="dxa"/>
            <w:shd w:val="clear" w:color="auto" w:fill="auto"/>
            <w:tcMar>
              <w:top w:w="100" w:type="dxa"/>
              <w:left w:w="100" w:type="dxa"/>
              <w:bottom w:w="100" w:type="dxa"/>
              <w:right w:w="100" w:type="dxa"/>
            </w:tcMar>
          </w:tcPr>
          <w:p w14:paraId="7B1D593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E</w:t>
            </w:r>
          </w:p>
        </w:tc>
        <w:tc>
          <w:tcPr>
            <w:tcW w:w="1110" w:type="dxa"/>
            <w:shd w:val="clear" w:color="auto" w:fill="auto"/>
            <w:tcMar>
              <w:top w:w="100" w:type="dxa"/>
              <w:left w:w="100" w:type="dxa"/>
              <w:bottom w:w="100" w:type="dxa"/>
              <w:right w:w="100" w:type="dxa"/>
            </w:tcMar>
          </w:tcPr>
          <w:p w14:paraId="2FF3C7A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F</w:t>
            </w:r>
          </w:p>
        </w:tc>
        <w:tc>
          <w:tcPr>
            <w:tcW w:w="1155" w:type="dxa"/>
            <w:shd w:val="clear" w:color="auto" w:fill="auto"/>
            <w:tcMar>
              <w:top w:w="100" w:type="dxa"/>
              <w:left w:w="100" w:type="dxa"/>
              <w:bottom w:w="100" w:type="dxa"/>
              <w:right w:w="100" w:type="dxa"/>
            </w:tcMar>
          </w:tcPr>
          <w:p w14:paraId="3640231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G</w:t>
            </w:r>
          </w:p>
        </w:tc>
      </w:tr>
      <w:tr w:rsidR="00487CB5" w14:paraId="4B7C0DF3" w14:textId="77777777">
        <w:tc>
          <w:tcPr>
            <w:tcW w:w="1425" w:type="dxa"/>
            <w:shd w:val="clear" w:color="auto" w:fill="auto"/>
            <w:tcMar>
              <w:top w:w="100" w:type="dxa"/>
              <w:left w:w="100" w:type="dxa"/>
              <w:bottom w:w="100" w:type="dxa"/>
              <w:right w:w="100" w:type="dxa"/>
            </w:tcMar>
          </w:tcPr>
          <w:p w14:paraId="4D5156B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Valid</w:t>
            </w:r>
          </w:p>
        </w:tc>
        <w:tc>
          <w:tcPr>
            <w:tcW w:w="990" w:type="dxa"/>
            <w:shd w:val="clear" w:color="auto" w:fill="auto"/>
            <w:tcMar>
              <w:top w:w="100" w:type="dxa"/>
              <w:left w:w="100" w:type="dxa"/>
              <w:bottom w:w="100" w:type="dxa"/>
              <w:right w:w="100" w:type="dxa"/>
            </w:tcMar>
          </w:tcPr>
          <w:p w14:paraId="4477C31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340</w:t>
            </w:r>
          </w:p>
        </w:tc>
        <w:tc>
          <w:tcPr>
            <w:tcW w:w="960" w:type="dxa"/>
            <w:shd w:val="clear" w:color="auto" w:fill="auto"/>
            <w:tcMar>
              <w:top w:w="100" w:type="dxa"/>
              <w:left w:w="100" w:type="dxa"/>
              <w:bottom w:w="100" w:type="dxa"/>
              <w:right w:w="100" w:type="dxa"/>
            </w:tcMar>
          </w:tcPr>
          <w:p w14:paraId="4183BCFE"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340</w:t>
            </w:r>
          </w:p>
        </w:tc>
        <w:tc>
          <w:tcPr>
            <w:tcW w:w="1035" w:type="dxa"/>
            <w:shd w:val="clear" w:color="auto" w:fill="auto"/>
            <w:tcMar>
              <w:top w:w="100" w:type="dxa"/>
              <w:left w:w="100" w:type="dxa"/>
              <w:bottom w:w="100" w:type="dxa"/>
              <w:right w:w="100" w:type="dxa"/>
            </w:tcMar>
          </w:tcPr>
          <w:p w14:paraId="75F6373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340</w:t>
            </w:r>
          </w:p>
        </w:tc>
        <w:tc>
          <w:tcPr>
            <w:tcW w:w="1110" w:type="dxa"/>
            <w:shd w:val="clear" w:color="auto" w:fill="auto"/>
            <w:tcMar>
              <w:top w:w="100" w:type="dxa"/>
              <w:left w:w="100" w:type="dxa"/>
              <w:bottom w:w="100" w:type="dxa"/>
              <w:right w:w="100" w:type="dxa"/>
            </w:tcMar>
          </w:tcPr>
          <w:p w14:paraId="01B1E64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340</w:t>
            </w:r>
          </w:p>
        </w:tc>
        <w:tc>
          <w:tcPr>
            <w:tcW w:w="1095" w:type="dxa"/>
            <w:shd w:val="clear" w:color="auto" w:fill="auto"/>
            <w:tcMar>
              <w:top w:w="100" w:type="dxa"/>
              <w:left w:w="100" w:type="dxa"/>
              <w:bottom w:w="100" w:type="dxa"/>
              <w:right w:w="100" w:type="dxa"/>
            </w:tcMar>
          </w:tcPr>
          <w:p w14:paraId="20DBA71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340</w:t>
            </w:r>
          </w:p>
        </w:tc>
        <w:tc>
          <w:tcPr>
            <w:tcW w:w="1110" w:type="dxa"/>
            <w:shd w:val="clear" w:color="auto" w:fill="auto"/>
            <w:tcMar>
              <w:top w:w="100" w:type="dxa"/>
              <w:left w:w="100" w:type="dxa"/>
              <w:bottom w:w="100" w:type="dxa"/>
              <w:right w:w="100" w:type="dxa"/>
            </w:tcMar>
          </w:tcPr>
          <w:p w14:paraId="25A5851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340</w:t>
            </w:r>
          </w:p>
        </w:tc>
        <w:tc>
          <w:tcPr>
            <w:tcW w:w="1155" w:type="dxa"/>
            <w:shd w:val="clear" w:color="auto" w:fill="auto"/>
            <w:tcMar>
              <w:top w:w="100" w:type="dxa"/>
              <w:left w:w="100" w:type="dxa"/>
              <w:bottom w:w="100" w:type="dxa"/>
              <w:right w:w="100" w:type="dxa"/>
            </w:tcMar>
          </w:tcPr>
          <w:p w14:paraId="59EF46C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340</w:t>
            </w:r>
          </w:p>
        </w:tc>
      </w:tr>
      <w:tr w:rsidR="00487CB5" w14:paraId="32A21A6B" w14:textId="77777777">
        <w:tc>
          <w:tcPr>
            <w:tcW w:w="1425" w:type="dxa"/>
            <w:shd w:val="clear" w:color="auto" w:fill="auto"/>
            <w:tcMar>
              <w:top w:w="100" w:type="dxa"/>
              <w:left w:w="100" w:type="dxa"/>
              <w:bottom w:w="100" w:type="dxa"/>
              <w:right w:w="100" w:type="dxa"/>
            </w:tcMar>
          </w:tcPr>
          <w:p w14:paraId="712FF73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Missing </w:t>
            </w:r>
          </w:p>
        </w:tc>
        <w:tc>
          <w:tcPr>
            <w:tcW w:w="990" w:type="dxa"/>
            <w:shd w:val="clear" w:color="auto" w:fill="auto"/>
            <w:tcMar>
              <w:top w:w="100" w:type="dxa"/>
              <w:left w:w="100" w:type="dxa"/>
              <w:bottom w:w="100" w:type="dxa"/>
              <w:right w:w="100" w:type="dxa"/>
            </w:tcMar>
          </w:tcPr>
          <w:p w14:paraId="582B23C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960" w:type="dxa"/>
            <w:shd w:val="clear" w:color="auto" w:fill="auto"/>
            <w:tcMar>
              <w:top w:w="100" w:type="dxa"/>
              <w:left w:w="100" w:type="dxa"/>
              <w:bottom w:w="100" w:type="dxa"/>
              <w:right w:w="100" w:type="dxa"/>
            </w:tcMar>
          </w:tcPr>
          <w:p w14:paraId="0A08C22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1035" w:type="dxa"/>
            <w:shd w:val="clear" w:color="auto" w:fill="auto"/>
            <w:tcMar>
              <w:top w:w="100" w:type="dxa"/>
              <w:left w:w="100" w:type="dxa"/>
              <w:bottom w:w="100" w:type="dxa"/>
              <w:right w:w="100" w:type="dxa"/>
            </w:tcMar>
          </w:tcPr>
          <w:p w14:paraId="0D0CBD0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1110" w:type="dxa"/>
            <w:shd w:val="clear" w:color="auto" w:fill="auto"/>
            <w:tcMar>
              <w:top w:w="100" w:type="dxa"/>
              <w:left w:w="100" w:type="dxa"/>
              <w:bottom w:w="100" w:type="dxa"/>
              <w:right w:w="100" w:type="dxa"/>
            </w:tcMar>
          </w:tcPr>
          <w:p w14:paraId="3CBCF9EE"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1095" w:type="dxa"/>
            <w:shd w:val="clear" w:color="auto" w:fill="auto"/>
            <w:tcMar>
              <w:top w:w="100" w:type="dxa"/>
              <w:left w:w="100" w:type="dxa"/>
              <w:bottom w:w="100" w:type="dxa"/>
              <w:right w:w="100" w:type="dxa"/>
            </w:tcMar>
          </w:tcPr>
          <w:p w14:paraId="38CCFC5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1110" w:type="dxa"/>
            <w:shd w:val="clear" w:color="auto" w:fill="auto"/>
            <w:tcMar>
              <w:top w:w="100" w:type="dxa"/>
              <w:left w:w="100" w:type="dxa"/>
              <w:bottom w:w="100" w:type="dxa"/>
              <w:right w:w="100" w:type="dxa"/>
            </w:tcMar>
          </w:tcPr>
          <w:p w14:paraId="2AFAAB5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c>
          <w:tcPr>
            <w:tcW w:w="1155" w:type="dxa"/>
            <w:shd w:val="clear" w:color="auto" w:fill="auto"/>
            <w:tcMar>
              <w:top w:w="100" w:type="dxa"/>
              <w:left w:w="100" w:type="dxa"/>
              <w:bottom w:w="100" w:type="dxa"/>
              <w:right w:w="100" w:type="dxa"/>
            </w:tcMar>
          </w:tcPr>
          <w:p w14:paraId="6D8C18D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w:t>
            </w:r>
          </w:p>
        </w:tc>
      </w:tr>
      <w:tr w:rsidR="00487CB5" w14:paraId="046B3C1A" w14:textId="77777777">
        <w:tc>
          <w:tcPr>
            <w:tcW w:w="1425" w:type="dxa"/>
            <w:shd w:val="clear" w:color="auto" w:fill="auto"/>
            <w:tcMar>
              <w:top w:w="100" w:type="dxa"/>
              <w:left w:w="100" w:type="dxa"/>
              <w:bottom w:w="100" w:type="dxa"/>
              <w:right w:w="100" w:type="dxa"/>
            </w:tcMar>
          </w:tcPr>
          <w:p w14:paraId="0FDC4FC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Mean</w:t>
            </w:r>
          </w:p>
        </w:tc>
        <w:tc>
          <w:tcPr>
            <w:tcW w:w="990" w:type="dxa"/>
            <w:shd w:val="clear" w:color="auto" w:fill="auto"/>
            <w:tcMar>
              <w:top w:w="100" w:type="dxa"/>
              <w:left w:w="100" w:type="dxa"/>
              <w:bottom w:w="100" w:type="dxa"/>
              <w:right w:w="100" w:type="dxa"/>
            </w:tcMar>
          </w:tcPr>
          <w:p w14:paraId="11ECE45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28.412</w:t>
            </w:r>
          </w:p>
        </w:tc>
        <w:tc>
          <w:tcPr>
            <w:tcW w:w="960" w:type="dxa"/>
            <w:shd w:val="clear" w:color="auto" w:fill="auto"/>
            <w:tcMar>
              <w:top w:w="100" w:type="dxa"/>
              <w:left w:w="100" w:type="dxa"/>
              <w:bottom w:w="100" w:type="dxa"/>
              <w:right w:w="100" w:type="dxa"/>
            </w:tcMar>
          </w:tcPr>
          <w:p w14:paraId="480020F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17.374</w:t>
            </w:r>
          </w:p>
        </w:tc>
        <w:tc>
          <w:tcPr>
            <w:tcW w:w="1035" w:type="dxa"/>
            <w:shd w:val="clear" w:color="auto" w:fill="auto"/>
            <w:tcMar>
              <w:top w:w="100" w:type="dxa"/>
              <w:left w:w="100" w:type="dxa"/>
              <w:bottom w:w="100" w:type="dxa"/>
              <w:right w:w="100" w:type="dxa"/>
            </w:tcMar>
          </w:tcPr>
          <w:p w14:paraId="47FE65C6"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21.685</w:t>
            </w:r>
          </w:p>
        </w:tc>
        <w:tc>
          <w:tcPr>
            <w:tcW w:w="1110" w:type="dxa"/>
            <w:shd w:val="clear" w:color="auto" w:fill="auto"/>
            <w:tcMar>
              <w:top w:w="100" w:type="dxa"/>
              <w:left w:w="100" w:type="dxa"/>
              <w:bottom w:w="100" w:type="dxa"/>
              <w:right w:w="100" w:type="dxa"/>
            </w:tcMar>
          </w:tcPr>
          <w:p w14:paraId="05932AE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16.271</w:t>
            </w:r>
          </w:p>
        </w:tc>
        <w:tc>
          <w:tcPr>
            <w:tcW w:w="1095" w:type="dxa"/>
            <w:shd w:val="clear" w:color="auto" w:fill="auto"/>
            <w:tcMar>
              <w:top w:w="100" w:type="dxa"/>
              <w:left w:w="100" w:type="dxa"/>
              <w:bottom w:w="100" w:type="dxa"/>
              <w:right w:w="100" w:type="dxa"/>
            </w:tcMar>
          </w:tcPr>
          <w:p w14:paraId="79E2C9A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18.312</w:t>
            </w:r>
          </w:p>
        </w:tc>
        <w:tc>
          <w:tcPr>
            <w:tcW w:w="1110" w:type="dxa"/>
            <w:shd w:val="clear" w:color="auto" w:fill="auto"/>
            <w:tcMar>
              <w:top w:w="100" w:type="dxa"/>
              <w:left w:w="100" w:type="dxa"/>
              <w:bottom w:w="100" w:type="dxa"/>
              <w:right w:w="100" w:type="dxa"/>
            </w:tcMar>
          </w:tcPr>
          <w:p w14:paraId="0C5FA3D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22.241</w:t>
            </w:r>
          </w:p>
        </w:tc>
        <w:tc>
          <w:tcPr>
            <w:tcW w:w="1155" w:type="dxa"/>
            <w:shd w:val="clear" w:color="auto" w:fill="auto"/>
            <w:tcMar>
              <w:top w:w="100" w:type="dxa"/>
              <w:left w:w="100" w:type="dxa"/>
              <w:bottom w:w="100" w:type="dxa"/>
              <w:right w:w="100" w:type="dxa"/>
            </w:tcMar>
          </w:tcPr>
          <w:p w14:paraId="4C1CB57C"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7.603</w:t>
            </w:r>
          </w:p>
        </w:tc>
      </w:tr>
      <w:tr w:rsidR="00487CB5" w14:paraId="53D7B002" w14:textId="77777777">
        <w:tc>
          <w:tcPr>
            <w:tcW w:w="1425" w:type="dxa"/>
            <w:shd w:val="clear" w:color="auto" w:fill="auto"/>
            <w:tcMar>
              <w:top w:w="100" w:type="dxa"/>
              <w:left w:w="100" w:type="dxa"/>
              <w:bottom w:w="100" w:type="dxa"/>
              <w:right w:w="100" w:type="dxa"/>
            </w:tcMar>
          </w:tcPr>
          <w:p w14:paraId="20ED740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Std. Deviation</w:t>
            </w:r>
          </w:p>
        </w:tc>
        <w:tc>
          <w:tcPr>
            <w:tcW w:w="990" w:type="dxa"/>
            <w:shd w:val="clear" w:color="auto" w:fill="auto"/>
            <w:tcMar>
              <w:top w:w="100" w:type="dxa"/>
              <w:left w:w="100" w:type="dxa"/>
              <w:bottom w:w="100" w:type="dxa"/>
              <w:right w:w="100" w:type="dxa"/>
            </w:tcMar>
          </w:tcPr>
          <w:p w14:paraId="508A294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4.213</w:t>
            </w:r>
          </w:p>
        </w:tc>
        <w:tc>
          <w:tcPr>
            <w:tcW w:w="960" w:type="dxa"/>
            <w:shd w:val="clear" w:color="auto" w:fill="auto"/>
            <w:tcMar>
              <w:top w:w="100" w:type="dxa"/>
              <w:left w:w="100" w:type="dxa"/>
              <w:bottom w:w="100" w:type="dxa"/>
              <w:right w:w="100" w:type="dxa"/>
            </w:tcMar>
          </w:tcPr>
          <w:p w14:paraId="5F5E941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2.317</w:t>
            </w:r>
          </w:p>
        </w:tc>
        <w:tc>
          <w:tcPr>
            <w:tcW w:w="1035" w:type="dxa"/>
            <w:shd w:val="clear" w:color="auto" w:fill="auto"/>
            <w:tcMar>
              <w:top w:w="100" w:type="dxa"/>
              <w:left w:w="100" w:type="dxa"/>
              <w:bottom w:w="100" w:type="dxa"/>
              <w:right w:w="100" w:type="dxa"/>
            </w:tcMar>
          </w:tcPr>
          <w:p w14:paraId="4A63DD2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3.443</w:t>
            </w:r>
          </w:p>
        </w:tc>
        <w:tc>
          <w:tcPr>
            <w:tcW w:w="1110" w:type="dxa"/>
            <w:shd w:val="clear" w:color="auto" w:fill="auto"/>
            <w:tcMar>
              <w:top w:w="100" w:type="dxa"/>
              <w:left w:w="100" w:type="dxa"/>
              <w:bottom w:w="100" w:type="dxa"/>
              <w:right w:w="100" w:type="dxa"/>
            </w:tcMar>
          </w:tcPr>
          <w:p w14:paraId="742897E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2.504</w:t>
            </w:r>
          </w:p>
        </w:tc>
        <w:tc>
          <w:tcPr>
            <w:tcW w:w="1095" w:type="dxa"/>
            <w:shd w:val="clear" w:color="auto" w:fill="auto"/>
            <w:tcMar>
              <w:top w:w="100" w:type="dxa"/>
              <w:left w:w="100" w:type="dxa"/>
              <w:bottom w:w="100" w:type="dxa"/>
              <w:right w:w="100" w:type="dxa"/>
            </w:tcMar>
          </w:tcPr>
          <w:p w14:paraId="54587E9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3.314</w:t>
            </w:r>
          </w:p>
        </w:tc>
        <w:tc>
          <w:tcPr>
            <w:tcW w:w="1110" w:type="dxa"/>
            <w:shd w:val="clear" w:color="auto" w:fill="auto"/>
            <w:tcMar>
              <w:top w:w="100" w:type="dxa"/>
              <w:left w:w="100" w:type="dxa"/>
              <w:bottom w:w="100" w:type="dxa"/>
              <w:right w:w="100" w:type="dxa"/>
            </w:tcMar>
          </w:tcPr>
          <w:p w14:paraId="61FD427E"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3.729</w:t>
            </w:r>
          </w:p>
        </w:tc>
        <w:tc>
          <w:tcPr>
            <w:tcW w:w="1155" w:type="dxa"/>
            <w:shd w:val="clear" w:color="auto" w:fill="auto"/>
            <w:tcMar>
              <w:top w:w="100" w:type="dxa"/>
              <w:left w:w="100" w:type="dxa"/>
              <w:bottom w:w="100" w:type="dxa"/>
              <w:right w:w="100" w:type="dxa"/>
            </w:tcMar>
          </w:tcPr>
          <w:p w14:paraId="4BECBB3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1.332</w:t>
            </w:r>
          </w:p>
        </w:tc>
      </w:tr>
      <w:tr w:rsidR="00487CB5" w14:paraId="0202FFC0" w14:textId="77777777">
        <w:tc>
          <w:tcPr>
            <w:tcW w:w="1425" w:type="dxa"/>
            <w:shd w:val="clear" w:color="auto" w:fill="auto"/>
            <w:tcMar>
              <w:top w:w="100" w:type="dxa"/>
              <w:left w:w="100" w:type="dxa"/>
              <w:bottom w:w="100" w:type="dxa"/>
              <w:right w:w="100" w:type="dxa"/>
            </w:tcMar>
          </w:tcPr>
          <w:p w14:paraId="148813F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Shapiro-Wilk</w:t>
            </w:r>
          </w:p>
        </w:tc>
        <w:tc>
          <w:tcPr>
            <w:tcW w:w="990" w:type="dxa"/>
            <w:shd w:val="clear" w:color="auto" w:fill="auto"/>
            <w:tcMar>
              <w:top w:w="100" w:type="dxa"/>
              <w:left w:w="100" w:type="dxa"/>
              <w:bottom w:w="100" w:type="dxa"/>
              <w:right w:w="100" w:type="dxa"/>
            </w:tcMar>
          </w:tcPr>
          <w:p w14:paraId="4371EEE0"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0.944</w:t>
            </w:r>
          </w:p>
        </w:tc>
        <w:tc>
          <w:tcPr>
            <w:tcW w:w="960" w:type="dxa"/>
            <w:shd w:val="clear" w:color="auto" w:fill="auto"/>
            <w:tcMar>
              <w:top w:w="100" w:type="dxa"/>
              <w:left w:w="100" w:type="dxa"/>
              <w:bottom w:w="100" w:type="dxa"/>
              <w:right w:w="100" w:type="dxa"/>
            </w:tcMar>
          </w:tcPr>
          <w:p w14:paraId="04E5D78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0.884</w:t>
            </w:r>
          </w:p>
        </w:tc>
        <w:tc>
          <w:tcPr>
            <w:tcW w:w="1035" w:type="dxa"/>
            <w:shd w:val="clear" w:color="auto" w:fill="auto"/>
            <w:tcMar>
              <w:top w:w="100" w:type="dxa"/>
              <w:left w:w="100" w:type="dxa"/>
              <w:bottom w:w="100" w:type="dxa"/>
              <w:right w:w="100" w:type="dxa"/>
            </w:tcMar>
          </w:tcPr>
          <w:p w14:paraId="008AFD5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0.979</w:t>
            </w:r>
          </w:p>
        </w:tc>
        <w:tc>
          <w:tcPr>
            <w:tcW w:w="1110" w:type="dxa"/>
            <w:shd w:val="clear" w:color="auto" w:fill="auto"/>
            <w:tcMar>
              <w:top w:w="100" w:type="dxa"/>
              <w:left w:w="100" w:type="dxa"/>
              <w:bottom w:w="100" w:type="dxa"/>
              <w:right w:w="100" w:type="dxa"/>
            </w:tcMar>
          </w:tcPr>
          <w:p w14:paraId="6F25A02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0.909</w:t>
            </w:r>
          </w:p>
        </w:tc>
        <w:tc>
          <w:tcPr>
            <w:tcW w:w="1095" w:type="dxa"/>
            <w:shd w:val="clear" w:color="auto" w:fill="auto"/>
            <w:tcMar>
              <w:top w:w="100" w:type="dxa"/>
              <w:left w:w="100" w:type="dxa"/>
              <w:bottom w:w="100" w:type="dxa"/>
              <w:right w:w="100" w:type="dxa"/>
            </w:tcMar>
          </w:tcPr>
          <w:p w14:paraId="117E2F86"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0.969</w:t>
            </w:r>
          </w:p>
        </w:tc>
        <w:tc>
          <w:tcPr>
            <w:tcW w:w="1110" w:type="dxa"/>
            <w:shd w:val="clear" w:color="auto" w:fill="auto"/>
            <w:tcMar>
              <w:top w:w="100" w:type="dxa"/>
              <w:left w:w="100" w:type="dxa"/>
              <w:bottom w:w="100" w:type="dxa"/>
              <w:right w:w="100" w:type="dxa"/>
            </w:tcMar>
          </w:tcPr>
          <w:p w14:paraId="30F1D29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0.974</w:t>
            </w:r>
          </w:p>
        </w:tc>
        <w:tc>
          <w:tcPr>
            <w:tcW w:w="1155" w:type="dxa"/>
            <w:shd w:val="clear" w:color="auto" w:fill="auto"/>
            <w:tcMar>
              <w:top w:w="100" w:type="dxa"/>
              <w:left w:w="100" w:type="dxa"/>
              <w:bottom w:w="100" w:type="dxa"/>
              <w:right w:w="100" w:type="dxa"/>
            </w:tcMar>
          </w:tcPr>
          <w:p w14:paraId="4829ADF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0.930</w:t>
            </w:r>
          </w:p>
        </w:tc>
      </w:tr>
      <w:tr w:rsidR="00487CB5" w14:paraId="790B9140" w14:textId="77777777">
        <w:tc>
          <w:tcPr>
            <w:tcW w:w="1425" w:type="dxa"/>
            <w:shd w:val="clear" w:color="auto" w:fill="auto"/>
            <w:tcMar>
              <w:top w:w="100" w:type="dxa"/>
              <w:left w:w="100" w:type="dxa"/>
              <w:bottom w:w="100" w:type="dxa"/>
              <w:right w:w="100" w:type="dxa"/>
            </w:tcMar>
          </w:tcPr>
          <w:p w14:paraId="481A0C4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P-value of Shapiro-Wilk</w:t>
            </w:r>
          </w:p>
        </w:tc>
        <w:tc>
          <w:tcPr>
            <w:tcW w:w="990" w:type="dxa"/>
            <w:shd w:val="clear" w:color="auto" w:fill="auto"/>
            <w:tcMar>
              <w:top w:w="100" w:type="dxa"/>
              <w:left w:w="100" w:type="dxa"/>
              <w:bottom w:w="100" w:type="dxa"/>
              <w:right w:w="100" w:type="dxa"/>
            </w:tcMar>
          </w:tcPr>
          <w:p w14:paraId="2A556A4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&lt;.001</w:t>
            </w:r>
          </w:p>
        </w:tc>
        <w:tc>
          <w:tcPr>
            <w:tcW w:w="960" w:type="dxa"/>
            <w:shd w:val="clear" w:color="auto" w:fill="auto"/>
            <w:tcMar>
              <w:top w:w="100" w:type="dxa"/>
              <w:left w:w="100" w:type="dxa"/>
              <w:bottom w:w="100" w:type="dxa"/>
              <w:right w:w="100" w:type="dxa"/>
            </w:tcMar>
          </w:tcPr>
          <w:p w14:paraId="29DB84B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1035" w:type="dxa"/>
            <w:shd w:val="clear" w:color="auto" w:fill="auto"/>
            <w:tcMar>
              <w:top w:w="100" w:type="dxa"/>
              <w:left w:w="100" w:type="dxa"/>
              <w:bottom w:w="100" w:type="dxa"/>
              <w:right w:w="100" w:type="dxa"/>
            </w:tcMar>
          </w:tcPr>
          <w:p w14:paraId="657ED5D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1110" w:type="dxa"/>
            <w:shd w:val="clear" w:color="auto" w:fill="auto"/>
            <w:tcMar>
              <w:top w:w="100" w:type="dxa"/>
              <w:left w:w="100" w:type="dxa"/>
              <w:bottom w:w="100" w:type="dxa"/>
              <w:right w:w="100" w:type="dxa"/>
            </w:tcMar>
          </w:tcPr>
          <w:p w14:paraId="4DDE7AE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1095" w:type="dxa"/>
            <w:shd w:val="clear" w:color="auto" w:fill="auto"/>
            <w:tcMar>
              <w:top w:w="100" w:type="dxa"/>
              <w:left w:w="100" w:type="dxa"/>
              <w:bottom w:w="100" w:type="dxa"/>
              <w:right w:w="100" w:type="dxa"/>
            </w:tcMar>
          </w:tcPr>
          <w:p w14:paraId="6B1D31E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1110" w:type="dxa"/>
            <w:shd w:val="clear" w:color="auto" w:fill="auto"/>
            <w:tcMar>
              <w:top w:w="100" w:type="dxa"/>
              <w:left w:w="100" w:type="dxa"/>
              <w:bottom w:w="100" w:type="dxa"/>
              <w:right w:w="100" w:type="dxa"/>
            </w:tcMar>
          </w:tcPr>
          <w:p w14:paraId="5A0F4F4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c>
          <w:tcPr>
            <w:tcW w:w="1155" w:type="dxa"/>
            <w:shd w:val="clear" w:color="auto" w:fill="auto"/>
            <w:tcMar>
              <w:top w:w="100" w:type="dxa"/>
              <w:left w:w="100" w:type="dxa"/>
              <w:bottom w:w="100" w:type="dxa"/>
              <w:right w:w="100" w:type="dxa"/>
            </w:tcMar>
          </w:tcPr>
          <w:p w14:paraId="1861BFE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r>
    </w:tbl>
    <w:p w14:paraId="4BD03504" w14:textId="77777777" w:rsidR="00487CB5" w:rsidRDefault="00487CB5">
      <w:pPr>
        <w:rPr>
          <w:rFonts w:ascii="Times New Roman" w:eastAsia="Times New Roman" w:hAnsi="Times New Roman" w:cs="Times New Roman"/>
        </w:rPr>
      </w:pPr>
    </w:p>
    <w:p w14:paraId="0D8EC288" w14:textId="77777777" w:rsidR="00487CB5" w:rsidRDefault="00487CB5">
      <w:pPr>
        <w:rPr>
          <w:rFonts w:ascii="Times New Roman" w:eastAsia="Times New Roman" w:hAnsi="Times New Roman" w:cs="Times New Roman"/>
        </w:rPr>
      </w:pPr>
    </w:p>
    <w:p w14:paraId="38C99A59"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Correlation</w:t>
      </w:r>
    </w:p>
    <w:p w14:paraId="293311FD" w14:textId="77777777" w:rsidR="00487CB5" w:rsidRDefault="00487CB5">
      <w:pPr>
        <w:rPr>
          <w:rFonts w:ascii="Times New Roman" w:eastAsia="Times New Roman" w:hAnsi="Times New Roman" w:cs="Times New Roman"/>
        </w:rPr>
      </w:pPr>
    </w:p>
    <w:p w14:paraId="2745DF98"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Table 3 shows Spearman’s Rho, which indicates the correlation between the following variables “Personal Norms</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Green Purchase Intention”, “Satisfaction”, “Consumer Scepticism” and </w:t>
      </w:r>
      <w:r>
        <w:rPr>
          <w:rFonts w:ascii="Times New Roman" w:eastAsia="Times New Roman" w:hAnsi="Times New Roman" w:cs="Times New Roman"/>
        </w:rPr>
        <w:lastRenderedPageBreak/>
        <w:t>“Alternative Evaluation”. We are taking into consideration three levels of significance from .05 .01 and .001, results pertaining to our hypothesis under consideration, indicated that:</w:t>
      </w:r>
    </w:p>
    <w:p w14:paraId="3E9F850A" w14:textId="77777777" w:rsidR="00487CB5" w:rsidRDefault="00487CB5">
      <w:pPr>
        <w:rPr>
          <w:rFonts w:ascii="Times New Roman" w:eastAsia="Times New Roman" w:hAnsi="Times New Roman" w:cs="Times New Roman"/>
        </w:rPr>
      </w:pPr>
    </w:p>
    <w:p w14:paraId="08BF9AAA"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‘Sum </w:t>
      </w:r>
      <w:proofErr w:type="gramStart"/>
      <w:r>
        <w:rPr>
          <w:rFonts w:ascii="Times New Roman" w:eastAsia="Times New Roman" w:hAnsi="Times New Roman" w:cs="Times New Roman"/>
        </w:rPr>
        <w:t>A ’</w:t>
      </w:r>
      <w:proofErr w:type="gramEnd"/>
      <w:r>
        <w:rPr>
          <w:rFonts w:ascii="Times New Roman" w:eastAsia="Times New Roman" w:hAnsi="Times New Roman" w:cs="Times New Roman"/>
        </w:rPr>
        <w:t>(Personal Norms) and ‘Sum B</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Green Purchase Intention) have a correlation with, p &lt; 0.001 and rho = </w:t>
      </w:r>
      <w:proofErr w:type="gramStart"/>
      <w:r>
        <w:rPr>
          <w:rFonts w:ascii="Times New Roman" w:eastAsia="Times New Roman" w:hAnsi="Times New Roman" w:cs="Times New Roman"/>
        </w:rPr>
        <w:t>0.303 .</w:t>
      </w:r>
      <w:proofErr w:type="gramEnd"/>
      <w:r>
        <w:rPr>
          <w:rFonts w:ascii="Times New Roman" w:eastAsia="Times New Roman" w:hAnsi="Times New Roman" w:cs="Times New Roman"/>
        </w:rPr>
        <w:t xml:space="preserve"> (H1)</w:t>
      </w:r>
    </w:p>
    <w:p w14:paraId="399D30EB" w14:textId="77777777" w:rsidR="00487CB5" w:rsidRDefault="00487CB5">
      <w:pPr>
        <w:rPr>
          <w:rFonts w:ascii="Times New Roman" w:eastAsia="Times New Roman" w:hAnsi="Times New Roman" w:cs="Times New Roman"/>
        </w:rPr>
      </w:pPr>
    </w:p>
    <w:p w14:paraId="5E6A73F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‘Sum B</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Green Purchase intention) and ‘Sum D’(Satisfaction) have a correlation with, p &lt; 0.001 and rho = </w:t>
      </w:r>
      <w:proofErr w:type="gramStart"/>
      <w:r>
        <w:rPr>
          <w:rFonts w:ascii="Times New Roman" w:eastAsia="Times New Roman" w:hAnsi="Times New Roman" w:cs="Times New Roman"/>
        </w:rPr>
        <w:t>0.303 .</w:t>
      </w:r>
      <w:proofErr w:type="gramEnd"/>
      <w:r>
        <w:rPr>
          <w:rFonts w:ascii="Times New Roman" w:eastAsia="Times New Roman" w:hAnsi="Times New Roman" w:cs="Times New Roman"/>
        </w:rPr>
        <w:t xml:space="preserve"> (H2)</w:t>
      </w:r>
    </w:p>
    <w:p w14:paraId="34EEFD2E" w14:textId="77777777" w:rsidR="00487CB5" w:rsidRDefault="00487CB5">
      <w:pPr>
        <w:rPr>
          <w:rFonts w:ascii="Times New Roman" w:eastAsia="Times New Roman" w:hAnsi="Times New Roman" w:cs="Times New Roman"/>
        </w:rPr>
      </w:pPr>
    </w:p>
    <w:p w14:paraId="4F73A7A0"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‘Sum 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Alternative Evaluation) and ‘Sum D’(Satisfaction) have a correlation with, p &lt; 0.001 and rho = </w:t>
      </w:r>
      <w:proofErr w:type="gramStart"/>
      <w:r>
        <w:rPr>
          <w:rFonts w:ascii="Times New Roman" w:eastAsia="Times New Roman" w:hAnsi="Times New Roman" w:cs="Times New Roman"/>
        </w:rPr>
        <w:t>0.303 .</w:t>
      </w:r>
      <w:proofErr w:type="gramEnd"/>
      <w:r>
        <w:rPr>
          <w:rFonts w:ascii="Times New Roman" w:eastAsia="Times New Roman" w:hAnsi="Times New Roman" w:cs="Times New Roman"/>
        </w:rPr>
        <w:t xml:space="preserve"> (H3)</w:t>
      </w:r>
    </w:p>
    <w:p w14:paraId="22F27DC4" w14:textId="77777777" w:rsidR="00487CB5" w:rsidRDefault="00487CB5">
      <w:pPr>
        <w:rPr>
          <w:rFonts w:ascii="Times New Roman" w:eastAsia="Times New Roman" w:hAnsi="Times New Roman" w:cs="Times New Roman"/>
        </w:rPr>
      </w:pPr>
    </w:p>
    <w:p w14:paraId="4BCF9D79"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‘Sum D’(Satisfaction)) and ‘Sum G</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Consumer Scepticism) have a correlation with, p &lt; 0.001 and rho = </w:t>
      </w:r>
      <w:proofErr w:type="gramStart"/>
      <w:r>
        <w:rPr>
          <w:rFonts w:ascii="Times New Roman" w:eastAsia="Times New Roman" w:hAnsi="Times New Roman" w:cs="Times New Roman"/>
        </w:rPr>
        <w:t>0.303 .</w:t>
      </w:r>
      <w:proofErr w:type="gramEnd"/>
      <w:r>
        <w:rPr>
          <w:rFonts w:ascii="Times New Roman" w:eastAsia="Times New Roman" w:hAnsi="Times New Roman" w:cs="Times New Roman"/>
        </w:rPr>
        <w:t xml:space="preserve"> (H4)</w:t>
      </w:r>
    </w:p>
    <w:p w14:paraId="76D8F98E" w14:textId="77777777" w:rsidR="00487CB5" w:rsidRDefault="00487CB5">
      <w:pPr>
        <w:rPr>
          <w:rFonts w:ascii="Times New Roman" w:eastAsia="Times New Roman" w:hAnsi="Times New Roman" w:cs="Times New Roman"/>
        </w:rPr>
      </w:pPr>
    </w:p>
    <w:p w14:paraId="7CEAAB2D"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‘Sum 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Alternative Evaluation) and ‘Sum G</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Consumer Scepticism) have a correlation with, p &lt; 0.001 and rho = </w:t>
      </w:r>
      <w:proofErr w:type="gramStart"/>
      <w:r>
        <w:rPr>
          <w:rFonts w:ascii="Times New Roman" w:eastAsia="Times New Roman" w:hAnsi="Times New Roman" w:cs="Times New Roman"/>
        </w:rPr>
        <w:t>0.303 .</w:t>
      </w:r>
      <w:proofErr w:type="gramEnd"/>
      <w:r>
        <w:rPr>
          <w:rFonts w:ascii="Times New Roman" w:eastAsia="Times New Roman" w:hAnsi="Times New Roman" w:cs="Times New Roman"/>
        </w:rPr>
        <w:t xml:space="preserve"> (H5)</w:t>
      </w:r>
    </w:p>
    <w:p w14:paraId="51B5E172" w14:textId="77777777" w:rsidR="00487CB5" w:rsidRDefault="00487CB5">
      <w:pPr>
        <w:rPr>
          <w:rFonts w:ascii="Times New Roman" w:eastAsia="Times New Roman" w:hAnsi="Times New Roman" w:cs="Times New Roman"/>
        </w:rPr>
      </w:pPr>
    </w:p>
    <w:p w14:paraId="4996B53F"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b/>
        </w:rPr>
        <w:t xml:space="preserve">Table 3: Spearman's Correlations </w:t>
      </w: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500"/>
        <w:gridCol w:w="1500"/>
        <w:gridCol w:w="1695"/>
        <w:gridCol w:w="1305"/>
        <w:gridCol w:w="1500"/>
      </w:tblGrid>
      <w:tr w:rsidR="00487CB5" w14:paraId="1B4D6C83" w14:textId="77777777">
        <w:tc>
          <w:tcPr>
            <w:tcW w:w="1500" w:type="dxa"/>
            <w:shd w:val="clear" w:color="auto" w:fill="auto"/>
            <w:tcMar>
              <w:top w:w="100" w:type="dxa"/>
              <w:left w:w="100" w:type="dxa"/>
              <w:bottom w:w="100" w:type="dxa"/>
              <w:right w:w="100" w:type="dxa"/>
            </w:tcMar>
          </w:tcPr>
          <w:p w14:paraId="35B3FBC4"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54CE6BCA"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0E09F934"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695" w:type="dxa"/>
            <w:shd w:val="clear" w:color="auto" w:fill="auto"/>
            <w:tcMar>
              <w:top w:w="100" w:type="dxa"/>
              <w:left w:w="100" w:type="dxa"/>
              <w:bottom w:w="100" w:type="dxa"/>
              <w:right w:w="100" w:type="dxa"/>
            </w:tcMar>
          </w:tcPr>
          <w:p w14:paraId="2FAA0B0C"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Spearman's rho</w:t>
            </w:r>
          </w:p>
        </w:tc>
        <w:tc>
          <w:tcPr>
            <w:tcW w:w="1305" w:type="dxa"/>
            <w:shd w:val="clear" w:color="auto" w:fill="auto"/>
            <w:tcMar>
              <w:top w:w="100" w:type="dxa"/>
              <w:left w:w="100" w:type="dxa"/>
              <w:bottom w:w="100" w:type="dxa"/>
              <w:right w:w="100" w:type="dxa"/>
            </w:tcMar>
          </w:tcPr>
          <w:p w14:paraId="297685F4"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42FDBD21" w14:textId="77777777" w:rsidR="00487CB5" w:rsidRDefault="002B62DD">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p</w:t>
            </w:r>
          </w:p>
        </w:tc>
      </w:tr>
      <w:tr w:rsidR="00487CB5" w14:paraId="53D88489" w14:textId="77777777">
        <w:tc>
          <w:tcPr>
            <w:tcW w:w="1500" w:type="dxa"/>
            <w:shd w:val="clear" w:color="auto" w:fill="auto"/>
            <w:tcMar>
              <w:top w:w="100" w:type="dxa"/>
              <w:left w:w="100" w:type="dxa"/>
              <w:bottom w:w="100" w:type="dxa"/>
              <w:right w:w="100" w:type="dxa"/>
            </w:tcMar>
          </w:tcPr>
          <w:p w14:paraId="0448A90C"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7289E176"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2E9B5D3C"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695" w:type="dxa"/>
            <w:shd w:val="clear" w:color="auto" w:fill="auto"/>
            <w:tcMar>
              <w:top w:w="100" w:type="dxa"/>
              <w:left w:w="100" w:type="dxa"/>
              <w:bottom w:w="100" w:type="dxa"/>
              <w:right w:w="100" w:type="dxa"/>
            </w:tcMar>
          </w:tcPr>
          <w:p w14:paraId="195499E5"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305" w:type="dxa"/>
            <w:shd w:val="clear" w:color="auto" w:fill="auto"/>
            <w:tcMar>
              <w:top w:w="100" w:type="dxa"/>
              <w:left w:w="100" w:type="dxa"/>
              <w:bottom w:w="100" w:type="dxa"/>
              <w:right w:w="100" w:type="dxa"/>
            </w:tcMar>
          </w:tcPr>
          <w:p w14:paraId="5DA0AA86"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77BAC9B1"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r>
      <w:tr w:rsidR="00487CB5" w14:paraId="28B81C73" w14:textId="77777777">
        <w:tc>
          <w:tcPr>
            <w:tcW w:w="1500" w:type="dxa"/>
            <w:shd w:val="clear" w:color="auto" w:fill="auto"/>
            <w:tcMar>
              <w:top w:w="100" w:type="dxa"/>
              <w:left w:w="100" w:type="dxa"/>
              <w:bottom w:w="100" w:type="dxa"/>
              <w:right w:w="100" w:type="dxa"/>
            </w:tcMar>
          </w:tcPr>
          <w:p w14:paraId="346151B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A</w:t>
            </w:r>
          </w:p>
        </w:tc>
        <w:tc>
          <w:tcPr>
            <w:tcW w:w="1500" w:type="dxa"/>
            <w:shd w:val="clear" w:color="auto" w:fill="auto"/>
            <w:tcMar>
              <w:top w:w="100" w:type="dxa"/>
              <w:left w:w="100" w:type="dxa"/>
              <w:bottom w:w="100" w:type="dxa"/>
              <w:right w:w="100" w:type="dxa"/>
            </w:tcMar>
          </w:tcPr>
          <w:p w14:paraId="14889A1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578B6E0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B</w:t>
            </w:r>
          </w:p>
        </w:tc>
        <w:tc>
          <w:tcPr>
            <w:tcW w:w="1695" w:type="dxa"/>
            <w:shd w:val="clear" w:color="auto" w:fill="auto"/>
            <w:tcMar>
              <w:top w:w="100" w:type="dxa"/>
              <w:left w:w="100" w:type="dxa"/>
              <w:bottom w:w="100" w:type="dxa"/>
              <w:right w:w="100" w:type="dxa"/>
            </w:tcMar>
          </w:tcPr>
          <w:p w14:paraId="1B097D1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0.627</w:t>
            </w:r>
          </w:p>
        </w:tc>
        <w:tc>
          <w:tcPr>
            <w:tcW w:w="1305" w:type="dxa"/>
            <w:shd w:val="clear" w:color="auto" w:fill="auto"/>
            <w:tcMar>
              <w:top w:w="100" w:type="dxa"/>
              <w:left w:w="100" w:type="dxa"/>
              <w:bottom w:w="100" w:type="dxa"/>
              <w:right w:w="100" w:type="dxa"/>
            </w:tcMar>
          </w:tcPr>
          <w:p w14:paraId="561137DE"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6D992F4A"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&lt;.001</w:t>
            </w:r>
          </w:p>
        </w:tc>
      </w:tr>
      <w:tr w:rsidR="00487CB5" w14:paraId="34F83B5C" w14:textId="77777777">
        <w:tc>
          <w:tcPr>
            <w:tcW w:w="1500" w:type="dxa"/>
            <w:shd w:val="clear" w:color="auto" w:fill="auto"/>
            <w:tcMar>
              <w:top w:w="100" w:type="dxa"/>
              <w:left w:w="100" w:type="dxa"/>
              <w:bottom w:w="100" w:type="dxa"/>
              <w:right w:w="100" w:type="dxa"/>
            </w:tcMar>
          </w:tcPr>
          <w:p w14:paraId="3A28374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B</w:t>
            </w:r>
          </w:p>
        </w:tc>
        <w:tc>
          <w:tcPr>
            <w:tcW w:w="1500" w:type="dxa"/>
            <w:shd w:val="clear" w:color="auto" w:fill="auto"/>
            <w:tcMar>
              <w:top w:w="100" w:type="dxa"/>
              <w:left w:w="100" w:type="dxa"/>
              <w:bottom w:w="100" w:type="dxa"/>
              <w:right w:w="100" w:type="dxa"/>
            </w:tcMar>
          </w:tcPr>
          <w:p w14:paraId="33DD6DE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50CEA30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D</w:t>
            </w:r>
          </w:p>
        </w:tc>
        <w:tc>
          <w:tcPr>
            <w:tcW w:w="1695" w:type="dxa"/>
            <w:shd w:val="clear" w:color="auto" w:fill="auto"/>
            <w:tcMar>
              <w:top w:w="100" w:type="dxa"/>
              <w:left w:w="100" w:type="dxa"/>
              <w:bottom w:w="100" w:type="dxa"/>
              <w:right w:w="100" w:type="dxa"/>
            </w:tcMar>
          </w:tcPr>
          <w:p w14:paraId="2250B7B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0.639</w:t>
            </w:r>
          </w:p>
        </w:tc>
        <w:tc>
          <w:tcPr>
            <w:tcW w:w="1305" w:type="dxa"/>
            <w:shd w:val="clear" w:color="auto" w:fill="auto"/>
            <w:tcMar>
              <w:top w:w="100" w:type="dxa"/>
              <w:left w:w="100" w:type="dxa"/>
              <w:bottom w:w="100" w:type="dxa"/>
              <w:right w:w="100" w:type="dxa"/>
            </w:tcMar>
          </w:tcPr>
          <w:p w14:paraId="0DA459C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7514AB3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r>
      <w:tr w:rsidR="00487CB5" w14:paraId="1EE25101" w14:textId="77777777">
        <w:tc>
          <w:tcPr>
            <w:tcW w:w="1500" w:type="dxa"/>
            <w:shd w:val="clear" w:color="auto" w:fill="auto"/>
            <w:tcMar>
              <w:top w:w="100" w:type="dxa"/>
              <w:left w:w="100" w:type="dxa"/>
              <w:bottom w:w="100" w:type="dxa"/>
              <w:right w:w="100" w:type="dxa"/>
            </w:tcMar>
          </w:tcPr>
          <w:p w14:paraId="320A1A0E"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E</w:t>
            </w:r>
          </w:p>
        </w:tc>
        <w:tc>
          <w:tcPr>
            <w:tcW w:w="1500" w:type="dxa"/>
            <w:shd w:val="clear" w:color="auto" w:fill="auto"/>
            <w:tcMar>
              <w:top w:w="100" w:type="dxa"/>
              <w:left w:w="100" w:type="dxa"/>
              <w:bottom w:w="100" w:type="dxa"/>
              <w:right w:w="100" w:type="dxa"/>
            </w:tcMar>
          </w:tcPr>
          <w:p w14:paraId="48965890"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4AD05F1C"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D</w:t>
            </w:r>
          </w:p>
        </w:tc>
        <w:tc>
          <w:tcPr>
            <w:tcW w:w="1695" w:type="dxa"/>
            <w:shd w:val="clear" w:color="auto" w:fill="auto"/>
            <w:tcMar>
              <w:top w:w="100" w:type="dxa"/>
              <w:left w:w="100" w:type="dxa"/>
              <w:bottom w:w="100" w:type="dxa"/>
              <w:right w:w="100" w:type="dxa"/>
            </w:tcMar>
          </w:tcPr>
          <w:p w14:paraId="36DD83F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0.145</w:t>
            </w:r>
          </w:p>
        </w:tc>
        <w:tc>
          <w:tcPr>
            <w:tcW w:w="1305" w:type="dxa"/>
            <w:shd w:val="clear" w:color="auto" w:fill="auto"/>
            <w:tcMar>
              <w:top w:w="100" w:type="dxa"/>
              <w:left w:w="100" w:type="dxa"/>
              <w:bottom w:w="100" w:type="dxa"/>
              <w:right w:w="100" w:type="dxa"/>
            </w:tcMar>
          </w:tcPr>
          <w:p w14:paraId="6B1DAAC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6C2D3F4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0.007</w:t>
            </w:r>
          </w:p>
        </w:tc>
      </w:tr>
      <w:tr w:rsidR="00487CB5" w14:paraId="570478E7" w14:textId="77777777">
        <w:tc>
          <w:tcPr>
            <w:tcW w:w="1500" w:type="dxa"/>
            <w:shd w:val="clear" w:color="auto" w:fill="auto"/>
            <w:tcMar>
              <w:top w:w="100" w:type="dxa"/>
              <w:left w:w="100" w:type="dxa"/>
              <w:bottom w:w="100" w:type="dxa"/>
              <w:right w:w="100" w:type="dxa"/>
            </w:tcMar>
          </w:tcPr>
          <w:p w14:paraId="6B4A59B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D</w:t>
            </w:r>
          </w:p>
        </w:tc>
        <w:tc>
          <w:tcPr>
            <w:tcW w:w="1500" w:type="dxa"/>
            <w:shd w:val="clear" w:color="auto" w:fill="auto"/>
            <w:tcMar>
              <w:top w:w="100" w:type="dxa"/>
              <w:left w:w="100" w:type="dxa"/>
              <w:bottom w:w="100" w:type="dxa"/>
              <w:right w:w="100" w:type="dxa"/>
            </w:tcMar>
          </w:tcPr>
          <w:p w14:paraId="1E60D73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042C234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G</w:t>
            </w:r>
          </w:p>
        </w:tc>
        <w:tc>
          <w:tcPr>
            <w:tcW w:w="1695" w:type="dxa"/>
            <w:shd w:val="clear" w:color="auto" w:fill="auto"/>
            <w:tcMar>
              <w:top w:w="100" w:type="dxa"/>
              <w:left w:w="100" w:type="dxa"/>
              <w:bottom w:w="100" w:type="dxa"/>
              <w:right w:w="100" w:type="dxa"/>
            </w:tcMar>
          </w:tcPr>
          <w:p w14:paraId="2C5248A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0.241</w:t>
            </w:r>
          </w:p>
        </w:tc>
        <w:tc>
          <w:tcPr>
            <w:tcW w:w="1305" w:type="dxa"/>
            <w:shd w:val="clear" w:color="auto" w:fill="auto"/>
            <w:tcMar>
              <w:top w:w="100" w:type="dxa"/>
              <w:left w:w="100" w:type="dxa"/>
              <w:bottom w:w="100" w:type="dxa"/>
              <w:right w:w="100" w:type="dxa"/>
            </w:tcMar>
          </w:tcPr>
          <w:p w14:paraId="6BB979F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4589EAE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r>
      <w:tr w:rsidR="00487CB5" w14:paraId="030E7C00" w14:textId="77777777">
        <w:tc>
          <w:tcPr>
            <w:tcW w:w="1500" w:type="dxa"/>
            <w:shd w:val="clear" w:color="auto" w:fill="auto"/>
            <w:tcMar>
              <w:top w:w="100" w:type="dxa"/>
              <w:left w:w="100" w:type="dxa"/>
              <w:bottom w:w="100" w:type="dxa"/>
              <w:right w:w="100" w:type="dxa"/>
            </w:tcMar>
          </w:tcPr>
          <w:p w14:paraId="619F147A"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E</w:t>
            </w:r>
          </w:p>
        </w:tc>
        <w:tc>
          <w:tcPr>
            <w:tcW w:w="1500" w:type="dxa"/>
            <w:shd w:val="clear" w:color="auto" w:fill="auto"/>
            <w:tcMar>
              <w:top w:w="100" w:type="dxa"/>
              <w:left w:w="100" w:type="dxa"/>
              <w:bottom w:w="100" w:type="dxa"/>
              <w:right w:w="100" w:type="dxa"/>
            </w:tcMar>
          </w:tcPr>
          <w:p w14:paraId="2EE16F0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196C354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G</w:t>
            </w:r>
          </w:p>
        </w:tc>
        <w:tc>
          <w:tcPr>
            <w:tcW w:w="1695" w:type="dxa"/>
            <w:shd w:val="clear" w:color="auto" w:fill="auto"/>
            <w:tcMar>
              <w:top w:w="100" w:type="dxa"/>
              <w:left w:w="100" w:type="dxa"/>
              <w:bottom w:w="100" w:type="dxa"/>
              <w:right w:w="100" w:type="dxa"/>
            </w:tcMar>
          </w:tcPr>
          <w:p w14:paraId="6745D72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0.270</w:t>
            </w:r>
          </w:p>
        </w:tc>
        <w:tc>
          <w:tcPr>
            <w:tcW w:w="1305" w:type="dxa"/>
            <w:shd w:val="clear" w:color="auto" w:fill="auto"/>
            <w:tcMar>
              <w:top w:w="100" w:type="dxa"/>
              <w:left w:w="100" w:type="dxa"/>
              <w:bottom w:w="100" w:type="dxa"/>
              <w:right w:w="100" w:type="dxa"/>
            </w:tcMar>
          </w:tcPr>
          <w:p w14:paraId="7D5C3A5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w:t>
            </w:r>
          </w:p>
        </w:tc>
        <w:tc>
          <w:tcPr>
            <w:tcW w:w="1500" w:type="dxa"/>
            <w:shd w:val="clear" w:color="auto" w:fill="auto"/>
            <w:tcMar>
              <w:top w:w="100" w:type="dxa"/>
              <w:left w:w="100" w:type="dxa"/>
              <w:bottom w:w="100" w:type="dxa"/>
              <w:right w:w="100" w:type="dxa"/>
            </w:tcMar>
          </w:tcPr>
          <w:p w14:paraId="56367AB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&lt;.001</w:t>
            </w:r>
          </w:p>
        </w:tc>
      </w:tr>
    </w:tbl>
    <w:p w14:paraId="5DB7C458"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6DF45496"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*p&lt; .05, **p&lt; .01, ***p&lt; .001</w:t>
      </w:r>
    </w:p>
    <w:p w14:paraId="515DEF8F" w14:textId="77777777" w:rsidR="00487CB5" w:rsidRDefault="00487CB5">
      <w:pPr>
        <w:rPr>
          <w:rFonts w:ascii="Times New Roman" w:eastAsia="Times New Roman" w:hAnsi="Times New Roman" w:cs="Times New Roman"/>
        </w:rPr>
      </w:pPr>
    </w:p>
    <w:p w14:paraId="1BBC1E8A" w14:textId="77777777" w:rsidR="00487CB5" w:rsidRDefault="00487CB5">
      <w:pPr>
        <w:rPr>
          <w:rFonts w:ascii="Times New Roman" w:eastAsia="Times New Roman" w:hAnsi="Times New Roman" w:cs="Times New Roman"/>
        </w:rPr>
      </w:pPr>
    </w:p>
    <w:p w14:paraId="1AEC4297"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T-Test</w:t>
      </w:r>
    </w:p>
    <w:p w14:paraId="74C36601" w14:textId="77777777" w:rsidR="00487CB5" w:rsidRDefault="00487CB5">
      <w:pPr>
        <w:rPr>
          <w:rFonts w:ascii="Times New Roman" w:eastAsia="Times New Roman" w:hAnsi="Times New Roman" w:cs="Times New Roman"/>
        </w:rPr>
      </w:pPr>
    </w:p>
    <w:p w14:paraId="072D3BB0"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4: Descriptive Statistics for “Personal Norms” Scores by Genders</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2E19CB9B" w14:textId="77777777">
        <w:tc>
          <w:tcPr>
            <w:tcW w:w="1289" w:type="dxa"/>
            <w:shd w:val="clear" w:color="auto" w:fill="auto"/>
            <w:tcMar>
              <w:top w:w="100" w:type="dxa"/>
              <w:left w:w="100" w:type="dxa"/>
              <w:bottom w:w="100" w:type="dxa"/>
              <w:right w:w="100" w:type="dxa"/>
            </w:tcMar>
          </w:tcPr>
          <w:p w14:paraId="6D578436"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5177EB13"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008221A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1B50DC4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081F71E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39607ACD"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4553D33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3BD9D05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01DCD3FD" w14:textId="77777777">
        <w:tc>
          <w:tcPr>
            <w:tcW w:w="1289" w:type="dxa"/>
            <w:shd w:val="clear" w:color="auto" w:fill="auto"/>
            <w:tcMar>
              <w:top w:w="100" w:type="dxa"/>
              <w:left w:w="100" w:type="dxa"/>
              <w:bottom w:w="100" w:type="dxa"/>
              <w:right w:w="100" w:type="dxa"/>
            </w:tcMar>
          </w:tcPr>
          <w:p w14:paraId="2EA4CFC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Sum A</w:t>
            </w:r>
          </w:p>
        </w:tc>
        <w:tc>
          <w:tcPr>
            <w:tcW w:w="1289" w:type="dxa"/>
            <w:shd w:val="clear" w:color="auto" w:fill="auto"/>
            <w:tcMar>
              <w:top w:w="100" w:type="dxa"/>
              <w:left w:w="100" w:type="dxa"/>
              <w:bottom w:w="100" w:type="dxa"/>
              <w:right w:w="100" w:type="dxa"/>
            </w:tcMar>
          </w:tcPr>
          <w:p w14:paraId="03C3D04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Female</w:t>
            </w:r>
          </w:p>
        </w:tc>
        <w:tc>
          <w:tcPr>
            <w:tcW w:w="1289" w:type="dxa"/>
            <w:shd w:val="clear" w:color="auto" w:fill="auto"/>
            <w:tcMar>
              <w:top w:w="100" w:type="dxa"/>
              <w:left w:w="100" w:type="dxa"/>
              <w:bottom w:w="100" w:type="dxa"/>
              <w:right w:w="100" w:type="dxa"/>
            </w:tcMar>
          </w:tcPr>
          <w:p w14:paraId="0A1AC6A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239</w:t>
            </w:r>
          </w:p>
        </w:tc>
        <w:tc>
          <w:tcPr>
            <w:tcW w:w="1289" w:type="dxa"/>
            <w:shd w:val="clear" w:color="auto" w:fill="auto"/>
            <w:tcMar>
              <w:top w:w="100" w:type="dxa"/>
              <w:left w:w="100" w:type="dxa"/>
              <w:bottom w:w="100" w:type="dxa"/>
              <w:right w:w="100" w:type="dxa"/>
            </w:tcMar>
          </w:tcPr>
          <w:p w14:paraId="4042F23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17.397</w:t>
            </w:r>
          </w:p>
        </w:tc>
        <w:tc>
          <w:tcPr>
            <w:tcW w:w="1289" w:type="dxa"/>
            <w:shd w:val="clear" w:color="auto" w:fill="auto"/>
            <w:tcMar>
              <w:top w:w="100" w:type="dxa"/>
              <w:left w:w="100" w:type="dxa"/>
              <w:bottom w:w="100" w:type="dxa"/>
              <w:right w:w="100" w:type="dxa"/>
            </w:tcMar>
          </w:tcPr>
          <w:p w14:paraId="63531F1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2.349</w:t>
            </w:r>
          </w:p>
        </w:tc>
        <w:tc>
          <w:tcPr>
            <w:tcW w:w="1289" w:type="dxa"/>
            <w:shd w:val="clear" w:color="auto" w:fill="auto"/>
            <w:tcMar>
              <w:top w:w="100" w:type="dxa"/>
              <w:left w:w="100" w:type="dxa"/>
              <w:bottom w:w="100" w:type="dxa"/>
              <w:right w:w="100" w:type="dxa"/>
            </w:tcMar>
          </w:tcPr>
          <w:p w14:paraId="06DD9466"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0.152</w:t>
            </w:r>
          </w:p>
        </w:tc>
        <w:tc>
          <w:tcPr>
            <w:tcW w:w="1289" w:type="dxa"/>
            <w:shd w:val="clear" w:color="auto" w:fill="auto"/>
            <w:tcMar>
              <w:top w:w="100" w:type="dxa"/>
              <w:left w:w="100" w:type="dxa"/>
              <w:bottom w:w="100" w:type="dxa"/>
              <w:right w:w="100" w:type="dxa"/>
            </w:tcMar>
          </w:tcPr>
          <w:p w14:paraId="7D92C00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0.135</w:t>
            </w:r>
          </w:p>
        </w:tc>
      </w:tr>
      <w:tr w:rsidR="00487CB5" w14:paraId="37A148D3" w14:textId="77777777">
        <w:tc>
          <w:tcPr>
            <w:tcW w:w="1289" w:type="dxa"/>
            <w:shd w:val="clear" w:color="auto" w:fill="auto"/>
            <w:tcMar>
              <w:top w:w="100" w:type="dxa"/>
              <w:left w:w="100" w:type="dxa"/>
              <w:bottom w:w="100" w:type="dxa"/>
              <w:right w:w="100" w:type="dxa"/>
            </w:tcMar>
          </w:tcPr>
          <w:p w14:paraId="0FBD3A80"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6979ECB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Male</w:t>
            </w:r>
          </w:p>
        </w:tc>
        <w:tc>
          <w:tcPr>
            <w:tcW w:w="1289" w:type="dxa"/>
            <w:shd w:val="clear" w:color="auto" w:fill="auto"/>
            <w:tcMar>
              <w:top w:w="100" w:type="dxa"/>
              <w:left w:w="100" w:type="dxa"/>
              <w:bottom w:w="100" w:type="dxa"/>
              <w:right w:w="100" w:type="dxa"/>
            </w:tcMar>
          </w:tcPr>
          <w:p w14:paraId="057AD30B"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101</w:t>
            </w:r>
          </w:p>
        </w:tc>
        <w:tc>
          <w:tcPr>
            <w:tcW w:w="1289" w:type="dxa"/>
            <w:shd w:val="clear" w:color="auto" w:fill="auto"/>
            <w:tcMar>
              <w:top w:w="100" w:type="dxa"/>
              <w:left w:w="100" w:type="dxa"/>
              <w:bottom w:w="100" w:type="dxa"/>
              <w:right w:w="100" w:type="dxa"/>
            </w:tcMar>
          </w:tcPr>
          <w:p w14:paraId="53FF071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17.317</w:t>
            </w:r>
          </w:p>
        </w:tc>
        <w:tc>
          <w:tcPr>
            <w:tcW w:w="1289" w:type="dxa"/>
            <w:shd w:val="clear" w:color="auto" w:fill="auto"/>
            <w:tcMar>
              <w:top w:w="100" w:type="dxa"/>
              <w:left w:w="100" w:type="dxa"/>
              <w:bottom w:w="100" w:type="dxa"/>
              <w:right w:w="100" w:type="dxa"/>
            </w:tcMar>
          </w:tcPr>
          <w:p w14:paraId="79BEE83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2.249</w:t>
            </w:r>
          </w:p>
        </w:tc>
        <w:tc>
          <w:tcPr>
            <w:tcW w:w="1289" w:type="dxa"/>
            <w:shd w:val="clear" w:color="auto" w:fill="auto"/>
            <w:tcMar>
              <w:top w:w="100" w:type="dxa"/>
              <w:left w:w="100" w:type="dxa"/>
              <w:bottom w:w="100" w:type="dxa"/>
              <w:right w:w="100" w:type="dxa"/>
            </w:tcMar>
          </w:tcPr>
          <w:p w14:paraId="2BE0A74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0.224</w:t>
            </w:r>
          </w:p>
        </w:tc>
        <w:tc>
          <w:tcPr>
            <w:tcW w:w="1289" w:type="dxa"/>
            <w:shd w:val="clear" w:color="auto" w:fill="auto"/>
            <w:tcMar>
              <w:top w:w="100" w:type="dxa"/>
              <w:left w:w="100" w:type="dxa"/>
              <w:bottom w:w="100" w:type="dxa"/>
              <w:right w:w="100" w:type="dxa"/>
            </w:tcMar>
          </w:tcPr>
          <w:p w14:paraId="647D57E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0.130</w:t>
            </w:r>
          </w:p>
        </w:tc>
      </w:tr>
    </w:tbl>
    <w:p w14:paraId="4173AAAF" w14:textId="77777777" w:rsidR="00487CB5" w:rsidRDefault="00487CB5">
      <w:pPr>
        <w:jc w:val="center"/>
        <w:rPr>
          <w:rFonts w:ascii="Times New Roman" w:eastAsia="Times New Roman" w:hAnsi="Times New Roman" w:cs="Times New Roman"/>
        </w:rPr>
      </w:pPr>
    </w:p>
    <w:p w14:paraId="0D67C1DC"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Mann-Whitney Score = 12314.000, p = 0.765</w:t>
      </w:r>
    </w:p>
    <w:p w14:paraId="6084D6EF" w14:textId="77777777" w:rsidR="00487CB5" w:rsidRDefault="00487CB5">
      <w:pPr>
        <w:rPr>
          <w:rFonts w:ascii="Times New Roman" w:eastAsia="Times New Roman" w:hAnsi="Times New Roman" w:cs="Times New Roman"/>
        </w:rPr>
      </w:pPr>
    </w:p>
    <w:p w14:paraId="633669A3"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lastRenderedPageBreak/>
        <w:t>Table 5: Descriptive Statistics for “Personal Norms” Scores by Area</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18CBC1DE" w14:textId="77777777">
        <w:tc>
          <w:tcPr>
            <w:tcW w:w="1289" w:type="dxa"/>
            <w:shd w:val="clear" w:color="auto" w:fill="auto"/>
            <w:tcMar>
              <w:top w:w="100" w:type="dxa"/>
              <w:left w:w="100" w:type="dxa"/>
              <w:bottom w:w="100" w:type="dxa"/>
              <w:right w:w="100" w:type="dxa"/>
            </w:tcMar>
          </w:tcPr>
          <w:p w14:paraId="397F71C0"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693B9CE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2F00298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3447174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2655182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298D22DB"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267F015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7163B2B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1C1B1692" w14:textId="77777777">
        <w:tc>
          <w:tcPr>
            <w:tcW w:w="1289" w:type="dxa"/>
            <w:shd w:val="clear" w:color="auto" w:fill="auto"/>
            <w:tcMar>
              <w:top w:w="100" w:type="dxa"/>
              <w:left w:w="100" w:type="dxa"/>
              <w:bottom w:w="100" w:type="dxa"/>
              <w:right w:w="100" w:type="dxa"/>
            </w:tcMar>
          </w:tcPr>
          <w:p w14:paraId="5BD91BB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A</w:t>
            </w:r>
          </w:p>
        </w:tc>
        <w:tc>
          <w:tcPr>
            <w:tcW w:w="1289" w:type="dxa"/>
            <w:shd w:val="clear" w:color="auto" w:fill="auto"/>
            <w:tcMar>
              <w:top w:w="100" w:type="dxa"/>
              <w:left w:w="100" w:type="dxa"/>
              <w:bottom w:w="100" w:type="dxa"/>
              <w:right w:w="100" w:type="dxa"/>
            </w:tcMar>
          </w:tcPr>
          <w:p w14:paraId="330932E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Rural</w:t>
            </w:r>
          </w:p>
        </w:tc>
        <w:tc>
          <w:tcPr>
            <w:tcW w:w="1289" w:type="dxa"/>
            <w:shd w:val="clear" w:color="auto" w:fill="auto"/>
            <w:tcMar>
              <w:top w:w="100" w:type="dxa"/>
              <w:left w:w="100" w:type="dxa"/>
              <w:bottom w:w="100" w:type="dxa"/>
              <w:right w:w="100" w:type="dxa"/>
            </w:tcMar>
          </w:tcPr>
          <w:p w14:paraId="02F3296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42</w:t>
            </w:r>
          </w:p>
        </w:tc>
        <w:tc>
          <w:tcPr>
            <w:tcW w:w="1289" w:type="dxa"/>
            <w:shd w:val="clear" w:color="auto" w:fill="auto"/>
            <w:tcMar>
              <w:top w:w="100" w:type="dxa"/>
              <w:left w:w="100" w:type="dxa"/>
              <w:bottom w:w="100" w:type="dxa"/>
              <w:right w:w="100" w:type="dxa"/>
            </w:tcMar>
          </w:tcPr>
          <w:p w14:paraId="4587371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17.000</w:t>
            </w:r>
          </w:p>
        </w:tc>
        <w:tc>
          <w:tcPr>
            <w:tcW w:w="1289" w:type="dxa"/>
            <w:shd w:val="clear" w:color="auto" w:fill="auto"/>
            <w:tcMar>
              <w:top w:w="100" w:type="dxa"/>
              <w:left w:w="100" w:type="dxa"/>
              <w:bottom w:w="100" w:type="dxa"/>
              <w:right w:w="100" w:type="dxa"/>
            </w:tcMar>
          </w:tcPr>
          <w:p w14:paraId="6F58764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2.802</w:t>
            </w:r>
          </w:p>
        </w:tc>
        <w:tc>
          <w:tcPr>
            <w:tcW w:w="1289" w:type="dxa"/>
            <w:shd w:val="clear" w:color="auto" w:fill="auto"/>
            <w:tcMar>
              <w:top w:w="100" w:type="dxa"/>
              <w:left w:w="100" w:type="dxa"/>
              <w:bottom w:w="100" w:type="dxa"/>
              <w:right w:w="100" w:type="dxa"/>
            </w:tcMar>
          </w:tcPr>
          <w:p w14:paraId="2FBF1A6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0.432</w:t>
            </w:r>
          </w:p>
        </w:tc>
        <w:tc>
          <w:tcPr>
            <w:tcW w:w="1289" w:type="dxa"/>
            <w:shd w:val="clear" w:color="auto" w:fill="auto"/>
            <w:tcMar>
              <w:top w:w="100" w:type="dxa"/>
              <w:left w:w="100" w:type="dxa"/>
              <w:bottom w:w="100" w:type="dxa"/>
              <w:right w:w="100" w:type="dxa"/>
            </w:tcMar>
          </w:tcPr>
          <w:p w14:paraId="51649E5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0.165</w:t>
            </w:r>
          </w:p>
        </w:tc>
      </w:tr>
      <w:tr w:rsidR="00487CB5" w14:paraId="5968A465" w14:textId="77777777">
        <w:tc>
          <w:tcPr>
            <w:tcW w:w="1289" w:type="dxa"/>
            <w:shd w:val="clear" w:color="auto" w:fill="auto"/>
            <w:tcMar>
              <w:top w:w="100" w:type="dxa"/>
              <w:left w:w="100" w:type="dxa"/>
              <w:bottom w:w="100" w:type="dxa"/>
              <w:right w:w="100" w:type="dxa"/>
            </w:tcMar>
          </w:tcPr>
          <w:p w14:paraId="563DA3E6"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15C585A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Urban</w:t>
            </w:r>
          </w:p>
        </w:tc>
        <w:tc>
          <w:tcPr>
            <w:tcW w:w="1289" w:type="dxa"/>
            <w:shd w:val="clear" w:color="auto" w:fill="auto"/>
            <w:tcMar>
              <w:top w:w="100" w:type="dxa"/>
              <w:left w:w="100" w:type="dxa"/>
              <w:bottom w:w="100" w:type="dxa"/>
              <w:right w:w="100" w:type="dxa"/>
            </w:tcMar>
          </w:tcPr>
          <w:p w14:paraId="55A4012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298</w:t>
            </w:r>
          </w:p>
        </w:tc>
        <w:tc>
          <w:tcPr>
            <w:tcW w:w="1289" w:type="dxa"/>
            <w:shd w:val="clear" w:color="auto" w:fill="auto"/>
            <w:tcMar>
              <w:top w:w="100" w:type="dxa"/>
              <w:left w:w="100" w:type="dxa"/>
              <w:bottom w:w="100" w:type="dxa"/>
              <w:right w:w="100" w:type="dxa"/>
            </w:tcMar>
          </w:tcPr>
          <w:p w14:paraId="0FCCE73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17.426</w:t>
            </w:r>
          </w:p>
        </w:tc>
        <w:tc>
          <w:tcPr>
            <w:tcW w:w="1289" w:type="dxa"/>
            <w:shd w:val="clear" w:color="auto" w:fill="auto"/>
            <w:tcMar>
              <w:top w:w="100" w:type="dxa"/>
              <w:left w:w="100" w:type="dxa"/>
              <w:bottom w:w="100" w:type="dxa"/>
              <w:right w:w="100" w:type="dxa"/>
            </w:tcMar>
          </w:tcPr>
          <w:p w14:paraId="42CF361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2.240</w:t>
            </w:r>
          </w:p>
        </w:tc>
        <w:tc>
          <w:tcPr>
            <w:tcW w:w="1289" w:type="dxa"/>
            <w:shd w:val="clear" w:color="auto" w:fill="auto"/>
            <w:tcMar>
              <w:top w:w="100" w:type="dxa"/>
              <w:left w:w="100" w:type="dxa"/>
              <w:bottom w:w="100" w:type="dxa"/>
              <w:right w:w="100" w:type="dxa"/>
            </w:tcMar>
          </w:tcPr>
          <w:p w14:paraId="225A2B8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0.130</w:t>
            </w:r>
          </w:p>
        </w:tc>
        <w:tc>
          <w:tcPr>
            <w:tcW w:w="1289" w:type="dxa"/>
            <w:shd w:val="clear" w:color="auto" w:fill="auto"/>
            <w:tcMar>
              <w:top w:w="100" w:type="dxa"/>
              <w:left w:w="100" w:type="dxa"/>
              <w:bottom w:w="100" w:type="dxa"/>
              <w:right w:w="100" w:type="dxa"/>
            </w:tcMar>
          </w:tcPr>
          <w:p w14:paraId="7843BAF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0.129</w:t>
            </w:r>
          </w:p>
        </w:tc>
      </w:tr>
    </w:tbl>
    <w:p w14:paraId="1E778A8A" w14:textId="77777777" w:rsidR="00487CB5" w:rsidRDefault="00487CB5">
      <w:pPr>
        <w:jc w:val="center"/>
        <w:rPr>
          <w:rFonts w:ascii="Times New Roman" w:eastAsia="Times New Roman" w:hAnsi="Times New Roman" w:cs="Times New Roman"/>
        </w:rPr>
      </w:pPr>
    </w:p>
    <w:p w14:paraId="6B0A8D6C"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Mann-Whitney Score = 5902.000, p = 0.546</w:t>
      </w:r>
    </w:p>
    <w:p w14:paraId="0EE05868" w14:textId="77777777" w:rsidR="00487CB5" w:rsidRDefault="00487CB5">
      <w:pPr>
        <w:rPr>
          <w:rFonts w:ascii="Times New Roman" w:eastAsia="Times New Roman" w:hAnsi="Times New Roman" w:cs="Times New Roman"/>
        </w:rPr>
      </w:pPr>
    </w:p>
    <w:p w14:paraId="4FAC3E1C"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6: Descriptive Statistics for “Alternative Evaluation” Scores by Genders</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7C0C5BD2" w14:textId="77777777">
        <w:tc>
          <w:tcPr>
            <w:tcW w:w="1289" w:type="dxa"/>
            <w:shd w:val="clear" w:color="auto" w:fill="auto"/>
            <w:tcMar>
              <w:top w:w="100" w:type="dxa"/>
              <w:left w:w="100" w:type="dxa"/>
              <w:bottom w:w="100" w:type="dxa"/>
              <w:right w:w="100" w:type="dxa"/>
            </w:tcMar>
          </w:tcPr>
          <w:p w14:paraId="1DD79815"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72F2244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4E66E95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5D13CE3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5BDB9CC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131A54FD"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743B277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1C657A2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33E413DF" w14:textId="77777777">
        <w:tc>
          <w:tcPr>
            <w:tcW w:w="1289" w:type="dxa"/>
            <w:shd w:val="clear" w:color="auto" w:fill="auto"/>
            <w:tcMar>
              <w:top w:w="100" w:type="dxa"/>
              <w:left w:w="100" w:type="dxa"/>
              <w:bottom w:w="100" w:type="dxa"/>
              <w:right w:w="100" w:type="dxa"/>
            </w:tcMar>
          </w:tcPr>
          <w:p w14:paraId="012B7AD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E</w:t>
            </w:r>
          </w:p>
        </w:tc>
        <w:tc>
          <w:tcPr>
            <w:tcW w:w="1289" w:type="dxa"/>
            <w:shd w:val="clear" w:color="auto" w:fill="auto"/>
            <w:tcMar>
              <w:top w:w="100" w:type="dxa"/>
              <w:left w:w="100" w:type="dxa"/>
              <w:bottom w:w="100" w:type="dxa"/>
              <w:right w:w="100" w:type="dxa"/>
            </w:tcMar>
          </w:tcPr>
          <w:p w14:paraId="7C13F47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Female </w:t>
            </w:r>
          </w:p>
        </w:tc>
        <w:tc>
          <w:tcPr>
            <w:tcW w:w="1289" w:type="dxa"/>
            <w:shd w:val="clear" w:color="auto" w:fill="auto"/>
            <w:tcMar>
              <w:top w:w="100" w:type="dxa"/>
              <w:left w:w="100" w:type="dxa"/>
              <w:bottom w:w="100" w:type="dxa"/>
              <w:right w:w="100" w:type="dxa"/>
            </w:tcMar>
          </w:tcPr>
          <w:p w14:paraId="2495CD0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239</w:t>
            </w:r>
          </w:p>
        </w:tc>
        <w:tc>
          <w:tcPr>
            <w:tcW w:w="1289" w:type="dxa"/>
            <w:shd w:val="clear" w:color="auto" w:fill="auto"/>
            <w:tcMar>
              <w:top w:w="100" w:type="dxa"/>
              <w:left w:w="100" w:type="dxa"/>
              <w:bottom w:w="100" w:type="dxa"/>
              <w:right w:w="100" w:type="dxa"/>
            </w:tcMar>
          </w:tcPr>
          <w:p w14:paraId="21E73E1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16.305</w:t>
            </w:r>
          </w:p>
        </w:tc>
        <w:tc>
          <w:tcPr>
            <w:tcW w:w="1289" w:type="dxa"/>
            <w:shd w:val="clear" w:color="auto" w:fill="auto"/>
            <w:tcMar>
              <w:top w:w="100" w:type="dxa"/>
              <w:left w:w="100" w:type="dxa"/>
              <w:bottom w:w="100" w:type="dxa"/>
              <w:right w:w="100" w:type="dxa"/>
            </w:tcMar>
          </w:tcPr>
          <w:p w14:paraId="3F46BDB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2.514</w:t>
            </w:r>
          </w:p>
        </w:tc>
        <w:tc>
          <w:tcPr>
            <w:tcW w:w="1289" w:type="dxa"/>
            <w:shd w:val="clear" w:color="auto" w:fill="auto"/>
            <w:tcMar>
              <w:top w:w="100" w:type="dxa"/>
              <w:left w:w="100" w:type="dxa"/>
              <w:bottom w:w="100" w:type="dxa"/>
              <w:right w:w="100" w:type="dxa"/>
            </w:tcMar>
          </w:tcPr>
          <w:p w14:paraId="17E8235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0.163</w:t>
            </w:r>
          </w:p>
        </w:tc>
        <w:tc>
          <w:tcPr>
            <w:tcW w:w="1289" w:type="dxa"/>
            <w:shd w:val="clear" w:color="auto" w:fill="auto"/>
            <w:tcMar>
              <w:top w:w="100" w:type="dxa"/>
              <w:left w:w="100" w:type="dxa"/>
              <w:bottom w:w="100" w:type="dxa"/>
              <w:right w:w="100" w:type="dxa"/>
            </w:tcMar>
          </w:tcPr>
          <w:p w14:paraId="3FA18E7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0.154</w:t>
            </w:r>
          </w:p>
        </w:tc>
      </w:tr>
      <w:tr w:rsidR="00487CB5" w14:paraId="2D0FE6C1" w14:textId="77777777">
        <w:tc>
          <w:tcPr>
            <w:tcW w:w="1289" w:type="dxa"/>
            <w:shd w:val="clear" w:color="auto" w:fill="auto"/>
            <w:tcMar>
              <w:top w:w="100" w:type="dxa"/>
              <w:left w:w="100" w:type="dxa"/>
              <w:bottom w:w="100" w:type="dxa"/>
              <w:right w:w="100" w:type="dxa"/>
            </w:tcMar>
          </w:tcPr>
          <w:p w14:paraId="4FDB3045"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26D7B43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Male</w:t>
            </w:r>
          </w:p>
        </w:tc>
        <w:tc>
          <w:tcPr>
            <w:tcW w:w="1289" w:type="dxa"/>
            <w:shd w:val="clear" w:color="auto" w:fill="auto"/>
            <w:tcMar>
              <w:top w:w="100" w:type="dxa"/>
              <w:left w:w="100" w:type="dxa"/>
              <w:bottom w:w="100" w:type="dxa"/>
              <w:right w:w="100" w:type="dxa"/>
            </w:tcMar>
          </w:tcPr>
          <w:p w14:paraId="3C2A549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101</w:t>
            </w:r>
          </w:p>
        </w:tc>
        <w:tc>
          <w:tcPr>
            <w:tcW w:w="1289" w:type="dxa"/>
            <w:shd w:val="clear" w:color="auto" w:fill="auto"/>
            <w:tcMar>
              <w:top w:w="100" w:type="dxa"/>
              <w:left w:w="100" w:type="dxa"/>
              <w:bottom w:w="100" w:type="dxa"/>
              <w:right w:w="100" w:type="dxa"/>
            </w:tcMar>
          </w:tcPr>
          <w:p w14:paraId="3EFBE2D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16.188</w:t>
            </w:r>
          </w:p>
        </w:tc>
        <w:tc>
          <w:tcPr>
            <w:tcW w:w="1289" w:type="dxa"/>
            <w:shd w:val="clear" w:color="auto" w:fill="auto"/>
            <w:tcMar>
              <w:top w:w="100" w:type="dxa"/>
              <w:left w:w="100" w:type="dxa"/>
              <w:bottom w:w="100" w:type="dxa"/>
              <w:right w:w="100" w:type="dxa"/>
            </w:tcMar>
          </w:tcPr>
          <w:p w14:paraId="6039747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2.489</w:t>
            </w:r>
          </w:p>
        </w:tc>
        <w:tc>
          <w:tcPr>
            <w:tcW w:w="1289" w:type="dxa"/>
            <w:shd w:val="clear" w:color="auto" w:fill="auto"/>
            <w:tcMar>
              <w:top w:w="100" w:type="dxa"/>
              <w:left w:w="100" w:type="dxa"/>
              <w:bottom w:w="100" w:type="dxa"/>
              <w:right w:w="100" w:type="dxa"/>
            </w:tcMar>
          </w:tcPr>
          <w:p w14:paraId="1735114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0.248</w:t>
            </w:r>
          </w:p>
        </w:tc>
        <w:tc>
          <w:tcPr>
            <w:tcW w:w="1289" w:type="dxa"/>
            <w:shd w:val="clear" w:color="auto" w:fill="auto"/>
            <w:tcMar>
              <w:top w:w="100" w:type="dxa"/>
              <w:left w:w="100" w:type="dxa"/>
              <w:bottom w:w="100" w:type="dxa"/>
              <w:right w:w="100" w:type="dxa"/>
            </w:tcMar>
          </w:tcPr>
          <w:p w14:paraId="69E5B9A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0.154</w:t>
            </w:r>
          </w:p>
        </w:tc>
      </w:tr>
    </w:tbl>
    <w:p w14:paraId="56143E99" w14:textId="77777777" w:rsidR="00487CB5" w:rsidRDefault="00487CB5">
      <w:pPr>
        <w:jc w:val="center"/>
        <w:rPr>
          <w:rFonts w:ascii="Times New Roman" w:eastAsia="Times New Roman" w:hAnsi="Times New Roman" w:cs="Times New Roman"/>
        </w:rPr>
      </w:pPr>
    </w:p>
    <w:p w14:paraId="61B24E2B"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Mann-Whitney Score = 12549.000, p = 0.554</w:t>
      </w:r>
    </w:p>
    <w:p w14:paraId="106DB89E" w14:textId="77777777" w:rsidR="00487CB5" w:rsidRDefault="00487CB5">
      <w:pPr>
        <w:rPr>
          <w:rFonts w:ascii="Times New Roman" w:eastAsia="Times New Roman" w:hAnsi="Times New Roman" w:cs="Times New Roman"/>
        </w:rPr>
      </w:pPr>
    </w:p>
    <w:p w14:paraId="5C503593"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7: Descriptive Statistics for “Alternative Evaluation” Scores by Area</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32E7F522" w14:textId="77777777">
        <w:tc>
          <w:tcPr>
            <w:tcW w:w="1289" w:type="dxa"/>
            <w:shd w:val="clear" w:color="auto" w:fill="auto"/>
            <w:tcMar>
              <w:top w:w="100" w:type="dxa"/>
              <w:left w:w="100" w:type="dxa"/>
              <w:bottom w:w="100" w:type="dxa"/>
              <w:right w:w="100" w:type="dxa"/>
            </w:tcMar>
          </w:tcPr>
          <w:p w14:paraId="0C2440BE"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65D4618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1FAF8F0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2D0FD95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54119C7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42AD8F53"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17603F2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62640A3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06A27E33" w14:textId="77777777">
        <w:tc>
          <w:tcPr>
            <w:tcW w:w="1289" w:type="dxa"/>
            <w:shd w:val="clear" w:color="auto" w:fill="auto"/>
            <w:tcMar>
              <w:top w:w="100" w:type="dxa"/>
              <w:left w:w="100" w:type="dxa"/>
              <w:bottom w:w="100" w:type="dxa"/>
              <w:right w:w="100" w:type="dxa"/>
            </w:tcMar>
          </w:tcPr>
          <w:p w14:paraId="07B3F27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A</w:t>
            </w:r>
          </w:p>
        </w:tc>
        <w:tc>
          <w:tcPr>
            <w:tcW w:w="1289" w:type="dxa"/>
            <w:shd w:val="clear" w:color="auto" w:fill="auto"/>
            <w:tcMar>
              <w:top w:w="100" w:type="dxa"/>
              <w:left w:w="100" w:type="dxa"/>
              <w:bottom w:w="100" w:type="dxa"/>
              <w:right w:w="100" w:type="dxa"/>
            </w:tcMar>
          </w:tcPr>
          <w:p w14:paraId="1D68B1C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Rural</w:t>
            </w:r>
          </w:p>
        </w:tc>
        <w:tc>
          <w:tcPr>
            <w:tcW w:w="1289" w:type="dxa"/>
            <w:shd w:val="clear" w:color="auto" w:fill="auto"/>
            <w:tcMar>
              <w:top w:w="100" w:type="dxa"/>
              <w:left w:w="100" w:type="dxa"/>
              <w:bottom w:w="100" w:type="dxa"/>
              <w:right w:w="100" w:type="dxa"/>
            </w:tcMar>
          </w:tcPr>
          <w:p w14:paraId="5478887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42</w:t>
            </w:r>
          </w:p>
        </w:tc>
        <w:tc>
          <w:tcPr>
            <w:tcW w:w="1289" w:type="dxa"/>
            <w:shd w:val="clear" w:color="auto" w:fill="auto"/>
            <w:tcMar>
              <w:top w:w="100" w:type="dxa"/>
              <w:left w:w="100" w:type="dxa"/>
              <w:bottom w:w="100" w:type="dxa"/>
              <w:right w:w="100" w:type="dxa"/>
            </w:tcMar>
          </w:tcPr>
          <w:p w14:paraId="2F17218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15.714</w:t>
            </w:r>
          </w:p>
        </w:tc>
        <w:tc>
          <w:tcPr>
            <w:tcW w:w="1289" w:type="dxa"/>
            <w:shd w:val="clear" w:color="auto" w:fill="auto"/>
            <w:tcMar>
              <w:top w:w="100" w:type="dxa"/>
              <w:left w:w="100" w:type="dxa"/>
              <w:bottom w:w="100" w:type="dxa"/>
              <w:right w:w="100" w:type="dxa"/>
            </w:tcMar>
          </w:tcPr>
          <w:p w14:paraId="256E270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2.916</w:t>
            </w:r>
          </w:p>
        </w:tc>
        <w:tc>
          <w:tcPr>
            <w:tcW w:w="1289" w:type="dxa"/>
            <w:shd w:val="clear" w:color="auto" w:fill="auto"/>
            <w:tcMar>
              <w:top w:w="100" w:type="dxa"/>
              <w:left w:w="100" w:type="dxa"/>
              <w:bottom w:w="100" w:type="dxa"/>
              <w:right w:w="100" w:type="dxa"/>
            </w:tcMar>
          </w:tcPr>
          <w:p w14:paraId="0DDB784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0.450</w:t>
            </w:r>
          </w:p>
        </w:tc>
        <w:tc>
          <w:tcPr>
            <w:tcW w:w="1289" w:type="dxa"/>
            <w:shd w:val="clear" w:color="auto" w:fill="auto"/>
            <w:tcMar>
              <w:top w:w="100" w:type="dxa"/>
              <w:left w:w="100" w:type="dxa"/>
              <w:bottom w:w="100" w:type="dxa"/>
              <w:right w:w="100" w:type="dxa"/>
            </w:tcMar>
          </w:tcPr>
          <w:p w14:paraId="37A3167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0.186</w:t>
            </w:r>
          </w:p>
        </w:tc>
      </w:tr>
      <w:tr w:rsidR="00487CB5" w14:paraId="79CF227B" w14:textId="77777777">
        <w:tc>
          <w:tcPr>
            <w:tcW w:w="1289" w:type="dxa"/>
            <w:shd w:val="clear" w:color="auto" w:fill="auto"/>
            <w:tcMar>
              <w:top w:w="100" w:type="dxa"/>
              <w:left w:w="100" w:type="dxa"/>
              <w:bottom w:w="100" w:type="dxa"/>
              <w:right w:w="100" w:type="dxa"/>
            </w:tcMar>
          </w:tcPr>
          <w:p w14:paraId="22D01444"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23A62ED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Urban</w:t>
            </w:r>
          </w:p>
        </w:tc>
        <w:tc>
          <w:tcPr>
            <w:tcW w:w="1289" w:type="dxa"/>
            <w:shd w:val="clear" w:color="auto" w:fill="auto"/>
            <w:tcMar>
              <w:top w:w="100" w:type="dxa"/>
              <w:left w:w="100" w:type="dxa"/>
              <w:bottom w:w="100" w:type="dxa"/>
              <w:right w:w="100" w:type="dxa"/>
            </w:tcMar>
          </w:tcPr>
          <w:p w14:paraId="396012E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298</w:t>
            </w:r>
          </w:p>
        </w:tc>
        <w:tc>
          <w:tcPr>
            <w:tcW w:w="1289" w:type="dxa"/>
            <w:shd w:val="clear" w:color="auto" w:fill="auto"/>
            <w:tcMar>
              <w:top w:w="100" w:type="dxa"/>
              <w:left w:w="100" w:type="dxa"/>
              <w:bottom w:w="100" w:type="dxa"/>
              <w:right w:w="100" w:type="dxa"/>
            </w:tcMar>
          </w:tcPr>
          <w:p w14:paraId="35C0DF4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16.349</w:t>
            </w:r>
          </w:p>
        </w:tc>
        <w:tc>
          <w:tcPr>
            <w:tcW w:w="1289" w:type="dxa"/>
            <w:shd w:val="clear" w:color="auto" w:fill="auto"/>
            <w:tcMar>
              <w:top w:w="100" w:type="dxa"/>
              <w:left w:w="100" w:type="dxa"/>
              <w:bottom w:w="100" w:type="dxa"/>
              <w:right w:w="100" w:type="dxa"/>
            </w:tcMar>
          </w:tcPr>
          <w:p w14:paraId="4341D68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2.436</w:t>
            </w:r>
          </w:p>
        </w:tc>
        <w:tc>
          <w:tcPr>
            <w:tcW w:w="1289" w:type="dxa"/>
            <w:shd w:val="clear" w:color="auto" w:fill="auto"/>
            <w:tcMar>
              <w:top w:w="100" w:type="dxa"/>
              <w:left w:w="100" w:type="dxa"/>
              <w:bottom w:w="100" w:type="dxa"/>
              <w:right w:w="100" w:type="dxa"/>
            </w:tcMar>
          </w:tcPr>
          <w:p w14:paraId="4FD07E1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0.141</w:t>
            </w:r>
          </w:p>
        </w:tc>
        <w:tc>
          <w:tcPr>
            <w:tcW w:w="1289" w:type="dxa"/>
            <w:shd w:val="clear" w:color="auto" w:fill="auto"/>
            <w:tcMar>
              <w:top w:w="100" w:type="dxa"/>
              <w:left w:w="100" w:type="dxa"/>
              <w:bottom w:w="100" w:type="dxa"/>
              <w:right w:w="100" w:type="dxa"/>
            </w:tcMar>
          </w:tcPr>
          <w:p w14:paraId="0C82324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0.149</w:t>
            </w:r>
          </w:p>
        </w:tc>
      </w:tr>
    </w:tbl>
    <w:p w14:paraId="1A6AC957" w14:textId="77777777" w:rsidR="00487CB5" w:rsidRDefault="00487CB5">
      <w:pPr>
        <w:jc w:val="center"/>
        <w:rPr>
          <w:rFonts w:ascii="Times New Roman" w:eastAsia="Times New Roman" w:hAnsi="Times New Roman" w:cs="Times New Roman"/>
        </w:rPr>
      </w:pPr>
    </w:p>
    <w:p w14:paraId="0DBABD70"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Mann-Whitney Score = 5268.000, p = 0.089</w:t>
      </w:r>
    </w:p>
    <w:p w14:paraId="50023951"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8: Descriptive Statistics for “Consumer Scepticism” Scores by Genders</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557DC44F" w14:textId="77777777">
        <w:tc>
          <w:tcPr>
            <w:tcW w:w="1289" w:type="dxa"/>
            <w:shd w:val="clear" w:color="auto" w:fill="auto"/>
            <w:tcMar>
              <w:top w:w="100" w:type="dxa"/>
              <w:left w:w="100" w:type="dxa"/>
              <w:bottom w:w="100" w:type="dxa"/>
              <w:right w:w="100" w:type="dxa"/>
            </w:tcMar>
          </w:tcPr>
          <w:p w14:paraId="005DCB25"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2947017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240F0BF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704AE8A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04CB69E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0AAA1DFB"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3B4CEAF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10DEFC3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0C714C93" w14:textId="77777777">
        <w:tc>
          <w:tcPr>
            <w:tcW w:w="1289" w:type="dxa"/>
            <w:shd w:val="clear" w:color="auto" w:fill="auto"/>
            <w:tcMar>
              <w:top w:w="100" w:type="dxa"/>
              <w:left w:w="100" w:type="dxa"/>
              <w:bottom w:w="100" w:type="dxa"/>
              <w:right w:w="100" w:type="dxa"/>
            </w:tcMar>
          </w:tcPr>
          <w:p w14:paraId="54E0E2B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E</w:t>
            </w:r>
          </w:p>
        </w:tc>
        <w:tc>
          <w:tcPr>
            <w:tcW w:w="1289" w:type="dxa"/>
            <w:shd w:val="clear" w:color="auto" w:fill="auto"/>
            <w:tcMar>
              <w:top w:w="100" w:type="dxa"/>
              <w:left w:w="100" w:type="dxa"/>
              <w:bottom w:w="100" w:type="dxa"/>
              <w:right w:w="100" w:type="dxa"/>
            </w:tcMar>
          </w:tcPr>
          <w:p w14:paraId="526756E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Female </w:t>
            </w:r>
          </w:p>
        </w:tc>
        <w:tc>
          <w:tcPr>
            <w:tcW w:w="1289" w:type="dxa"/>
            <w:shd w:val="clear" w:color="auto" w:fill="auto"/>
            <w:tcMar>
              <w:top w:w="100" w:type="dxa"/>
              <w:left w:w="100" w:type="dxa"/>
              <w:bottom w:w="100" w:type="dxa"/>
              <w:right w:w="100" w:type="dxa"/>
            </w:tcMar>
          </w:tcPr>
          <w:p w14:paraId="617DF1D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239</w:t>
            </w:r>
          </w:p>
        </w:tc>
        <w:tc>
          <w:tcPr>
            <w:tcW w:w="1289" w:type="dxa"/>
            <w:shd w:val="clear" w:color="auto" w:fill="auto"/>
            <w:tcMar>
              <w:top w:w="100" w:type="dxa"/>
              <w:left w:w="100" w:type="dxa"/>
              <w:bottom w:w="100" w:type="dxa"/>
              <w:right w:w="100" w:type="dxa"/>
            </w:tcMar>
          </w:tcPr>
          <w:p w14:paraId="37B3FD6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22.335</w:t>
            </w:r>
          </w:p>
        </w:tc>
        <w:tc>
          <w:tcPr>
            <w:tcW w:w="1289" w:type="dxa"/>
            <w:shd w:val="clear" w:color="auto" w:fill="auto"/>
            <w:tcMar>
              <w:top w:w="100" w:type="dxa"/>
              <w:left w:w="100" w:type="dxa"/>
              <w:bottom w:w="100" w:type="dxa"/>
              <w:right w:w="100" w:type="dxa"/>
            </w:tcMar>
          </w:tcPr>
          <w:p w14:paraId="0F0E388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3.741</w:t>
            </w:r>
          </w:p>
        </w:tc>
        <w:tc>
          <w:tcPr>
            <w:tcW w:w="1289" w:type="dxa"/>
            <w:shd w:val="clear" w:color="auto" w:fill="auto"/>
            <w:tcMar>
              <w:top w:w="100" w:type="dxa"/>
              <w:left w:w="100" w:type="dxa"/>
              <w:bottom w:w="100" w:type="dxa"/>
              <w:right w:w="100" w:type="dxa"/>
            </w:tcMar>
          </w:tcPr>
          <w:p w14:paraId="2F9A9B0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0.242</w:t>
            </w:r>
          </w:p>
        </w:tc>
        <w:tc>
          <w:tcPr>
            <w:tcW w:w="1289" w:type="dxa"/>
            <w:shd w:val="clear" w:color="auto" w:fill="auto"/>
            <w:tcMar>
              <w:top w:w="100" w:type="dxa"/>
              <w:left w:w="100" w:type="dxa"/>
              <w:bottom w:w="100" w:type="dxa"/>
              <w:right w:w="100" w:type="dxa"/>
            </w:tcMar>
          </w:tcPr>
          <w:p w14:paraId="5939760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0.168</w:t>
            </w:r>
          </w:p>
        </w:tc>
      </w:tr>
      <w:tr w:rsidR="00487CB5" w14:paraId="47E92524" w14:textId="77777777">
        <w:tc>
          <w:tcPr>
            <w:tcW w:w="1289" w:type="dxa"/>
            <w:shd w:val="clear" w:color="auto" w:fill="auto"/>
            <w:tcMar>
              <w:top w:w="100" w:type="dxa"/>
              <w:left w:w="100" w:type="dxa"/>
              <w:bottom w:w="100" w:type="dxa"/>
              <w:right w:w="100" w:type="dxa"/>
            </w:tcMar>
          </w:tcPr>
          <w:p w14:paraId="71936410"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3E72B0A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Male</w:t>
            </w:r>
          </w:p>
        </w:tc>
        <w:tc>
          <w:tcPr>
            <w:tcW w:w="1289" w:type="dxa"/>
            <w:shd w:val="clear" w:color="auto" w:fill="auto"/>
            <w:tcMar>
              <w:top w:w="100" w:type="dxa"/>
              <w:left w:w="100" w:type="dxa"/>
              <w:bottom w:w="100" w:type="dxa"/>
              <w:right w:w="100" w:type="dxa"/>
            </w:tcMar>
          </w:tcPr>
          <w:p w14:paraId="50EFAD7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101</w:t>
            </w:r>
          </w:p>
        </w:tc>
        <w:tc>
          <w:tcPr>
            <w:tcW w:w="1289" w:type="dxa"/>
            <w:shd w:val="clear" w:color="auto" w:fill="auto"/>
            <w:tcMar>
              <w:top w:w="100" w:type="dxa"/>
              <w:left w:w="100" w:type="dxa"/>
              <w:bottom w:w="100" w:type="dxa"/>
              <w:right w:w="100" w:type="dxa"/>
            </w:tcMar>
          </w:tcPr>
          <w:p w14:paraId="15DD996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22.020</w:t>
            </w:r>
          </w:p>
        </w:tc>
        <w:tc>
          <w:tcPr>
            <w:tcW w:w="1289" w:type="dxa"/>
            <w:shd w:val="clear" w:color="auto" w:fill="auto"/>
            <w:tcMar>
              <w:top w:w="100" w:type="dxa"/>
              <w:left w:w="100" w:type="dxa"/>
              <w:bottom w:w="100" w:type="dxa"/>
              <w:right w:w="100" w:type="dxa"/>
            </w:tcMar>
          </w:tcPr>
          <w:p w14:paraId="7153A81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3.709</w:t>
            </w:r>
          </w:p>
        </w:tc>
        <w:tc>
          <w:tcPr>
            <w:tcW w:w="1289" w:type="dxa"/>
            <w:shd w:val="clear" w:color="auto" w:fill="auto"/>
            <w:tcMar>
              <w:top w:w="100" w:type="dxa"/>
              <w:left w:w="100" w:type="dxa"/>
              <w:bottom w:w="100" w:type="dxa"/>
              <w:right w:w="100" w:type="dxa"/>
            </w:tcMar>
          </w:tcPr>
          <w:p w14:paraId="31653F3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0.369</w:t>
            </w:r>
          </w:p>
        </w:tc>
        <w:tc>
          <w:tcPr>
            <w:tcW w:w="1289" w:type="dxa"/>
            <w:shd w:val="clear" w:color="auto" w:fill="auto"/>
            <w:tcMar>
              <w:top w:w="100" w:type="dxa"/>
              <w:left w:w="100" w:type="dxa"/>
              <w:bottom w:w="100" w:type="dxa"/>
              <w:right w:w="100" w:type="dxa"/>
            </w:tcMar>
          </w:tcPr>
          <w:p w14:paraId="14381E2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0.168</w:t>
            </w:r>
          </w:p>
        </w:tc>
      </w:tr>
    </w:tbl>
    <w:p w14:paraId="5642BCA7" w14:textId="77777777" w:rsidR="00487CB5" w:rsidRDefault="00487CB5">
      <w:pPr>
        <w:jc w:val="center"/>
        <w:rPr>
          <w:rFonts w:ascii="Times New Roman" w:eastAsia="Times New Roman" w:hAnsi="Times New Roman" w:cs="Times New Roman"/>
        </w:rPr>
      </w:pPr>
    </w:p>
    <w:p w14:paraId="594C460E"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Mann-Whitney Score = 12831.000, p = 0.355</w:t>
      </w:r>
    </w:p>
    <w:p w14:paraId="5E287CCC" w14:textId="77777777" w:rsidR="00487CB5" w:rsidRDefault="00487CB5">
      <w:pPr>
        <w:rPr>
          <w:rFonts w:ascii="Times New Roman" w:eastAsia="Times New Roman" w:hAnsi="Times New Roman" w:cs="Times New Roman"/>
        </w:rPr>
      </w:pPr>
    </w:p>
    <w:p w14:paraId="524885A9"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9: Descriptive Statistics for “Consumer Scepticism” Scores by Area</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487CB5" w14:paraId="306B9F9C" w14:textId="77777777">
        <w:tc>
          <w:tcPr>
            <w:tcW w:w="1289" w:type="dxa"/>
            <w:shd w:val="clear" w:color="auto" w:fill="auto"/>
            <w:tcMar>
              <w:top w:w="100" w:type="dxa"/>
              <w:left w:w="100" w:type="dxa"/>
              <w:bottom w:w="100" w:type="dxa"/>
              <w:right w:w="100" w:type="dxa"/>
            </w:tcMar>
          </w:tcPr>
          <w:p w14:paraId="433C7F48"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02EBD3A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Group </w:t>
            </w:r>
          </w:p>
        </w:tc>
        <w:tc>
          <w:tcPr>
            <w:tcW w:w="1289" w:type="dxa"/>
            <w:shd w:val="clear" w:color="auto" w:fill="auto"/>
            <w:tcMar>
              <w:top w:w="100" w:type="dxa"/>
              <w:left w:w="100" w:type="dxa"/>
              <w:bottom w:w="100" w:type="dxa"/>
              <w:right w:w="100" w:type="dxa"/>
            </w:tcMar>
          </w:tcPr>
          <w:p w14:paraId="2C23C07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N </w:t>
            </w:r>
          </w:p>
        </w:tc>
        <w:tc>
          <w:tcPr>
            <w:tcW w:w="1289" w:type="dxa"/>
            <w:shd w:val="clear" w:color="auto" w:fill="auto"/>
            <w:tcMar>
              <w:top w:w="100" w:type="dxa"/>
              <w:left w:w="100" w:type="dxa"/>
              <w:bottom w:w="100" w:type="dxa"/>
              <w:right w:w="100" w:type="dxa"/>
            </w:tcMar>
          </w:tcPr>
          <w:p w14:paraId="729AF59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Mean</w:t>
            </w:r>
          </w:p>
        </w:tc>
        <w:tc>
          <w:tcPr>
            <w:tcW w:w="1289" w:type="dxa"/>
            <w:shd w:val="clear" w:color="auto" w:fill="auto"/>
            <w:tcMar>
              <w:top w:w="100" w:type="dxa"/>
              <w:left w:w="100" w:type="dxa"/>
              <w:bottom w:w="100" w:type="dxa"/>
              <w:right w:w="100" w:type="dxa"/>
            </w:tcMar>
          </w:tcPr>
          <w:p w14:paraId="3DCD5FD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 SD </w:t>
            </w:r>
          </w:p>
          <w:p w14:paraId="0AE3038B"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420B9AB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SE </w:t>
            </w:r>
          </w:p>
        </w:tc>
        <w:tc>
          <w:tcPr>
            <w:tcW w:w="1289" w:type="dxa"/>
            <w:shd w:val="clear" w:color="auto" w:fill="auto"/>
            <w:tcMar>
              <w:top w:w="100" w:type="dxa"/>
              <w:left w:w="100" w:type="dxa"/>
              <w:bottom w:w="100" w:type="dxa"/>
              <w:right w:w="100" w:type="dxa"/>
            </w:tcMar>
          </w:tcPr>
          <w:p w14:paraId="523AAF8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2A57F6FD" w14:textId="77777777">
        <w:tc>
          <w:tcPr>
            <w:tcW w:w="1289" w:type="dxa"/>
            <w:shd w:val="clear" w:color="auto" w:fill="auto"/>
            <w:tcMar>
              <w:top w:w="100" w:type="dxa"/>
              <w:left w:w="100" w:type="dxa"/>
              <w:bottom w:w="100" w:type="dxa"/>
              <w:right w:w="100" w:type="dxa"/>
            </w:tcMar>
          </w:tcPr>
          <w:p w14:paraId="2BD702E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Sum A</w:t>
            </w:r>
          </w:p>
        </w:tc>
        <w:tc>
          <w:tcPr>
            <w:tcW w:w="1289" w:type="dxa"/>
            <w:shd w:val="clear" w:color="auto" w:fill="auto"/>
            <w:tcMar>
              <w:top w:w="100" w:type="dxa"/>
              <w:left w:w="100" w:type="dxa"/>
              <w:bottom w:w="100" w:type="dxa"/>
              <w:right w:w="100" w:type="dxa"/>
            </w:tcMar>
          </w:tcPr>
          <w:p w14:paraId="729752F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Rural</w:t>
            </w:r>
          </w:p>
        </w:tc>
        <w:tc>
          <w:tcPr>
            <w:tcW w:w="1289" w:type="dxa"/>
            <w:shd w:val="clear" w:color="auto" w:fill="auto"/>
            <w:tcMar>
              <w:top w:w="100" w:type="dxa"/>
              <w:left w:w="100" w:type="dxa"/>
              <w:bottom w:w="100" w:type="dxa"/>
              <w:right w:w="100" w:type="dxa"/>
            </w:tcMar>
          </w:tcPr>
          <w:p w14:paraId="325617D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42</w:t>
            </w:r>
          </w:p>
        </w:tc>
        <w:tc>
          <w:tcPr>
            <w:tcW w:w="1289" w:type="dxa"/>
            <w:shd w:val="clear" w:color="auto" w:fill="auto"/>
            <w:tcMar>
              <w:top w:w="100" w:type="dxa"/>
              <w:left w:w="100" w:type="dxa"/>
              <w:bottom w:w="100" w:type="dxa"/>
              <w:right w:w="100" w:type="dxa"/>
            </w:tcMar>
          </w:tcPr>
          <w:p w14:paraId="2BDE15D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22.190</w:t>
            </w:r>
          </w:p>
        </w:tc>
        <w:tc>
          <w:tcPr>
            <w:tcW w:w="1289" w:type="dxa"/>
            <w:shd w:val="clear" w:color="auto" w:fill="auto"/>
            <w:tcMar>
              <w:top w:w="100" w:type="dxa"/>
              <w:left w:w="100" w:type="dxa"/>
              <w:bottom w:w="100" w:type="dxa"/>
              <w:right w:w="100" w:type="dxa"/>
            </w:tcMar>
          </w:tcPr>
          <w:p w14:paraId="01F86E1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3.664</w:t>
            </w:r>
          </w:p>
        </w:tc>
        <w:tc>
          <w:tcPr>
            <w:tcW w:w="1289" w:type="dxa"/>
            <w:shd w:val="clear" w:color="auto" w:fill="auto"/>
            <w:tcMar>
              <w:top w:w="100" w:type="dxa"/>
              <w:left w:w="100" w:type="dxa"/>
              <w:bottom w:w="100" w:type="dxa"/>
              <w:right w:w="100" w:type="dxa"/>
            </w:tcMar>
          </w:tcPr>
          <w:p w14:paraId="32A4167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0.565</w:t>
            </w:r>
          </w:p>
        </w:tc>
        <w:tc>
          <w:tcPr>
            <w:tcW w:w="1289" w:type="dxa"/>
            <w:shd w:val="clear" w:color="auto" w:fill="auto"/>
            <w:tcMar>
              <w:top w:w="100" w:type="dxa"/>
              <w:left w:w="100" w:type="dxa"/>
              <w:bottom w:w="100" w:type="dxa"/>
              <w:right w:w="100" w:type="dxa"/>
            </w:tcMar>
          </w:tcPr>
          <w:p w14:paraId="5BFD955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0.165</w:t>
            </w:r>
          </w:p>
        </w:tc>
      </w:tr>
      <w:tr w:rsidR="00487CB5" w14:paraId="5112D9BB" w14:textId="77777777">
        <w:tc>
          <w:tcPr>
            <w:tcW w:w="1289" w:type="dxa"/>
            <w:shd w:val="clear" w:color="auto" w:fill="auto"/>
            <w:tcMar>
              <w:top w:w="100" w:type="dxa"/>
              <w:left w:w="100" w:type="dxa"/>
              <w:bottom w:w="100" w:type="dxa"/>
              <w:right w:w="100" w:type="dxa"/>
            </w:tcMar>
          </w:tcPr>
          <w:p w14:paraId="0BAB1876" w14:textId="77777777" w:rsidR="00487CB5" w:rsidRDefault="00487CB5">
            <w:pPr>
              <w:widowControl w:val="0"/>
              <w:rPr>
                <w:rFonts w:ascii="Times New Roman" w:eastAsia="Times New Roman" w:hAnsi="Times New Roman" w:cs="Times New Roman"/>
              </w:rPr>
            </w:pPr>
          </w:p>
        </w:tc>
        <w:tc>
          <w:tcPr>
            <w:tcW w:w="1289" w:type="dxa"/>
            <w:shd w:val="clear" w:color="auto" w:fill="auto"/>
            <w:tcMar>
              <w:top w:w="100" w:type="dxa"/>
              <w:left w:w="100" w:type="dxa"/>
              <w:bottom w:w="100" w:type="dxa"/>
              <w:right w:w="100" w:type="dxa"/>
            </w:tcMar>
          </w:tcPr>
          <w:p w14:paraId="3DD6247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Urban</w:t>
            </w:r>
          </w:p>
        </w:tc>
        <w:tc>
          <w:tcPr>
            <w:tcW w:w="1289" w:type="dxa"/>
            <w:shd w:val="clear" w:color="auto" w:fill="auto"/>
            <w:tcMar>
              <w:top w:w="100" w:type="dxa"/>
              <w:left w:w="100" w:type="dxa"/>
              <w:bottom w:w="100" w:type="dxa"/>
              <w:right w:w="100" w:type="dxa"/>
            </w:tcMar>
          </w:tcPr>
          <w:p w14:paraId="5B41822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298</w:t>
            </w:r>
          </w:p>
        </w:tc>
        <w:tc>
          <w:tcPr>
            <w:tcW w:w="1289" w:type="dxa"/>
            <w:shd w:val="clear" w:color="auto" w:fill="auto"/>
            <w:tcMar>
              <w:top w:w="100" w:type="dxa"/>
              <w:left w:w="100" w:type="dxa"/>
              <w:bottom w:w="100" w:type="dxa"/>
              <w:right w:w="100" w:type="dxa"/>
            </w:tcMar>
          </w:tcPr>
          <w:p w14:paraId="7B2C0B3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22.248</w:t>
            </w:r>
          </w:p>
        </w:tc>
        <w:tc>
          <w:tcPr>
            <w:tcW w:w="1289" w:type="dxa"/>
            <w:shd w:val="clear" w:color="auto" w:fill="auto"/>
            <w:tcMar>
              <w:top w:w="100" w:type="dxa"/>
              <w:left w:w="100" w:type="dxa"/>
              <w:bottom w:w="100" w:type="dxa"/>
              <w:right w:w="100" w:type="dxa"/>
            </w:tcMar>
          </w:tcPr>
          <w:p w14:paraId="63B6CAB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3.744</w:t>
            </w:r>
          </w:p>
        </w:tc>
        <w:tc>
          <w:tcPr>
            <w:tcW w:w="1289" w:type="dxa"/>
            <w:shd w:val="clear" w:color="auto" w:fill="auto"/>
            <w:tcMar>
              <w:top w:w="100" w:type="dxa"/>
              <w:left w:w="100" w:type="dxa"/>
              <w:bottom w:w="100" w:type="dxa"/>
              <w:right w:w="100" w:type="dxa"/>
            </w:tcMar>
          </w:tcPr>
          <w:p w14:paraId="768ACB6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0.217</w:t>
            </w:r>
          </w:p>
        </w:tc>
        <w:tc>
          <w:tcPr>
            <w:tcW w:w="1289" w:type="dxa"/>
            <w:shd w:val="clear" w:color="auto" w:fill="auto"/>
            <w:tcMar>
              <w:top w:w="100" w:type="dxa"/>
              <w:left w:w="100" w:type="dxa"/>
              <w:bottom w:w="100" w:type="dxa"/>
              <w:right w:w="100" w:type="dxa"/>
            </w:tcMar>
          </w:tcPr>
          <w:p w14:paraId="45AB20B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0.168</w:t>
            </w:r>
          </w:p>
        </w:tc>
      </w:tr>
    </w:tbl>
    <w:p w14:paraId="5B37BF30" w14:textId="77777777" w:rsidR="00487CB5" w:rsidRDefault="00487CB5">
      <w:pPr>
        <w:jc w:val="center"/>
        <w:rPr>
          <w:rFonts w:ascii="Times New Roman" w:eastAsia="Times New Roman" w:hAnsi="Times New Roman" w:cs="Times New Roman"/>
        </w:rPr>
      </w:pPr>
    </w:p>
    <w:p w14:paraId="04AE6FA1" w14:textId="77777777" w:rsidR="00487CB5" w:rsidRDefault="002B62DD">
      <w:pPr>
        <w:jc w:val="center"/>
        <w:rPr>
          <w:rFonts w:ascii="Times New Roman" w:eastAsia="Times New Roman" w:hAnsi="Times New Roman" w:cs="Times New Roman"/>
        </w:rPr>
      </w:pPr>
      <w:r>
        <w:rPr>
          <w:rFonts w:ascii="Times New Roman" w:eastAsia="Times New Roman" w:hAnsi="Times New Roman" w:cs="Times New Roman"/>
        </w:rPr>
        <w:t xml:space="preserve"> p = 0.925</w:t>
      </w:r>
    </w:p>
    <w:p w14:paraId="32FD2923" w14:textId="77777777" w:rsidR="00487CB5" w:rsidRDefault="00487CB5">
      <w:pPr>
        <w:rPr>
          <w:rFonts w:ascii="Times New Roman" w:eastAsia="Times New Roman" w:hAnsi="Times New Roman" w:cs="Times New Roman"/>
        </w:rPr>
      </w:pPr>
    </w:p>
    <w:p w14:paraId="351FFFA7"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sz w:val="24"/>
          <w:szCs w:val="24"/>
        </w:rPr>
        <w:t>Anova</w:t>
      </w:r>
    </w:p>
    <w:p w14:paraId="279F7EA3" w14:textId="77777777" w:rsidR="00487CB5" w:rsidRDefault="00487CB5">
      <w:pPr>
        <w:rPr>
          <w:rFonts w:ascii="Times New Roman" w:eastAsia="Times New Roman" w:hAnsi="Times New Roman" w:cs="Times New Roman"/>
        </w:rPr>
      </w:pPr>
    </w:p>
    <w:p w14:paraId="2CCA0C4E"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10: Descriptive Statistics for “Personal Norms” Scores by people in different income groups</w:t>
      </w:r>
    </w:p>
    <w:tbl>
      <w:tblPr>
        <w:tblStyle w:val="a8"/>
        <w:tblW w:w="9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260"/>
        <w:gridCol w:w="1500"/>
        <w:gridCol w:w="1500"/>
        <w:gridCol w:w="1500"/>
        <w:gridCol w:w="1665"/>
      </w:tblGrid>
      <w:tr w:rsidR="00487CB5" w14:paraId="36EDD053" w14:textId="77777777">
        <w:tc>
          <w:tcPr>
            <w:tcW w:w="1740" w:type="dxa"/>
            <w:shd w:val="clear" w:color="auto" w:fill="auto"/>
            <w:tcMar>
              <w:top w:w="100" w:type="dxa"/>
              <w:left w:w="100" w:type="dxa"/>
              <w:bottom w:w="100" w:type="dxa"/>
              <w:right w:w="100" w:type="dxa"/>
            </w:tcMar>
          </w:tcPr>
          <w:p w14:paraId="5E46E50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Family Income</w:t>
            </w:r>
          </w:p>
        </w:tc>
        <w:tc>
          <w:tcPr>
            <w:tcW w:w="1260" w:type="dxa"/>
            <w:shd w:val="clear" w:color="auto" w:fill="auto"/>
            <w:tcMar>
              <w:top w:w="100" w:type="dxa"/>
              <w:left w:w="100" w:type="dxa"/>
              <w:bottom w:w="100" w:type="dxa"/>
              <w:right w:w="100" w:type="dxa"/>
            </w:tcMar>
          </w:tcPr>
          <w:p w14:paraId="60CDFFF5"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N</w:t>
            </w:r>
          </w:p>
        </w:tc>
        <w:tc>
          <w:tcPr>
            <w:tcW w:w="1500" w:type="dxa"/>
            <w:shd w:val="clear" w:color="auto" w:fill="auto"/>
            <w:tcMar>
              <w:top w:w="100" w:type="dxa"/>
              <w:left w:w="100" w:type="dxa"/>
              <w:bottom w:w="100" w:type="dxa"/>
              <w:right w:w="100" w:type="dxa"/>
            </w:tcMar>
          </w:tcPr>
          <w:p w14:paraId="59E14AD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Mean </w:t>
            </w:r>
          </w:p>
        </w:tc>
        <w:tc>
          <w:tcPr>
            <w:tcW w:w="1500" w:type="dxa"/>
            <w:shd w:val="clear" w:color="auto" w:fill="auto"/>
            <w:tcMar>
              <w:top w:w="100" w:type="dxa"/>
              <w:left w:w="100" w:type="dxa"/>
              <w:bottom w:w="100" w:type="dxa"/>
              <w:right w:w="100" w:type="dxa"/>
            </w:tcMar>
          </w:tcPr>
          <w:p w14:paraId="33012F70"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SD</w:t>
            </w:r>
          </w:p>
        </w:tc>
        <w:tc>
          <w:tcPr>
            <w:tcW w:w="1500" w:type="dxa"/>
            <w:shd w:val="clear" w:color="auto" w:fill="auto"/>
            <w:tcMar>
              <w:top w:w="100" w:type="dxa"/>
              <w:left w:w="100" w:type="dxa"/>
              <w:bottom w:w="100" w:type="dxa"/>
              <w:right w:w="100" w:type="dxa"/>
            </w:tcMar>
          </w:tcPr>
          <w:p w14:paraId="4F85B5E7"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SE</w:t>
            </w:r>
          </w:p>
        </w:tc>
        <w:tc>
          <w:tcPr>
            <w:tcW w:w="1665" w:type="dxa"/>
            <w:shd w:val="clear" w:color="auto" w:fill="auto"/>
            <w:tcMar>
              <w:top w:w="100" w:type="dxa"/>
              <w:left w:w="100" w:type="dxa"/>
              <w:bottom w:w="100" w:type="dxa"/>
              <w:right w:w="100" w:type="dxa"/>
            </w:tcMar>
          </w:tcPr>
          <w:p w14:paraId="57A02D1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1A881DF9" w14:textId="77777777">
        <w:tc>
          <w:tcPr>
            <w:tcW w:w="1740" w:type="dxa"/>
            <w:shd w:val="clear" w:color="auto" w:fill="auto"/>
            <w:tcMar>
              <w:top w:w="100" w:type="dxa"/>
              <w:left w:w="100" w:type="dxa"/>
              <w:bottom w:w="100" w:type="dxa"/>
              <w:right w:w="100" w:type="dxa"/>
            </w:tcMar>
          </w:tcPr>
          <w:p w14:paraId="5C5DD040"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260" w:type="dxa"/>
            <w:shd w:val="clear" w:color="auto" w:fill="auto"/>
            <w:tcMar>
              <w:top w:w="100" w:type="dxa"/>
              <w:left w:w="100" w:type="dxa"/>
              <w:bottom w:w="100" w:type="dxa"/>
              <w:right w:w="100" w:type="dxa"/>
            </w:tcMar>
          </w:tcPr>
          <w:p w14:paraId="160B07C3"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40357585"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5DEA3333"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7CBB1B18"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c>
          <w:tcPr>
            <w:tcW w:w="1665" w:type="dxa"/>
            <w:shd w:val="clear" w:color="auto" w:fill="auto"/>
            <w:tcMar>
              <w:top w:w="100" w:type="dxa"/>
              <w:left w:w="100" w:type="dxa"/>
              <w:bottom w:w="100" w:type="dxa"/>
              <w:right w:w="100" w:type="dxa"/>
            </w:tcMar>
          </w:tcPr>
          <w:p w14:paraId="310B5351" w14:textId="77777777" w:rsidR="00487CB5" w:rsidRDefault="00487CB5">
            <w:pPr>
              <w:widowControl w:val="0"/>
              <w:pBdr>
                <w:top w:val="nil"/>
                <w:left w:val="nil"/>
                <w:bottom w:val="nil"/>
                <w:right w:val="nil"/>
                <w:between w:val="nil"/>
              </w:pBdr>
              <w:rPr>
                <w:rFonts w:ascii="Times New Roman" w:eastAsia="Times New Roman" w:hAnsi="Times New Roman" w:cs="Times New Roman"/>
              </w:rPr>
            </w:pPr>
          </w:p>
        </w:tc>
      </w:tr>
      <w:tr w:rsidR="00487CB5" w14:paraId="75CB1CC1" w14:textId="77777777">
        <w:tc>
          <w:tcPr>
            <w:tcW w:w="1740" w:type="dxa"/>
            <w:shd w:val="clear" w:color="auto" w:fill="auto"/>
            <w:tcMar>
              <w:top w:w="100" w:type="dxa"/>
              <w:left w:w="100" w:type="dxa"/>
              <w:bottom w:w="100" w:type="dxa"/>
              <w:right w:w="100" w:type="dxa"/>
            </w:tcMar>
          </w:tcPr>
          <w:p w14:paraId="72F2A13C"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3 - 8 Lakhs</w:t>
            </w:r>
          </w:p>
        </w:tc>
        <w:tc>
          <w:tcPr>
            <w:tcW w:w="1260" w:type="dxa"/>
            <w:shd w:val="clear" w:color="auto" w:fill="auto"/>
            <w:tcMar>
              <w:top w:w="100" w:type="dxa"/>
              <w:left w:w="100" w:type="dxa"/>
              <w:bottom w:w="100" w:type="dxa"/>
              <w:right w:w="100" w:type="dxa"/>
            </w:tcMar>
          </w:tcPr>
          <w:p w14:paraId="61207B7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105</w:t>
            </w:r>
          </w:p>
        </w:tc>
        <w:tc>
          <w:tcPr>
            <w:tcW w:w="1500" w:type="dxa"/>
            <w:shd w:val="clear" w:color="auto" w:fill="auto"/>
            <w:tcMar>
              <w:top w:w="100" w:type="dxa"/>
              <w:left w:w="100" w:type="dxa"/>
              <w:bottom w:w="100" w:type="dxa"/>
              <w:right w:w="100" w:type="dxa"/>
            </w:tcMar>
          </w:tcPr>
          <w:p w14:paraId="362CBFF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17.248</w:t>
            </w:r>
          </w:p>
        </w:tc>
        <w:tc>
          <w:tcPr>
            <w:tcW w:w="1500" w:type="dxa"/>
            <w:shd w:val="clear" w:color="auto" w:fill="auto"/>
            <w:tcMar>
              <w:top w:w="100" w:type="dxa"/>
              <w:left w:w="100" w:type="dxa"/>
              <w:bottom w:w="100" w:type="dxa"/>
              <w:right w:w="100" w:type="dxa"/>
            </w:tcMar>
          </w:tcPr>
          <w:p w14:paraId="6DCD7B16"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2.409</w:t>
            </w:r>
          </w:p>
        </w:tc>
        <w:tc>
          <w:tcPr>
            <w:tcW w:w="1500" w:type="dxa"/>
            <w:shd w:val="clear" w:color="auto" w:fill="auto"/>
            <w:tcMar>
              <w:top w:w="100" w:type="dxa"/>
              <w:left w:w="100" w:type="dxa"/>
              <w:bottom w:w="100" w:type="dxa"/>
              <w:right w:w="100" w:type="dxa"/>
            </w:tcMar>
          </w:tcPr>
          <w:p w14:paraId="7EF7EDB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0.235</w:t>
            </w:r>
          </w:p>
        </w:tc>
        <w:tc>
          <w:tcPr>
            <w:tcW w:w="1665" w:type="dxa"/>
            <w:shd w:val="clear" w:color="auto" w:fill="auto"/>
            <w:tcMar>
              <w:top w:w="100" w:type="dxa"/>
              <w:left w:w="100" w:type="dxa"/>
              <w:bottom w:w="100" w:type="dxa"/>
              <w:right w:w="100" w:type="dxa"/>
            </w:tcMar>
          </w:tcPr>
          <w:p w14:paraId="0867163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0.140</w:t>
            </w:r>
          </w:p>
        </w:tc>
      </w:tr>
      <w:tr w:rsidR="00487CB5" w14:paraId="7AACFF0C" w14:textId="77777777">
        <w:tc>
          <w:tcPr>
            <w:tcW w:w="1740" w:type="dxa"/>
            <w:shd w:val="clear" w:color="auto" w:fill="auto"/>
            <w:tcMar>
              <w:top w:w="100" w:type="dxa"/>
              <w:left w:w="100" w:type="dxa"/>
              <w:bottom w:w="100" w:type="dxa"/>
              <w:right w:w="100" w:type="dxa"/>
            </w:tcMar>
          </w:tcPr>
          <w:p w14:paraId="0C1B18D8"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8 - 12 Lakhs</w:t>
            </w:r>
          </w:p>
        </w:tc>
        <w:tc>
          <w:tcPr>
            <w:tcW w:w="1260" w:type="dxa"/>
            <w:shd w:val="clear" w:color="auto" w:fill="auto"/>
            <w:tcMar>
              <w:top w:w="100" w:type="dxa"/>
              <w:left w:w="100" w:type="dxa"/>
              <w:bottom w:w="100" w:type="dxa"/>
              <w:right w:w="100" w:type="dxa"/>
            </w:tcMar>
          </w:tcPr>
          <w:p w14:paraId="0694CC59"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66</w:t>
            </w:r>
          </w:p>
        </w:tc>
        <w:tc>
          <w:tcPr>
            <w:tcW w:w="1500" w:type="dxa"/>
            <w:shd w:val="clear" w:color="auto" w:fill="auto"/>
            <w:tcMar>
              <w:top w:w="100" w:type="dxa"/>
              <w:left w:w="100" w:type="dxa"/>
              <w:bottom w:w="100" w:type="dxa"/>
              <w:right w:w="100" w:type="dxa"/>
            </w:tcMar>
          </w:tcPr>
          <w:p w14:paraId="15701673"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17.197</w:t>
            </w:r>
          </w:p>
        </w:tc>
        <w:tc>
          <w:tcPr>
            <w:tcW w:w="1500" w:type="dxa"/>
            <w:shd w:val="clear" w:color="auto" w:fill="auto"/>
            <w:tcMar>
              <w:top w:w="100" w:type="dxa"/>
              <w:left w:w="100" w:type="dxa"/>
              <w:bottom w:w="100" w:type="dxa"/>
              <w:right w:w="100" w:type="dxa"/>
            </w:tcMar>
          </w:tcPr>
          <w:p w14:paraId="081A0263"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2.017</w:t>
            </w:r>
          </w:p>
        </w:tc>
        <w:tc>
          <w:tcPr>
            <w:tcW w:w="1500" w:type="dxa"/>
            <w:shd w:val="clear" w:color="auto" w:fill="auto"/>
            <w:tcMar>
              <w:top w:w="100" w:type="dxa"/>
              <w:left w:w="100" w:type="dxa"/>
              <w:bottom w:w="100" w:type="dxa"/>
              <w:right w:w="100" w:type="dxa"/>
            </w:tcMar>
          </w:tcPr>
          <w:p w14:paraId="68DA43D0"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0.248</w:t>
            </w:r>
          </w:p>
        </w:tc>
        <w:tc>
          <w:tcPr>
            <w:tcW w:w="1665" w:type="dxa"/>
            <w:shd w:val="clear" w:color="auto" w:fill="auto"/>
            <w:tcMar>
              <w:top w:w="100" w:type="dxa"/>
              <w:left w:w="100" w:type="dxa"/>
              <w:bottom w:w="100" w:type="dxa"/>
              <w:right w:w="100" w:type="dxa"/>
            </w:tcMar>
          </w:tcPr>
          <w:p w14:paraId="1868771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0.117</w:t>
            </w:r>
          </w:p>
        </w:tc>
      </w:tr>
      <w:tr w:rsidR="00487CB5" w14:paraId="18089C23" w14:textId="77777777">
        <w:tc>
          <w:tcPr>
            <w:tcW w:w="1740" w:type="dxa"/>
            <w:shd w:val="clear" w:color="auto" w:fill="auto"/>
            <w:tcMar>
              <w:top w:w="100" w:type="dxa"/>
              <w:left w:w="100" w:type="dxa"/>
              <w:bottom w:w="100" w:type="dxa"/>
              <w:right w:w="100" w:type="dxa"/>
            </w:tcMar>
          </w:tcPr>
          <w:p w14:paraId="59C165D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Above 12 Lakhs</w:t>
            </w:r>
          </w:p>
        </w:tc>
        <w:tc>
          <w:tcPr>
            <w:tcW w:w="1260" w:type="dxa"/>
            <w:shd w:val="clear" w:color="auto" w:fill="auto"/>
            <w:tcMar>
              <w:top w:w="100" w:type="dxa"/>
              <w:left w:w="100" w:type="dxa"/>
              <w:bottom w:w="100" w:type="dxa"/>
              <w:right w:w="100" w:type="dxa"/>
            </w:tcMar>
          </w:tcPr>
          <w:p w14:paraId="6B6C09D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88</w:t>
            </w:r>
          </w:p>
        </w:tc>
        <w:tc>
          <w:tcPr>
            <w:tcW w:w="1500" w:type="dxa"/>
            <w:shd w:val="clear" w:color="auto" w:fill="auto"/>
            <w:tcMar>
              <w:top w:w="100" w:type="dxa"/>
              <w:left w:w="100" w:type="dxa"/>
              <w:bottom w:w="100" w:type="dxa"/>
              <w:right w:w="100" w:type="dxa"/>
            </w:tcMar>
          </w:tcPr>
          <w:p w14:paraId="2AC38F06"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17.489</w:t>
            </w:r>
          </w:p>
        </w:tc>
        <w:tc>
          <w:tcPr>
            <w:tcW w:w="1500" w:type="dxa"/>
            <w:shd w:val="clear" w:color="auto" w:fill="auto"/>
            <w:tcMar>
              <w:top w:w="100" w:type="dxa"/>
              <w:left w:w="100" w:type="dxa"/>
              <w:bottom w:w="100" w:type="dxa"/>
              <w:right w:w="100" w:type="dxa"/>
            </w:tcMar>
          </w:tcPr>
          <w:p w14:paraId="2B5298F2"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2.202</w:t>
            </w:r>
          </w:p>
        </w:tc>
        <w:tc>
          <w:tcPr>
            <w:tcW w:w="1500" w:type="dxa"/>
            <w:shd w:val="clear" w:color="auto" w:fill="auto"/>
            <w:tcMar>
              <w:top w:w="100" w:type="dxa"/>
              <w:left w:w="100" w:type="dxa"/>
              <w:bottom w:w="100" w:type="dxa"/>
              <w:right w:w="100" w:type="dxa"/>
            </w:tcMar>
          </w:tcPr>
          <w:p w14:paraId="1AC2457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0.235</w:t>
            </w:r>
          </w:p>
        </w:tc>
        <w:tc>
          <w:tcPr>
            <w:tcW w:w="1665" w:type="dxa"/>
            <w:shd w:val="clear" w:color="auto" w:fill="auto"/>
            <w:tcMar>
              <w:top w:w="100" w:type="dxa"/>
              <w:left w:w="100" w:type="dxa"/>
              <w:bottom w:w="100" w:type="dxa"/>
              <w:right w:w="100" w:type="dxa"/>
            </w:tcMar>
          </w:tcPr>
          <w:p w14:paraId="29F0DADA"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0.126</w:t>
            </w:r>
          </w:p>
        </w:tc>
      </w:tr>
      <w:tr w:rsidR="00487CB5" w14:paraId="35A778C0" w14:textId="77777777">
        <w:tc>
          <w:tcPr>
            <w:tcW w:w="1740" w:type="dxa"/>
            <w:shd w:val="clear" w:color="auto" w:fill="auto"/>
            <w:tcMar>
              <w:top w:w="100" w:type="dxa"/>
              <w:left w:w="100" w:type="dxa"/>
              <w:bottom w:w="100" w:type="dxa"/>
              <w:right w:w="100" w:type="dxa"/>
            </w:tcMar>
          </w:tcPr>
          <w:p w14:paraId="1D5AB45F"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Below 3 Lakhs</w:t>
            </w:r>
          </w:p>
        </w:tc>
        <w:tc>
          <w:tcPr>
            <w:tcW w:w="1260" w:type="dxa"/>
            <w:shd w:val="clear" w:color="auto" w:fill="auto"/>
            <w:tcMar>
              <w:top w:w="100" w:type="dxa"/>
              <w:left w:w="100" w:type="dxa"/>
              <w:bottom w:w="100" w:type="dxa"/>
              <w:right w:w="100" w:type="dxa"/>
            </w:tcMar>
          </w:tcPr>
          <w:p w14:paraId="3BC66931"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81</w:t>
            </w:r>
          </w:p>
        </w:tc>
        <w:tc>
          <w:tcPr>
            <w:tcW w:w="1500" w:type="dxa"/>
            <w:shd w:val="clear" w:color="auto" w:fill="auto"/>
            <w:tcMar>
              <w:top w:w="100" w:type="dxa"/>
              <w:left w:w="100" w:type="dxa"/>
              <w:bottom w:w="100" w:type="dxa"/>
              <w:right w:w="100" w:type="dxa"/>
            </w:tcMar>
          </w:tcPr>
          <w:p w14:paraId="45BE5DFC"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17.556</w:t>
            </w:r>
          </w:p>
        </w:tc>
        <w:tc>
          <w:tcPr>
            <w:tcW w:w="1500" w:type="dxa"/>
            <w:shd w:val="clear" w:color="auto" w:fill="auto"/>
            <w:tcMar>
              <w:top w:w="100" w:type="dxa"/>
              <w:left w:w="100" w:type="dxa"/>
              <w:bottom w:w="100" w:type="dxa"/>
              <w:right w:w="100" w:type="dxa"/>
            </w:tcMar>
          </w:tcPr>
          <w:p w14:paraId="33285694"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2.554</w:t>
            </w:r>
          </w:p>
        </w:tc>
        <w:tc>
          <w:tcPr>
            <w:tcW w:w="1500" w:type="dxa"/>
            <w:shd w:val="clear" w:color="auto" w:fill="auto"/>
            <w:tcMar>
              <w:top w:w="100" w:type="dxa"/>
              <w:left w:w="100" w:type="dxa"/>
              <w:bottom w:w="100" w:type="dxa"/>
              <w:right w:w="100" w:type="dxa"/>
            </w:tcMar>
          </w:tcPr>
          <w:p w14:paraId="2D8E30E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0.284</w:t>
            </w:r>
          </w:p>
        </w:tc>
        <w:tc>
          <w:tcPr>
            <w:tcW w:w="1665" w:type="dxa"/>
            <w:shd w:val="clear" w:color="auto" w:fill="auto"/>
            <w:tcMar>
              <w:top w:w="100" w:type="dxa"/>
              <w:left w:w="100" w:type="dxa"/>
              <w:bottom w:w="100" w:type="dxa"/>
              <w:right w:w="100" w:type="dxa"/>
            </w:tcMar>
          </w:tcPr>
          <w:p w14:paraId="42F7C0AD" w14:textId="77777777" w:rsidR="00487CB5" w:rsidRDefault="002B62D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0.146</w:t>
            </w:r>
          </w:p>
        </w:tc>
      </w:tr>
    </w:tbl>
    <w:p w14:paraId="74D037A9" w14:textId="77777777" w:rsidR="00487CB5" w:rsidRDefault="00487CB5">
      <w:pPr>
        <w:rPr>
          <w:rFonts w:ascii="Times New Roman" w:eastAsia="Times New Roman" w:hAnsi="Times New Roman" w:cs="Times New Roman"/>
        </w:rPr>
      </w:pPr>
    </w:p>
    <w:p w14:paraId="72F44D65"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p = 0.705</w:t>
      </w:r>
    </w:p>
    <w:p w14:paraId="214A1766" w14:textId="77777777" w:rsidR="00487CB5" w:rsidRDefault="00487CB5">
      <w:pPr>
        <w:rPr>
          <w:rFonts w:ascii="Times New Roman" w:eastAsia="Times New Roman" w:hAnsi="Times New Roman" w:cs="Times New Roman"/>
        </w:rPr>
      </w:pPr>
    </w:p>
    <w:p w14:paraId="327079B3"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11: Descriptive Statistics for “Alternative Evaluation” Scores by people in different income groups</w:t>
      </w:r>
    </w:p>
    <w:tbl>
      <w:tblPr>
        <w:tblStyle w:val="a9"/>
        <w:tblW w:w="9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260"/>
        <w:gridCol w:w="1500"/>
        <w:gridCol w:w="1500"/>
        <w:gridCol w:w="1500"/>
        <w:gridCol w:w="1665"/>
      </w:tblGrid>
      <w:tr w:rsidR="00487CB5" w14:paraId="565CC263" w14:textId="77777777">
        <w:tc>
          <w:tcPr>
            <w:tcW w:w="1740" w:type="dxa"/>
            <w:shd w:val="clear" w:color="auto" w:fill="auto"/>
            <w:tcMar>
              <w:top w:w="100" w:type="dxa"/>
              <w:left w:w="100" w:type="dxa"/>
              <w:bottom w:w="100" w:type="dxa"/>
              <w:right w:w="100" w:type="dxa"/>
            </w:tcMar>
          </w:tcPr>
          <w:p w14:paraId="1FF9931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Family Income</w:t>
            </w:r>
          </w:p>
        </w:tc>
        <w:tc>
          <w:tcPr>
            <w:tcW w:w="1260" w:type="dxa"/>
            <w:shd w:val="clear" w:color="auto" w:fill="auto"/>
            <w:tcMar>
              <w:top w:w="100" w:type="dxa"/>
              <w:left w:w="100" w:type="dxa"/>
              <w:bottom w:w="100" w:type="dxa"/>
              <w:right w:w="100" w:type="dxa"/>
            </w:tcMar>
          </w:tcPr>
          <w:p w14:paraId="448D4CC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N</w:t>
            </w:r>
          </w:p>
        </w:tc>
        <w:tc>
          <w:tcPr>
            <w:tcW w:w="1500" w:type="dxa"/>
            <w:shd w:val="clear" w:color="auto" w:fill="auto"/>
            <w:tcMar>
              <w:top w:w="100" w:type="dxa"/>
              <w:left w:w="100" w:type="dxa"/>
              <w:bottom w:w="100" w:type="dxa"/>
              <w:right w:w="100" w:type="dxa"/>
            </w:tcMar>
          </w:tcPr>
          <w:p w14:paraId="7BC80DB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Mean </w:t>
            </w:r>
          </w:p>
        </w:tc>
        <w:tc>
          <w:tcPr>
            <w:tcW w:w="1500" w:type="dxa"/>
            <w:shd w:val="clear" w:color="auto" w:fill="auto"/>
            <w:tcMar>
              <w:top w:w="100" w:type="dxa"/>
              <w:left w:w="100" w:type="dxa"/>
              <w:bottom w:w="100" w:type="dxa"/>
              <w:right w:w="100" w:type="dxa"/>
            </w:tcMar>
          </w:tcPr>
          <w:p w14:paraId="44C31CF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SD</w:t>
            </w:r>
          </w:p>
        </w:tc>
        <w:tc>
          <w:tcPr>
            <w:tcW w:w="1500" w:type="dxa"/>
            <w:shd w:val="clear" w:color="auto" w:fill="auto"/>
            <w:tcMar>
              <w:top w:w="100" w:type="dxa"/>
              <w:left w:w="100" w:type="dxa"/>
              <w:bottom w:w="100" w:type="dxa"/>
              <w:right w:w="100" w:type="dxa"/>
            </w:tcMar>
          </w:tcPr>
          <w:p w14:paraId="0C3C0B5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SE</w:t>
            </w:r>
          </w:p>
        </w:tc>
        <w:tc>
          <w:tcPr>
            <w:tcW w:w="1665" w:type="dxa"/>
            <w:shd w:val="clear" w:color="auto" w:fill="auto"/>
            <w:tcMar>
              <w:top w:w="100" w:type="dxa"/>
              <w:left w:w="100" w:type="dxa"/>
              <w:bottom w:w="100" w:type="dxa"/>
              <w:right w:w="100" w:type="dxa"/>
            </w:tcMar>
          </w:tcPr>
          <w:p w14:paraId="768B3AD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22071489" w14:textId="77777777">
        <w:tc>
          <w:tcPr>
            <w:tcW w:w="1740" w:type="dxa"/>
            <w:shd w:val="clear" w:color="auto" w:fill="auto"/>
            <w:tcMar>
              <w:top w:w="100" w:type="dxa"/>
              <w:left w:w="100" w:type="dxa"/>
              <w:bottom w:w="100" w:type="dxa"/>
              <w:right w:w="100" w:type="dxa"/>
            </w:tcMar>
          </w:tcPr>
          <w:p w14:paraId="3F9A350B" w14:textId="77777777" w:rsidR="00487CB5" w:rsidRDefault="00487CB5">
            <w:pPr>
              <w:widowControl w:val="0"/>
              <w:rPr>
                <w:rFonts w:ascii="Times New Roman" w:eastAsia="Times New Roman" w:hAnsi="Times New Roman" w:cs="Times New Roman"/>
              </w:rPr>
            </w:pPr>
          </w:p>
        </w:tc>
        <w:tc>
          <w:tcPr>
            <w:tcW w:w="1260" w:type="dxa"/>
            <w:shd w:val="clear" w:color="auto" w:fill="auto"/>
            <w:tcMar>
              <w:top w:w="100" w:type="dxa"/>
              <w:left w:w="100" w:type="dxa"/>
              <w:bottom w:w="100" w:type="dxa"/>
              <w:right w:w="100" w:type="dxa"/>
            </w:tcMar>
          </w:tcPr>
          <w:p w14:paraId="19F1C21D"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6AB08137"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1059FB0B"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6700833A" w14:textId="77777777" w:rsidR="00487CB5" w:rsidRDefault="00487CB5">
            <w:pPr>
              <w:widowControl w:val="0"/>
              <w:rPr>
                <w:rFonts w:ascii="Times New Roman" w:eastAsia="Times New Roman" w:hAnsi="Times New Roman" w:cs="Times New Roman"/>
              </w:rPr>
            </w:pPr>
          </w:p>
        </w:tc>
        <w:tc>
          <w:tcPr>
            <w:tcW w:w="1665" w:type="dxa"/>
            <w:shd w:val="clear" w:color="auto" w:fill="auto"/>
            <w:tcMar>
              <w:top w:w="100" w:type="dxa"/>
              <w:left w:w="100" w:type="dxa"/>
              <w:bottom w:w="100" w:type="dxa"/>
              <w:right w:w="100" w:type="dxa"/>
            </w:tcMar>
          </w:tcPr>
          <w:p w14:paraId="19B724AF" w14:textId="77777777" w:rsidR="00487CB5" w:rsidRDefault="00487CB5">
            <w:pPr>
              <w:widowControl w:val="0"/>
              <w:rPr>
                <w:rFonts w:ascii="Times New Roman" w:eastAsia="Times New Roman" w:hAnsi="Times New Roman" w:cs="Times New Roman"/>
              </w:rPr>
            </w:pPr>
          </w:p>
        </w:tc>
      </w:tr>
      <w:tr w:rsidR="00487CB5" w14:paraId="2541E67B" w14:textId="77777777">
        <w:tc>
          <w:tcPr>
            <w:tcW w:w="1740" w:type="dxa"/>
            <w:shd w:val="clear" w:color="auto" w:fill="auto"/>
            <w:tcMar>
              <w:top w:w="100" w:type="dxa"/>
              <w:left w:w="100" w:type="dxa"/>
              <w:bottom w:w="100" w:type="dxa"/>
              <w:right w:w="100" w:type="dxa"/>
            </w:tcMar>
          </w:tcPr>
          <w:p w14:paraId="04AB7FC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3 - 8 Lakhs</w:t>
            </w:r>
          </w:p>
        </w:tc>
        <w:tc>
          <w:tcPr>
            <w:tcW w:w="1260" w:type="dxa"/>
            <w:shd w:val="clear" w:color="auto" w:fill="auto"/>
            <w:tcMar>
              <w:top w:w="100" w:type="dxa"/>
              <w:left w:w="100" w:type="dxa"/>
              <w:bottom w:w="100" w:type="dxa"/>
              <w:right w:w="100" w:type="dxa"/>
            </w:tcMar>
          </w:tcPr>
          <w:p w14:paraId="425184A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105</w:t>
            </w:r>
          </w:p>
        </w:tc>
        <w:tc>
          <w:tcPr>
            <w:tcW w:w="1500" w:type="dxa"/>
            <w:shd w:val="clear" w:color="auto" w:fill="auto"/>
            <w:tcMar>
              <w:top w:w="100" w:type="dxa"/>
              <w:left w:w="100" w:type="dxa"/>
              <w:bottom w:w="100" w:type="dxa"/>
              <w:right w:w="100" w:type="dxa"/>
            </w:tcMar>
          </w:tcPr>
          <w:p w14:paraId="4C5ADD9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16.038</w:t>
            </w:r>
          </w:p>
        </w:tc>
        <w:tc>
          <w:tcPr>
            <w:tcW w:w="1500" w:type="dxa"/>
            <w:shd w:val="clear" w:color="auto" w:fill="auto"/>
            <w:tcMar>
              <w:top w:w="100" w:type="dxa"/>
              <w:left w:w="100" w:type="dxa"/>
              <w:bottom w:w="100" w:type="dxa"/>
              <w:right w:w="100" w:type="dxa"/>
            </w:tcMar>
          </w:tcPr>
          <w:p w14:paraId="54F32140"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2.653</w:t>
            </w:r>
          </w:p>
        </w:tc>
        <w:tc>
          <w:tcPr>
            <w:tcW w:w="1500" w:type="dxa"/>
            <w:shd w:val="clear" w:color="auto" w:fill="auto"/>
            <w:tcMar>
              <w:top w:w="100" w:type="dxa"/>
              <w:left w:w="100" w:type="dxa"/>
              <w:bottom w:w="100" w:type="dxa"/>
              <w:right w:w="100" w:type="dxa"/>
            </w:tcMar>
          </w:tcPr>
          <w:p w14:paraId="0E4F6DB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0.259</w:t>
            </w:r>
          </w:p>
        </w:tc>
        <w:tc>
          <w:tcPr>
            <w:tcW w:w="1665" w:type="dxa"/>
            <w:shd w:val="clear" w:color="auto" w:fill="auto"/>
            <w:tcMar>
              <w:top w:w="100" w:type="dxa"/>
              <w:left w:w="100" w:type="dxa"/>
              <w:bottom w:w="100" w:type="dxa"/>
              <w:right w:w="100" w:type="dxa"/>
            </w:tcMar>
          </w:tcPr>
          <w:p w14:paraId="1830DAA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0.165</w:t>
            </w:r>
          </w:p>
        </w:tc>
      </w:tr>
      <w:tr w:rsidR="00487CB5" w14:paraId="19786E45" w14:textId="77777777">
        <w:tc>
          <w:tcPr>
            <w:tcW w:w="1740" w:type="dxa"/>
            <w:shd w:val="clear" w:color="auto" w:fill="auto"/>
            <w:tcMar>
              <w:top w:w="100" w:type="dxa"/>
              <w:left w:w="100" w:type="dxa"/>
              <w:bottom w:w="100" w:type="dxa"/>
              <w:right w:w="100" w:type="dxa"/>
            </w:tcMar>
          </w:tcPr>
          <w:p w14:paraId="6C33C90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8 - 12 Lakhs</w:t>
            </w:r>
          </w:p>
        </w:tc>
        <w:tc>
          <w:tcPr>
            <w:tcW w:w="1260" w:type="dxa"/>
            <w:shd w:val="clear" w:color="auto" w:fill="auto"/>
            <w:tcMar>
              <w:top w:w="100" w:type="dxa"/>
              <w:left w:w="100" w:type="dxa"/>
              <w:bottom w:w="100" w:type="dxa"/>
              <w:right w:w="100" w:type="dxa"/>
            </w:tcMar>
          </w:tcPr>
          <w:p w14:paraId="19B43BA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66</w:t>
            </w:r>
          </w:p>
        </w:tc>
        <w:tc>
          <w:tcPr>
            <w:tcW w:w="1500" w:type="dxa"/>
            <w:shd w:val="clear" w:color="auto" w:fill="auto"/>
            <w:tcMar>
              <w:top w:w="100" w:type="dxa"/>
              <w:left w:w="100" w:type="dxa"/>
              <w:bottom w:w="100" w:type="dxa"/>
              <w:right w:w="100" w:type="dxa"/>
            </w:tcMar>
          </w:tcPr>
          <w:p w14:paraId="326075E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16.227</w:t>
            </w:r>
          </w:p>
        </w:tc>
        <w:tc>
          <w:tcPr>
            <w:tcW w:w="1500" w:type="dxa"/>
            <w:shd w:val="clear" w:color="auto" w:fill="auto"/>
            <w:tcMar>
              <w:top w:w="100" w:type="dxa"/>
              <w:left w:w="100" w:type="dxa"/>
              <w:bottom w:w="100" w:type="dxa"/>
              <w:right w:w="100" w:type="dxa"/>
            </w:tcMar>
          </w:tcPr>
          <w:p w14:paraId="3998777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2.217</w:t>
            </w:r>
          </w:p>
        </w:tc>
        <w:tc>
          <w:tcPr>
            <w:tcW w:w="1500" w:type="dxa"/>
            <w:shd w:val="clear" w:color="auto" w:fill="auto"/>
            <w:tcMar>
              <w:top w:w="100" w:type="dxa"/>
              <w:left w:w="100" w:type="dxa"/>
              <w:bottom w:w="100" w:type="dxa"/>
              <w:right w:w="100" w:type="dxa"/>
            </w:tcMar>
          </w:tcPr>
          <w:p w14:paraId="292BC17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0.273</w:t>
            </w:r>
          </w:p>
        </w:tc>
        <w:tc>
          <w:tcPr>
            <w:tcW w:w="1665" w:type="dxa"/>
            <w:shd w:val="clear" w:color="auto" w:fill="auto"/>
            <w:tcMar>
              <w:top w:w="100" w:type="dxa"/>
              <w:left w:w="100" w:type="dxa"/>
              <w:bottom w:w="100" w:type="dxa"/>
              <w:right w:w="100" w:type="dxa"/>
            </w:tcMar>
          </w:tcPr>
          <w:p w14:paraId="0EA98C4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0.137</w:t>
            </w:r>
          </w:p>
        </w:tc>
      </w:tr>
      <w:tr w:rsidR="00487CB5" w14:paraId="0E7565CC" w14:textId="77777777">
        <w:tc>
          <w:tcPr>
            <w:tcW w:w="1740" w:type="dxa"/>
            <w:shd w:val="clear" w:color="auto" w:fill="auto"/>
            <w:tcMar>
              <w:top w:w="100" w:type="dxa"/>
              <w:left w:w="100" w:type="dxa"/>
              <w:bottom w:w="100" w:type="dxa"/>
              <w:right w:w="100" w:type="dxa"/>
            </w:tcMar>
          </w:tcPr>
          <w:p w14:paraId="3C2B100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Above 12 Lakhs</w:t>
            </w:r>
          </w:p>
        </w:tc>
        <w:tc>
          <w:tcPr>
            <w:tcW w:w="1260" w:type="dxa"/>
            <w:shd w:val="clear" w:color="auto" w:fill="auto"/>
            <w:tcMar>
              <w:top w:w="100" w:type="dxa"/>
              <w:left w:w="100" w:type="dxa"/>
              <w:bottom w:w="100" w:type="dxa"/>
              <w:right w:w="100" w:type="dxa"/>
            </w:tcMar>
          </w:tcPr>
          <w:p w14:paraId="5B13AB6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88</w:t>
            </w:r>
          </w:p>
        </w:tc>
        <w:tc>
          <w:tcPr>
            <w:tcW w:w="1500" w:type="dxa"/>
            <w:shd w:val="clear" w:color="auto" w:fill="auto"/>
            <w:tcMar>
              <w:top w:w="100" w:type="dxa"/>
              <w:left w:w="100" w:type="dxa"/>
              <w:bottom w:w="100" w:type="dxa"/>
              <w:right w:w="100" w:type="dxa"/>
            </w:tcMar>
          </w:tcPr>
          <w:p w14:paraId="1CA3386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16.443</w:t>
            </w:r>
          </w:p>
        </w:tc>
        <w:tc>
          <w:tcPr>
            <w:tcW w:w="1500" w:type="dxa"/>
            <w:shd w:val="clear" w:color="auto" w:fill="auto"/>
            <w:tcMar>
              <w:top w:w="100" w:type="dxa"/>
              <w:left w:w="100" w:type="dxa"/>
              <w:bottom w:w="100" w:type="dxa"/>
              <w:right w:w="100" w:type="dxa"/>
            </w:tcMar>
          </w:tcPr>
          <w:p w14:paraId="3CB6B04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2.634</w:t>
            </w:r>
          </w:p>
        </w:tc>
        <w:tc>
          <w:tcPr>
            <w:tcW w:w="1500" w:type="dxa"/>
            <w:shd w:val="clear" w:color="auto" w:fill="auto"/>
            <w:tcMar>
              <w:top w:w="100" w:type="dxa"/>
              <w:left w:w="100" w:type="dxa"/>
              <w:bottom w:w="100" w:type="dxa"/>
              <w:right w:w="100" w:type="dxa"/>
            </w:tcMar>
          </w:tcPr>
          <w:p w14:paraId="4795D28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0.281</w:t>
            </w:r>
          </w:p>
        </w:tc>
        <w:tc>
          <w:tcPr>
            <w:tcW w:w="1665" w:type="dxa"/>
            <w:shd w:val="clear" w:color="auto" w:fill="auto"/>
            <w:tcMar>
              <w:top w:w="100" w:type="dxa"/>
              <w:left w:w="100" w:type="dxa"/>
              <w:bottom w:w="100" w:type="dxa"/>
              <w:right w:w="100" w:type="dxa"/>
            </w:tcMar>
          </w:tcPr>
          <w:p w14:paraId="59BBA352"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0.160</w:t>
            </w:r>
          </w:p>
        </w:tc>
      </w:tr>
      <w:tr w:rsidR="00487CB5" w14:paraId="0A27F129" w14:textId="77777777">
        <w:tc>
          <w:tcPr>
            <w:tcW w:w="1740" w:type="dxa"/>
            <w:shd w:val="clear" w:color="auto" w:fill="auto"/>
            <w:tcMar>
              <w:top w:w="100" w:type="dxa"/>
              <w:left w:w="100" w:type="dxa"/>
              <w:bottom w:w="100" w:type="dxa"/>
              <w:right w:w="100" w:type="dxa"/>
            </w:tcMar>
          </w:tcPr>
          <w:p w14:paraId="48CEF0E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Below 3 Lakhs</w:t>
            </w:r>
          </w:p>
        </w:tc>
        <w:tc>
          <w:tcPr>
            <w:tcW w:w="1260" w:type="dxa"/>
            <w:shd w:val="clear" w:color="auto" w:fill="auto"/>
            <w:tcMar>
              <w:top w:w="100" w:type="dxa"/>
              <w:left w:w="100" w:type="dxa"/>
              <w:bottom w:w="100" w:type="dxa"/>
              <w:right w:w="100" w:type="dxa"/>
            </w:tcMar>
          </w:tcPr>
          <w:p w14:paraId="45FC33F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81</w:t>
            </w:r>
          </w:p>
        </w:tc>
        <w:tc>
          <w:tcPr>
            <w:tcW w:w="1500" w:type="dxa"/>
            <w:shd w:val="clear" w:color="auto" w:fill="auto"/>
            <w:tcMar>
              <w:top w:w="100" w:type="dxa"/>
              <w:left w:w="100" w:type="dxa"/>
              <w:bottom w:w="100" w:type="dxa"/>
              <w:right w:w="100" w:type="dxa"/>
            </w:tcMar>
          </w:tcPr>
          <w:p w14:paraId="776376F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16.420</w:t>
            </w:r>
          </w:p>
        </w:tc>
        <w:tc>
          <w:tcPr>
            <w:tcW w:w="1500" w:type="dxa"/>
            <w:shd w:val="clear" w:color="auto" w:fill="auto"/>
            <w:tcMar>
              <w:top w:w="100" w:type="dxa"/>
              <w:left w:w="100" w:type="dxa"/>
              <w:bottom w:w="100" w:type="dxa"/>
              <w:right w:w="100" w:type="dxa"/>
            </w:tcMar>
          </w:tcPr>
          <w:p w14:paraId="3DD76D1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2.397</w:t>
            </w:r>
          </w:p>
        </w:tc>
        <w:tc>
          <w:tcPr>
            <w:tcW w:w="1500" w:type="dxa"/>
            <w:shd w:val="clear" w:color="auto" w:fill="auto"/>
            <w:tcMar>
              <w:top w:w="100" w:type="dxa"/>
              <w:left w:w="100" w:type="dxa"/>
              <w:bottom w:w="100" w:type="dxa"/>
              <w:right w:w="100" w:type="dxa"/>
            </w:tcMar>
          </w:tcPr>
          <w:p w14:paraId="0C82091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0.266</w:t>
            </w:r>
          </w:p>
        </w:tc>
        <w:tc>
          <w:tcPr>
            <w:tcW w:w="1665" w:type="dxa"/>
            <w:shd w:val="clear" w:color="auto" w:fill="auto"/>
            <w:tcMar>
              <w:top w:w="100" w:type="dxa"/>
              <w:left w:w="100" w:type="dxa"/>
              <w:bottom w:w="100" w:type="dxa"/>
              <w:right w:w="100" w:type="dxa"/>
            </w:tcMar>
          </w:tcPr>
          <w:p w14:paraId="73A488F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0.146</w:t>
            </w:r>
          </w:p>
        </w:tc>
      </w:tr>
    </w:tbl>
    <w:p w14:paraId="395B5BA1" w14:textId="77777777" w:rsidR="00487CB5" w:rsidRDefault="00487CB5">
      <w:pPr>
        <w:rPr>
          <w:rFonts w:ascii="Times New Roman" w:eastAsia="Times New Roman" w:hAnsi="Times New Roman" w:cs="Times New Roman"/>
        </w:rPr>
      </w:pPr>
    </w:p>
    <w:p w14:paraId="00D71000"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p = 0.654</w:t>
      </w:r>
    </w:p>
    <w:p w14:paraId="558D81AD" w14:textId="77777777" w:rsidR="00487CB5" w:rsidRDefault="00487CB5">
      <w:pPr>
        <w:rPr>
          <w:rFonts w:ascii="Times New Roman" w:eastAsia="Times New Roman" w:hAnsi="Times New Roman" w:cs="Times New Roman"/>
        </w:rPr>
      </w:pPr>
    </w:p>
    <w:p w14:paraId="30B4B419"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rPr>
        <w:t>Table 12: Descriptive Statistics for “Consumer Scepticism” Scores by people in different income group</w:t>
      </w:r>
    </w:p>
    <w:tbl>
      <w:tblPr>
        <w:tblStyle w:val="aa"/>
        <w:tblW w:w="91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260"/>
        <w:gridCol w:w="1500"/>
        <w:gridCol w:w="1500"/>
        <w:gridCol w:w="1500"/>
        <w:gridCol w:w="1665"/>
      </w:tblGrid>
      <w:tr w:rsidR="00487CB5" w14:paraId="6514B0B5" w14:textId="77777777">
        <w:tc>
          <w:tcPr>
            <w:tcW w:w="1740" w:type="dxa"/>
            <w:shd w:val="clear" w:color="auto" w:fill="auto"/>
            <w:tcMar>
              <w:top w:w="100" w:type="dxa"/>
              <w:left w:w="100" w:type="dxa"/>
              <w:bottom w:w="100" w:type="dxa"/>
              <w:right w:w="100" w:type="dxa"/>
            </w:tcMar>
          </w:tcPr>
          <w:p w14:paraId="1F6DF7C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Family Income</w:t>
            </w:r>
          </w:p>
        </w:tc>
        <w:tc>
          <w:tcPr>
            <w:tcW w:w="1260" w:type="dxa"/>
            <w:shd w:val="clear" w:color="auto" w:fill="auto"/>
            <w:tcMar>
              <w:top w:w="100" w:type="dxa"/>
              <w:left w:w="100" w:type="dxa"/>
              <w:bottom w:w="100" w:type="dxa"/>
              <w:right w:w="100" w:type="dxa"/>
            </w:tcMar>
          </w:tcPr>
          <w:p w14:paraId="58C6645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N</w:t>
            </w:r>
          </w:p>
        </w:tc>
        <w:tc>
          <w:tcPr>
            <w:tcW w:w="1500" w:type="dxa"/>
            <w:shd w:val="clear" w:color="auto" w:fill="auto"/>
            <w:tcMar>
              <w:top w:w="100" w:type="dxa"/>
              <w:left w:w="100" w:type="dxa"/>
              <w:bottom w:w="100" w:type="dxa"/>
              <w:right w:w="100" w:type="dxa"/>
            </w:tcMar>
          </w:tcPr>
          <w:p w14:paraId="4E03D3B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 xml:space="preserve">Mean </w:t>
            </w:r>
          </w:p>
        </w:tc>
        <w:tc>
          <w:tcPr>
            <w:tcW w:w="1500" w:type="dxa"/>
            <w:shd w:val="clear" w:color="auto" w:fill="auto"/>
            <w:tcMar>
              <w:top w:w="100" w:type="dxa"/>
              <w:left w:w="100" w:type="dxa"/>
              <w:bottom w:w="100" w:type="dxa"/>
              <w:right w:w="100" w:type="dxa"/>
            </w:tcMar>
          </w:tcPr>
          <w:p w14:paraId="03DDEE3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SD</w:t>
            </w:r>
          </w:p>
        </w:tc>
        <w:tc>
          <w:tcPr>
            <w:tcW w:w="1500" w:type="dxa"/>
            <w:shd w:val="clear" w:color="auto" w:fill="auto"/>
            <w:tcMar>
              <w:top w:w="100" w:type="dxa"/>
              <w:left w:w="100" w:type="dxa"/>
              <w:bottom w:w="100" w:type="dxa"/>
              <w:right w:w="100" w:type="dxa"/>
            </w:tcMar>
          </w:tcPr>
          <w:p w14:paraId="7408B2E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SE</w:t>
            </w:r>
          </w:p>
        </w:tc>
        <w:tc>
          <w:tcPr>
            <w:tcW w:w="1665" w:type="dxa"/>
            <w:shd w:val="clear" w:color="auto" w:fill="auto"/>
            <w:tcMar>
              <w:top w:w="100" w:type="dxa"/>
              <w:left w:w="100" w:type="dxa"/>
              <w:bottom w:w="100" w:type="dxa"/>
              <w:right w:w="100" w:type="dxa"/>
            </w:tcMar>
          </w:tcPr>
          <w:p w14:paraId="0CC462F3"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Coefficient of variation</w:t>
            </w:r>
          </w:p>
        </w:tc>
      </w:tr>
      <w:tr w:rsidR="00487CB5" w14:paraId="4316508B" w14:textId="77777777">
        <w:tc>
          <w:tcPr>
            <w:tcW w:w="1740" w:type="dxa"/>
            <w:shd w:val="clear" w:color="auto" w:fill="auto"/>
            <w:tcMar>
              <w:top w:w="100" w:type="dxa"/>
              <w:left w:w="100" w:type="dxa"/>
              <w:bottom w:w="100" w:type="dxa"/>
              <w:right w:w="100" w:type="dxa"/>
            </w:tcMar>
          </w:tcPr>
          <w:p w14:paraId="65CC04F1" w14:textId="77777777" w:rsidR="00487CB5" w:rsidRDefault="00487CB5">
            <w:pPr>
              <w:widowControl w:val="0"/>
              <w:rPr>
                <w:rFonts w:ascii="Times New Roman" w:eastAsia="Times New Roman" w:hAnsi="Times New Roman" w:cs="Times New Roman"/>
              </w:rPr>
            </w:pPr>
          </w:p>
        </w:tc>
        <w:tc>
          <w:tcPr>
            <w:tcW w:w="1260" w:type="dxa"/>
            <w:shd w:val="clear" w:color="auto" w:fill="auto"/>
            <w:tcMar>
              <w:top w:w="100" w:type="dxa"/>
              <w:left w:w="100" w:type="dxa"/>
              <w:bottom w:w="100" w:type="dxa"/>
              <w:right w:w="100" w:type="dxa"/>
            </w:tcMar>
          </w:tcPr>
          <w:p w14:paraId="5EE66EAF"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4931274F"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7DBDE593" w14:textId="77777777" w:rsidR="00487CB5" w:rsidRDefault="00487CB5">
            <w:pPr>
              <w:widowControl w:val="0"/>
              <w:rPr>
                <w:rFonts w:ascii="Times New Roman" w:eastAsia="Times New Roman" w:hAnsi="Times New Roman" w:cs="Times New Roman"/>
              </w:rPr>
            </w:pPr>
          </w:p>
        </w:tc>
        <w:tc>
          <w:tcPr>
            <w:tcW w:w="1500" w:type="dxa"/>
            <w:shd w:val="clear" w:color="auto" w:fill="auto"/>
            <w:tcMar>
              <w:top w:w="100" w:type="dxa"/>
              <w:left w:w="100" w:type="dxa"/>
              <w:bottom w:w="100" w:type="dxa"/>
              <w:right w:w="100" w:type="dxa"/>
            </w:tcMar>
          </w:tcPr>
          <w:p w14:paraId="791D3D79" w14:textId="77777777" w:rsidR="00487CB5" w:rsidRDefault="00487CB5">
            <w:pPr>
              <w:widowControl w:val="0"/>
              <w:rPr>
                <w:rFonts w:ascii="Times New Roman" w:eastAsia="Times New Roman" w:hAnsi="Times New Roman" w:cs="Times New Roman"/>
              </w:rPr>
            </w:pPr>
          </w:p>
        </w:tc>
        <w:tc>
          <w:tcPr>
            <w:tcW w:w="1665" w:type="dxa"/>
            <w:shd w:val="clear" w:color="auto" w:fill="auto"/>
            <w:tcMar>
              <w:top w:w="100" w:type="dxa"/>
              <w:left w:w="100" w:type="dxa"/>
              <w:bottom w:w="100" w:type="dxa"/>
              <w:right w:w="100" w:type="dxa"/>
            </w:tcMar>
          </w:tcPr>
          <w:p w14:paraId="71CC3B92" w14:textId="77777777" w:rsidR="00487CB5" w:rsidRDefault="00487CB5">
            <w:pPr>
              <w:widowControl w:val="0"/>
              <w:rPr>
                <w:rFonts w:ascii="Times New Roman" w:eastAsia="Times New Roman" w:hAnsi="Times New Roman" w:cs="Times New Roman"/>
              </w:rPr>
            </w:pPr>
          </w:p>
        </w:tc>
      </w:tr>
      <w:tr w:rsidR="00487CB5" w14:paraId="71DE3835" w14:textId="77777777">
        <w:tc>
          <w:tcPr>
            <w:tcW w:w="1740" w:type="dxa"/>
            <w:shd w:val="clear" w:color="auto" w:fill="auto"/>
            <w:tcMar>
              <w:top w:w="100" w:type="dxa"/>
              <w:left w:w="100" w:type="dxa"/>
              <w:bottom w:w="100" w:type="dxa"/>
              <w:right w:w="100" w:type="dxa"/>
            </w:tcMar>
          </w:tcPr>
          <w:p w14:paraId="4A1CABC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3 - 8 Lakhs</w:t>
            </w:r>
          </w:p>
        </w:tc>
        <w:tc>
          <w:tcPr>
            <w:tcW w:w="1260" w:type="dxa"/>
            <w:shd w:val="clear" w:color="auto" w:fill="auto"/>
            <w:tcMar>
              <w:top w:w="100" w:type="dxa"/>
              <w:left w:w="100" w:type="dxa"/>
              <w:bottom w:w="100" w:type="dxa"/>
              <w:right w:w="100" w:type="dxa"/>
            </w:tcMar>
          </w:tcPr>
          <w:p w14:paraId="48F5DAF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105</w:t>
            </w:r>
          </w:p>
        </w:tc>
        <w:tc>
          <w:tcPr>
            <w:tcW w:w="1500" w:type="dxa"/>
            <w:shd w:val="clear" w:color="auto" w:fill="auto"/>
            <w:tcMar>
              <w:top w:w="100" w:type="dxa"/>
              <w:left w:w="100" w:type="dxa"/>
              <w:bottom w:w="100" w:type="dxa"/>
              <w:right w:w="100" w:type="dxa"/>
            </w:tcMar>
          </w:tcPr>
          <w:p w14:paraId="1ADEE784"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22.162</w:t>
            </w:r>
          </w:p>
        </w:tc>
        <w:tc>
          <w:tcPr>
            <w:tcW w:w="1500" w:type="dxa"/>
            <w:shd w:val="clear" w:color="auto" w:fill="auto"/>
            <w:tcMar>
              <w:top w:w="100" w:type="dxa"/>
              <w:left w:w="100" w:type="dxa"/>
              <w:bottom w:w="100" w:type="dxa"/>
              <w:right w:w="100" w:type="dxa"/>
            </w:tcMar>
          </w:tcPr>
          <w:p w14:paraId="746470F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3.453</w:t>
            </w:r>
          </w:p>
        </w:tc>
        <w:tc>
          <w:tcPr>
            <w:tcW w:w="1500" w:type="dxa"/>
            <w:shd w:val="clear" w:color="auto" w:fill="auto"/>
            <w:tcMar>
              <w:top w:w="100" w:type="dxa"/>
              <w:left w:w="100" w:type="dxa"/>
              <w:bottom w:w="100" w:type="dxa"/>
              <w:right w:w="100" w:type="dxa"/>
            </w:tcMar>
          </w:tcPr>
          <w:p w14:paraId="4C4FA96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0.337</w:t>
            </w:r>
          </w:p>
        </w:tc>
        <w:tc>
          <w:tcPr>
            <w:tcW w:w="1665" w:type="dxa"/>
            <w:shd w:val="clear" w:color="auto" w:fill="auto"/>
            <w:tcMar>
              <w:top w:w="100" w:type="dxa"/>
              <w:left w:w="100" w:type="dxa"/>
              <w:bottom w:w="100" w:type="dxa"/>
              <w:right w:w="100" w:type="dxa"/>
            </w:tcMar>
          </w:tcPr>
          <w:p w14:paraId="272281E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0.156</w:t>
            </w:r>
          </w:p>
        </w:tc>
      </w:tr>
      <w:tr w:rsidR="00487CB5" w14:paraId="5907BDE4" w14:textId="77777777">
        <w:tc>
          <w:tcPr>
            <w:tcW w:w="1740" w:type="dxa"/>
            <w:shd w:val="clear" w:color="auto" w:fill="auto"/>
            <w:tcMar>
              <w:top w:w="100" w:type="dxa"/>
              <w:left w:w="100" w:type="dxa"/>
              <w:bottom w:w="100" w:type="dxa"/>
              <w:right w:w="100" w:type="dxa"/>
            </w:tcMar>
          </w:tcPr>
          <w:p w14:paraId="751F396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lastRenderedPageBreak/>
              <w:t>8 - 12 Lakhs</w:t>
            </w:r>
          </w:p>
        </w:tc>
        <w:tc>
          <w:tcPr>
            <w:tcW w:w="1260" w:type="dxa"/>
            <w:shd w:val="clear" w:color="auto" w:fill="auto"/>
            <w:tcMar>
              <w:top w:w="100" w:type="dxa"/>
              <w:left w:w="100" w:type="dxa"/>
              <w:bottom w:w="100" w:type="dxa"/>
              <w:right w:w="100" w:type="dxa"/>
            </w:tcMar>
          </w:tcPr>
          <w:p w14:paraId="49EABAED"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66</w:t>
            </w:r>
          </w:p>
        </w:tc>
        <w:tc>
          <w:tcPr>
            <w:tcW w:w="1500" w:type="dxa"/>
            <w:shd w:val="clear" w:color="auto" w:fill="auto"/>
            <w:tcMar>
              <w:top w:w="100" w:type="dxa"/>
              <w:left w:w="100" w:type="dxa"/>
              <w:bottom w:w="100" w:type="dxa"/>
              <w:right w:w="100" w:type="dxa"/>
            </w:tcMar>
          </w:tcPr>
          <w:p w14:paraId="4D11F615"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22.061</w:t>
            </w:r>
          </w:p>
        </w:tc>
        <w:tc>
          <w:tcPr>
            <w:tcW w:w="1500" w:type="dxa"/>
            <w:shd w:val="clear" w:color="auto" w:fill="auto"/>
            <w:tcMar>
              <w:top w:w="100" w:type="dxa"/>
              <w:left w:w="100" w:type="dxa"/>
              <w:bottom w:w="100" w:type="dxa"/>
              <w:right w:w="100" w:type="dxa"/>
            </w:tcMar>
          </w:tcPr>
          <w:p w14:paraId="451A5141"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3.243</w:t>
            </w:r>
          </w:p>
        </w:tc>
        <w:tc>
          <w:tcPr>
            <w:tcW w:w="1500" w:type="dxa"/>
            <w:shd w:val="clear" w:color="auto" w:fill="auto"/>
            <w:tcMar>
              <w:top w:w="100" w:type="dxa"/>
              <w:left w:w="100" w:type="dxa"/>
              <w:bottom w:w="100" w:type="dxa"/>
              <w:right w:w="100" w:type="dxa"/>
            </w:tcMar>
          </w:tcPr>
          <w:p w14:paraId="1DAC0B5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0.399</w:t>
            </w:r>
          </w:p>
        </w:tc>
        <w:tc>
          <w:tcPr>
            <w:tcW w:w="1665" w:type="dxa"/>
            <w:shd w:val="clear" w:color="auto" w:fill="auto"/>
            <w:tcMar>
              <w:top w:w="100" w:type="dxa"/>
              <w:left w:w="100" w:type="dxa"/>
              <w:bottom w:w="100" w:type="dxa"/>
              <w:right w:w="100" w:type="dxa"/>
            </w:tcMar>
          </w:tcPr>
          <w:p w14:paraId="6C3C1BE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0.147</w:t>
            </w:r>
          </w:p>
        </w:tc>
      </w:tr>
      <w:tr w:rsidR="00487CB5" w14:paraId="07CF9D36" w14:textId="77777777">
        <w:tc>
          <w:tcPr>
            <w:tcW w:w="1740" w:type="dxa"/>
            <w:shd w:val="clear" w:color="auto" w:fill="auto"/>
            <w:tcMar>
              <w:top w:w="100" w:type="dxa"/>
              <w:left w:w="100" w:type="dxa"/>
              <w:bottom w:w="100" w:type="dxa"/>
              <w:right w:w="100" w:type="dxa"/>
            </w:tcMar>
          </w:tcPr>
          <w:p w14:paraId="190CC49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Above 12 Lakhs</w:t>
            </w:r>
          </w:p>
        </w:tc>
        <w:tc>
          <w:tcPr>
            <w:tcW w:w="1260" w:type="dxa"/>
            <w:shd w:val="clear" w:color="auto" w:fill="auto"/>
            <w:tcMar>
              <w:top w:w="100" w:type="dxa"/>
              <w:left w:w="100" w:type="dxa"/>
              <w:bottom w:w="100" w:type="dxa"/>
              <w:right w:w="100" w:type="dxa"/>
            </w:tcMar>
          </w:tcPr>
          <w:p w14:paraId="19DEE339"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88</w:t>
            </w:r>
          </w:p>
        </w:tc>
        <w:tc>
          <w:tcPr>
            <w:tcW w:w="1500" w:type="dxa"/>
            <w:shd w:val="clear" w:color="auto" w:fill="auto"/>
            <w:tcMar>
              <w:top w:w="100" w:type="dxa"/>
              <w:left w:w="100" w:type="dxa"/>
              <w:bottom w:w="100" w:type="dxa"/>
              <w:right w:w="100" w:type="dxa"/>
            </w:tcMar>
          </w:tcPr>
          <w:p w14:paraId="16BFB9AE"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22.989</w:t>
            </w:r>
          </w:p>
        </w:tc>
        <w:tc>
          <w:tcPr>
            <w:tcW w:w="1500" w:type="dxa"/>
            <w:shd w:val="clear" w:color="auto" w:fill="auto"/>
            <w:tcMar>
              <w:top w:w="100" w:type="dxa"/>
              <w:left w:w="100" w:type="dxa"/>
              <w:bottom w:w="100" w:type="dxa"/>
              <w:right w:w="100" w:type="dxa"/>
            </w:tcMar>
          </w:tcPr>
          <w:p w14:paraId="544315F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3.929</w:t>
            </w:r>
          </w:p>
        </w:tc>
        <w:tc>
          <w:tcPr>
            <w:tcW w:w="1500" w:type="dxa"/>
            <w:shd w:val="clear" w:color="auto" w:fill="auto"/>
            <w:tcMar>
              <w:top w:w="100" w:type="dxa"/>
              <w:left w:w="100" w:type="dxa"/>
              <w:bottom w:w="100" w:type="dxa"/>
              <w:right w:w="100" w:type="dxa"/>
            </w:tcMar>
          </w:tcPr>
          <w:p w14:paraId="2CAF5338"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0.419</w:t>
            </w:r>
          </w:p>
        </w:tc>
        <w:tc>
          <w:tcPr>
            <w:tcW w:w="1665" w:type="dxa"/>
            <w:shd w:val="clear" w:color="auto" w:fill="auto"/>
            <w:tcMar>
              <w:top w:w="100" w:type="dxa"/>
              <w:left w:w="100" w:type="dxa"/>
              <w:bottom w:w="100" w:type="dxa"/>
              <w:right w:w="100" w:type="dxa"/>
            </w:tcMar>
          </w:tcPr>
          <w:p w14:paraId="5D1849AF"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0.179</w:t>
            </w:r>
          </w:p>
        </w:tc>
      </w:tr>
      <w:tr w:rsidR="00487CB5" w14:paraId="00EB9F2F" w14:textId="77777777">
        <w:tc>
          <w:tcPr>
            <w:tcW w:w="1740" w:type="dxa"/>
            <w:shd w:val="clear" w:color="auto" w:fill="auto"/>
            <w:tcMar>
              <w:top w:w="100" w:type="dxa"/>
              <w:left w:w="100" w:type="dxa"/>
              <w:bottom w:w="100" w:type="dxa"/>
              <w:right w:w="100" w:type="dxa"/>
            </w:tcMar>
          </w:tcPr>
          <w:p w14:paraId="42CEE3E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Below 3 Lakhs</w:t>
            </w:r>
          </w:p>
        </w:tc>
        <w:tc>
          <w:tcPr>
            <w:tcW w:w="1260" w:type="dxa"/>
            <w:shd w:val="clear" w:color="auto" w:fill="auto"/>
            <w:tcMar>
              <w:top w:w="100" w:type="dxa"/>
              <w:left w:w="100" w:type="dxa"/>
              <w:bottom w:w="100" w:type="dxa"/>
              <w:right w:w="100" w:type="dxa"/>
            </w:tcMar>
          </w:tcPr>
          <w:p w14:paraId="1609F31B"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81</w:t>
            </w:r>
          </w:p>
        </w:tc>
        <w:tc>
          <w:tcPr>
            <w:tcW w:w="1500" w:type="dxa"/>
            <w:shd w:val="clear" w:color="auto" w:fill="auto"/>
            <w:tcMar>
              <w:top w:w="100" w:type="dxa"/>
              <w:left w:w="100" w:type="dxa"/>
              <w:bottom w:w="100" w:type="dxa"/>
              <w:right w:w="100" w:type="dxa"/>
            </w:tcMar>
          </w:tcPr>
          <w:p w14:paraId="16C012A6"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22.765</w:t>
            </w:r>
          </w:p>
        </w:tc>
        <w:tc>
          <w:tcPr>
            <w:tcW w:w="1500" w:type="dxa"/>
            <w:shd w:val="clear" w:color="auto" w:fill="auto"/>
            <w:tcMar>
              <w:top w:w="100" w:type="dxa"/>
              <w:left w:w="100" w:type="dxa"/>
              <w:bottom w:w="100" w:type="dxa"/>
              <w:right w:w="100" w:type="dxa"/>
            </w:tcMar>
          </w:tcPr>
          <w:p w14:paraId="61983ADA"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4.208</w:t>
            </w:r>
          </w:p>
        </w:tc>
        <w:tc>
          <w:tcPr>
            <w:tcW w:w="1500" w:type="dxa"/>
            <w:shd w:val="clear" w:color="auto" w:fill="auto"/>
            <w:tcMar>
              <w:top w:w="100" w:type="dxa"/>
              <w:left w:w="100" w:type="dxa"/>
              <w:bottom w:w="100" w:type="dxa"/>
              <w:right w:w="100" w:type="dxa"/>
            </w:tcMar>
          </w:tcPr>
          <w:p w14:paraId="2816A127"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0.468</w:t>
            </w:r>
          </w:p>
        </w:tc>
        <w:tc>
          <w:tcPr>
            <w:tcW w:w="1665" w:type="dxa"/>
            <w:shd w:val="clear" w:color="auto" w:fill="auto"/>
            <w:tcMar>
              <w:top w:w="100" w:type="dxa"/>
              <w:left w:w="100" w:type="dxa"/>
              <w:bottom w:w="100" w:type="dxa"/>
              <w:right w:w="100" w:type="dxa"/>
            </w:tcMar>
          </w:tcPr>
          <w:p w14:paraId="0731147C" w14:textId="77777777" w:rsidR="00487CB5" w:rsidRDefault="002B62DD">
            <w:pPr>
              <w:widowControl w:val="0"/>
              <w:rPr>
                <w:rFonts w:ascii="Times New Roman" w:eastAsia="Times New Roman" w:hAnsi="Times New Roman" w:cs="Times New Roman"/>
              </w:rPr>
            </w:pPr>
            <w:r>
              <w:rPr>
                <w:rFonts w:ascii="Times New Roman" w:eastAsia="Times New Roman" w:hAnsi="Times New Roman" w:cs="Times New Roman"/>
              </w:rPr>
              <w:t>0.185</w:t>
            </w:r>
          </w:p>
        </w:tc>
      </w:tr>
    </w:tbl>
    <w:p w14:paraId="6A468226" w14:textId="77777777" w:rsidR="00487CB5" w:rsidRDefault="00487CB5">
      <w:pPr>
        <w:rPr>
          <w:rFonts w:ascii="Times New Roman" w:eastAsia="Times New Roman" w:hAnsi="Times New Roman" w:cs="Times New Roman"/>
        </w:rPr>
      </w:pPr>
    </w:p>
    <w:p w14:paraId="2DFBCEDD"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p = 0.532</w:t>
      </w:r>
    </w:p>
    <w:p w14:paraId="303BB82C" w14:textId="77777777" w:rsidR="00487CB5" w:rsidRDefault="00487CB5">
      <w:pPr>
        <w:rPr>
          <w:rFonts w:ascii="Times New Roman" w:eastAsia="Times New Roman" w:hAnsi="Times New Roman" w:cs="Times New Roman"/>
        </w:rPr>
      </w:pPr>
    </w:p>
    <w:p w14:paraId="7E153930" w14:textId="77777777" w:rsidR="00487CB5" w:rsidRDefault="002B62DD">
      <w:pPr>
        <w:rPr>
          <w:rFonts w:ascii="Times New Roman" w:eastAsia="Times New Roman" w:hAnsi="Times New Roman" w:cs="Times New Roman"/>
          <w:b/>
        </w:rPr>
      </w:pPr>
      <w:r>
        <w:rPr>
          <w:rFonts w:ascii="Times New Roman" w:eastAsia="Times New Roman" w:hAnsi="Times New Roman" w:cs="Times New Roman"/>
          <w:b/>
        </w:rPr>
        <w:t>Mediation</w:t>
      </w:r>
    </w:p>
    <w:p w14:paraId="0F3FD20A" w14:textId="77777777" w:rsidR="00487CB5" w:rsidRDefault="00487CB5">
      <w:pPr>
        <w:rPr>
          <w:rFonts w:ascii="Times New Roman" w:eastAsia="Times New Roman" w:hAnsi="Times New Roman" w:cs="Times New Roman"/>
          <w:b/>
        </w:rPr>
      </w:pPr>
    </w:p>
    <w:p w14:paraId="1E6976D1" w14:textId="77777777" w:rsidR="00487CB5" w:rsidRDefault="002B62DD">
      <w:pPr>
        <w:spacing w:after="120"/>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25E8E4D7" wp14:editId="04F29849">
            <wp:extent cx="5640019" cy="28968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l="2491" t="4374" r="3320" b="9714"/>
                    <a:stretch>
                      <a:fillRect/>
                    </a:stretch>
                  </pic:blipFill>
                  <pic:spPr bwMode="auto">
                    <a:xfrm>
                      <a:off x="0" y="0"/>
                      <a:ext cx="5641077" cy="2897364"/>
                    </a:xfrm>
                    <a:prstGeom prst="rect">
                      <a:avLst/>
                    </a:prstGeom>
                    <a:ln>
                      <a:noFill/>
                    </a:ln>
                    <a:extLst>
                      <a:ext uri="{53640926-AAD7-44D8-BBD7-CCE9431645EC}">
                        <a14:shadowObscured xmlns:a14="http://schemas.microsoft.com/office/drawing/2010/main"/>
                      </a:ext>
                    </a:extLst>
                  </pic:spPr>
                </pic:pic>
              </a:graphicData>
            </a:graphic>
          </wp:inline>
        </w:drawing>
      </w:r>
    </w:p>
    <w:p w14:paraId="4EFFF7B5" w14:textId="77777777" w:rsidR="00487CB5" w:rsidRDefault="002B62DD">
      <w:pPr>
        <w:spacing w:after="120"/>
        <w:jc w:val="both"/>
        <w:rPr>
          <w:rFonts w:ascii="Times New Roman" w:eastAsia="Times New Roman" w:hAnsi="Times New Roman" w:cs="Times New Roman"/>
        </w:rPr>
      </w:pPr>
      <w:r>
        <w:rPr>
          <w:rFonts w:ascii="Times New Roman" w:eastAsia="Times New Roman" w:hAnsi="Times New Roman" w:cs="Times New Roman"/>
          <w:b/>
        </w:rPr>
        <w:t>(A-B-C)</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(e₁.₁ - e₁.₂) </w:t>
      </w:r>
      <w:r>
        <w:rPr>
          <w:rFonts w:ascii="Times New Roman" w:eastAsia="Times New Roman" w:hAnsi="Times New Roman" w:cs="Times New Roman"/>
          <w:highlight w:val="white"/>
        </w:rPr>
        <w:t xml:space="preserve">Multiple regression was used to test the mediation model. Table </w:t>
      </w:r>
      <w:r>
        <w:rPr>
          <w:rFonts w:ascii="Times New Roman" w:eastAsia="Times New Roman" w:hAnsi="Times New Roman" w:cs="Times New Roman"/>
          <w:b/>
          <w:highlight w:val="white"/>
        </w:rPr>
        <w:t>13</w:t>
      </w:r>
      <w:r>
        <w:rPr>
          <w:rFonts w:ascii="Times New Roman" w:eastAsia="Times New Roman" w:hAnsi="Times New Roman" w:cs="Times New Roman"/>
          <w:highlight w:val="white"/>
        </w:rPr>
        <w:t xml:space="preserve"> reveals that </w:t>
      </w:r>
      <w:r>
        <w:rPr>
          <w:rFonts w:ascii="Times New Roman" w:eastAsia="Times New Roman" w:hAnsi="Times New Roman" w:cs="Times New Roman"/>
        </w:rPr>
        <w:t xml:space="preserve">(a.) </w:t>
      </w:r>
      <w:r>
        <w:rPr>
          <w:rFonts w:ascii="Times New Roman" w:eastAsia="Times New Roman" w:hAnsi="Times New Roman" w:cs="Times New Roman"/>
          <w:b/>
        </w:rPr>
        <w:t>Personal Norms</w:t>
      </w:r>
      <w:r>
        <w:rPr>
          <w:rFonts w:ascii="Times New Roman" w:eastAsia="Times New Roman" w:hAnsi="Times New Roman" w:cs="Times New Roman"/>
          <w:highlight w:val="white"/>
        </w:rPr>
        <w:t xml:space="preserve"> positively predict </w:t>
      </w:r>
      <w:r>
        <w:rPr>
          <w:rFonts w:ascii="Times New Roman" w:eastAsia="Times New Roman" w:hAnsi="Times New Roman" w:cs="Times New Roman"/>
        </w:rPr>
        <w:t xml:space="preserve">(c.) </w:t>
      </w:r>
      <w:r>
        <w:rPr>
          <w:rFonts w:ascii="Times New Roman" w:eastAsia="Times New Roman" w:hAnsi="Times New Roman" w:cs="Times New Roman"/>
          <w:b/>
        </w:rPr>
        <w:t>Green Purchase</w:t>
      </w:r>
      <w:r>
        <w:rPr>
          <w:rFonts w:ascii="Times New Roman" w:eastAsia="Times New Roman" w:hAnsi="Times New Roman" w:cs="Times New Roman"/>
          <w:highlight w:val="white"/>
        </w:rPr>
        <w:t xml:space="preserve">, ß = .274 (95% CI: 0.220, 0.328), z=9.993, p&lt;.001. Furthermore, </w:t>
      </w:r>
      <w:r>
        <w:rPr>
          <w:rFonts w:ascii="Times New Roman" w:eastAsia="Times New Roman" w:hAnsi="Times New Roman" w:cs="Times New Roman"/>
        </w:rPr>
        <w:t xml:space="preserve">(b.) </w:t>
      </w:r>
      <w:r>
        <w:rPr>
          <w:rFonts w:ascii="Times New Roman" w:eastAsia="Times New Roman" w:hAnsi="Times New Roman" w:cs="Times New Roman"/>
          <w:b/>
        </w:rPr>
        <w:t>Green Purchase Intention</w:t>
      </w:r>
      <w:r>
        <w:rPr>
          <w:rFonts w:ascii="Times New Roman" w:eastAsia="Times New Roman" w:hAnsi="Times New Roman" w:cs="Times New Roman"/>
          <w:highlight w:val="white"/>
        </w:rPr>
        <w:t xml:space="preserve"> significantly mediates this relationship, ß= 0.191 (95% CI: 0.143, 0.238), z=7.880, p&lt;.001. It is estimated that </w:t>
      </w:r>
      <w:r>
        <w:rPr>
          <w:rFonts w:ascii="Times New Roman" w:eastAsia="Times New Roman" w:hAnsi="Times New Roman" w:cs="Times New Roman"/>
        </w:rPr>
        <w:t xml:space="preserve">(b.) </w:t>
      </w:r>
      <w:r>
        <w:rPr>
          <w:rFonts w:ascii="Times New Roman" w:eastAsia="Times New Roman" w:hAnsi="Times New Roman" w:cs="Times New Roman"/>
          <w:b/>
        </w:rPr>
        <w:t>Green Purchase intention</w:t>
      </w:r>
      <w:r>
        <w:rPr>
          <w:rFonts w:ascii="Times New Roman" w:eastAsia="Times New Roman" w:hAnsi="Times New Roman" w:cs="Times New Roman"/>
        </w:rPr>
        <w:t xml:space="preserve"> accounts for 68.71 % of (a.) </w:t>
      </w:r>
      <w:r>
        <w:rPr>
          <w:rFonts w:ascii="Times New Roman" w:eastAsia="Times New Roman" w:hAnsi="Times New Roman" w:cs="Times New Roman"/>
          <w:b/>
        </w:rPr>
        <w:t>Personal Norms</w:t>
      </w:r>
      <w:r>
        <w:rPr>
          <w:rFonts w:ascii="Times New Roman" w:eastAsia="Times New Roman" w:hAnsi="Times New Roman" w:cs="Times New Roman"/>
        </w:rPr>
        <w:t xml:space="preserve">’ Effect on (c.) </w:t>
      </w:r>
      <w:proofErr w:type="spellStart"/>
      <w:r>
        <w:rPr>
          <w:rFonts w:ascii="Times New Roman" w:eastAsia="Times New Roman" w:hAnsi="Times New Roman" w:cs="Times New Roman"/>
          <w:b/>
        </w:rPr>
        <w:t>GreenPurchase</w:t>
      </w:r>
      <w:proofErr w:type="spellEnd"/>
      <w:r>
        <w:rPr>
          <w:rFonts w:ascii="Times New Roman" w:eastAsia="Times New Roman" w:hAnsi="Times New Roman" w:cs="Times New Roman"/>
          <w:highlight w:val="white"/>
        </w:rPr>
        <w:t>. Nevertheless, (</w:t>
      </w:r>
      <w:r>
        <w:rPr>
          <w:rFonts w:ascii="Times New Roman" w:eastAsia="Times New Roman" w:hAnsi="Times New Roman" w:cs="Times New Roman"/>
        </w:rPr>
        <w:t xml:space="preserve">a.) </w:t>
      </w:r>
      <w:r>
        <w:rPr>
          <w:rFonts w:ascii="Times New Roman" w:eastAsia="Times New Roman" w:hAnsi="Times New Roman" w:cs="Times New Roman"/>
          <w:b/>
        </w:rPr>
        <w:t>Personal Norms</w:t>
      </w:r>
      <w:r>
        <w:rPr>
          <w:rFonts w:ascii="Times New Roman" w:eastAsia="Times New Roman" w:hAnsi="Times New Roman" w:cs="Times New Roman"/>
          <w:highlight w:val="white"/>
        </w:rPr>
        <w:t xml:space="preserve"> still have a significant positive direct effect</w:t>
      </w:r>
      <w:r>
        <w:rPr>
          <w:rFonts w:ascii="Times New Roman" w:eastAsia="Times New Roman" w:hAnsi="Times New Roman" w:cs="Times New Roman"/>
        </w:rPr>
        <w:t xml:space="preserve">, ß= 0.083 (95% CI: 0.029, 0.147), z = 2.581, p = 0.010. (H 9.1) </w:t>
      </w:r>
    </w:p>
    <w:p w14:paraId="4CCEB50B" w14:textId="77777777" w:rsidR="00487CB5" w:rsidRDefault="00487CB5">
      <w:pPr>
        <w:spacing w:after="160"/>
        <w:rPr>
          <w:rFonts w:ascii="Times New Roman" w:eastAsia="Times New Roman" w:hAnsi="Times New Roman" w:cs="Times New Roman"/>
        </w:rPr>
      </w:pPr>
    </w:p>
    <w:tbl>
      <w:tblPr>
        <w:tblStyle w:val="ab"/>
        <w:tblW w:w="9780" w:type="dxa"/>
        <w:tblInd w:w="-632" w:type="dxa"/>
        <w:tblBorders>
          <w:top w:val="nil"/>
          <w:left w:val="nil"/>
          <w:bottom w:val="nil"/>
          <w:right w:val="nil"/>
          <w:insideH w:val="nil"/>
          <w:insideV w:val="nil"/>
        </w:tblBorders>
        <w:tblLayout w:type="fixed"/>
        <w:tblLook w:val="0600" w:firstRow="0" w:lastRow="0" w:firstColumn="0" w:lastColumn="0" w:noHBand="1" w:noVBand="1"/>
      </w:tblPr>
      <w:tblGrid>
        <w:gridCol w:w="915"/>
        <w:gridCol w:w="525"/>
        <w:gridCol w:w="240"/>
        <w:gridCol w:w="345"/>
        <w:gridCol w:w="240"/>
        <w:gridCol w:w="720"/>
        <w:gridCol w:w="240"/>
        <w:gridCol w:w="810"/>
        <w:gridCol w:w="450"/>
        <w:gridCol w:w="690"/>
        <w:gridCol w:w="405"/>
        <w:gridCol w:w="840"/>
        <w:gridCol w:w="750"/>
        <w:gridCol w:w="1080"/>
        <w:gridCol w:w="240"/>
        <w:gridCol w:w="1050"/>
        <w:gridCol w:w="240"/>
      </w:tblGrid>
      <w:tr w:rsidR="00487CB5" w14:paraId="605F63C9" w14:textId="77777777">
        <w:trPr>
          <w:trHeight w:val="515"/>
        </w:trPr>
        <w:tc>
          <w:tcPr>
            <w:tcW w:w="915" w:type="dxa"/>
            <w:tcBorders>
              <w:top w:val="nil"/>
              <w:left w:val="nil"/>
              <w:bottom w:val="single" w:sz="6" w:space="0" w:color="000000"/>
              <w:right w:val="nil"/>
            </w:tcBorders>
            <w:tcMar>
              <w:top w:w="100" w:type="dxa"/>
              <w:left w:w="100" w:type="dxa"/>
              <w:bottom w:w="100" w:type="dxa"/>
              <w:right w:w="100" w:type="dxa"/>
            </w:tcMar>
          </w:tcPr>
          <w:p w14:paraId="31043C1E" w14:textId="77777777" w:rsidR="00487CB5" w:rsidRDefault="00487CB5">
            <w:pPr>
              <w:spacing w:after="160"/>
              <w:rPr>
                <w:rFonts w:ascii="Times New Roman" w:eastAsia="Times New Roman" w:hAnsi="Times New Roman" w:cs="Times New Roman"/>
                <w:b/>
              </w:rPr>
            </w:pPr>
          </w:p>
        </w:tc>
        <w:tc>
          <w:tcPr>
            <w:tcW w:w="8865" w:type="dxa"/>
            <w:gridSpan w:val="16"/>
            <w:tcBorders>
              <w:top w:val="nil"/>
              <w:left w:val="nil"/>
              <w:bottom w:val="single" w:sz="6" w:space="0" w:color="000000"/>
              <w:right w:val="nil"/>
            </w:tcBorders>
            <w:tcMar>
              <w:top w:w="100" w:type="dxa"/>
              <w:left w:w="100" w:type="dxa"/>
              <w:bottom w:w="100" w:type="dxa"/>
              <w:right w:w="100" w:type="dxa"/>
            </w:tcMar>
          </w:tcPr>
          <w:p w14:paraId="0A830B91"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b/>
              </w:rPr>
              <w:t xml:space="preserve">TABLE 13. </w:t>
            </w:r>
            <w:r>
              <w:rPr>
                <w:rFonts w:ascii="Times New Roman" w:eastAsia="Times New Roman" w:hAnsi="Times New Roman" w:cs="Times New Roman"/>
              </w:rPr>
              <w:t>Results of Mediation Analysis (A-B-C)</w:t>
            </w:r>
          </w:p>
        </w:tc>
      </w:tr>
      <w:tr w:rsidR="00487CB5" w14:paraId="56FDF36A"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4683F301" w14:textId="77777777" w:rsidR="00487CB5" w:rsidRDefault="00487CB5">
            <w:pPr>
              <w:spacing w:after="160"/>
              <w:jc w:val="center"/>
              <w:rPr>
                <w:rFonts w:ascii="Times New Roman" w:eastAsia="Times New Roman" w:hAnsi="Times New Roman" w:cs="Times New Roman"/>
              </w:rPr>
            </w:pPr>
          </w:p>
        </w:tc>
        <w:tc>
          <w:tcPr>
            <w:tcW w:w="6255" w:type="dxa"/>
            <w:gridSpan w:val="12"/>
            <w:tcBorders>
              <w:top w:val="nil"/>
              <w:left w:val="nil"/>
              <w:bottom w:val="nil"/>
              <w:right w:val="nil"/>
            </w:tcBorders>
            <w:shd w:val="clear" w:color="auto" w:fill="auto"/>
            <w:tcMar>
              <w:top w:w="100" w:type="dxa"/>
              <w:left w:w="100" w:type="dxa"/>
              <w:bottom w:w="100" w:type="dxa"/>
              <w:right w:w="100" w:type="dxa"/>
            </w:tcMar>
          </w:tcPr>
          <w:p w14:paraId="4F0E5729" w14:textId="77777777" w:rsidR="00487CB5" w:rsidRDefault="00487CB5">
            <w:pPr>
              <w:spacing w:after="160"/>
              <w:jc w:val="center"/>
              <w:rPr>
                <w:rFonts w:ascii="Times New Roman" w:eastAsia="Times New Roman" w:hAnsi="Times New Roman" w:cs="Times New Roman"/>
              </w:rPr>
            </w:pPr>
          </w:p>
        </w:tc>
        <w:tc>
          <w:tcPr>
            <w:tcW w:w="2610"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7432AC03"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95% Confidence Interval</w:t>
            </w:r>
          </w:p>
        </w:tc>
      </w:tr>
      <w:tr w:rsidR="00487CB5" w14:paraId="7A3659F5" w14:textId="77777777">
        <w:trPr>
          <w:trHeight w:val="515"/>
        </w:trPr>
        <w:tc>
          <w:tcPr>
            <w:tcW w:w="915" w:type="dxa"/>
            <w:tcBorders>
              <w:top w:val="nil"/>
              <w:left w:val="nil"/>
              <w:bottom w:val="single" w:sz="6" w:space="0" w:color="000000"/>
              <w:right w:val="nil"/>
            </w:tcBorders>
            <w:shd w:val="clear" w:color="auto" w:fill="auto"/>
            <w:tcMar>
              <w:top w:w="100" w:type="dxa"/>
              <w:left w:w="100" w:type="dxa"/>
              <w:bottom w:w="100" w:type="dxa"/>
              <w:right w:w="100" w:type="dxa"/>
            </w:tcMar>
          </w:tcPr>
          <w:p w14:paraId="676FFAF4" w14:textId="77777777" w:rsidR="00487CB5" w:rsidRDefault="002B62DD">
            <w:pPr>
              <w:spacing w:after="160"/>
              <w:rPr>
                <w:rFonts w:ascii="Times New Roman" w:eastAsia="Times New Roman" w:hAnsi="Times New Roman" w:cs="Times New Roman"/>
                <w:b/>
              </w:rPr>
            </w:pPr>
            <w:r>
              <w:rPr>
                <w:rFonts w:ascii="Times New Roman" w:eastAsia="Times New Roman" w:hAnsi="Times New Roman" w:cs="Times New Roman"/>
                <w:b/>
              </w:rPr>
              <w:t>Effect</w:t>
            </w:r>
          </w:p>
        </w:tc>
        <w:tc>
          <w:tcPr>
            <w:tcW w:w="76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4DFB4D7D"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545"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3CD88F00"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26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5AF2BDA1"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Estimate (</w:t>
            </w:r>
            <w:r>
              <w:rPr>
                <w:rFonts w:ascii="Times New Roman" w:eastAsia="Times New Roman" w:hAnsi="Times New Roman" w:cs="Times New Roman"/>
                <w:highlight w:val="white"/>
              </w:rPr>
              <w:t>ß</w:t>
            </w:r>
            <w:r>
              <w:rPr>
                <w:rFonts w:ascii="Times New Roman" w:eastAsia="Times New Roman" w:hAnsi="Times New Roman" w:cs="Times New Roman"/>
                <w:b/>
              </w:rPr>
              <w:t>)</w:t>
            </w:r>
          </w:p>
        </w:tc>
        <w:tc>
          <w:tcPr>
            <w:tcW w:w="109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2D61A008"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Std. Error</w:t>
            </w:r>
          </w:p>
        </w:tc>
        <w:tc>
          <w:tcPr>
            <w:tcW w:w="840" w:type="dxa"/>
            <w:tcBorders>
              <w:top w:val="nil"/>
              <w:left w:val="nil"/>
              <w:bottom w:val="single" w:sz="6" w:space="0" w:color="000000"/>
              <w:right w:val="nil"/>
            </w:tcBorders>
            <w:shd w:val="clear" w:color="auto" w:fill="auto"/>
            <w:tcMar>
              <w:top w:w="100" w:type="dxa"/>
              <w:left w:w="100" w:type="dxa"/>
              <w:bottom w:w="100" w:type="dxa"/>
              <w:right w:w="100" w:type="dxa"/>
            </w:tcMar>
          </w:tcPr>
          <w:p w14:paraId="154524E1"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z-value</w:t>
            </w:r>
          </w:p>
        </w:tc>
        <w:tc>
          <w:tcPr>
            <w:tcW w:w="750" w:type="dxa"/>
            <w:tcBorders>
              <w:top w:val="nil"/>
              <w:left w:val="nil"/>
              <w:bottom w:val="single" w:sz="6" w:space="0" w:color="000000"/>
              <w:right w:val="nil"/>
            </w:tcBorders>
            <w:shd w:val="clear" w:color="auto" w:fill="auto"/>
            <w:tcMar>
              <w:top w:w="100" w:type="dxa"/>
              <w:left w:w="100" w:type="dxa"/>
              <w:bottom w:w="100" w:type="dxa"/>
              <w:right w:w="100" w:type="dxa"/>
            </w:tcMar>
          </w:tcPr>
          <w:p w14:paraId="18A49AA4"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p</w:t>
            </w:r>
          </w:p>
        </w:tc>
        <w:tc>
          <w:tcPr>
            <w:tcW w:w="132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7DCD4351"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Lower</w:t>
            </w:r>
          </w:p>
        </w:tc>
        <w:tc>
          <w:tcPr>
            <w:tcW w:w="129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469C6E0A"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Upper</w:t>
            </w:r>
          </w:p>
        </w:tc>
      </w:tr>
      <w:tr w:rsidR="00487CB5" w14:paraId="0E2273DC"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12261487"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Direct</w:t>
            </w:r>
          </w:p>
        </w:tc>
        <w:tc>
          <w:tcPr>
            <w:tcW w:w="525" w:type="dxa"/>
            <w:tcBorders>
              <w:top w:val="nil"/>
              <w:left w:val="nil"/>
              <w:bottom w:val="nil"/>
              <w:right w:val="nil"/>
            </w:tcBorders>
            <w:shd w:val="clear" w:color="auto" w:fill="auto"/>
            <w:tcMar>
              <w:top w:w="100" w:type="dxa"/>
              <w:left w:w="100" w:type="dxa"/>
              <w:bottom w:w="100" w:type="dxa"/>
              <w:right w:w="100" w:type="dxa"/>
            </w:tcMar>
          </w:tcPr>
          <w:p w14:paraId="59EE30B8"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A</w:t>
            </w:r>
          </w:p>
        </w:tc>
        <w:tc>
          <w:tcPr>
            <w:tcW w:w="240" w:type="dxa"/>
            <w:tcBorders>
              <w:top w:val="nil"/>
              <w:left w:val="nil"/>
              <w:bottom w:val="nil"/>
              <w:right w:val="nil"/>
            </w:tcBorders>
            <w:shd w:val="clear" w:color="auto" w:fill="auto"/>
            <w:tcMar>
              <w:top w:w="100" w:type="dxa"/>
              <w:left w:w="100" w:type="dxa"/>
              <w:bottom w:w="100" w:type="dxa"/>
              <w:right w:w="100" w:type="dxa"/>
            </w:tcMar>
          </w:tcPr>
          <w:p w14:paraId="21CFED18"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40C77AED"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3FC39B55"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4E2ADF6C"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C</w:t>
            </w:r>
          </w:p>
        </w:tc>
        <w:tc>
          <w:tcPr>
            <w:tcW w:w="240" w:type="dxa"/>
            <w:tcBorders>
              <w:top w:val="nil"/>
              <w:left w:val="nil"/>
              <w:bottom w:val="nil"/>
              <w:right w:val="nil"/>
            </w:tcBorders>
            <w:shd w:val="clear" w:color="auto" w:fill="auto"/>
            <w:tcMar>
              <w:top w:w="100" w:type="dxa"/>
              <w:left w:w="100" w:type="dxa"/>
              <w:bottom w:w="100" w:type="dxa"/>
              <w:right w:w="100" w:type="dxa"/>
            </w:tcMar>
          </w:tcPr>
          <w:p w14:paraId="5DCA2061"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2E49038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0.083</w:t>
            </w:r>
          </w:p>
        </w:tc>
        <w:tc>
          <w:tcPr>
            <w:tcW w:w="450" w:type="dxa"/>
            <w:tcBorders>
              <w:top w:val="nil"/>
              <w:left w:val="nil"/>
              <w:bottom w:val="nil"/>
              <w:right w:val="nil"/>
            </w:tcBorders>
            <w:shd w:val="clear" w:color="auto" w:fill="auto"/>
            <w:tcMar>
              <w:top w:w="100" w:type="dxa"/>
              <w:left w:w="100" w:type="dxa"/>
              <w:bottom w:w="100" w:type="dxa"/>
              <w:right w:w="100" w:type="dxa"/>
            </w:tcMar>
          </w:tcPr>
          <w:p w14:paraId="42192729"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5A0036EB"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0.032</w:t>
            </w:r>
          </w:p>
        </w:tc>
        <w:tc>
          <w:tcPr>
            <w:tcW w:w="405" w:type="dxa"/>
            <w:tcBorders>
              <w:top w:val="nil"/>
              <w:left w:val="nil"/>
              <w:bottom w:val="nil"/>
              <w:right w:val="nil"/>
            </w:tcBorders>
            <w:shd w:val="clear" w:color="auto" w:fill="auto"/>
            <w:tcMar>
              <w:top w:w="100" w:type="dxa"/>
              <w:left w:w="100" w:type="dxa"/>
              <w:bottom w:w="100" w:type="dxa"/>
              <w:right w:w="100" w:type="dxa"/>
            </w:tcMar>
          </w:tcPr>
          <w:p w14:paraId="5547CC35"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3E71EA3E"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2.581</w:t>
            </w:r>
          </w:p>
        </w:tc>
        <w:tc>
          <w:tcPr>
            <w:tcW w:w="750" w:type="dxa"/>
            <w:tcBorders>
              <w:top w:val="nil"/>
              <w:left w:val="nil"/>
              <w:bottom w:val="nil"/>
              <w:right w:val="nil"/>
            </w:tcBorders>
            <w:shd w:val="clear" w:color="auto" w:fill="auto"/>
            <w:tcMar>
              <w:top w:w="100" w:type="dxa"/>
              <w:left w:w="100" w:type="dxa"/>
              <w:bottom w:w="100" w:type="dxa"/>
              <w:right w:w="100" w:type="dxa"/>
            </w:tcMar>
          </w:tcPr>
          <w:p w14:paraId="33340FF6"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0.010</w:t>
            </w:r>
          </w:p>
        </w:tc>
        <w:tc>
          <w:tcPr>
            <w:tcW w:w="1080" w:type="dxa"/>
            <w:tcBorders>
              <w:top w:val="nil"/>
              <w:left w:val="nil"/>
              <w:bottom w:val="nil"/>
              <w:right w:val="nil"/>
            </w:tcBorders>
            <w:shd w:val="clear" w:color="auto" w:fill="auto"/>
            <w:tcMar>
              <w:top w:w="100" w:type="dxa"/>
              <w:left w:w="100" w:type="dxa"/>
              <w:bottom w:w="100" w:type="dxa"/>
              <w:right w:w="100" w:type="dxa"/>
            </w:tcMar>
          </w:tcPr>
          <w:p w14:paraId="6F55161F"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0.020</w:t>
            </w:r>
          </w:p>
        </w:tc>
        <w:tc>
          <w:tcPr>
            <w:tcW w:w="240" w:type="dxa"/>
            <w:tcBorders>
              <w:top w:val="nil"/>
              <w:left w:val="nil"/>
              <w:bottom w:val="nil"/>
              <w:right w:val="nil"/>
            </w:tcBorders>
            <w:shd w:val="clear" w:color="auto" w:fill="auto"/>
            <w:tcMar>
              <w:top w:w="100" w:type="dxa"/>
              <w:left w:w="100" w:type="dxa"/>
              <w:bottom w:w="100" w:type="dxa"/>
              <w:right w:w="100" w:type="dxa"/>
            </w:tcMar>
          </w:tcPr>
          <w:p w14:paraId="2E3EA796"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34AFF6F1"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0.147</w:t>
            </w:r>
          </w:p>
        </w:tc>
        <w:tc>
          <w:tcPr>
            <w:tcW w:w="240" w:type="dxa"/>
            <w:tcBorders>
              <w:top w:val="nil"/>
              <w:left w:val="nil"/>
              <w:bottom w:val="nil"/>
              <w:right w:val="nil"/>
            </w:tcBorders>
            <w:shd w:val="clear" w:color="auto" w:fill="auto"/>
            <w:tcMar>
              <w:top w:w="100" w:type="dxa"/>
              <w:left w:w="100" w:type="dxa"/>
              <w:bottom w:w="100" w:type="dxa"/>
              <w:right w:w="100" w:type="dxa"/>
            </w:tcMar>
          </w:tcPr>
          <w:p w14:paraId="5DA14009" w14:textId="77777777" w:rsidR="00487CB5" w:rsidRDefault="00487CB5">
            <w:pPr>
              <w:spacing w:after="160"/>
              <w:rPr>
                <w:rFonts w:ascii="Times New Roman" w:eastAsia="Times New Roman" w:hAnsi="Times New Roman" w:cs="Times New Roman"/>
              </w:rPr>
            </w:pPr>
          </w:p>
        </w:tc>
      </w:tr>
      <w:tr w:rsidR="00487CB5" w14:paraId="47F501DB"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5AC3898D"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lastRenderedPageBreak/>
              <w:t>Indirect</w:t>
            </w:r>
          </w:p>
        </w:tc>
        <w:tc>
          <w:tcPr>
            <w:tcW w:w="2070" w:type="dxa"/>
            <w:gridSpan w:val="5"/>
            <w:tcBorders>
              <w:top w:val="nil"/>
              <w:left w:val="nil"/>
              <w:bottom w:val="nil"/>
              <w:right w:val="nil"/>
            </w:tcBorders>
            <w:shd w:val="clear" w:color="auto" w:fill="auto"/>
            <w:tcMar>
              <w:top w:w="100" w:type="dxa"/>
              <w:left w:w="100" w:type="dxa"/>
              <w:bottom w:w="100" w:type="dxa"/>
              <w:right w:w="100" w:type="dxa"/>
            </w:tcMar>
          </w:tcPr>
          <w:p w14:paraId="1A80BCC4" w14:textId="77777777" w:rsidR="00487CB5" w:rsidRDefault="002B62DD">
            <w:pPr>
              <w:spacing w:after="160"/>
              <w:rPr>
                <w:rFonts w:ascii="Times New Roman" w:eastAsia="Times New Roman" w:hAnsi="Times New Roman" w:cs="Times New Roman"/>
              </w:rPr>
            </w:pPr>
            <w:r>
              <w:rPr>
                <w:rFonts w:ascii="Cardo" w:eastAsia="Cardo" w:hAnsi="Cardo" w:cs="Cardo"/>
              </w:rPr>
              <w:t>A     →      B      →   C</w:t>
            </w:r>
          </w:p>
        </w:tc>
        <w:tc>
          <w:tcPr>
            <w:tcW w:w="240" w:type="dxa"/>
            <w:tcBorders>
              <w:top w:val="nil"/>
              <w:left w:val="nil"/>
              <w:bottom w:val="nil"/>
              <w:right w:val="nil"/>
            </w:tcBorders>
            <w:shd w:val="clear" w:color="auto" w:fill="auto"/>
            <w:tcMar>
              <w:top w:w="100" w:type="dxa"/>
              <w:left w:w="100" w:type="dxa"/>
              <w:bottom w:w="100" w:type="dxa"/>
              <w:right w:w="100" w:type="dxa"/>
            </w:tcMar>
          </w:tcPr>
          <w:p w14:paraId="57D67D2C"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5A8CF63F"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0.191</w:t>
            </w:r>
          </w:p>
        </w:tc>
        <w:tc>
          <w:tcPr>
            <w:tcW w:w="450" w:type="dxa"/>
            <w:tcBorders>
              <w:top w:val="nil"/>
              <w:left w:val="nil"/>
              <w:bottom w:val="nil"/>
              <w:right w:val="nil"/>
            </w:tcBorders>
            <w:shd w:val="clear" w:color="auto" w:fill="auto"/>
            <w:tcMar>
              <w:top w:w="100" w:type="dxa"/>
              <w:left w:w="100" w:type="dxa"/>
              <w:bottom w:w="100" w:type="dxa"/>
              <w:right w:w="100" w:type="dxa"/>
            </w:tcMar>
          </w:tcPr>
          <w:p w14:paraId="6CCFB2FD"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7712878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0.024</w:t>
            </w:r>
          </w:p>
        </w:tc>
        <w:tc>
          <w:tcPr>
            <w:tcW w:w="405" w:type="dxa"/>
            <w:tcBorders>
              <w:top w:val="nil"/>
              <w:left w:val="nil"/>
              <w:bottom w:val="nil"/>
              <w:right w:val="nil"/>
            </w:tcBorders>
            <w:shd w:val="clear" w:color="auto" w:fill="auto"/>
            <w:tcMar>
              <w:top w:w="100" w:type="dxa"/>
              <w:left w:w="100" w:type="dxa"/>
              <w:bottom w:w="100" w:type="dxa"/>
              <w:right w:w="100" w:type="dxa"/>
            </w:tcMar>
          </w:tcPr>
          <w:p w14:paraId="1CE60403"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3F34A2F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7.880</w:t>
            </w:r>
          </w:p>
        </w:tc>
        <w:tc>
          <w:tcPr>
            <w:tcW w:w="750" w:type="dxa"/>
            <w:tcBorders>
              <w:top w:val="nil"/>
              <w:left w:val="nil"/>
              <w:bottom w:val="nil"/>
              <w:right w:val="nil"/>
            </w:tcBorders>
            <w:shd w:val="clear" w:color="auto" w:fill="auto"/>
            <w:tcMar>
              <w:top w:w="100" w:type="dxa"/>
              <w:left w:w="100" w:type="dxa"/>
              <w:bottom w:w="100" w:type="dxa"/>
              <w:right w:w="100" w:type="dxa"/>
            </w:tcMar>
          </w:tcPr>
          <w:p w14:paraId="615C6FDD"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&lt; .001</w:t>
            </w:r>
          </w:p>
        </w:tc>
        <w:tc>
          <w:tcPr>
            <w:tcW w:w="1080" w:type="dxa"/>
            <w:tcBorders>
              <w:top w:val="nil"/>
              <w:left w:val="nil"/>
              <w:bottom w:val="nil"/>
              <w:right w:val="nil"/>
            </w:tcBorders>
            <w:shd w:val="clear" w:color="auto" w:fill="auto"/>
            <w:tcMar>
              <w:top w:w="100" w:type="dxa"/>
              <w:left w:w="100" w:type="dxa"/>
              <w:bottom w:w="100" w:type="dxa"/>
              <w:right w:w="100" w:type="dxa"/>
            </w:tcMar>
          </w:tcPr>
          <w:p w14:paraId="323C497A"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0.143</w:t>
            </w:r>
          </w:p>
        </w:tc>
        <w:tc>
          <w:tcPr>
            <w:tcW w:w="240" w:type="dxa"/>
            <w:tcBorders>
              <w:top w:val="nil"/>
              <w:left w:val="nil"/>
              <w:bottom w:val="nil"/>
              <w:right w:val="nil"/>
            </w:tcBorders>
            <w:shd w:val="clear" w:color="auto" w:fill="auto"/>
            <w:tcMar>
              <w:top w:w="100" w:type="dxa"/>
              <w:left w:w="100" w:type="dxa"/>
              <w:bottom w:w="100" w:type="dxa"/>
              <w:right w:w="100" w:type="dxa"/>
            </w:tcMar>
          </w:tcPr>
          <w:p w14:paraId="4DDB9F24"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7D750F6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0.238</w:t>
            </w:r>
          </w:p>
        </w:tc>
        <w:tc>
          <w:tcPr>
            <w:tcW w:w="240" w:type="dxa"/>
            <w:tcBorders>
              <w:top w:val="nil"/>
              <w:left w:val="nil"/>
              <w:bottom w:val="nil"/>
              <w:right w:val="nil"/>
            </w:tcBorders>
            <w:shd w:val="clear" w:color="auto" w:fill="auto"/>
            <w:tcMar>
              <w:top w:w="100" w:type="dxa"/>
              <w:left w:w="100" w:type="dxa"/>
              <w:bottom w:w="100" w:type="dxa"/>
              <w:right w:w="100" w:type="dxa"/>
            </w:tcMar>
          </w:tcPr>
          <w:p w14:paraId="0EDCCEC5" w14:textId="77777777" w:rsidR="00487CB5" w:rsidRDefault="00487CB5">
            <w:pPr>
              <w:spacing w:after="160"/>
              <w:rPr>
                <w:rFonts w:ascii="Times New Roman" w:eastAsia="Times New Roman" w:hAnsi="Times New Roman" w:cs="Times New Roman"/>
              </w:rPr>
            </w:pPr>
          </w:p>
        </w:tc>
      </w:tr>
      <w:tr w:rsidR="00487CB5" w14:paraId="6C963055"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1D55016F"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Total</w:t>
            </w:r>
          </w:p>
        </w:tc>
        <w:tc>
          <w:tcPr>
            <w:tcW w:w="525" w:type="dxa"/>
            <w:tcBorders>
              <w:top w:val="nil"/>
              <w:left w:val="nil"/>
              <w:bottom w:val="nil"/>
              <w:right w:val="nil"/>
            </w:tcBorders>
            <w:shd w:val="clear" w:color="auto" w:fill="auto"/>
            <w:tcMar>
              <w:top w:w="100" w:type="dxa"/>
              <w:left w:w="100" w:type="dxa"/>
              <w:bottom w:w="100" w:type="dxa"/>
              <w:right w:w="100" w:type="dxa"/>
            </w:tcMar>
          </w:tcPr>
          <w:p w14:paraId="6124AEC1"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A</w:t>
            </w:r>
          </w:p>
        </w:tc>
        <w:tc>
          <w:tcPr>
            <w:tcW w:w="240" w:type="dxa"/>
            <w:tcBorders>
              <w:top w:val="nil"/>
              <w:left w:val="nil"/>
              <w:bottom w:val="nil"/>
              <w:right w:val="nil"/>
            </w:tcBorders>
            <w:shd w:val="clear" w:color="auto" w:fill="auto"/>
            <w:tcMar>
              <w:top w:w="100" w:type="dxa"/>
              <w:left w:w="100" w:type="dxa"/>
              <w:bottom w:w="100" w:type="dxa"/>
              <w:right w:w="100" w:type="dxa"/>
            </w:tcMar>
          </w:tcPr>
          <w:p w14:paraId="5750FB21"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58BEF2BC"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3072F6A8"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456D5523"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C</w:t>
            </w:r>
          </w:p>
        </w:tc>
        <w:tc>
          <w:tcPr>
            <w:tcW w:w="240" w:type="dxa"/>
            <w:tcBorders>
              <w:top w:val="nil"/>
              <w:left w:val="nil"/>
              <w:bottom w:val="nil"/>
              <w:right w:val="nil"/>
            </w:tcBorders>
            <w:shd w:val="clear" w:color="auto" w:fill="auto"/>
            <w:tcMar>
              <w:top w:w="100" w:type="dxa"/>
              <w:left w:w="100" w:type="dxa"/>
              <w:bottom w:w="100" w:type="dxa"/>
              <w:right w:w="100" w:type="dxa"/>
            </w:tcMar>
          </w:tcPr>
          <w:p w14:paraId="0E67EBD8"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43CF85ED"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0.274</w:t>
            </w:r>
          </w:p>
        </w:tc>
        <w:tc>
          <w:tcPr>
            <w:tcW w:w="450" w:type="dxa"/>
            <w:tcBorders>
              <w:top w:val="nil"/>
              <w:left w:val="nil"/>
              <w:bottom w:val="nil"/>
              <w:right w:val="nil"/>
            </w:tcBorders>
            <w:shd w:val="clear" w:color="auto" w:fill="auto"/>
            <w:tcMar>
              <w:top w:w="100" w:type="dxa"/>
              <w:left w:w="100" w:type="dxa"/>
              <w:bottom w:w="100" w:type="dxa"/>
              <w:right w:w="100" w:type="dxa"/>
            </w:tcMar>
          </w:tcPr>
          <w:p w14:paraId="0B51A161"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55A8B644"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0.027</w:t>
            </w:r>
          </w:p>
        </w:tc>
        <w:tc>
          <w:tcPr>
            <w:tcW w:w="405" w:type="dxa"/>
            <w:tcBorders>
              <w:top w:val="nil"/>
              <w:left w:val="nil"/>
              <w:bottom w:val="nil"/>
              <w:right w:val="nil"/>
            </w:tcBorders>
            <w:shd w:val="clear" w:color="auto" w:fill="auto"/>
            <w:tcMar>
              <w:top w:w="100" w:type="dxa"/>
              <w:left w:w="100" w:type="dxa"/>
              <w:bottom w:w="100" w:type="dxa"/>
              <w:right w:w="100" w:type="dxa"/>
            </w:tcMar>
          </w:tcPr>
          <w:p w14:paraId="4465391A"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7A4C719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9.993</w:t>
            </w:r>
          </w:p>
        </w:tc>
        <w:tc>
          <w:tcPr>
            <w:tcW w:w="750" w:type="dxa"/>
            <w:tcBorders>
              <w:top w:val="nil"/>
              <w:left w:val="nil"/>
              <w:bottom w:val="nil"/>
              <w:right w:val="nil"/>
            </w:tcBorders>
            <w:shd w:val="clear" w:color="auto" w:fill="auto"/>
            <w:tcMar>
              <w:top w:w="100" w:type="dxa"/>
              <w:left w:w="100" w:type="dxa"/>
              <w:bottom w:w="100" w:type="dxa"/>
              <w:right w:w="100" w:type="dxa"/>
            </w:tcMar>
          </w:tcPr>
          <w:p w14:paraId="61AE6AD8"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&lt; .001</w:t>
            </w:r>
          </w:p>
        </w:tc>
        <w:tc>
          <w:tcPr>
            <w:tcW w:w="1080" w:type="dxa"/>
            <w:tcBorders>
              <w:top w:val="nil"/>
              <w:left w:val="nil"/>
              <w:bottom w:val="nil"/>
              <w:right w:val="nil"/>
            </w:tcBorders>
            <w:shd w:val="clear" w:color="auto" w:fill="auto"/>
            <w:tcMar>
              <w:top w:w="100" w:type="dxa"/>
              <w:left w:w="100" w:type="dxa"/>
              <w:bottom w:w="100" w:type="dxa"/>
              <w:right w:w="100" w:type="dxa"/>
            </w:tcMar>
          </w:tcPr>
          <w:p w14:paraId="7B45DB46"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0.220</w:t>
            </w:r>
          </w:p>
        </w:tc>
        <w:tc>
          <w:tcPr>
            <w:tcW w:w="240" w:type="dxa"/>
            <w:tcBorders>
              <w:top w:val="nil"/>
              <w:left w:val="nil"/>
              <w:bottom w:val="nil"/>
              <w:right w:val="nil"/>
            </w:tcBorders>
            <w:shd w:val="clear" w:color="auto" w:fill="auto"/>
            <w:tcMar>
              <w:top w:w="100" w:type="dxa"/>
              <w:left w:w="100" w:type="dxa"/>
              <w:bottom w:w="100" w:type="dxa"/>
              <w:right w:w="100" w:type="dxa"/>
            </w:tcMar>
          </w:tcPr>
          <w:p w14:paraId="41FA0178"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2F1727F2"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0.328</w:t>
            </w:r>
          </w:p>
        </w:tc>
        <w:tc>
          <w:tcPr>
            <w:tcW w:w="240" w:type="dxa"/>
            <w:tcBorders>
              <w:top w:val="nil"/>
              <w:left w:val="nil"/>
              <w:bottom w:val="nil"/>
              <w:right w:val="nil"/>
            </w:tcBorders>
            <w:shd w:val="clear" w:color="auto" w:fill="auto"/>
            <w:tcMar>
              <w:top w:w="100" w:type="dxa"/>
              <w:left w:w="100" w:type="dxa"/>
              <w:bottom w:w="100" w:type="dxa"/>
              <w:right w:w="100" w:type="dxa"/>
            </w:tcMar>
          </w:tcPr>
          <w:p w14:paraId="2664301B" w14:textId="77777777" w:rsidR="00487CB5" w:rsidRDefault="00487CB5">
            <w:pPr>
              <w:spacing w:after="160"/>
              <w:rPr>
                <w:rFonts w:ascii="Times New Roman" w:eastAsia="Times New Roman" w:hAnsi="Times New Roman" w:cs="Times New Roman"/>
              </w:rPr>
            </w:pPr>
          </w:p>
        </w:tc>
      </w:tr>
      <w:tr w:rsidR="00487CB5" w14:paraId="5D6492DD" w14:textId="77777777">
        <w:trPr>
          <w:trHeight w:val="245"/>
        </w:trPr>
        <w:tc>
          <w:tcPr>
            <w:tcW w:w="915" w:type="dxa"/>
            <w:tcBorders>
              <w:top w:val="nil"/>
              <w:left w:val="nil"/>
              <w:bottom w:val="single" w:sz="12" w:space="0" w:color="000000"/>
              <w:right w:val="nil"/>
            </w:tcBorders>
            <w:shd w:val="clear" w:color="auto" w:fill="auto"/>
            <w:tcMar>
              <w:top w:w="100" w:type="dxa"/>
              <w:left w:w="100" w:type="dxa"/>
              <w:bottom w:w="100" w:type="dxa"/>
              <w:right w:w="100" w:type="dxa"/>
            </w:tcMar>
          </w:tcPr>
          <w:p w14:paraId="58C91361" w14:textId="77777777" w:rsidR="00487CB5" w:rsidRDefault="00487CB5">
            <w:pPr>
              <w:spacing w:after="160"/>
              <w:jc w:val="right"/>
              <w:rPr>
                <w:rFonts w:ascii="Times New Roman" w:eastAsia="Times New Roman" w:hAnsi="Times New Roman" w:cs="Times New Roman"/>
              </w:rPr>
            </w:pPr>
          </w:p>
        </w:tc>
        <w:tc>
          <w:tcPr>
            <w:tcW w:w="8865" w:type="dxa"/>
            <w:gridSpan w:val="16"/>
            <w:tcBorders>
              <w:top w:val="nil"/>
              <w:left w:val="nil"/>
              <w:bottom w:val="single" w:sz="12" w:space="0" w:color="000000"/>
              <w:right w:val="nil"/>
            </w:tcBorders>
            <w:shd w:val="clear" w:color="auto" w:fill="auto"/>
            <w:tcMar>
              <w:top w:w="100" w:type="dxa"/>
              <w:left w:w="100" w:type="dxa"/>
              <w:bottom w:w="100" w:type="dxa"/>
              <w:right w:w="100" w:type="dxa"/>
            </w:tcMar>
          </w:tcPr>
          <w:p w14:paraId="34F95CA9" w14:textId="77777777" w:rsidR="00487CB5" w:rsidRDefault="00487CB5">
            <w:pPr>
              <w:spacing w:after="160"/>
              <w:jc w:val="right"/>
              <w:rPr>
                <w:rFonts w:ascii="Times New Roman" w:eastAsia="Times New Roman" w:hAnsi="Times New Roman" w:cs="Times New Roman"/>
              </w:rPr>
            </w:pPr>
          </w:p>
        </w:tc>
      </w:tr>
      <w:tr w:rsidR="00487CB5" w14:paraId="44F87889"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76630F75" w14:textId="77777777" w:rsidR="00487CB5" w:rsidRDefault="00487CB5">
            <w:pPr>
              <w:spacing w:after="160"/>
              <w:rPr>
                <w:rFonts w:ascii="Times New Roman" w:eastAsia="Times New Roman" w:hAnsi="Times New Roman" w:cs="Times New Roman"/>
              </w:rPr>
            </w:pPr>
          </w:p>
        </w:tc>
        <w:tc>
          <w:tcPr>
            <w:tcW w:w="8865" w:type="dxa"/>
            <w:gridSpan w:val="16"/>
            <w:tcBorders>
              <w:top w:val="nil"/>
              <w:left w:val="nil"/>
              <w:bottom w:val="nil"/>
              <w:right w:val="nil"/>
            </w:tcBorders>
            <w:shd w:val="clear" w:color="auto" w:fill="auto"/>
            <w:tcMar>
              <w:top w:w="100" w:type="dxa"/>
              <w:left w:w="100" w:type="dxa"/>
              <w:bottom w:w="100" w:type="dxa"/>
              <w:right w:w="100" w:type="dxa"/>
            </w:tcMar>
          </w:tcPr>
          <w:p w14:paraId="51550047"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Note.  Delta method standard errors, normal theory confidence intervals, ML estimator.</w:t>
            </w:r>
          </w:p>
        </w:tc>
      </w:tr>
    </w:tbl>
    <w:p w14:paraId="0B350A52" w14:textId="77777777" w:rsidR="00487CB5" w:rsidRDefault="00487CB5">
      <w:pPr>
        <w:spacing w:after="160"/>
        <w:rPr>
          <w:rFonts w:ascii="Times New Roman" w:eastAsia="Times New Roman" w:hAnsi="Times New Roman" w:cs="Times New Roman"/>
          <w:b/>
        </w:rPr>
      </w:pPr>
    </w:p>
    <w:p w14:paraId="0CD9AA82" w14:textId="77777777" w:rsidR="00487CB5" w:rsidRDefault="002B62DD">
      <w:pPr>
        <w:spacing w:after="120"/>
        <w:jc w:val="both"/>
        <w:rPr>
          <w:rFonts w:ascii="Times New Roman" w:eastAsia="Times New Roman" w:hAnsi="Times New Roman" w:cs="Times New Roman"/>
          <w:highlight w:val="white"/>
        </w:rPr>
      </w:pPr>
      <w:r>
        <w:rPr>
          <w:rFonts w:ascii="Times New Roman" w:eastAsia="Times New Roman" w:hAnsi="Times New Roman" w:cs="Times New Roman"/>
          <w:b/>
        </w:rPr>
        <w:t xml:space="preserve">(E-G-D) </w:t>
      </w:r>
      <w:r>
        <w:rPr>
          <w:rFonts w:ascii="Times New Roman" w:eastAsia="Times New Roman" w:hAnsi="Times New Roman" w:cs="Times New Roman"/>
        </w:rPr>
        <w:t>(e₂.₁ - e₂.₂)</w:t>
      </w:r>
      <w:r>
        <w:rPr>
          <w:rFonts w:ascii="Times New Roman" w:eastAsia="Times New Roman" w:hAnsi="Times New Roman" w:cs="Times New Roman"/>
          <w:highlight w:val="white"/>
        </w:rPr>
        <w:t xml:space="preserve"> Multiple regression was used to test the mediation model. Table </w:t>
      </w:r>
      <w:r>
        <w:rPr>
          <w:rFonts w:ascii="Times New Roman" w:eastAsia="Times New Roman" w:hAnsi="Times New Roman" w:cs="Times New Roman"/>
          <w:b/>
          <w:highlight w:val="white"/>
        </w:rPr>
        <w:t>14</w:t>
      </w:r>
      <w:r>
        <w:rPr>
          <w:rFonts w:ascii="Times New Roman" w:eastAsia="Times New Roman" w:hAnsi="Times New Roman" w:cs="Times New Roman"/>
          <w:highlight w:val="white"/>
        </w:rPr>
        <w:t xml:space="preserve"> reveals that </w:t>
      </w:r>
      <w:r>
        <w:rPr>
          <w:rFonts w:ascii="Times New Roman" w:eastAsia="Times New Roman" w:hAnsi="Times New Roman" w:cs="Times New Roman"/>
        </w:rPr>
        <w:t xml:space="preserve">(e.) </w:t>
      </w:r>
      <w:r>
        <w:rPr>
          <w:rFonts w:ascii="Times New Roman" w:eastAsia="Times New Roman" w:hAnsi="Times New Roman" w:cs="Times New Roman"/>
          <w:b/>
        </w:rPr>
        <w:t>Alternative Evaluation</w:t>
      </w:r>
      <w:r>
        <w:rPr>
          <w:rFonts w:ascii="Times New Roman" w:eastAsia="Times New Roman" w:hAnsi="Times New Roman" w:cs="Times New Roman"/>
        </w:rPr>
        <w:t>,</w:t>
      </w:r>
      <w:r>
        <w:rPr>
          <w:rFonts w:ascii="Times New Roman" w:eastAsia="Times New Roman" w:hAnsi="Times New Roman" w:cs="Times New Roman"/>
          <w:highlight w:val="white"/>
        </w:rPr>
        <w:t xml:space="preserve"> positively predicts </w:t>
      </w:r>
      <w:r>
        <w:rPr>
          <w:rFonts w:ascii="Times New Roman" w:eastAsia="Times New Roman" w:hAnsi="Times New Roman" w:cs="Times New Roman"/>
        </w:rPr>
        <w:t xml:space="preserve">(d.) </w:t>
      </w:r>
      <w:r>
        <w:rPr>
          <w:rFonts w:ascii="Times New Roman" w:eastAsia="Times New Roman" w:hAnsi="Times New Roman" w:cs="Times New Roman"/>
          <w:b/>
        </w:rPr>
        <w:t>Consumer Satisfaction</w:t>
      </w:r>
      <w:r>
        <w:rPr>
          <w:rFonts w:ascii="Times New Roman" w:eastAsia="Times New Roman" w:hAnsi="Times New Roman" w:cs="Times New Roman"/>
          <w:highlight w:val="white"/>
        </w:rPr>
        <w:t xml:space="preserve">, ß = .175 (95% CI: 0.030, 0.32), z=2.359, p = 0.018. Furthermore, </w:t>
      </w:r>
      <w:r>
        <w:rPr>
          <w:rFonts w:ascii="Times New Roman" w:eastAsia="Times New Roman" w:hAnsi="Times New Roman" w:cs="Times New Roman"/>
        </w:rPr>
        <w:t xml:space="preserve">(g.) </w:t>
      </w:r>
      <w:r>
        <w:rPr>
          <w:rFonts w:ascii="Times New Roman" w:eastAsia="Times New Roman" w:hAnsi="Times New Roman" w:cs="Times New Roman"/>
          <w:b/>
        </w:rPr>
        <w:t xml:space="preserve">Consumer </w:t>
      </w:r>
      <w:proofErr w:type="spellStart"/>
      <w:r>
        <w:rPr>
          <w:rFonts w:ascii="Times New Roman" w:eastAsia="Times New Roman" w:hAnsi="Times New Roman" w:cs="Times New Roman"/>
          <w:b/>
        </w:rPr>
        <w:t>Skepticism</w:t>
      </w:r>
      <w:proofErr w:type="spellEnd"/>
      <w:r>
        <w:rPr>
          <w:rFonts w:ascii="Times New Roman" w:eastAsia="Times New Roman" w:hAnsi="Times New Roman" w:cs="Times New Roman"/>
          <w:highlight w:val="white"/>
        </w:rPr>
        <w:t xml:space="preserve"> significantly mediates this relationship, ß= 0.77 (95% CI: 0.029, 0.126), z=3.127, p = 0.002. It is estimated that </w:t>
      </w:r>
      <w:r>
        <w:rPr>
          <w:rFonts w:ascii="Times New Roman" w:eastAsia="Times New Roman" w:hAnsi="Times New Roman" w:cs="Times New Roman"/>
        </w:rPr>
        <w:t xml:space="preserve">(g.) </w:t>
      </w:r>
      <w:r>
        <w:rPr>
          <w:rFonts w:ascii="Times New Roman" w:eastAsia="Times New Roman" w:hAnsi="Times New Roman" w:cs="Times New Roman"/>
          <w:b/>
        </w:rPr>
        <w:t xml:space="preserve">Consumer </w:t>
      </w:r>
      <w:proofErr w:type="spellStart"/>
      <w:r>
        <w:rPr>
          <w:rFonts w:ascii="Times New Roman" w:eastAsia="Times New Roman" w:hAnsi="Times New Roman" w:cs="Times New Roman"/>
          <w:b/>
        </w:rPr>
        <w:t>Skepticism</w:t>
      </w:r>
      <w:proofErr w:type="spellEnd"/>
      <w:r>
        <w:rPr>
          <w:rFonts w:ascii="Times New Roman" w:eastAsia="Times New Roman" w:hAnsi="Times New Roman" w:cs="Times New Roman"/>
          <w:highlight w:val="white"/>
        </w:rPr>
        <w:t xml:space="preserve"> accounts for 44 % of (</w:t>
      </w:r>
      <w:r>
        <w:rPr>
          <w:rFonts w:ascii="Times New Roman" w:eastAsia="Times New Roman" w:hAnsi="Times New Roman" w:cs="Times New Roman"/>
        </w:rPr>
        <w:t xml:space="preserve">e.) </w:t>
      </w:r>
      <w:r>
        <w:rPr>
          <w:rFonts w:ascii="Times New Roman" w:eastAsia="Times New Roman" w:hAnsi="Times New Roman" w:cs="Times New Roman"/>
          <w:b/>
        </w:rPr>
        <w:t>Alternative Evaluation</w:t>
      </w:r>
      <w:r>
        <w:rPr>
          <w:rFonts w:ascii="Times New Roman" w:eastAsia="Times New Roman" w:hAnsi="Times New Roman" w:cs="Times New Roman"/>
        </w:rPr>
        <w:t xml:space="preserve">’s Effect on (d.) </w:t>
      </w:r>
      <w:r>
        <w:rPr>
          <w:rFonts w:ascii="Times New Roman" w:eastAsia="Times New Roman" w:hAnsi="Times New Roman" w:cs="Times New Roman"/>
          <w:b/>
        </w:rPr>
        <w:t>Consumer Satisfaction</w:t>
      </w:r>
      <w:r>
        <w:rPr>
          <w:rFonts w:ascii="Times New Roman" w:eastAsia="Times New Roman" w:hAnsi="Times New Roman" w:cs="Times New Roman"/>
          <w:highlight w:val="white"/>
        </w:rPr>
        <w:t>. It’s important to note that (</w:t>
      </w:r>
      <w:r>
        <w:rPr>
          <w:rFonts w:ascii="Times New Roman" w:eastAsia="Times New Roman" w:hAnsi="Times New Roman" w:cs="Times New Roman"/>
        </w:rPr>
        <w:t xml:space="preserve">e.) </w:t>
      </w:r>
      <w:r>
        <w:rPr>
          <w:rFonts w:ascii="Times New Roman" w:eastAsia="Times New Roman" w:hAnsi="Times New Roman" w:cs="Times New Roman"/>
          <w:b/>
        </w:rPr>
        <w:t>Alternative Evaluation</w:t>
      </w:r>
      <w:r>
        <w:rPr>
          <w:rFonts w:ascii="Times New Roman" w:eastAsia="Times New Roman" w:hAnsi="Times New Roman" w:cs="Times New Roman"/>
          <w:highlight w:val="white"/>
        </w:rPr>
        <w:t xml:space="preserve"> have no significant positive direct effect, ß= 0.097 (95% CI: -0.049, 0.243), z = 1.303, p = 0.193. (H 9.2)</w:t>
      </w:r>
    </w:p>
    <w:p w14:paraId="156EF1FB" w14:textId="77777777" w:rsidR="00487CB5" w:rsidRDefault="00487CB5">
      <w:pPr>
        <w:spacing w:after="120"/>
        <w:ind w:left="720"/>
        <w:jc w:val="both"/>
        <w:rPr>
          <w:rFonts w:ascii="Times New Roman" w:eastAsia="Times New Roman" w:hAnsi="Times New Roman" w:cs="Times New Roman"/>
          <w:highlight w:val="white"/>
        </w:rPr>
      </w:pPr>
    </w:p>
    <w:p w14:paraId="5C45D8DD" w14:textId="77777777" w:rsidR="00487CB5" w:rsidRDefault="00487CB5">
      <w:pPr>
        <w:spacing w:after="160"/>
        <w:rPr>
          <w:rFonts w:ascii="Times New Roman" w:eastAsia="Times New Roman" w:hAnsi="Times New Roman" w:cs="Times New Roman"/>
        </w:rPr>
      </w:pPr>
    </w:p>
    <w:tbl>
      <w:tblPr>
        <w:tblStyle w:val="ac"/>
        <w:tblW w:w="9780" w:type="dxa"/>
        <w:tblInd w:w="-632" w:type="dxa"/>
        <w:tblBorders>
          <w:top w:val="nil"/>
          <w:left w:val="nil"/>
          <w:bottom w:val="nil"/>
          <w:right w:val="nil"/>
          <w:insideH w:val="nil"/>
          <w:insideV w:val="nil"/>
        </w:tblBorders>
        <w:tblLayout w:type="fixed"/>
        <w:tblLook w:val="0600" w:firstRow="0" w:lastRow="0" w:firstColumn="0" w:lastColumn="0" w:noHBand="1" w:noVBand="1"/>
      </w:tblPr>
      <w:tblGrid>
        <w:gridCol w:w="915"/>
        <w:gridCol w:w="525"/>
        <w:gridCol w:w="240"/>
        <w:gridCol w:w="345"/>
        <w:gridCol w:w="240"/>
        <w:gridCol w:w="720"/>
        <w:gridCol w:w="240"/>
        <w:gridCol w:w="810"/>
        <w:gridCol w:w="450"/>
        <w:gridCol w:w="690"/>
        <w:gridCol w:w="405"/>
        <w:gridCol w:w="840"/>
        <w:gridCol w:w="750"/>
        <w:gridCol w:w="1080"/>
        <w:gridCol w:w="240"/>
        <w:gridCol w:w="1050"/>
        <w:gridCol w:w="240"/>
      </w:tblGrid>
      <w:tr w:rsidR="00487CB5" w14:paraId="03ED8B01" w14:textId="77777777">
        <w:trPr>
          <w:trHeight w:val="515"/>
        </w:trPr>
        <w:tc>
          <w:tcPr>
            <w:tcW w:w="915" w:type="dxa"/>
            <w:tcBorders>
              <w:top w:val="nil"/>
              <w:left w:val="nil"/>
              <w:bottom w:val="single" w:sz="6" w:space="0" w:color="000000"/>
              <w:right w:val="nil"/>
            </w:tcBorders>
            <w:tcMar>
              <w:top w:w="100" w:type="dxa"/>
              <w:left w:w="100" w:type="dxa"/>
              <w:bottom w:w="100" w:type="dxa"/>
              <w:right w:w="100" w:type="dxa"/>
            </w:tcMar>
          </w:tcPr>
          <w:p w14:paraId="7E9D7657" w14:textId="77777777" w:rsidR="00487CB5" w:rsidRDefault="00487CB5">
            <w:pPr>
              <w:spacing w:after="160"/>
              <w:rPr>
                <w:rFonts w:ascii="Times New Roman" w:eastAsia="Times New Roman" w:hAnsi="Times New Roman" w:cs="Times New Roman"/>
                <w:b/>
              </w:rPr>
            </w:pPr>
          </w:p>
        </w:tc>
        <w:tc>
          <w:tcPr>
            <w:tcW w:w="8865" w:type="dxa"/>
            <w:gridSpan w:val="16"/>
            <w:tcBorders>
              <w:top w:val="nil"/>
              <w:left w:val="nil"/>
              <w:bottom w:val="single" w:sz="6" w:space="0" w:color="000000"/>
              <w:right w:val="nil"/>
            </w:tcBorders>
            <w:tcMar>
              <w:top w:w="100" w:type="dxa"/>
              <w:left w:w="100" w:type="dxa"/>
              <w:bottom w:w="100" w:type="dxa"/>
              <w:right w:w="100" w:type="dxa"/>
            </w:tcMar>
          </w:tcPr>
          <w:p w14:paraId="79D1E28F"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b/>
              </w:rPr>
              <w:t xml:space="preserve">TABLE 14. </w:t>
            </w:r>
            <w:r>
              <w:rPr>
                <w:rFonts w:ascii="Times New Roman" w:eastAsia="Times New Roman" w:hAnsi="Times New Roman" w:cs="Times New Roman"/>
              </w:rPr>
              <w:t>Results of Mediation Analysis (E-G-D)</w:t>
            </w:r>
          </w:p>
        </w:tc>
      </w:tr>
      <w:tr w:rsidR="00487CB5" w14:paraId="26946FD7"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4AFA4D00" w14:textId="77777777" w:rsidR="00487CB5" w:rsidRDefault="00487CB5">
            <w:pPr>
              <w:spacing w:after="160"/>
              <w:jc w:val="center"/>
              <w:rPr>
                <w:rFonts w:ascii="Times New Roman" w:eastAsia="Times New Roman" w:hAnsi="Times New Roman" w:cs="Times New Roman"/>
              </w:rPr>
            </w:pPr>
          </w:p>
        </w:tc>
        <w:tc>
          <w:tcPr>
            <w:tcW w:w="6255" w:type="dxa"/>
            <w:gridSpan w:val="12"/>
            <w:tcBorders>
              <w:top w:val="nil"/>
              <w:left w:val="nil"/>
              <w:bottom w:val="nil"/>
              <w:right w:val="nil"/>
            </w:tcBorders>
            <w:shd w:val="clear" w:color="auto" w:fill="auto"/>
            <w:tcMar>
              <w:top w:w="100" w:type="dxa"/>
              <w:left w:w="100" w:type="dxa"/>
              <w:bottom w:w="100" w:type="dxa"/>
              <w:right w:w="100" w:type="dxa"/>
            </w:tcMar>
          </w:tcPr>
          <w:p w14:paraId="7F68D635" w14:textId="77777777" w:rsidR="00487CB5" w:rsidRDefault="00487CB5">
            <w:pPr>
              <w:spacing w:after="160"/>
              <w:jc w:val="center"/>
              <w:rPr>
                <w:rFonts w:ascii="Times New Roman" w:eastAsia="Times New Roman" w:hAnsi="Times New Roman" w:cs="Times New Roman"/>
              </w:rPr>
            </w:pPr>
          </w:p>
        </w:tc>
        <w:tc>
          <w:tcPr>
            <w:tcW w:w="2610"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73EEADF4"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95% Confidence Interval</w:t>
            </w:r>
          </w:p>
        </w:tc>
      </w:tr>
      <w:tr w:rsidR="00487CB5" w14:paraId="729355D4" w14:textId="77777777">
        <w:trPr>
          <w:trHeight w:val="515"/>
        </w:trPr>
        <w:tc>
          <w:tcPr>
            <w:tcW w:w="915" w:type="dxa"/>
            <w:tcBorders>
              <w:top w:val="nil"/>
              <w:left w:val="nil"/>
              <w:bottom w:val="single" w:sz="6" w:space="0" w:color="000000"/>
              <w:right w:val="nil"/>
            </w:tcBorders>
            <w:shd w:val="clear" w:color="auto" w:fill="auto"/>
            <w:tcMar>
              <w:top w:w="100" w:type="dxa"/>
              <w:left w:w="100" w:type="dxa"/>
              <w:bottom w:w="100" w:type="dxa"/>
              <w:right w:w="100" w:type="dxa"/>
            </w:tcMar>
          </w:tcPr>
          <w:p w14:paraId="27934ADF" w14:textId="77777777" w:rsidR="00487CB5" w:rsidRDefault="002B62DD">
            <w:pPr>
              <w:spacing w:after="160"/>
              <w:rPr>
                <w:rFonts w:ascii="Times New Roman" w:eastAsia="Times New Roman" w:hAnsi="Times New Roman" w:cs="Times New Roman"/>
                <w:b/>
              </w:rPr>
            </w:pPr>
            <w:r>
              <w:rPr>
                <w:rFonts w:ascii="Times New Roman" w:eastAsia="Times New Roman" w:hAnsi="Times New Roman" w:cs="Times New Roman"/>
                <w:b/>
              </w:rPr>
              <w:t>Effect</w:t>
            </w:r>
          </w:p>
        </w:tc>
        <w:tc>
          <w:tcPr>
            <w:tcW w:w="76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58AC1697"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545"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5CEB86EE"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26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52A43DC3"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Estimate (</w:t>
            </w:r>
            <w:r>
              <w:rPr>
                <w:rFonts w:ascii="Times New Roman" w:eastAsia="Times New Roman" w:hAnsi="Times New Roman" w:cs="Times New Roman"/>
                <w:highlight w:val="white"/>
              </w:rPr>
              <w:t>ß</w:t>
            </w:r>
            <w:r>
              <w:rPr>
                <w:rFonts w:ascii="Times New Roman" w:eastAsia="Times New Roman" w:hAnsi="Times New Roman" w:cs="Times New Roman"/>
                <w:b/>
              </w:rPr>
              <w:t>)</w:t>
            </w:r>
          </w:p>
        </w:tc>
        <w:tc>
          <w:tcPr>
            <w:tcW w:w="109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01E251DD"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Std. Error</w:t>
            </w:r>
          </w:p>
        </w:tc>
        <w:tc>
          <w:tcPr>
            <w:tcW w:w="840" w:type="dxa"/>
            <w:tcBorders>
              <w:top w:val="nil"/>
              <w:left w:val="nil"/>
              <w:bottom w:val="single" w:sz="6" w:space="0" w:color="000000"/>
              <w:right w:val="nil"/>
            </w:tcBorders>
            <w:shd w:val="clear" w:color="auto" w:fill="auto"/>
            <w:tcMar>
              <w:top w:w="100" w:type="dxa"/>
              <w:left w:w="100" w:type="dxa"/>
              <w:bottom w:w="100" w:type="dxa"/>
              <w:right w:w="100" w:type="dxa"/>
            </w:tcMar>
          </w:tcPr>
          <w:p w14:paraId="626B2D9A"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z-value</w:t>
            </w:r>
          </w:p>
        </w:tc>
        <w:tc>
          <w:tcPr>
            <w:tcW w:w="750" w:type="dxa"/>
            <w:tcBorders>
              <w:top w:val="nil"/>
              <w:left w:val="nil"/>
              <w:bottom w:val="single" w:sz="6" w:space="0" w:color="000000"/>
              <w:right w:val="nil"/>
            </w:tcBorders>
            <w:shd w:val="clear" w:color="auto" w:fill="auto"/>
            <w:tcMar>
              <w:top w:w="100" w:type="dxa"/>
              <w:left w:w="100" w:type="dxa"/>
              <w:bottom w:w="100" w:type="dxa"/>
              <w:right w:w="100" w:type="dxa"/>
            </w:tcMar>
          </w:tcPr>
          <w:p w14:paraId="44C14E21"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p</w:t>
            </w:r>
          </w:p>
        </w:tc>
        <w:tc>
          <w:tcPr>
            <w:tcW w:w="132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46DF2905"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Lower</w:t>
            </w:r>
          </w:p>
        </w:tc>
        <w:tc>
          <w:tcPr>
            <w:tcW w:w="129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7A358745"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Upper</w:t>
            </w:r>
          </w:p>
        </w:tc>
      </w:tr>
      <w:tr w:rsidR="00487CB5" w14:paraId="0665A9FC"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19509849"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Direct</w:t>
            </w:r>
          </w:p>
        </w:tc>
        <w:tc>
          <w:tcPr>
            <w:tcW w:w="525" w:type="dxa"/>
            <w:tcBorders>
              <w:top w:val="nil"/>
              <w:left w:val="nil"/>
              <w:bottom w:val="nil"/>
              <w:right w:val="nil"/>
            </w:tcBorders>
            <w:shd w:val="clear" w:color="auto" w:fill="auto"/>
            <w:tcMar>
              <w:top w:w="100" w:type="dxa"/>
              <w:left w:w="100" w:type="dxa"/>
              <w:bottom w:w="100" w:type="dxa"/>
              <w:right w:w="100" w:type="dxa"/>
            </w:tcMar>
          </w:tcPr>
          <w:p w14:paraId="43EEDC25"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E</w:t>
            </w:r>
          </w:p>
        </w:tc>
        <w:tc>
          <w:tcPr>
            <w:tcW w:w="240" w:type="dxa"/>
            <w:tcBorders>
              <w:top w:val="nil"/>
              <w:left w:val="nil"/>
              <w:bottom w:val="nil"/>
              <w:right w:val="nil"/>
            </w:tcBorders>
            <w:shd w:val="clear" w:color="auto" w:fill="auto"/>
            <w:tcMar>
              <w:top w:w="100" w:type="dxa"/>
              <w:left w:w="100" w:type="dxa"/>
              <w:bottom w:w="100" w:type="dxa"/>
              <w:right w:w="100" w:type="dxa"/>
            </w:tcMar>
          </w:tcPr>
          <w:p w14:paraId="3D80570D"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7F985EDE"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137C5FFD"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257B31C5"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D</w:t>
            </w:r>
          </w:p>
        </w:tc>
        <w:tc>
          <w:tcPr>
            <w:tcW w:w="240" w:type="dxa"/>
            <w:tcBorders>
              <w:top w:val="nil"/>
              <w:left w:val="nil"/>
              <w:bottom w:val="nil"/>
              <w:right w:val="nil"/>
            </w:tcBorders>
            <w:shd w:val="clear" w:color="auto" w:fill="auto"/>
            <w:tcMar>
              <w:top w:w="100" w:type="dxa"/>
              <w:left w:w="100" w:type="dxa"/>
              <w:bottom w:w="100" w:type="dxa"/>
              <w:right w:w="100" w:type="dxa"/>
            </w:tcMar>
          </w:tcPr>
          <w:p w14:paraId="023129A3"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3317083D"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0.097</w:t>
            </w:r>
          </w:p>
        </w:tc>
        <w:tc>
          <w:tcPr>
            <w:tcW w:w="450" w:type="dxa"/>
            <w:tcBorders>
              <w:top w:val="nil"/>
              <w:left w:val="nil"/>
              <w:bottom w:val="nil"/>
              <w:right w:val="nil"/>
            </w:tcBorders>
            <w:shd w:val="clear" w:color="auto" w:fill="auto"/>
            <w:tcMar>
              <w:top w:w="100" w:type="dxa"/>
              <w:left w:w="100" w:type="dxa"/>
              <w:bottom w:w="100" w:type="dxa"/>
              <w:right w:w="100" w:type="dxa"/>
            </w:tcMar>
          </w:tcPr>
          <w:p w14:paraId="15A3E495"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4B84D922"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0.075</w:t>
            </w:r>
          </w:p>
        </w:tc>
        <w:tc>
          <w:tcPr>
            <w:tcW w:w="405" w:type="dxa"/>
            <w:tcBorders>
              <w:top w:val="nil"/>
              <w:left w:val="nil"/>
              <w:bottom w:val="nil"/>
              <w:right w:val="nil"/>
            </w:tcBorders>
            <w:shd w:val="clear" w:color="auto" w:fill="auto"/>
            <w:tcMar>
              <w:top w:w="100" w:type="dxa"/>
              <w:left w:w="100" w:type="dxa"/>
              <w:bottom w:w="100" w:type="dxa"/>
              <w:right w:w="100" w:type="dxa"/>
            </w:tcMar>
          </w:tcPr>
          <w:p w14:paraId="428ABF40"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5FD7C22E"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1.303</w:t>
            </w:r>
          </w:p>
        </w:tc>
        <w:tc>
          <w:tcPr>
            <w:tcW w:w="750" w:type="dxa"/>
            <w:tcBorders>
              <w:top w:val="nil"/>
              <w:left w:val="nil"/>
              <w:bottom w:val="nil"/>
              <w:right w:val="nil"/>
            </w:tcBorders>
            <w:shd w:val="clear" w:color="auto" w:fill="auto"/>
            <w:tcMar>
              <w:top w:w="100" w:type="dxa"/>
              <w:left w:w="100" w:type="dxa"/>
              <w:bottom w:w="100" w:type="dxa"/>
              <w:right w:w="100" w:type="dxa"/>
            </w:tcMar>
          </w:tcPr>
          <w:p w14:paraId="734146EF"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0.193</w:t>
            </w:r>
          </w:p>
        </w:tc>
        <w:tc>
          <w:tcPr>
            <w:tcW w:w="1080" w:type="dxa"/>
            <w:tcBorders>
              <w:top w:val="nil"/>
              <w:left w:val="nil"/>
              <w:bottom w:val="nil"/>
              <w:right w:val="nil"/>
            </w:tcBorders>
            <w:shd w:val="clear" w:color="auto" w:fill="auto"/>
            <w:tcMar>
              <w:top w:w="100" w:type="dxa"/>
              <w:left w:w="100" w:type="dxa"/>
              <w:bottom w:w="100" w:type="dxa"/>
              <w:right w:w="100" w:type="dxa"/>
            </w:tcMar>
          </w:tcPr>
          <w:p w14:paraId="2A4B3211"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-0.049</w:t>
            </w:r>
          </w:p>
        </w:tc>
        <w:tc>
          <w:tcPr>
            <w:tcW w:w="240" w:type="dxa"/>
            <w:tcBorders>
              <w:top w:val="nil"/>
              <w:left w:val="nil"/>
              <w:bottom w:val="nil"/>
              <w:right w:val="nil"/>
            </w:tcBorders>
            <w:shd w:val="clear" w:color="auto" w:fill="auto"/>
            <w:tcMar>
              <w:top w:w="100" w:type="dxa"/>
              <w:left w:w="100" w:type="dxa"/>
              <w:bottom w:w="100" w:type="dxa"/>
              <w:right w:w="100" w:type="dxa"/>
            </w:tcMar>
          </w:tcPr>
          <w:p w14:paraId="21CC77BD"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3C1A650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0.243</w:t>
            </w:r>
          </w:p>
        </w:tc>
        <w:tc>
          <w:tcPr>
            <w:tcW w:w="240" w:type="dxa"/>
            <w:tcBorders>
              <w:top w:val="nil"/>
              <w:left w:val="nil"/>
              <w:bottom w:val="nil"/>
              <w:right w:val="nil"/>
            </w:tcBorders>
            <w:shd w:val="clear" w:color="auto" w:fill="auto"/>
            <w:tcMar>
              <w:top w:w="100" w:type="dxa"/>
              <w:left w:w="100" w:type="dxa"/>
              <w:bottom w:w="100" w:type="dxa"/>
              <w:right w:w="100" w:type="dxa"/>
            </w:tcMar>
          </w:tcPr>
          <w:p w14:paraId="5BA28F70" w14:textId="77777777" w:rsidR="00487CB5" w:rsidRDefault="00487CB5">
            <w:pPr>
              <w:spacing w:after="160"/>
              <w:rPr>
                <w:rFonts w:ascii="Times New Roman" w:eastAsia="Times New Roman" w:hAnsi="Times New Roman" w:cs="Times New Roman"/>
              </w:rPr>
            </w:pPr>
          </w:p>
        </w:tc>
      </w:tr>
      <w:tr w:rsidR="00487CB5" w14:paraId="478C187A"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0536EA6A"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Indirect</w:t>
            </w:r>
          </w:p>
        </w:tc>
        <w:tc>
          <w:tcPr>
            <w:tcW w:w="2070" w:type="dxa"/>
            <w:gridSpan w:val="5"/>
            <w:tcBorders>
              <w:top w:val="nil"/>
              <w:left w:val="nil"/>
              <w:bottom w:val="nil"/>
              <w:right w:val="nil"/>
            </w:tcBorders>
            <w:shd w:val="clear" w:color="auto" w:fill="auto"/>
            <w:tcMar>
              <w:top w:w="100" w:type="dxa"/>
              <w:left w:w="100" w:type="dxa"/>
              <w:bottom w:w="100" w:type="dxa"/>
              <w:right w:w="100" w:type="dxa"/>
            </w:tcMar>
          </w:tcPr>
          <w:p w14:paraId="26CB8B06" w14:textId="77777777" w:rsidR="00487CB5" w:rsidRDefault="002B62DD">
            <w:pPr>
              <w:spacing w:after="160"/>
              <w:rPr>
                <w:rFonts w:ascii="Times New Roman" w:eastAsia="Times New Roman" w:hAnsi="Times New Roman" w:cs="Times New Roman"/>
              </w:rPr>
            </w:pPr>
            <w:r>
              <w:rPr>
                <w:rFonts w:ascii="Cardo" w:eastAsia="Cardo" w:hAnsi="Cardo" w:cs="Cardo"/>
              </w:rPr>
              <w:t>E     →      G      →   D</w:t>
            </w:r>
          </w:p>
        </w:tc>
        <w:tc>
          <w:tcPr>
            <w:tcW w:w="240" w:type="dxa"/>
            <w:tcBorders>
              <w:top w:val="nil"/>
              <w:left w:val="nil"/>
              <w:bottom w:val="nil"/>
              <w:right w:val="nil"/>
            </w:tcBorders>
            <w:shd w:val="clear" w:color="auto" w:fill="auto"/>
            <w:tcMar>
              <w:top w:w="100" w:type="dxa"/>
              <w:left w:w="100" w:type="dxa"/>
              <w:bottom w:w="100" w:type="dxa"/>
              <w:right w:w="100" w:type="dxa"/>
            </w:tcMar>
          </w:tcPr>
          <w:p w14:paraId="69A12697"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66525EA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0.077</w:t>
            </w:r>
          </w:p>
        </w:tc>
        <w:tc>
          <w:tcPr>
            <w:tcW w:w="450" w:type="dxa"/>
            <w:tcBorders>
              <w:top w:val="nil"/>
              <w:left w:val="nil"/>
              <w:bottom w:val="nil"/>
              <w:right w:val="nil"/>
            </w:tcBorders>
            <w:shd w:val="clear" w:color="auto" w:fill="auto"/>
            <w:tcMar>
              <w:top w:w="100" w:type="dxa"/>
              <w:left w:w="100" w:type="dxa"/>
              <w:bottom w:w="100" w:type="dxa"/>
              <w:right w:w="100" w:type="dxa"/>
            </w:tcMar>
          </w:tcPr>
          <w:p w14:paraId="0105E073"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59803C98"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0.025</w:t>
            </w:r>
          </w:p>
        </w:tc>
        <w:tc>
          <w:tcPr>
            <w:tcW w:w="405" w:type="dxa"/>
            <w:tcBorders>
              <w:top w:val="nil"/>
              <w:left w:val="nil"/>
              <w:bottom w:val="nil"/>
              <w:right w:val="nil"/>
            </w:tcBorders>
            <w:shd w:val="clear" w:color="auto" w:fill="auto"/>
            <w:tcMar>
              <w:top w:w="100" w:type="dxa"/>
              <w:left w:w="100" w:type="dxa"/>
              <w:bottom w:w="100" w:type="dxa"/>
              <w:right w:w="100" w:type="dxa"/>
            </w:tcMar>
          </w:tcPr>
          <w:p w14:paraId="27A1827E"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7A17D098"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3.127</w:t>
            </w:r>
          </w:p>
        </w:tc>
        <w:tc>
          <w:tcPr>
            <w:tcW w:w="750" w:type="dxa"/>
            <w:tcBorders>
              <w:top w:val="nil"/>
              <w:left w:val="nil"/>
              <w:bottom w:val="nil"/>
              <w:right w:val="nil"/>
            </w:tcBorders>
            <w:shd w:val="clear" w:color="auto" w:fill="auto"/>
            <w:tcMar>
              <w:top w:w="100" w:type="dxa"/>
              <w:left w:w="100" w:type="dxa"/>
              <w:bottom w:w="100" w:type="dxa"/>
              <w:right w:w="100" w:type="dxa"/>
            </w:tcMar>
          </w:tcPr>
          <w:p w14:paraId="7EAA599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0.002</w:t>
            </w:r>
          </w:p>
        </w:tc>
        <w:tc>
          <w:tcPr>
            <w:tcW w:w="1080" w:type="dxa"/>
            <w:tcBorders>
              <w:top w:val="nil"/>
              <w:left w:val="nil"/>
              <w:bottom w:val="nil"/>
              <w:right w:val="nil"/>
            </w:tcBorders>
            <w:shd w:val="clear" w:color="auto" w:fill="auto"/>
            <w:tcMar>
              <w:top w:w="100" w:type="dxa"/>
              <w:left w:w="100" w:type="dxa"/>
              <w:bottom w:w="100" w:type="dxa"/>
              <w:right w:w="100" w:type="dxa"/>
            </w:tcMar>
          </w:tcPr>
          <w:p w14:paraId="683BF82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0.029</w:t>
            </w:r>
          </w:p>
        </w:tc>
        <w:tc>
          <w:tcPr>
            <w:tcW w:w="240" w:type="dxa"/>
            <w:tcBorders>
              <w:top w:val="nil"/>
              <w:left w:val="nil"/>
              <w:bottom w:val="nil"/>
              <w:right w:val="nil"/>
            </w:tcBorders>
            <w:shd w:val="clear" w:color="auto" w:fill="auto"/>
            <w:tcMar>
              <w:top w:w="100" w:type="dxa"/>
              <w:left w:w="100" w:type="dxa"/>
              <w:bottom w:w="100" w:type="dxa"/>
              <w:right w:w="100" w:type="dxa"/>
            </w:tcMar>
          </w:tcPr>
          <w:p w14:paraId="5FABEB93"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6179467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0.126</w:t>
            </w:r>
          </w:p>
        </w:tc>
        <w:tc>
          <w:tcPr>
            <w:tcW w:w="240" w:type="dxa"/>
            <w:tcBorders>
              <w:top w:val="nil"/>
              <w:left w:val="nil"/>
              <w:bottom w:val="nil"/>
              <w:right w:val="nil"/>
            </w:tcBorders>
            <w:shd w:val="clear" w:color="auto" w:fill="auto"/>
            <w:tcMar>
              <w:top w:w="100" w:type="dxa"/>
              <w:left w:w="100" w:type="dxa"/>
              <w:bottom w:w="100" w:type="dxa"/>
              <w:right w:w="100" w:type="dxa"/>
            </w:tcMar>
          </w:tcPr>
          <w:p w14:paraId="0490F177" w14:textId="77777777" w:rsidR="00487CB5" w:rsidRDefault="00487CB5">
            <w:pPr>
              <w:spacing w:after="160"/>
              <w:rPr>
                <w:rFonts w:ascii="Times New Roman" w:eastAsia="Times New Roman" w:hAnsi="Times New Roman" w:cs="Times New Roman"/>
              </w:rPr>
            </w:pPr>
          </w:p>
        </w:tc>
      </w:tr>
      <w:tr w:rsidR="00487CB5" w14:paraId="4A38A6A0"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6493EDA4"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Total</w:t>
            </w:r>
          </w:p>
        </w:tc>
        <w:tc>
          <w:tcPr>
            <w:tcW w:w="525" w:type="dxa"/>
            <w:tcBorders>
              <w:top w:val="nil"/>
              <w:left w:val="nil"/>
              <w:bottom w:val="nil"/>
              <w:right w:val="nil"/>
            </w:tcBorders>
            <w:shd w:val="clear" w:color="auto" w:fill="auto"/>
            <w:tcMar>
              <w:top w:w="100" w:type="dxa"/>
              <w:left w:w="100" w:type="dxa"/>
              <w:bottom w:w="100" w:type="dxa"/>
              <w:right w:w="100" w:type="dxa"/>
            </w:tcMar>
          </w:tcPr>
          <w:p w14:paraId="1A1086F2"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E</w:t>
            </w:r>
          </w:p>
        </w:tc>
        <w:tc>
          <w:tcPr>
            <w:tcW w:w="240" w:type="dxa"/>
            <w:tcBorders>
              <w:top w:val="nil"/>
              <w:left w:val="nil"/>
              <w:bottom w:val="nil"/>
              <w:right w:val="nil"/>
            </w:tcBorders>
            <w:shd w:val="clear" w:color="auto" w:fill="auto"/>
            <w:tcMar>
              <w:top w:w="100" w:type="dxa"/>
              <w:left w:w="100" w:type="dxa"/>
              <w:bottom w:w="100" w:type="dxa"/>
              <w:right w:w="100" w:type="dxa"/>
            </w:tcMar>
          </w:tcPr>
          <w:p w14:paraId="0715A7A4"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64CCFB1E"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26CAA51C"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472CFCA3"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D</w:t>
            </w:r>
          </w:p>
        </w:tc>
        <w:tc>
          <w:tcPr>
            <w:tcW w:w="240" w:type="dxa"/>
            <w:tcBorders>
              <w:top w:val="nil"/>
              <w:left w:val="nil"/>
              <w:bottom w:val="nil"/>
              <w:right w:val="nil"/>
            </w:tcBorders>
            <w:shd w:val="clear" w:color="auto" w:fill="auto"/>
            <w:tcMar>
              <w:top w:w="100" w:type="dxa"/>
              <w:left w:w="100" w:type="dxa"/>
              <w:bottom w:w="100" w:type="dxa"/>
              <w:right w:w="100" w:type="dxa"/>
            </w:tcMar>
          </w:tcPr>
          <w:p w14:paraId="23E4CE69"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1BCF59C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0.175</w:t>
            </w:r>
          </w:p>
        </w:tc>
        <w:tc>
          <w:tcPr>
            <w:tcW w:w="450" w:type="dxa"/>
            <w:tcBorders>
              <w:top w:val="nil"/>
              <w:left w:val="nil"/>
              <w:bottom w:val="nil"/>
              <w:right w:val="nil"/>
            </w:tcBorders>
            <w:shd w:val="clear" w:color="auto" w:fill="auto"/>
            <w:tcMar>
              <w:top w:w="100" w:type="dxa"/>
              <w:left w:w="100" w:type="dxa"/>
              <w:bottom w:w="100" w:type="dxa"/>
              <w:right w:w="100" w:type="dxa"/>
            </w:tcMar>
          </w:tcPr>
          <w:p w14:paraId="7CB3F3A4"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1E96DE4E"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0.074</w:t>
            </w:r>
          </w:p>
        </w:tc>
        <w:tc>
          <w:tcPr>
            <w:tcW w:w="405" w:type="dxa"/>
            <w:tcBorders>
              <w:top w:val="nil"/>
              <w:left w:val="nil"/>
              <w:bottom w:val="nil"/>
              <w:right w:val="nil"/>
            </w:tcBorders>
            <w:shd w:val="clear" w:color="auto" w:fill="auto"/>
            <w:tcMar>
              <w:top w:w="100" w:type="dxa"/>
              <w:left w:w="100" w:type="dxa"/>
              <w:bottom w:w="100" w:type="dxa"/>
              <w:right w:w="100" w:type="dxa"/>
            </w:tcMar>
          </w:tcPr>
          <w:p w14:paraId="1CDB1667"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1BF72C83"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2.359</w:t>
            </w:r>
          </w:p>
        </w:tc>
        <w:tc>
          <w:tcPr>
            <w:tcW w:w="750" w:type="dxa"/>
            <w:tcBorders>
              <w:top w:val="nil"/>
              <w:left w:val="nil"/>
              <w:bottom w:val="nil"/>
              <w:right w:val="nil"/>
            </w:tcBorders>
            <w:shd w:val="clear" w:color="auto" w:fill="auto"/>
            <w:tcMar>
              <w:top w:w="100" w:type="dxa"/>
              <w:left w:w="100" w:type="dxa"/>
              <w:bottom w:w="100" w:type="dxa"/>
              <w:right w:w="100" w:type="dxa"/>
            </w:tcMar>
          </w:tcPr>
          <w:p w14:paraId="74734ED1"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0.018</w:t>
            </w:r>
          </w:p>
        </w:tc>
        <w:tc>
          <w:tcPr>
            <w:tcW w:w="1080" w:type="dxa"/>
            <w:tcBorders>
              <w:top w:val="nil"/>
              <w:left w:val="nil"/>
              <w:bottom w:val="nil"/>
              <w:right w:val="nil"/>
            </w:tcBorders>
            <w:shd w:val="clear" w:color="auto" w:fill="auto"/>
            <w:tcMar>
              <w:top w:w="100" w:type="dxa"/>
              <w:left w:w="100" w:type="dxa"/>
              <w:bottom w:w="100" w:type="dxa"/>
              <w:right w:w="100" w:type="dxa"/>
            </w:tcMar>
          </w:tcPr>
          <w:p w14:paraId="06A38EBB"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0.030</w:t>
            </w:r>
          </w:p>
        </w:tc>
        <w:tc>
          <w:tcPr>
            <w:tcW w:w="240" w:type="dxa"/>
            <w:tcBorders>
              <w:top w:val="nil"/>
              <w:left w:val="nil"/>
              <w:bottom w:val="nil"/>
              <w:right w:val="nil"/>
            </w:tcBorders>
            <w:shd w:val="clear" w:color="auto" w:fill="auto"/>
            <w:tcMar>
              <w:top w:w="100" w:type="dxa"/>
              <w:left w:w="100" w:type="dxa"/>
              <w:bottom w:w="100" w:type="dxa"/>
              <w:right w:w="100" w:type="dxa"/>
            </w:tcMar>
          </w:tcPr>
          <w:p w14:paraId="4BA75780"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6DD4B2D9"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0.320</w:t>
            </w:r>
          </w:p>
        </w:tc>
        <w:tc>
          <w:tcPr>
            <w:tcW w:w="240" w:type="dxa"/>
            <w:tcBorders>
              <w:top w:val="nil"/>
              <w:left w:val="nil"/>
              <w:bottom w:val="nil"/>
              <w:right w:val="nil"/>
            </w:tcBorders>
            <w:shd w:val="clear" w:color="auto" w:fill="auto"/>
            <w:tcMar>
              <w:top w:w="100" w:type="dxa"/>
              <w:left w:w="100" w:type="dxa"/>
              <w:bottom w:w="100" w:type="dxa"/>
              <w:right w:w="100" w:type="dxa"/>
            </w:tcMar>
          </w:tcPr>
          <w:p w14:paraId="13DE1783" w14:textId="77777777" w:rsidR="00487CB5" w:rsidRDefault="00487CB5">
            <w:pPr>
              <w:spacing w:after="160"/>
              <w:rPr>
                <w:rFonts w:ascii="Times New Roman" w:eastAsia="Times New Roman" w:hAnsi="Times New Roman" w:cs="Times New Roman"/>
              </w:rPr>
            </w:pPr>
          </w:p>
        </w:tc>
      </w:tr>
      <w:tr w:rsidR="00487CB5" w14:paraId="5D497A75" w14:textId="77777777">
        <w:trPr>
          <w:trHeight w:val="245"/>
        </w:trPr>
        <w:tc>
          <w:tcPr>
            <w:tcW w:w="915" w:type="dxa"/>
            <w:tcBorders>
              <w:top w:val="nil"/>
              <w:left w:val="nil"/>
              <w:bottom w:val="single" w:sz="12" w:space="0" w:color="000000"/>
              <w:right w:val="nil"/>
            </w:tcBorders>
            <w:shd w:val="clear" w:color="auto" w:fill="auto"/>
            <w:tcMar>
              <w:top w:w="100" w:type="dxa"/>
              <w:left w:w="100" w:type="dxa"/>
              <w:bottom w:w="100" w:type="dxa"/>
              <w:right w:w="100" w:type="dxa"/>
            </w:tcMar>
          </w:tcPr>
          <w:p w14:paraId="7A5D1E24" w14:textId="77777777" w:rsidR="00487CB5" w:rsidRDefault="00487CB5">
            <w:pPr>
              <w:spacing w:after="160"/>
              <w:jc w:val="right"/>
              <w:rPr>
                <w:rFonts w:ascii="Times New Roman" w:eastAsia="Times New Roman" w:hAnsi="Times New Roman" w:cs="Times New Roman"/>
              </w:rPr>
            </w:pPr>
          </w:p>
        </w:tc>
        <w:tc>
          <w:tcPr>
            <w:tcW w:w="8865" w:type="dxa"/>
            <w:gridSpan w:val="16"/>
            <w:tcBorders>
              <w:top w:val="nil"/>
              <w:left w:val="nil"/>
              <w:bottom w:val="single" w:sz="12" w:space="0" w:color="000000"/>
              <w:right w:val="nil"/>
            </w:tcBorders>
            <w:shd w:val="clear" w:color="auto" w:fill="auto"/>
            <w:tcMar>
              <w:top w:w="100" w:type="dxa"/>
              <w:left w:w="100" w:type="dxa"/>
              <w:bottom w:w="100" w:type="dxa"/>
              <w:right w:w="100" w:type="dxa"/>
            </w:tcMar>
          </w:tcPr>
          <w:p w14:paraId="615A38FF" w14:textId="77777777" w:rsidR="00487CB5" w:rsidRDefault="00487CB5">
            <w:pPr>
              <w:spacing w:after="160"/>
              <w:jc w:val="right"/>
              <w:rPr>
                <w:rFonts w:ascii="Times New Roman" w:eastAsia="Times New Roman" w:hAnsi="Times New Roman" w:cs="Times New Roman"/>
              </w:rPr>
            </w:pPr>
          </w:p>
        </w:tc>
      </w:tr>
      <w:tr w:rsidR="00487CB5" w14:paraId="6E54C6A5"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66EBC2F4" w14:textId="77777777" w:rsidR="00487CB5" w:rsidRDefault="00487CB5">
            <w:pPr>
              <w:spacing w:after="160"/>
              <w:rPr>
                <w:rFonts w:ascii="Times New Roman" w:eastAsia="Times New Roman" w:hAnsi="Times New Roman" w:cs="Times New Roman"/>
              </w:rPr>
            </w:pPr>
          </w:p>
        </w:tc>
        <w:tc>
          <w:tcPr>
            <w:tcW w:w="8865" w:type="dxa"/>
            <w:gridSpan w:val="16"/>
            <w:tcBorders>
              <w:top w:val="nil"/>
              <w:left w:val="nil"/>
              <w:bottom w:val="nil"/>
              <w:right w:val="nil"/>
            </w:tcBorders>
            <w:shd w:val="clear" w:color="auto" w:fill="auto"/>
            <w:tcMar>
              <w:top w:w="100" w:type="dxa"/>
              <w:left w:w="100" w:type="dxa"/>
              <w:bottom w:w="100" w:type="dxa"/>
              <w:right w:w="100" w:type="dxa"/>
            </w:tcMar>
          </w:tcPr>
          <w:p w14:paraId="7DA2EC6B"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Note.  Delta method standard errors, normal theory confidence intervals, ML estimator.</w:t>
            </w:r>
          </w:p>
        </w:tc>
      </w:tr>
    </w:tbl>
    <w:p w14:paraId="455598DC" w14:textId="77777777" w:rsidR="00487CB5" w:rsidRDefault="00487CB5">
      <w:pPr>
        <w:spacing w:after="160"/>
        <w:rPr>
          <w:rFonts w:ascii="Times New Roman" w:eastAsia="Times New Roman" w:hAnsi="Times New Roman" w:cs="Times New Roman"/>
          <w:b/>
        </w:rPr>
      </w:pPr>
    </w:p>
    <w:p w14:paraId="7FD5FF91" w14:textId="77777777" w:rsidR="00487CB5" w:rsidRDefault="00487CB5">
      <w:pPr>
        <w:rPr>
          <w:rFonts w:ascii="Times New Roman" w:eastAsia="Times New Roman" w:hAnsi="Times New Roman" w:cs="Times New Roman"/>
        </w:rPr>
      </w:pPr>
    </w:p>
    <w:p w14:paraId="4FBA6119" w14:textId="77777777" w:rsidR="00487CB5" w:rsidRDefault="002B62DD">
      <w:pPr>
        <w:spacing w:after="120"/>
        <w:jc w:val="both"/>
        <w:rPr>
          <w:rFonts w:ascii="Times New Roman" w:eastAsia="Times New Roman" w:hAnsi="Times New Roman" w:cs="Times New Roman"/>
          <w:highlight w:val="white"/>
        </w:rPr>
      </w:pPr>
      <w:r>
        <w:rPr>
          <w:rFonts w:ascii="Times New Roman" w:eastAsia="Times New Roman" w:hAnsi="Times New Roman" w:cs="Times New Roman"/>
          <w:b/>
        </w:rPr>
        <w:t>(E-G-C)</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(e₃.₁ - e₃.₂) </w:t>
      </w:r>
      <w:r>
        <w:rPr>
          <w:rFonts w:ascii="Times New Roman" w:eastAsia="Times New Roman" w:hAnsi="Times New Roman" w:cs="Times New Roman"/>
          <w:highlight w:val="white"/>
        </w:rPr>
        <w:t xml:space="preserve">Multiple regression was used to test the mediation model. Table </w:t>
      </w:r>
      <w:r>
        <w:rPr>
          <w:rFonts w:ascii="Times New Roman" w:eastAsia="Times New Roman" w:hAnsi="Times New Roman" w:cs="Times New Roman"/>
          <w:b/>
          <w:highlight w:val="white"/>
        </w:rPr>
        <w:t>15</w:t>
      </w:r>
      <w:r>
        <w:rPr>
          <w:rFonts w:ascii="Times New Roman" w:eastAsia="Times New Roman" w:hAnsi="Times New Roman" w:cs="Times New Roman"/>
          <w:highlight w:val="white"/>
        </w:rPr>
        <w:t xml:space="preserve"> reveals that </w:t>
      </w:r>
      <w:r>
        <w:rPr>
          <w:rFonts w:ascii="Times New Roman" w:eastAsia="Times New Roman" w:hAnsi="Times New Roman" w:cs="Times New Roman"/>
        </w:rPr>
        <w:t xml:space="preserve">(e.) </w:t>
      </w:r>
      <w:r>
        <w:rPr>
          <w:rFonts w:ascii="Times New Roman" w:eastAsia="Times New Roman" w:hAnsi="Times New Roman" w:cs="Times New Roman"/>
          <w:b/>
        </w:rPr>
        <w:t>Alternative Evaluation</w:t>
      </w:r>
      <w:r>
        <w:rPr>
          <w:rFonts w:ascii="Times New Roman" w:eastAsia="Times New Roman" w:hAnsi="Times New Roman" w:cs="Times New Roman"/>
        </w:rPr>
        <w:t>,</w:t>
      </w:r>
      <w:r>
        <w:rPr>
          <w:rFonts w:ascii="Times New Roman" w:eastAsia="Times New Roman" w:hAnsi="Times New Roman" w:cs="Times New Roman"/>
          <w:highlight w:val="white"/>
        </w:rPr>
        <w:t xml:space="preserve"> positively predicts </w:t>
      </w:r>
      <w:r>
        <w:rPr>
          <w:rFonts w:ascii="Times New Roman" w:eastAsia="Times New Roman" w:hAnsi="Times New Roman" w:cs="Times New Roman"/>
        </w:rPr>
        <w:t xml:space="preserve">(c.) </w:t>
      </w:r>
      <w:r>
        <w:rPr>
          <w:rFonts w:ascii="Times New Roman" w:eastAsia="Times New Roman" w:hAnsi="Times New Roman" w:cs="Times New Roman"/>
          <w:b/>
        </w:rPr>
        <w:t>Green Purchase</w:t>
      </w:r>
      <w:r>
        <w:rPr>
          <w:rFonts w:ascii="Times New Roman" w:eastAsia="Times New Roman" w:hAnsi="Times New Roman" w:cs="Times New Roman"/>
          <w:highlight w:val="white"/>
        </w:rPr>
        <w:t xml:space="preserve">, ß = .097 (95% CI: 0.042, 0.153), z=3.426, p&lt;.001. Furthermore, </w:t>
      </w:r>
      <w:r>
        <w:rPr>
          <w:rFonts w:ascii="Times New Roman" w:eastAsia="Times New Roman" w:hAnsi="Times New Roman" w:cs="Times New Roman"/>
        </w:rPr>
        <w:t xml:space="preserve">(g.) </w:t>
      </w:r>
      <w:r>
        <w:rPr>
          <w:rFonts w:ascii="Times New Roman" w:eastAsia="Times New Roman" w:hAnsi="Times New Roman" w:cs="Times New Roman"/>
          <w:b/>
        </w:rPr>
        <w:t xml:space="preserve">Consumer </w:t>
      </w:r>
      <w:proofErr w:type="spellStart"/>
      <w:r>
        <w:rPr>
          <w:rFonts w:ascii="Times New Roman" w:eastAsia="Times New Roman" w:hAnsi="Times New Roman" w:cs="Times New Roman"/>
          <w:b/>
        </w:rPr>
        <w:t>Skepticism</w:t>
      </w:r>
      <w:proofErr w:type="spellEnd"/>
      <w:r>
        <w:rPr>
          <w:rFonts w:ascii="Times New Roman" w:eastAsia="Times New Roman" w:hAnsi="Times New Roman" w:cs="Times New Roman"/>
          <w:highlight w:val="white"/>
        </w:rPr>
        <w:t xml:space="preserve"> significantly mediates this relationship, ß= 0.021 (95% CI: 0.004, 0.037), z=2.445, p = 0.014. It is estimated that </w:t>
      </w:r>
      <w:r>
        <w:rPr>
          <w:rFonts w:ascii="Times New Roman" w:eastAsia="Times New Roman" w:hAnsi="Times New Roman" w:cs="Times New Roman"/>
        </w:rPr>
        <w:t xml:space="preserve">(g.) </w:t>
      </w:r>
      <w:r>
        <w:rPr>
          <w:rFonts w:ascii="Times New Roman" w:eastAsia="Times New Roman" w:hAnsi="Times New Roman" w:cs="Times New Roman"/>
          <w:b/>
        </w:rPr>
        <w:t xml:space="preserve">Consumer </w:t>
      </w:r>
      <w:proofErr w:type="spellStart"/>
      <w:r>
        <w:rPr>
          <w:rFonts w:ascii="Times New Roman" w:eastAsia="Times New Roman" w:hAnsi="Times New Roman" w:cs="Times New Roman"/>
          <w:b/>
        </w:rPr>
        <w:t>Skepticism</w:t>
      </w:r>
      <w:proofErr w:type="spellEnd"/>
      <w:r>
        <w:rPr>
          <w:rFonts w:ascii="Times New Roman" w:eastAsia="Times New Roman" w:hAnsi="Times New Roman" w:cs="Times New Roman"/>
          <w:highlight w:val="white"/>
        </w:rPr>
        <w:t xml:space="preserve"> accounts for 22 % of (</w:t>
      </w:r>
      <w:r>
        <w:rPr>
          <w:rFonts w:ascii="Times New Roman" w:eastAsia="Times New Roman" w:hAnsi="Times New Roman" w:cs="Times New Roman"/>
        </w:rPr>
        <w:t xml:space="preserve">e.) </w:t>
      </w:r>
      <w:r>
        <w:rPr>
          <w:rFonts w:ascii="Times New Roman" w:eastAsia="Times New Roman" w:hAnsi="Times New Roman" w:cs="Times New Roman"/>
          <w:b/>
        </w:rPr>
        <w:t>Alternative Evaluation</w:t>
      </w:r>
      <w:r>
        <w:rPr>
          <w:rFonts w:ascii="Times New Roman" w:eastAsia="Times New Roman" w:hAnsi="Times New Roman" w:cs="Times New Roman"/>
        </w:rPr>
        <w:t xml:space="preserve">’ Effect on (c.) </w:t>
      </w:r>
      <w:proofErr w:type="spellStart"/>
      <w:r>
        <w:rPr>
          <w:rFonts w:ascii="Times New Roman" w:eastAsia="Times New Roman" w:hAnsi="Times New Roman" w:cs="Times New Roman"/>
          <w:b/>
        </w:rPr>
        <w:t>GreenPurchase</w:t>
      </w:r>
      <w:proofErr w:type="spellEnd"/>
      <w:r>
        <w:rPr>
          <w:rFonts w:ascii="Times New Roman" w:eastAsia="Times New Roman" w:hAnsi="Times New Roman" w:cs="Times New Roman"/>
          <w:highlight w:val="white"/>
        </w:rPr>
        <w:t>. Nevertheless, (</w:t>
      </w:r>
      <w:r>
        <w:rPr>
          <w:rFonts w:ascii="Times New Roman" w:eastAsia="Times New Roman" w:hAnsi="Times New Roman" w:cs="Times New Roman"/>
        </w:rPr>
        <w:t xml:space="preserve">e.) </w:t>
      </w:r>
      <w:r>
        <w:rPr>
          <w:rFonts w:ascii="Times New Roman" w:eastAsia="Times New Roman" w:hAnsi="Times New Roman" w:cs="Times New Roman"/>
          <w:b/>
        </w:rPr>
        <w:t>Alte]]]]]</w:t>
      </w:r>
      <w:proofErr w:type="gramStart"/>
      <w:r>
        <w:rPr>
          <w:rFonts w:ascii="Times New Roman" w:eastAsia="Times New Roman" w:hAnsi="Times New Roman" w:cs="Times New Roman"/>
          <w:b/>
        </w:rPr>
        <w:t>]]</w:t>
      </w:r>
      <w:proofErr w:type="spellStart"/>
      <w:r>
        <w:rPr>
          <w:rFonts w:ascii="Times New Roman" w:eastAsia="Times New Roman" w:hAnsi="Times New Roman" w:cs="Times New Roman"/>
          <w:b/>
        </w:rPr>
        <w:t>rnative</w:t>
      </w:r>
      <w:proofErr w:type="spellEnd"/>
      <w:proofErr w:type="gramEnd"/>
      <w:r>
        <w:rPr>
          <w:rFonts w:ascii="Times New Roman" w:eastAsia="Times New Roman" w:hAnsi="Times New Roman" w:cs="Times New Roman"/>
          <w:b/>
        </w:rPr>
        <w:t xml:space="preserve"> Evaluation</w:t>
      </w:r>
      <w:r>
        <w:rPr>
          <w:rFonts w:ascii="Times New Roman" w:eastAsia="Times New Roman" w:hAnsi="Times New Roman" w:cs="Times New Roman"/>
          <w:highlight w:val="white"/>
        </w:rPr>
        <w:t xml:space="preserve"> still has a significant positive direct effect, ß= 0.076 (95% CI: 0.020, 0.133), z = 2.641, p = 0.008. (H 9.3)</w:t>
      </w:r>
    </w:p>
    <w:p w14:paraId="3C2BED00" w14:textId="77777777" w:rsidR="00487CB5" w:rsidRDefault="00487CB5">
      <w:pPr>
        <w:spacing w:after="120"/>
        <w:ind w:left="720"/>
        <w:jc w:val="both"/>
        <w:rPr>
          <w:rFonts w:ascii="Times New Roman" w:eastAsia="Times New Roman" w:hAnsi="Times New Roman" w:cs="Times New Roman"/>
          <w:highlight w:val="white"/>
        </w:rPr>
      </w:pPr>
    </w:p>
    <w:p w14:paraId="7C2FE892" w14:textId="77777777" w:rsidR="00487CB5" w:rsidRDefault="00487CB5">
      <w:pPr>
        <w:spacing w:after="160"/>
        <w:rPr>
          <w:rFonts w:ascii="Times New Roman" w:eastAsia="Times New Roman" w:hAnsi="Times New Roman" w:cs="Times New Roman"/>
        </w:rPr>
      </w:pPr>
    </w:p>
    <w:tbl>
      <w:tblPr>
        <w:tblStyle w:val="ad"/>
        <w:tblW w:w="9780" w:type="dxa"/>
        <w:tblInd w:w="-632" w:type="dxa"/>
        <w:tblBorders>
          <w:top w:val="nil"/>
          <w:left w:val="nil"/>
          <w:bottom w:val="nil"/>
          <w:right w:val="nil"/>
          <w:insideH w:val="nil"/>
          <w:insideV w:val="nil"/>
        </w:tblBorders>
        <w:tblLayout w:type="fixed"/>
        <w:tblLook w:val="0600" w:firstRow="0" w:lastRow="0" w:firstColumn="0" w:lastColumn="0" w:noHBand="1" w:noVBand="1"/>
      </w:tblPr>
      <w:tblGrid>
        <w:gridCol w:w="915"/>
        <w:gridCol w:w="525"/>
        <w:gridCol w:w="240"/>
        <w:gridCol w:w="345"/>
        <w:gridCol w:w="240"/>
        <w:gridCol w:w="720"/>
        <w:gridCol w:w="240"/>
        <w:gridCol w:w="810"/>
        <w:gridCol w:w="450"/>
        <w:gridCol w:w="690"/>
        <w:gridCol w:w="405"/>
        <w:gridCol w:w="840"/>
        <w:gridCol w:w="750"/>
        <w:gridCol w:w="1080"/>
        <w:gridCol w:w="240"/>
        <w:gridCol w:w="1050"/>
        <w:gridCol w:w="240"/>
      </w:tblGrid>
      <w:tr w:rsidR="00487CB5" w14:paraId="3035E5E4" w14:textId="77777777">
        <w:trPr>
          <w:trHeight w:val="515"/>
        </w:trPr>
        <w:tc>
          <w:tcPr>
            <w:tcW w:w="915" w:type="dxa"/>
            <w:tcBorders>
              <w:top w:val="nil"/>
              <w:left w:val="nil"/>
              <w:bottom w:val="single" w:sz="6" w:space="0" w:color="000000"/>
              <w:right w:val="nil"/>
            </w:tcBorders>
            <w:tcMar>
              <w:top w:w="100" w:type="dxa"/>
              <w:left w:w="100" w:type="dxa"/>
              <w:bottom w:w="100" w:type="dxa"/>
              <w:right w:w="100" w:type="dxa"/>
            </w:tcMar>
          </w:tcPr>
          <w:p w14:paraId="54FA257E" w14:textId="77777777" w:rsidR="00487CB5" w:rsidRDefault="00487CB5">
            <w:pPr>
              <w:spacing w:after="160"/>
              <w:rPr>
                <w:rFonts w:ascii="Times New Roman" w:eastAsia="Times New Roman" w:hAnsi="Times New Roman" w:cs="Times New Roman"/>
                <w:b/>
              </w:rPr>
            </w:pPr>
          </w:p>
        </w:tc>
        <w:tc>
          <w:tcPr>
            <w:tcW w:w="8865" w:type="dxa"/>
            <w:gridSpan w:val="16"/>
            <w:tcBorders>
              <w:top w:val="nil"/>
              <w:left w:val="nil"/>
              <w:bottom w:val="single" w:sz="6" w:space="0" w:color="000000"/>
              <w:right w:val="nil"/>
            </w:tcBorders>
            <w:tcMar>
              <w:top w:w="100" w:type="dxa"/>
              <w:left w:w="100" w:type="dxa"/>
              <w:bottom w:w="100" w:type="dxa"/>
              <w:right w:w="100" w:type="dxa"/>
            </w:tcMar>
          </w:tcPr>
          <w:p w14:paraId="1B7D47BD"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b/>
              </w:rPr>
              <w:t xml:space="preserve">TABLE 15. </w:t>
            </w:r>
            <w:r>
              <w:rPr>
                <w:rFonts w:ascii="Times New Roman" w:eastAsia="Times New Roman" w:hAnsi="Times New Roman" w:cs="Times New Roman"/>
              </w:rPr>
              <w:t>Results of Mediation Analysis (E-G-C)</w:t>
            </w:r>
          </w:p>
        </w:tc>
      </w:tr>
      <w:tr w:rsidR="00487CB5" w14:paraId="4D522A8F"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1EC13991" w14:textId="77777777" w:rsidR="00487CB5" w:rsidRDefault="00487CB5">
            <w:pPr>
              <w:spacing w:after="160"/>
              <w:jc w:val="center"/>
              <w:rPr>
                <w:rFonts w:ascii="Times New Roman" w:eastAsia="Times New Roman" w:hAnsi="Times New Roman" w:cs="Times New Roman"/>
              </w:rPr>
            </w:pPr>
          </w:p>
        </w:tc>
        <w:tc>
          <w:tcPr>
            <w:tcW w:w="6255" w:type="dxa"/>
            <w:gridSpan w:val="12"/>
            <w:tcBorders>
              <w:top w:val="nil"/>
              <w:left w:val="nil"/>
              <w:bottom w:val="nil"/>
              <w:right w:val="nil"/>
            </w:tcBorders>
            <w:shd w:val="clear" w:color="auto" w:fill="auto"/>
            <w:tcMar>
              <w:top w:w="100" w:type="dxa"/>
              <w:left w:w="100" w:type="dxa"/>
              <w:bottom w:w="100" w:type="dxa"/>
              <w:right w:w="100" w:type="dxa"/>
            </w:tcMar>
          </w:tcPr>
          <w:p w14:paraId="75CA2C11" w14:textId="77777777" w:rsidR="00487CB5" w:rsidRDefault="00487CB5">
            <w:pPr>
              <w:spacing w:after="160"/>
              <w:jc w:val="center"/>
              <w:rPr>
                <w:rFonts w:ascii="Times New Roman" w:eastAsia="Times New Roman" w:hAnsi="Times New Roman" w:cs="Times New Roman"/>
              </w:rPr>
            </w:pPr>
          </w:p>
        </w:tc>
        <w:tc>
          <w:tcPr>
            <w:tcW w:w="2610"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68097173"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95% Confidence Interval</w:t>
            </w:r>
          </w:p>
        </w:tc>
      </w:tr>
      <w:tr w:rsidR="00487CB5" w14:paraId="4542524B" w14:textId="77777777">
        <w:trPr>
          <w:trHeight w:val="515"/>
        </w:trPr>
        <w:tc>
          <w:tcPr>
            <w:tcW w:w="915" w:type="dxa"/>
            <w:tcBorders>
              <w:top w:val="nil"/>
              <w:left w:val="nil"/>
              <w:bottom w:val="single" w:sz="6" w:space="0" w:color="000000"/>
              <w:right w:val="nil"/>
            </w:tcBorders>
            <w:shd w:val="clear" w:color="auto" w:fill="auto"/>
            <w:tcMar>
              <w:top w:w="100" w:type="dxa"/>
              <w:left w:w="100" w:type="dxa"/>
              <w:bottom w:w="100" w:type="dxa"/>
              <w:right w:w="100" w:type="dxa"/>
            </w:tcMar>
          </w:tcPr>
          <w:p w14:paraId="64378B5C" w14:textId="77777777" w:rsidR="00487CB5" w:rsidRDefault="002B62DD">
            <w:pPr>
              <w:spacing w:after="160"/>
              <w:rPr>
                <w:rFonts w:ascii="Times New Roman" w:eastAsia="Times New Roman" w:hAnsi="Times New Roman" w:cs="Times New Roman"/>
                <w:b/>
              </w:rPr>
            </w:pPr>
            <w:r>
              <w:rPr>
                <w:rFonts w:ascii="Times New Roman" w:eastAsia="Times New Roman" w:hAnsi="Times New Roman" w:cs="Times New Roman"/>
                <w:b/>
              </w:rPr>
              <w:t>Effect</w:t>
            </w:r>
          </w:p>
        </w:tc>
        <w:tc>
          <w:tcPr>
            <w:tcW w:w="76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41EA3957"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545" w:type="dxa"/>
            <w:gridSpan w:val="4"/>
            <w:tcBorders>
              <w:top w:val="nil"/>
              <w:left w:val="nil"/>
              <w:bottom w:val="single" w:sz="6" w:space="0" w:color="000000"/>
              <w:right w:val="nil"/>
            </w:tcBorders>
            <w:shd w:val="clear" w:color="auto" w:fill="auto"/>
            <w:tcMar>
              <w:top w:w="100" w:type="dxa"/>
              <w:left w:w="100" w:type="dxa"/>
              <w:bottom w:w="100" w:type="dxa"/>
              <w:right w:w="100" w:type="dxa"/>
            </w:tcMar>
          </w:tcPr>
          <w:p w14:paraId="51A68E2E"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126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7DA950CD"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Estimate (</w:t>
            </w:r>
            <w:r>
              <w:rPr>
                <w:rFonts w:ascii="Times New Roman" w:eastAsia="Times New Roman" w:hAnsi="Times New Roman" w:cs="Times New Roman"/>
                <w:highlight w:val="white"/>
              </w:rPr>
              <w:t>ß</w:t>
            </w:r>
            <w:r>
              <w:rPr>
                <w:rFonts w:ascii="Times New Roman" w:eastAsia="Times New Roman" w:hAnsi="Times New Roman" w:cs="Times New Roman"/>
                <w:b/>
              </w:rPr>
              <w:t>)</w:t>
            </w:r>
          </w:p>
        </w:tc>
        <w:tc>
          <w:tcPr>
            <w:tcW w:w="1095"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638DBD5C"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Std. Error</w:t>
            </w:r>
          </w:p>
        </w:tc>
        <w:tc>
          <w:tcPr>
            <w:tcW w:w="840" w:type="dxa"/>
            <w:tcBorders>
              <w:top w:val="nil"/>
              <w:left w:val="nil"/>
              <w:bottom w:val="single" w:sz="6" w:space="0" w:color="000000"/>
              <w:right w:val="nil"/>
            </w:tcBorders>
            <w:shd w:val="clear" w:color="auto" w:fill="auto"/>
            <w:tcMar>
              <w:top w:w="100" w:type="dxa"/>
              <w:left w:w="100" w:type="dxa"/>
              <w:bottom w:w="100" w:type="dxa"/>
              <w:right w:w="100" w:type="dxa"/>
            </w:tcMar>
          </w:tcPr>
          <w:p w14:paraId="4FA65A0C"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z-value</w:t>
            </w:r>
          </w:p>
        </w:tc>
        <w:tc>
          <w:tcPr>
            <w:tcW w:w="750" w:type="dxa"/>
            <w:tcBorders>
              <w:top w:val="nil"/>
              <w:left w:val="nil"/>
              <w:bottom w:val="single" w:sz="6" w:space="0" w:color="000000"/>
              <w:right w:val="nil"/>
            </w:tcBorders>
            <w:shd w:val="clear" w:color="auto" w:fill="auto"/>
            <w:tcMar>
              <w:top w:w="100" w:type="dxa"/>
              <w:left w:w="100" w:type="dxa"/>
              <w:bottom w:w="100" w:type="dxa"/>
              <w:right w:w="100" w:type="dxa"/>
            </w:tcMar>
          </w:tcPr>
          <w:p w14:paraId="3BD96037"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p</w:t>
            </w:r>
          </w:p>
        </w:tc>
        <w:tc>
          <w:tcPr>
            <w:tcW w:w="132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1D4D005D"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Lower</w:t>
            </w:r>
          </w:p>
        </w:tc>
        <w:tc>
          <w:tcPr>
            <w:tcW w:w="1290" w:type="dxa"/>
            <w:gridSpan w:val="2"/>
            <w:tcBorders>
              <w:top w:val="nil"/>
              <w:left w:val="nil"/>
              <w:bottom w:val="single" w:sz="6" w:space="0" w:color="000000"/>
              <w:right w:val="nil"/>
            </w:tcBorders>
            <w:shd w:val="clear" w:color="auto" w:fill="auto"/>
            <w:tcMar>
              <w:top w:w="100" w:type="dxa"/>
              <w:left w:w="100" w:type="dxa"/>
              <w:bottom w:w="100" w:type="dxa"/>
              <w:right w:w="100" w:type="dxa"/>
            </w:tcMar>
          </w:tcPr>
          <w:p w14:paraId="2E13B638" w14:textId="77777777" w:rsidR="00487CB5" w:rsidRDefault="002B62DD">
            <w:pPr>
              <w:spacing w:after="160"/>
              <w:jc w:val="center"/>
              <w:rPr>
                <w:rFonts w:ascii="Times New Roman" w:eastAsia="Times New Roman" w:hAnsi="Times New Roman" w:cs="Times New Roman"/>
              </w:rPr>
            </w:pPr>
            <w:r>
              <w:rPr>
                <w:rFonts w:ascii="Times New Roman" w:eastAsia="Times New Roman" w:hAnsi="Times New Roman" w:cs="Times New Roman"/>
                <w:b/>
              </w:rPr>
              <w:t>Upper</w:t>
            </w:r>
          </w:p>
        </w:tc>
      </w:tr>
      <w:tr w:rsidR="00487CB5" w14:paraId="37F0E253"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1C5BD9D2"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Direct</w:t>
            </w:r>
          </w:p>
        </w:tc>
        <w:tc>
          <w:tcPr>
            <w:tcW w:w="525" w:type="dxa"/>
            <w:tcBorders>
              <w:top w:val="nil"/>
              <w:left w:val="nil"/>
              <w:bottom w:val="nil"/>
              <w:right w:val="nil"/>
            </w:tcBorders>
            <w:shd w:val="clear" w:color="auto" w:fill="auto"/>
            <w:tcMar>
              <w:top w:w="100" w:type="dxa"/>
              <w:left w:w="100" w:type="dxa"/>
              <w:bottom w:w="100" w:type="dxa"/>
              <w:right w:w="100" w:type="dxa"/>
            </w:tcMar>
          </w:tcPr>
          <w:p w14:paraId="0AC00736"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E</w:t>
            </w:r>
          </w:p>
        </w:tc>
        <w:tc>
          <w:tcPr>
            <w:tcW w:w="240" w:type="dxa"/>
            <w:tcBorders>
              <w:top w:val="nil"/>
              <w:left w:val="nil"/>
              <w:bottom w:val="nil"/>
              <w:right w:val="nil"/>
            </w:tcBorders>
            <w:shd w:val="clear" w:color="auto" w:fill="auto"/>
            <w:tcMar>
              <w:top w:w="100" w:type="dxa"/>
              <w:left w:w="100" w:type="dxa"/>
              <w:bottom w:w="100" w:type="dxa"/>
              <w:right w:w="100" w:type="dxa"/>
            </w:tcMar>
          </w:tcPr>
          <w:p w14:paraId="03E165C2"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79096D5C"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79B550DD"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3BEC2499"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C</w:t>
            </w:r>
          </w:p>
        </w:tc>
        <w:tc>
          <w:tcPr>
            <w:tcW w:w="240" w:type="dxa"/>
            <w:tcBorders>
              <w:top w:val="nil"/>
              <w:left w:val="nil"/>
              <w:bottom w:val="nil"/>
              <w:right w:val="nil"/>
            </w:tcBorders>
            <w:shd w:val="clear" w:color="auto" w:fill="auto"/>
            <w:tcMar>
              <w:top w:w="100" w:type="dxa"/>
              <w:left w:w="100" w:type="dxa"/>
              <w:bottom w:w="100" w:type="dxa"/>
              <w:right w:w="100" w:type="dxa"/>
            </w:tcMar>
          </w:tcPr>
          <w:p w14:paraId="6D44D43A"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048E9C53"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0.076</w:t>
            </w:r>
          </w:p>
        </w:tc>
        <w:tc>
          <w:tcPr>
            <w:tcW w:w="450" w:type="dxa"/>
            <w:tcBorders>
              <w:top w:val="nil"/>
              <w:left w:val="nil"/>
              <w:bottom w:val="nil"/>
              <w:right w:val="nil"/>
            </w:tcBorders>
            <w:shd w:val="clear" w:color="auto" w:fill="auto"/>
            <w:tcMar>
              <w:top w:w="100" w:type="dxa"/>
              <w:left w:w="100" w:type="dxa"/>
              <w:bottom w:w="100" w:type="dxa"/>
              <w:right w:w="100" w:type="dxa"/>
            </w:tcMar>
          </w:tcPr>
          <w:p w14:paraId="6E0FDB50"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715D90FC"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0.029</w:t>
            </w:r>
          </w:p>
        </w:tc>
        <w:tc>
          <w:tcPr>
            <w:tcW w:w="405" w:type="dxa"/>
            <w:tcBorders>
              <w:top w:val="nil"/>
              <w:left w:val="nil"/>
              <w:bottom w:val="nil"/>
              <w:right w:val="nil"/>
            </w:tcBorders>
            <w:shd w:val="clear" w:color="auto" w:fill="auto"/>
            <w:tcMar>
              <w:top w:w="100" w:type="dxa"/>
              <w:left w:w="100" w:type="dxa"/>
              <w:bottom w:w="100" w:type="dxa"/>
              <w:right w:w="100" w:type="dxa"/>
            </w:tcMar>
          </w:tcPr>
          <w:p w14:paraId="2D8FF661"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06EBB132"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2.641</w:t>
            </w:r>
          </w:p>
        </w:tc>
        <w:tc>
          <w:tcPr>
            <w:tcW w:w="750" w:type="dxa"/>
            <w:tcBorders>
              <w:top w:val="nil"/>
              <w:left w:val="nil"/>
              <w:bottom w:val="nil"/>
              <w:right w:val="nil"/>
            </w:tcBorders>
            <w:shd w:val="clear" w:color="auto" w:fill="auto"/>
            <w:tcMar>
              <w:top w:w="100" w:type="dxa"/>
              <w:left w:w="100" w:type="dxa"/>
              <w:bottom w:w="100" w:type="dxa"/>
              <w:right w:w="100" w:type="dxa"/>
            </w:tcMar>
          </w:tcPr>
          <w:p w14:paraId="1AF9895B"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0.008</w:t>
            </w:r>
          </w:p>
        </w:tc>
        <w:tc>
          <w:tcPr>
            <w:tcW w:w="1080" w:type="dxa"/>
            <w:tcBorders>
              <w:top w:val="nil"/>
              <w:left w:val="nil"/>
              <w:bottom w:val="nil"/>
              <w:right w:val="nil"/>
            </w:tcBorders>
            <w:shd w:val="clear" w:color="auto" w:fill="auto"/>
            <w:tcMar>
              <w:top w:w="100" w:type="dxa"/>
              <w:left w:w="100" w:type="dxa"/>
              <w:bottom w:w="100" w:type="dxa"/>
              <w:right w:w="100" w:type="dxa"/>
            </w:tcMar>
          </w:tcPr>
          <w:p w14:paraId="721738C1"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0.020</w:t>
            </w:r>
          </w:p>
        </w:tc>
        <w:tc>
          <w:tcPr>
            <w:tcW w:w="240" w:type="dxa"/>
            <w:tcBorders>
              <w:top w:val="nil"/>
              <w:left w:val="nil"/>
              <w:bottom w:val="nil"/>
              <w:right w:val="nil"/>
            </w:tcBorders>
            <w:shd w:val="clear" w:color="auto" w:fill="auto"/>
            <w:tcMar>
              <w:top w:w="100" w:type="dxa"/>
              <w:left w:w="100" w:type="dxa"/>
              <w:bottom w:w="100" w:type="dxa"/>
              <w:right w:w="100" w:type="dxa"/>
            </w:tcMar>
          </w:tcPr>
          <w:p w14:paraId="7FE93600"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30C9A1CD"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0.133</w:t>
            </w:r>
          </w:p>
        </w:tc>
        <w:tc>
          <w:tcPr>
            <w:tcW w:w="240" w:type="dxa"/>
            <w:tcBorders>
              <w:top w:val="nil"/>
              <w:left w:val="nil"/>
              <w:bottom w:val="nil"/>
              <w:right w:val="nil"/>
            </w:tcBorders>
            <w:shd w:val="clear" w:color="auto" w:fill="auto"/>
            <w:tcMar>
              <w:top w:w="100" w:type="dxa"/>
              <w:left w:w="100" w:type="dxa"/>
              <w:bottom w:w="100" w:type="dxa"/>
              <w:right w:w="100" w:type="dxa"/>
            </w:tcMar>
          </w:tcPr>
          <w:p w14:paraId="4250FC6E" w14:textId="77777777" w:rsidR="00487CB5" w:rsidRDefault="00487CB5">
            <w:pPr>
              <w:spacing w:after="160"/>
              <w:rPr>
                <w:rFonts w:ascii="Times New Roman" w:eastAsia="Times New Roman" w:hAnsi="Times New Roman" w:cs="Times New Roman"/>
              </w:rPr>
            </w:pPr>
          </w:p>
        </w:tc>
      </w:tr>
      <w:tr w:rsidR="00487CB5" w14:paraId="0AC75DE3"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2F27663E"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Indirect</w:t>
            </w:r>
          </w:p>
        </w:tc>
        <w:tc>
          <w:tcPr>
            <w:tcW w:w="2070" w:type="dxa"/>
            <w:gridSpan w:val="5"/>
            <w:tcBorders>
              <w:top w:val="nil"/>
              <w:left w:val="nil"/>
              <w:bottom w:val="nil"/>
              <w:right w:val="nil"/>
            </w:tcBorders>
            <w:shd w:val="clear" w:color="auto" w:fill="auto"/>
            <w:tcMar>
              <w:top w:w="100" w:type="dxa"/>
              <w:left w:w="100" w:type="dxa"/>
              <w:bottom w:w="100" w:type="dxa"/>
              <w:right w:w="100" w:type="dxa"/>
            </w:tcMar>
          </w:tcPr>
          <w:p w14:paraId="158A1512" w14:textId="77777777" w:rsidR="00487CB5" w:rsidRDefault="002B62DD">
            <w:pPr>
              <w:spacing w:after="160"/>
              <w:rPr>
                <w:rFonts w:ascii="Times New Roman" w:eastAsia="Times New Roman" w:hAnsi="Times New Roman" w:cs="Times New Roman"/>
              </w:rPr>
            </w:pPr>
            <w:r>
              <w:rPr>
                <w:rFonts w:ascii="Cardo" w:eastAsia="Cardo" w:hAnsi="Cardo" w:cs="Cardo"/>
              </w:rPr>
              <w:t>E     →      G      →   C</w:t>
            </w:r>
          </w:p>
        </w:tc>
        <w:tc>
          <w:tcPr>
            <w:tcW w:w="240" w:type="dxa"/>
            <w:tcBorders>
              <w:top w:val="nil"/>
              <w:left w:val="nil"/>
              <w:bottom w:val="nil"/>
              <w:right w:val="nil"/>
            </w:tcBorders>
            <w:shd w:val="clear" w:color="auto" w:fill="auto"/>
            <w:tcMar>
              <w:top w:w="100" w:type="dxa"/>
              <w:left w:w="100" w:type="dxa"/>
              <w:bottom w:w="100" w:type="dxa"/>
              <w:right w:w="100" w:type="dxa"/>
            </w:tcMar>
          </w:tcPr>
          <w:p w14:paraId="6D56FE05"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3D5C05A5"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0.021</w:t>
            </w:r>
          </w:p>
        </w:tc>
        <w:tc>
          <w:tcPr>
            <w:tcW w:w="450" w:type="dxa"/>
            <w:tcBorders>
              <w:top w:val="nil"/>
              <w:left w:val="nil"/>
              <w:bottom w:val="nil"/>
              <w:right w:val="nil"/>
            </w:tcBorders>
            <w:shd w:val="clear" w:color="auto" w:fill="auto"/>
            <w:tcMar>
              <w:top w:w="100" w:type="dxa"/>
              <w:left w:w="100" w:type="dxa"/>
              <w:bottom w:w="100" w:type="dxa"/>
              <w:right w:w="100" w:type="dxa"/>
            </w:tcMar>
          </w:tcPr>
          <w:p w14:paraId="0E51604A"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62E7A616"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0.008</w:t>
            </w:r>
          </w:p>
        </w:tc>
        <w:tc>
          <w:tcPr>
            <w:tcW w:w="405" w:type="dxa"/>
            <w:tcBorders>
              <w:top w:val="nil"/>
              <w:left w:val="nil"/>
              <w:bottom w:val="nil"/>
              <w:right w:val="nil"/>
            </w:tcBorders>
            <w:shd w:val="clear" w:color="auto" w:fill="auto"/>
            <w:tcMar>
              <w:top w:w="100" w:type="dxa"/>
              <w:left w:w="100" w:type="dxa"/>
              <w:bottom w:w="100" w:type="dxa"/>
              <w:right w:w="100" w:type="dxa"/>
            </w:tcMar>
          </w:tcPr>
          <w:p w14:paraId="6BDB8477"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5F75A75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2.445</w:t>
            </w:r>
          </w:p>
        </w:tc>
        <w:tc>
          <w:tcPr>
            <w:tcW w:w="750" w:type="dxa"/>
            <w:tcBorders>
              <w:top w:val="nil"/>
              <w:left w:val="nil"/>
              <w:bottom w:val="nil"/>
              <w:right w:val="nil"/>
            </w:tcBorders>
            <w:shd w:val="clear" w:color="auto" w:fill="auto"/>
            <w:tcMar>
              <w:top w:w="100" w:type="dxa"/>
              <w:left w:w="100" w:type="dxa"/>
              <w:bottom w:w="100" w:type="dxa"/>
              <w:right w:w="100" w:type="dxa"/>
            </w:tcMar>
          </w:tcPr>
          <w:p w14:paraId="3FA193D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0.014</w:t>
            </w:r>
          </w:p>
        </w:tc>
        <w:tc>
          <w:tcPr>
            <w:tcW w:w="1080" w:type="dxa"/>
            <w:tcBorders>
              <w:top w:val="nil"/>
              <w:left w:val="nil"/>
              <w:bottom w:val="nil"/>
              <w:right w:val="nil"/>
            </w:tcBorders>
            <w:shd w:val="clear" w:color="auto" w:fill="auto"/>
            <w:tcMar>
              <w:top w:w="100" w:type="dxa"/>
              <w:left w:w="100" w:type="dxa"/>
              <w:bottom w:w="100" w:type="dxa"/>
              <w:right w:w="100" w:type="dxa"/>
            </w:tcMar>
          </w:tcPr>
          <w:p w14:paraId="34B173C7"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0.004</w:t>
            </w:r>
          </w:p>
        </w:tc>
        <w:tc>
          <w:tcPr>
            <w:tcW w:w="240" w:type="dxa"/>
            <w:tcBorders>
              <w:top w:val="nil"/>
              <w:left w:val="nil"/>
              <w:bottom w:val="nil"/>
              <w:right w:val="nil"/>
            </w:tcBorders>
            <w:shd w:val="clear" w:color="auto" w:fill="auto"/>
            <w:tcMar>
              <w:top w:w="100" w:type="dxa"/>
              <w:left w:w="100" w:type="dxa"/>
              <w:bottom w:w="100" w:type="dxa"/>
              <w:right w:w="100" w:type="dxa"/>
            </w:tcMar>
          </w:tcPr>
          <w:p w14:paraId="16B35683"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790AA26C"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0.037</w:t>
            </w:r>
          </w:p>
        </w:tc>
        <w:tc>
          <w:tcPr>
            <w:tcW w:w="240" w:type="dxa"/>
            <w:tcBorders>
              <w:top w:val="nil"/>
              <w:left w:val="nil"/>
              <w:bottom w:val="nil"/>
              <w:right w:val="nil"/>
            </w:tcBorders>
            <w:shd w:val="clear" w:color="auto" w:fill="auto"/>
            <w:tcMar>
              <w:top w:w="100" w:type="dxa"/>
              <w:left w:w="100" w:type="dxa"/>
              <w:bottom w:w="100" w:type="dxa"/>
              <w:right w:w="100" w:type="dxa"/>
            </w:tcMar>
          </w:tcPr>
          <w:p w14:paraId="28060A56" w14:textId="77777777" w:rsidR="00487CB5" w:rsidRDefault="00487CB5">
            <w:pPr>
              <w:spacing w:after="160"/>
              <w:rPr>
                <w:rFonts w:ascii="Times New Roman" w:eastAsia="Times New Roman" w:hAnsi="Times New Roman" w:cs="Times New Roman"/>
              </w:rPr>
            </w:pPr>
          </w:p>
        </w:tc>
      </w:tr>
      <w:tr w:rsidR="00487CB5" w14:paraId="778086DB" w14:textId="77777777">
        <w:trPr>
          <w:trHeight w:val="530"/>
        </w:trPr>
        <w:tc>
          <w:tcPr>
            <w:tcW w:w="915" w:type="dxa"/>
            <w:tcBorders>
              <w:top w:val="nil"/>
              <w:left w:val="nil"/>
              <w:bottom w:val="nil"/>
              <w:right w:val="nil"/>
            </w:tcBorders>
            <w:shd w:val="clear" w:color="auto" w:fill="auto"/>
            <w:tcMar>
              <w:top w:w="100" w:type="dxa"/>
              <w:left w:w="100" w:type="dxa"/>
              <w:bottom w:w="100" w:type="dxa"/>
              <w:right w:w="100" w:type="dxa"/>
            </w:tcMar>
          </w:tcPr>
          <w:p w14:paraId="1D697C5F"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Total</w:t>
            </w:r>
          </w:p>
        </w:tc>
        <w:tc>
          <w:tcPr>
            <w:tcW w:w="525" w:type="dxa"/>
            <w:tcBorders>
              <w:top w:val="nil"/>
              <w:left w:val="nil"/>
              <w:bottom w:val="nil"/>
              <w:right w:val="nil"/>
            </w:tcBorders>
            <w:shd w:val="clear" w:color="auto" w:fill="auto"/>
            <w:tcMar>
              <w:top w:w="100" w:type="dxa"/>
              <w:left w:w="100" w:type="dxa"/>
              <w:bottom w:w="100" w:type="dxa"/>
              <w:right w:w="100" w:type="dxa"/>
            </w:tcMar>
          </w:tcPr>
          <w:p w14:paraId="72D5171C"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E</w:t>
            </w:r>
          </w:p>
        </w:tc>
        <w:tc>
          <w:tcPr>
            <w:tcW w:w="240" w:type="dxa"/>
            <w:tcBorders>
              <w:top w:val="nil"/>
              <w:left w:val="nil"/>
              <w:bottom w:val="nil"/>
              <w:right w:val="nil"/>
            </w:tcBorders>
            <w:shd w:val="clear" w:color="auto" w:fill="auto"/>
            <w:tcMar>
              <w:top w:w="100" w:type="dxa"/>
              <w:left w:w="100" w:type="dxa"/>
              <w:bottom w:w="100" w:type="dxa"/>
              <w:right w:w="100" w:type="dxa"/>
            </w:tcMar>
          </w:tcPr>
          <w:p w14:paraId="73E47BC3" w14:textId="77777777" w:rsidR="00487CB5" w:rsidRDefault="00487CB5">
            <w:pPr>
              <w:spacing w:after="160"/>
              <w:rPr>
                <w:rFonts w:ascii="Times New Roman" w:eastAsia="Times New Roman" w:hAnsi="Times New Roman" w:cs="Times New Roman"/>
              </w:rPr>
            </w:pPr>
          </w:p>
        </w:tc>
        <w:tc>
          <w:tcPr>
            <w:tcW w:w="345" w:type="dxa"/>
            <w:tcBorders>
              <w:top w:val="nil"/>
              <w:left w:val="nil"/>
              <w:bottom w:val="nil"/>
              <w:right w:val="nil"/>
            </w:tcBorders>
            <w:shd w:val="clear" w:color="auto" w:fill="auto"/>
            <w:tcMar>
              <w:top w:w="100" w:type="dxa"/>
              <w:left w:w="100" w:type="dxa"/>
              <w:bottom w:w="100" w:type="dxa"/>
              <w:right w:w="100" w:type="dxa"/>
            </w:tcMar>
          </w:tcPr>
          <w:p w14:paraId="1F6CEBF1" w14:textId="77777777" w:rsidR="00487CB5" w:rsidRDefault="002B62DD">
            <w:pPr>
              <w:spacing w:after="160"/>
              <w:rPr>
                <w:rFonts w:ascii="Times New Roman" w:eastAsia="Times New Roman" w:hAnsi="Times New Roman" w:cs="Times New Roman"/>
              </w:rPr>
            </w:pPr>
            <w:r>
              <w:rPr>
                <w:rFonts w:ascii="Cardo" w:eastAsia="Cardo" w:hAnsi="Cardo" w:cs="Cardo"/>
              </w:rPr>
              <w:t>→</w:t>
            </w:r>
          </w:p>
        </w:tc>
        <w:tc>
          <w:tcPr>
            <w:tcW w:w="240" w:type="dxa"/>
            <w:tcBorders>
              <w:top w:val="nil"/>
              <w:left w:val="nil"/>
              <w:bottom w:val="nil"/>
              <w:right w:val="nil"/>
            </w:tcBorders>
            <w:shd w:val="clear" w:color="auto" w:fill="auto"/>
            <w:tcMar>
              <w:top w:w="100" w:type="dxa"/>
              <w:left w:w="100" w:type="dxa"/>
              <w:bottom w:w="100" w:type="dxa"/>
              <w:right w:w="100" w:type="dxa"/>
            </w:tcMar>
          </w:tcPr>
          <w:p w14:paraId="30A43905" w14:textId="77777777" w:rsidR="00487CB5" w:rsidRDefault="00487CB5">
            <w:pPr>
              <w:spacing w:after="160"/>
              <w:rPr>
                <w:rFonts w:ascii="Times New Roman" w:eastAsia="Times New Roman" w:hAnsi="Times New Roman" w:cs="Times New Roman"/>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272C3EB3"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C</w:t>
            </w:r>
          </w:p>
        </w:tc>
        <w:tc>
          <w:tcPr>
            <w:tcW w:w="240" w:type="dxa"/>
            <w:tcBorders>
              <w:top w:val="nil"/>
              <w:left w:val="nil"/>
              <w:bottom w:val="nil"/>
              <w:right w:val="nil"/>
            </w:tcBorders>
            <w:shd w:val="clear" w:color="auto" w:fill="auto"/>
            <w:tcMar>
              <w:top w:w="100" w:type="dxa"/>
              <w:left w:w="100" w:type="dxa"/>
              <w:bottom w:w="100" w:type="dxa"/>
              <w:right w:w="100" w:type="dxa"/>
            </w:tcMar>
          </w:tcPr>
          <w:p w14:paraId="676E103F" w14:textId="77777777" w:rsidR="00487CB5" w:rsidRDefault="00487CB5">
            <w:pPr>
              <w:spacing w:after="160"/>
              <w:rPr>
                <w:rFonts w:ascii="Times New Roman" w:eastAsia="Times New Roman" w:hAnsi="Times New Roman" w:cs="Times New Roman"/>
              </w:rPr>
            </w:pPr>
          </w:p>
        </w:tc>
        <w:tc>
          <w:tcPr>
            <w:tcW w:w="810" w:type="dxa"/>
            <w:tcBorders>
              <w:top w:val="nil"/>
              <w:left w:val="nil"/>
              <w:bottom w:val="nil"/>
              <w:right w:val="nil"/>
            </w:tcBorders>
            <w:shd w:val="clear" w:color="auto" w:fill="auto"/>
            <w:tcMar>
              <w:top w:w="100" w:type="dxa"/>
              <w:left w:w="100" w:type="dxa"/>
              <w:bottom w:w="100" w:type="dxa"/>
              <w:right w:w="100" w:type="dxa"/>
            </w:tcMar>
          </w:tcPr>
          <w:p w14:paraId="04723C13"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0.097</w:t>
            </w:r>
          </w:p>
        </w:tc>
        <w:tc>
          <w:tcPr>
            <w:tcW w:w="450" w:type="dxa"/>
            <w:tcBorders>
              <w:top w:val="nil"/>
              <w:left w:val="nil"/>
              <w:bottom w:val="nil"/>
              <w:right w:val="nil"/>
            </w:tcBorders>
            <w:shd w:val="clear" w:color="auto" w:fill="auto"/>
            <w:tcMar>
              <w:top w:w="100" w:type="dxa"/>
              <w:left w:w="100" w:type="dxa"/>
              <w:bottom w:w="100" w:type="dxa"/>
              <w:right w:w="100" w:type="dxa"/>
            </w:tcMar>
          </w:tcPr>
          <w:p w14:paraId="2D7749B2" w14:textId="77777777" w:rsidR="00487CB5" w:rsidRDefault="00487CB5">
            <w:pPr>
              <w:spacing w:after="160"/>
              <w:rPr>
                <w:rFonts w:ascii="Times New Roman" w:eastAsia="Times New Roman" w:hAnsi="Times New Roman" w:cs="Times New Roman"/>
              </w:rPr>
            </w:pPr>
          </w:p>
        </w:tc>
        <w:tc>
          <w:tcPr>
            <w:tcW w:w="690" w:type="dxa"/>
            <w:tcBorders>
              <w:top w:val="nil"/>
              <w:left w:val="nil"/>
              <w:bottom w:val="nil"/>
              <w:right w:val="nil"/>
            </w:tcBorders>
            <w:shd w:val="clear" w:color="auto" w:fill="auto"/>
            <w:tcMar>
              <w:top w:w="100" w:type="dxa"/>
              <w:left w:w="100" w:type="dxa"/>
              <w:bottom w:w="100" w:type="dxa"/>
              <w:right w:w="100" w:type="dxa"/>
            </w:tcMar>
          </w:tcPr>
          <w:p w14:paraId="5452EC42"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0.028</w:t>
            </w:r>
          </w:p>
        </w:tc>
        <w:tc>
          <w:tcPr>
            <w:tcW w:w="405" w:type="dxa"/>
            <w:tcBorders>
              <w:top w:val="nil"/>
              <w:left w:val="nil"/>
              <w:bottom w:val="nil"/>
              <w:right w:val="nil"/>
            </w:tcBorders>
            <w:shd w:val="clear" w:color="auto" w:fill="auto"/>
            <w:tcMar>
              <w:top w:w="100" w:type="dxa"/>
              <w:left w:w="100" w:type="dxa"/>
              <w:bottom w:w="100" w:type="dxa"/>
              <w:right w:w="100" w:type="dxa"/>
            </w:tcMar>
          </w:tcPr>
          <w:p w14:paraId="0C3E7B78" w14:textId="77777777" w:rsidR="00487CB5" w:rsidRDefault="00487CB5">
            <w:pPr>
              <w:spacing w:after="160"/>
              <w:rPr>
                <w:rFonts w:ascii="Times New Roman" w:eastAsia="Times New Roman" w:hAnsi="Times New Roman" w:cs="Times New Roman"/>
              </w:rPr>
            </w:pPr>
          </w:p>
        </w:tc>
        <w:tc>
          <w:tcPr>
            <w:tcW w:w="840" w:type="dxa"/>
            <w:tcBorders>
              <w:top w:val="nil"/>
              <w:left w:val="nil"/>
              <w:bottom w:val="nil"/>
              <w:right w:val="nil"/>
            </w:tcBorders>
            <w:shd w:val="clear" w:color="auto" w:fill="auto"/>
            <w:tcMar>
              <w:top w:w="100" w:type="dxa"/>
              <w:left w:w="100" w:type="dxa"/>
              <w:bottom w:w="100" w:type="dxa"/>
              <w:right w:w="100" w:type="dxa"/>
            </w:tcMar>
          </w:tcPr>
          <w:p w14:paraId="541355C0"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3.426</w:t>
            </w:r>
          </w:p>
        </w:tc>
        <w:tc>
          <w:tcPr>
            <w:tcW w:w="750" w:type="dxa"/>
            <w:tcBorders>
              <w:top w:val="nil"/>
              <w:left w:val="nil"/>
              <w:bottom w:val="nil"/>
              <w:right w:val="nil"/>
            </w:tcBorders>
            <w:shd w:val="clear" w:color="auto" w:fill="auto"/>
            <w:tcMar>
              <w:top w:w="100" w:type="dxa"/>
              <w:left w:w="100" w:type="dxa"/>
              <w:bottom w:w="100" w:type="dxa"/>
              <w:right w:w="100" w:type="dxa"/>
            </w:tcMar>
          </w:tcPr>
          <w:p w14:paraId="04CD9892"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&lt; .001</w:t>
            </w:r>
          </w:p>
        </w:tc>
        <w:tc>
          <w:tcPr>
            <w:tcW w:w="1080" w:type="dxa"/>
            <w:tcBorders>
              <w:top w:val="nil"/>
              <w:left w:val="nil"/>
              <w:bottom w:val="nil"/>
              <w:right w:val="nil"/>
            </w:tcBorders>
            <w:shd w:val="clear" w:color="auto" w:fill="auto"/>
            <w:tcMar>
              <w:top w:w="100" w:type="dxa"/>
              <w:left w:w="100" w:type="dxa"/>
              <w:bottom w:w="100" w:type="dxa"/>
              <w:right w:w="100" w:type="dxa"/>
            </w:tcMar>
          </w:tcPr>
          <w:p w14:paraId="5E62C924"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0.042</w:t>
            </w:r>
          </w:p>
        </w:tc>
        <w:tc>
          <w:tcPr>
            <w:tcW w:w="240" w:type="dxa"/>
            <w:tcBorders>
              <w:top w:val="nil"/>
              <w:left w:val="nil"/>
              <w:bottom w:val="nil"/>
              <w:right w:val="nil"/>
            </w:tcBorders>
            <w:shd w:val="clear" w:color="auto" w:fill="auto"/>
            <w:tcMar>
              <w:top w:w="100" w:type="dxa"/>
              <w:left w:w="100" w:type="dxa"/>
              <w:bottom w:w="100" w:type="dxa"/>
              <w:right w:w="100" w:type="dxa"/>
            </w:tcMar>
          </w:tcPr>
          <w:p w14:paraId="0ECB5B73" w14:textId="77777777" w:rsidR="00487CB5" w:rsidRDefault="00487CB5">
            <w:pPr>
              <w:spacing w:after="160"/>
              <w:rPr>
                <w:rFonts w:ascii="Times New Roman" w:eastAsia="Times New Roman" w:hAnsi="Times New Roman" w:cs="Times New Roman"/>
              </w:rPr>
            </w:pPr>
          </w:p>
        </w:tc>
        <w:tc>
          <w:tcPr>
            <w:tcW w:w="1050" w:type="dxa"/>
            <w:tcBorders>
              <w:top w:val="nil"/>
              <w:left w:val="nil"/>
              <w:bottom w:val="nil"/>
              <w:right w:val="nil"/>
            </w:tcBorders>
            <w:shd w:val="clear" w:color="auto" w:fill="auto"/>
            <w:tcMar>
              <w:top w:w="100" w:type="dxa"/>
              <w:left w:w="100" w:type="dxa"/>
              <w:bottom w:w="100" w:type="dxa"/>
              <w:right w:w="100" w:type="dxa"/>
            </w:tcMar>
          </w:tcPr>
          <w:p w14:paraId="2A7FF770" w14:textId="77777777" w:rsidR="00487CB5" w:rsidRDefault="002B62DD">
            <w:pPr>
              <w:spacing w:after="160"/>
              <w:jc w:val="right"/>
              <w:rPr>
                <w:rFonts w:ascii="Times New Roman" w:eastAsia="Times New Roman" w:hAnsi="Times New Roman" w:cs="Times New Roman"/>
              </w:rPr>
            </w:pPr>
            <w:r>
              <w:rPr>
                <w:rFonts w:ascii="Times New Roman" w:eastAsia="Times New Roman" w:hAnsi="Times New Roman" w:cs="Times New Roman"/>
              </w:rPr>
              <w:t>0.153</w:t>
            </w:r>
          </w:p>
        </w:tc>
        <w:tc>
          <w:tcPr>
            <w:tcW w:w="240" w:type="dxa"/>
            <w:tcBorders>
              <w:top w:val="nil"/>
              <w:left w:val="nil"/>
              <w:bottom w:val="nil"/>
              <w:right w:val="nil"/>
            </w:tcBorders>
            <w:shd w:val="clear" w:color="auto" w:fill="auto"/>
            <w:tcMar>
              <w:top w:w="100" w:type="dxa"/>
              <w:left w:w="100" w:type="dxa"/>
              <w:bottom w:w="100" w:type="dxa"/>
              <w:right w:w="100" w:type="dxa"/>
            </w:tcMar>
          </w:tcPr>
          <w:p w14:paraId="0A44410F" w14:textId="77777777" w:rsidR="00487CB5" w:rsidRDefault="00487CB5">
            <w:pPr>
              <w:spacing w:after="160"/>
              <w:rPr>
                <w:rFonts w:ascii="Times New Roman" w:eastAsia="Times New Roman" w:hAnsi="Times New Roman" w:cs="Times New Roman"/>
              </w:rPr>
            </w:pPr>
          </w:p>
        </w:tc>
      </w:tr>
      <w:tr w:rsidR="00487CB5" w14:paraId="49692A91" w14:textId="77777777">
        <w:trPr>
          <w:trHeight w:val="245"/>
        </w:trPr>
        <w:tc>
          <w:tcPr>
            <w:tcW w:w="915" w:type="dxa"/>
            <w:tcBorders>
              <w:top w:val="nil"/>
              <w:left w:val="nil"/>
              <w:bottom w:val="single" w:sz="12" w:space="0" w:color="000000"/>
              <w:right w:val="nil"/>
            </w:tcBorders>
            <w:shd w:val="clear" w:color="auto" w:fill="auto"/>
            <w:tcMar>
              <w:top w:w="100" w:type="dxa"/>
              <w:left w:w="100" w:type="dxa"/>
              <w:bottom w:w="100" w:type="dxa"/>
              <w:right w:w="100" w:type="dxa"/>
            </w:tcMar>
          </w:tcPr>
          <w:p w14:paraId="18C2786C" w14:textId="77777777" w:rsidR="00487CB5" w:rsidRDefault="00487CB5">
            <w:pPr>
              <w:spacing w:after="160"/>
              <w:jc w:val="right"/>
              <w:rPr>
                <w:rFonts w:ascii="Times New Roman" w:eastAsia="Times New Roman" w:hAnsi="Times New Roman" w:cs="Times New Roman"/>
              </w:rPr>
            </w:pPr>
          </w:p>
        </w:tc>
        <w:tc>
          <w:tcPr>
            <w:tcW w:w="8865" w:type="dxa"/>
            <w:gridSpan w:val="16"/>
            <w:tcBorders>
              <w:top w:val="nil"/>
              <w:left w:val="nil"/>
              <w:bottom w:val="single" w:sz="12" w:space="0" w:color="000000"/>
              <w:right w:val="nil"/>
            </w:tcBorders>
            <w:shd w:val="clear" w:color="auto" w:fill="auto"/>
            <w:tcMar>
              <w:top w:w="100" w:type="dxa"/>
              <w:left w:w="100" w:type="dxa"/>
              <w:bottom w:w="100" w:type="dxa"/>
              <w:right w:w="100" w:type="dxa"/>
            </w:tcMar>
          </w:tcPr>
          <w:p w14:paraId="77927A42" w14:textId="77777777" w:rsidR="00487CB5" w:rsidRDefault="00487CB5">
            <w:pPr>
              <w:spacing w:after="160"/>
              <w:jc w:val="right"/>
              <w:rPr>
                <w:rFonts w:ascii="Times New Roman" w:eastAsia="Times New Roman" w:hAnsi="Times New Roman" w:cs="Times New Roman"/>
              </w:rPr>
            </w:pPr>
          </w:p>
        </w:tc>
      </w:tr>
      <w:tr w:rsidR="00487CB5" w14:paraId="4844AB12" w14:textId="77777777">
        <w:trPr>
          <w:trHeight w:val="515"/>
        </w:trPr>
        <w:tc>
          <w:tcPr>
            <w:tcW w:w="915" w:type="dxa"/>
            <w:tcBorders>
              <w:top w:val="nil"/>
              <w:left w:val="nil"/>
              <w:bottom w:val="nil"/>
              <w:right w:val="nil"/>
            </w:tcBorders>
            <w:shd w:val="clear" w:color="auto" w:fill="auto"/>
            <w:tcMar>
              <w:top w:w="100" w:type="dxa"/>
              <w:left w:w="100" w:type="dxa"/>
              <w:bottom w:w="100" w:type="dxa"/>
              <w:right w:w="100" w:type="dxa"/>
            </w:tcMar>
          </w:tcPr>
          <w:p w14:paraId="6292C86D" w14:textId="77777777" w:rsidR="00487CB5" w:rsidRDefault="00487CB5">
            <w:pPr>
              <w:spacing w:after="160"/>
              <w:rPr>
                <w:rFonts w:ascii="Times New Roman" w:eastAsia="Times New Roman" w:hAnsi="Times New Roman" w:cs="Times New Roman"/>
              </w:rPr>
            </w:pPr>
          </w:p>
        </w:tc>
        <w:tc>
          <w:tcPr>
            <w:tcW w:w="8865" w:type="dxa"/>
            <w:gridSpan w:val="16"/>
            <w:tcBorders>
              <w:top w:val="nil"/>
              <w:left w:val="nil"/>
              <w:bottom w:val="nil"/>
              <w:right w:val="nil"/>
            </w:tcBorders>
            <w:shd w:val="clear" w:color="auto" w:fill="auto"/>
            <w:tcMar>
              <w:top w:w="100" w:type="dxa"/>
              <w:left w:w="100" w:type="dxa"/>
              <w:bottom w:w="100" w:type="dxa"/>
              <w:right w:w="100" w:type="dxa"/>
            </w:tcMar>
          </w:tcPr>
          <w:p w14:paraId="341FEFF0" w14:textId="77777777" w:rsidR="00487CB5" w:rsidRDefault="002B62DD">
            <w:pPr>
              <w:spacing w:after="160"/>
              <w:rPr>
                <w:rFonts w:ascii="Times New Roman" w:eastAsia="Times New Roman" w:hAnsi="Times New Roman" w:cs="Times New Roman"/>
              </w:rPr>
            </w:pPr>
            <w:r>
              <w:rPr>
                <w:rFonts w:ascii="Times New Roman" w:eastAsia="Times New Roman" w:hAnsi="Times New Roman" w:cs="Times New Roman"/>
              </w:rPr>
              <w:t>Note.  Delta method standard errors, normal theory confidence intervals, ML estimator.</w:t>
            </w:r>
          </w:p>
        </w:tc>
      </w:tr>
    </w:tbl>
    <w:p w14:paraId="0D63A610" w14:textId="77777777" w:rsidR="00487CB5" w:rsidRDefault="00487CB5">
      <w:pPr>
        <w:rPr>
          <w:rFonts w:ascii="Times New Roman" w:eastAsia="Times New Roman" w:hAnsi="Times New Roman" w:cs="Times New Roman"/>
        </w:rPr>
      </w:pPr>
    </w:p>
    <w:p w14:paraId="42E66318"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1B745ACD" w14:textId="77777777" w:rsidR="00487CB5" w:rsidRDefault="00487CB5">
      <w:pPr>
        <w:rPr>
          <w:rFonts w:ascii="Times New Roman" w:eastAsia="Times New Roman" w:hAnsi="Times New Roman" w:cs="Times New Roman"/>
        </w:rPr>
      </w:pPr>
    </w:p>
    <w:p w14:paraId="59CC1E19"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Global consumer utilisation of products and services has increased significantly during the past 20 years, resulting in severe environmental harm and the depletion of natural resources (Chen &amp; Chai, 2010). As a result, "sustainable development" has emerged, which has further promoted eco-friendly consumption.</w:t>
      </w:r>
    </w:p>
    <w:p w14:paraId="06AB84B2" w14:textId="77777777" w:rsidR="00487CB5" w:rsidRDefault="00487CB5">
      <w:pPr>
        <w:rPr>
          <w:rFonts w:ascii="Times New Roman" w:eastAsia="Times New Roman" w:hAnsi="Times New Roman" w:cs="Times New Roman"/>
          <w:shd w:val="clear" w:color="auto" w:fill="EA9999"/>
        </w:rPr>
      </w:pPr>
    </w:p>
    <w:p w14:paraId="7D0E4B72"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The first hypothesis suggested that there is no significant correlation between “Personal Norms” and “Green Purchase Intention.” However, the rejection of this hypothesis reveals a significant positive correlation between “Personal Norms” and “Green Purchase intention”. This implies individuals who scored high on Personal Norms also tend to score high on Green purchase intention.</w:t>
      </w:r>
    </w:p>
    <w:p w14:paraId="287149C1" w14:textId="77777777" w:rsidR="00487CB5" w:rsidRDefault="00487CB5">
      <w:pPr>
        <w:jc w:val="both"/>
        <w:rPr>
          <w:rFonts w:ascii="Times New Roman" w:eastAsia="Times New Roman" w:hAnsi="Times New Roman" w:cs="Times New Roman"/>
          <w:shd w:val="clear" w:color="auto" w:fill="EA9999"/>
        </w:rPr>
      </w:pPr>
    </w:p>
    <w:p w14:paraId="1D2735FA"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lastRenderedPageBreak/>
        <w:t>The second hypothesis suggested that there is no significant correlation between “Green Purchase Intention” and “Satisfaction”. However, the rejection of this hypothesis reveals a significant positive correlation between “Green Purchase Intention” and “Satisfaction”. This implies individuals who scored high on Green purchase intention also tend to score high on Satisfaction of the outcome.</w:t>
      </w:r>
    </w:p>
    <w:p w14:paraId="044E6887" w14:textId="77777777" w:rsidR="00487CB5" w:rsidRDefault="00487CB5">
      <w:pPr>
        <w:jc w:val="both"/>
        <w:rPr>
          <w:rFonts w:ascii="Times New Roman" w:eastAsia="Times New Roman" w:hAnsi="Times New Roman" w:cs="Times New Roman"/>
          <w:shd w:val="clear" w:color="auto" w:fill="EA9999"/>
        </w:rPr>
      </w:pPr>
    </w:p>
    <w:p w14:paraId="4F0CB911"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The third hypothesis suggested that there is no significant correlation between “Alternative Evaluation” and “Satisfaction”. However, the rejection of this hypothesis reveals a significant positive correlation between “Alternative Evaluation” and “Satisfaction”. This implies individuals who scored high on Alternative Evaluation also tend to score high on Satisfaction. </w:t>
      </w:r>
    </w:p>
    <w:p w14:paraId="36249998" w14:textId="77777777" w:rsidR="00487CB5" w:rsidRDefault="00487CB5">
      <w:pPr>
        <w:jc w:val="both"/>
        <w:rPr>
          <w:rFonts w:ascii="Times New Roman" w:eastAsia="Times New Roman" w:hAnsi="Times New Roman" w:cs="Times New Roman"/>
          <w:shd w:val="clear" w:color="auto" w:fill="EA9999"/>
        </w:rPr>
      </w:pPr>
    </w:p>
    <w:p w14:paraId="35251C95"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The fourth hypothesis suggested that there is no significant correlation between “Satisfaction” and “Consumer Scepticism”. However, the rejection of this hypothesis reveals a significant positive correlation between “Satisfaction” and “Consumer Scepticism”. This implies individuals who scored high on Satisfaction also tend to score high on Consumer Scepticism.</w:t>
      </w:r>
    </w:p>
    <w:p w14:paraId="6BC65B17" w14:textId="77777777" w:rsidR="00487CB5" w:rsidRDefault="00487CB5">
      <w:pPr>
        <w:jc w:val="both"/>
        <w:rPr>
          <w:rFonts w:ascii="Times New Roman" w:eastAsia="Times New Roman" w:hAnsi="Times New Roman" w:cs="Times New Roman"/>
          <w:shd w:val="clear" w:color="auto" w:fill="EA9999"/>
        </w:rPr>
      </w:pPr>
    </w:p>
    <w:p w14:paraId="33A16ED4"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The fifth hypothesis suggested that there is no significant correlation between “Alternative Evaluation” and “Consumer Scepticism”. However, the rejection of this hypothesis reveals a significant positive correlation between “Alternative Evaluation” and “Consumer Scepticism”. This implies individuals who scored high on Alternative Evaluation also tend to score high on Consumer Scepticism.</w:t>
      </w:r>
    </w:p>
    <w:p w14:paraId="53257D07" w14:textId="77777777" w:rsidR="00487CB5" w:rsidRDefault="00487CB5">
      <w:pPr>
        <w:jc w:val="both"/>
        <w:rPr>
          <w:rFonts w:ascii="Times New Roman" w:eastAsia="Times New Roman" w:hAnsi="Times New Roman" w:cs="Times New Roman"/>
          <w:shd w:val="clear" w:color="auto" w:fill="EA9999"/>
        </w:rPr>
      </w:pPr>
    </w:p>
    <w:p w14:paraId="603A505B"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6.1 suggests that there would be no significant difference in Personal Norms between Gender Groups. As we failed to reject this hypothesis, it reveals that there is no significant difference in Personal Norms between different Gender Groups. This implies that Gender Groups do not play a role in influencing individuals' Personal Norms.</w:t>
      </w:r>
    </w:p>
    <w:p w14:paraId="38299298" w14:textId="77777777" w:rsidR="00487CB5" w:rsidRDefault="00487CB5">
      <w:pPr>
        <w:jc w:val="both"/>
        <w:rPr>
          <w:rFonts w:ascii="Times New Roman" w:eastAsia="Times New Roman" w:hAnsi="Times New Roman" w:cs="Times New Roman"/>
          <w:shd w:val="clear" w:color="auto" w:fill="EA9999"/>
        </w:rPr>
      </w:pPr>
    </w:p>
    <w:p w14:paraId="2DE99B66"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6.2 suggests that there would be no significant difference in Personal Norms between Areas of residence. As we failed to reject this hypothesis, it reveals that there is no significant difference in Personal Norms between different age groups. This implies that age groups do not play a role in influencing individuals' Personal Norms.</w:t>
      </w:r>
    </w:p>
    <w:p w14:paraId="75FB6B26" w14:textId="77777777" w:rsidR="00487CB5" w:rsidRDefault="00487CB5">
      <w:pPr>
        <w:jc w:val="both"/>
        <w:rPr>
          <w:rFonts w:ascii="Times New Roman" w:eastAsia="Times New Roman" w:hAnsi="Times New Roman" w:cs="Times New Roman"/>
          <w:shd w:val="clear" w:color="auto" w:fill="EA9999"/>
        </w:rPr>
      </w:pPr>
    </w:p>
    <w:p w14:paraId="494A7B81"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6.3 suggests that there would be no significant difference in Personal Norms between Income Groups. As we failed to reject this hypothesis, it reveals that there is no significant difference in Personal Norms between different Income Groups. This implies that income does not play a role in influencing individuals' Personal Norms.</w:t>
      </w:r>
    </w:p>
    <w:p w14:paraId="4970D084" w14:textId="77777777" w:rsidR="00487CB5" w:rsidRDefault="00487CB5">
      <w:pPr>
        <w:jc w:val="both"/>
        <w:rPr>
          <w:rFonts w:ascii="Times New Roman" w:eastAsia="Times New Roman" w:hAnsi="Times New Roman" w:cs="Times New Roman"/>
          <w:shd w:val="clear" w:color="auto" w:fill="EA9999"/>
        </w:rPr>
      </w:pPr>
    </w:p>
    <w:p w14:paraId="07FC2AD4"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7.1 suggests that there would be no significant difference in Alternative Evaluation between Gender Groups. As we failed to reject this hypothesis, it reveals that there is no significant difference in Alternative Evaluation between different Gender Groups. This implies that Gender Groups do not play a role in influencing individuals' Alternative Evaluation.</w:t>
      </w:r>
    </w:p>
    <w:p w14:paraId="7003B671" w14:textId="77777777" w:rsidR="00487CB5" w:rsidRDefault="00487CB5">
      <w:pPr>
        <w:jc w:val="both"/>
        <w:rPr>
          <w:rFonts w:ascii="Times New Roman" w:eastAsia="Times New Roman" w:hAnsi="Times New Roman" w:cs="Times New Roman"/>
          <w:shd w:val="clear" w:color="auto" w:fill="EA9999"/>
        </w:rPr>
      </w:pPr>
    </w:p>
    <w:p w14:paraId="597B0C6D"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7.2 suggests that there would be no significant difference in Alternative Evaluation between Areas of Residence. As we failed to reject this hypothesis, it reveals that there is no significant difference in Alternative Evaluation between different Areas of Residence. This implies that Areas of Residence do not play a role in influencing individuals' Alternative Evaluations.</w:t>
      </w:r>
    </w:p>
    <w:p w14:paraId="6098A9B5" w14:textId="77777777" w:rsidR="00487CB5" w:rsidRDefault="00487CB5">
      <w:pPr>
        <w:jc w:val="both"/>
        <w:rPr>
          <w:rFonts w:ascii="Times New Roman" w:eastAsia="Times New Roman" w:hAnsi="Times New Roman" w:cs="Times New Roman"/>
          <w:shd w:val="clear" w:color="auto" w:fill="EA9999"/>
        </w:rPr>
      </w:pPr>
    </w:p>
    <w:p w14:paraId="5BB3651C"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Hypothesis 7.3 suggests that there would be no significant difference in Alternative Evaluation between Income Groups. As we failed to reject this hypothesis, it reveals that there is no significant difference </w:t>
      </w:r>
      <w:r>
        <w:rPr>
          <w:rFonts w:ascii="Times New Roman" w:eastAsia="Times New Roman" w:hAnsi="Times New Roman" w:cs="Times New Roman"/>
        </w:rPr>
        <w:lastRenderedPageBreak/>
        <w:t>in Alternative Evaluation between different Income Groups. This implies that Income Groups do not play a role in influencing individuals' Alternative Evaluation.</w:t>
      </w:r>
    </w:p>
    <w:p w14:paraId="0C3AD3A5" w14:textId="77777777" w:rsidR="00487CB5" w:rsidRDefault="00487CB5">
      <w:pPr>
        <w:jc w:val="both"/>
        <w:rPr>
          <w:rFonts w:ascii="Times New Roman" w:eastAsia="Times New Roman" w:hAnsi="Times New Roman" w:cs="Times New Roman"/>
          <w:shd w:val="clear" w:color="auto" w:fill="EA9999"/>
        </w:rPr>
      </w:pPr>
    </w:p>
    <w:p w14:paraId="47D606B5"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8.1 suggests that there would be no significant difference in Consumer Scepticism between Gender Groups. As we failed to reject this hypothesis, it reveals that there is no significant difference in Consumer Scepticism between different Gender Groups. This implies that Gender Groups do not play a role in influencing individuals' Consumer Scepticism.</w:t>
      </w:r>
    </w:p>
    <w:p w14:paraId="78CC1635" w14:textId="77777777" w:rsidR="00487CB5" w:rsidRDefault="00487CB5">
      <w:pPr>
        <w:jc w:val="both"/>
        <w:rPr>
          <w:rFonts w:ascii="Times New Roman" w:eastAsia="Times New Roman" w:hAnsi="Times New Roman" w:cs="Times New Roman"/>
          <w:shd w:val="clear" w:color="auto" w:fill="EA9999"/>
        </w:rPr>
      </w:pPr>
    </w:p>
    <w:p w14:paraId="487CE1E5"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8.2 suggests that there would be no significant difference in Consumer Scepticism between Areas of Residence. As we failed to reject this hypothesis, it reveals that there is no significant difference in Consumer Scepticism between different Areas of Residence. This implies that Areas of Residence do not play a role in influencing individuals' Consumer Scepticism.</w:t>
      </w:r>
    </w:p>
    <w:p w14:paraId="79F2E4BB" w14:textId="77777777" w:rsidR="00487CB5" w:rsidRDefault="00487CB5">
      <w:pPr>
        <w:jc w:val="both"/>
        <w:rPr>
          <w:rFonts w:ascii="Times New Roman" w:eastAsia="Times New Roman" w:hAnsi="Times New Roman" w:cs="Times New Roman"/>
          <w:shd w:val="clear" w:color="auto" w:fill="EA9999"/>
        </w:rPr>
      </w:pPr>
    </w:p>
    <w:p w14:paraId="763DD244"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8.3 suggests that there would be no significant difference in Consumer Scepticism between Income Groups. As we failed to reject this hypothesis, it reveals that there is no significant difference in Consumer Scepticism between different Income Groups. This implies that Income Groups do not play a role in influencing individuals' Consumer Scepticism.</w:t>
      </w:r>
    </w:p>
    <w:p w14:paraId="3CB8701E" w14:textId="77777777" w:rsidR="00487CB5" w:rsidRDefault="00487CB5">
      <w:pPr>
        <w:jc w:val="both"/>
        <w:rPr>
          <w:rFonts w:ascii="Times New Roman" w:eastAsia="Times New Roman" w:hAnsi="Times New Roman" w:cs="Times New Roman"/>
          <w:shd w:val="clear" w:color="auto" w:fill="EA9999"/>
        </w:rPr>
      </w:pPr>
    </w:p>
    <w:p w14:paraId="0AB1FAA8"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Hypothesis 9.1 suggests that the relationship between personal norms and Green purchase is not mediated by Green Purchase intention, however, the rejection of this hypothesis indicates that Green Purchase intention significantly does mediate this relation. Green Purchase intention accounts for 68.71 % </w:t>
      </w:r>
      <w:proofErr w:type="gramStart"/>
      <w:r>
        <w:rPr>
          <w:rFonts w:ascii="Times New Roman" w:eastAsia="Times New Roman" w:hAnsi="Times New Roman" w:cs="Times New Roman"/>
        </w:rPr>
        <w:t>of  Personal</w:t>
      </w:r>
      <w:proofErr w:type="gramEnd"/>
      <w:r>
        <w:rPr>
          <w:rFonts w:ascii="Times New Roman" w:eastAsia="Times New Roman" w:hAnsi="Times New Roman" w:cs="Times New Roman"/>
        </w:rPr>
        <w:t xml:space="preserve"> Norms’ Effect on </w:t>
      </w:r>
      <w:proofErr w:type="spellStart"/>
      <w:r>
        <w:rPr>
          <w:rFonts w:ascii="Times New Roman" w:eastAsia="Times New Roman" w:hAnsi="Times New Roman" w:cs="Times New Roman"/>
        </w:rPr>
        <w:t>GreenPurchase</w:t>
      </w:r>
      <w:proofErr w:type="spellEnd"/>
      <w:r>
        <w:rPr>
          <w:rFonts w:ascii="Times New Roman" w:eastAsia="Times New Roman" w:hAnsi="Times New Roman" w:cs="Times New Roman"/>
        </w:rPr>
        <w:t>.</w:t>
      </w:r>
    </w:p>
    <w:p w14:paraId="68E9A4A5" w14:textId="77777777" w:rsidR="00487CB5" w:rsidRDefault="00487CB5">
      <w:pPr>
        <w:jc w:val="both"/>
        <w:rPr>
          <w:rFonts w:ascii="Times New Roman" w:eastAsia="Times New Roman" w:hAnsi="Times New Roman" w:cs="Times New Roman"/>
          <w:shd w:val="clear" w:color="auto" w:fill="EA9999"/>
        </w:rPr>
      </w:pPr>
    </w:p>
    <w:p w14:paraId="665E2ED2"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Hypothesis 9.2 suggests that the relationship between alternative evaluation and purchase outcome (satisfaction) is not mediated by consumer scepticism. However, rejection of this hypothesis suggests that consumer scepticism significantly does mediate this relation. Consumer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accounts for 44 % of Alternative Evaluation’s Effect on Consumer Satisfaction.</w:t>
      </w:r>
    </w:p>
    <w:p w14:paraId="4637292C" w14:textId="77777777" w:rsidR="00487CB5" w:rsidRDefault="00487CB5">
      <w:pPr>
        <w:jc w:val="both"/>
        <w:rPr>
          <w:rFonts w:ascii="Times New Roman" w:eastAsia="Times New Roman" w:hAnsi="Times New Roman" w:cs="Times New Roman"/>
          <w:shd w:val="clear" w:color="auto" w:fill="EA9999"/>
        </w:rPr>
      </w:pPr>
    </w:p>
    <w:p w14:paraId="4D3352A0"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Hypothesis 9.3 suggests that the relationship between Alternative evaluation and Green purchase is not mediated by consumer scepticism, however, rejection of this hypothesis suggests that consumer scepticism significantly does mediate this relation. Consumer scepticism accounts for 22% of alternative evaluation’s effect on green purchases.</w:t>
      </w:r>
    </w:p>
    <w:p w14:paraId="44F5B591" w14:textId="77777777" w:rsidR="00487CB5" w:rsidRDefault="00487CB5">
      <w:pPr>
        <w:rPr>
          <w:rFonts w:ascii="Times New Roman" w:eastAsia="Times New Roman" w:hAnsi="Times New Roman" w:cs="Times New Roman"/>
          <w:b/>
        </w:rPr>
      </w:pPr>
    </w:p>
    <w:p w14:paraId="214355AB"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2F3A3A5E" w14:textId="77777777" w:rsidR="00487CB5" w:rsidRDefault="00487CB5">
      <w:pPr>
        <w:rPr>
          <w:rFonts w:ascii="Times New Roman" w:eastAsia="Times New Roman" w:hAnsi="Times New Roman" w:cs="Times New Roman"/>
        </w:rPr>
      </w:pPr>
    </w:p>
    <w:p w14:paraId="67DDF94B" w14:textId="77777777" w:rsidR="00487CB5" w:rsidRDefault="002B62DD">
      <w:pPr>
        <w:jc w:val="both"/>
        <w:rPr>
          <w:rFonts w:ascii="Times New Roman" w:eastAsia="Times New Roman" w:hAnsi="Times New Roman" w:cs="Times New Roman"/>
        </w:rPr>
      </w:pPr>
      <w:r>
        <w:rPr>
          <w:rFonts w:ascii="Times New Roman" w:eastAsia="Times New Roman" w:hAnsi="Times New Roman" w:cs="Times New Roman"/>
        </w:rPr>
        <w:t xml:space="preserve">The paper focuses on the aspects of the method of purchase and what drives one towards clarity on what to buy. All the hypotheses point in the direction that personal norms affect the individual intent to purchase green products, along with how an individual comes to purchase certain products that are greener than others in any given market. The process of purchasing and evaluating choices was also included in the framework. The correlation between personal norms and green purchase intention that affects the inevitable purchase of green products, and given that the first hypothesis was rejected, it displays a positive correlation between these variables. This leads to the second part of the framework, the decision-making process. Purchasing influences the satisfaction or dissatisfaction that consumers feel toward any green product. Based on the result, they may feel entirely dissatisfied, or dissatisfaction may prompt scepticism and lead them to consider alternatives. This process can repeat in a cycle until the consumer is rendered satisfied with a given green product. The correlation between consumer scepticism due to greenwashing and the evaluation of alternatives implies the willingness of to reevaluate products and move through scepticism. It involves not just offering environmentally friendly </w:t>
      </w:r>
      <w:r>
        <w:rPr>
          <w:rFonts w:ascii="Times New Roman" w:eastAsia="Times New Roman" w:hAnsi="Times New Roman" w:cs="Times New Roman"/>
        </w:rPr>
        <w:lastRenderedPageBreak/>
        <w:t xml:space="preserve">products and materials for consumption but also ensuring that the effects of consumption on the environment are mitigated. Green buying is important for protecting the environment. It describes consumer purchasing practices that, to meet demands and enhance quality of life, reduce the creation of pollutants and harmful substances as well as the depletion of natural resources. (Shang et al., 2024) </w:t>
      </w:r>
    </w:p>
    <w:p w14:paraId="49B1A795" w14:textId="77777777" w:rsidR="00487CB5" w:rsidRDefault="00487CB5">
      <w:pPr>
        <w:rPr>
          <w:rFonts w:ascii="Times New Roman" w:eastAsia="Times New Roman" w:hAnsi="Times New Roman" w:cs="Times New Roman"/>
        </w:rPr>
      </w:pPr>
    </w:p>
    <w:p w14:paraId="3F76EA34"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w:t>
      </w:r>
    </w:p>
    <w:p w14:paraId="50039605" w14:textId="77777777" w:rsidR="00487CB5" w:rsidRDefault="00487CB5">
      <w:pPr>
        <w:rPr>
          <w:rFonts w:ascii="Times New Roman" w:eastAsia="Times New Roman" w:hAnsi="Times New Roman" w:cs="Times New Roman"/>
        </w:rPr>
      </w:pPr>
    </w:p>
    <w:p w14:paraId="349F227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The way in which respondents understand the questions and response alternatives may vary depending on their individual circumstances. For instance, different people may interpret the option "somewhat agree" differently. Thanks to convenient sampling, Vadodara students make up the majority of the sample. Furthermore, the sample lacks diversity because a higher percentage of individuals reside in cities than in rural areas. The study's inclusion criteria precluded individuals under the age of 18 and members of the LGBTQ+ community, hindering any meaningful examination of this group. Further research will be necessary to make broader generalisations, as the bulk of respondents are Indian nationals.</w:t>
      </w:r>
    </w:p>
    <w:p w14:paraId="57F94714" w14:textId="77777777" w:rsidR="00487CB5" w:rsidRDefault="00487CB5">
      <w:pPr>
        <w:rPr>
          <w:rFonts w:ascii="Times New Roman" w:eastAsia="Times New Roman" w:hAnsi="Times New Roman" w:cs="Times New Roman"/>
        </w:rPr>
      </w:pPr>
    </w:p>
    <w:p w14:paraId="1128B80A" w14:textId="77777777" w:rsidR="00487CB5" w:rsidRDefault="002B62D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Implications</w:t>
      </w:r>
    </w:p>
    <w:p w14:paraId="62290F14" w14:textId="77777777" w:rsidR="00487CB5" w:rsidRDefault="002B62DD">
      <w:pPr>
        <w:spacing w:before="240" w:after="240"/>
        <w:rPr>
          <w:rFonts w:ascii="Times New Roman" w:eastAsia="Times New Roman" w:hAnsi="Times New Roman" w:cs="Times New Roman"/>
        </w:rPr>
      </w:pPr>
      <w:r>
        <w:rPr>
          <w:rFonts w:ascii="Times New Roman" w:eastAsia="Times New Roman" w:hAnsi="Times New Roman" w:cs="Times New Roman"/>
        </w:rPr>
        <w:t>Personal norms may significantly shape consumer choices, an area that requires further research as it remains relatively unexplored. Understanding this connection could provide companies with valuable insights into consumer behaviour.</w:t>
      </w:r>
    </w:p>
    <w:p w14:paraId="5C345BFD" w14:textId="77777777" w:rsidR="00487CB5" w:rsidRDefault="002B62DD">
      <w:pPr>
        <w:spacing w:before="240" w:after="240"/>
        <w:rPr>
          <w:rFonts w:ascii="Times New Roman" w:eastAsia="Times New Roman" w:hAnsi="Times New Roman" w:cs="Times New Roman"/>
        </w:rPr>
      </w:pPr>
      <w:r>
        <w:rPr>
          <w:rFonts w:ascii="Times New Roman" w:eastAsia="Times New Roman" w:hAnsi="Times New Roman" w:cs="Times New Roman"/>
        </w:rPr>
        <w:t>Growing consumer interest in sustainable choices, with a willingness to adopt greener alternatives if they are affordable. This suggests that companies could benefit from making their eco-friendly products more accessible and cost-effective to meet this demand.</w:t>
      </w:r>
    </w:p>
    <w:p w14:paraId="5FB9DE10"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Greenwashing risks breaking trust in green marketing, fostering consumer scepticism and casting doubt on sustainability initiatives.</w:t>
      </w:r>
    </w:p>
    <w:p w14:paraId="7888EDE4" w14:textId="77777777" w:rsidR="00487CB5" w:rsidRDefault="00487CB5">
      <w:pPr>
        <w:rPr>
          <w:rFonts w:ascii="Times New Roman" w:eastAsia="Times New Roman" w:hAnsi="Times New Roman" w:cs="Times New Roman"/>
        </w:rPr>
      </w:pPr>
    </w:p>
    <w:p w14:paraId="381B3B1D"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With rising concern for sustainability, consumers are often willing to pay a premium for eco-friendly products. However, deceptive greenwashing tactics may shift consumer behaviour, ultimately harming companies that engage in such practices.</w:t>
      </w:r>
    </w:p>
    <w:p w14:paraId="07B7A7F9" w14:textId="77777777" w:rsidR="00487CB5" w:rsidRDefault="00487CB5">
      <w:pPr>
        <w:rPr>
          <w:rFonts w:ascii="Times New Roman" w:eastAsia="Times New Roman" w:hAnsi="Times New Roman" w:cs="Times New Roman"/>
        </w:rPr>
      </w:pPr>
    </w:p>
    <w:p w14:paraId="2BB3A62B"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Companies exposed for greenwashing can face lasting damage to their reputation. Negative publicity and consumer backlash may lead to a decline in trust, affecting both brand image and market share.</w:t>
      </w:r>
    </w:p>
    <w:p w14:paraId="25FA87A1" w14:textId="77777777" w:rsidR="00487CB5" w:rsidRDefault="00487CB5">
      <w:pPr>
        <w:rPr>
          <w:rFonts w:ascii="Times New Roman" w:eastAsia="Times New Roman" w:hAnsi="Times New Roman" w:cs="Times New Roman"/>
        </w:rPr>
      </w:pPr>
    </w:p>
    <w:p w14:paraId="1731F45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In contrast, companies that authentically invest in sustainable practices and transparently communicate these efforts have the opportunity to build customer trust and loyalty, enhancing brand perception, satisfaction, and long-term marketplace success. Greenwashing outcomes could also lead to a greater understanding among companies of consumer expectations and prompt more thoughtful, genuine approaches to green marketing practices.</w:t>
      </w:r>
    </w:p>
    <w:p w14:paraId="7276B68B" w14:textId="77777777" w:rsidR="00487CB5" w:rsidRDefault="00487CB5">
      <w:pPr>
        <w:rPr>
          <w:rFonts w:ascii="Times New Roman" w:eastAsia="Times New Roman" w:hAnsi="Times New Roman" w:cs="Times New Roman"/>
        </w:rPr>
      </w:pPr>
    </w:p>
    <w:p w14:paraId="4F45DAA5"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The study suggests that consumer scepticism toward greenwashing may fluctuate based on personal values, like a strong commitment to environmental protection. This implies that consumers with high personal standards may become more discerning in their purchases, gravitating toward trusted brands. </w:t>
      </w:r>
    </w:p>
    <w:p w14:paraId="45E1D85D" w14:textId="77777777" w:rsidR="00487CB5" w:rsidRDefault="00487CB5">
      <w:pPr>
        <w:rPr>
          <w:rFonts w:ascii="Times New Roman" w:eastAsia="Times New Roman" w:hAnsi="Times New Roman" w:cs="Times New Roman"/>
        </w:rPr>
      </w:pPr>
    </w:p>
    <w:p w14:paraId="04363B42"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The results highlight a potential need for further exploration into how consumer scepticism and personal norms jointly shape purchasing decisions, suggesting this area could benefit from a more </w:t>
      </w:r>
      <w:r>
        <w:rPr>
          <w:rFonts w:ascii="Times New Roman" w:eastAsia="Times New Roman" w:hAnsi="Times New Roman" w:cs="Times New Roman"/>
        </w:rPr>
        <w:lastRenderedPageBreak/>
        <w:t xml:space="preserve">focused study. </w:t>
      </w:r>
      <w:proofErr w:type="gramStart"/>
      <w:r>
        <w:rPr>
          <w:rFonts w:ascii="Times New Roman" w:eastAsia="Times New Roman" w:hAnsi="Times New Roman" w:cs="Times New Roman"/>
        </w:rPr>
        <w:t>Thus</w:t>
      </w:r>
      <w:proofErr w:type="gramEnd"/>
      <w:r>
        <w:rPr>
          <w:rFonts w:ascii="Times New Roman" w:eastAsia="Times New Roman" w:hAnsi="Times New Roman" w:cs="Times New Roman"/>
        </w:rPr>
        <w:t xml:space="preserve"> pointing to a potential need for new psychological models that examine the cognitive processes behind consumer reactions to greenwashing, offering deeper insights into the mental mechanisms at play.</w:t>
      </w:r>
    </w:p>
    <w:p w14:paraId="2F8C13CA" w14:textId="77777777" w:rsidR="00487CB5" w:rsidRDefault="00487CB5">
      <w:pPr>
        <w:rPr>
          <w:rFonts w:ascii="Times New Roman" w:eastAsia="Times New Roman" w:hAnsi="Times New Roman" w:cs="Times New Roman"/>
        </w:rPr>
      </w:pPr>
    </w:p>
    <w:p w14:paraId="359FBFF6" w14:textId="77777777" w:rsidR="00487CB5" w:rsidRDefault="002B62DD">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Access</w:t>
      </w:r>
    </w:p>
    <w:p w14:paraId="4C93FF15" w14:textId="1B39A7EF" w:rsidR="00487CB5" w:rsidRDefault="002B62D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that support the findings of this study are available on request from the corresponding </w:t>
      </w:r>
      <w:proofErr w:type="spellStart"/>
      <w:proofErr w:type="gramStart"/>
      <w:r>
        <w:rPr>
          <w:rFonts w:ascii="Times New Roman" w:eastAsia="Times New Roman" w:hAnsi="Times New Roman" w:cs="Times New Roman"/>
          <w:sz w:val="24"/>
          <w:szCs w:val="24"/>
        </w:rPr>
        <w:t>author</w:t>
      </w:r>
      <w:r w:rsidR="00BA4FBE">
        <w:rPr>
          <w:rFonts w:ascii="Times New Roman" w:eastAsia="Times New Roman" w:hAnsi="Times New Roman" w:cs="Times New Roman"/>
          <w:sz w:val="24"/>
          <w:szCs w:val="24"/>
        </w:rPr>
        <w:t>.</w:t>
      </w:r>
      <w:r>
        <w:rPr>
          <w:rFonts w:ascii="Times New Roman" w:eastAsia="Times New Roman" w:hAnsi="Times New Roman" w:cs="Times New Roman"/>
          <w:sz w:val="24"/>
          <w:szCs w:val="24"/>
        </w:rPr>
        <w:t>The</w:t>
      </w:r>
      <w:proofErr w:type="spellEnd"/>
      <w:proofErr w:type="gramEnd"/>
      <w:r>
        <w:rPr>
          <w:rFonts w:ascii="Times New Roman" w:eastAsia="Times New Roman" w:hAnsi="Times New Roman" w:cs="Times New Roman"/>
          <w:sz w:val="24"/>
          <w:szCs w:val="24"/>
        </w:rPr>
        <w:t xml:space="preserve"> data are not publicly available because they contain information that could compromise the privacy of research participants.</w:t>
      </w:r>
    </w:p>
    <w:p w14:paraId="64ADA3BD" w14:textId="77777777" w:rsidR="00487CB5" w:rsidRDefault="00487CB5">
      <w:pPr>
        <w:spacing w:before="240" w:after="240"/>
        <w:jc w:val="both"/>
        <w:rPr>
          <w:rFonts w:ascii="Times New Roman" w:eastAsia="Times New Roman" w:hAnsi="Times New Roman" w:cs="Times New Roman"/>
          <w:sz w:val="24"/>
          <w:szCs w:val="24"/>
        </w:rPr>
      </w:pPr>
    </w:p>
    <w:p w14:paraId="741D7B2E" w14:textId="77777777" w:rsidR="00806D74" w:rsidRPr="003A29C6" w:rsidRDefault="00806D74" w:rsidP="00806D74">
      <w:pPr>
        <w:jc w:val="both"/>
        <w:outlineLvl w:val="0"/>
      </w:pPr>
      <w:r w:rsidRPr="003A29C6">
        <w:rPr>
          <w:b/>
          <w:bCs/>
        </w:rPr>
        <w:t>COMPETING INTERESTS DISCLAIMER:</w:t>
      </w:r>
    </w:p>
    <w:p w14:paraId="2A0B8FCB" w14:textId="77777777" w:rsidR="00806D74" w:rsidRDefault="00806D74" w:rsidP="00806D74">
      <w:r w:rsidRPr="00A10EDE">
        <w:t>Authors have declared that they have no known competing financial interests OR non-financial interests OR personal relationships that could have appeared to influence the work reported in this paper.</w:t>
      </w:r>
    </w:p>
    <w:p w14:paraId="189830CC" w14:textId="77777777" w:rsidR="00806D74" w:rsidRDefault="00806D74" w:rsidP="00806D74"/>
    <w:p w14:paraId="39E4ED95" w14:textId="77777777" w:rsidR="00806D74" w:rsidRDefault="00806D74">
      <w:pPr>
        <w:spacing w:before="240" w:after="240"/>
        <w:jc w:val="both"/>
        <w:rPr>
          <w:rFonts w:ascii="Times New Roman" w:eastAsia="Times New Roman" w:hAnsi="Times New Roman" w:cs="Times New Roman"/>
          <w:sz w:val="24"/>
          <w:szCs w:val="24"/>
        </w:rPr>
      </w:pPr>
    </w:p>
    <w:p w14:paraId="6A2847C1" w14:textId="77777777" w:rsidR="00487CB5" w:rsidRDefault="00487CB5">
      <w:pPr>
        <w:rPr>
          <w:rFonts w:ascii="Times New Roman" w:eastAsia="Times New Roman" w:hAnsi="Times New Roman" w:cs="Times New Roman"/>
          <w:b/>
        </w:rPr>
      </w:pPr>
    </w:p>
    <w:p w14:paraId="2655A329" w14:textId="77777777" w:rsidR="00487CB5" w:rsidRDefault="002B62DD">
      <w:pPr>
        <w:rPr>
          <w:rFonts w:ascii="Times New Roman" w:eastAsia="Times New Roman" w:hAnsi="Times New Roman" w:cs="Times New Roman"/>
        </w:rPr>
      </w:pPr>
      <w:r>
        <w:rPr>
          <w:rFonts w:ascii="Times New Roman" w:eastAsia="Times New Roman" w:hAnsi="Times New Roman" w:cs="Times New Roman"/>
          <w:b/>
          <w:sz w:val="24"/>
          <w:szCs w:val="24"/>
        </w:rPr>
        <w:t>References</w:t>
      </w:r>
    </w:p>
    <w:p w14:paraId="3E6132E3" w14:textId="77777777" w:rsidR="00487CB5" w:rsidRDefault="002B62DD">
      <w:pPr>
        <w:rPr>
          <w:rFonts w:ascii="Times New Roman" w:eastAsia="Times New Roman" w:hAnsi="Times New Roman" w:cs="Times New Roman"/>
        </w:rPr>
      </w:pPr>
      <w:r>
        <w:rPr>
          <w:rFonts w:ascii="Times New Roman" w:eastAsia="Times New Roman" w:hAnsi="Times New Roman" w:cs="Times New Roman"/>
        </w:rPr>
        <w:t xml:space="preserve"> </w:t>
      </w:r>
    </w:p>
    <w:p w14:paraId="31EA03E2"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Aaker, D. A., &amp; Keller, K. L. (1990). Consumer evaluations of brand extensions. Journal of marketing, 54(1), 27-41. </w:t>
      </w:r>
      <w:hyperlink r:id="rId9">
        <w:r w:rsidR="00487CB5">
          <w:rPr>
            <w:rFonts w:ascii="Times New Roman" w:eastAsia="Times New Roman" w:hAnsi="Times New Roman" w:cs="Times New Roman"/>
            <w:color w:val="1155CC"/>
            <w:u w:val="single"/>
          </w:rPr>
          <w:t>https://journals.sagepub.com/doi/abs/10.1177/002224299005400102</w:t>
        </w:r>
      </w:hyperlink>
      <w:r>
        <w:rPr>
          <w:rFonts w:ascii="Times New Roman" w:eastAsia="Times New Roman" w:hAnsi="Times New Roman" w:cs="Times New Roman"/>
        </w:rPr>
        <w:t xml:space="preserve">  </w:t>
      </w:r>
    </w:p>
    <w:p w14:paraId="79A3D1A3" w14:textId="77777777" w:rsidR="00487CB5" w:rsidRDefault="00487CB5">
      <w:pPr>
        <w:ind w:left="283" w:firstLine="283"/>
        <w:rPr>
          <w:rFonts w:ascii="Times New Roman" w:eastAsia="Times New Roman" w:hAnsi="Times New Roman" w:cs="Times New Roman"/>
        </w:rPr>
      </w:pPr>
    </w:p>
    <w:p w14:paraId="1CAE4092" w14:textId="77777777" w:rsidR="00487CB5" w:rsidRDefault="002B62DD">
      <w:pPr>
        <w:ind w:left="283" w:firstLine="283"/>
        <w:rPr>
          <w:rFonts w:ascii="Times New Roman" w:eastAsia="Times New Roman" w:hAnsi="Times New Roman" w:cs="Times New Roman"/>
          <w:color w:val="1155CC"/>
          <w:u w:val="single"/>
        </w:rPr>
      </w:pPr>
      <w:r>
        <w:rPr>
          <w:rFonts w:ascii="Times New Roman" w:eastAsia="Times New Roman" w:hAnsi="Times New Roman" w:cs="Times New Roman"/>
        </w:rPr>
        <w:t xml:space="preserve">Aji, H. M., &amp; </w:t>
      </w:r>
      <w:proofErr w:type="spellStart"/>
      <w:r>
        <w:rPr>
          <w:rFonts w:ascii="Times New Roman" w:eastAsia="Times New Roman" w:hAnsi="Times New Roman" w:cs="Times New Roman"/>
        </w:rPr>
        <w:t>Sutikno</w:t>
      </w:r>
      <w:proofErr w:type="spellEnd"/>
      <w:r>
        <w:rPr>
          <w:rFonts w:ascii="Times New Roman" w:eastAsia="Times New Roman" w:hAnsi="Times New Roman" w:cs="Times New Roman"/>
        </w:rPr>
        <w:t xml:space="preserve">, B. (2015, December). The extended consequence of Greenwashing: Perceived consumer Scepticism. </w:t>
      </w:r>
      <w:r>
        <w:rPr>
          <w:rFonts w:ascii="Times New Roman" w:eastAsia="Times New Roman" w:hAnsi="Times New Roman" w:cs="Times New Roman"/>
          <w:color w:val="1155CC"/>
          <w:u w:val="single"/>
        </w:rPr>
        <w:t xml:space="preserve">https://www.researchgate.net/publication/296700585_The_Extended_Consequence_of_Greenwashing_Perceived_Consumer_Skepticism </w:t>
      </w:r>
    </w:p>
    <w:p w14:paraId="63EFD94F" w14:textId="77777777" w:rsidR="00487CB5" w:rsidRDefault="00487CB5">
      <w:pPr>
        <w:ind w:left="283" w:firstLine="283"/>
        <w:rPr>
          <w:rFonts w:ascii="Times New Roman" w:eastAsia="Times New Roman" w:hAnsi="Times New Roman" w:cs="Times New Roman"/>
          <w:color w:val="1155CC"/>
          <w:u w:val="single"/>
        </w:rPr>
      </w:pPr>
    </w:p>
    <w:p w14:paraId="0370955A"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Ajzen, I. (1991). The Theory of planned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Organizational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and Human Decision Processes. </w:t>
      </w:r>
      <w:hyperlink r:id="rId10">
        <w:r w:rsidR="00487CB5">
          <w:rPr>
            <w:rFonts w:ascii="Times New Roman" w:eastAsia="Times New Roman" w:hAnsi="Times New Roman" w:cs="Times New Roman"/>
            <w:color w:val="1155CC"/>
            <w:u w:val="single"/>
          </w:rPr>
          <w:t>https://doi.org/10.4135/9781446249215.n22</w:t>
        </w:r>
      </w:hyperlink>
    </w:p>
    <w:p w14:paraId="111E5585" w14:textId="77777777" w:rsidR="00487CB5" w:rsidRDefault="00487CB5">
      <w:pPr>
        <w:ind w:left="283" w:firstLine="283"/>
        <w:rPr>
          <w:rFonts w:ascii="Times New Roman" w:eastAsia="Times New Roman" w:hAnsi="Times New Roman" w:cs="Times New Roman"/>
        </w:rPr>
      </w:pPr>
    </w:p>
    <w:p w14:paraId="53C38F28"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Babin, B. J., Darden, W. R., &amp; Griffin, M. (1994). Work and/or fun: measuring hedonic and utilitarian shopping value. Journal of consumer research, 20(4), 644-656. </w:t>
      </w:r>
      <w:hyperlink r:id="rId11">
        <w:r w:rsidR="00487CB5">
          <w:rPr>
            <w:rFonts w:ascii="Times New Roman" w:eastAsia="Times New Roman" w:hAnsi="Times New Roman" w:cs="Times New Roman"/>
            <w:color w:val="1155CC"/>
            <w:u w:val="single"/>
          </w:rPr>
          <w:t>https://academic.oup.com/jcr/article-abstract/20/4/644/1798609</w:t>
        </w:r>
      </w:hyperlink>
      <w:r>
        <w:rPr>
          <w:rFonts w:ascii="Times New Roman" w:eastAsia="Times New Roman" w:hAnsi="Times New Roman" w:cs="Times New Roman"/>
        </w:rPr>
        <w:t xml:space="preserve">  </w:t>
      </w:r>
    </w:p>
    <w:p w14:paraId="1057C215" w14:textId="77777777" w:rsidR="00487CB5" w:rsidRDefault="00487CB5">
      <w:pPr>
        <w:ind w:left="283" w:firstLine="283"/>
        <w:rPr>
          <w:rFonts w:ascii="Times New Roman" w:eastAsia="Times New Roman" w:hAnsi="Times New Roman" w:cs="Times New Roman"/>
        </w:rPr>
      </w:pPr>
    </w:p>
    <w:p w14:paraId="11BD5D39"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Bansal, H. S., &amp; Voyer, P. A. (2000). Word-of-mouth processes within a services purchase decision context. Journal of service research, 3(2), 166-177. </w:t>
      </w:r>
      <w:hyperlink r:id="rId12">
        <w:r w:rsidR="00487CB5">
          <w:rPr>
            <w:rFonts w:ascii="Times New Roman" w:eastAsia="Times New Roman" w:hAnsi="Times New Roman" w:cs="Times New Roman"/>
            <w:color w:val="1155CC"/>
            <w:u w:val="single"/>
          </w:rPr>
          <w:t>https://journals.sagepub.com/doi/abs/10.1177/109467050032005</w:t>
        </w:r>
      </w:hyperlink>
      <w:r>
        <w:rPr>
          <w:rFonts w:ascii="Times New Roman" w:eastAsia="Times New Roman" w:hAnsi="Times New Roman" w:cs="Times New Roman"/>
        </w:rPr>
        <w:t xml:space="preserve"> </w:t>
      </w:r>
    </w:p>
    <w:p w14:paraId="28AE1306" w14:textId="77777777" w:rsidR="00487CB5" w:rsidRDefault="00487CB5">
      <w:pPr>
        <w:ind w:left="283" w:firstLine="283"/>
        <w:rPr>
          <w:rFonts w:ascii="Times New Roman" w:eastAsia="Times New Roman" w:hAnsi="Times New Roman" w:cs="Times New Roman"/>
        </w:rPr>
      </w:pPr>
    </w:p>
    <w:p w14:paraId="391C9350" w14:textId="77777777"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Bhrambhatt</w:t>
      </w:r>
      <w:proofErr w:type="spellEnd"/>
      <w:r>
        <w:rPr>
          <w:rFonts w:ascii="Times New Roman" w:eastAsia="Times New Roman" w:hAnsi="Times New Roman" w:cs="Times New Roman"/>
        </w:rPr>
        <w:t xml:space="preserve">, V. (2023). Personality Assessment of Green Consumers using the Big Five Model (OCEAN). </w:t>
      </w:r>
      <w:hyperlink r:id="rId13">
        <w:r w:rsidR="00487CB5">
          <w:rPr>
            <w:rFonts w:ascii="Times New Roman" w:eastAsia="Times New Roman" w:hAnsi="Times New Roman" w:cs="Times New Roman"/>
            <w:color w:val="1155CC"/>
            <w:u w:val="single"/>
          </w:rPr>
          <w:t>https://zenodo.org/records/10314871</w:t>
        </w:r>
      </w:hyperlink>
      <w:r>
        <w:rPr>
          <w:rFonts w:ascii="Times New Roman" w:eastAsia="Times New Roman" w:hAnsi="Times New Roman" w:cs="Times New Roman"/>
        </w:rPr>
        <w:t xml:space="preserve"> </w:t>
      </w:r>
    </w:p>
    <w:p w14:paraId="184C3E81" w14:textId="77777777" w:rsidR="00487CB5" w:rsidRDefault="00487CB5">
      <w:pPr>
        <w:ind w:left="283" w:firstLine="283"/>
        <w:rPr>
          <w:rFonts w:ascii="Times New Roman" w:eastAsia="Times New Roman" w:hAnsi="Times New Roman" w:cs="Times New Roman"/>
        </w:rPr>
      </w:pPr>
    </w:p>
    <w:p w14:paraId="4006978E" w14:textId="77777777" w:rsidR="00487CB5" w:rsidRDefault="002B62DD">
      <w:pPr>
        <w:ind w:left="283" w:firstLine="283"/>
        <w:rPr>
          <w:rFonts w:ascii="Times New Roman" w:eastAsia="Times New Roman" w:hAnsi="Times New Roman" w:cs="Times New Roman"/>
          <w:color w:val="1155CC"/>
          <w:u w:val="single"/>
        </w:rPr>
      </w:pPr>
      <w:r>
        <w:rPr>
          <w:rFonts w:ascii="Times New Roman" w:eastAsia="Times New Roman" w:hAnsi="Times New Roman" w:cs="Times New Roman"/>
        </w:rPr>
        <w:lastRenderedPageBreak/>
        <w:t xml:space="preserve">Braga, S., Martínez, M. P., Correa, C. M., Moura-Leite, R. C., &amp; Da Silva, D. (2019, July 15). Greenwashing effect, attitudes, and beliefs in green consumption. RAUSP Management Journal. </w:t>
      </w:r>
      <w:r>
        <w:rPr>
          <w:rFonts w:ascii="Times New Roman" w:eastAsia="Times New Roman" w:hAnsi="Times New Roman" w:cs="Times New Roman"/>
          <w:color w:val="1155CC"/>
          <w:u w:val="single"/>
        </w:rPr>
        <w:t xml:space="preserve">https://www.scielo.br/j/rmj/a/j8KWHs8k4XfndmpPCcG9f6f/?lang=en# </w:t>
      </w:r>
    </w:p>
    <w:p w14:paraId="57F1015E" w14:textId="77777777" w:rsidR="00487CB5" w:rsidRDefault="00487CB5">
      <w:pPr>
        <w:ind w:left="283" w:firstLine="283"/>
        <w:rPr>
          <w:rFonts w:ascii="Times New Roman" w:eastAsia="Times New Roman" w:hAnsi="Times New Roman" w:cs="Times New Roman"/>
        </w:rPr>
      </w:pPr>
    </w:p>
    <w:p w14:paraId="53CE6ABC"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Brown, J. J., &amp; </w:t>
      </w:r>
      <w:proofErr w:type="spellStart"/>
      <w:r>
        <w:rPr>
          <w:rFonts w:ascii="Times New Roman" w:eastAsia="Times New Roman" w:hAnsi="Times New Roman" w:cs="Times New Roman"/>
        </w:rPr>
        <w:t>Reingen</w:t>
      </w:r>
      <w:proofErr w:type="spellEnd"/>
      <w:r>
        <w:rPr>
          <w:rFonts w:ascii="Times New Roman" w:eastAsia="Times New Roman" w:hAnsi="Times New Roman" w:cs="Times New Roman"/>
        </w:rPr>
        <w:t xml:space="preserve">, P. H. (1987). Social ties and word-of-mouth referral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Journal of Consumer research, 14(3), 350-362. </w:t>
      </w:r>
      <w:hyperlink r:id="rId14">
        <w:r w:rsidR="00487CB5">
          <w:rPr>
            <w:rFonts w:ascii="Times New Roman" w:eastAsia="Times New Roman" w:hAnsi="Times New Roman" w:cs="Times New Roman"/>
            <w:color w:val="1155CC"/>
            <w:u w:val="single"/>
          </w:rPr>
          <w:t>https://academic.oup.com/jcr/article-abstract/14/3/350/1820141</w:t>
        </w:r>
      </w:hyperlink>
    </w:p>
    <w:p w14:paraId="30E1843E" w14:textId="77777777" w:rsidR="00487CB5" w:rsidRDefault="00487CB5">
      <w:pPr>
        <w:ind w:left="283" w:firstLine="283"/>
        <w:rPr>
          <w:rFonts w:ascii="Times New Roman" w:eastAsia="Times New Roman" w:hAnsi="Times New Roman" w:cs="Times New Roman"/>
        </w:rPr>
      </w:pPr>
    </w:p>
    <w:p w14:paraId="569AFF1C"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Chan, R. Y. (2001). Determinants of Chinese consumers' green purchase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Psychology &amp; marketing, 18(4), 389-413.  </w:t>
      </w:r>
      <w:hyperlink r:id="rId15">
        <w:r w:rsidR="00487CB5">
          <w:rPr>
            <w:rFonts w:ascii="Times New Roman" w:eastAsia="Times New Roman" w:hAnsi="Times New Roman" w:cs="Times New Roman"/>
            <w:color w:val="1155CC"/>
            <w:u w:val="single"/>
          </w:rPr>
          <w:t>https://doi.org/10.1002/mar.1013</w:t>
        </w:r>
      </w:hyperlink>
      <w:r>
        <w:rPr>
          <w:rFonts w:ascii="Times New Roman" w:eastAsia="Times New Roman" w:hAnsi="Times New Roman" w:cs="Times New Roman"/>
        </w:rPr>
        <w:t xml:space="preserve"> </w:t>
      </w:r>
    </w:p>
    <w:p w14:paraId="1339C50B" w14:textId="77777777" w:rsidR="00487CB5" w:rsidRDefault="00487CB5">
      <w:pPr>
        <w:ind w:left="283" w:firstLine="283"/>
        <w:rPr>
          <w:rFonts w:ascii="Times New Roman" w:eastAsia="Times New Roman" w:hAnsi="Times New Roman" w:cs="Times New Roman"/>
        </w:rPr>
      </w:pPr>
    </w:p>
    <w:p w14:paraId="2A48F1BE" w14:textId="77777777" w:rsidR="00487CB5" w:rsidRDefault="002B62DD">
      <w:pPr>
        <w:ind w:left="283" w:firstLine="283"/>
        <w:rPr>
          <w:rFonts w:ascii="Times New Roman" w:eastAsia="Times New Roman" w:hAnsi="Times New Roman" w:cs="Times New Roman"/>
          <w:color w:val="1155CC"/>
          <w:u w:val="single"/>
        </w:rPr>
      </w:pPr>
      <w:r>
        <w:rPr>
          <w:rFonts w:ascii="Times New Roman" w:eastAsia="Times New Roman" w:hAnsi="Times New Roman" w:cs="Times New Roman"/>
        </w:rPr>
        <w:t xml:space="preserve">Chandra, A. (n.d.). The Role of anticipated Pride and Guilt on Pro Environmental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Based on the Norm Activation Model (NAM): A study based on green-</w:t>
      </w:r>
      <w:proofErr w:type="spellStart"/>
      <w:r>
        <w:rPr>
          <w:rFonts w:ascii="Times New Roman" w:eastAsia="Times New Roman" w:hAnsi="Times New Roman" w:cs="Times New Roman"/>
        </w:rPr>
        <w:t>labeled</w:t>
      </w:r>
      <w:proofErr w:type="spellEnd"/>
      <w:r>
        <w:rPr>
          <w:rFonts w:ascii="Times New Roman" w:eastAsia="Times New Roman" w:hAnsi="Times New Roman" w:cs="Times New Roman"/>
        </w:rPr>
        <w:t xml:space="preserve"> chicken sold in major supermarket chains in the Netherlands. Faculty of Management, Radboud University, Nijmegen, the Netherlands. </w:t>
      </w:r>
      <w:r>
        <w:rPr>
          <w:rFonts w:ascii="Times New Roman" w:eastAsia="Times New Roman" w:hAnsi="Times New Roman" w:cs="Times New Roman"/>
          <w:color w:val="1155CC"/>
          <w:u w:val="single"/>
        </w:rPr>
        <w:t xml:space="preserve">https://theses.ubn.ru.nl/server/api/core/bitstreams/99bd1cd2-c1e8-4ba8-8c36-02711cb1cfce/content </w:t>
      </w:r>
    </w:p>
    <w:p w14:paraId="4B6EC915" w14:textId="77777777" w:rsidR="00487CB5" w:rsidRDefault="00487CB5">
      <w:pPr>
        <w:ind w:left="283" w:firstLine="283"/>
        <w:rPr>
          <w:rFonts w:ascii="Times New Roman" w:eastAsia="Times New Roman" w:hAnsi="Times New Roman" w:cs="Times New Roman"/>
        </w:rPr>
      </w:pPr>
    </w:p>
    <w:p w14:paraId="74251A45"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Chen, T. B., &amp; Chai, L. T. (2010). Attitude towards the environment and green products: Consumers’ perspective. Management science and engineering, 4(2), 27-39</w:t>
      </w:r>
    </w:p>
    <w:p w14:paraId="4E6DBBA2" w14:textId="77777777" w:rsidR="00487CB5" w:rsidRDefault="00487CB5">
      <w:pPr>
        <w:ind w:left="283" w:firstLine="283"/>
        <w:rPr>
          <w:rFonts w:ascii="Times New Roman" w:eastAsia="Times New Roman" w:hAnsi="Times New Roman" w:cs="Times New Roman"/>
        </w:rPr>
      </w:pPr>
    </w:p>
    <w:p w14:paraId="62C40559"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Chen, Y. S., &amp; Chang, C. H. (2013). Greenwash and green trust: The mediation effects of green consumer confusion and green perceived risk. Journal of business ethics, 114, 489-500.  </w:t>
      </w:r>
    </w:p>
    <w:p w14:paraId="150E1CD3" w14:textId="77777777" w:rsidR="00487CB5" w:rsidRDefault="00487CB5">
      <w:pPr>
        <w:ind w:left="283" w:firstLine="283"/>
        <w:rPr>
          <w:rFonts w:ascii="Times New Roman" w:eastAsia="Times New Roman" w:hAnsi="Times New Roman" w:cs="Times New Roman"/>
        </w:rPr>
      </w:pPr>
    </w:p>
    <w:p w14:paraId="597476EF" w14:textId="77777777"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Emekci</w:t>
      </w:r>
      <w:proofErr w:type="spellEnd"/>
      <w:r>
        <w:rPr>
          <w:rFonts w:ascii="Times New Roman" w:eastAsia="Times New Roman" w:hAnsi="Times New Roman" w:cs="Times New Roman"/>
        </w:rPr>
        <w:t xml:space="preserve">, S. (2019). Green consumption behaviours of consumers within the scope of TPB. Journal of Consumer Marketing, 36(3), 410-417. </w:t>
      </w:r>
      <w:hyperlink r:id="rId16">
        <w:r w:rsidR="00487CB5">
          <w:rPr>
            <w:rFonts w:ascii="Times New Roman" w:eastAsia="Times New Roman" w:hAnsi="Times New Roman" w:cs="Times New Roman"/>
            <w:color w:val="1155CC"/>
            <w:u w:val="single"/>
          </w:rPr>
          <w:t>https://www.emerald.com/insight/content/doi/10.1108/JCM-05-2018-2694/full/html</w:t>
        </w:r>
      </w:hyperlink>
      <w:r>
        <w:rPr>
          <w:rFonts w:ascii="Times New Roman" w:eastAsia="Times New Roman" w:hAnsi="Times New Roman" w:cs="Times New Roman"/>
        </w:rPr>
        <w:t xml:space="preserve"> </w:t>
      </w:r>
    </w:p>
    <w:p w14:paraId="64039613" w14:textId="77777777" w:rsidR="00487CB5" w:rsidRDefault="00487CB5">
      <w:pPr>
        <w:ind w:left="283" w:firstLine="283"/>
        <w:rPr>
          <w:rFonts w:ascii="Times New Roman" w:eastAsia="Times New Roman" w:hAnsi="Times New Roman" w:cs="Times New Roman"/>
        </w:rPr>
      </w:pPr>
    </w:p>
    <w:p w14:paraId="78A13C47"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Engel, J.F., Blackwell, R.D., &amp; Miniard, P.W., (1995). Consumer behaviour, 8th ed. Fort Worth: Dryden Press. </w:t>
      </w:r>
    </w:p>
    <w:p w14:paraId="5C9266C7" w14:textId="77777777"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Foreh</w:t>
      </w:r>
      <w:proofErr w:type="spellEnd"/>
      <w:r>
        <w:rPr>
          <w:rFonts w:ascii="Times New Roman" w:eastAsia="Times New Roman" w:hAnsi="Times New Roman" w:cs="Times New Roman"/>
        </w:rPr>
        <w:t xml:space="preserve">, M. R., &amp; Grier, S. (2003). When is honesty the best policy? The effect of stated company intent on consumer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Journal of consumer psychology, 13(3), 349-356. </w:t>
      </w:r>
      <w:hyperlink r:id="rId17">
        <w:r w:rsidR="00487CB5">
          <w:rPr>
            <w:rFonts w:ascii="Times New Roman" w:eastAsia="Times New Roman" w:hAnsi="Times New Roman" w:cs="Times New Roman"/>
            <w:color w:val="1155CC"/>
            <w:u w:val="single"/>
          </w:rPr>
          <w:t>https://doi.org/10.1207/S15327663JCP1303_15</w:t>
        </w:r>
      </w:hyperlink>
      <w:r>
        <w:rPr>
          <w:rFonts w:ascii="Times New Roman" w:eastAsia="Times New Roman" w:hAnsi="Times New Roman" w:cs="Times New Roman"/>
        </w:rPr>
        <w:t xml:space="preserve"> </w:t>
      </w:r>
    </w:p>
    <w:p w14:paraId="777DCB36" w14:textId="77777777" w:rsidR="00487CB5" w:rsidRDefault="00487CB5">
      <w:pPr>
        <w:ind w:left="283" w:firstLine="283"/>
        <w:rPr>
          <w:rFonts w:ascii="Times New Roman" w:eastAsia="Times New Roman" w:hAnsi="Times New Roman" w:cs="Times New Roman"/>
        </w:rPr>
      </w:pPr>
    </w:p>
    <w:p w14:paraId="2FE9DE8A"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Gay, R., Charlesworth, A., &amp; Esen, R. (2010). Online marketing: A customer-led approach. Oxford university press. </w:t>
      </w:r>
      <w:hyperlink r:id="rId18" w:anchor="v=onepage&amp;q=gay%20r%20charlesworth&amp;f=false">
        <w:r w:rsidR="00487CB5">
          <w:rPr>
            <w:rFonts w:ascii="Times New Roman" w:eastAsia="Times New Roman" w:hAnsi="Times New Roman" w:cs="Times New Roman"/>
            <w:color w:val="1155CC"/>
            <w:u w:val="single"/>
          </w:rPr>
          <w:t>https://books.google.co.in/books?hl=en&amp;lr=&amp;id=wLipF4vctU4C&amp;oi=fnd&amp;pg=PR11&amp;dq=gay+r+charlesworth&amp;ots=Y804Gl8qEF&amp;sig=MQ_SRRuLRBFHrukRpCb2pB4fs-A&amp;redir_esc=y#v=onepage&amp;q=gay%20r%20charlesworth&amp;f=false</w:t>
        </w:r>
      </w:hyperlink>
    </w:p>
    <w:p w14:paraId="3A0B1ACA" w14:textId="77777777" w:rsidR="00487CB5" w:rsidRDefault="00487CB5">
      <w:pPr>
        <w:ind w:left="283" w:firstLine="283"/>
        <w:rPr>
          <w:rFonts w:ascii="Times New Roman" w:eastAsia="Times New Roman" w:hAnsi="Times New Roman" w:cs="Times New Roman"/>
        </w:rPr>
      </w:pPr>
    </w:p>
    <w:p w14:paraId="570F9C3C"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Goh, S. K., &amp; Balaji, M. S. (2016). Linking green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to green purchase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Journal of Cleaner Production, 131, 629-638. </w:t>
      </w:r>
      <w:hyperlink r:id="rId19">
        <w:r w:rsidR="00487CB5">
          <w:rPr>
            <w:rFonts w:ascii="Times New Roman" w:eastAsia="Times New Roman" w:hAnsi="Times New Roman" w:cs="Times New Roman"/>
            <w:color w:val="1155CC"/>
            <w:u w:val="single"/>
          </w:rPr>
          <w:t>https://doi.org/10.1016/j.jclepro.2016.04.122</w:t>
        </w:r>
      </w:hyperlink>
      <w:r>
        <w:rPr>
          <w:rFonts w:ascii="Times New Roman" w:eastAsia="Times New Roman" w:hAnsi="Times New Roman" w:cs="Times New Roman"/>
        </w:rPr>
        <w:t xml:space="preserve"> </w:t>
      </w:r>
    </w:p>
    <w:p w14:paraId="0CE9965F" w14:textId="77777777" w:rsidR="00487CB5" w:rsidRDefault="00487CB5">
      <w:pPr>
        <w:ind w:left="283" w:firstLine="283"/>
        <w:rPr>
          <w:rFonts w:ascii="Times New Roman" w:eastAsia="Times New Roman" w:hAnsi="Times New Roman" w:cs="Times New Roman"/>
        </w:rPr>
      </w:pPr>
    </w:p>
    <w:p w14:paraId="783A758D" w14:textId="77777777" w:rsidR="00487CB5" w:rsidRDefault="002B62DD">
      <w:pPr>
        <w:ind w:left="283" w:firstLine="283"/>
        <w:rPr>
          <w:rFonts w:ascii="Times New Roman" w:eastAsia="Times New Roman" w:hAnsi="Times New Roman" w:cs="Times New Roman"/>
        </w:rPr>
      </w:pPr>
      <w:proofErr w:type="gramStart"/>
      <w:r>
        <w:rPr>
          <w:rFonts w:ascii="Times New Roman" w:eastAsia="Times New Roman" w:hAnsi="Times New Roman" w:cs="Times New Roman"/>
        </w:rPr>
        <w:t>Gupta ,</w:t>
      </w:r>
      <w:proofErr w:type="gramEnd"/>
      <w:r>
        <w:rPr>
          <w:rFonts w:ascii="Times New Roman" w:eastAsia="Times New Roman" w:hAnsi="Times New Roman" w:cs="Times New Roman"/>
        </w:rPr>
        <w:t xml:space="preserve"> V. (2022, January 16). </w:t>
      </w:r>
      <w:proofErr w:type="spellStart"/>
      <w:r>
        <w:rPr>
          <w:rFonts w:ascii="Times New Roman" w:eastAsia="Times New Roman" w:hAnsi="Times New Roman" w:cs="Times New Roman"/>
        </w:rPr>
        <w:t>Enchancing</w:t>
      </w:r>
      <w:proofErr w:type="spellEnd"/>
      <w:r>
        <w:rPr>
          <w:rFonts w:ascii="Times New Roman" w:eastAsia="Times New Roman" w:hAnsi="Times New Roman" w:cs="Times New Roman"/>
        </w:rPr>
        <w:t xml:space="preserve"> Green Product Purchase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The role of Green Satisfaction and Green Loyalty. International Journal on Customer Relations. </w:t>
      </w:r>
      <w:r>
        <w:rPr>
          <w:rFonts w:ascii="Times New Roman" w:eastAsia="Times New Roman" w:hAnsi="Times New Roman" w:cs="Times New Roman"/>
          <w:color w:val="1155CC"/>
          <w:u w:val="single"/>
        </w:rPr>
        <w:t xml:space="preserve">https://www.researchgate.net/publication/357870288_ENCHANCING_GREEN_PRODUCT_PURCHASE_BEHAVIOR_THE_ROLE_OF_GREEN_SATISFACTION_AND_GREEN_LOYALTY </w:t>
      </w:r>
    </w:p>
    <w:p w14:paraId="75BCA784" w14:textId="77777777" w:rsidR="00487CB5" w:rsidRDefault="00487CB5">
      <w:pPr>
        <w:ind w:left="283" w:firstLine="283"/>
        <w:rPr>
          <w:rFonts w:ascii="Times New Roman" w:eastAsia="Times New Roman" w:hAnsi="Times New Roman" w:cs="Times New Roman"/>
        </w:rPr>
      </w:pPr>
    </w:p>
    <w:p w14:paraId="6173788C"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lastRenderedPageBreak/>
        <w:t xml:space="preserve">Harland, P., Staats, H., &amp; Wilke, H. A. (2007). Situational and personality factors as direct or personal norm mediated predictors of pro-environmental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Questions derived from norm-activation theory. Basic and applied social psychology, 29(4), 323-334. </w:t>
      </w:r>
      <w:hyperlink r:id="rId20">
        <w:r w:rsidR="00487CB5">
          <w:rPr>
            <w:rFonts w:ascii="Times New Roman" w:eastAsia="Times New Roman" w:hAnsi="Times New Roman" w:cs="Times New Roman"/>
            <w:color w:val="1155CC"/>
            <w:u w:val="single"/>
          </w:rPr>
          <w:t>https://www.tandfonline.com/doi/abs/10.1080/01973530701665058</w:t>
        </w:r>
      </w:hyperlink>
      <w:r>
        <w:rPr>
          <w:rFonts w:ascii="Times New Roman" w:eastAsia="Times New Roman" w:hAnsi="Times New Roman" w:cs="Times New Roman"/>
        </w:rPr>
        <w:t xml:space="preserve"> </w:t>
      </w:r>
    </w:p>
    <w:p w14:paraId="25E48DF8" w14:textId="77777777" w:rsidR="00487CB5" w:rsidRDefault="00487CB5">
      <w:pPr>
        <w:ind w:left="283" w:firstLine="283"/>
        <w:rPr>
          <w:rFonts w:ascii="Times New Roman" w:eastAsia="Times New Roman" w:hAnsi="Times New Roman" w:cs="Times New Roman"/>
        </w:rPr>
      </w:pPr>
    </w:p>
    <w:p w14:paraId="4C272747"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Joshi, Y., &amp; Rahman, Z. (2015). Factors affecting green purchase behaviour and future research directions. International Strategic management review, 3(1-2), 128-143.</w:t>
      </w:r>
    </w:p>
    <w:p w14:paraId="151AB3E0" w14:textId="77777777" w:rsidR="00487CB5" w:rsidRDefault="00487CB5">
      <w:pPr>
        <w:ind w:left="283" w:firstLine="283"/>
        <w:rPr>
          <w:rFonts w:ascii="Times New Roman" w:eastAsia="Times New Roman" w:hAnsi="Times New Roman" w:cs="Times New Roman"/>
        </w:rPr>
      </w:pPr>
    </w:p>
    <w:p w14:paraId="3C734D20"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Khandelwal, M., Sharma, A., &amp; Jain, V. (2019). Greenwashing: A study on the effects of greenwashing on consumer perception and trust build-up. Research Review International Journal of Multidisciplinary, 4(1), 607-612. </w:t>
      </w:r>
    </w:p>
    <w:p w14:paraId="2E6299AC" w14:textId="77777777" w:rsidR="00487CB5" w:rsidRDefault="00487CB5">
      <w:pPr>
        <w:ind w:left="283" w:firstLine="283"/>
        <w:rPr>
          <w:rFonts w:ascii="Times New Roman" w:eastAsia="Times New Roman" w:hAnsi="Times New Roman" w:cs="Times New Roman"/>
        </w:rPr>
      </w:pPr>
    </w:p>
    <w:p w14:paraId="17AE152F" w14:textId="77777777" w:rsidR="00487CB5" w:rsidRDefault="002B62DD">
      <w:pPr>
        <w:ind w:left="283" w:firstLine="283"/>
        <w:rPr>
          <w:rFonts w:ascii="Times New Roman" w:eastAsia="Times New Roman" w:hAnsi="Times New Roman" w:cs="Times New Roman"/>
          <w:color w:val="1155CC"/>
          <w:u w:val="single"/>
        </w:rPr>
      </w:pPr>
      <w:proofErr w:type="gramStart"/>
      <w:r>
        <w:rPr>
          <w:rFonts w:ascii="Times New Roman" w:eastAsia="Times New Roman" w:hAnsi="Times New Roman" w:cs="Times New Roman"/>
        </w:rPr>
        <w:t>Li  ,</w:t>
      </w:r>
      <w:proofErr w:type="gramEnd"/>
      <w:r>
        <w:rPr>
          <w:rFonts w:ascii="Times New Roman" w:eastAsia="Times New Roman" w:hAnsi="Times New Roman" w:cs="Times New Roman"/>
        </w:rPr>
        <w:t xml:space="preserve"> J., </w:t>
      </w:r>
      <w:proofErr w:type="gramStart"/>
      <w:r>
        <w:rPr>
          <w:rFonts w:ascii="Times New Roman" w:eastAsia="Times New Roman" w:hAnsi="Times New Roman" w:cs="Times New Roman"/>
        </w:rPr>
        <w:t>Han ,</w:t>
      </w:r>
      <w:proofErr w:type="gramEnd"/>
      <w:r>
        <w:rPr>
          <w:rFonts w:ascii="Times New Roman" w:eastAsia="Times New Roman" w:hAnsi="Times New Roman" w:cs="Times New Roman"/>
        </w:rPr>
        <w:t xml:space="preserve"> J., &amp; Qiu, Z. (2021, May 24). An empirical study on greenwashing and consumers’ ... </w:t>
      </w:r>
      <w:r>
        <w:rPr>
          <w:rFonts w:ascii="Times New Roman" w:eastAsia="Times New Roman" w:hAnsi="Times New Roman" w:cs="Times New Roman"/>
          <w:color w:val="1155CC"/>
          <w:u w:val="single"/>
        </w:rPr>
        <w:t xml:space="preserve">https://www.diva-portal.org/smash/get/diva2:1561441/FULLTEXT01.pdf </w:t>
      </w:r>
    </w:p>
    <w:p w14:paraId="0C6F5A4F" w14:textId="77777777" w:rsidR="00487CB5" w:rsidRDefault="00487CB5">
      <w:pPr>
        <w:ind w:left="283" w:firstLine="283"/>
        <w:rPr>
          <w:rFonts w:ascii="Times New Roman" w:eastAsia="Times New Roman" w:hAnsi="Times New Roman" w:cs="Times New Roman"/>
        </w:rPr>
      </w:pPr>
    </w:p>
    <w:p w14:paraId="26E83EF3"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Lyon, T. P., &amp; Maxwell, J. W. (2011). Greenwash: Corporate environmental disclosure under threat of audit. Journal of economics &amp; management strategy, 20(1), 3-41. </w:t>
      </w:r>
    </w:p>
    <w:p w14:paraId="36C3B73C" w14:textId="77777777" w:rsidR="00487CB5" w:rsidRDefault="00487CB5">
      <w:pPr>
        <w:ind w:left="283" w:firstLine="283"/>
        <w:rPr>
          <w:rFonts w:ascii="Times New Roman" w:eastAsia="Times New Roman" w:hAnsi="Times New Roman" w:cs="Times New Roman"/>
        </w:rPr>
      </w:pPr>
    </w:p>
    <w:p w14:paraId="0D59532A"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Mimouni Chaabane, A., &amp; </w:t>
      </w:r>
      <w:proofErr w:type="spellStart"/>
      <w:r>
        <w:rPr>
          <w:rFonts w:ascii="Times New Roman" w:eastAsia="Times New Roman" w:hAnsi="Times New Roman" w:cs="Times New Roman"/>
        </w:rPr>
        <w:t>Parguel</w:t>
      </w:r>
      <w:proofErr w:type="spellEnd"/>
      <w:r>
        <w:rPr>
          <w:rFonts w:ascii="Times New Roman" w:eastAsia="Times New Roman" w:hAnsi="Times New Roman" w:cs="Times New Roman"/>
        </w:rPr>
        <w:t xml:space="preserve">, B. (2016). The double-edge effect of retailers’ cause-related marketing: When scepticism cools the warm-glow effect. International Journal of Retail &amp; Distribution Management, 44(6), 607-626. </w:t>
      </w:r>
      <w:hyperlink r:id="rId21">
        <w:r w:rsidR="00487CB5">
          <w:rPr>
            <w:rFonts w:ascii="Times New Roman" w:eastAsia="Times New Roman" w:hAnsi="Times New Roman" w:cs="Times New Roman"/>
            <w:color w:val="1155CC"/>
            <w:u w:val="single"/>
          </w:rPr>
          <w:t>https://doi.org/10.1108/IJRDM-08-2015-0126</w:t>
        </w:r>
      </w:hyperlink>
      <w:r>
        <w:rPr>
          <w:rFonts w:ascii="Times New Roman" w:eastAsia="Times New Roman" w:hAnsi="Times New Roman" w:cs="Times New Roman"/>
        </w:rPr>
        <w:t xml:space="preserve"> </w:t>
      </w:r>
    </w:p>
    <w:p w14:paraId="36D827FB" w14:textId="77777777" w:rsidR="00487CB5" w:rsidRDefault="00487CB5">
      <w:pPr>
        <w:ind w:left="283" w:firstLine="283"/>
        <w:rPr>
          <w:rFonts w:ascii="Times New Roman" w:eastAsia="Times New Roman" w:hAnsi="Times New Roman" w:cs="Times New Roman"/>
        </w:rPr>
      </w:pPr>
    </w:p>
    <w:p w14:paraId="1D82AB17" w14:textId="77777777" w:rsidR="00487CB5" w:rsidRDefault="002B62DD">
      <w:pPr>
        <w:ind w:left="283" w:firstLine="283"/>
        <w:rPr>
          <w:rFonts w:ascii="Times New Roman" w:eastAsia="Times New Roman" w:hAnsi="Times New Roman" w:cs="Times New Roman"/>
          <w:color w:val="1155CC"/>
          <w:u w:val="single"/>
        </w:rPr>
      </w:pPr>
      <w:r>
        <w:rPr>
          <w:rFonts w:ascii="Times New Roman" w:eastAsia="Times New Roman" w:hAnsi="Times New Roman" w:cs="Times New Roman"/>
        </w:rPr>
        <w:t xml:space="preserve">Mishra, Dr. O. (2018, October). (PDF) criteria for evaluation of alternatives in online consumer decision-making process. ELK ASIA PACIFIC JOURNAL OF MARKETING &amp; RETAIL </w:t>
      </w:r>
      <w:proofErr w:type="gramStart"/>
      <w:r>
        <w:rPr>
          <w:rFonts w:ascii="Times New Roman" w:eastAsia="Times New Roman" w:hAnsi="Times New Roman" w:cs="Times New Roman"/>
        </w:rPr>
        <w:t>MANAGEMENT .</w:t>
      </w:r>
      <w:proofErr w:type="gramEnd"/>
      <w:r>
        <w:rPr>
          <w:rFonts w:ascii="Times New Roman" w:eastAsia="Times New Roman" w:hAnsi="Times New Roman" w:cs="Times New Roman"/>
        </w:rPr>
        <w:t xml:space="preserve"> </w:t>
      </w:r>
      <w:r>
        <w:rPr>
          <w:rFonts w:ascii="Times New Roman" w:eastAsia="Times New Roman" w:hAnsi="Times New Roman" w:cs="Times New Roman"/>
          <w:color w:val="1155CC"/>
          <w:u w:val="single"/>
        </w:rPr>
        <w:t xml:space="preserve">https://www.researchgate.net/publication/343904334_CRITERIA_FOR_EVALUATION_OF_ALTERNATIVES_IN_ONLINE_CONSUMER_DECISION-MAKING_PROCESS </w:t>
      </w:r>
    </w:p>
    <w:p w14:paraId="38EA6234" w14:textId="77777777" w:rsidR="00487CB5" w:rsidRDefault="00487CB5">
      <w:pPr>
        <w:ind w:left="283" w:firstLine="283"/>
        <w:rPr>
          <w:rFonts w:ascii="Times New Roman" w:eastAsia="Times New Roman" w:hAnsi="Times New Roman" w:cs="Times New Roman"/>
        </w:rPr>
      </w:pPr>
    </w:p>
    <w:p w14:paraId="12C63E5C"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Mishra, O. (2018). Criteria for evaluation of alternatives in online consumer </w:t>
      </w:r>
      <w:proofErr w:type="spellStart"/>
      <w:r>
        <w:rPr>
          <w:rFonts w:ascii="Times New Roman" w:eastAsia="Times New Roman" w:hAnsi="Times New Roman" w:cs="Times New Roman"/>
        </w:rPr>
        <w:t>decisionmaking</w:t>
      </w:r>
      <w:proofErr w:type="spellEnd"/>
      <w:r>
        <w:rPr>
          <w:rFonts w:ascii="Times New Roman" w:eastAsia="Times New Roman" w:hAnsi="Times New Roman" w:cs="Times New Roman"/>
        </w:rPr>
        <w:t xml:space="preserve"> process. Elk Asia Pacific Journal of Marketing and Retail Management, 9(4), 75-100. </w:t>
      </w:r>
      <w:hyperlink r:id="rId22">
        <w:r w:rsidR="00487CB5">
          <w:rPr>
            <w:rFonts w:ascii="Times New Roman" w:eastAsia="Times New Roman" w:hAnsi="Times New Roman" w:cs="Times New Roman"/>
            <w:color w:val="1155CC"/>
            <w:u w:val="single"/>
          </w:rPr>
          <w:t>https://www.researchgate.net/publication/343904334_CRITERIA_FOR_EVALUATION_OF_ALTERNATIVES_IN_ONLINE_CONSUMER_DECISION-MAKING_PROCESS</w:t>
        </w:r>
      </w:hyperlink>
      <w:r>
        <w:rPr>
          <w:rFonts w:ascii="Times New Roman" w:eastAsia="Times New Roman" w:hAnsi="Times New Roman" w:cs="Times New Roman"/>
        </w:rPr>
        <w:t xml:space="preserve">  </w:t>
      </w:r>
    </w:p>
    <w:p w14:paraId="5A52FE40" w14:textId="77777777" w:rsidR="00487CB5" w:rsidRDefault="00487CB5">
      <w:pPr>
        <w:ind w:left="283" w:firstLine="283"/>
        <w:rPr>
          <w:rFonts w:ascii="Times New Roman" w:eastAsia="Times New Roman" w:hAnsi="Times New Roman" w:cs="Times New Roman"/>
        </w:rPr>
      </w:pPr>
    </w:p>
    <w:p w14:paraId="3CF0CB3F" w14:textId="77777777"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Muruganantham</w:t>
      </w:r>
      <w:proofErr w:type="spellEnd"/>
      <w:r>
        <w:rPr>
          <w:rFonts w:ascii="Times New Roman" w:eastAsia="Times New Roman" w:hAnsi="Times New Roman" w:cs="Times New Roman"/>
        </w:rPr>
        <w:t xml:space="preserve">, G., &amp; </w:t>
      </w:r>
      <w:proofErr w:type="spellStart"/>
      <w:r>
        <w:rPr>
          <w:rFonts w:ascii="Times New Roman" w:eastAsia="Times New Roman" w:hAnsi="Times New Roman" w:cs="Times New Roman"/>
        </w:rPr>
        <w:t>Bhakat</w:t>
      </w:r>
      <w:proofErr w:type="spellEnd"/>
      <w:r>
        <w:rPr>
          <w:rFonts w:ascii="Times New Roman" w:eastAsia="Times New Roman" w:hAnsi="Times New Roman" w:cs="Times New Roman"/>
        </w:rPr>
        <w:t xml:space="preserve">, R. S. (2013). A review of impulse buying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International journal of marketing studies, 5(3), 149. </w:t>
      </w:r>
      <w:hyperlink r:id="rId23">
        <w:r w:rsidR="00487CB5">
          <w:rPr>
            <w:rFonts w:ascii="Times New Roman" w:eastAsia="Times New Roman" w:hAnsi="Times New Roman" w:cs="Times New Roman"/>
            <w:color w:val="1155CC"/>
            <w:u w:val="single"/>
          </w:rPr>
          <w:t>https://www.researchgate.net/profile/Ravi-Bhakat/publication/280298147_A_Review_of_Impulse_Buying_Behavior/links/55ef157108aedecb68fd96b9/A-Review-of-Impulse-Buying-Behavior.pdf</w:t>
        </w:r>
      </w:hyperlink>
      <w:r>
        <w:rPr>
          <w:rFonts w:ascii="Times New Roman" w:eastAsia="Times New Roman" w:hAnsi="Times New Roman" w:cs="Times New Roman"/>
        </w:rPr>
        <w:t xml:space="preserve">  </w:t>
      </w:r>
      <w:r>
        <w:rPr>
          <w:rFonts w:ascii="Times New Roman" w:eastAsia="Times New Roman" w:hAnsi="Times New Roman" w:cs="Times New Roman"/>
        </w:rPr>
        <w:br/>
      </w:r>
    </w:p>
    <w:p w14:paraId="7CB1FC3C"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Obermiller, C., Spangenberg, E., &amp; MacLachlan, D. L. (2005). Ad </w:t>
      </w:r>
      <w:proofErr w:type="spellStart"/>
      <w:r>
        <w:rPr>
          <w:rFonts w:ascii="Times New Roman" w:eastAsia="Times New Roman" w:hAnsi="Times New Roman" w:cs="Times New Roman"/>
        </w:rPr>
        <w:t>skepticism</w:t>
      </w:r>
      <w:proofErr w:type="spellEnd"/>
      <w:r>
        <w:rPr>
          <w:rFonts w:ascii="Times New Roman" w:eastAsia="Times New Roman" w:hAnsi="Times New Roman" w:cs="Times New Roman"/>
        </w:rPr>
        <w:t xml:space="preserve">: The consequences of disbelief. Journal of advertising, 34(3), 7-17. </w:t>
      </w:r>
      <w:hyperlink r:id="rId24">
        <w:r w:rsidR="00487CB5">
          <w:rPr>
            <w:rFonts w:ascii="Times New Roman" w:eastAsia="Times New Roman" w:hAnsi="Times New Roman" w:cs="Times New Roman"/>
            <w:color w:val="1155CC"/>
            <w:u w:val="single"/>
          </w:rPr>
          <w:t>https://doi.org/10.1080/00913367.2005.10639199</w:t>
        </w:r>
      </w:hyperlink>
      <w:r>
        <w:rPr>
          <w:rFonts w:ascii="Times New Roman" w:eastAsia="Times New Roman" w:hAnsi="Times New Roman" w:cs="Times New Roman"/>
        </w:rPr>
        <w:t xml:space="preserve"> </w:t>
      </w:r>
    </w:p>
    <w:p w14:paraId="53268D85" w14:textId="77777777" w:rsidR="00487CB5" w:rsidRDefault="00487CB5">
      <w:pPr>
        <w:ind w:left="283" w:firstLine="283"/>
        <w:rPr>
          <w:rFonts w:ascii="Times New Roman" w:eastAsia="Times New Roman" w:hAnsi="Times New Roman" w:cs="Times New Roman"/>
        </w:rPr>
      </w:pPr>
    </w:p>
    <w:p w14:paraId="09100DBF"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Ottman, J. A., Stafford, E. R., &amp; Hartman, C. L. (2006). Avoiding green marketing myopia: Ways to improve consumer appeal for environmentally preferable products. Environment: science and policy for sustainable development, 48(5), 22-36. </w:t>
      </w:r>
      <w:hyperlink r:id="rId25">
        <w:r w:rsidR="00487CB5">
          <w:rPr>
            <w:rFonts w:ascii="Times New Roman" w:eastAsia="Times New Roman" w:hAnsi="Times New Roman" w:cs="Times New Roman"/>
            <w:color w:val="1155CC"/>
            <w:u w:val="single"/>
          </w:rPr>
          <w:t>https://doi.org/10.3200/ENVT.48.5.22-36</w:t>
        </w:r>
      </w:hyperlink>
      <w:r>
        <w:rPr>
          <w:rFonts w:ascii="Times New Roman" w:eastAsia="Times New Roman" w:hAnsi="Times New Roman" w:cs="Times New Roman"/>
        </w:rPr>
        <w:t xml:space="preserve"> </w:t>
      </w:r>
    </w:p>
    <w:p w14:paraId="47EC177A" w14:textId="77777777" w:rsidR="00487CB5" w:rsidRDefault="00487CB5">
      <w:pPr>
        <w:ind w:left="283" w:firstLine="283"/>
        <w:rPr>
          <w:rFonts w:ascii="Times New Roman" w:eastAsia="Times New Roman" w:hAnsi="Times New Roman" w:cs="Times New Roman"/>
        </w:rPr>
      </w:pPr>
    </w:p>
    <w:p w14:paraId="474D7AE9"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lastRenderedPageBreak/>
        <w:t xml:space="preserve">Pechmann, C., &amp; Ratneshwar, S. (1991). The use of comparative advertising for brand positioning: Association versus differentiation. Journal of Consumer Research, 18(2), 145-160. </w:t>
      </w:r>
      <w:hyperlink r:id="rId26">
        <w:r w:rsidR="00487CB5">
          <w:rPr>
            <w:rFonts w:ascii="Times New Roman" w:eastAsia="Times New Roman" w:hAnsi="Times New Roman" w:cs="Times New Roman"/>
            <w:color w:val="1155CC"/>
            <w:u w:val="single"/>
          </w:rPr>
          <w:t>https://academic.oup.com/jcr/article-abstract/18/2/145/1786796</w:t>
        </w:r>
      </w:hyperlink>
      <w:r>
        <w:rPr>
          <w:rFonts w:ascii="Times New Roman" w:eastAsia="Times New Roman" w:hAnsi="Times New Roman" w:cs="Times New Roman"/>
        </w:rPr>
        <w:t xml:space="preserve">  </w:t>
      </w:r>
    </w:p>
    <w:p w14:paraId="02712373" w14:textId="77777777" w:rsidR="00487CB5" w:rsidRDefault="00487CB5">
      <w:pPr>
        <w:ind w:left="283" w:firstLine="283"/>
        <w:rPr>
          <w:rFonts w:ascii="Times New Roman" w:eastAsia="Times New Roman" w:hAnsi="Times New Roman" w:cs="Times New Roman"/>
        </w:rPr>
      </w:pPr>
    </w:p>
    <w:p w14:paraId="4969AE58"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Rao, A. R., &amp; Monroe, K. B. (1988). The moderating effect of prior knowledge on cue utilization in product evaluations. Journal of consumer research, 15(2), 253-264. </w:t>
      </w:r>
      <w:hyperlink r:id="rId27">
        <w:r w:rsidR="00487CB5">
          <w:rPr>
            <w:rFonts w:ascii="Times New Roman" w:eastAsia="Times New Roman" w:hAnsi="Times New Roman" w:cs="Times New Roman"/>
            <w:color w:val="1155CC"/>
            <w:u w:val="single"/>
          </w:rPr>
          <w:t>https://academic.oup.com/jcr/article-abstract/15/2/253/1841505</w:t>
        </w:r>
      </w:hyperlink>
      <w:r>
        <w:rPr>
          <w:rFonts w:ascii="Times New Roman" w:eastAsia="Times New Roman" w:hAnsi="Times New Roman" w:cs="Times New Roman"/>
        </w:rPr>
        <w:t xml:space="preserve">  </w:t>
      </w:r>
    </w:p>
    <w:p w14:paraId="76524F51" w14:textId="77777777" w:rsidR="00487CB5" w:rsidRDefault="00487CB5">
      <w:pPr>
        <w:ind w:left="283" w:firstLine="283"/>
        <w:rPr>
          <w:rFonts w:ascii="Times New Roman" w:eastAsia="Times New Roman" w:hAnsi="Times New Roman" w:cs="Times New Roman"/>
        </w:rPr>
      </w:pPr>
    </w:p>
    <w:p w14:paraId="4EB9D61A"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Romani, S., </w:t>
      </w:r>
      <w:proofErr w:type="spellStart"/>
      <w:r>
        <w:rPr>
          <w:rFonts w:ascii="Times New Roman" w:eastAsia="Times New Roman" w:hAnsi="Times New Roman" w:cs="Times New Roman"/>
        </w:rPr>
        <w:t>Grappi</w:t>
      </w:r>
      <w:proofErr w:type="spellEnd"/>
      <w:r>
        <w:rPr>
          <w:rFonts w:ascii="Times New Roman" w:eastAsia="Times New Roman" w:hAnsi="Times New Roman" w:cs="Times New Roman"/>
        </w:rPr>
        <w:t xml:space="preserve">, S., &amp; Bagozzi, R. P. (2016). Corporate socially responsible initiatives and their effects on consumption of green products. Journal of Business Ethics, 135, 253-264.  </w:t>
      </w:r>
    </w:p>
    <w:p w14:paraId="4A579111" w14:textId="77777777" w:rsidR="00487CB5" w:rsidRDefault="00487CB5">
      <w:pPr>
        <w:ind w:left="283" w:firstLine="283"/>
        <w:rPr>
          <w:rFonts w:ascii="Times New Roman" w:eastAsia="Times New Roman" w:hAnsi="Times New Roman" w:cs="Times New Roman"/>
        </w:rPr>
      </w:pPr>
    </w:p>
    <w:p w14:paraId="1C65090D"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Scanlan, S. J. (2017). Framing fracking: scale-shifting and greenwashing risk in the oil and gas industry. Local Environment, 22(11), 1311-1337. </w:t>
      </w:r>
      <w:hyperlink r:id="rId28">
        <w:r w:rsidR="00487CB5">
          <w:rPr>
            <w:rFonts w:ascii="Times New Roman" w:eastAsia="Times New Roman" w:hAnsi="Times New Roman" w:cs="Times New Roman"/>
            <w:color w:val="1155CC"/>
            <w:u w:val="single"/>
          </w:rPr>
          <w:t>https://doi.org/10.1080/13549839.2017.1345877</w:t>
        </w:r>
      </w:hyperlink>
    </w:p>
    <w:p w14:paraId="6B190353" w14:textId="77777777" w:rsidR="00487CB5" w:rsidRDefault="00487CB5">
      <w:pPr>
        <w:ind w:left="283" w:firstLine="283"/>
        <w:rPr>
          <w:rFonts w:ascii="Times New Roman" w:eastAsia="Times New Roman" w:hAnsi="Times New Roman" w:cs="Times New Roman"/>
        </w:rPr>
      </w:pPr>
    </w:p>
    <w:p w14:paraId="39A16B8F"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Seele, P., &amp; Gatti, L. (2017). Greenwashing revisited: In search of a typology and accusation‐based definition incorporating legitimacy strategies. Business strategy and the environment, 26(2), 239-252.  </w:t>
      </w:r>
      <w:hyperlink r:id="rId29">
        <w:r w:rsidR="00487CB5">
          <w:rPr>
            <w:rFonts w:ascii="Times New Roman" w:eastAsia="Times New Roman" w:hAnsi="Times New Roman" w:cs="Times New Roman"/>
            <w:color w:val="1155CC"/>
            <w:u w:val="single"/>
          </w:rPr>
          <w:t>https://doi.org/10.1002/bse.1912</w:t>
        </w:r>
      </w:hyperlink>
      <w:r>
        <w:rPr>
          <w:rFonts w:ascii="Times New Roman" w:eastAsia="Times New Roman" w:hAnsi="Times New Roman" w:cs="Times New Roman"/>
        </w:rPr>
        <w:t xml:space="preserve">  </w:t>
      </w:r>
    </w:p>
    <w:p w14:paraId="00A80FB7" w14:textId="77777777" w:rsidR="00487CB5" w:rsidRDefault="00487CB5">
      <w:pPr>
        <w:ind w:left="283" w:firstLine="283"/>
        <w:rPr>
          <w:rFonts w:ascii="Times New Roman" w:eastAsia="Times New Roman" w:hAnsi="Times New Roman" w:cs="Times New Roman"/>
        </w:rPr>
      </w:pPr>
    </w:p>
    <w:p w14:paraId="4A6F8CE3"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Shang, W., Zhu, R., Liu, W., &amp; Liu, Q. (2024, May 31). Understanding the influences on green purchase intention with moderation by Sustainability Awareness. MDPI. </w:t>
      </w:r>
      <w:r>
        <w:rPr>
          <w:rFonts w:ascii="Times New Roman" w:eastAsia="Times New Roman" w:hAnsi="Times New Roman" w:cs="Times New Roman"/>
          <w:color w:val="1155CC"/>
          <w:u w:val="single"/>
        </w:rPr>
        <w:t xml:space="preserve">https://www.mdpi.com/2071-1050/16/11/4688 </w:t>
      </w:r>
    </w:p>
    <w:p w14:paraId="347CBD27" w14:textId="77777777" w:rsidR="00487CB5" w:rsidRDefault="00487CB5">
      <w:pPr>
        <w:ind w:left="283" w:firstLine="283"/>
        <w:rPr>
          <w:rFonts w:ascii="Times New Roman" w:eastAsia="Times New Roman" w:hAnsi="Times New Roman" w:cs="Times New Roman"/>
        </w:rPr>
      </w:pPr>
    </w:p>
    <w:p w14:paraId="30715A8F"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Siano, A., Vollero, A., Conte, F., &amp; Amabile, S. (2017). “More than words”: Expanding the taxonomy of greenwashing after the Volkswagen scandal. Journal of business research, 71, 27-37. </w:t>
      </w:r>
      <w:hyperlink r:id="rId30">
        <w:r w:rsidR="00487CB5">
          <w:rPr>
            <w:rFonts w:ascii="Times New Roman" w:eastAsia="Times New Roman" w:hAnsi="Times New Roman" w:cs="Times New Roman"/>
            <w:color w:val="1155CC"/>
            <w:u w:val="single"/>
          </w:rPr>
          <w:t>https://doi.org/10.1016/j.jbusres.2016.11.002</w:t>
        </w:r>
      </w:hyperlink>
      <w:r>
        <w:rPr>
          <w:rFonts w:ascii="Times New Roman" w:eastAsia="Times New Roman" w:hAnsi="Times New Roman" w:cs="Times New Roman"/>
        </w:rPr>
        <w:t xml:space="preserve"> </w:t>
      </w:r>
    </w:p>
    <w:p w14:paraId="07ABEE2E" w14:textId="77777777" w:rsidR="00487CB5" w:rsidRDefault="00487CB5">
      <w:pPr>
        <w:ind w:left="283" w:firstLine="283"/>
        <w:rPr>
          <w:rFonts w:ascii="Times New Roman" w:eastAsia="Times New Roman" w:hAnsi="Times New Roman" w:cs="Times New Roman"/>
        </w:rPr>
      </w:pPr>
    </w:p>
    <w:p w14:paraId="69DD0019"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Solomon, M., (2004). Consumer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Buying, Having and Being, 6th Edition, FT Prentice Hall Upper Saddle River, N.J.  </w:t>
      </w:r>
    </w:p>
    <w:p w14:paraId="5E59B16C" w14:textId="77777777" w:rsidR="00487CB5" w:rsidRDefault="00487CB5">
      <w:pPr>
        <w:ind w:left="283" w:firstLine="283"/>
        <w:rPr>
          <w:rFonts w:ascii="Times New Roman" w:eastAsia="Times New Roman" w:hAnsi="Times New Roman" w:cs="Times New Roman"/>
        </w:rPr>
      </w:pPr>
    </w:p>
    <w:p w14:paraId="31F85D1E"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Stern, P. C., Dietz, T., Abel, T., </w:t>
      </w:r>
      <w:proofErr w:type="spellStart"/>
      <w:r>
        <w:rPr>
          <w:rFonts w:ascii="Times New Roman" w:eastAsia="Times New Roman" w:hAnsi="Times New Roman" w:cs="Times New Roman"/>
        </w:rPr>
        <w:t>Guagnano</w:t>
      </w:r>
      <w:proofErr w:type="spellEnd"/>
      <w:r>
        <w:rPr>
          <w:rFonts w:ascii="Times New Roman" w:eastAsia="Times New Roman" w:hAnsi="Times New Roman" w:cs="Times New Roman"/>
        </w:rPr>
        <w:t xml:space="preserve">, G. A., &amp; </w:t>
      </w:r>
      <w:proofErr w:type="spellStart"/>
      <w:r>
        <w:rPr>
          <w:rFonts w:ascii="Times New Roman" w:eastAsia="Times New Roman" w:hAnsi="Times New Roman" w:cs="Times New Roman"/>
        </w:rPr>
        <w:t>Kalof</w:t>
      </w:r>
      <w:proofErr w:type="spellEnd"/>
      <w:r>
        <w:rPr>
          <w:rFonts w:ascii="Times New Roman" w:eastAsia="Times New Roman" w:hAnsi="Times New Roman" w:cs="Times New Roman"/>
        </w:rPr>
        <w:t xml:space="preserve">, L. (1999). A value-belief-norm theory of support for social movements: The case of environmentalism. Human ecology review, 81-97. </w:t>
      </w:r>
      <w:hyperlink r:id="rId31">
        <w:r w:rsidR="00487CB5">
          <w:rPr>
            <w:rFonts w:ascii="Times New Roman" w:eastAsia="Times New Roman" w:hAnsi="Times New Roman" w:cs="Times New Roman"/>
            <w:color w:val="1155CC"/>
            <w:u w:val="single"/>
          </w:rPr>
          <w:t>https://www.jstor.org/stable/24707060</w:t>
        </w:r>
      </w:hyperlink>
      <w:r>
        <w:rPr>
          <w:rFonts w:ascii="Times New Roman" w:eastAsia="Times New Roman" w:hAnsi="Times New Roman" w:cs="Times New Roman"/>
        </w:rPr>
        <w:t xml:space="preserve"> </w:t>
      </w:r>
    </w:p>
    <w:p w14:paraId="20191C6B" w14:textId="77777777" w:rsidR="00487CB5" w:rsidRDefault="00487CB5">
      <w:pPr>
        <w:ind w:left="283" w:firstLine="283"/>
        <w:rPr>
          <w:rFonts w:ascii="Times New Roman" w:eastAsia="Times New Roman" w:hAnsi="Times New Roman" w:cs="Times New Roman"/>
        </w:rPr>
      </w:pPr>
    </w:p>
    <w:p w14:paraId="7E640A83" w14:textId="77777777"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Taufique</w:t>
      </w:r>
      <w:proofErr w:type="spellEnd"/>
      <w:r>
        <w:rPr>
          <w:rFonts w:ascii="Times New Roman" w:eastAsia="Times New Roman" w:hAnsi="Times New Roman" w:cs="Times New Roman"/>
        </w:rPr>
        <w:t xml:space="preserve">, K. M. R., &amp; </w:t>
      </w:r>
      <w:proofErr w:type="spellStart"/>
      <w:r>
        <w:rPr>
          <w:rFonts w:ascii="Times New Roman" w:eastAsia="Times New Roman" w:hAnsi="Times New Roman" w:cs="Times New Roman"/>
        </w:rPr>
        <w:t>Vaithianathan</w:t>
      </w:r>
      <w:proofErr w:type="spellEnd"/>
      <w:r>
        <w:rPr>
          <w:rFonts w:ascii="Times New Roman" w:eastAsia="Times New Roman" w:hAnsi="Times New Roman" w:cs="Times New Roman"/>
        </w:rPr>
        <w:t xml:space="preserve">, S. (2018). A fresh look at understanding Green consumer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among young urban Indian consumers through the lens of Theory of Planned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Journal of cleaner production, 183, 46-55. </w:t>
      </w:r>
      <w:hyperlink r:id="rId32">
        <w:r w:rsidR="00487CB5">
          <w:rPr>
            <w:rFonts w:ascii="Times New Roman" w:eastAsia="Times New Roman" w:hAnsi="Times New Roman" w:cs="Times New Roman"/>
            <w:color w:val="1155CC"/>
            <w:u w:val="single"/>
          </w:rPr>
          <w:t>https://doi.org/10.1016/j.jclepro.2018.02.097</w:t>
        </w:r>
      </w:hyperlink>
      <w:r>
        <w:rPr>
          <w:rFonts w:ascii="Times New Roman" w:eastAsia="Times New Roman" w:hAnsi="Times New Roman" w:cs="Times New Roman"/>
        </w:rPr>
        <w:t xml:space="preserve">  </w:t>
      </w:r>
    </w:p>
    <w:p w14:paraId="5EF43508" w14:textId="77777777" w:rsidR="00487CB5" w:rsidRDefault="00487CB5">
      <w:pPr>
        <w:ind w:left="283" w:firstLine="283"/>
        <w:rPr>
          <w:rFonts w:ascii="Times New Roman" w:eastAsia="Times New Roman" w:hAnsi="Times New Roman" w:cs="Times New Roman"/>
        </w:rPr>
      </w:pPr>
    </w:p>
    <w:p w14:paraId="59A34E0B" w14:textId="77777777" w:rsidR="00487CB5" w:rsidRDefault="002B62DD">
      <w:pPr>
        <w:ind w:left="283" w:firstLine="283"/>
        <w:rPr>
          <w:rFonts w:ascii="Times New Roman" w:eastAsia="Times New Roman" w:hAnsi="Times New Roman" w:cs="Times New Roman"/>
        </w:rPr>
      </w:pPr>
      <w:proofErr w:type="spellStart"/>
      <w:r>
        <w:rPr>
          <w:rFonts w:ascii="Times New Roman" w:eastAsia="Times New Roman" w:hAnsi="Times New Roman" w:cs="Times New Roman"/>
        </w:rPr>
        <w:t>TerraChoice</w:t>
      </w:r>
      <w:proofErr w:type="spellEnd"/>
      <w:r>
        <w:rPr>
          <w:rFonts w:ascii="Times New Roman" w:eastAsia="Times New Roman" w:hAnsi="Times New Roman" w:cs="Times New Roman"/>
        </w:rPr>
        <w:t xml:space="preserve"> (2010) The sins of greenwashing: home and family edition. </w:t>
      </w:r>
      <w:hyperlink r:id="rId33">
        <w:r w:rsidR="00487CB5">
          <w:rPr>
            <w:rFonts w:ascii="Times New Roman" w:eastAsia="Times New Roman" w:hAnsi="Times New Roman" w:cs="Times New Roman"/>
            <w:color w:val="1155CC"/>
            <w:u w:val="single"/>
          </w:rPr>
          <w:t>http://sinsofgreenwashing.org/findings/the-seven-sins/</w:t>
        </w:r>
      </w:hyperlink>
    </w:p>
    <w:p w14:paraId="68F5E98A" w14:textId="77777777" w:rsidR="00487CB5" w:rsidRDefault="00487CB5">
      <w:pPr>
        <w:ind w:left="283" w:firstLine="283"/>
        <w:rPr>
          <w:rFonts w:ascii="Times New Roman" w:eastAsia="Times New Roman" w:hAnsi="Times New Roman" w:cs="Times New Roman"/>
        </w:rPr>
      </w:pPr>
    </w:p>
    <w:p w14:paraId="3D0D4267"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Turaga, R. M. R., Howarth, R. B., &amp; Borsuk, M. E. (2010). Pro‐environmental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Rational choice meets moral motivation. Annals of the New York Academy of Sciences, 1185(1), 211-224. </w:t>
      </w:r>
      <w:hyperlink r:id="rId34">
        <w:r w:rsidR="00487CB5">
          <w:rPr>
            <w:rFonts w:ascii="Times New Roman" w:eastAsia="Times New Roman" w:hAnsi="Times New Roman" w:cs="Times New Roman"/>
            <w:color w:val="1155CC"/>
            <w:u w:val="single"/>
          </w:rPr>
          <w:t>https://nyaspubs.onlinelibrary.wiley.com/doi/abs/10.1111/j.1749-6632.2009.05163.x</w:t>
        </w:r>
      </w:hyperlink>
      <w:r>
        <w:rPr>
          <w:rFonts w:ascii="Times New Roman" w:eastAsia="Times New Roman" w:hAnsi="Times New Roman" w:cs="Times New Roman"/>
        </w:rPr>
        <w:t xml:space="preserve"> </w:t>
      </w:r>
    </w:p>
    <w:p w14:paraId="40B93924" w14:textId="77777777" w:rsidR="00487CB5" w:rsidRDefault="00487CB5">
      <w:pPr>
        <w:ind w:left="283" w:firstLine="283"/>
        <w:rPr>
          <w:rFonts w:ascii="Times New Roman" w:eastAsia="Times New Roman" w:hAnsi="Times New Roman" w:cs="Times New Roman"/>
        </w:rPr>
      </w:pPr>
    </w:p>
    <w:p w14:paraId="1CD1FE1C" w14:textId="77777777" w:rsidR="00487CB5" w:rsidRDefault="002B62DD">
      <w:pPr>
        <w:ind w:left="283" w:firstLine="283"/>
        <w:rPr>
          <w:rFonts w:ascii="Times New Roman" w:eastAsia="Times New Roman" w:hAnsi="Times New Roman" w:cs="Times New Roman"/>
        </w:rPr>
      </w:pPr>
      <w:r>
        <w:rPr>
          <w:rFonts w:ascii="Times New Roman" w:eastAsia="Times New Roman" w:hAnsi="Times New Roman" w:cs="Times New Roman"/>
        </w:rPr>
        <w:t xml:space="preserve">Zinkhan, G. M., &amp; Carlson, L. (1995). Green advertising and the reluctant consumer. Journal of advertising, 24(2), 1-6. </w:t>
      </w:r>
      <w:hyperlink r:id="rId35">
        <w:r w:rsidR="00487CB5">
          <w:rPr>
            <w:rFonts w:ascii="Times New Roman" w:eastAsia="Times New Roman" w:hAnsi="Times New Roman" w:cs="Times New Roman"/>
            <w:color w:val="1155CC"/>
            <w:u w:val="single"/>
          </w:rPr>
          <w:t>https://doi.org/10.1080/00913367.1995.10673471</w:t>
        </w:r>
      </w:hyperlink>
      <w:r>
        <w:rPr>
          <w:rFonts w:ascii="Times New Roman" w:eastAsia="Times New Roman" w:hAnsi="Times New Roman" w:cs="Times New Roman"/>
        </w:rPr>
        <w:t xml:space="preserve">  </w:t>
      </w:r>
    </w:p>
    <w:p w14:paraId="3F0E3E74" w14:textId="77777777" w:rsidR="00487CB5" w:rsidRDefault="00487CB5">
      <w:pPr>
        <w:rPr>
          <w:rFonts w:ascii="Times New Roman" w:eastAsia="Times New Roman" w:hAnsi="Times New Roman" w:cs="Times New Roman"/>
        </w:rPr>
      </w:pPr>
    </w:p>
    <w:p w14:paraId="33F0FEFF" w14:textId="44EC2D76" w:rsidR="002B62DD" w:rsidRDefault="002B62DD" w:rsidP="002B62DD">
      <w:pPr>
        <w:rPr>
          <w:rFonts w:ascii="Times New Roman" w:eastAsia="Times New Roman" w:hAnsi="Times New Roman" w:cs="Times New Roman"/>
        </w:rPr>
      </w:pPr>
      <w:r w:rsidRPr="002B62DD">
        <w:rPr>
          <w:rFonts w:ascii="Times New Roman" w:eastAsia="Times New Roman" w:hAnsi="Times New Roman" w:cs="Times New Roman"/>
        </w:rPr>
        <w:lastRenderedPageBreak/>
        <w:t xml:space="preserve">Albayrak, T., Caber, M., Moutinho, L., &amp; Herstein, R. (2011). The influence of </w:t>
      </w:r>
      <w:proofErr w:type="spellStart"/>
      <w:r w:rsidRPr="002B62DD">
        <w:rPr>
          <w:rFonts w:ascii="Times New Roman" w:eastAsia="Times New Roman" w:hAnsi="Times New Roman" w:cs="Times New Roman"/>
        </w:rPr>
        <w:t>skepticism</w:t>
      </w:r>
      <w:proofErr w:type="spellEnd"/>
      <w:r w:rsidRPr="002B62DD">
        <w:rPr>
          <w:rFonts w:ascii="Times New Roman" w:eastAsia="Times New Roman" w:hAnsi="Times New Roman" w:cs="Times New Roman"/>
        </w:rPr>
        <w:t xml:space="preserve"> on green purchase </w:t>
      </w:r>
      <w:proofErr w:type="spellStart"/>
      <w:r w:rsidRPr="002B62DD">
        <w:rPr>
          <w:rFonts w:ascii="Times New Roman" w:eastAsia="Times New Roman" w:hAnsi="Times New Roman" w:cs="Times New Roman"/>
        </w:rPr>
        <w:t>behavior</w:t>
      </w:r>
      <w:proofErr w:type="spellEnd"/>
      <w:r w:rsidRPr="002B62DD">
        <w:rPr>
          <w:rFonts w:ascii="Times New Roman" w:eastAsia="Times New Roman" w:hAnsi="Times New Roman" w:cs="Times New Roman"/>
        </w:rPr>
        <w:t>. International Journal of Business and Social Science, 2(13), 189-197.</w:t>
      </w:r>
    </w:p>
    <w:p w14:paraId="3398DAD0" w14:textId="77777777" w:rsidR="002B62DD" w:rsidRPr="002B62DD" w:rsidRDefault="002B62DD" w:rsidP="002B62DD">
      <w:pPr>
        <w:rPr>
          <w:rFonts w:ascii="Times New Roman" w:eastAsia="Times New Roman" w:hAnsi="Times New Roman" w:cs="Times New Roman"/>
        </w:rPr>
      </w:pPr>
    </w:p>
    <w:p w14:paraId="207ED085" w14:textId="3F734A0A" w:rsidR="00487CB5" w:rsidRDefault="002B62DD" w:rsidP="002B62DD">
      <w:pPr>
        <w:rPr>
          <w:rFonts w:ascii="Times New Roman" w:eastAsia="Times New Roman" w:hAnsi="Times New Roman" w:cs="Times New Roman"/>
        </w:rPr>
      </w:pPr>
      <w:proofErr w:type="spellStart"/>
      <w:r w:rsidRPr="002B62DD">
        <w:rPr>
          <w:rFonts w:ascii="Times New Roman" w:eastAsia="Times New Roman" w:hAnsi="Times New Roman" w:cs="Times New Roman"/>
        </w:rPr>
        <w:t>Kreczmańska-Gigol</w:t>
      </w:r>
      <w:proofErr w:type="spellEnd"/>
      <w:r w:rsidRPr="002B62DD">
        <w:rPr>
          <w:rFonts w:ascii="Times New Roman" w:eastAsia="Times New Roman" w:hAnsi="Times New Roman" w:cs="Times New Roman"/>
        </w:rPr>
        <w:t xml:space="preserve">, K., &amp; </w:t>
      </w:r>
      <w:proofErr w:type="spellStart"/>
      <w:r w:rsidRPr="002B62DD">
        <w:rPr>
          <w:rFonts w:ascii="Times New Roman" w:eastAsia="Times New Roman" w:hAnsi="Times New Roman" w:cs="Times New Roman"/>
        </w:rPr>
        <w:t>Gigol</w:t>
      </w:r>
      <w:proofErr w:type="spellEnd"/>
      <w:r w:rsidRPr="002B62DD">
        <w:rPr>
          <w:rFonts w:ascii="Times New Roman" w:eastAsia="Times New Roman" w:hAnsi="Times New Roman" w:cs="Times New Roman"/>
        </w:rPr>
        <w:t xml:space="preserve">, T. (2022). The impact of consumers’ green </w:t>
      </w:r>
      <w:proofErr w:type="spellStart"/>
      <w:r w:rsidRPr="002B62DD">
        <w:rPr>
          <w:rFonts w:ascii="Times New Roman" w:eastAsia="Times New Roman" w:hAnsi="Times New Roman" w:cs="Times New Roman"/>
        </w:rPr>
        <w:t>skepticism</w:t>
      </w:r>
      <w:proofErr w:type="spellEnd"/>
      <w:r w:rsidRPr="002B62DD">
        <w:rPr>
          <w:rFonts w:ascii="Times New Roman" w:eastAsia="Times New Roman" w:hAnsi="Times New Roman" w:cs="Times New Roman"/>
        </w:rPr>
        <w:t xml:space="preserve"> on the purchase of energy-efficient and environmentally friendly products. Energies, 15(6), 2077.</w:t>
      </w:r>
    </w:p>
    <w:sectPr w:rsidR="00487CB5">
      <w:headerReference w:type="even" r:id="rId36"/>
      <w:headerReference w:type="default" r:id="rId37"/>
      <w:footerReference w:type="even" r:id="rId38"/>
      <w:footerReference w:type="default" r:id="rId39"/>
      <w:headerReference w:type="first" r:id="rId40"/>
      <w:footerReference w:type="first" r:id="rId4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0C691" w14:textId="77777777" w:rsidR="00976ADA" w:rsidRDefault="00976ADA" w:rsidP="00BA4FBE">
      <w:pPr>
        <w:spacing w:line="240" w:lineRule="auto"/>
      </w:pPr>
      <w:r>
        <w:separator/>
      </w:r>
    </w:p>
  </w:endnote>
  <w:endnote w:type="continuationSeparator" w:id="0">
    <w:p w14:paraId="0B6D47F2" w14:textId="77777777" w:rsidR="00976ADA" w:rsidRDefault="00976ADA" w:rsidP="00BA4F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2E6C29EA-A675-429C-BED0-FF848A953851}"/>
  </w:font>
  <w:font w:name="Calibri">
    <w:panose1 w:val="020F0502020204030204"/>
    <w:charset w:val="00"/>
    <w:family w:val="swiss"/>
    <w:pitch w:val="variable"/>
    <w:sig w:usb0="E4002EFF" w:usb1="C000247B" w:usb2="00000009" w:usb3="00000000" w:csb0="000001FF" w:csb1="00000000"/>
    <w:embedRegular r:id="rId2" w:fontKey="{7D38D746-DB40-4D29-BE01-E41F2AD71B2F}"/>
  </w:font>
  <w:font w:name="Cambria">
    <w:panose1 w:val="02040503050406030204"/>
    <w:charset w:val="00"/>
    <w:family w:val="roman"/>
    <w:pitch w:val="variable"/>
    <w:sig w:usb0="E00006FF" w:usb1="420024FF" w:usb2="02000000" w:usb3="00000000" w:csb0="0000019F" w:csb1="00000000"/>
    <w:embedRegular r:id="rId3" w:fontKey="{984A89DF-988C-4DD0-BA40-2684B2A2DA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9AF5" w14:textId="77777777" w:rsidR="00BA4FBE" w:rsidRDefault="00BA4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10E1" w14:textId="77777777" w:rsidR="00BA4FBE" w:rsidRDefault="00BA4F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C94EF" w14:textId="77777777" w:rsidR="00BA4FBE" w:rsidRDefault="00BA4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6359B" w14:textId="77777777" w:rsidR="00976ADA" w:rsidRDefault="00976ADA" w:rsidP="00BA4FBE">
      <w:pPr>
        <w:spacing w:line="240" w:lineRule="auto"/>
      </w:pPr>
      <w:r>
        <w:separator/>
      </w:r>
    </w:p>
  </w:footnote>
  <w:footnote w:type="continuationSeparator" w:id="0">
    <w:p w14:paraId="23940B77" w14:textId="77777777" w:rsidR="00976ADA" w:rsidRDefault="00976ADA" w:rsidP="00BA4F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223A" w14:textId="16C1DC33" w:rsidR="00BA4FBE" w:rsidRDefault="00BA4FBE">
    <w:pPr>
      <w:pStyle w:val="Header"/>
    </w:pPr>
    <w:r>
      <w:rPr>
        <w:noProof/>
      </w:rPr>
      <w:pict w14:anchorId="0E7E1A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697360"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66E0" w14:textId="2DBE78EE" w:rsidR="00BA4FBE" w:rsidRDefault="00BA4FBE">
    <w:pPr>
      <w:pStyle w:val="Header"/>
    </w:pPr>
    <w:r>
      <w:rPr>
        <w:noProof/>
      </w:rPr>
      <w:pict w14:anchorId="2CC21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697361" o:spid="_x0000_s1027"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E2B0E" w14:textId="09F74FC7" w:rsidR="00BA4FBE" w:rsidRDefault="00BA4FBE">
    <w:pPr>
      <w:pStyle w:val="Header"/>
    </w:pPr>
    <w:r>
      <w:rPr>
        <w:noProof/>
      </w:rPr>
      <w:pict w14:anchorId="5D75C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697359"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7EF3"/>
    <w:multiLevelType w:val="multilevel"/>
    <w:tmpl w:val="1FDED270"/>
    <w:lvl w:ilvl="0">
      <w:start w:val="1"/>
      <w:numFmt w:val="lowerLetter"/>
      <w:lvlText w:val="%1)"/>
      <w:lvlJc w:val="left"/>
      <w:pPr>
        <w:ind w:left="3040" w:hanging="119"/>
      </w:pPr>
      <w:rPr>
        <w:u w:val="none"/>
      </w:rPr>
    </w:lvl>
    <w:lvl w:ilvl="1">
      <w:numFmt w:val="bullet"/>
      <w:lvlText w:val="•"/>
      <w:lvlJc w:val="left"/>
      <w:pPr>
        <w:ind w:left="3692" w:hanging="119"/>
      </w:pPr>
      <w:rPr>
        <w:u w:val="none"/>
      </w:rPr>
    </w:lvl>
    <w:lvl w:ilvl="2">
      <w:numFmt w:val="bullet"/>
      <w:lvlText w:val="•"/>
      <w:lvlJc w:val="left"/>
      <w:pPr>
        <w:ind w:left="4344" w:hanging="119"/>
      </w:pPr>
      <w:rPr>
        <w:u w:val="none"/>
      </w:rPr>
    </w:lvl>
    <w:lvl w:ilvl="3">
      <w:numFmt w:val="bullet"/>
      <w:lvlText w:val="•"/>
      <w:lvlJc w:val="left"/>
      <w:pPr>
        <w:ind w:left="4996" w:hanging="119"/>
      </w:pPr>
      <w:rPr>
        <w:u w:val="none"/>
      </w:rPr>
    </w:lvl>
    <w:lvl w:ilvl="4">
      <w:numFmt w:val="bullet"/>
      <w:lvlText w:val="•"/>
      <w:lvlJc w:val="left"/>
      <w:pPr>
        <w:ind w:left="5648" w:hanging="119"/>
      </w:pPr>
      <w:rPr>
        <w:u w:val="none"/>
      </w:rPr>
    </w:lvl>
    <w:lvl w:ilvl="5">
      <w:numFmt w:val="bullet"/>
      <w:lvlText w:val="•"/>
      <w:lvlJc w:val="left"/>
      <w:pPr>
        <w:ind w:left="6300" w:hanging="119"/>
      </w:pPr>
      <w:rPr>
        <w:u w:val="none"/>
      </w:rPr>
    </w:lvl>
    <w:lvl w:ilvl="6">
      <w:numFmt w:val="bullet"/>
      <w:lvlText w:val="•"/>
      <w:lvlJc w:val="left"/>
      <w:pPr>
        <w:ind w:left="6952" w:hanging="118"/>
      </w:pPr>
      <w:rPr>
        <w:u w:val="none"/>
      </w:rPr>
    </w:lvl>
    <w:lvl w:ilvl="7">
      <w:numFmt w:val="bullet"/>
      <w:lvlText w:val="•"/>
      <w:lvlJc w:val="left"/>
      <w:pPr>
        <w:ind w:left="7604" w:hanging="119"/>
      </w:pPr>
      <w:rPr>
        <w:u w:val="none"/>
      </w:rPr>
    </w:lvl>
    <w:lvl w:ilvl="8">
      <w:numFmt w:val="bullet"/>
      <w:lvlText w:val="•"/>
      <w:lvlJc w:val="left"/>
      <w:pPr>
        <w:ind w:left="8256" w:hanging="119"/>
      </w:pPr>
      <w:rPr>
        <w:u w:val="none"/>
      </w:rPr>
    </w:lvl>
  </w:abstractNum>
  <w:abstractNum w:abstractNumId="1" w15:restartNumberingAfterBreak="0">
    <w:nsid w:val="026C1F7D"/>
    <w:multiLevelType w:val="multilevel"/>
    <w:tmpl w:val="4C04C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B1687"/>
    <w:multiLevelType w:val="multilevel"/>
    <w:tmpl w:val="C6FAD7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CE4C97"/>
    <w:multiLevelType w:val="multilevel"/>
    <w:tmpl w:val="FB409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2F5A92"/>
    <w:multiLevelType w:val="multilevel"/>
    <w:tmpl w:val="C908E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3F40965"/>
    <w:multiLevelType w:val="multilevel"/>
    <w:tmpl w:val="292CEA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28582757">
    <w:abstractNumId w:val="5"/>
  </w:num>
  <w:num w:numId="2" w16cid:durableId="1545563618">
    <w:abstractNumId w:val="4"/>
  </w:num>
  <w:num w:numId="3" w16cid:durableId="735274790">
    <w:abstractNumId w:val="0"/>
  </w:num>
  <w:num w:numId="4" w16cid:durableId="1645310760">
    <w:abstractNumId w:val="3"/>
  </w:num>
  <w:num w:numId="5" w16cid:durableId="175387017">
    <w:abstractNumId w:val="2"/>
  </w:num>
  <w:num w:numId="6" w16cid:durableId="1676103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0MbcwNjIxNbcwMjBU0lEKTi0uzszPAykwrAUAmAqjzCwAAAA="/>
  </w:docVars>
  <w:rsids>
    <w:rsidRoot w:val="00487CB5"/>
    <w:rsid w:val="002B62DD"/>
    <w:rsid w:val="00487CB5"/>
    <w:rsid w:val="00660AD2"/>
    <w:rsid w:val="007018F0"/>
    <w:rsid w:val="00806D74"/>
    <w:rsid w:val="00976ADA"/>
    <w:rsid w:val="009849EE"/>
    <w:rsid w:val="00AB25C5"/>
    <w:rsid w:val="00B16A5C"/>
    <w:rsid w:val="00BA4FBE"/>
    <w:rsid w:val="00BA6976"/>
    <w:rsid w:val="00C94FB6"/>
    <w:rsid w:val="00DB7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39727"/>
  <w15:docId w15:val="{1779FBE0-98C9-4884-B263-5EE35EA9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C94FB6"/>
    <w:pPr>
      <w:ind w:left="720"/>
      <w:contextualSpacing/>
    </w:pPr>
  </w:style>
  <w:style w:type="paragraph" w:styleId="Header">
    <w:name w:val="header"/>
    <w:basedOn w:val="Normal"/>
    <w:link w:val="HeaderChar"/>
    <w:uiPriority w:val="99"/>
    <w:unhideWhenUsed/>
    <w:rsid w:val="00BA4FBE"/>
    <w:pPr>
      <w:tabs>
        <w:tab w:val="center" w:pos="4680"/>
        <w:tab w:val="right" w:pos="9360"/>
      </w:tabs>
      <w:spacing w:line="240" w:lineRule="auto"/>
    </w:pPr>
  </w:style>
  <w:style w:type="character" w:customStyle="1" w:styleId="HeaderChar">
    <w:name w:val="Header Char"/>
    <w:basedOn w:val="DefaultParagraphFont"/>
    <w:link w:val="Header"/>
    <w:uiPriority w:val="99"/>
    <w:rsid w:val="00BA4FBE"/>
  </w:style>
  <w:style w:type="paragraph" w:styleId="Footer">
    <w:name w:val="footer"/>
    <w:basedOn w:val="Normal"/>
    <w:link w:val="FooterChar"/>
    <w:uiPriority w:val="99"/>
    <w:unhideWhenUsed/>
    <w:rsid w:val="00BA4FBE"/>
    <w:pPr>
      <w:tabs>
        <w:tab w:val="center" w:pos="4680"/>
        <w:tab w:val="right" w:pos="9360"/>
      </w:tabs>
      <w:spacing w:line="240" w:lineRule="auto"/>
    </w:pPr>
  </w:style>
  <w:style w:type="character" w:customStyle="1" w:styleId="FooterChar">
    <w:name w:val="Footer Char"/>
    <w:basedOn w:val="DefaultParagraphFont"/>
    <w:link w:val="Footer"/>
    <w:uiPriority w:val="99"/>
    <w:rsid w:val="00BA4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8607931">
      <w:bodyDiv w:val="1"/>
      <w:marLeft w:val="0"/>
      <w:marRight w:val="0"/>
      <w:marTop w:val="0"/>
      <w:marBottom w:val="0"/>
      <w:divBdr>
        <w:top w:val="none" w:sz="0" w:space="0" w:color="auto"/>
        <w:left w:val="none" w:sz="0" w:space="0" w:color="auto"/>
        <w:bottom w:val="none" w:sz="0" w:space="0" w:color="auto"/>
        <w:right w:val="none" w:sz="0" w:space="0" w:color="auto"/>
      </w:divBdr>
    </w:div>
    <w:div w:id="2146316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zenodo.org/records/10314871" TargetMode="External"/><Relationship Id="rId18" Type="http://schemas.openxmlformats.org/officeDocument/2006/relationships/hyperlink" Target="https://books.google.co.in/books?hl=en&amp;lr=&amp;id=wLipF4vctU4C&amp;oi=fnd&amp;pg=PR11&amp;dq=gay+r+charlesworth&amp;ots=Y804Gl8qEF&amp;sig=MQ_SRRuLRBFHrukRpCb2pB4fs-A&amp;redir_esc=y" TargetMode="External"/><Relationship Id="rId26" Type="http://schemas.openxmlformats.org/officeDocument/2006/relationships/hyperlink" Target="https://academic.oup.com/jcr/article-abstract/18/2/145/1786796"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108/IJRDM-08-2015-0126" TargetMode="External"/><Relationship Id="rId34" Type="http://schemas.openxmlformats.org/officeDocument/2006/relationships/hyperlink" Target="https://nyaspubs.onlinelibrary.wiley.com/doi/abs/10.1111/j.1749-6632.2009.05163.x"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journals.sagepub.com/doi/abs/10.1177/109467050032005" TargetMode="External"/><Relationship Id="rId17" Type="http://schemas.openxmlformats.org/officeDocument/2006/relationships/hyperlink" Target="https://doi.org/10.1207/S15327663JCP1303_15" TargetMode="External"/><Relationship Id="rId25" Type="http://schemas.openxmlformats.org/officeDocument/2006/relationships/hyperlink" Target="https://doi.org/10.3200/ENVT.48.5.22-36" TargetMode="External"/><Relationship Id="rId33" Type="http://schemas.openxmlformats.org/officeDocument/2006/relationships/hyperlink" Target="http://sinsofgreenwashing.org/findings/the-seven-sins/"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emerald.com/insight/content/doi/10.1108/JCM-05-2018-2694/full/html" TargetMode="External"/><Relationship Id="rId20" Type="http://schemas.openxmlformats.org/officeDocument/2006/relationships/hyperlink" Target="https://www.tandfonline.com/doi/abs/10.1080/01973530701665058" TargetMode="External"/><Relationship Id="rId29" Type="http://schemas.openxmlformats.org/officeDocument/2006/relationships/hyperlink" Target="https://doi.org/10.1002/bse.1912"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ademic.oup.com/jcr/article-abstract/20/4/644/1798609" TargetMode="External"/><Relationship Id="rId24" Type="http://schemas.openxmlformats.org/officeDocument/2006/relationships/hyperlink" Target="https://doi.org/10.1080/00913367.2005.10639199" TargetMode="External"/><Relationship Id="rId32" Type="http://schemas.openxmlformats.org/officeDocument/2006/relationships/hyperlink" Target="https://doi.org/10.1016/j.jclepro.2018.02.097"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02/mar.1013" TargetMode="External"/><Relationship Id="rId23" Type="http://schemas.openxmlformats.org/officeDocument/2006/relationships/hyperlink" Target="https://www.researchgate.net/profile/Ravi-Bhakat/publication/280298147_A_Review_of_Impulse_Buying_Behavior/links/55ef157108aedecb68fd96b9/A-Review-of-Impulse-Buying-Behavior.pdf" TargetMode="External"/><Relationship Id="rId28" Type="http://schemas.openxmlformats.org/officeDocument/2006/relationships/hyperlink" Target="https://doi.org/10.1080/13549839.2017.1345877" TargetMode="External"/><Relationship Id="rId36" Type="http://schemas.openxmlformats.org/officeDocument/2006/relationships/header" Target="header1.xml"/><Relationship Id="rId10" Type="http://schemas.openxmlformats.org/officeDocument/2006/relationships/hyperlink" Target="https://doi.org/10.4135/9781446249215.n22" TargetMode="External"/><Relationship Id="rId19" Type="http://schemas.openxmlformats.org/officeDocument/2006/relationships/hyperlink" Target="https://doi.org/10.1016/j.jclepro.2016.04.122" TargetMode="External"/><Relationship Id="rId31" Type="http://schemas.openxmlformats.org/officeDocument/2006/relationships/hyperlink" Target="https://www.jstor.org/stable/24707060" TargetMode="External"/><Relationship Id="rId4" Type="http://schemas.openxmlformats.org/officeDocument/2006/relationships/webSettings" Target="webSettings.xml"/><Relationship Id="rId9" Type="http://schemas.openxmlformats.org/officeDocument/2006/relationships/hyperlink" Target="https://journals.sagepub.com/doi/abs/10.1177/002224299005400102" TargetMode="External"/><Relationship Id="rId14" Type="http://schemas.openxmlformats.org/officeDocument/2006/relationships/hyperlink" Target="https://academic.oup.com/jcr/article-abstract/14/3/350/1820141" TargetMode="External"/><Relationship Id="rId22" Type="http://schemas.openxmlformats.org/officeDocument/2006/relationships/hyperlink" Target="https://www.researchgate.net/publication/343904334_CRITERIA_FOR_EVALUATION_OF_ALTERNATIVES_IN_ONLINE_CONSUMER_DECISION-MAKING_PROCESS" TargetMode="External"/><Relationship Id="rId27" Type="http://schemas.openxmlformats.org/officeDocument/2006/relationships/hyperlink" Target="https://academic.oup.com/jcr/article-abstract/15/2/253/1841505" TargetMode="External"/><Relationship Id="rId30" Type="http://schemas.openxmlformats.org/officeDocument/2006/relationships/hyperlink" Target="https://doi.org/10.1016/j.jbusres.2016.11.002" TargetMode="External"/><Relationship Id="rId35" Type="http://schemas.openxmlformats.org/officeDocument/2006/relationships/hyperlink" Target="https://doi.org/10.1080/00913367.1995.10673471"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27</Pages>
  <Words>9617</Words>
  <Characters>54821</Characters>
  <Application>Microsoft Office Word</Application>
  <DocSecurity>0</DocSecurity>
  <Lines>456</Lines>
  <Paragraphs>128</Paragraphs>
  <ScaleCrop>false</ScaleCrop>
  <Company/>
  <LinksUpToDate>false</LinksUpToDate>
  <CharactersWithSpaces>64310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10</cp:revision>
  <dcterms:created xsi:type="dcterms:W3CDTF">2025-06-23T08:57:00Z</dcterms:created>
  <dcterms:modified xsi:type="dcterms:W3CDTF">2025-06-23T13:15:00Z</dcterms:modified>
</cp:coreProperties>
</file>