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36535" w14:textId="69CB4369" w:rsidR="00B53D3B" w:rsidRDefault="000B09C3" w:rsidP="00F169EE">
      <w:pPr>
        <w:spacing w:after="0"/>
        <w:jc w:val="center"/>
        <w:rPr>
          <w:rFonts w:ascii="Times New Roman" w:hAnsi="Times New Roman" w:cs="Times New Roman"/>
          <w:b/>
          <w:bCs/>
          <w:sz w:val="32"/>
          <w:szCs w:val="32"/>
        </w:rPr>
      </w:pPr>
      <w:r w:rsidRPr="000B09C3">
        <w:rPr>
          <w:rFonts w:ascii="Times New Roman" w:hAnsi="Times New Roman" w:cs="Times New Roman"/>
          <w:b/>
          <w:bCs/>
          <w:sz w:val="32"/>
          <w:szCs w:val="32"/>
        </w:rPr>
        <w:t>Short Research Article</w:t>
      </w:r>
    </w:p>
    <w:p w14:paraId="6C968659" w14:textId="77777777" w:rsidR="000B09C3" w:rsidRDefault="000B09C3" w:rsidP="00F169EE">
      <w:pPr>
        <w:spacing w:after="0"/>
        <w:jc w:val="center"/>
        <w:rPr>
          <w:rFonts w:ascii="Times New Roman" w:hAnsi="Times New Roman" w:cs="Times New Roman"/>
          <w:b/>
          <w:bCs/>
          <w:sz w:val="32"/>
          <w:szCs w:val="32"/>
        </w:rPr>
      </w:pPr>
    </w:p>
    <w:p w14:paraId="4857471A" w14:textId="7DEDA72D" w:rsidR="0003721A" w:rsidRPr="007E419F" w:rsidRDefault="0003721A" w:rsidP="00F169EE">
      <w:pPr>
        <w:spacing w:after="0"/>
        <w:jc w:val="center"/>
        <w:rPr>
          <w:rFonts w:ascii="Times New Roman" w:hAnsi="Times New Roman" w:cs="Times New Roman"/>
          <w:b/>
          <w:bCs/>
          <w:sz w:val="32"/>
          <w:szCs w:val="32"/>
        </w:rPr>
      </w:pPr>
      <w:r w:rsidRPr="007E419F">
        <w:rPr>
          <w:rFonts w:ascii="Times New Roman" w:hAnsi="Times New Roman" w:cs="Times New Roman"/>
          <w:b/>
          <w:bCs/>
          <w:sz w:val="32"/>
          <w:szCs w:val="32"/>
        </w:rPr>
        <w:t>Efficacy of Various Seed Treatments in the Management of White Rust (</w:t>
      </w:r>
      <w:proofErr w:type="spellStart"/>
      <w:r w:rsidR="00E43D92" w:rsidRPr="007E419F">
        <w:rPr>
          <w:rFonts w:ascii="Times New Roman" w:hAnsi="Times New Roman" w:cs="Times New Roman"/>
          <w:b/>
          <w:bCs/>
          <w:i/>
          <w:iCs/>
          <w:sz w:val="32"/>
          <w:szCs w:val="32"/>
        </w:rPr>
        <w:t>Albugo</w:t>
      </w:r>
      <w:proofErr w:type="spellEnd"/>
      <w:r w:rsidR="00E43D92" w:rsidRPr="007E419F">
        <w:rPr>
          <w:rFonts w:ascii="Times New Roman" w:hAnsi="Times New Roman" w:cs="Times New Roman"/>
          <w:b/>
          <w:bCs/>
          <w:i/>
          <w:iCs/>
          <w:sz w:val="32"/>
          <w:szCs w:val="32"/>
        </w:rPr>
        <w:t xml:space="preserve"> candida</w:t>
      </w:r>
      <w:r w:rsidRPr="007E419F">
        <w:rPr>
          <w:rFonts w:ascii="Times New Roman" w:hAnsi="Times New Roman" w:cs="Times New Roman"/>
          <w:b/>
          <w:bCs/>
          <w:sz w:val="32"/>
          <w:szCs w:val="32"/>
        </w:rPr>
        <w:t>) in Mustard (</w:t>
      </w:r>
      <w:r w:rsidRPr="007E419F">
        <w:rPr>
          <w:rFonts w:ascii="Times New Roman" w:hAnsi="Times New Roman" w:cs="Times New Roman"/>
          <w:b/>
          <w:bCs/>
          <w:i/>
          <w:iCs/>
          <w:sz w:val="32"/>
          <w:szCs w:val="32"/>
        </w:rPr>
        <w:t>Brassica juncea</w:t>
      </w:r>
      <w:r w:rsidRPr="007E419F">
        <w:rPr>
          <w:rFonts w:ascii="Times New Roman" w:hAnsi="Times New Roman" w:cs="Times New Roman"/>
          <w:b/>
          <w:bCs/>
          <w:sz w:val="32"/>
          <w:szCs w:val="32"/>
        </w:rPr>
        <w:t>)</w:t>
      </w:r>
    </w:p>
    <w:p w14:paraId="5A4C761A" w14:textId="77777777" w:rsidR="007E419F" w:rsidRPr="007E419F" w:rsidRDefault="007E419F" w:rsidP="00F169EE">
      <w:pPr>
        <w:spacing w:after="0"/>
        <w:jc w:val="center"/>
        <w:rPr>
          <w:rFonts w:ascii="Times New Roman" w:hAnsi="Times New Roman" w:cs="Times New Roman"/>
          <w:b/>
          <w:bCs/>
          <w:sz w:val="32"/>
          <w:szCs w:val="32"/>
        </w:rPr>
      </w:pPr>
    </w:p>
    <w:p w14:paraId="66194878" w14:textId="77777777" w:rsidR="00824C65" w:rsidRPr="007E419F" w:rsidRDefault="00824C65" w:rsidP="00824C65">
      <w:pPr>
        <w:pStyle w:val="NormalWeb"/>
      </w:pPr>
      <w:r w:rsidRPr="007E419F">
        <w:rPr>
          <w:rStyle w:val="Strong"/>
          <w:rFonts w:eastAsiaTheme="majorEastAsia"/>
        </w:rPr>
        <w:t>Abstract</w:t>
      </w:r>
    </w:p>
    <w:p w14:paraId="72FE012D" w14:textId="615D3579" w:rsidR="00824C65" w:rsidRPr="007E419F" w:rsidRDefault="00824C65" w:rsidP="00824C65">
      <w:pPr>
        <w:pStyle w:val="NormalWeb"/>
        <w:jc w:val="both"/>
      </w:pPr>
      <w:r w:rsidRPr="007E419F">
        <w:t xml:space="preserve">The present investigation was conducted during Rabi 2024–25 at the Organic Research Farm, Bundelkhand University, Jhansi, to evaluate the efficacy of seed bio-priming with chemicals and biocontrol agents against white rust of mustard caused by </w:t>
      </w:r>
      <w:proofErr w:type="spellStart"/>
      <w:r w:rsidRPr="007E419F">
        <w:rPr>
          <w:rStyle w:val="Emphasis"/>
          <w:rFonts w:eastAsiaTheme="majorEastAsia"/>
        </w:rPr>
        <w:t>Albugo</w:t>
      </w:r>
      <w:proofErr w:type="spellEnd"/>
      <w:r w:rsidRPr="007E419F">
        <w:rPr>
          <w:rStyle w:val="Emphasis"/>
          <w:rFonts w:eastAsiaTheme="majorEastAsia"/>
        </w:rPr>
        <w:t xml:space="preserve"> candida</w:t>
      </w:r>
      <w:r w:rsidRPr="007E419F">
        <w:t xml:space="preserve">. The experiment, laid out in a </w:t>
      </w:r>
      <w:proofErr w:type="spellStart"/>
      <w:r w:rsidR="00883878" w:rsidRPr="007E419F">
        <w:t>Randomised</w:t>
      </w:r>
      <w:proofErr w:type="spellEnd"/>
      <w:r w:rsidR="00883878" w:rsidRPr="007E419F">
        <w:t xml:space="preserve"> </w:t>
      </w:r>
      <w:r w:rsidRPr="007E419F">
        <w:t>Block Design with nin</w:t>
      </w:r>
      <w:bookmarkStart w:id="0" w:name="_GoBack"/>
      <w:bookmarkEnd w:id="0"/>
      <w:r w:rsidRPr="007E419F">
        <w:t xml:space="preserve">e treatments and three replications, assessed disease incidence at 30, 45, and 60 DAS. Among all treatments, Mancozeb @ 3 g/kg seed showed the lowest mean disease incidence (16.80%), followed by Carbendazim (17.80%). Biocontrol agents like </w:t>
      </w:r>
      <w:r w:rsidRPr="007E419F">
        <w:rPr>
          <w:rStyle w:val="Emphasis"/>
          <w:rFonts w:eastAsiaTheme="majorEastAsia"/>
        </w:rPr>
        <w:t xml:space="preserve">Trichoderma </w:t>
      </w:r>
      <w:proofErr w:type="spellStart"/>
      <w:r w:rsidRPr="007E419F">
        <w:rPr>
          <w:rStyle w:val="Emphasis"/>
          <w:rFonts w:eastAsiaTheme="majorEastAsia"/>
        </w:rPr>
        <w:t>harzianum</w:t>
      </w:r>
      <w:proofErr w:type="spellEnd"/>
      <w:r w:rsidRPr="007E419F">
        <w:t xml:space="preserve"> also provided effective disease suppression (19.04%), while botanical extracts showed moderate control. Overall, seed treatment with fungicides and bioagents significantly reduced disease incidence compared to the untreated control, highlighting its importance in integrated disease management strategies for sustainable mustard production.</w:t>
      </w:r>
    </w:p>
    <w:p w14:paraId="2A4E60A8" w14:textId="7E619FB9" w:rsidR="00E61F92" w:rsidRPr="007E419F" w:rsidRDefault="00E61F92" w:rsidP="00824C65">
      <w:pPr>
        <w:pStyle w:val="NormalWeb"/>
        <w:jc w:val="both"/>
        <w:rPr>
          <w:b/>
          <w:bCs/>
        </w:rPr>
      </w:pPr>
      <w:r w:rsidRPr="007E419F">
        <w:rPr>
          <w:b/>
          <w:bCs/>
        </w:rPr>
        <w:t xml:space="preserve">Keyword: </w:t>
      </w:r>
      <w:r w:rsidR="006B6618" w:rsidRPr="007E419F">
        <w:t xml:space="preserve">Mustard, White rust, </w:t>
      </w:r>
      <w:proofErr w:type="spellStart"/>
      <w:r w:rsidR="006B6618" w:rsidRPr="007E419F">
        <w:rPr>
          <w:rStyle w:val="Emphasis"/>
          <w:rFonts w:eastAsiaTheme="majorEastAsia"/>
        </w:rPr>
        <w:t>Albugo</w:t>
      </w:r>
      <w:proofErr w:type="spellEnd"/>
      <w:r w:rsidR="006B6618" w:rsidRPr="007E419F">
        <w:rPr>
          <w:rStyle w:val="Emphasis"/>
          <w:rFonts w:eastAsiaTheme="majorEastAsia"/>
        </w:rPr>
        <w:t xml:space="preserve"> candida</w:t>
      </w:r>
      <w:r w:rsidR="006B6618" w:rsidRPr="007E419F">
        <w:t>, Seed treatment, Bio-priming, Fungicides, Biocontrol agents.</w:t>
      </w:r>
    </w:p>
    <w:p w14:paraId="4299736F" w14:textId="1FF54474" w:rsidR="0027464F" w:rsidRPr="007E419F" w:rsidRDefault="0027464F" w:rsidP="00C42105">
      <w:pPr>
        <w:pStyle w:val="NormalWeb"/>
        <w:spacing w:before="0" w:beforeAutospacing="0" w:after="0" w:afterAutospacing="0" w:line="276" w:lineRule="auto"/>
      </w:pPr>
      <w:r w:rsidRPr="007E419F">
        <w:rPr>
          <w:rStyle w:val="Strong"/>
          <w:rFonts w:eastAsiaTheme="majorEastAsia"/>
        </w:rPr>
        <w:t xml:space="preserve">Introduction </w:t>
      </w:r>
    </w:p>
    <w:p w14:paraId="13EE45A4" w14:textId="53264A80" w:rsidR="0027464F" w:rsidRPr="007E419F" w:rsidRDefault="0027464F" w:rsidP="00C42105">
      <w:pPr>
        <w:pStyle w:val="NormalWeb"/>
        <w:spacing w:before="0" w:beforeAutospacing="0" w:after="0" w:afterAutospacing="0" w:line="276" w:lineRule="auto"/>
        <w:jc w:val="both"/>
      </w:pPr>
      <w:r w:rsidRPr="007E419F">
        <w:t>Mustard (</w:t>
      </w:r>
      <w:r w:rsidRPr="007E419F">
        <w:rPr>
          <w:rStyle w:val="Emphasis"/>
          <w:rFonts w:eastAsiaTheme="majorEastAsia"/>
        </w:rPr>
        <w:t>Brassica juncea</w:t>
      </w:r>
      <w:r w:rsidRPr="007E419F">
        <w:t>) is an important oilseed crop grown extensively in India, especially in Rajasthan, Uttar Pradesh, and Madhya Pradesh (</w:t>
      </w:r>
      <w:proofErr w:type="spellStart"/>
      <w:r w:rsidRPr="007E419F">
        <w:t>Indiastat</w:t>
      </w:r>
      <w:proofErr w:type="spellEnd"/>
      <w:r w:rsidRPr="007E419F">
        <w:t xml:space="preserve">, 2024). </w:t>
      </w:r>
      <w:r w:rsidR="00F40C1D" w:rsidRPr="007E419F">
        <w:t>It is an important winter (Rabi) season oilseed crop. Among the seven edible oilseeds cultivated in India, mustard is the second-most important oilseed crop in India, next only to soybean, with almost one-fourth share in both area and production (</w:t>
      </w:r>
      <w:r w:rsidR="00D069A0" w:rsidRPr="007E419F">
        <w:t>Kumar &amp; Tiwari, 2024</w:t>
      </w:r>
      <w:r w:rsidR="00F40C1D" w:rsidRPr="007E419F">
        <w:t>).</w:t>
      </w:r>
      <w:r w:rsidR="006B54C3" w:rsidRPr="007E419F">
        <w:t xml:space="preserve"> </w:t>
      </w:r>
      <w:r w:rsidRPr="007E419F">
        <w:t xml:space="preserve">Its productivity is significantly affected by </w:t>
      </w:r>
      <w:r w:rsidRPr="007E419F">
        <w:rPr>
          <w:rStyle w:val="Strong"/>
          <w:rFonts w:eastAsiaTheme="majorEastAsia"/>
          <w:b w:val="0"/>
          <w:bCs w:val="0"/>
        </w:rPr>
        <w:t>white rust</w:t>
      </w:r>
      <w:r w:rsidRPr="007E419F">
        <w:t xml:space="preserve">, a disease caused by </w:t>
      </w:r>
      <w:proofErr w:type="spellStart"/>
      <w:r w:rsidR="00E43D92" w:rsidRPr="007E419F">
        <w:rPr>
          <w:rStyle w:val="Emphasis"/>
          <w:rFonts w:eastAsiaTheme="majorEastAsia"/>
        </w:rPr>
        <w:t>Albugo</w:t>
      </w:r>
      <w:proofErr w:type="spellEnd"/>
      <w:r w:rsidR="00E43D92" w:rsidRPr="007E419F">
        <w:rPr>
          <w:rStyle w:val="Emphasis"/>
          <w:rFonts w:eastAsiaTheme="majorEastAsia"/>
        </w:rPr>
        <w:t xml:space="preserve"> candida</w:t>
      </w:r>
      <w:r w:rsidRPr="007E419F">
        <w:t xml:space="preserve">, which leads to white pustules on leaves and </w:t>
      </w:r>
      <w:proofErr w:type="spellStart"/>
      <w:r w:rsidRPr="007E419F">
        <w:t>staghead</w:t>
      </w:r>
      <w:proofErr w:type="spellEnd"/>
      <w:r w:rsidRPr="007E419F">
        <w:t xml:space="preserve"> formation in inflorescences, resulting in yield losses up to 60% (Meena </w:t>
      </w:r>
      <w:r w:rsidR="00E43D92" w:rsidRPr="007E419F">
        <w:rPr>
          <w:i/>
          <w:iCs/>
        </w:rPr>
        <w:t>et al</w:t>
      </w:r>
      <w:r w:rsidRPr="007E419F">
        <w:t xml:space="preserve">., 2015). </w:t>
      </w:r>
      <w:r w:rsidR="0068619D" w:rsidRPr="007E419F">
        <w:t xml:space="preserve">With the increase in area under mustard cultivation, the intensity and severity of white rust have increased gradually throughout the mustard-growing areas of tropical and subtropical India. White rust disease in Indian mustard is </w:t>
      </w:r>
      <w:proofErr w:type="spellStart"/>
      <w:r w:rsidR="0068619D" w:rsidRPr="007E419F">
        <w:t>favoured</w:t>
      </w:r>
      <w:proofErr w:type="spellEnd"/>
      <w:r w:rsidR="0068619D" w:rsidRPr="007E419F">
        <w:t xml:space="preserve"> when low temperature (15–20 °C) and high humidity (&gt;65%) with intermittent rainfalls occur from the cotyledonary to the complete flowering stage (</w:t>
      </w:r>
      <w:r w:rsidR="00697B47" w:rsidRPr="007E419F">
        <w:t>Chand et al., 2022</w:t>
      </w:r>
      <w:r w:rsidR="00A90F12" w:rsidRPr="007E419F">
        <w:t>; Tiwari et al., 2025</w:t>
      </w:r>
      <w:r w:rsidR="0068619D" w:rsidRPr="007E419F">
        <w:t xml:space="preserve">). </w:t>
      </w:r>
      <w:r w:rsidRPr="007E419F">
        <w:t xml:space="preserve">Conventional foliar fungicides offer temporary relief but may cause environmental hazards and resistance buildup (Sharma </w:t>
      </w:r>
      <w:r w:rsidR="00E43D92" w:rsidRPr="007E419F">
        <w:rPr>
          <w:i/>
          <w:iCs/>
        </w:rPr>
        <w:t>et al</w:t>
      </w:r>
      <w:r w:rsidRPr="007E419F">
        <w:t xml:space="preserve">., 2021). </w:t>
      </w:r>
      <w:r w:rsidRPr="007E419F">
        <w:rPr>
          <w:rStyle w:val="Strong"/>
          <w:rFonts w:eastAsiaTheme="majorEastAsia"/>
          <w:b w:val="0"/>
          <w:bCs w:val="0"/>
        </w:rPr>
        <w:t>Seed treatment</w:t>
      </w:r>
      <w:r w:rsidRPr="007E419F">
        <w:t xml:space="preserve"> has emerged as a promising pre-sowing strategy to protect seedlings during early growth stages. Fungicides like Carbendazim and Mancozeb</w:t>
      </w:r>
      <w:r w:rsidR="00EE25B3" w:rsidRPr="007E419F">
        <w:t>,</w:t>
      </w:r>
      <w:r w:rsidRPr="007E419F">
        <w:t xml:space="preserve"> and biological agents like </w:t>
      </w:r>
      <w:r w:rsidRPr="007E419F">
        <w:rPr>
          <w:rStyle w:val="Emphasis"/>
          <w:rFonts w:eastAsiaTheme="majorEastAsia"/>
        </w:rPr>
        <w:t xml:space="preserve">Trichoderma </w:t>
      </w:r>
      <w:proofErr w:type="spellStart"/>
      <w:r w:rsidRPr="007E419F">
        <w:rPr>
          <w:rStyle w:val="Emphasis"/>
          <w:rFonts w:eastAsiaTheme="majorEastAsia"/>
        </w:rPr>
        <w:t>harzianum</w:t>
      </w:r>
      <w:proofErr w:type="spellEnd"/>
      <w:r w:rsidRPr="007E419F">
        <w:t xml:space="preserve"> and </w:t>
      </w:r>
      <w:r w:rsidRPr="007E419F">
        <w:rPr>
          <w:rStyle w:val="Emphasis"/>
          <w:rFonts w:eastAsiaTheme="majorEastAsia"/>
        </w:rPr>
        <w:t>Pseudomonas fluorescens</w:t>
      </w:r>
      <w:r w:rsidRPr="007E419F">
        <w:t xml:space="preserve"> have shown potential in reducing disease incidence (Gupta </w:t>
      </w:r>
      <w:r w:rsidR="00E43D92" w:rsidRPr="007E419F">
        <w:rPr>
          <w:i/>
          <w:iCs/>
        </w:rPr>
        <w:t>et al</w:t>
      </w:r>
      <w:r w:rsidRPr="007E419F">
        <w:t xml:space="preserve">., 2018; Chaudhary </w:t>
      </w:r>
      <w:r w:rsidR="00E43D92" w:rsidRPr="007E419F">
        <w:rPr>
          <w:i/>
          <w:iCs/>
        </w:rPr>
        <w:t>et al</w:t>
      </w:r>
      <w:r w:rsidRPr="007E419F">
        <w:t xml:space="preserve">., 2019). </w:t>
      </w:r>
      <w:r w:rsidR="00697B47" w:rsidRPr="007E419F">
        <w:t xml:space="preserve">Moreover, seed treatment with </w:t>
      </w:r>
      <w:r w:rsidR="00697B47" w:rsidRPr="007E419F">
        <w:rPr>
          <w:i/>
          <w:iCs/>
        </w:rPr>
        <w:t>Trichoderma viride</w:t>
      </w:r>
      <w:r w:rsidR="00697B47" w:rsidRPr="007E419F">
        <w:t xml:space="preserve"> followed by spray of </w:t>
      </w:r>
      <w:r w:rsidR="00697B47" w:rsidRPr="007E419F">
        <w:rPr>
          <w:i/>
          <w:iCs/>
        </w:rPr>
        <w:t>T. viride</w:t>
      </w:r>
      <w:r w:rsidR="00697B47" w:rsidRPr="007E419F">
        <w:t xml:space="preserve"> gave good results for the management of white rust in Indian mustard. Seed treatment with </w:t>
      </w:r>
      <w:r w:rsidR="00697B47" w:rsidRPr="007E419F">
        <w:rPr>
          <w:i/>
          <w:iCs/>
        </w:rPr>
        <w:t>T. viride</w:t>
      </w:r>
      <w:r w:rsidR="00697B47" w:rsidRPr="007E419F">
        <w:t xml:space="preserve"> and foliar spray of copper oxychloride was found to control white rust disease and also increase the grain yield </w:t>
      </w:r>
      <w:r w:rsidR="00697B47" w:rsidRPr="007E419F">
        <w:lastRenderedPageBreak/>
        <w:t>(</w:t>
      </w:r>
      <w:r w:rsidR="00C46826" w:rsidRPr="007E419F">
        <w:t>Sran et al., 2024</w:t>
      </w:r>
      <w:r w:rsidR="00697B47" w:rsidRPr="007E419F">
        <w:t>).</w:t>
      </w:r>
      <w:r w:rsidR="00C46826" w:rsidRPr="007E419F">
        <w:t xml:space="preserve"> </w:t>
      </w:r>
      <w:r w:rsidRPr="007E419F">
        <w:t xml:space="preserve">Integrated seed treatments can provide sustainable disease control. Therefore, the present study was undertaken to evaluate the </w:t>
      </w:r>
      <w:r w:rsidRPr="007E419F">
        <w:rPr>
          <w:rStyle w:val="Strong"/>
          <w:rFonts w:eastAsiaTheme="majorEastAsia"/>
          <w:b w:val="0"/>
          <w:bCs w:val="0"/>
        </w:rPr>
        <w:t>efficacy of different seed treatments</w:t>
      </w:r>
      <w:r w:rsidRPr="007E419F">
        <w:t xml:space="preserve"> in managing white rust of mustard in an eco-friendly manner.</w:t>
      </w:r>
    </w:p>
    <w:p w14:paraId="307A9800" w14:textId="77777777" w:rsidR="004379F3" w:rsidRPr="007E419F" w:rsidRDefault="004379F3" w:rsidP="00F169EE">
      <w:pPr>
        <w:spacing w:after="0"/>
        <w:jc w:val="both"/>
        <w:rPr>
          <w:rFonts w:ascii="Times New Roman" w:eastAsia="Times New Roman" w:hAnsi="Times New Roman" w:cs="Times New Roman"/>
          <w:b/>
          <w:bCs/>
          <w:szCs w:val="24"/>
        </w:rPr>
      </w:pPr>
      <w:r w:rsidRPr="007E419F">
        <w:rPr>
          <w:rFonts w:ascii="Times New Roman" w:eastAsia="Times New Roman" w:hAnsi="Times New Roman" w:cs="Times New Roman"/>
          <w:b/>
          <w:bCs/>
          <w:szCs w:val="24"/>
        </w:rPr>
        <w:t>Materials and Methods</w:t>
      </w:r>
    </w:p>
    <w:p w14:paraId="6189E2B5" w14:textId="5F178C16" w:rsidR="007A2E21" w:rsidRPr="007E419F" w:rsidRDefault="004379F3" w:rsidP="00F169EE">
      <w:pPr>
        <w:spacing w:after="0"/>
        <w:jc w:val="both"/>
        <w:rPr>
          <w:rFonts w:ascii="Times New Roman" w:eastAsia="Times New Roman" w:hAnsi="Times New Roman" w:cs="Times New Roman"/>
          <w:szCs w:val="24"/>
        </w:rPr>
      </w:pPr>
      <w:r w:rsidRPr="007E419F">
        <w:rPr>
          <w:rFonts w:ascii="Times New Roman" w:eastAsia="Times New Roman" w:hAnsi="Times New Roman" w:cs="Times New Roman"/>
          <w:szCs w:val="24"/>
        </w:rPr>
        <w:t>The present investigation was conducted during the Rabi season of 2024</w:t>
      </w:r>
      <w:r w:rsidR="00E43D92" w:rsidRPr="007E419F">
        <w:rPr>
          <w:rFonts w:ascii="Times New Roman" w:eastAsia="Times New Roman" w:hAnsi="Times New Roman" w:cs="Times New Roman"/>
          <w:szCs w:val="24"/>
        </w:rPr>
        <w:t>-</w:t>
      </w:r>
      <w:r w:rsidRPr="007E419F">
        <w:rPr>
          <w:rFonts w:ascii="Times New Roman" w:eastAsia="Times New Roman" w:hAnsi="Times New Roman" w:cs="Times New Roman"/>
          <w:szCs w:val="24"/>
        </w:rPr>
        <w:t xml:space="preserve">25 at the Organic Research Farm, </w:t>
      </w:r>
      <w:proofErr w:type="spellStart"/>
      <w:r w:rsidRPr="007E419F">
        <w:rPr>
          <w:rFonts w:ascii="Times New Roman" w:eastAsia="Times New Roman" w:hAnsi="Times New Roman" w:cs="Times New Roman"/>
          <w:szCs w:val="24"/>
        </w:rPr>
        <w:t>Karguan</w:t>
      </w:r>
      <w:proofErr w:type="spellEnd"/>
      <w:r w:rsidRPr="007E419F">
        <w:rPr>
          <w:rFonts w:ascii="Times New Roman" w:eastAsia="Times New Roman" w:hAnsi="Times New Roman" w:cs="Times New Roman"/>
          <w:szCs w:val="24"/>
        </w:rPr>
        <w:t xml:space="preserve"> Ji, Institute of Agricultural Sciences, Department of Plant Pathology, Bundelkhand University, Jhansi (Uttar Pradesh). The experiment was laid out in a </w:t>
      </w:r>
      <w:proofErr w:type="spellStart"/>
      <w:r w:rsidR="00883878" w:rsidRPr="007E419F">
        <w:rPr>
          <w:rFonts w:ascii="Times New Roman" w:eastAsia="Times New Roman" w:hAnsi="Times New Roman" w:cs="Times New Roman"/>
          <w:szCs w:val="24"/>
        </w:rPr>
        <w:t>Randomised</w:t>
      </w:r>
      <w:proofErr w:type="spellEnd"/>
      <w:r w:rsidR="00883878"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Block Design (RBD) with nine treatments and three replications, comprising a total of 27 plots. Each plot measured 2.5 × 2.5 meters, with row-to-plant spacing maintained at 30 cm × 10 cm, and the overall field size was approximately 27.7 × 10.3 meters. The mustard variety PM-30 was sown on 24</w:t>
      </w:r>
      <w:r w:rsidRPr="007E419F">
        <w:rPr>
          <w:rFonts w:ascii="Times New Roman" w:eastAsia="Times New Roman" w:hAnsi="Times New Roman" w:cs="Times New Roman"/>
          <w:szCs w:val="24"/>
          <w:vertAlign w:val="superscript"/>
        </w:rPr>
        <w:t>th</w:t>
      </w:r>
      <w:r w:rsidR="00E43D92"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November 2024, and harvesting was done on 24</w:t>
      </w:r>
      <w:r w:rsidRPr="007E419F">
        <w:rPr>
          <w:rFonts w:ascii="Times New Roman" w:eastAsia="Times New Roman" w:hAnsi="Times New Roman" w:cs="Times New Roman"/>
          <w:szCs w:val="24"/>
          <w:vertAlign w:val="superscript"/>
        </w:rPr>
        <w:t>th</w:t>
      </w:r>
      <w:r w:rsidRPr="007E419F">
        <w:rPr>
          <w:rFonts w:ascii="Times New Roman" w:eastAsia="Times New Roman" w:hAnsi="Times New Roman" w:cs="Times New Roman"/>
          <w:szCs w:val="24"/>
        </w:rPr>
        <w:t xml:space="preserve"> March 2025.</w:t>
      </w:r>
      <w:r w:rsidR="005B4A9F"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 xml:space="preserve">Standard agronomic practices were followed throughout the growing period. </w:t>
      </w:r>
      <w:proofErr w:type="spellStart"/>
      <w:r w:rsidR="00883878" w:rsidRPr="007E419F">
        <w:rPr>
          <w:rFonts w:ascii="Times New Roman" w:eastAsia="Times New Roman" w:hAnsi="Times New Roman" w:cs="Times New Roman"/>
          <w:szCs w:val="24"/>
        </w:rPr>
        <w:t>Fertilisers</w:t>
      </w:r>
      <w:proofErr w:type="spellEnd"/>
      <w:r w:rsidR="00883878"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 xml:space="preserve">were applied as per the recommended doses, and a light irrigation was given immediately after sowing to ensure proper germination. Thinning was carried out at 15 days after sowing (DAS), followed by necessary intercultural operations to maintain plant health and </w:t>
      </w:r>
      <w:r w:rsidR="001B5F99" w:rsidRPr="007E419F">
        <w:rPr>
          <w:rFonts w:ascii="Times New Roman" w:eastAsia="Times New Roman" w:hAnsi="Times New Roman" w:cs="Times New Roman"/>
          <w:szCs w:val="24"/>
        </w:rPr>
        <w:t>growth. To</w:t>
      </w:r>
      <w:r w:rsidRPr="007E419F">
        <w:rPr>
          <w:rFonts w:ascii="Times New Roman" w:eastAsia="Times New Roman" w:hAnsi="Times New Roman" w:cs="Times New Roman"/>
          <w:szCs w:val="24"/>
        </w:rPr>
        <w:t xml:space="preserve"> assess the impact of seed bio-priming treatments on white rust disease, caused by </w:t>
      </w:r>
      <w:proofErr w:type="spellStart"/>
      <w:r w:rsidR="00E43D92" w:rsidRPr="007E419F">
        <w:rPr>
          <w:rFonts w:ascii="Times New Roman" w:eastAsia="Times New Roman" w:hAnsi="Times New Roman" w:cs="Times New Roman"/>
          <w:i/>
          <w:iCs/>
          <w:szCs w:val="24"/>
        </w:rPr>
        <w:t>Albugo</w:t>
      </w:r>
      <w:proofErr w:type="spellEnd"/>
      <w:r w:rsidR="00E43D92" w:rsidRPr="007E419F">
        <w:rPr>
          <w:rFonts w:ascii="Times New Roman" w:eastAsia="Times New Roman" w:hAnsi="Times New Roman" w:cs="Times New Roman"/>
          <w:i/>
          <w:iCs/>
          <w:szCs w:val="24"/>
        </w:rPr>
        <w:t xml:space="preserve"> candida</w:t>
      </w:r>
      <w:r w:rsidRPr="007E419F">
        <w:rPr>
          <w:rFonts w:ascii="Times New Roman" w:eastAsia="Times New Roman" w:hAnsi="Times New Roman" w:cs="Times New Roman"/>
          <w:szCs w:val="24"/>
        </w:rPr>
        <w:t>, a fungicide spraying schedule was implemented. The first spray was applied immediately after the appearance of initial disease symptoms, followed by the second and third sprays at 15-day intervals.</w:t>
      </w:r>
      <w:r w:rsidR="005B4A9F"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Disease incidence data were recorded on four occasions: Day Before Spray (DBS), 30 DAS, 45 DAS, and 60 DAS. In each plot, ten plants were randomly selected and permanently tagged for consistent monitoring. For disease assessment, any plant showing at least one characteristic symptom</w:t>
      </w:r>
      <w:r w:rsidR="005B4A9F" w:rsidRPr="007E419F">
        <w:rPr>
          <w:rFonts w:ascii="Times New Roman" w:eastAsia="Times New Roman" w:hAnsi="Times New Roman" w:cs="Times New Roman"/>
          <w:szCs w:val="24"/>
        </w:rPr>
        <w:t>-</w:t>
      </w:r>
      <w:r w:rsidRPr="007E419F">
        <w:rPr>
          <w:rFonts w:ascii="Times New Roman" w:eastAsia="Times New Roman" w:hAnsi="Times New Roman" w:cs="Times New Roman"/>
          <w:szCs w:val="24"/>
        </w:rPr>
        <w:t>such as white pustules or blister-like lesions on leaves or stems</w:t>
      </w:r>
      <w:r w:rsidR="001B5F99" w:rsidRPr="007E419F">
        <w:rPr>
          <w:rFonts w:ascii="Times New Roman" w:eastAsia="Times New Roman" w:hAnsi="Times New Roman" w:cs="Times New Roman"/>
          <w:szCs w:val="24"/>
        </w:rPr>
        <w:t>-</w:t>
      </w:r>
      <w:r w:rsidRPr="007E419F">
        <w:rPr>
          <w:rFonts w:ascii="Times New Roman" w:eastAsia="Times New Roman" w:hAnsi="Times New Roman" w:cs="Times New Roman"/>
          <w:szCs w:val="24"/>
        </w:rPr>
        <w:t>was considered infected. The disease incidence (%) was calculated using the following formula:</w:t>
      </w:r>
    </w:p>
    <w:p w14:paraId="34B38064" w14:textId="77777777" w:rsidR="004379F3" w:rsidRPr="007E419F" w:rsidRDefault="004379F3" w:rsidP="00F169EE">
      <w:pPr>
        <w:pStyle w:val="Heading4"/>
        <w:spacing w:after="0"/>
        <w:jc w:val="center"/>
        <w:rPr>
          <w:rStyle w:val="Strong"/>
          <w:rFonts w:ascii="Times New Roman" w:hAnsi="Times New Roman" w:cs="Times New Roman"/>
          <w:b w:val="0"/>
          <w:bCs w:val="0"/>
          <w:color w:val="0D0D0D" w:themeColor="text1" w:themeTint="F2"/>
          <w:szCs w:val="24"/>
        </w:rPr>
      </w:pPr>
      <m:oMathPara>
        <m:oMath>
          <m:r>
            <w:rPr>
              <w:rFonts w:ascii="Cambria Math" w:hAnsi="Cambria Math" w:cs="Times New Roman"/>
              <w:color w:val="0D0D0D" w:themeColor="text1" w:themeTint="F2"/>
              <w:kern w:val="0"/>
              <w:szCs w:val="24"/>
            </w:rPr>
            <m:t>Per cent disease incidence=</m:t>
          </m:r>
          <m:f>
            <m:fPr>
              <m:ctrlPr>
                <w:rPr>
                  <w:rFonts w:ascii="Cambria Math" w:hAnsi="Cambria Math" w:cs="Times New Roman"/>
                  <w:i w:val="0"/>
                  <w:iCs w:val="0"/>
                  <w:color w:val="0D0D0D" w:themeColor="text1" w:themeTint="F2"/>
                  <w:kern w:val="0"/>
                  <w:szCs w:val="24"/>
                </w:rPr>
              </m:ctrlPr>
            </m:fPr>
            <m:num>
              <m:r>
                <w:rPr>
                  <w:rFonts w:ascii="Cambria Math" w:hAnsi="Cambria Math" w:cs="Times New Roman"/>
                  <w:color w:val="0D0D0D" w:themeColor="text1" w:themeTint="F2"/>
                  <w:kern w:val="0"/>
                  <w:szCs w:val="24"/>
                </w:rPr>
                <m:t>No.  of plant affected</m:t>
              </m:r>
            </m:num>
            <m:den>
              <m:r>
                <w:rPr>
                  <w:rFonts w:ascii="Cambria Math" w:hAnsi="Cambria Math" w:cs="Times New Roman"/>
                  <w:color w:val="0D0D0D" w:themeColor="text1" w:themeTint="F2"/>
                  <w:kern w:val="0"/>
                  <w:szCs w:val="24"/>
                </w:rPr>
                <m:t>Total number of plants observed</m:t>
              </m:r>
            </m:den>
          </m:f>
          <m:r>
            <w:rPr>
              <w:rFonts w:ascii="Cambria Math" w:hAnsi="Cambria Math" w:cs="Times New Roman"/>
              <w:color w:val="0D0D0D" w:themeColor="text1" w:themeTint="F2"/>
              <w:kern w:val="0"/>
              <w:szCs w:val="24"/>
            </w:rPr>
            <m:t>×100</m:t>
          </m:r>
        </m:oMath>
      </m:oMathPara>
    </w:p>
    <w:p w14:paraId="70DF535E" w14:textId="25660EDF" w:rsidR="004379F3" w:rsidRPr="007E419F" w:rsidRDefault="004379F3" w:rsidP="00F169EE">
      <w:pPr>
        <w:spacing w:after="0"/>
        <w:jc w:val="both"/>
        <w:rPr>
          <w:rFonts w:ascii="Times New Roman" w:eastAsia="Times New Roman" w:hAnsi="Times New Roman" w:cs="Times New Roman"/>
          <w:szCs w:val="24"/>
        </w:rPr>
      </w:pPr>
      <w:r w:rsidRPr="007E419F">
        <w:rPr>
          <w:rFonts w:ascii="Times New Roman" w:hAnsi="Times New Roman" w:cs="Times New Roman"/>
        </w:rPr>
        <w:t xml:space="preserve">The mean disease incidence for each treatment was calculated for all observation intervals. These values were used to </w:t>
      </w:r>
      <w:proofErr w:type="spellStart"/>
      <w:r w:rsidR="00883878" w:rsidRPr="007E419F">
        <w:rPr>
          <w:rFonts w:ascii="Times New Roman" w:hAnsi="Times New Roman" w:cs="Times New Roman"/>
        </w:rPr>
        <w:t>analyse</w:t>
      </w:r>
      <w:proofErr w:type="spellEnd"/>
      <w:r w:rsidR="00883878" w:rsidRPr="007E419F">
        <w:rPr>
          <w:rFonts w:ascii="Times New Roman" w:hAnsi="Times New Roman" w:cs="Times New Roman"/>
        </w:rPr>
        <w:t xml:space="preserve"> </w:t>
      </w:r>
      <w:r w:rsidRPr="007E419F">
        <w:rPr>
          <w:rFonts w:ascii="Times New Roman" w:hAnsi="Times New Roman" w:cs="Times New Roman"/>
        </w:rPr>
        <w:t>the effectiveness of the different seed treatments in reducing white rust disease and managing its progression under field conditions.</w:t>
      </w:r>
    </w:p>
    <w:p w14:paraId="6A589AD2" w14:textId="77777777"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 xml:space="preserve">Results </w:t>
      </w:r>
    </w:p>
    <w:p w14:paraId="787CC1F8" w14:textId="7D0D3716"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The data presented in Table</w:t>
      </w:r>
      <w:r w:rsidR="00E02370"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1</w:t>
      </w:r>
      <w:r w:rsidR="00E02370"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reveal the impact of various seed treatments on the incidence of white rust disease in mustard at different stages of crop growth</w:t>
      </w:r>
      <w:r w:rsidR="00EE25B3" w:rsidRPr="007E419F">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lang w:bidi="ar-SA"/>
          <w14:ligatures w14:val="none"/>
        </w:rPr>
        <w:t xml:space="preserve"> specifically at 30, 45, and 60 days after sowing (DAS). The experiment consisted of nine treatments, including fungicides, bioagents, botanicals, and a control. The results indicate significant variation among the treatments in their ability to suppress white rust disease progression, with a clear distinction between treated and untreated plots.</w:t>
      </w:r>
    </w:p>
    <w:p w14:paraId="652A3370" w14:textId="39D1380C"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 xml:space="preserve">Disease Incidence (%) </w:t>
      </w:r>
    </w:p>
    <w:p w14:paraId="3CEFBD53" w14:textId="77777777" w:rsidR="00B352F7"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Disease incidence was observed before and after spray applications (DBS, 30 DAS, 45 DAS, and 60 DAS). The observations were based on the number of infected plants out of 10 tagged plants per plot.</w:t>
      </w:r>
    </w:p>
    <w:p w14:paraId="017FC644" w14:textId="5C9E38A3" w:rsidR="0002499F" w:rsidRPr="007E419F" w:rsidRDefault="0002499F" w:rsidP="00F169EE">
      <w:pPr>
        <w:spacing w:after="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b/>
          <w:bCs/>
          <w:kern w:val="0"/>
          <w:szCs w:val="24"/>
          <w:lang w:bidi="ar-SA"/>
          <w14:ligatures w14:val="none"/>
        </w:rPr>
        <w:t>Day Before Spray (DBS)</w:t>
      </w:r>
    </w:p>
    <w:p w14:paraId="1DE5CE23" w14:textId="6F714CBB" w:rsidR="0002499F" w:rsidRPr="007E419F" w:rsidRDefault="0002499F" w:rsidP="00F169EE">
      <w:pPr>
        <w:spacing w:after="0"/>
        <w:ind w:firstLine="720"/>
        <w:jc w:val="both"/>
        <w:outlineLvl w:val="3"/>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lastRenderedPageBreak/>
        <w:t>The initial disease incidence recorded at DBS ranged between 5.7%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and 6.2%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xml:space="preserve">), showing no significant difference, confirming uniform initial infection level across treatments. This validated the effectiveness of </w:t>
      </w:r>
      <w:proofErr w:type="spellStart"/>
      <w:r w:rsidR="00883878" w:rsidRPr="007E419F">
        <w:rPr>
          <w:rFonts w:ascii="Times New Roman" w:eastAsia="Times New Roman" w:hAnsi="Times New Roman" w:cs="Times New Roman"/>
          <w:kern w:val="0"/>
          <w:szCs w:val="24"/>
          <w:lang w:bidi="ar-SA"/>
          <w14:ligatures w14:val="none"/>
        </w:rPr>
        <w:t>randomisation</w:t>
      </w:r>
      <w:proofErr w:type="spellEnd"/>
      <w:r w:rsidR="00883878"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and experimental setup (Table</w:t>
      </w:r>
      <w:r w:rsidR="0007303D"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1).</w:t>
      </w:r>
    </w:p>
    <w:p w14:paraId="1421C75F" w14:textId="2B7FF6CD"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Disease Incidence at 30 DAS</w:t>
      </w:r>
    </w:p>
    <w:p w14:paraId="66907894" w14:textId="75B9749A"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At 30 DAS, disease incidence varied from 10.00% to 17.60% across treatments. The lowest incidence was recorded in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xml:space="preserve"> (Mancozeb @ 3 g/kg seed) with 10.00%, followed closely by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xml:space="preserve"> (Carbendazim @ 2 g/kg) at 10.30%. These treatments were significantly superior to the control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which recorded the highest incidence at 17.60%, demonstrating the early protective effect of fungicidal seed treatments.</w:t>
      </w:r>
      <w:r w:rsidR="00F169EE"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 xml:space="preserve">Among the bio-control agents, </w:t>
      </w:r>
      <w:r w:rsidRPr="007E419F">
        <w:rPr>
          <w:rFonts w:ascii="Times New Roman" w:eastAsia="Times New Roman" w:hAnsi="Times New Roman" w:cs="Times New Roman"/>
          <w:i/>
          <w:iCs/>
          <w:kern w:val="0"/>
          <w:szCs w:val="24"/>
          <w:lang w:bidi="ar-SA"/>
          <w14:ligatures w14:val="none"/>
        </w:rPr>
        <w:t xml:space="preserve">T. </w:t>
      </w:r>
      <w:proofErr w:type="spellStart"/>
      <w:r w:rsidRPr="007E419F">
        <w:rPr>
          <w:rFonts w:ascii="Times New Roman" w:eastAsia="Times New Roman" w:hAnsi="Times New Roman" w:cs="Times New Roman"/>
          <w:i/>
          <w:iCs/>
          <w:kern w:val="0"/>
          <w:szCs w:val="24"/>
          <w:lang w:bidi="ar-SA"/>
          <w14:ligatures w14:val="none"/>
        </w:rPr>
        <w:t>harzianum</w:t>
      </w:r>
      <w:proofErr w:type="spellEnd"/>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vertAlign w:val="subscript"/>
          <w:lang w:bidi="ar-SA"/>
          <w14:ligatures w14:val="none"/>
        </w:rPr>
        <w:t xml:space="preserve"> </w:t>
      </w:r>
      <w:r w:rsidRPr="007E419F">
        <w:rPr>
          <w:rFonts w:ascii="Times New Roman" w:eastAsia="Times New Roman" w:hAnsi="Times New Roman" w:cs="Times New Roman"/>
          <w:kern w:val="0"/>
          <w:szCs w:val="24"/>
          <w:lang w:bidi="ar-SA"/>
          <w14:ligatures w14:val="none"/>
        </w:rPr>
        <w:t xml:space="preserve">and </w:t>
      </w:r>
      <w:r w:rsidRPr="007E419F">
        <w:rPr>
          <w:rFonts w:ascii="Times New Roman" w:eastAsia="Times New Roman" w:hAnsi="Times New Roman" w:cs="Times New Roman"/>
          <w:i/>
          <w:iCs/>
          <w:kern w:val="0"/>
          <w:szCs w:val="24"/>
          <w:lang w:bidi="ar-SA"/>
          <w14:ligatures w14:val="none"/>
        </w:rPr>
        <w:t xml:space="preserve">T. </w:t>
      </w:r>
      <w:proofErr w:type="spellStart"/>
      <w:r w:rsidRPr="007E419F">
        <w:rPr>
          <w:rFonts w:ascii="Times New Roman" w:eastAsia="Times New Roman" w:hAnsi="Times New Roman" w:cs="Times New Roman"/>
          <w:i/>
          <w:iCs/>
          <w:kern w:val="0"/>
          <w:szCs w:val="24"/>
          <w:lang w:bidi="ar-SA"/>
          <w14:ligatures w14:val="none"/>
        </w:rPr>
        <w:t>asperellum</w:t>
      </w:r>
      <w:proofErr w:type="spellEnd"/>
      <w:r w:rsidRPr="007E419F">
        <w:rPr>
          <w:rFonts w:ascii="Times New Roman" w:eastAsia="Times New Roman" w:hAnsi="Times New Roman" w:cs="Times New Roman"/>
          <w:i/>
          <w:iCs/>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(T</w:t>
      </w:r>
      <w:r w:rsidRPr="007E419F">
        <w:rPr>
          <w:rFonts w:ascii="Times New Roman" w:eastAsia="Times New Roman" w:hAnsi="Times New Roman" w:cs="Times New Roman"/>
          <w:kern w:val="0"/>
          <w:szCs w:val="24"/>
          <w:vertAlign w:val="subscript"/>
          <w:lang w:bidi="ar-SA"/>
          <w14:ligatures w14:val="none"/>
        </w:rPr>
        <w:t>5</w:t>
      </w:r>
      <w:r w:rsidRPr="007E419F">
        <w:rPr>
          <w:rFonts w:ascii="Times New Roman" w:eastAsia="Times New Roman" w:hAnsi="Times New Roman" w:cs="Times New Roman"/>
          <w:kern w:val="0"/>
          <w:szCs w:val="24"/>
          <w:lang w:bidi="ar-SA"/>
          <w14:ligatures w14:val="none"/>
        </w:rPr>
        <w:t>) recorded 11.50% and 12.50% incidence</w:t>
      </w:r>
      <w:r w:rsidR="00EE25B3" w:rsidRPr="007E419F">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lang w:bidi="ar-SA"/>
          <w14:ligatures w14:val="none"/>
        </w:rPr>
        <w:t xml:space="preserve"> respectively, suggesting moderate effectiveness. Botanical extracts, such as neem leaf extract (T</w:t>
      </w:r>
      <w:r w:rsidRPr="007E419F">
        <w:rPr>
          <w:rFonts w:ascii="Times New Roman" w:eastAsia="Times New Roman" w:hAnsi="Times New Roman" w:cs="Times New Roman"/>
          <w:kern w:val="0"/>
          <w:szCs w:val="24"/>
          <w:vertAlign w:val="subscript"/>
          <w:lang w:bidi="ar-SA"/>
          <w14:ligatures w14:val="none"/>
        </w:rPr>
        <w:t>6</w:t>
      </w:r>
      <w:r w:rsidRPr="007E419F">
        <w:rPr>
          <w:rFonts w:ascii="Times New Roman" w:eastAsia="Times New Roman" w:hAnsi="Times New Roman" w:cs="Times New Roman"/>
          <w:kern w:val="0"/>
          <w:szCs w:val="24"/>
          <w:lang w:bidi="ar-SA"/>
          <w14:ligatures w14:val="none"/>
        </w:rPr>
        <w:t>) and garlic bulb extract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were comparatively less effective, showing incidences of 13.60% and 13.50% respectively. However, these treatments still outperformed the control, reflecting some protective efficacy in the early crop stage.</w:t>
      </w:r>
    </w:p>
    <w:p w14:paraId="4F6EBBB4" w14:textId="31869188"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Disease Incidence at 45 DAS</w:t>
      </w:r>
    </w:p>
    <w:p w14:paraId="044F6993" w14:textId="37387D54"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As the crop advanced, disease incidence increased across all treatments. At 45 DAS, the trend remained similar, with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continuing to perform best, showing a disease incidence of 16.40%, followed by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with 17.50%. The combined fungicide treatment, Carbendazim 12% + Mancozeb 63% (T</w:t>
      </w:r>
      <w:r w:rsidRPr="007E419F">
        <w:rPr>
          <w:rFonts w:ascii="Times New Roman" w:eastAsia="Times New Roman" w:hAnsi="Times New Roman" w:cs="Times New Roman"/>
          <w:kern w:val="0"/>
          <w:szCs w:val="24"/>
          <w:vertAlign w:val="subscript"/>
          <w:lang w:bidi="ar-SA"/>
          <w14:ligatures w14:val="none"/>
        </w:rPr>
        <w:t>3</w:t>
      </w:r>
      <w:r w:rsidRPr="007E419F">
        <w:rPr>
          <w:rFonts w:ascii="Times New Roman" w:eastAsia="Times New Roman" w:hAnsi="Times New Roman" w:cs="Times New Roman"/>
          <w:kern w:val="0"/>
          <w:szCs w:val="24"/>
          <w:lang w:bidi="ar-SA"/>
          <w14:ligatures w14:val="none"/>
        </w:rPr>
        <w:t>), showed incidence at 17.50%, possibly due to the slow release and interaction of its dual components.</w:t>
      </w:r>
      <w:r w:rsidR="00F169EE"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The bioagents again showed intermediate efficacy with (T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 at 18.30% and (T</w:t>
      </w:r>
      <w:r w:rsidRPr="007E419F">
        <w:rPr>
          <w:rFonts w:ascii="Times New Roman" w:eastAsia="Times New Roman" w:hAnsi="Times New Roman" w:cs="Times New Roman"/>
          <w:kern w:val="0"/>
          <w:szCs w:val="24"/>
          <w:vertAlign w:val="subscript"/>
          <w:lang w:bidi="ar-SA"/>
          <w14:ligatures w14:val="none"/>
        </w:rPr>
        <w:t>5</w:t>
      </w:r>
      <w:r w:rsidRPr="007E419F">
        <w:rPr>
          <w:rFonts w:ascii="Times New Roman" w:eastAsia="Times New Roman" w:hAnsi="Times New Roman" w:cs="Times New Roman"/>
          <w:kern w:val="0"/>
          <w:szCs w:val="24"/>
          <w:lang w:bidi="ar-SA"/>
          <w14:ligatures w14:val="none"/>
        </w:rPr>
        <w:t xml:space="preserve">) at 20.20%. The neem leaf extract and garlic bulb extract recorded disease incidences of </w:t>
      </w:r>
      <w:r w:rsidR="006B4E87" w:rsidRPr="007E419F">
        <w:rPr>
          <w:rFonts w:ascii="Times New Roman" w:eastAsia="Times New Roman" w:hAnsi="Times New Roman" w:cs="Times New Roman"/>
          <w:kern w:val="0"/>
          <w:szCs w:val="24"/>
          <w:lang w:bidi="ar-SA"/>
          <w14:ligatures w14:val="none"/>
        </w:rPr>
        <w:t>23.10</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6</w:t>
      </w:r>
      <w:r w:rsidRPr="007E419F">
        <w:rPr>
          <w:rFonts w:ascii="Times New Roman" w:eastAsia="Times New Roman" w:hAnsi="Times New Roman" w:cs="Times New Roman"/>
          <w:kern w:val="0"/>
          <w:szCs w:val="24"/>
          <w:lang w:bidi="ar-SA"/>
          <w14:ligatures w14:val="none"/>
        </w:rPr>
        <w:t xml:space="preserve">) and </w:t>
      </w:r>
      <w:r w:rsidR="006B4E87" w:rsidRPr="007E419F">
        <w:rPr>
          <w:rFonts w:ascii="Times New Roman" w:eastAsia="Times New Roman" w:hAnsi="Times New Roman" w:cs="Times New Roman"/>
          <w:kern w:val="0"/>
          <w:szCs w:val="24"/>
          <w:lang w:bidi="ar-SA"/>
          <w14:ligatures w14:val="none"/>
        </w:rPr>
        <w:t>18.50</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xml:space="preserve">), respectively. It is noteworthy that </w:t>
      </w:r>
      <w:r w:rsidRPr="007E419F">
        <w:rPr>
          <w:rFonts w:ascii="Times New Roman" w:eastAsia="Times New Roman" w:hAnsi="Times New Roman" w:cs="Times New Roman"/>
          <w:i/>
          <w:iCs/>
          <w:kern w:val="0"/>
          <w:szCs w:val="24"/>
          <w:lang w:bidi="ar-SA"/>
          <w14:ligatures w14:val="none"/>
        </w:rPr>
        <w:t>P. fluorescens</w:t>
      </w:r>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8</w:t>
      </w:r>
      <w:r w:rsidRPr="007E419F">
        <w:rPr>
          <w:rFonts w:ascii="Times New Roman" w:eastAsia="Times New Roman" w:hAnsi="Times New Roman" w:cs="Times New Roman"/>
          <w:kern w:val="0"/>
          <w:szCs w:val="24"/>
          <w:lang w:bidi="ar-SA"/>
          <w14:ligatures w14:val="none"/>
        </w:rPr>
        <w:t>) also showed considerable control with 21.50% incidence, indicating its antagonistic effect against the pathogen. The control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lacking any treatment, reported the highest disease incidence at 27.10%, reaffirming the necessity of seed treatment to suppress white rust development.</w:t>
      </w:r>
    </w:p>
    <w:p w14:paraId="7591EDA9" w14:textId="7D28EFDA"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Disease Incidence at 60 DAS</w:t>
      </w:r>
    </w:p>
    <w:p w14:paraId="0A40C820" w14:textId="66BB2C28"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 xml:space="preserve">At 60 DAS, white rust incidence reached its peak, reflecting the cumulative impact of disease progression under </w:t>
      </w:r>
      <w:proofErr w:type="spellStart"/>
      <w:r w:rsidRPr="007E419F">
        <w:rPr>
          <w:rFonts w:ascii="Times New Roman" w:eastAsia="Times New Roman" w:hAnsi="Times New Roman" w:cs="Times New Roman"/>
          <w:kern w:val="0"/>
          <w:szCs w:val="24"/>
          <w:lang w:bidi="ar-SA"/>
          <w14:ligatures w14:val="none"/>
        </w:rPr>
        <w:t>favo</w:t>
      </w:r>
      <w:r w:rsidR="00EE25B3" w:rsidRPr="007E419F">
        <w:rPr>
          <w:rFonts w:ascii="Times New Roman" w:eastAsia="Times New Roman" w:hAnsi="Times New Roman" w:cs="Times New Roman"/>
          <w:kern w:val="0"/>
          <w:szCs w:val="24"/>
          <w:lang w:bidi="ar-SA"/>
          <w14:ligatures w14:val="none"/>
        </w:rPr>
        <w:t>u</w:t>
      </w:r>
      <w:r w:rsidRPr="007E419F">
        <w:rPr>
          <w:rFonts w:ascii="Times New Roman" w:eastAsia="Times New Roman" w:hAnsi="Times New Roman" w:cs="Times New Roman"/>
          <w:kern w:val="0"/>
          <w:szCs w:val="24"/>
          <w:lang w:bidi="ar-SA"/>
          <w14:ligatures w14:val="none"/>
        </w:rPr>
        <w:t>rable</w:t>
      </w:r>
      <w:proofErr w:type="spellEnd"/>
      <w:r w:rsidRPr="007E419F">
        <w:rPr>
          <w:rFonts w:ascii="Times New Roman" w:eastAsia="Times New Roman" w:hAnsi="Times New Roman" w:cs="Times New Roman"/>
          <w:kern w:val="0"/>
          <w:szCs w:val="24"/>
          <w:lang w:bidi="ar-SA"/>
          <w14:ligatures w14:val="none"/>
        </w:rPr>
        <w:t xml:space="preserve"> environmental conditions. Again, Mancozeb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emerged as the most effective treatment with 24.00% incidence, followed by Carbendazim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xml:space="preserve">) at 25.60%. </w:t>
      </w:r>
      <w:r w:rsidRPr="007E419F">
        <w:rPr>
          <w:rFonts w:ascii="Times New Roman" w:eastAsia="Times New Roman" w:hAnsi="Times New Roman" w:cs="Times New Roman"/>
          <w:szCs w:val="24"/>
        </w:rPr>
        <w:t>Carbendazim 12% + Mancozeb 63%</w:t>
      </w:r>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3</w:t>
      </w:r>
      <w:r w:rsidRPr="007E419F">
        <w:rPr>
          <w:rFonts w:ascii="Times New Roman" w:eastAsia="Times New Roman" w:hAnsi="Times New Roman" w:cs="Times New Roman"/>
          <w:kern w:val="0"/>
          <w:szCs w:val="24"/>
          <w:lang w:bidi="ar-SA"/>
          <w14:ligatures w14:val="none"/>
        </w:rPr>
        <w:t>) also recorded a similar value of 25.60%, suggesting its consistent performance across growth stages.</w:t>
      </w:r>
      <w:r w:rsidR="00B352F7"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 and (T</w:t>
      </w:r>
      <w:r w:rsidRPr="007E419F">
        <w:rPr>
          <w:rFonts w:ascii="Times New Roman" w:eastAsia="Times New Roman" w:hAnsi="Times New Roman" w:cs="Times New Roman"/>
          <w:kern w:val="0"/>
          <w:szCs w:val="24"/>
          <w:vertAlign w:val="subscript"/>
          <w:lang w:bidi="ar-SA"/>
          <w14:ligatures w14:val="none"/>
        </w:rPr>
        <w:t>5</w:t>
      </w:r>
      <w:r w:rsidRPr="007E419F">
        <w:rPr>
          <w:rFonts w:ascii="Times New Roman" w:eastAsia="Times New Roman" w:hAnsi="Times New Roman" w:cs="Times New Roman"/>
          <w:kern w:val="0"/>
          <w:szCs w:val="24"/>
          <w:lang w:bidi="ar-SA"/>
          <w14:ligatures w14:val="none"/>
        </w:rPr>
        <w:t>) treatments showed moderately higher incidence levels of 27.33%, while Neem leaf extract (T</w:t>
      </w:r>
      <w:r w:rsidRPr="007E419F">
        <w:rPr>
          <w:rFonts w:ascii="Times New Roman" w:eastAsia="Times New Roman" w:hAnsi="Times New Roman" w:cs="Times New Roman"/>
          <w:kern w:val="0"/>
          <w:szCs w:val="24"/>
          <w:vertAlign w:val="subscript"/>
          <w:lang w:bidi="ar-SA"/>
          <w14:ligatures w14:val="none"/>
        </w:rPr>
        <w:t>6</w:t>
      </w:r>
      <w:r w:rsidRPr="007E419F">
        <w:rPr>
          <w:rFonts w:ascii="Times New Roman" w:eastAsia="Times New Roman" w:hAnsi="Times New Roman" w:cs="Times New Roman"/>
          <w:kern w:val="0"/>
          <w:szCs w:val="24"/>
          <w:lang w:bidi="ar-SA"/>
          <w14:ligatures w14:val="none"/>
        </w:rPr>
        <w:t>) showed a sharp increase, recording 31.10%, the highest among all treatments. This suggests that while botanical extracts may offer early-stage protection, their efficacy diminishes over time due to degradation and reduced residual activity. The control plot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reported a significantly higher incidence of 39.27%, confirming the rapid spread and severity of the disease in the absence of any management intervention.</w:t>
      </w:r>
    </w:p>
    <w:p w14:paraId="724A1BEF" w14:textId="489F5C31"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Mean Disease Incidence Across All Stages</w:t>
      </w:r>
    </w:p>
    <w:p w14:paraId="7DF989BF" w14:textId="128292E4"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The mean disease incidence (averaged across 30, 45, and 60 DAS) ranged from 16.80%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to 27.99%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The results demonstrate that Mancozeb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xml:space="preserve">) was the most effective seed treatment in </w:t>
      </w:r>
      <w:proofErr w:type="spellStart"/>
      <w:r w:rsidR="00883878" w:rsidRPr="007E419F">
        <w:rPr>
          <w:rFonts w:ascii="Times New Roman" w:eastAsia="Times New Roman" w:hAnsi="Times New Roman" w:cs="Times New Roman"/>
          <w:kern w:val="0"/>
          <w:szCs w:val="24"/>
          <w:lang w:bidi="ar-SA"/>
          <w14:ligatures w14:val="none"/>
        </w:rPr>
        <w:t>minimising</w:t>
      </w:r>
      <w:proofErr w:type="spellEnd"/>
      <w:r w:rsidR="00883878"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white rust incidence, followed by Carbendazim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with a mean of 17.80%. Among the biological and botanical options, 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i/>
          <w:iCs/>
          <w:szCs w:val="24"/>
        </w:rPr>
        <w:t xml:space="preserve">T. </w:t>
      </w:r>
      <w:proofErr w:type="spellStart"/>
      <w:r w:rsidRPr="007E419F">
        <w:rPr>
          <w:rFonts w:ascii="Times New Roman" w:eastAsia="Times New Roman" w:hAnsi="Times New Roman" w:cs="Times New Roman"/>
          <w:i/>
          <w:iCs/>
          <w:szCs w:val="24"/>
        </w:rPr>
        <w:t>harzianum</w:t>
      </w:r>
      <w:proofErr w:type="spellEnd"/>
      <w:r w:rsidRPr="007E419F">
        <w:rPr>
          <w:rFonts w:ascii="Times New Roman" w:eastAsia="Times New Roman" w:hAnsi="Times New Roman" w:cs="Times New Roman"/>
          <w:kern w:val="0"/>
          <w:szCs w:val="24"/>
          <w:lang w:bidi="ar-SA"/>
          <w14:ligatures w14:val="none"/>
        </w:rPr>
        <w:t>) recorded the lowest mean disease incidence of 19.04%, making it a promising eco-friendly alternative.</w:t>
      </w:r>
      <w:r w:rsidR="00B352F7"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 xml:space="preserve">The </w:t>
      </w:r>
      <w:r w:rsidRPr="007E419F">
        <w:rPr>
          <w:rFonts w:ascii="Times New Roman" w:eastAsia="Times New Roman" w:hAnsi="Times New Roman" w:cs="Times New Roman"/>
          <w:kern w:val="0"/>
          <w:szCs w:val="24"/>
          <w:lang w:bidi="ar-SA"/>
          <w14:ligatures w14:val="none"/>
        </w:rPr>
        <w:lastRenderedPageBreak/>
        <w:t>combined fungicide formulation (T</w:t>
      </w:r>
      <w:r w:rsidRPr="007E419F">
        <w:rPr>
          <w:rFonts w:ascii="Times New Roman" w:eastAsia="Times New Roman" w:hAnsi="Times New Roman" w:cs="Times New Roman"/>
          <w:kern w:val="0"/>
          <w:szCs w:val="24"/>
          <w:vertAlign w:val="subscript"/>
          <w:lang w:bidi="ar-SA"/>
          <w14:ligatures w14:val="none"/>
        </w:rPr>
        <w:t>3</w:t>
      </w:r>
      <w:r w:rsidRPr="007E419F">
        <w:rPr>
          <w:rFonts w:ascii="Times New Roman" w:eastAsia="Times New Roman" w:hAnsi="Times New Roman" w:cs="Times New Roman"/>
          <w:kern w:val="0"/>
          <w:szCs w:val="24"/>
          <w:lang w:bidi="ar-SA"/>
          <w14:ligatures w14:val="none"/>
        </w:rPr>
        <w:t>) and bioagents (T</w:t>
      </w:r>
      <w:r w:rsidR="00AF1985" w:rsidRPr="007E419F">
        <w:rPr>
          <w:rFonts w:ascii="Times New Roman" w:eastAsia="Times New Roman" w:hAnsi="Times New Roman" w:cs="Times New Roman"/>
          <w:kern w:val="0"/>
          <w:szCs w:val="24"/>
          <w:vertAlign w:val="subscript"/>
          <w:lang w:bidi="ar-SA"/>
          <w14:ligatures w14:val="none"/>
        </w:rPr>
        <w:t>5</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8</w:t>
      </w:r>
      <w:r w:rsidRPr="007E419F">
        <w:rPr>
          <w:rFonts w:ascii="Times New Roman" w:eastAsia="Times New Roman" w:hAnsi="Times New Roman" w:cs="Times New Roman"/>
          <w:kern w:val="0"/>
          <w:szCs w:val="24"/>
          <w:lang w:bidi="ar-SA"/>
          <w14:ligatures w14:val="none"/>
        </w:rPr>
        <w:t>) showed moderate control with mean incidences between 18.41</w:t>
      </w:r>
      <w:r w:rsidR="00E1470B" w:rsidRPr="007E419F">
        <w:rPr>
          <w:rFonts w:ascii="Times New Roman" w:eastAsia="Times New Roman" w:hAnsi="Times New Roman" w:cs="Times New Roman"/>
          <w:kern w:val="0"/>
          <w:szCs w:val="24"/>
          <w:lang w:bidi="ar-SA"/>
          <w14:ligatures w14:val="none"/>
        </w:rPr>
        <w:t xml:space="preserve"> and 20.01, </w:t>
      </w:r>
      <w:r w:rsidRPr="007E419F">
        <w:rPr>
          <w:rFonts w:ascii="Times New Roman" w:eastAsia="Times New Roman" w:hAnsi="Times New Roman" w:cs="Times New Roman"/>
          <w:kern w:val="0"/>
          <w:szCs w:val="24"/>
          <w:lang w:bidi="ar-SA"/>
          <w14:ligatures w14:val="none"/>
        </w:rPr>
        <w:t>21.17%, whereas botanical treatments (T</w:t>
      </w:r>
      <w:r w:rsidRPr="007E419F">
        <w:rPr>
          <w:rFonts w:ascii="Times New Roman" w:eastAsia="Times New Roman" w:hAnsi="Times New Roman" w:cs="Times New Roman"/>
          <w:kern w:val="0"/>
          <w:szCs w:val="24"/>
          <w:vertAlign w:val="subscript"/>
          <w:lang w:bidi="ar-SA"/>
          <w14:ligatures w14:val="none"/>
        </w:rPr>
        <w:t>6</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were less consistent, especially at later growth stages. Despite this, all treatments significantly reduced disease incidence compared to the untreated control.</w:t>
      </w:r>
    </w:p>
    <w:p w14:paraId="00CB4E1E" w14:textId="77777777" w:rsidR="001002C8" w:rsidRPr="007E419F" w:rsidRDefault="001002C8" w:rsidP="00F169EE">
      <w:pPr>
        <w:spacing w:after="0"/>
        <w:ind w:firstLine="720"/>
        <w:jc w:val="both"/>
        <w:rPr>
          <w:rFonts w:ascii="Times New Roman" w:eastAsia="Times New Roman" w:hAnsi="Times New Roman" w:cs="Times New Roman"/>
          <w:kern w:val="0"/>
          <w:szCs w:val="24"/>
          <w:lang w:bidi="ar-SA"/>
          <w14:ligatures w14:val="none"/>
        </w:rPr>
      </w:pPr>
    </w:p>
    <w:p w14:paraId="62C44F0A" w14:textId="77777777" w:rsidR="001002C8" w:rsidRPr="007E419F" w:rsidRDefault="001002C8" w:rsidP="001002C8">
      <w:pPr>
        <w:spacing w:before="100" w:beforeAutospacing="1" w:after="0"/>
        <w:jc w:val="both"/>
        <w:outlineLvl w:val="3"/>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Table 1: Percentage Disease Incidence of White Rust on Different Days</w:t>
      </w:r>
    </w:p>
    <w:tbl>
      <w:tblPr>
        <w:tblStyle w:val="TableGrid"/>
        <w:tblW w:w="8095" w:type="dxa"/>
        <w:jc w:val="center"/>
        <w:tblLook w:val="04A0" w:firstRow="1" w:lastRow="0" w:firstColumn="1" w:lastColumn="0" w:noHBand="0" w:noVBand="1"/>
      </w:tblPr>
      <w:tblGrid>
        <w:gridCol w:w="625"/>
        <w:gridCol w:w="3330"/>
        <w:gridCol w:w="810"/>
        <w:gridCol w:w="810"/>
        <w:gridCol w:w="810"/>
        <w:gridCol w:w="810"/>
        <w:gridCol w:w="900"/>
      </w:tblGrid>
      <w:tr w:rsidR="001002C8" w:rsidRPr="007E419F" w14:paraId="57B7C1A7" w14:textId="77777777" w:rsidTr="003E2AA3">
        <w:trPr>
          <w:trHeight w:val="347"/>
          <w:jc w:val="center"/>
        </w:trPr>
        <w:tc>
          <w:tcPr>
            <w:tcW w:w="625" w:type="dxa"/>
            <w:vAlign w:val="center"/>
            <w:hideMark/>
          </w:tcPr>
          <w:p w14:paraId="20191C0F"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Tr. No.</w:t>
            </w:r>
          </w:p>
        </w:tc>
        <w:tc>
          <w:tcPr>
            <w:tcW w:w="3330" w:type="dxa"/>
            <w:vAlign w:val="center"/>
            <w:hideMark/>
          </w:tcPr>
          <w:p w14:paraId="7E5634BA"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Treatments</w:t>
            </w:r>
          </w:p>
        </w:tc>
        <w:tc>
          <w:tcPr>
            <w:tcW w:w="810" w:type="dxa"/>
            <w:vAlign w:val="center"/>
            <w:hideMark/>
          </w:tcPr>
          <w:p w14:paraId="4C31B623"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DBS (%)</w:t>
            </w:r>
          </w:p>
        </w:tc>
        <w:tc>
          <w:tcPr>
            <w:tcW w:w="810" w:type="dxa"/>
            <w:vAlign w:val="center"/>
            <w:hideMark/>
          </w:tcPr>
          <w:p w14:paraId="2A252C37"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30 DAS</w:t>
            </w:r>
          </w:p>
        </w:tc>
        <w:tc>
          <w:tcPr>
            <w:tcW w:w="810" w:type="dxa"/>
            <w:vAlign w:val="center"/>
            <w:hideMark/>
          </w:tcPr>
          <w:p w14:paraId="6F1E091A"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45 DAS</w:t>
            </w:r>
          </w:p>
        </w:tc>
        <w:tc>
          <w:tcPr>
            <w:tcW w:w="810" w:type="dxa"/>
            <w:vAlign w:val="center"/>
            <w:hideMark/>
          </w:tcPr>
          <w:p w14:paraId="6E502374"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60 DAS</w:t>
            </w:r>
          </w:p>
        </w:tc>
        <w:tc>
          <w:tcPr>
            <w:tcW w:w="900" w:type="dxa"/>
            <w:vAlign w:val="center"/>
            <w:hideMark/>
          </w:tcPr>
          <w:p w14:paraId="136D0078"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Mean (%)</w:t>
            </w:r>
          </w:p>
        </w:tc>
      </w:tr>
      <w:tr w:rsidR="001002C8" w:rsidRPr="007E419F" w14:paraId="3987AC9B" w14:textId="77777777" w:rsidTr="003E2AA3">
        <w:trPr>
          <w:trHeight w:val="357"/>
          <w:jc w:val="center"/>
        </w:trPr>
        <w:tc>
          <w:tcPr>
            <w:tcW w:w="625" w:type="dxa"/>
            <w:vAlign w:val="center"/>
            <w:hideMark/>
          </w:tcPr>
          <w:p w14:paraId="3F8CF723"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1</w:t>
            </w:r>
          </w:p>
        </w:tc>
        <w:tc>
          <w:tcPr>
            <w:tcW w:w="3330" w:type="dxa"/>
            <w:vAlign w:val="center"/>
            <w:hideMark/>
          </w:tcPr>
          <w:p w14:paraId="1DF1E0E5"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Mancozeb (3 g/kg)</w:t>
            </w:r>
          </w:p>
        </w:tc>
        <w:tc>
          <w:tcPr>
            <w:tcW w:w="810" w:type="dxa"/>
            <w:vAlign w:val="center"/>
            <w:hideMark/>
          </w:tcPr>
          <w:p w14:paraId="634D693C"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6.10</w:t>
            </w:r>
          </w:p>
        </w:tc>
        <w:tc>
          <w:tcPr>
            <w:tcW w:w="810" w:type="dxa"/>
            <w:vAlign w:val="center"/>
            <w:hideMark/>
          </w:tcPr>
          <w:p w14:paraId="2BCB1DE8"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10.00</w:t>
            </w:r>
          </w:p>
        </w:tc>
        <w:tc>
          <w:tcPr>
            <w:tcW w:w="810" w:type="dxa"/>
            <w:vAlign w:val="center"/>
            <w:hideMark/>
          </w:tcPr>
          <w:p w14:paraId="2A471178"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16.40</w:t>
            </w:r>
          </w:p>
        </w:tc>
        <w:tc>
          <w:tcPr>
            <w:tcW w:w="810" w:type="dxa"/>
            <w:vAlign w:val="center"/>
            <w:hideMark/>
          </w:tcPr>
          <w:p w14:paraId="0375E750"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24.00</w:t>
            </w:r>
          </w:p>
        </w:tc>
        <w:tc>
          <w:tcPr>
            <w:tcW w:w="900" w:type="dxa"/>
            <w:vAlign w:val="center"/>
            <w:hideMark/>
          </w:tcPr>
          <w:p w14:paraId="5D379CD0"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16.80</w:t>
            </w:r>
          </w:p>
        </w:tc>
      </w:tr>
      <w:tr w:rsidR="001002C8" w:rsidRPr="007E419F" w14:paraId="28A5CB24" w14:textId="77777777" w:rsidTr="003E2AA3">
        <w:trPr>
          <w:trHeight w:val="347"/>
          <w:jc w:val="center"/>
        </w:trPr>
        <w:tc>
          <w:tcPr>
            <w:tcW w:w="625" w:type="dxa"/>
            <w:vAlign w:val="center"/>
            <w:hideMark/>
          </w:tcPr>
          <w:p w14:paraId="24F5965E"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2</w:t>
            </w:r>
          </w:p>
        </w:tc>
        <w:tc>
          <w:tcPr>
            <w:tcW w:w="3330" w:type="dxa"/>
            <w:vAlign w:val="center"/>
            <w:hideMark/>
          </w:tcPr>
          <w:p w14:paraId="7C9668BD"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Carbendazim (2 g/kg)</w:t>
            </w:r>
          </w:p>
        </w:tc>
        <w:tc>
          <w:tcPr>
            <w:tcW w:w="810" w:type="dxa"/>
            <w:vAlign w:val="center"/>
            <w:hideMark/>
          </w:tcPr>
          <w:p w14:paraId="313D1DA3"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5.90</w:t>
            </w:r>
          </w:p>
        </w:tc>
        <w:tc>
          <w:tcPr>
            <w:tcW w:w="810" w:type="dxa"/>
            <w:vAlign w:val="center"/>
            <w:hideMark/>
          </w:tcPr>
          <w:p w14:paraId="10A6BD2D"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10.30</w:t>
            </w:r>
          </w:p>
        </w:tc>
        <w:tc>
          <w:tcPr>
            <w:tcW w:w="810" w:type="dxa"/>
            <w:vAlign w:val="center"/>
            <w:hideMark/>
          </w:tcPr>
          <w:p w14:paraId="67B41B59"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17.50</w:t>
            </w:r>
          </w:p>
        </w:tc>
        <w:tc>
          <w:tcPr>
            <w:tcW w:w="810" w:type="dxa"/>
            <w:vAlign w:val="center"/>
            <w:hideMark/>
          </w:tcPr>
          <w:p w14:paraId="038A016C"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25.60</w:t>
            </w:r>
          </w:p>
        </w:tc>
        <w:tc>
          <w:tcPr>
            <w:tcW w:w="900" w:type="dxa"/>
            <w:vAlign w:val="center"/>
            <w:hideMark/>
          </w:tcPr>
          <w:p w14:paraId="606548C6"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17.80</w:t>
            </w:r>
          </w:p>
        </w:tc>
      </w:tr>
      <w:tr w:rsidR="001002C8" w:rsidRPr="007E419F" w14:paraId="2A9F407F" w14:textId="77777777" w:rsidTr="003E2AA3">
        <w:trPr>
          <w:trHeight w:val="347"/>
          <w:jc w:val="center"/>
        </w:trPr>
        <w:tc>
          <w:tcPr>
            <w:tcW w:w="625" w:type="dxa"/>
            <w:vAlign w:val="center"/>
            <w:hideMark/>
          </w:tcPr>
          <w:p w14:paraId="7B6EFD8A"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3</w:t>
            </w:r>
          </w:p>
        </w:tc>
        <w:tc>
          <w:tcPr>
            <w:tcW w:w="3330" w:type="dxa"/>
            <w:vAlign w:val="center"/>
            <w:hideMark/>
          </w:tcPr>
          <w:p w14:paraId="6C0192B0"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Carbendazim 12% + Mancozeb 63% (6 g/kg)</w:t>
            </w:r>
          </w:p>
        </w:tc>
        <w:tc>
          <w:tcPr>
            <w:tcW w:w="810" w:type="dxa"/>
            <w:vAlign w:val="center"/>
          </w:tcPr>
          <w:p w14:paraId="13655803"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5.90</w:t>
            </w:r>
          </w:p>
        </w:tc>
        <w:tc>
          <w:tcPr>
            <w:tcW w:w="810" w:type="dxa"/>
            <w:vAlign w:val="center"/>
          </w:tcPr>
          <w:p w14:paraId="31EE181F"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12.15</w:t>
            </w:r>
          </w:p>
        </w:tc>
        <w:tc>
          <w:tcPr>
            <w:tcW w:w="810" w:type="dxa"/>
            <w:vAlign w:val="center"/>
          </w:tcPr>
          <w:p w14:paraId="16203D79"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17.50</w:t>
            </w:r>
          </w:p>
        </w:tc>
        <w:tc>
          <w:tcPr>
            <w:tcW w:w="810" w:type="dxa"/>
            <w:vAlign w:val="center"/>
          </w:tcPr>
          <w:p w14:paraId="6DE3071F"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25.60</w:t>
            </w:r>
          </w:p>
        </w:tc>
        <w:tc>
          <w:tcPr>
            <w:tcW w:w="900" w:type="dxa"/>
            <w:vAlign w:val="center"/>
          </w:tcPr>
          <w:p w14:paraId="39952AFF"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18.41</w:t>
            </w:r>
          </w:p>
        </w:tc>
      </w:tr>
      <w:tr w:rsidR="001002C8" w:rsidRPr="007E419F" w14:paraId="452A039E" w14:textId="77777777" w:rsidTr="003E2AA3">
        <w:trPr>
          <w:trHeight w:val="357"/>
          <w:jc w:val="center"/>
        </w:trPr>
        <w:tc>
          <w:tcPr>
            <w:tcW w:w="625" w:type="dxa"/>
            <w:vAlign w:val="center"/>
            <w:hideMark/>
          </w:tcPr>
          <w:p w14:paraId="3A7A0308"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4</w:t>
            </w:r>
          </w:p>
        </w:tc>
        <w:tc>
          <w:tcPr>
            <w:tcW w:w="3330" w:type="dxa"/>
            <w:vAlign w:val="center"/>
            <w:hideMark/>
          </w:tcPr>
          <w:p w14:paraId="75D31AE7" w14:textId="77777777" w:rsidR="001002C8" w:rsidRPr="007E419F" w:rsidRDefault="001002C8" w:rsidP="003E2AA3">
            <w:pPr>
              <w:jc w:val="center"/>
              <w:rPr>
                <w:rFonts w:eastAsia="Times New Roman" w:cs="Times New Roman"/>
                <w:sz w:val="20"/>
                <w:szCs w:val="20"/>
              </w:rPr>
            </w:pPr>
            <w:r w:rsidRPr="007E419F">
              <w:rPr>
                <w:rFonts w:eastAsia="Times New Roman" w:cs="Times New Roman"/>
                <w:i/>
                <w:iCs/>
                <w:sz w:val="20"/>
                <w:szCs w:val="20"/>
              </w:rPr>
              <w:t xml:space="preserve">T. </w:t>
            </w:r>
            <w:proofErr w:type="spellStart"/>
            <w:r w:rsidRPr="007E419F">
              <w:rPr>
                <w:rFonts w:eastAsia="Times New Roman" w:cs="Times New Roman"/>
                <w:i/>
                <w:iCs/>
                <w:sz w:val="20"/>
                <w:szCs w:val="20"/>
              </w:rPr>
              <w:t>harzianum</w:t>
            </w:r>
            <w:proofErr w:type="spellEnd"/>
            <w:r w:rsidRPr="007E419F">
              <w:rPr>
                <w:rFonts w:eastAsia="Times New Roman" w:cs="Times New Roman"/>
                <w:sz w:val="20"/>
                <w:szCs w:val="20"/>
              </w:rPr>
              <w:t xml:space="preserve"> (10 g/kg)</w:t>
            </w:r>
          </w:p>
        </w:tc>
        <w:tc>
          <w:tcPr>
            <w:tcW w:w="810" w:type="dxa"/>
            <w:vAlign w:val="center"/>
            <w:hideMark/>
          </w:tcPr>
          <w:p w14:paraId="3EBBF752"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6.00</w:t>
            </w:r>
          </w:p>
        </w:tc>
        <w:tc>
          <w:tcPr>
            <w:tcW w:w="810" w:type="dxa"/>
            <w:vAlign w:val="center"/>
            <w:hideMark/>
          </w:tcPr>
          <w:p w14:paraId="4C0BD1BD"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11.50</w:t>
            </w:r>
          </w:p>
        </w:tc>
        <w:tc>
          <w:tcPr>
            <w:tcW w:w="810" w:type="dxa"/>
            <w:vAlign w:val="center"/>
            <w:hideMark/>
          </w:tcPr>
          <w:p w14:paraId="7C7A2E67"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18.30</w:t>
            </w:r>
          </w:p>
        </w:tc>
        <w:tc>
          <w:tcPr>
            <w:tcW w:w="810" w:type="dxa"/>
            <w:vAlign w:val="center"/>
            <w:hideMark/>
          </w:tcPr>
          <w:p w14:paraId="76531116"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27.33</w:t>
            </w:r>
          </w:p>
        </w:tc>
        <w:tc>
          <w:tcPr>
            <w:tcW w:w="900" w:type="dxa"/>
            <w:vAlign w:val="center"/>
            <w:hideMark/>
          </w:tcPr>
          <w:p w14:paraId="6BC379F1"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19.04</w:t>
            </w:r>
          </w:p>
        </w:tc>
      </w:tr>
      <w:tr w:rsidR="001002C8" w:rsidRPr="007E419F" w14:paraId="69D278CD" w14:textId="77777777" w:rsidTr="003E2AA3">
        <w:trPr>
          <w:trHeight w:val="347"/>
          <w:jc w:val="center"/>
        </w:trPr>
        <w:tc>
          <w:tcPr>
            <w:tcW w:w="625" w:type="dxa"/>
            <w:vAlign w:val="center"/>
            <w:hideMark/>
          </w:tcPr>
          <w:p w14:paraId="77D9A1FB"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5</w:t>
            </w:r>
          </w:p>
        </w:tc>
        <w:tc>
          <w:tcPr>
            <w:tcW w:w="3330" w:type="dxa"/>
            <w:vAlign w:val="center"/>
            <w:hideMark/>
          </w:tcPr>
          <w:p w14:paraId="7328155D" w14:textId="77777777" w:rsidR="001002C8" w:rsidRPr="007E419F" w:rsidRDefault="001002C8" w:rsidP="003E2AA3">
            <w:pPr>
              <w:jc w:val="center"/>
              <w:rPr>
                <w:rFonts w:eastAsia="Times New Roman" w:cs="Times New Roman"/>
                <w:sz w:val="20"/>
                <w:szCs w:val="20"/>
              </w:rPr>
            </w:pPr>
            <w:r w:rsidRPr="007E419F">
              <w:rPr>
                <w:rFonts w:eastAsia="Times New Roman" w:cs="Times New Roman"/>
                <w:i/>
                <w:iCs/>
                <w:sz w:val="20"/>
                <w:szCs w:val="20"/>
              </w:rPr>
              <w:t xml:space="preserve">T. </w:t>
            </w:r>
            <w:proofErr w:type="spellStart"/>
            <w:r w:rsidRPr="007E419F">
              <w:rPr>
                <w:rFonts w:eastAsia="Times New Roman" w:cs="Times New Roman"/>
                <w:i/>
                <w:iCs/>
                <w:sz w:val="20"/>
                <w:szCs w:val="20"/>
              </w:rPr>
              <w:t>asperellum</w:t>
            </w:r>
            <w:proofErr w:type="spellEnd"/>
            <w:r w:rsidRPr="007E419F">
              <w:rPr>
                <w:rFonts w:eastAsia="Times New Roman" w:cs="Times New Roman"/>
                <w:i/>
                <w:iCs/>
                <w:sz w:val="20"/>
                <w:szCs w:val="20"/>
              </w:rPr>
              <w:t xml:space="preserve"> </w:t>
            </w:r>
            <w:r w:rsidRPr="007E419F">
              <w:rPr>
                <w:rFonts w:eastAsia="Times New Roman" w:cs="Times New Roman"/>
                <w:sz w:val="20"/>
                <w:szCs w:val="20"/>
              </w:rPr>
              <w:t>(10 g/kg)</w:t>
            </w:r>
          </w:p>
        </w:tc>
        <w:tc>
          <w:tcPr>
            <w:tcW w:w="810" w:type="dxa"/>
            <w:vAlign w:val="center"/>
          </w:tcPr>
          <w:p w14:paraId="63C8824D"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5.80</w:t>
            </w:r>
          </w:p>
        </w:tc>
        <w:tc>
          <w:tcPr>
            <w:tcW w:w="810" w:type="dxa"/>
            <w:vAlign w:val="center"/>
          </w:tcPr>
          <w:p w14:paraId="1E3BA502"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12.50</w:t>
            </w:r>
          </w:p>
        </w:tc>
        <w:tc>
          <w:tcPr>
            <w:tcW w:w="810" w:type="dxa"/>
            <w:vAlign w:val="center"/>
          </w:tcPr>
          <w:p w14:paraId="7135F9D1"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20.20</w:t>
            </w:r>
          </w:p>
        </w:tc>
        <w:tc>
          <w:tcPr>
            <w:tcW w:w="810" w:type="dxa"/>
            <w:vAlign w:val="center"/>
          </w:tcPr>
          <w:p w14:paraId="3EBDBAB1"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27.33</w:t>
            </w:r>
          </w:p>
        </w:tc>
        <w:tc>
          <w:tcPr>
            <w:tcW w:w="900" w:type="dxa"/>
            <w:vAlign w:val="center"/>
          </w:tcPr>
          <w:p w14:paraId="0FAFE435"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20.01</w:t>
            </w:r>
          </w:p>
        </w:tc>
      </w:tr>
      <w:tr w:rsidR="001002C8" w:rsidRPr="007E419F" w14:paraId="4E473732" w14:textId="77777777" w:rsidTr="003E2AA3">
        <w:trPr>
          <w:trHeight w:val="347"/>
          <w:jc w:val="center"/>
        </w:trPr>
        <w:tc>
          <w:tcPr>
            <w:tcW w:w="625" w:type="dxa"/>
            <w:vAlign w:val="center"/>
            <w:hideMark/>
          </w:tcPr>
          <w:p w14:paraId="4A714F7A"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6</w:t>
            </w:r>
          </w:p>
        </w:tc>
        <w:tc>
          <w:tcPr>
            <w:tcW w:w="3330" w:type="dxa"/>
            <w:vAlign w:val="center"/>
            <w:hideMark/>
          </w:tcPr>
          <w:p w14:paraId="7802D096"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Neem Leaf Extract (10%)</w:t>
            </w:r>
          </w:p>
        </w:tc>
        <w:tc>
          <w:tcPr>
            <w:tcW w:w="810" w:type="dxa"/>
            <w:vAlign w:val="center"/>
            <w:hideMark/>
          </w:tcPr>
          <w:p w14:paraId="1F08FF75"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6.10</w:t>
            </w:r>
          </w:p>
        </w:tc>
        <w:tc>
          <w:tcPr>
            <w:tcW w:w="810" w:type="dxa"/>
            <w:vAlign w:val="center"/>
            <w:hideMark/>
          </w:tcPr>
          <w:p w14:paraId="373CF3D0"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13.60</w:t>
            </w:r>
          </w:p>
        </w:tc>
        <w:tc>
          <w:tcPr>
            <w:tcW w:w="810" w:type="dxa"/>
            <w:vAlign w:val="center"/>
            <w:hideMark/>
          </w:tcPr>
          <w:p w14:paraId="386230E7"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23.10</w:t>
            </w:r>
          </w:p>
        </w:tc>
        <w:tc>
          <w:tcPr>
            <w:tcW w:w="810" w:type="dxa"/>
            <w:vAlign w:val="center"/>
            <w:hideMark/>
          </w:tcPr>
          <w:p w14:paraId="29FAEC8E"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31.10</w:t>
            </w:r>
          </w:p>
        </w:tc>
        <w:tc>
          <w:tcPr>
            <w:tcW w:w="900" w:type="dxa"/>
            <w:vAlign w:val="center"/>
            <w:hideMark/>
          </w:tcPr>
          <w:p w14:paraId="1A51C6E0"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22.60</w:t>
            </w:r>
          </w:p>
        </w:tc>
      </w:tr>
      <w:tr w:rsidR="001002C8" w:rsidRPr="007E419F" w14:paraId="54929FAB" w14:textId="77777777" w:rsidTr="003E2AA3">
        <w:trPr>
          <w:trHeight w:val="357"/>
          <w:jc w:val="center"/>
        </w:trPr>
        <w:tc>
          <w:tcPr>
            <w:tcW w:w="625" w:type="dxa"/>
            <w:vAlign w:val="center"/>
            <w:hideMark/>
          </w:tcPr>
          <w:p w14:paraId="1D1D5F5E"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7</w:t>
            </w:r>
          </w:p>
        </w:tc>
        <w:tc>
          <w:tcPr>
            <w:tcW w:w="3330" w:type="dxa"/>
            <w:vAlign w:val="center"/>
            <w:hideMark/>
          </w:tcPr>
          <w:p w14:paraId="0AE069B3"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Garlic Bulb Extract (10%)</w:t>
            </w:r>
          </w:p>
        </w:tc>
        <w:tc>
          <w:tcPr>
            <w:tcW w:w="810" w:type="dxa"/>
            <w:vAlign w:val="center"/>
            <w:hideMark/>
          </w:tcPr>
          <w:p w14:paraId="5E43B59E"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5.70</w:t>
            </w:r>
          </w:p>
        </w:tc>
        <w:tc>
          <w:tcPr>
            <w:tcW w:w="810" w:type="dxa"/>
            <w:vAlign w:val="center"/>
            <w:hideMark/>
          </w:tcPr>
          <w:p w14:paraId="669B5413"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13.50</w:t>
            </w:r>
          </w:p>
        </w:tc>
        <w:tc>
          <w:tcPr>
            <w:tcW w:w="810" w:type="dxa"/>
            <w:vAlign w:val="center"/>
            <w:hideMark/>
          </w:tcPr>
          <w:p w14:paraId="6FF54965"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18.50</w:t>
            </w:r>
          </w:p>
        </w:tc>
        <w:tc>
          <w:tcPr>
            <w:tcW w:w="810" w:type="dxa"/>
            <w:vAlign w:val="center"/>
            <w:hideMark/>
          </w:tcPr>
          <w:p w14:paraId="300DA87F"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28.60</w:t>
            </w:r>
          </w:p>
        </w:tc>
        <w:tc>
          <w:tcPr>
            <w:tcW w:w="900" w:type="dxa"/>
            <w:vAlign w:val="center"/>
            <w:hideMark/>
          </w:tcPr>
          <w:p w14:paraId="1705CCE8"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20.20</w:t>
            </w:r>
          </w:p>
        </w:tc>
      </w:tr>
      <w:tr w:rsidR="001002C8" w:rsidRPr="007E419F" w14:paraId="52FD0299" w14:textId="77777777" w:rsidTr="003E2AA3">
        <w:trPr>
          <w:trHeight w:val="347"/>
          <w:jc w:val="center"/>
        </w:trPr>
        <w:tc>
          <w:tcPr>
            <w:tcW w:w="625" w:type="dxa"/>
            <w:vAlign w:val="center"/>
            <w:hideMark/>
          </w:tcPr>
          <w:p w14:paraId="18045697"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8</w:t>
            </w:r>
          </w:p>
        </w:tc>
        <w:tc>
          <w:tcPr>
            <w:tcW w:w="3330" w:type="dxa"/>
            <w:vAlign w:val="center"/>
            <w:hideMark/>
          </w:tcPr>
          <w:p w14:paraId="797A8ECE" w14:textId="77777777" w:rsidR="001002C8" w:rsidRPr="007E419F" w:rsidRDefault="001002C8" w:rsidP="003E2AA3">
            <w:pPr>
              <w:jc w:val="center"/>
              <w:rPr>
                <w:rFonts w:eastAsia="Times New Roman" w:cs="Times New Roman"/>
                <w:sz w:val="20"/>
                <w:szCs w:val="20"/>
              </w:rPr>
            </w:pPr>
            <w:r w:rsidRPr="007E419F">
              <w:rPr>
                <w:rFonts w:eastAsia="Times New Roman" w:cs="Times New Roman"/>
                <w:i/>
                <w:iCs/>
                <w:sz w:val="20"/>
                <w:szCs w:val="20"/>
              </w:rPr>
              <w:t>P. fluorescens</w:t>
            </w:r>
            <w:r w:rsidRPr="007E419F">
              <w:rPr>
                <w:rFonts w:eastAsia="Times New Roman" w:cs="Times New Roman"/>
                <w:sz w:val="20"/>
                <w:szCs w:val="20"/>
              </w:rPr>
              <w:t xml:space="preserve"> (10 ml/kg)</w:t>
            </w:r>
          </w:p>
        </w:tc>
        <w:tc>
          <w:tcPr>
            <w:tcW w:w="810" w:type="dxa"/>
            <w:vAlign w:val="center"/>
            <w:hideMark/>
          </w:tcPr>
          <w:p w14:paraId="6DC57EA0"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5.90</w:t>
            </w:r>
          </w:p>
        </w:tc>
        <w:tc>
          <w:tcPr>
            <w:tcW w:w="810" w:type="dxa"/>
            <w:vAlign w:val="center"/>
            <w:hideMark/>
          </w:tcPr>
          <w:p w14:paraId="4C97C1D3"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12.70</w:t>
            </w:r>
          </w:p>
        </w:tc>
        <w:tc>
          <w:tcPr>
            <w:tcW w:w="810" w:type="dxa"/>
            <w:vAlign w:val="center"/>
            <w:hideMark/>
          </w:tcPr>
          <w:p w14:paraId="74F3A5AC"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21.50</w:t>
            </w:r>
          </w:p>
        </w:tc>
        <w:tc>
          <w:tcPr>
            <w:tcW w:w="810" w:type="dxa"/>
            <w:vAlign w:val="center"/>
            <w:hideMark/>
          </w:tcPr>
          <w:p w14:paraId="4227B883"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29.33</w:t>
            </w:r>
          </w:p>
        </w:tc>
        <w:tc>
          <w:tcPr>
            <w:tcW w:w="900" w:type="dxa"/>
            <w:vAlign w:val="center"/>
            <w:hideMark/>
          </w:tcPr>
          <w:p w14:paraId="08DE4B57"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21.17</w:t>
            </w:r>
          </w:p>
        </w:tc>
      </w:tr>
      <w:tr w:rsidR="001002C8" w:rsidRPr="007E419F" w14:paraId="7E952856" w14:textId="77777777" w:rsidTr="003E2AA3">
        <w:trPr>
          <w:trHeight w:val="347"/>
          <w:jc w:val="center"/>
        </w:trPr>
        <w:tc>
          <w:tcPr>
            <w:tcW w:w="625" w:type="dxa"/>
            <w:vAlign w:val="center"/>
            <w:hideMark/>
          </w:tcPr>
          <w:p w14:paraId="4F59980C"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0</w:t>
            </w:r>
          </w:p>
        </w:tc>
        <w:tc>
          <w:tcPr>
            <w:tcW w:w="3330" w:type="dxa"/>
            <w:vAlign w:val="center"/>
            <w:hideMark/>
          </w:tcPr>
          <w:p w14:paraId="3B2AF6DA"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Control (Water spray)</w:t>
            </w:r>
          </w:p>
        </w:tc>
        <w:tc>
          <w:tcPr>
            <w:tcW w:w="810" w:type="dxa"/>
            <w:vAlign w:val="center"/>
            <w:hideMark/>
          </w:tcPr>
          <w:p w14:paraId="7A4CD1A6"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6.20</w:t>
            </w:r>
          </w:p>
        </w:tc>
        <w:tc>
          <w:tcPr>
            <w:tcW w:w="810" w:type="dxa"/>
            <w:vAlign w:val="center"/>
            <w:hideMark/>
          </w:tcPr>
          <w:p w14:paraId="7013BFF1"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17.60</w:t>
            </w:r>
          </w:p>
        </w:tc>
        <w:tc>
          <w:tcPr>
            <w:tcW w:w="810" w:type="dxa"/>
            <w:vAlign w:val="center"/>
            <w:hideMark/>
          </w:tcPr>
          <w:p w14:paraId="40B77D75"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27.10</w:t>
            </w:r>
          </w:p>
        </w:tc>
        <w:tc>
          <w:tcPr>
            <w:tcW w:w="810" w:type="dxa"/>
            <w:vAlign w:val="center"/>
            <w:hideMark/>
          </w:tcPr>
          <w:p w14:paraId="5A54C38D"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39.27</w:t>
            </w:r>
          </w:p>
        </w:tc>
        <w:tc>
          <w:tcPr>
            <w:tcW w:w="900" w:type="dxa"/>
            <w:vAlign w:val="center"/>
            <w:hideMark/>
          </w:tcPr>
          <w:p w14:paraId="00DECE18"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27.99</w:t>
            </w:r>
          </w:p>
        </w:tc>
      </w:tr>
      <w:tr w:rsidR="001002C8" w:rsidRPr="007E419F" w14:paraId="7548CC88" w14:textId="77777777" w:rsidTr="003E2AA3">
        <w:trPr>
          <w:trHeight w:val="357"/>
          <w:jc w:val="center"/>
        </w:trPr>
        <w:tc>
          <w:tcPr>
            <w:tcW w:w="3955" w:type="dxa"/>
            <w:gridSpan w:val="2"/>
            <w:vAlign w:val="center"/>
            <w:hideMark/>
          </w:tcPr>
          <w:p w14:paraId="3B395F3C"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S. Em ±</w:t>
            </w:r>
          </w:p>
        </w:tc>
        <w:tc>
          <w:tcPr>
            <w:tcW w:w="810" w:type="dxa"/>
            <w:vAlign w:val="center"/>
            <w:hideMark/>
          </w:tcPr>
          <w:p w14:paraId="230746B5"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w:t>
            </w:r>
          </w:p>
        </w:tc>
        <w:tc>
          <w:tcPr>
            <w:tcW w:w="810" w:type="dxa"/>
            <w:vAlign w:val="center"/>
            <w:hideMark/>
          </w:tcPr>
          <w:p w14:paraId="69305349"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0.35</w:t>
            </w:r>
          </w:p>
        </w:tc>
        <w:tc>
          <w:tcPr>
            <w:tcW w:w="810" w:type="dxa"/>
            <w:vAlign w:val="center"/>
            <w:hideMark/>
          </w:tcPr>
          <w:p w14:paraId="7DF806EF"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0.42</w:t>
            </w:r>
          </w:p>
        </w:tc>
        <w:tc>
          <w:tcPr>
            <w:tcW w:w="810" w:type="dxa"/>
            <w:vAlign w:val="center"/>
            <w:hideMark/>
          </w:tcPr>
          <w:p w14:paraId="2F2F02D9"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0.56</w:t>
            </w:r>
          </w:p>
        </w:tc>
        <w:tc>
          <w:tcPr>
            <w:tcW w:w="900" w:type="dxa"/>
            <w:vAlign w:val="center"/>
            <w:hideMark/>
          </w:tcPr>
          <w:p w14:paraId="398D1AC5"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w:t>
            </w:r>
          </w:p>
        </w:tc>
      </w:tr>
      <w:tr w:rsidR="001002C8" w:rsidRPr="007E419F" w14:paraId="06F3CDD8" w14:textId="77777777" w:rsidTr="003E2AA3">
        <w:trPr>
          <w:trHeight w:val="347"/>
          <w:jc w:val="center"/>
        </w:trPr>
        <w:tc>
          <w:tcPr>
            <w:tcW w:w="3955" w:type="dxa"/>
            <w:gridSpan w:val="2"/>
            <w:vAlign w:val="center"/>
            <w:hideMark/>
          </w:tcPr>
          <w:p w14:paraId="04DB7CDD"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C.D. at 5%</w:t>
            </w:r>
          </w:p>
        </w:tc>
        <w:tc>
          <w:tcPr>
            <w:tcW w:w="810" w:type="dxa"/>
            <w:vAlign w:val="center"/>
            <w:hideMark/>
          </w:tcPr>
          <w:p w14:paraId="7351DCB6"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w:t>
            </w:r>
          </w:p>
        </w:tc>
        <w:tc>
          <w:tcPr>
            <w:tcW w:w="810" w:type="dxa"/>
            <w:vAlign w:val="center"/>
            <w:hideMark/>
          </w:tcPr>
          <w:p w14:paraId="268D1553"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1.05</w:t>
            </w:r>
          </w:p>
        </w:tc>
        <w:tc>
          <w:tcPr>
            <w:tcW w:w="810" w:type="dxa"/>
            <w:vAlign w:val="center"/>
            <w:hideMark/>
          </w:tcPr>
          <w:p w14:paraId="0D77D783"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1.25</w:t>
            </w:r>
          </w:p>
        </w:tc>
        <w:tc>
          <w:tcPr>
            <w:tcW w:w="810" w:type="dxa"/>
            <w:vAlign w:val="center"/>
            <w:hideMark/>
          </w:tcPr>
          <w:p w14:paraId="49938592"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1.66</w:t>
            </w:r>
          </w:p>
        </w:tc>
        <w:tc>
          <w:tcPr>
            <w:tcW w:w="900" w:type="dxa"/>
            <w:vAlign w:val="center"/>
            <w:hideMark/>
          </w:tcPr>
          <w:p w14:paraId="3B7808BB"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w:t>
            </w:r>
          </w:p>
        </w:tc>
      </w:tr>
    </w:tbl>
    <w:p w14:paraId="522C9E20" w14:textId="77777777" w:rsidR="001002C8" w:rsidRPr="007E419F" w:rsidRDefault="001002C8" w:rsidP="001002C8">
      <w:pPr>
        <w:spacing w:after="0"/>
        <w:jc w:val="both"/>
        <w:rPr>
          <w:rFonts w:ascii="Times New Roman" w:eastAsia="Times New Roman" w:hAnsi="Times New Roman" w:cs="Times New Roman"/>
          <w:kern w:val="0"/>
          <w:szCs w:val="24"/>
          <w:lang w:bidi="ar-SA"/>
          <w14:ligatures w14:val="none"/>
        </w:rPr>
      </w:pPr>
    </w:p>
    <w:p w14:paraId="405F6112" w14:textId="77777777" w:rsidR="001002C8" w:rsidRPr="007E419F" w:rsidRDefault="001002C8" w:rsidP="00F169EE">
      <w:pPr>
        <w:spacing w:after="0"/>
        <w:ind w:firstLine="720"/>
        <w:jc w:val="both"/>
        <w:rPr>
          <w:rFonts w:ascii="Times New Roman" w:eastAsia="Times New Roman" w:hAnsi="Times New Roman" w:cs="Times New Roman"/>
          <w:kern w:val="0"/>
          <w:szCs w:val="24"/>
          <w:lang w:bidi="ar-SA"/>
          <w14:ligatures w14:val="none"/>
        </w:rPr>
      </w:pPr>
    </w:p>
    <w:p w14:paraId="555C8703" w14:textId="77777777" w:rsidR="00DA61BC" w:rsidRPr="007E419F" w:rsidRDefault="00DA61BC" w:rsidP="00F169EE">
      <w:pPr>
        <w:spacing w:after="0"/>
        <w:jc w:val="both"/>
        <w:rPr>
          <w:rFonts w:ascii="Times New Roman" w:eastAsia="Times New Roman" w:hAnsi="Times New Roman" w:cs="Times New Roman"/>
          <w:kern w:val="0"/>
          <w:sz w:val="22"/>
          <w:szCs w:val="22"/>
          <w:lang w:bidi="ar-SA"/>
          <w14:ligatures w14:val="none"/>
        </w:rPr>
      </w:pPr>
      <w:r w:rsidRPr="007E419F">
        <w:rPr>
          <w:rFonts w:ascii="Times New Roman" w:hAnsi="Times New Roman" w:cs="Times New Roman"/>
          <w:b/>
          <w:bCs/>
          <w:kern w:val="0"/>
          <w:szCs w:val="24"/>
        </w:rPr>
        <w:t>DISCUSSION</w:t>
      </w:r>
    </w:p>
    <w:p w14:paraId="59B459A7" w14:textId="0F2CF80B" w:rsidR="00DA61BC" w:rsidRPr="007E419F" w:rsidRDefault="00DA61BC"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 xml:space="preserve">The data indicate that seed treatment plays a vital role in the suppression of white rust disease and enhancement of yield in mustard. Fungicides such as Mancozeb, Carbendazim, and Carbendazim 12% + Mancozeb 63% effectively reduced both incidence and severity, which may be attributed to their protective and systemic actions (Patel </w:t>
      </w:r>
      <w:r w:rsidR="00E43D92" w:rsidRPr="007E419F">
        <w:rPr>
          <w:rFonts w:ascii="Times New Roman" w:eastAsia="Times New Roman" w:hAnsi="Times New Roman" w:cs="Times New Roman"/>
          <w:i/>
          <w:iCs/>
          <w:kern w:val="0"/>
          <w:szCs w:val="24"/>
          <w:lang w:bidi="ar-SA"/>
          <w14:ligatures w14:val="none"/>
        </w:rPr>
        <w:t>et al</w:t>
      </w:r>
      <w:r w:rsidRPr="007E419F">
        <w:rPr>
          <w:rFonts w:ascii="Times New Roman" w:eastAsia="Times New Roman" w:hAnsi="Times New Roman" w:cs="Times New Roman"/>
          <w:kern w:val="0"/>
          <w:szCs w:val="24"/>
          <w:lang w:bidi="ar-SA"/>
          <w14:ligatures w14:val="none"/>
        </w:rPr>
        <w:t>., 2018).</w:t>
      </w:r>
    </w:p>
    <w:p w14:paraId="76E03428" w14:textId="7464ABDE" w:rsidR="00DA61BC" w:rsidRPr="007E419F" w:rsidRDefault="00DA61BC" w:rsidP="00F169EE">
      <w:pPr>
        <w:spacing w:before="100" w:beforeAutospacing="1"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 xml:space="preserve">Biocontrol agents like </w:t>
      </w:r>
      <w:r w:rsidRPr="007E419F">
        <w:rPr>
          <w:rFonts w:ascii="Times New Roman" w:eastAsia="Times New Roman" w:hAnsi="Times New Roman" w:cs="Times New Roman"/>
          <w:i/>
          <w:iCs/>
          <w:kern w:val="0"/>
          <w:szCs w:val="24"/>
          <w:lang w:bidi="ar-SA"/>
          <w14:ligatures w14:val="none"/>
        </w:rPr>
        <w:t>Trichoderma</w:t>
      </w:r>
      <w:r w:rsidRPr="007E419F">
        <w:rPr>
          <w:rFonts w:ascii="Times New Roman" w:eastAsia="Times New Roman" w:hAnsi="Times New Roman" w:cs="Times New Roman"/>
          <w:kern w:val="0"/>
          <w:szCs w:val="24"/>
          <w:lang w:bidi="ar-SA"/>
          <w14:ligatures w14:val="none"/>
        </w:rPr>
        <w:t xml:space="preserve"> spp. </w:t>
      </w:r>
      <w:r w:rsidR="00EE25B3" w:rsidRPr="007E419F">
        <w:rPr>
          <w:rFonts w:ascii="Times New Roman" w:eastAsia="Times New Roman" w:hAnsi="Times New Roman" w:cs="Times New Roman"/>
          <w:kern w:val="0"/>
          <w:szCs w:val="24"/>
          <w:lang w:bidi="ar-SA"/>
          <w14:ligatures w14:val="none"/>
        </w:rPr>
        <w:t>E</w:t>
      </w:r>
      <w:r w:rsidRPr="007E419F">
        <w:rPr>
          <w:rFonts w:ascii="Times New Roman" w:eastAsia="Times New Roman" w:hAnsi="Times New Roman" w:cs="Times New Roman"/>
          <w:kern w:val="0"/>
          <w:szCs w:val="24"/>
          <w:lang w:bidi="ar-SA"/>
          <w14:ligatures w14:val="none"/>
        </w:rPr>
        <w:t xml:space="preserve">xhibited promising results through mechanisms such as competition, antibiosis, mycoparasitism, and induction of host resistance (Singh and Kapoor, 2021). These agents not only suppressed </w:t>
      </w:r>
      <w:r w:rsidRPr="007E419F">
        <w:rPr>
          <w:rFonts w:ascii="Times New Roman" w:eastAsia="Times New Roman" w:hAnsi="Times New Roman" w:cs="Times New Roman"/>
          <w:i/>
          <w:iCs/>
          <w:kern w:val="0"/>
          <w:szCs w:val="24"/>
          <w:lang w:bidi="ar-SA"/>
          <w14:ligatures w14:val="none"/>
        </w:rPr>
        <w:t>A. candida</w:t>
      </w:r>
      <w:r w:rsidRPr="007E419F">
        <w:rPr>
          <w:rFonts w:ascii="Times New Roman" w:eastAsia="Times New Roman" w:hAnsi="Times New Roman" w:cs="Times New Roman"/>
          <w:kern w:val="0"/>
          <w:szCs w:val="24"/>
          <w:lang w:bidi="ar-SA"/>
          <w14:ligatures w14:val="none"/>
        </w:rPr>
        <w:t xml:space="preserve"> effectively but also promoted plant </w:t>
      </w:r>
      <w:proofErr w:type="spellStart"/>
      <w:r w:rsidRPr="007E419F">
        <w:rPr>
          <w:rFonts w:ascii="Times New Roman" w:eastAsia="Times New Roman" w:hAnsi="Times New Roman" w:cs="Times New Roman"/>
          <w:kern w:val="0"/>
          <w:szCs w:val="24"/>
          <w:lang w:bidi="ar-SA"/>
          <w14:ligatures w14:val="none"/>
        </w:rPr>
        <w:t>vigo</w:t>
      </w:r>
      <w:r w:rsidR="00EE25B3" w:rsidRPr="007E419F">
        <w:rPr>
          <w:rFonts w:ascii="Times New Roman" w:eastAsia="Times New Roman" w:hAnsi="Times New Roman" w:cs="Times New Roman"/>
          <w:kern w:val="0"/>
          <w:szCs w:val="24"/>
          <w:lang w:bidi="ar-SA"/>
          <w14:ligatures w14:val="none"/>
        </w:rPr>
        <w:t>u</w:t>
      </w:r>
      <w:r w:rsidRPr="007E419F">
        <w:rPr>
          <w:rFonts w:ascii="Times New Roman" w:eastAsia="Times New Roman" w:hAnsi="Times New Roman" w:cs="Times New Roman"/>
          <w:kern w:val="0"/>
          <w:szCs w:val="24"/>
          <w:lang w:bidi="ar-SA"/>
          <w14:ligatures w14:val="none"/>
        </w:rPr>
        <w:t>r</w:t>
      </w:r>
      <w:proofErr w:type="spellEnd"/>
      <w:r w:rsidRPr="007E419F">
        <w:rPr>
          <w:rFonts w:ascii="Times New Roman" w:eastAsia="Times New Roman" w:hAnsi="Times New Roman" w:cs="Times New Roman"/>
          <w:kern w:val="0"/>
          <w:szCs w:val="24"/>
          <w:lang w:bidi="ar-SA"/>
          <w14:ligatures w14:val="none"/>
        </w:rPr>
        <w:t>, contributing to yield improvement.</w:t>
      </w:r>
    </w:p>
    <w:p w14:paraId="62F7610B" w14:textId="77777777" w:rsidR="00DA61BC" w:rsidRPr="007E419F" w:rsidRDefault="00DA61BC" w:rsidP="00F169EE">
      <w:pPr>
        <w:pStyle w:val="Heading3"/>
        <w:spacing w:before="0" w:after="0"/>
        <w:jc w:val="both"/>
        <w:rPr>
          <w:rFonts w:ascii="Times New Roman" w:hAnsi="Times New Roman" w:cs="Times New Roman"/>
          <w:color w:val="000000" w:themeColor="text1"/>
          <w:sz w:val="24"/>
          <w:szCs w:val="24"/>
        </w:rPr>
      </w:pPr>
      <w:r w:rsidRPr="007E419F">
        <w:rPr>
          <w:rStyle w:val="Strong"/>
          <w:rFonts w:ascii="Times New Roman" w:hAnsi="Times New Roman" w:cs="Times New Roman"/>
          <w:color w:val="000000" w:themeColor="text1"/>
          <w:sz w:val="24"/>
          <w:szCs w:val="24"/>
        </w:rPr>
        <w:t>CONCLUSION</w:t>
      </w:r>
    </w:p>
    <w:p w14:paraId="4752DD6E" w14:textId="77777777" w:rsidR="00DA61BC" w:rsidRPr="007E419F" w:rsidRDefault="00DA61BC" w:rsidP="00F169EE">
      <w:pPr>
        <w:spacing w:after="0"/>
        <w:ind w:firstLine="720"/>
        <w:jc w:val="both"/>
        <w:rPr>
          <w:rFonts w:ascii="Times New Roman" w:hAnsi="Times New Roman" w:cs="Times New Roman"/>
          <w:szCs w:val="24"/>
        </w:rPr>
      </w:pPr>
      <w:r w:rsidRPr="007E419F">
        <w:rPr>
          <w:rFonts w:ascii="Times New Roman" w:hAnsi="Times New Roman" w:cs="Times New Roman"/>
          <w:szCs w:val="24"/>
        </w:rPr>
        <w:t xml:space="preserve">The findings of this study clearly demonstrate that </w:t>
      </w:r>
      <w:r w:rsidRPr="007E419F">
        <w:rPr>
          <w:rStyle w:val="Strong"/>
          <w:rFonts w:ascii="Times New Roman" w:hAnsi="Times New Roman" w:cs="Times New Roman"/>
          <w:b w:val="0"/>
          <w:bCs w:val="0"/>
          <w:szCs w:val="24"/>
        </w:rPr>
        <w:t>seed treatment is an effective strategy</w:t>
      </w:r>
      <w:r w:rsidRPr="007E419F">
        <w:rPr>
          <w:rFonts w:ascii="Times New Roman" w:hAnsi="Times New Roman" w:cs="Times New Roman"/>
          <w:szCs w:val="24"/>
        </w:rPr>
        <w:t xml:space="preserve"> for the management of </w:t>
      </w:r>
      <w:r w:rsidRPr="007E419F">
        <w:rPr>
          <w:rStyle w:val="Strong"/>
          <w:rFonts w:ascii="Times New Roman" w:hAnsi="Times New Roman" w:cs="Times New Roman"/>
          <w:b w:val="0"/>
          <w:bCs w:val="0"/>
          <w:szCs w:val="24"/>
        </w:rPr>
        <w:t>white rust disease in mustard</w:t>
      </w:r>
      <w:r w:rsidRPr="007E419F">
        <w:rPr>
          <w:rFonts w:ascii="Times New Roman" w:hAnsi="Times New Roman" w:cs="Times New Roman"/>
          <w:szCs w:val="24"/>
        </w:rPr>
        <w:t>. Among the tested treatments:</w:t>
      </w:r>
    </w:p>
    <w:p w14:paraId="659ED884" w14:textId="20669616" w:rsidR="007A53FF" w:rsidRPr="007E419F" w:rsidRDefault="00DA61BC" w:rsidP="007A53FF">
      <w:pPr>
        <w:spacing w:after="0"/>
        <w:ind w:firstLine="720"/>
        <w:jc w:val="both"/>
        <w:rPr>
          <w:rFonts w:ascii="Times New Roman" w:hAnsi="Times New Roman" w:cs="Times New Roman"/>
          <w:szCs w:val="24"/>
        </w:rPr>
      </w:pPr>
      <w:r w:rsidRPr="007E419F">
        <w:rPr>
          <w:rStyle w:val="Strong"/>
          <w:rFonts w:ascii="Times New Roman" w:hAnsi="Times New Roman" w:cs="Times New Roman"/>
          <w:b w:val="0"/>
          <w:bCs w:val="0"/>
          <w:szCs w:val="24"/>
        </w:rPr>
        <w:t>Chemical fungicides</w:t>
      </w:r>
      <w:r w:rsidRPr="007E419F">
        <w:rPr>
          <w:rFonts w:ascii="Times New Roman" w:hAnsi="Times New Roman" w:cs="Times New Roman"/>
          <w:szCs w:val="24"/>
        </w:rPr>
        <w:t xml:space="preserve">, particularly </w:t>
      </w:r>
      <w:r w:rsidRPr="007E419F">
        <w:rPr>
          <w:rStyle w:val="Strong"/>
          <w:rFonts w:ascii="Times New Roman" w:hAnsi="Times New Roman" w:cs="Times New Roman"/>
          <w:b w:val="0"/>
          <w:bCs w:val="0"/>
          <w:szCs w:val="24"/>
        </w:rPr>
        <w:t>Mancozeb</w:t>
      </w:r>
      <w:r w:rsidRPr="007E419F">
        <w:rPr>
          <w:rFonts w:ascii="Times New Roman" w:hAnsi="Times New Roman" w:cs="Times New Roman"/>
          <w:szCs w:val="24"/>
        </w:rPr>
        <w:t xml:space="preserve">, </w:t>
      </w:r>
      <w:r w:rsidRPr="007E419F">
        <w:rPr>
          <w:rStyle w:val="Strong"/>
          <w:rFonts w:ascii="Times New Roman" w:hAnsi="Times New Roman" w:cs="Times New Roman"/>
          <w:b w:val="0"/>
          <w:bCs w:val="0"/>
          <w:szCs w:val="24"/>
        </w:rPr>
        <w:t>Carbendazim</w:t>
      </w:r>
      <w:r w:rsidRPr="007E419F">
        <w:rPr>
          <w:rFonts w:ascii="Times New Roman" w:hAnsi="Times New Roman" w:cs="Times New Roman"/>
          <w:szCs w:val="24"/>
        </w:rPr>
        <w:t xml:space="preserve">, and </w:t>
      </w:r>
      <w:r w:rsidRPr="007E419F">
        <w:rPr>
          <w:rStyle w:val="Strong"/>
          <w:rFonts w:ascii="Times New Roman" w:hAnsi="Times New Roman" w:cs="Times New Roman"/>
          <w:b w:val="0"/>
          <w:bCs w:val="0"/>
          <w:szCs w:val="24"/>
        </w:rPr>
        <w:t>Carbendazim 12% + Mancozeb 63%</w:t>
      </w:r>
      <w:r w:rsidRPr="007E419F">
        <w:rPr>
          <w:rFonts w:ascii="Times New Roman" w:hAnsi="Times New Roman" w:cs="Times New Roman"/>
          <w:szCs w:val="24"/>
        </w:rPr>
        <w:t xml:space="preserve">, provided </w:t>
      </w:r>
      <w:r w:rsidRPr="007E419F">
        <w:rPr>
          <w:rStyle w:val="Strong"/>
          <w:rFonts w:ascii="Times New Roman" w:hAnsi="Times New Roman" w:cs="Times New Roman"/>
          <w:b w:val="0"/>
          <w:bCs w:val="0"/>
          <w:szCs w:val="24"/>
        </w:rPr>
        <w:t>superior disease suppression</w:t>
      </w:r>
      <w:r w:rsidRPr="007E419F">
        <w:rPr>
          <w:rFonts w:ascii="Times New Roman" w:hAnsi="Times New Roman" w:cs="Times New Roman"/>
          <w:szCs w:val="24"/>
        </w:rPr>
        <w:t xml:space="preserve"> and significantly enhanced yield parameters. </w:t>
      </w:r>
      <w:r w:rsidRPr="007E419F">
        <w:rPr>
          <w:rStyle w:val="Strong"/>
          <w:rFonts w:ascii="Times New Roman" w:hAnsi="Times New Roman" w:cs="Times New Roman"/>
          <w:b w:val="0"/>
          <w:bCs w:val="0"/>
          <w:szCs w:val="24"/>
        </w:rPr>
        <w:t>Biocontrol agents</w:t>
      </w:r>
      <w:r w:rsidRPr="007E419F">
        <w:rPr>
          <w:rFonts w:ascii="Times New Roman" w:hAnsi="Times New Roman" w:cs="Times New Roman"/>
          <w:szCs w:val="24"/>
        </w:rPr>
        <w:t xml:space="preserve"> like </w:t>
      </w:r>
      <w:r w:rsidRPr="007E419F">
        <w:rPr>
          <w:rStyle w:val="Strong"/>
          <w:rFonts w:ascii="Times New Roman" w:hAnsi="Times New Roman" w:cs="Times New Roman"/>
          <w:b w:val="0"/>
          <w:bCs w:val="0"/>
          <w:i/>
          <w:iCs/>
          <w:szCs w:val="24"/>
        </w:rPr>
        <w:t>Trichoderma</w:t>
      </w:r>
      <w:r w:rsidRPr="007E419F">
        <w:rPr>
          <w:rStyle w:val="Strong"/>
          <w:rFonts w:ascii="Times New Roman" w:hAnsi="Times New Roman" w:cs="Times New Roman"/>
          <w:b w:val="0"/>
          <w:bCs w:val="0"/>
          <w:szCs w:val="24"/>
        </w:rPr>
        <w:t xml:space="preserve"> spp.</w:t>
      </w:r>
      <w:r w:rsidRPr="007E419F">
        <w:rPr>
          <w:rFonts w:ascii="Times New Roman" w:hAnsi="Times New Roman" w:cs="Times New Roman"/>
          <w:szCs w:val="24"/>
        </w:rPr>
        <w:t xml:space="preserve"> </w:t>
      </w:r>
      <w:r w:rsidR="00EE25B3" w:rsidRPr="007E419F">
        <w:rPr>
          <w:rFonts w:ascii="Times New Roman" w:hAnsi="Times New Roman" w:cs="Times New Roman"/>
          <w:szCs w:val="24"/>
        </w:rPr>
        <w:t>E</w:t>
      </w:r>
      <w:r w:rsidRPr="007E419F">
        <w:rPr>
          <w:rFonts w:ascii="Times New Roman" w:hAnsi="Times New Roman" w:cs="Times New Roman"/>
          <w:szCs w:val="24"/>
        </w:rPr>
        <w:t xml:space="preserve">merged as </w:t>
      </w:r>
      <w:r w:rsidRPr="007E419F">
        <w:rPr>
          <w:rStyle w:val="Strong"/>
          <w:rFonts w:ascii="Times New Roman" w:hAnsi="Times New Roman" w:cs="Times New Roman"/>
          <w:b w:val="0"/>
          <w:bCs w:val="0"/>
          <w:szCs w:val="24"/>
        </w:rPr>
        <w:t>promising eco-friendly alternatives</w:t>
      </w:r>
      <w:r w:rsidRPr="007E419F">
        <w:rPr>
          <w:rFonts w:ascii="Times New Roman" w:hAnsi="Times New Roman" w:cs="Times New Roman"/>
          <w:szCs w:val="24"/>
        </w:rPr>
        <w:t xml:space="preserve">, offering notable disease control and yield benefits without harmful environmental effects. </w:t>
      </w:r>
      <w:r w:rsidRPr="007E419F">
        <w:rPr>
          <w:rStyle w:val="Strong"/>
          <w:rFonts w:ascii="Times New Roman" w:hAnsi="Times New Roman" w:cs="Times New Roman"/>
          <w:b w:val="0"/>
          <w:bCs w:val="0"/>
          <w:szCs w:val="24"/>
        </w:rPr>
        <w:t>Botanical extracts</w:t>
      </w:r>
      <w:r w:rsidRPr="007E419F">
        <w:rPr>
          <w:rFonts w:ascii="Times New Roman" w:hAnsi="Times New Roman" w:cs="Times New Roman"/>
          <w:szCs w:val="24"/>
        </w:rPr>
        <w:t xml:space="preserve"> showed moderate effects and may be considered as part of </w:t>
      </w:r>
      <w:r w:rsidRPr="007E419F">
        <w:rPr>
          <w:rStyle w:val="Strong"/>
          <w:rFonts w:ascii="Times New Roman" w:hAnsi="Times New Roman" w:cs="Times New Roman"/>
          <w:b w:val="0"/>
          <w:bCs w:val="0"/>
          <w:szCs w:val="24"/>
        </w:rPr>
        <w:t>organic or low-input disease management systems</w:t>
      </w:r>
      <w:r w:rsidRPr="007E419F">
        <w:rPr>
          <w:rFonts w:ascii="Times New Roman" w:hAnsi="Times New Roman" w:cs="Times New Roman"/>
          <w:szCs w:val="24"/>
        </w:rPr>
        <w:t>.</w:t>
      </w:r>
    </w:p>
    <w:p w14:paraId="2FC8DD82" w14:textId="77777777" w:rsidR="007A53FF" w:rsidRPr="007E419F" w:rsidRDefault="007A53FF" w:rsidP="007A53FF">
      <w:pPr>
        <w:spacing w:after="0"/>
        <w:jc w:val="both"/>
        <w:rPr>
          <w:rFonts w:ascii="Times New Roman" w:hAnsi="Times New Roman" w:cs="Times New Roman"/>
          <w:szCs w:val="24"/>
        </w:rPr>
      </w:pPr>
    </w:p>
    <w:p w14:paraId="02DF5175" w14:textId="000A8CD1" w:rsidR="00175F68" w:rsidRPr="007E419F" w:rsidRDefault="0027464F" w:rsidP="007A53FF">
      <w:pPr>
        <w:spacing w:after="0"/>
        <w:jc w:val="both"/>
        <w:rPr>
          <w:rFonts w:ascii="Times New Roman" w:hAnsi="Times New Roman" w:cs="Times New Roman"/>
          <w:szCs w:val="24"/>
        </w:rPr>
      </w:pPr>
      <w:r w:rsidRPr="007E419F">
        <w:rPr>
          <w:rStyle w:val="Strong"/>
          <w:rFonts w:ascii="Times New Roman" w:hAnsi="Times New Roman" w:cs="Times New Roman"/>
        </w:rPr>
        <w:lastRenderedPageBreak/>
        <w:t xml:space="preserve">References </w:t>
      </w:r>
    </w:p>
    <w:p w14:paraId="4C44A84E" w14:textId="77777777" w:rsidR="00175F68" w:rsidRPr="007E419F" w:rsidRDefault="00175F68" w:rsidP="00175F68">
      <w:pPr>
        <w:pStyle w:val="NormalWeb"/>
        <w:numPr>
          <w:ilvl w:val="0"/>
          <w:numId w:val="2"/>
        </w:numPr>
        <w:spacing w:after="0" w:afterAutospacing="0" w:line="276" w:lineRule="auto"/>
        <w:jc w:val="both"/>
      </w:pPr>
      <w:r w:rsidRPr="007E419F">
        <w:t>Agrios, G. N. (2005). Plant Pathology (5th ed.). Elsevier Academic Press.</w:t>
      </w:r>
    </w:p>
    <w:p w14:paraId="00F99807" w14:textId="77777777" w:rsidR="00175F68" w:rsidRPr="007E419F" w:rsidRDefault="00175F68" w:rsidP="00175F68">
      <w:pPr>
        <w:pStyle w:val="NormalWeb"/>
        <w:numPr>
          <w:ilvl w:val="0"/>
          <w:numId w:val="2"/>
        </w:numPr>
        <w:spacing w:after="0" w:afterAutospacing="0" w:line="276" w:lineRule="auto"/>
        <w:jc w:val="both"/>
      </w:pPr>
      <w:r w:rsidRPr="007E419F">
        <w:t xml:space="preserve">Chaudhary, R. </w:t>
      </w:r>
      <w:r w:rsidRPr="007E419F">
        <w:rPr>
          <w:i/>
          <w:iCs/>
        </w:rPr>
        <w:t>et al</w:t>
      </w:r>
      <w:r w:rsidRPr="007E419F">
        <w:t xml:space="preserve">. (2019). Role of biocontrol agents in seed treatment of oilseed crops. </w:t>
      </w:r>
      <w:r w:rsidRPr="007E419F">
        <w:rPr>
          <w:rStyle w:val="Emphasis"/>
          <w:rFonts w:eastAsiaTheme="majorEastAsia"/>
        </w:rPr>
        <w:t>Agricultural Reviews</w:t>
      </w:r>
      <w:r w:rsidRPr="007E419F">
        <w:t>, 40(3), 205–210.</w:t>
      </w:r>
    </w:p>
    <w:p w14:paraId="0249E6F0" w14:textId="77777777" w:rsidR="00175F68" w:rsidRPr="007E419F" w:rsidRDefault="00175F68" w:rsidP="00175F68">
      <w:pPr>
        <w:pStyle w:val="NormalWeb"/>
        <w:numPr>
          <w:ilvl w:val="0"/>
          <w:numId w:val="2"/>
        </w:numPr>
        <w:spacing w:after="0" w:afterAutospacing="0" w:line="276" w:lineRule="auto"/>
        <w:jc w:val="both"/>
      </w:pPr>
      <w:r w:rsidRPr="007E419F">
        <w:t>Chaudhary, R., Meena, P. D., &amp; Sharma, P. (2019). Role of biocontrol agents in seed treatment of oilseed crops. Agricultural Reviews, 40(3), 205–210.</w:t>
      </w:r>
    </w:p>
    <w:p w14:paraId="682D46F9" w14:textId="77777777" w:rsidR="00175F68" w:rsidRPr="007E419F" w:rsidRDefault="00175F68" w:rsidP="00175F68">
      <w:pPr>
        <w:pStyle w:val="NormalWeb"/>
        <w:numPr>
          <w:ilvl w:val="0"/>
          <w:numId w:val="2"/>
        </w:numPr>
        <w:spacing w:after="0" w:afterAutospacing="0" w:line="276" w:lineRule="auto"/>
        <w:jc w:val="both"/>
      </w:pPr>
      <w:r w:rsidRPr="007E419F">
        <w:t>Dhingra, O. D., &amp; Sinclair, J. B. (1995). Basic Plant Pathology Methods. CRC Press.</w:t>
      </w:r>
    </w:p>
    <w:p w14:paraId="2C08B63B" w14:textId="77777777" w:rsidR="00175F68" w:rsidRPr="007E419F" w:rsidRDefault="00175F68" w:rsidP="00175F68">
      <w:pPr>
        <w:pStyle w:val="NormalWeb"/>
        <w:numPr>
          <w:ilvl w:val="0"/>
          <w:numId w:val="2"/>
        </w:numPr>
        <w:spacing w:after="0" w:afterAutospacing="0" w:line="276" w:lineRule="auto"/>
        <w:jc w:val="both"/>
      </w:pPr>
      <w:proofErr w:type="spellStart"/>
      <w:r w:rsidRPr="007E419F">
        <w:rPr>
          <w:lang w:val="es-US"/>
        </w:rPr>
        <w:t>Gomez</w:t>
      </w:r>
      <w:proofErr w:type="spellEnd"/>
      <w:r w:rsidRPr="007E419F">
        <w:rPr>
          <w:lang w:val="es-US"/>
        </w:rPr>
        <w:t xml:space="preserve">, K. A., &amp; </w:t>
      </w:r>
      <w:proofErr w:type="spellStart"/>
      <w:r w:rsidRPr="007E419F">
        <w:rPr>
          <w:lang w:val="es-US"/>
        </w:rPr>
        <w:t>Gomez</w:t>
      </w:r>
      <w:proofErr w:type="spellEnd"/>
      <w:r w:rsidRPr="007E419F">
        <w:rPr>
          <w:lang w:val="es-US"/>
        </w:rPr>
        <w:t xml:space="preserve">, A. A. (1984). </w:t>
      </w:r>
      <w:r w:rsidRPr="007E419F">
        <w:t>Statistical Procedures for Agricultural Research (2nd ed.). Wiley-</w:t>
      </w:r>
      <w:proofErr w:type="spellStart"/>
      <w:r w:rsidRPr="007E419F">
        <w:t>Interscience</w:t>
      </w:r>
      <w:proofErr w:type="spellEnd"/>
      <w:r w:rsidRPr="007E419F">
        <w:t>.</w:t>
      </w:r>
    </w:p>
    <w:p w14:paraId="6543B2A6" w14:textId="1A9891C7" w:rsidR="00175F68" w:rsidRPr="007E419F" w:rsidRDefault="00175F68" w:rsidP="00175F68">
      <w:pPr>
        <w:pStyle w:val="NormalWeb"/>
        <w:numPr>
          <w:ilvl w:val="0"/>
          <w:numId w:val="2"/>
        </w:numPr>
        <w:spacing w:after="0" w:afterAutospacing="0" w:line="276" w:lineRule="auto"/>
        <w:jc w:val="both"/>
      </w:pPr>
      <w:r w:rsidRPr="007E419F">
        <w:t xml:space="preserve">Gupta, R. </w:t>
      </w:r>
      <w:r w:rsidRPr="007E419F">
        <w:rPr>
          <w:i/>
          <w:iCs/>
        </w:rPr>
        <w:t>et al</w:t>
      </w:r>
      <w:r w:rsidRPr="007E419F">
        <w:t xml:space="preserve">. (2018). Effect of seed treatments on mustard diseases and seedling </w:t>
      </w:r>
      <w:proofErr w:type="spellStart"/>
      <w:r w:rsidRPr="007E419F">
        <w:t>vigo</w:t>
      </w:r>
      <w:r w:rsidR="00EE25B3" w:rsidRPr="007E419F">
        <w:t>u</w:t>
      </w:r>
      <w:r w:rsidRPr="007E419F">
        <w:t>r</w:t>
      </w:r>
      <w:proofErr w:type="spellEnd"/>
      <w:r w:rsidRPr="007E419F">
        <w:t xml:space="preserve">. </w:t>
      </w:r>
      <w:r w:rsidRPr="007E419F">
        <w:rPr>
          <w:rStyle w:val="Emphasis"/>
          <w:rFonts w:eastAsiaTheme="majorEastAsia"/>
        </w:rPr>
        <w:t>International Journal of Plant Protection</w:t>
      </w:r>
      <w:r w:rsidRPr="007E419F">
        <w:t>, 11(1), 78–82.</w:t>
      </w:r>
    </w:p>
    <w:p w14:paraId="71297380" w14:textId="77777777" w:rsidR="00175F68" w:rsidRPr="007E419F" w:rsidRDefault="00175F68" w:rsidP="00175F68">
      <w:pPr>
        <w:pStyle w:val="NormalWeb"/>
        <w:numPr>
          <w:ilvl w:val="0"/>
          <w:numId w:val="2"/>
        </w:numPr>
        <w:spacing w:after="0" w:afterAutospacing="0" w:line="276" w:lineRule="auto"/>
        <w:jc w:val="both"/>
      </w:pPr>
      <w:proofErr w:type="spellStart"/>
      <w:r w:rsidRPr="007E419F">
        <w:t>Indiastat</w:t>
      </w:r>
      <w:proofErr w:type="spellEnd"/>
      <w:r w:rsidRPr="007E419F">
        <w:t>. (2024). Agricultural Statistics: Area and Production of Oilseeds.</w:t>
      </w:r>
    </w:p>
    <w:p w14:paraId="5E40F69A" w14:textId="77777777" w:rsidR="00175F68" w:rsidRPr="007E419F" w:rsidRDefault="00175F68" w:rsidP="00175F68">
      <w:pPr>
        <w:pStyle w:val="NormalWeb"/>
        <w:numPr>
          <w:ilvl w:val="0"/>
          <w:numId w:val="2"/>
        </w:numPr>
        <w:spacing w:after="0" w:afterAutospacing="0" w:line="276" w:lineRule="auto"/>
        <w:jc w:val="both"/>
      </w:pPr>
      <w:r w:rsidRPr="007E419F">
        <w:t xml:space="preserve">Koch, E., </w:t>
      </w:r>
      <w:proofErr w:type="spellStart"/>
      <w:r w:rsidRPr="007E419F">
        <w:t>Slusarenko</w:t>
      </w:r>
      <w:proofErr w:type="spellEnd"/>
      <w:r w:rsidRPr="007E419F">
        <w:t xml:space="preserve">, A., &amp; Tiedemann, A. V. (2007). Induced Resistance for Plant </w:t>
      </w:r>
      <w:proofErr w:type="spellStart"/>
      <w:r w:rsidRPr="007E419F">
        <w:t>Defence</w:t>
      </w:r>
      <w:proofErr w:type="spellEnd"/>
      <w:r w:rsidRPr="007E419F">
        <w:t>: A Sustainable Approach to Crop Protection. Springer.</w:t>
      </w:r>
    </w:p>
    <w:p w14:paraId="7D414A95" w14:textId="77777777" w:rsidR="00175F68" w:rsidRPr="007E419F" w:rsidRDefault="00175F68" w:rsidP="00175F68">
      <w:pPr>
        <w:pStyle w:val="NormalWeb"/>
        <w:numPr>
          <w:ilvl w:val="0"/>
          <w:numId w:val="2"/>
        </w:numPr>
        <w:spacing w:after="0" w:afterAutospacing="0" w:line="276" w:lineRule="auto"/>
        <w:jc w:val="both"/>
      </w:pPr>
      <w:r w:rsidRPr="007E419F">
        <w:t>Meena, P. D., Awasthi, R. P., Chattopadhyay, C., Kolte, S. J., &amp; Kumar, A. (2015). White rust of mustard: Biology, epidemiology, and integrated management. Journal of Oilseed Brassica, 6(1), 1–8.</w:t>
      </w:r>
    </w:p>
    <w:p w14:paraId="4CD731C3" w14:textId="77777777" w:rsidR="00175F68" w:rsidRPr="007E419F" w:rsidRDefault="00175F68" w:rsidP="00175F68">
      <w:pPr>
        <w:pStyle w:val="NormalWeb"/>
        <w:numPr>
          <w:ilvl w:val="0"/>
          <w:numId w:val="2"/>
        </w:numPr>
        <w:spacing w:after="0" w:afterAutospacing="0" w:line="276" w:lineRule="auto"/>
        <w:jc w:val="both"/>
      </w:pPr>
      <w:r w:rsidRPr="007E419F">
        <w:rPr>
          <w:lang w:val="es-US"/>
        </w:rPr>
        <w:t xml:space="preserve">Meena, P.D. </w:t>
      </w:r>
      <w:r w:rsidRPr="007E419F">
        <w:rPr>
          <w:i/>
          <w:iCs/>
          <w:lang w:val="es-US"/>
        </w:rPr>
        <w:t>et al</w:t>
      </w:r>
      <w:r w:rsidRPr="007E419F">
        <w:rPr>
          <w:lang w:val="es-US"/>
        </w:rPr>
        <w:t xml:space="preserve">. </w:t>
      </w:r>
      <w:r w:rsidRPr="007E419F">
        <w:t xml:space="preserve">(2015). White rust of mustard: Biology, epidemiology, and integrated management. </w:t>
      </w:r>
      <w:r w:rsidRPr="007E419F">
        <w:rPr>
          <w:rStyle w:val="Emphasis"/>
          <w:rFonts w:eastAsiaTheme="majorEastAsia"/>
        </w:rPr>
        <w:t>Journal of Oilseed Brassica</w:t>
      </w:r>
      <w:r w:rsidRPr="007E419F">
        <w:t>, 6(1), 1-8.</w:t>
      </w:r>
    </w:p>
    <w:p w14:paraId="769CD496" w14:textId="77777777" w:rsidR="00175F68" w:rsidRPr="007E419F" w:rsidRDefault="00175F68" w:rsidP="00175F68">
      <w:pPr>
        <w:pStyle w:val="NormalWeb"/>
        <w:numPr>
          <w:ilvl w:val="0"/>
          <w:numId w:val="2"/>
        </w:numPr>
        <w:spacing w:after="0" w:afterAutospacing="0" w:line="276" w:lineRule="auto"/>
        <w:jc w:val="both"/>
      </w:pPr>
      <w:r w:rsidRPr="007E419F">
        <w:t xml:space="preserve">Sharma, A. </w:t>
      </w:r>
      <w:r w:rsidRPr="007E419F">
        <w:rPr>
          <w:i/>
          <w:iCs/>
        </w:rPr>
        <w:t>et al</w:t>
      </w:r>
      <w:r w:rsidRPr="007E419F">
        <w:t xml:space="preserve">. (2021). Fungicide resistance and sustainable management of mustard diseases. </w:t>
      </w:r>
      <w:r w:rsidRPr="007E419F">
        <w:rPr>
          <w:rStyle w:val="Emphasis"/>
          <w:rFonts w:eastAsiaTheme="majorEastAsia"/>
        </w:rPr>
        <w:t>Plant Protection Quarterly</w:t>
      </w:r>
      <w:r w:rsidRPr="007E419F">
        <w:t>, 36(2), 55–60.</w:t>
      </w:r>
    </w:p>
    <w:p w14:paraId="79947B05" w14:textId="77777777" w:rsidR="00175F68" w:rsidRPr="007E419F" w:rsidRDefault="00175F68" w:rsidP="00175F68">
      <w:pPr>
        <w:pStyle w:val="NormalWeb"/>
        <w:numPr>
          <w:ilvl w:val="0"/>
          <w:numId w:val="2"/>
        </w:numPr>
        <w:spacing w:after="0" w:afterAutospacing="0" w:line="276" w:lineRule="auto"/>
        <w:jc w:val="both"/>
      </w:pPr>
      <w:r w:rsidRPr="007E419F">
        <w:t>Sharma, P., &amp; Meena, P. D. (2014). Integrated management of white rust disease in Indian mustard. Journal of Oilseed Brassica, 5(2), 101–105.</w:t>
      </w:r>
    </w:p>
    <w:p w14:paraId="05ABBE64" w14:textId="485C0728" w:rsidR="00175F68" w:rsidRPr="007E419F" w:rsidRDefault="00175F68" w:rsidP="00175F68">
      <w:pPr>
        <w:pStyle w:val="NormalWeb"/>
        <w:numPr>
          <w:ilvl w:val="0"/>
          <w:numId w:val="2"/>
        </w:numPr>
        <w:spacing w:after="0" w:afterAutospacing="0" w:line="276" w:lineRule="auto"/>
        <w:jc w:val="both"/>
      </w:pPr>
      <w:r w:rsidRPr="007E419F">
        <w:t>Singh, P., &amp; Prasad, R. (2020). Field Crop Production (Vol. I &amp; II). Indian Council of Agricultural Research (ICAR) Publication.</w:t>
      </w:r>
    </w:p>
    <w:p w14:paraId="4DE9B977" w14:textId="543BF25B" w:rsidR="00697B47" w:rsidRPr="007E419F" w:rsidRDefault="00697B47" w:rsidP="00175F68">
      <w:pPr>
        <w:pStyle w:val="NormalWeb"/>
        <w:numPr>
          <w:ilvl w:val="0"/>
          <w:numId w:val="2"/>
        </w:numPr>
        <w:spacing w:after="0" w:afterAutospacing="0" w:line="276" w:lineRule="auto"/>
        <w:jc w:val="both"/>
      </w:pPr>
      <w:r w:rsidRPr="007E419F">
        <w:t xml:space="preserve">Chand, S., Singh, N., Prasad, L., </w:t>
      </w:r>
      <w:proofErr w:type="spellStart"/>
      <w:r w:rsidRPr="007E419F">
        <w:t>Nanjundan</w:t>
      </w:r>
      <w:proofErr w:type="spellEnd"/>
      <w:r w:rsidRPr="007E419F">
        <w:t>, J., Meena, V. K., Chaudhary, R., Patel, M. K., Taak, Y., Saini, N., Vasudev, S., &amp; Yadava, D. K. (2022). Inheritance and Allelic Relationship among Gene(s) for White Rust Resistance in Indian Mustard [</w:t>
      </w:r>
      <w:r w:rsidRPr="007E419F">
        <w:rPr>
          <w:i/>
          <w:iCs/>
        </w:rPr>
        <w:t>Brassica juncea</w:t>
      </w:r>
      <w:r w:rsidRPr="007E419F">
        <w:t xml:space="preserve"> (L.) </w:t>
      </w:r>
      <w:proofErr w:type="spellStart"/>
      <w:r w:rsidRPr="007E419F">
        <w:t>Czern</w:t>
      </w:r>
      <w:proofErr w:type="spellEnd"/>
      <w:r w:rsidRPr="007E419F">
        <w:t xml:space="preserve"> &amp; </w:t>
      </w:r>
      <w:proofErr w:type="spellStart"/>
      <w:r w:rsidRPr="007E419F">
        <w:t>Coss</w:t>
      </w:r>
      <w:proofErr w:type="spellEnd"/>
      <w:r w:rsidRPr="007E419F">
        <w:t>]. </w:t>
      </w:r>
      <w:r w:rsidRPr="007E419F">
        <w:rPr>
          <w:i/>
          <w:iCs/>
        </w:rPr>
        <w:t>Sustainability</w:t>
      </w:r>
      <w:r w:rsidRPr="007E419F">
        <w:t>, </w:t>
      </w:r>
      <w:r w:rsidRPr="007E419F">
        <w:rPr>
          <w:i/>
          <w:iCs/>
        </w:rPr>
        <w:t>14</w:t>
      </w:r>
      <w:r w:rsidRPr="007E419F">
        <w:t>(18), 11620. </w:t>
      </w:r>
    </w:p>
    <w:p w14:paraId="5B6680A5" w14:textId="2AD46998" w:rsidR="00C46826" w:rsidRPr="007E419F" w:rsidRDefault="00C46826" w:rsidP="00175F68">
      <w:pPr>
        <w:pStyle w:val="NormalWeb"/>
        <w:numPr>
          <w:ilvl w:val="0"/>
          <w:numId w:val="2"/>
        </w:numPr>
        <w:spacing w:after="0" w:afterAutospacing="0" w:line="276" w:lineRule="auto"/>
        <w:jc w:val="both"/>
      </w:pPr>
      <w:r w:rsidRPr="007E419F">
        <w:t xml:space="preserve">Sran, A. S., Sran, J. K., Singh, K. K., Chahal, M. K., </w:t>
      </w:r>
      <w:proofErr w:type="spellStart"/>
      <w:r w:rsidRPr="007E419F">
        <w:t>Pahil</w:t>
      </w:r>
      <w:proofErr w:type="spellEnd"/>
      <w:r w:rsidRPr="007E419F">
        <w:t xml:space="preserve">, V. S., &amp; Singh, B. (2024). White Rust of Indian Mustard Caused by </w:t>
      </w:r>
      <w:proofErr w:type="spellStart"/>
      <w:r w:rsidRPr="007E419F">
        <w:t>Albugo</w:t>
      </w:r>
      <w:proofErr w:type="spellEnd"/>
      <w:r w:rsidRPr="007E419F">
        <w:t xml:space="preserve"> Candida: Current Status, Symptomatology and Management Strategies. </w:t>
      </w:r>
      <w:r w:rsidRPr="007E419F">
        <w:rPr>
          <w:i/>
          <w:iCs/>
        </w:rPr>
        <w:t>The PLANTA Research Book Series</w:t>
      </w:r>
      <w:r w:rsidRPr="007E419F">
        <w:t>, </w:t>
      </w:r>
      <w:r w:rsidRPr="007E419F">
        <w:rPr>
          <w:i/>
          <w:iCs/>
        </w:rPr>
        <w:t>5</w:t>
      </w:r>
      <w:r w:rsidRPr="007E419F">
        <w:t>(2), 1667-1674.</w:t>
      </w:r>
    </w:p>
    <w:p w14:paraId="4E96DA6F" w14:textId="2D22FA2F" w:rsidR="00C46826" w:rsidRPr="007E419F" w:rsidRDefault="00D069A0" w:rsidP="00175F68">
      <w:pPr>
        <w:pStyle w:val="NormalWeb"/>
        <w:numPr>
          <w:ilvl w:val="0"/>
          <w:numId w:val="2"/>
        </w:numPr>
        <w:spacing w:after="0" w:afterAutospacing="0" w:line="276" w:lineRule="auto"/>
        <w:jc w:val="both"/>
      </w:pPr>
      <w:r w:rsidRPr="007E419F">
        <w:t>Kumar, M., &amp; Tiwari, D. (2024). Growth, Yield Attributes, Yield and Economics of Mustard (Brassica Juncea L.) as Affected by Different Varieties and Spacing. </w:t>
      </w:r>
      <w:r w:rsidRPr="007E419F">
        <w:rPr>
          <w:i/>
          <w:iCs/>
        </w:rPr>
        <w:t>International Journal of Plant &amp; Soil Science</w:t>
      </w:r>
      <w:r w:rsidRPr="007E419F">
        <w:t>, </w:t>
      </w:r>
      <w:r w:rsidRPr="007E419F">
        <w:rPr>
          <w:i/>
          <w:iCs/>
        </w:rPr>
        <w:t>36</w:t>
      </w:r>
      <w:r w:rsidRPr="007E419F">
        <w:t>(3), 357–361.</w:t>
      </w:r>
    </w:p>
    <w:p w14:paraId="067180FF" w14:textId="5E6A5A92" w:rsidR="00A90F12" w:rsidRPr="007E419F" w:rsidRDefault="00A90F12" w:rsidP="00175F68">
      <w:pPr>
        <w:pStyle w:val="NormalWeb"/>
        <w:numPr>
          <w:ilvl w:val="0"/>
          <w:numId w:val="2"/>
        </w:numPr>
        <w:spacing w:after="0" w:afterAutospacing="0" w:line="276" w:lineRule="auto"/>
        <w:jc w:val="both"/>
      </w:pPr>
      <w:r w:rsidRPr="007E419F">
        <w:t xml:space="preserve">Tiwari, S., Bisht, A., &amp; Kumari, V. (2025). Validation of Digenic Inheritance for White Rust Resistance in Indian Mustard [Brassica juncea </w:t>
      </w:r>
      <w:proofErr w:type="gramStart"/>
      <w:r w:rsidRPr="007E419F">
        <w:t>L.(</w:t>
      </w:r>
      <w:proofErr w:type="spellStart"/>
      <w:proofErr w:type="gramEnd"/>
      <w:r w:rsidRPr="007E419F">
        <w:t>Czern</w:t>
      </w:r>
      <w:proofErr w:type="spellEnd"/>
      <w:r w:rsidRPr="007E419F">
        <w:t>. &amp; Coss)]. </w:t>
      </w:r>
      <w:r w:rsidRPr="007E419F">
        <w:rPr>
          <w:i/>
          <w:iCs/>
        </w:rPr>
        <w:t>Plant Breeding</w:t>
      </w:r>
      <w:r w:rsidRPr="007E419F">
        <w:t>.</w:t>
      </w:r>
    </w:p>
    <w:p w14:paraId="42F33379" w14:textId="77777777" w:rsidR="00392354" w:rsidRDefault="00392354" w:rsidP="00392354">
      <w:pPr>
        <w:pStyle w:val="NormalWeb"/>
        <w:spacing w:after="0" w:afterAutospacing="0" w:line="276" w:lineRule="auto"/>
        <w:jc w:val="both"/>
      </w:pPr>
    </w:p>
    <w:p w14:paraId="376B7340" w14:textId="77777777" w:rsidR="00392354" w:rsidRPr="004965D6" w:rsidRDefault="00392354" w:rsidP="00392354">
      <w:pPr>
        <w:pStyle w:val="NormalWeb"/>
        <w:spacing w:after="0" w:afterAutospacing="0" w:line="276" w:lineRule="auto"/>
        <w:jc w:val="both"/>
      </w:pPr>
    </w:p>
    <w:p w14:paraId="56263AE1" w14:textId="77777777" w:rsidR="00175F68" w:rsidRPr="004965D6" w:rsidRDefault="00175F68" w:rsidP="00175F68">
      <w:pPr>
        <w:spacing w:after="0"/>
        <w:jc w:val="both"/>
        <w:rPr>
          <w:rFonts w:ascii="Times New Roman" w:eastAsia="Times New Roman" w:hAnsi="Times New Roman" w:cs="Times New Roman"/>
          <w:kern w:val="0"/>
          <w:szCs w:val="24"/>
          <w:lang w:bidi="ar-SA"/>
          <w14:ligatures w14:val="none"/>
        </w:rPr>
      </w:pPr>
    </w:p>
    <w:p w14:paraId="13ADB33E" w14:textId="77777777" w:rsidR="00175F68" w:rsidRPr="004965D6" w:rsidRDefault="00175F68" w:rsidP="00175F68">
      <w:pPr>
        <w:spacing w:after="0"/>
        <w:jc w:val="both"/>
        <w:rPr>
          <w:rFonts w:ascii="Times New Roman" w:eastAsia="Times New Roman" w:hAnsi="Times New Roman" w:cs="Times New Roman"/>
          <w:kern w:val="0"/>
          <w:szCs w:val="24"/>
          <w:lang w:bidi="ar-SA"/>
          <w14:ligatures w14:val="none"/>
        </w:rPr>
      </w:pPr>
    </w:p>
    <w:p w14:paraId="09C1FB69" w14:textId="3649DD5E" w:rsidR="00175F68" w:rsidRPr="004965D6" w:rsidRDefault="00175F68" w:rsidP="00175F68">
      <w:pPr>
        <w:spacing w:after="0"/>
        <w:jc w:val="center"/>
        <w:rPr>
          <w:rFonts w:ascii="Times New Roman" w:eastAsia="Times New Roman" w:hAnsi="Times New Roman" w:cs="Times New Roman"/>
          <w:kern w:val="0"/>
          <w:szCs w:val="24"/>
          <w:lang w:bidi="ar-SA"/>
          <w14:ligatures w14:val="none"/>
        </w:rPr>
      </w:pPr>
    </w:p>
    <w:p w14:paraId="71D6B339" w14:textId="5E27340A" w:rsidR="00175F68" w:rsidRPr="004965D6" w:rsidRDefault="00175F68" w:rsidP="00175F68">
      <w:pPr>
        <w:spacing w:before="100" w:beforeAutospacing="1" w:after="0"/>
        <w:jc w:val="both"/>
        <w:outlineLvl w:val="3"/>
        <w:rPr>
          <w:rFonts w:ascii="Times New Roman" w:eastAsia="Times New Roman" w:hAnsi="Times New Roman" w:cs="Times New Roman"/>
          <w:b/>
          <w:bCs/>
          <w:kern w:val="0"/>
          <w:szCs w:val="24"/>
          <w:lang w:bidi="ar-SA"/>
          <w14:ligatures w14:val="none"/>
        </w:rPr>
        <w:sectPr w:rsidR="00175F68" w:rsidRPr="004965D6" w:rsidSect="00175F6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pPr>
      <w:r w:rsidRPr="004965D6">
        <w:rPr>
          <w:rFonts w:ascii="Times New Roman" w:eastAsia="Times New Roman" w:hAnsi="Times New Roman" w:cs="Times New Roman"/>
          <w:b/>
          <w:bCs/>
          <w:kern w:val="0"/>
          <w:szCs w:val="24"/>
          <w:lang w:bidi="ar-SA"/>
          <w14:ligatures w14:val="none"/>
        </w:rPr>
        <w:t xml:space="preserve">          </w:t>
      </w:r>
    </w:p>
    <w:p w14:paraId="3009B679" w14:textId="77777777" w:rsidR="00DC129F" w:rsidRPr="004965D6" w:rsidRDefault="00DC129F" w:rsidP="00175F68">
      <w:pPr>
        <w:spacing w:after="0"/>
        <w:rPr>
          <w:rFonts w:ascii="Times New Roman" w:hAnsi="Times New Roman" w:cs="Times New Roman"/>
        </w:rPr>
      </w:pPr>
    </w:p>
    <w:sectPr w:rsidR="00DC129F" w:rsidRPr="004965D6" w:rsidSect="00DA61B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8B595" w14:textId="77777777" w:rsidR="00436016" w:rsidRDefault="00436016" w:rsidP="002C17D9">
      <w:pPr>
        <w:spacing w:after="0" w:line="240" w:lineRule="auto"/>
      </w:pPr>
      <w:r>
        <w:separator/>
      </w:r>
    </w:p>
  </w:endnote>
  <w:endnote w:type="continuationSeparator" w:id="0">
    <w:p w14:paraId="3C51DCBF" w14:textId="77777777" w:rsidR="00436016" w:rsidRDefault="00436016" w:rsidP="002C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C3DB" w14:textId="77777777" w:rsidR="002C17D9" w:rsidRDefault="002C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A692" w14:textId="77777777" w:rsidR="002C17D9" w:rsidRDefault="002C1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7040" w14:textId="77777777" w:rsidR="002C17D9" w:rsidRDefault="002C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5A7C8" w14:textId="77777777" w:rsidR="00436016" w:rsidRDefault="00436016" w:rsidP="002C17D9">
      <w:pPr>
        <w:spacing w:after="0" w:line="240" w:lineRule="auto"/>
      </w:pPr>
      <w:r>
        <w:separator/>
      </w:r>
    </w:p>
  </w:footnote>
  <w:footnote w:type="continuationSeparator" w:id="0">
    <w:p w14:paraId="2624CC95" w14:textId="77777777" w:rsidR="00436016" w:rsidRDefault="00436016" w:rsidP="002C1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E29C" w14:textId="4380682C" w:rsidR="002C17D9" w:rsidRDefault="002C17D9">
    <w:pPr>
      <w:pStyle w:val="Header"/>
    </w:pPr>
    <w:r>
      <w:rPr>
        <w:noProof/>
      </w:rPr>
      <w:pict w14:anchorId="25C64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546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C57C" w14:textId="3856448E" w:rsidR="002C17D9" w:rsidRDefault="002C17D9">
    <w:pPr>
      <w:pStyle w:val="Header"/>
    </w:pPr>
    <w:r>
      <w:rPr>
        <w:noProof/>
      </w:rPr>
      <w:pict w14:anchorId="3966D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546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4A13" w14:textId="79D26857" w:rsidR="002C17D9" w:rsidRDefault="002C17D9">
    <w:pPr>
      <w:pStyle w:val="Header"/>
    </w:pPr>
    <w:r>
      <w:rPr>
        <w:noProof/>
      </w:rPr>
      <w:pict w14:anchorId="6AF5F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546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02A13"/>
    <w:multiLevelType w:val="hybridMultilevel"/>
    <w:tmpl w:val="BE9A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0227C"/>
    <w:multiLevelType w:val="multilevel"/>
    <w:tmpl w:val="3A66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zsTQytTAyNbUwMDFT0lEKTi0uzszPAymwqAUAXhfS5ywAAAA="/>
  </w:docVars>
  <w:rsids>
    <w:rsidRoot w:val="00CB696F"/>
    <w:rsid w:val="0002499F"/>
    <w:rsid w:val="00026BEA"/>
    <w:rsid w:val="0003721A"/>
    <w:rsid w:val="0005027A"/>
    <w:rsid w:val="00070D87"/>
    <w:rsid w:val="0007303D"/>
    <w:rsid w:val="000B09C3"/>
    <w:rsid w:val="000C39C6"/>
    <w:rsid w:val="000E1B56"/>
    <w:rsid w:val="001002C8"/>
    <w:rsid w:val="001077A5"/>
    <w:rsid w:val="00114E74"/>
    <w:rsid w:val="001668AE"/>
    <w:rsid w:val="00175F68"/>
    <w:rsid w:val="00180ECE"/>
    <w:rsid w:val="001B5F99"/>
    <w:rsid w:val="002212FD"/>
    <w:rsid w:val="0027464F"/>
    <w:rsid w:val="002C17D9"/>
    <w:rsid w:val="002C20FF"/>
    <w:rsid w:val="002E6A16"/>
    <w:rsid w:val="00313481"/>
    <w:rsid w:val="0032209B"/>
    <w:rsid w:val="00392354"/>
    <w:rsid w:val="003A4CC5"/>
    <w:rsid w:val="003B6C1A"/>
    <w:rsid w:val="00436016"/>
    <w:rsid w:val="004379F3"/>
    <w:rsid w:val="00440D12"/>
    <w:rsid w:val="004965D6"/>
    <w:rsid w:val="00504919"/>
    <w:rsid w:val="005A060C"/>
    <w:rsid w:val="005B4A9F"/>
    <w:rsid w:val="005C64D2"/>
    <w:rsid w:val="005D5091"/>
    <w:rsid w:val="00601AD6"/>
    <w:rsid w:val="0068619D"/>
    <w:rsid w:val="00697B47"/>
    <w:rsid w:val="006B4E87"/>
    <w:rsid w:val="006B54C3"/>
    <w:rsid w:val="006B6618"/>
    <w:rsid w:val="006F6792"/>
    <w:rsid w:val="007134F1"/>
    <w:rsid w:val="00772E3C"/>
    <w:rsid w:val="007A2E21"/>
    <w:rsid w:val="007A53FF"/>
    <w:rsid w:val="007E419F"/>
    <w:rsid w:val="00800079"/>
    <w:rsid w:val="00815096"/>
    <w:rsid w:val="00824C65"/>
    <w:rsid w:val="00883878"/>
    <w:rsid w:val="008C4273"/>
    <w:rsid w:val="008E0EEC"/>
    <w:rsid w:val="008E6388"/>
    <w:rsid w:val="00A56054"/>
    <w:rsid w:val="00A90F12"/>
    <w:rsid w:val="00A92CB7"/>
    <w:rsid w:val="00A95884"/>
    <w:rsid w:val="00AA134F"/>
    <w:rsid w:val="00AB099C"/>
    <w:rsid w:val="00AF1985"/>
    <w:rsid w:val="00B352F7"/>
    <w:rsid w:val="00B53D3B"/>
    <w:rsid w:val="00B60233"/>
    <w:rsid w:val="00B7499F"/>
    <w:rsid w:val="00C42105"/>
    <w:rsid w:val="00C46826"/>
    <w:rsid w:val="00CB696F"/>
    <w:rsid w:val="00CC6C20"/>
    <w:rsid w:val="00D069A0"/>
    <w:rsid w:val="00D07512"/>
    <w:rsid w:val="00D404C8"/>
    <w:rsid w:val="00D41E11"/>
    <w:rsid w:val="00D478A0"/>
    <w:rsid w:val="00D824B4"/>
    <w:rsid w:val="00D95026"/>
    <w:rsid w:val="00DA61BC"/>
    <w:rsid w:val="00DC129F"/>
    <w:rsid w:val="00DC2686"/>
    <w:rsid w:val="00DC6EDE"/>
    <w:rsid w:val="00E02370"/>
    <w:rsid w:val="00E1470B"/>
    <w:rsid w:val="00E43D92"/>
    <w:rsid w:val="00E61F92"/>
    <w:rsid w:val="00EB2D64"/>
    <w:rsid w:val="00EE25B3"/>
    <w:rsid w:val="00F169EE"/>
    <w:rsid w:val="00F40C1D"/>
    <w:rsid w:val="00F51E63"/>
    <w:rsid w:val="00F92F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FBE8C9"/>
  <w15:chartTrackingRefBased/>
  <w15:docId w15:val="{9C5620BA-34C8-449B-8DB7-C8C6D30A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792"/>
    <w:pPr>
      <w:spacing w:line="276" w:lineRule="auto"/>
    </w:pPr>
  </w:style>
  <w:style w:type="paragraph" w:styleId="Heading1">
    <w:name w:val="heading 1"/>
    <w:basedOn w:val="Normal"/>
    <w:next w:val="Normal"/>
    <w:link w:val="Heading1Char"/>
    <w:uiPriority w:val="9"/>
    <w:qFormat/>
    <w:rsid w:val="00CB696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B696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B696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B69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9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9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9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9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9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96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B696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B696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B69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9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96F"/>
    <w:rPr>
      <w:rFonts w:eastAsiaTheme="majorEastAsia" w:cstheme="majorBidi"/>
      <w:color w:val="272727" w:themeColor="text1" w:themeTint="D8"/>
    </w:rPr>
  </w:style>
  <w:style w:type="paragraph" w:styleId="Title">
    <w:name w:val="Title"/>
    <w:basedOn w:val="Normal"/>
    <w:next w:val="Normal"/>
    <w:link w:val="TitleChar"/>
    <w:uiPriority w:val="10"/>
    <w:qFormat/>
    <w:rsid w:val="00CB696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B696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B696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B696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B696F"/>
    <w:pPr>
      <w:spacing w:before="160"/>
      <w:jc w:val="center"/>
    </w:pPr>
    <w:rPr>
      <w:i/>
      <w:iCs/>
      <w:color w:val="404040" w:themeColor="text1" w:themeTint="BF"/>
    </w:rPr>
  </w:style>
  <w:style w:type="character" w:customStyle="1" w:styleId="QuoteChar">
    <w:name w:val="Quote Char"/>
    <w:basedOn w:val="DefaultParagraphFont"/>
    <w:link w:val="Quote"/>
    <w:uiPriority w:val="29"/>
    <w:rsid w:val="00CB696F"/>
    <w:rPr>
      <w:i/>
      <w:iCs/>
      <w:color w:val="404040" w:themeColor="text1" w:themeTint="BF"/>
    </w:rPr>
  </w:style>
  <w:style w:type="paragraph" w:styleId="ListParagraph">
    <w:name w:val="List Paragraph"/>
    <w:basedOn w:val="Normal"/>
    <w:uiPriority w:val="34"/>
    <w:qFormat/>
    <w:rsid w:val="00CB696F"/>
    <w:pPr>
      <w:ind w:left="720"/>
      <w:contextualSpacing/>
    </w:pPr>
  </w:style>
  <w:style w:type="character" w:styleId="IntenseEmphasis">
    <w:name w:val="Intense Emphasis"/>
    <w:basedOn w:val="DefaultParagraphFont"/>
    <w:uiPriority w:val="21"/>
    <w:qFormat/>
    <w:rsid w:val="00CB696F"/>
    <w:rPr>
      <w:i/>
      <w:iCs/>
      <w:color w:val="2F5496" w:themeColor="accent1" w:themeShade="BF"/>
    </w:rPr>
  </w:style>
  <w:style w:type="paragraph" w:styleId="IntenseQuote">
    <w:name w:val="Intense Quote"/>
    <w:basedOn w:val="Normal"/>
    <w:next w:val="Normal"/>
    <w:link w:val="IntenseQuoteChar"/>
    <w:uiPriority w:val="30"/>
    <w:qFormat/>
    <w:rsid w:val="00CB6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96F"/>
    <w:rPr>
      <w:i/>
      <w:iCs/>
      <w:color w:val="2F5496" w:themeColor="accent1" w:themeShade="BF"/>
    </w:rPr>
  </w:style>
  <w:style w:type="character" w:styleId="IntenseReference">
    <w:name w:val="Intense Reference"/>
    <w:basedOn w:val="DefaultParagraphFont"/>
    <w:uiPriority w:val="32"/>
    <w:qFormat/>
    <w:rsid w:val="00CB696F"/>
    <w:rPr>
      <w:b/>
      <w:bCs/>
      <w:smallCaps/>
      <w:color w:val="2F5496" w:themeColor="accent1" w:themeShade="BF"/>
      <w:spacing w:val="5"/>
    </w:rPr>
  </w:style>
  <w:style w:type="character" w:styleId="Hyperlink">
    <w:name w:val="Hyperlink"/>
    <w:basedOn w:val="DefaultParagraphFont"/>
    <w:uiPriority w:val="99"/>
    <w:unhideWhenUsed/>
    <w:rsid w:val="00D07512"/>
    <w:rPr>
      <w:color w:val="0000FF"/>
      <w:u w:val="single"/>
    </w:rPr>
  </w:style>
  <w:style w:type="paragraph" w:styleId="NormalWeb">
    <w:name w:val="Normal (Web)"/>
    <w:basedOn w:val="Normal"/>
    <w:uiPriority w:val="99"/>
    <w:semiHidden/>
    <w:unhideWhenUsed/>
    <w:rsid w:val="0027464F"/>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27464F"/>
    <w:rPr>
      <w:b/>
      <w:bCs/>
    </w:rPr>
  </w:style>
  <w:style w:type="character" w:styleId="Emphasis">
    <w:name w:val="Emphasis"/>
    <w:basedOn w:val="DefaultParagraphFont"/>
    <w:uiPriority w:val="20"/>
    <w:qFormat/>
    <w:rsid w:val="0027464F"/>
    <w:rPr>
      <w:i/>
      <w:iCs/>
    </w:rPr>
  </w:style>
  <w:style w:type="table" w:styleId="TableGrid">
    <w:name w:val="Table Grid"/>
    <w:basedOn w:val="TableNormal"/>
    <w:uiPriority w:val="39"/>
    <w:rsid w:val="0002499F"/>
    <w:pPr>
      <w:spacing w:after="0" w:line="240" w:lineRule="auto"/>
    </w:pPr>
    <w:rPr>
      <w:rFonts w:ascii="Times New Roman" w:hAnsi="Times New Roman"/>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027A"/>
    <w:pPr>
      <w:spacing w:after="0" w:line="240" w:lineRule="auto"/>
    </w:pPr>
  </w:style>
  <w:style w:type="character" w:styleId="UnresolvedMention">
    <w:name w:val="Unresolved Mention"/>
    <w:basedOn w:val="DefaultParagraphFont"/>
    <w:uiPriority w:val="99"/>
    <w:semiHidden/>
    <w:unhideWhenUsed/>
    <w:rsid w:val="0068619D"/>
    <w:rPr>
      <w:color w:val="605E5C"/>
      <w:shd w:val="clear" w:color="auto" w:fill="E1DFDD"/>
    </w:rPr>
  </w:style>
  <w:style w:type="paragraph" w:styleId="Header">
    <w:name w:val="header"/>
    <w:basedOn w:val="Normal"/>
    <w:link w:val="HeaderChar"/>
    <w:uiPriority w:val="99"/>
    <w:unhideWhenUsed/>
    <w:rsid w:val="002C1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D9"/>
  </w:style>
  <w:style w:type="paragraph" w:styleId="Footer">
    <w:name w:val="footer"/>
    <w:basedOn w:val="Normal"/>
    <w:link w:val="FooterChar"/>
    <w:uiPriority w:val="99"/>
    <w:unhideWhenUsed/>
    <w:rsid w:val="002C1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01568">
      <w:bodyDiv w:val="1"/>
      <w:marLeft w:val="0"/>
      <w:marRight w:val="0"/>
      <w:marTop w:val="0"/>
      <w:marBottom w:val="0"/>
      <w:divBdr>
        <w:top w:val="none" w:sz="0" w:space="0" w:color="auto"/>
        <w:left w:val="none" w:sz="0" w:space="0" w:color="auto"/>
        <w:bottom w:val="none" w:sz="0" w:space="0" w:color="auto"/>
        <w:right w:val="none" w:sz="0" w:space="0" w:color="auto"/>
      </w:divBdr>
    </w:div>
    <w:div w:id="1553227109">
      <w:bodyDiv w:val="1"/>
      <w:marLeft w:val="0"/>
      <w:marRight w:val="0"/>
      <w:marTop w:val="0"/>
      <w:marBottom w:val="0"/>
      <w:divBdr>
        <w:top w:val="none" w:sz="0" w:space="0" w:color="auto"/>
        <w:left w:val="none" w:sz="0" w:space="0" w:color="auto"/>
        <w:bottom w:val="none" w:sz="0" w:space="0" w:color="auto"/>
        <w:right w:val="none" w:sz="0" w:space="0" w:color="auto"/>
      </w:divBdr>
    </w:div>
    <w:div w:id="1637643894">
      <w:bodyDiv w:val="1"/>
      <w:marLeft w:val="0"/>
      <w:marRight w:val="0"/>
      <w:marTop w:val="0"/>
      <w:marBottom w:val="0"/>
      <w:divBdr>
        <w:top w:val="none" w:sz="0" w:space="0" w:color="auto"/>
        <w:left w:val="none" w:sz="0" w:space="0" w:color="auto"/>
        <w:bottom w:val="none" w:sz="0" w:space="0" w:color="auto"/>
        <w:right w:val="none" w:sz="0" w:space="0" w:color="auto"/>
      </w:divBdr>
    </w:div>
    <w:div w:id="21388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SITARAM SEERVI</dc:creator>
  <cp:keywords/>
  <dc:description/>
  <cp:lastModifiedBy>SDI 1084</cp:lastModifiedBy>
  <cp:revision>425</cp:revision>
  <cp:lastPrinted>2025-06-30T04:32:00Z</cp:lastPrinted>
  <dcterms:created xsi:type="dcterms:W3CDTF">2025-06-29T05:40:00Z</dcterms:created>
  <dcterms:modified xsi:type="dcterms:W3CDTF">2025-07-19T12:03:00Z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4ea3ad90-2c26-4370-974d-0ab85f04e4c7</vt:lpwstr>
  </property>
</Properties>
</file>