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DD43" w14:textId="77777777" w:rsidR="004A5486" w:rsidRPr="001345E8" w:rsidRDefault="004A5486" w:rsidP="00232835">
      <w:pPr>
        <w:spacing w:line="276" w:lineRule="auto"/>
        <w:jc w:val="center"/>
        <w:rPr>
          <w:rFonts w:ascii="Times New Roman" w:hAnsi="Times New Roman" w:cs="Times New Roman"/>
          <w:b/>
          <w:bCs/>
          <w:sz w:val="28"/>
          <w:szCs w:val="28"/>
        </w:rPr>
      </w:pPr>
      <w:r w:rsidRPr="001345E8">
        <w:rPr>
          <w:rFonts w:ascii="Times New Roman" w:hAnsi="Times New Roman" w:cs="Times New Roman"/>
          <w:b/>
          <w:bCs/>
          <w:sz w:val="28"/>
          <w:szCs w:val="28"/>
        </w:rPr>
        <w:t>Effect of Rooting Media and IBA Treatments on Root and Shoot Development and Their Influence on Hardening Mortality in Pomegranate (</w:t>
      </w:r>
      <w:r w:rsidRPr="004D280D">
        <w:rPr>
          <w:rFonts w:ascii="Times New Roman" w:hAnsi="Times New Roman" w:cs="Times New Roman"/>
          <w:b/>
          <w:bCs/>
          <w:i/>
          <w:iCs/>
          <w:sz w:val="28"/>
          <w:szCs w:val="28"/>
        </w:rPr>
        <w:t>Punica granatum</w:t>
      </w:r>
      <w:r w:rsidRPr="001345E8">
        <w:rPr>
          <w:rFonts w:ascii="Times New Roman" w:hAnsi="Times New Roman" w:cs="Times New Roman"/>
          <w:b/>
          <w:bCs/>
          <w:sz w:val="28"/>
          <w:szCs w:val="28"/>
        </w:rPr>
        <w:t xml:space="preserve"> L.) cv. </w:t>
      </w:r>
      <w:proofErr w:type="spellStart"/>
      <w:r w:rsidRPr="001345E8">
        <w:rPr>
          <w:rFonts w:ascii="Times New Roman" w:hAnsi="Times New Roman" w:cs="Times New Roman"/>
          <w:b/>
          <w:bCs/>
          <w:sz w:val="28"/>
          <w:szCs w:val="28"/>
        </w:rPr>
        <w:t>Bhagwa</w:t>
      </w:r>
      <w:proofErr w:type="spellEnd"/>
    </w:p>
    <w:p w14:paraId="6ECEBF6C" w14:textId="77777777" w:rsidR="005E40D5" w:rsidRDefault="005E40D5" w:rsidP="005D0190">
      <w:pPr>
        <w:spacing w:line="276" w:lineRule="auto"/>
        <w:ind w:firstLine="720"/>
        <w:jc w:val="center"/>
        <w:rPr>
          <w:rFonts w:ascii="Times New Roman" w:hAnsi="Times New Roman" w:cs="Times New Roman"/>
          <w:b/>
          <w:bCs/>
          <w:sz w:val="28"/>
          <w:szCs w:val="28"/>
        </w:rPr>
      </w:pPr>
    </w:p>
    <w:p w14:paraId="0FC451D2" w14:textId="3B9218D0" w:rsidR="004A5486" w:rsidRPr="000B1D7B" w:rsidRDefault="004A5486" w:rsidP="005D0190">
      <w:pPr>
        <w:spacing w:line="276" w:lineRule="auto"/>
        <w:ind w:firstLine="720"/>
        <w:jc w:val="center"/>
        <w:rPr>
          <w:rFonts w:ascii="Times New Roman" w:hAnsi="Times New Roman" w:cs="Times New Roman"/>
          <w:b/>
          <w:bCs/>
          <w:sz w:val="28"/>
          <w:szCs w:val="28"/>
        </w:rPr>
      </w:pPr>
      <w:bookmarkStart w:id="0" w:name="_GoBack"/>
      <w:bookmarkEnd w:id="0"/>
      <w:r w:rsidRPr="000B1D7B">
        <w:rPr>
          <w:rFonts w:ascii="Times New Roman" w:hAnsi="Times New Roman" w:cs="Times New Roman"/>
          <w:b/>
          <w:bCs/>
          <w:sz w:val="28"/>
          <w:szCs w:val="28"/>
        </w:rPr>
        <w:t>Abstract</w:t>
      </w:r>
    </w:p>
    <w:p w14:paraId="7983B024" w14:textId="72AA7869" w:rsidR="004A5486" w:rsidRDefault="004A5486" w:rsidP="005D0190">
      <w:pPr>
        <w:spacing w:line="276" w:lineRule="auto"/>
        <w:ind w:firstLine="720"/>
        <w:jc w:val="both"/>
        <w:rPr>
          <w:rFonts w:ascii="Times New Roman" w:hAnsi="Times New Roman" w:cs="Times New Roman"/>
          <w:sz w:val="24"/>
          <w:szCs w:val="24"/>
        </w:rPr>
      </w:pPr>
      <w:r w:rsidRPr="004A5486">
        <w:rPr>
          <w:rFonts w:ascii="Times New Roman" w:hAnsi="Times New Roman" w:cs="Times New Roman"/>
          <w:sz w:val="24"/>
          <w:szCs w:val="24"/>
        </w:rPr>
        <w:t>The current study sought to assess the impact of various rooting media and IBA concentrations on the root and shoot development of hardwood cuttings in pomegranate (</w:t>
      </w:r>
      <w:r w:rsidRPr="004A5486">
        <w:rPr>
          <w:rFonts w:ascii="Times New Roman" w:hAnsi="Times New Roman" w:cs="Times New Roman"/>
          <w:i/>
          <w:iCs/>
          <w:sz w:val="24"/>
          <w:szCs w:val="24"/>
        </w:rPr>
        <w:t xml:space="preserve">Punica granatum </w:t>
      </w:r>
      <w:r w:rsidRPr="004A5486">
        <w:rPr>
          <w:rFonts w:ascii="Times New Roman" w:hAnsi="Times New Roman" w:cs="Times New Roman"/>
          <w:sz w:val="24"/>
          <w:szCs w:val="24"/>
        </w:rPr>
        <w:t xml:space="preserve">L.) cv. </w:t>
      </w:r>
      <w:proofErr w:type="spellStart"/>
      <w:r w:rsidRPr="004A5486">
        <w:rPr>
          <w:rFonts w:ascii="Times New Roman" w:hAnsi="Times New Roman" w:cs="Times New Roman"/>
          <w:sz w:val="24"/>
          <w:szCs w:val="24"/>
        </w:rPr>
        <w:t>Bhagwa</w:t>
      </w:r>
      <w:proofErr w:type="spellEnd"/>
      <w:r w:rsidRPr="004A5486">
        <w:rPr>
          <w:rFonts w:ascii="Times New Roman" w:hAnsi="Times New Roman" w:cs="Times New Roman"/>
          <w:sz w:val="24"/>
          <w:szCs w:val="24"/>
        </w:rPr>
        <w:t xml:space="preserve">. The experiment was carried out at the </w:t>
      </w:r>
      <w:r w:rsidR="00BC2571">
        <w:rPr>
          <w:rFonts w:ascii="Times New Roman" w:hAnsi="Times New Roman" w:cs="Times New Roman"/>
          <w:sz w:val="24"/>
          <w:szCs w:val="24"/>
        </w:rPr>
        <w:t>Centre</w:t>
      </w:r>
      <w:r w:rsidRPr="004A5486">
        <w:rPr>
          <w:rFonts w:ascii="Times New Roman" w:hAnsi="Times New Roman" w:cs="Times New Roman"/>
          <w:sz w:val="24"/>
          <w:szCs w:val="24"/>
        </w:rPr>
        <w:t xml:space="preserve"> of Excellence for Fruits</w:t>
      </w:r>
      <w:r w:rsidR="00B71E1E">
        <w:rPr>
          <w:rFonts w:ascii="Times New Roman" w:hAnsi="Times New Roman" w:cs="Times New Roman"/>
          <w:sz w:val="24"/>
          <w:szCs w:val="24"/>
        </w:rPr>
        <w:t>,</w:t>
      </w:r>
      <w:r w:rsidRPr="004A5486">
        <w:rPr>
          <w:rFonts w:ascii="Times New Roman" w:hAnsi="Times New Roman" w:cs="Times New Roman"/>
          <w:sz w:val="24"/>
          <w:szCs w:val="24"/>
        </w:rPr>
        <w:t xml:space="preserve"> </w:t>
      </w:r>
      <w:proofErr w:type="spellStart"/>
      <w:r w:rsidRPr="004A5486">
        <w:rPr>
          <w:rFonts w:ascii="Times New Roman" w:hAnsi="Times New Roman" w:cs="Times New Roman"/>
          <w:sz w:val="24"/>
          <w:szCs w:val="24"/>
        </w:rPr>
        <w:t>Siddipet</w:t>
      </w:r>
      <w:proofErr w:type="spellEnd"/>
      <w:r w:rsidRPr="004A5486">
        <w:rPr>
          <w:rFonts w:ascii="Times New Roman" w:hAnsi="Times New Roman" w:cs="Times New Roman"/>
          <w:sz w:val="24"/>
          <w:szCs w:val="24"/>
        </w:rPr>
        <w:t xml:space="preserve">, Telangana, during Rabi 2024–25. It used a factorial CRD with three rooting media (sand + vermiculite, sand + vermicompost, and sand + vermiculite + vermicompost) and four IBA concentrations (0, 1000, 1500, and 2000 ppm). There were </w:t>
      </w:r>
      <w:r w:rsidR="00B71E1E">
        <w:rPr>
          <w:rFonts w:ascii="Times New Roman" w:hAnsi="Times New Roman" w:cs="Times New Roman"/>
          <w:sz w:val="24"/>
          <w:szCs w:val="24"/>
        </w:rPr>
        <w:t>significant</w:t>
      </w:r>
      <w:r w:rsidRPr="004A5486">
        <w:rPr>
          <w:rFonts w:ascii="Times New Roman" w:hAnsi="Times New Roman" w:cs="Times New Roman"/>
          <w:sz w:val="24"/>
          <w:szCs w:val="24"/>
        </w:rPr>
        <w:t xml:space="preserve"> differences between the treatments. The combination of sand and vermiculite with 2000 ppm IBA (M</w:t>
      </w:r>
      <w:r w:rsidRPr="004A5486">
        <w:rPr>
          <w:rFonts w:ascii="Times New Roman" w:hAnsi="Times New Roman" w:cs="Times New Roman"/>
          <w:sz w:val="24"/>
          <w:szCs w:val="24"/>
          <w:vertAlign w:val="subscript"/>
        </w:rPr>
        <w:t>2</w:t>
      </w:r>
      <w:r w:rsidRPr="004A5486">
        <w:rPr>
          <w:rFonts w:ascii="Times New Roman" w:hAnsi="Times New Roman" w:cs="Times New Roman"/>
          <w:sz w:val="24"/>
          <w:szCs w:val="24"/>
        </w:rPr>
        <w:t>G</w:t>
      </w:r>
      <w:r w:rsidRPr="004A5486">
        <w:rPr>
          <w:rFonts w:ascii="Times New Roman" w:hAnsi="Times New Roman" w:cs="Times New Roman"/>
          <w:sz w:val="24"/>
          <w:szCs w:val="24"/>
          <w:vertAlign w:val="subscript"/>
        </w:rPr>
        <w:t>4</w:t>
      </w:r>
      <w:r w:rsidRPr="004A5486">
        <w:rPr>
          <w:rFonts w:ascii="Times New Roman" w:hAnsi="Times New Roman" w:cs="Times New Roman"/>
          <w:sz w:val="24"/>
          <w:szCs w:val="24"/>
        </w:rPr>
        <w:t xml:space="preserve">) produced the highest number of shoots (5.67), the </w:t>
      </w:r>
      <w:r w:rsidR="00B71E1E">
        <w:rPr>
          <w:rFonts w:ascii="Times New Roman" w:hAnsi="Times New Roman" w:cs="Times New Roman"/>
          <w:sz w:val="24"/>
          <w:szCs w:val="24"/>
        </w:rPr>
        <w:t>maximum</w:t>
      </w:r>
      <w:r w:rsidRPr="004A5486">
        <w:rPr>
          <w:rFonts w:ascii="Times New Roman" w:hAnsi="Times New Roman" w:cs="Times New Roman"/>
          <w:sz w:val="24"/>
          <w:szCs w:val="24"/>
        </w:rPr>
        <w:t xml:space="preserve"> shoot</w:t>
      </w:r>
      <w:r w:rsidR="00B71E1E">
        <w:rPr>
          <w:rFonts w:ascii="Times New Roman" w:hAnsi="Times New Roman" w:cs="Times New Roman"/>
          <w:sz w:val="24"/>
          <w:szCs w:val="24"/>
        </w:rPr>
        <w:t xml:space="preserve"> lengths</w:t>
      </w:r>
      <w:r w:rsidRPr="004A5486">
        <w:rPr>
          <w:rFonts w:ascii="Times New Roman" w:hAnsi="Times New Roman" w:cs="Times New Roman"/>
          <w:sz w:val="24"/>
          <w:szCs w:val="24"/>
        </w:rPr>
        <w:t xml:space="preserve"> (32.33 cm), the highest rooting percentage (86.25%), and the </w:t>
      </w:r>
      <w:r w:rsidR="00B71E1E">
        <w:rPr>
          <w:rFonts w:ascii="Times New Roman" w:hAnsi="Times New Roman" w:cs="Times New Roman"/>
          <w:sz w:val="24"/>
          <w:szCs w:val="24"/>
        </w:rPr>
        <w:t>maximum</w:t>
      </w:r>
      <w:r w:rsidRPr="004A5486">
        <w:rPr>
          <w:rFonts w:ascii="Times New Roman" w:hAnsi="Times New Roman" w:cs="Times New Roman"/>
          <w:sz w:val="24"/>
          <w:szCs w:val="24"/>
        </w:rPr>
        <w:t xml:space="preserve"> root</w:t>
      </w:r>
      <w:r w:rsidR="00B71E1E">
        <w:rPr>
          <w:rFonts w:ascii="Times New Roman" w:hAnsi="Times New Roman" w:cs="Times New Roman"/>
          <w:sz w:val="24"/>
          <w:szCs w:val="24"/>
        </w:rPr>
        <w:t xml:space="preserve"> lengths</w:t>
      </w:r>
      <w:r w:rsidRPr="004A5486">
        <w:rPr>
          <w:rFonts w:ascii="Times New Roman" w:hAnsi="Times New Roman" w:cs="Times New Roman"/>
          <w:sz w:val="24"/>
          <w:szCs w:val="24"/>
        </w:rPr>
        <w:t xml:space="preserve"> (29.67 cm). It also had the </w:t>
      </w:r>
      <w:r w:rsidR="00B71E1E">
        <w:rPr>
          <w:rFonts w:ascii="Times New Roman" w:hAnsi="Times New Roman" w:cs="Times New Roman"/>
          <w:sz w:val="24"/>
          <w:szCs w:val="24"/>
        </w:rPr>
        <w:t xml:space="preserve">minimum </w:t>
      </w:r>
      <w:r w:rsidRPr="004A5486">
        <w:rPr>
          <w:rFonts w:ascii="Times New Roman" w:hAnsi="Times New Roman" w:cs="Times New Roman"/>
          <w:sz w:val="24"/>
          <w:szCs w:val="24"/>
        </w:rPr>
        <w:t>mortality rate (50.95%) during hardening. Vermiculite helped with aeration and holding water, while IBA helped with the growth of roots and shoots.</w:t>
      </w:r>
    </w:p>
    <w:p w14:paraId="2885305F" w14:textId="5ABECD7C" w:rsidR="00346C48" w:rsidRPr="00346C48" w:rsidRDefault="00346C48" w:rsidP="005D0190">
      <w:pPr>
        <w:spacing w:line="276"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Rooting media, IBA concentration, Factorial CRD, Rooting Percentage, Aeration, Water retention.</w:t>
      </w:r>
    </w:p>
    <w:p w14:paraId="35E5F852" w14:textId="77777777" w:rsidR="002B02F9" w:rsidRDefault="002B02F9" w:rsidP="00B71E1E">
      <w:pPr>
        <w:pStyle w:val="ListParagraph"/>
        <w:numPr>
          <w:ilvl w:val="0"/>
          <w:numId w:val="3"/>
        </w:numPr>
        <w:spacing w:line="276" w:lineRule="auto"/>
        <w:jc w:val="both"/>
        <w:rPr>
          <w:rFonts w:ascii="Arial" w:hAnsi="Arial" w:cs="Arial"/>
          <w:b/>
          <w:bCs/>
          <w:sz w:val="20"/>
          <w:szCs w:val="20"/>
        </w:rPr>
        <w:sectPr w:rsidR="002B02F9" w:rsidSect="000B1D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4C094086" w14:textId="6BFBFA47"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Introduction</w:t>
      </w:r>
    </w:p>
    <w:p w14:paraId="19FD40CE"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pomegranate (</w:t>
      </w:r>
      <w:r w:rsidRPr="002B02F9">
        <w:rPr>
          <w:rFonts w:ascii="Arial" w:hAnsi="Arial" w:cs="Arial"/>
          <w:i/>
          <w:iCs/>
          <w:sz w:val="20"/>
          <w:szCs w:val="20"/>
        </w:rPr>
        <w:t>Punica granatum</w:t>
      </w:r>
      <w:r w:rsidRPr="002B02F9">
        <w:rPr>
          <w:rFonts w:ascii="Arial" w:hAnsi="Arial" w:cs="Arial"/>
          <w:sz w:val="20"/>
          <w:szCs w:val="20"/>
        </w:rPr>
        <w:t xml:space="preserve"> L.), a member of the genus </w:t>
      </w:r>
      <w:proofErr w:type="spellStart"/>
      <w:r w:rsidRPr="002B02F9">
        <w:rPr>
          <w:rFonts w:ascii="Arial" w:hAnsi="Arial" w:cs="Arial"/>
          <w:sz w:val="20"/>
          <w:szCs w:val="20"/>
        </w:rPr>
        <w:t>Punica</w:t>
      </w:r>
      <w:proofErr w:type="spellEnd"/>
      <w:r w:rsidRPr="002B02F9">
        <w:rPr>
          <w:rFonts w:ascii="Arial" w:hAnsi="Arial" w:cs="Arial"/>
          <w:sz w:val="20"/>
          <w:szCs w:val="20"/>
        </w:rPr>
        <w:t xml:space="preserve"> and family </w:t>
      </w:r>
      <w:proofErr w:type="spellStart"/>
      <w:r w:rsidRPr="002B02F9">
        <w:rPr>
          <w:rFonts w:ascii="Arial" w:hAnsi="Arial" w:cs="Arial"/>
          <w:sz w:val="20"/>
          <w:szCs w:val="20"/>
        </w:rPr>
        <w:t>Punicaceae</w:t>
      </w:r>
      <w:proofErr w:type="spellEnd"/>
      <w:r w:rsidRPr="002B02F9">
        <w:rPr>
          <w:rFonts w:ascii="Arial" w:hAnsi="Arial" w:cs="Arial"/>
          <w:sz w:val="20"/>
          <w:szCs w:val="20"/>
        </w:rPr>
        <w:t>, is an ancient fruit crop. Because of its tasty fruits, pomegranates are grown in tropical and sub-tropical regions of the world. Iran is thought to be the birthplace of the pomegranate. Because of its ability to withstand a variety of soil and climate conditions, it is considered an arid and semi-arid zone crop in India.</w:t>
      </w:r>
    </w:p>
    <w:p w14:paraId="23ABD66F"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Pomegranate fruits can be eaten raw or processed into syrup, jelly, and bottled juice. Because of their therapeutic and nutritional qualities, they are highly prized in India. With a 68% edible portion, 78% moisture, 1.6% protein, 14.5% carbohydrate, 10 mg calcium, 70 mg phosphorus, 0.3 mg iron, and 16 mg vitamin C per 100g, pomegranates are a very nutrient-dense fruit. The roots, rind, and seeds are used in medicine, especially for </w:t>
      </w:r>
      <w:proofErr w:type="spellStart"/>
      <w:r w:rsidRPr="002B02F9">
        <w:rPr>
          <w:rFonts w:ascii="Arial" w:hAnsi="Arial" w:cs="Arial"/>
          <w:sz w:val="20"/>
          <w:szCs w:val="20"/>
        </w:rPr>
        <w:t>diarrhea</w:t>
      </w:r>
      <w:proofErr w:type="spellEnd"/>
      <w:r w:rsidRPr="002B02F9">
        <w:rPr>
          <w:rFonts w:ascii="Arial" w:hAnsi="Arial" w:cs="Arial"/>
          <w:sz w:val="20"/>
          <w:szCs w:val="20"/>
        </w:rPr>
        <w:t>, while the fruits are frequently used for drinks, salads, and desserts.</w:t>
      </w:r>
    </w:p>
    <w:p w14:paraId="3AE2FFFE" w14:textId="77777777" w:rsidR="00503B74"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ab/>
        <w:t xml:space="preserve">Pomegranate fruit is more profitable and remunerative in the market due </w:t>
      </w:r>
      <w:r w:rsidRPr="002B02F9">
        <w:rPr>
          <w:rFonts w:ascii="Arial" w:hAnsi="Arial" w:cs="Arial"/>
          <w:sz w:val="20"/>
          <w:szCs w:val="20"/>
        </w:rPr>
        <w:t xml:space="preserve">to its significant pharmacological qualities, such as antimicrobial, antiviral, and antimutagenic effects, as well as its excellent keeping quality, fine table, and therapeutic values (Negi </w:t>
      </w:r>
      <w:r w:rsidRPr="002B02F9">
        <w:rPr>
          <w:rFonts w:ascii="Arial" w:hAnsi="Arial" w:cs="Arial"/>
          <w:i/>
          <w:iCs/>
          <w:sz w:val="20"/>
          <w:szCs w:val="20"/>
        </w:rPr>
        <w:t>et al.</w:t>
      </w:r>
      <w:r w:rsidRPr="002B02F9">
        <w:rPr>
          <w:rFonts w:ascii="Arial" w:hAnsi="Arial" w:cs="Arial"/>
          <w:sz w:val="20"/>
          <w:szCs w:val="20"/>
        </w:rPr>
        <w:t xml:space="preserve"> 2003 and Seeram </w:t>
      </w:r>
      <w:r w:rsidRPr="002B02F9">
        <w:rPr>
          <w:rFonts w:ascii="Arial" w:hAnsi="Arial" w:cs="Arial"/>
          <w:i/>
          <w:iCs/>
          <w:sz w:val="20"/>
          <w:szCs w:val="20"/>
        </w:rPr>
        <w:t>et al.</w:t>
      </w:r>
      <w:r w:rsidRPr="002B02F9">
        <w:rPr>
          <w:rFonts w:ascii="Arial" w:hAnsi="Arial" w:cs="Arial"/>
          <w:sz w:val="20"/>
          <w:szCs w:val="20"/>
        </w:rPr>
        <w:t xml:space="preserve"> 2005).</w:t>
      </w:r>
      <w:r w:rsidR="00503B74" w:rsidRPr="002B02F9">
        <w:rPr>
          <w:rFonts w:ascii="Arial" w:hAnsi="Arial" w:cs="Arial"/>
          <w:sz w:val="20"/>
          <w:szCs w:val="20"/>
        </w:rPr>
        <w:t xml:space="preserve"> </w:t>
      </w:r>
    </w:p>
    <w:p w14:paraId="5CD27DAC" w14:textId="260F7AB4" w:rsidR="004A5486"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 xml:space="preserve">Both sexual and asexual methods are used to spread pomegranates. In many regions of India, seed propagation is common because it is simple, but because cross-pollination causes significant variation in tree </w:t>
      </w:r>
      <w:proofErr w:type="spellStart"/>
      <w:r w:rsidRPr="002B02F9">
        <w:rPr>
          <w:rFonts w:ascii="Arial" w:hAnsi="Arial" w:cs="Arial"/>
          <w:sz w:val="20"/>
          <w:szCs w:val="20"/>
        </w:rPr>
        <w:t>vigor</w:t>
      </w:r>
      <w:proofErr w:type="spellEnd"/>
      <w:r w:rsidRPr="002B02F9">
        <w:rPr>
          <w:rFonts w:ascii="Arial" w:hAnsi="Arial" w:cs="Arial"/>
          <w:sz w:val="20"/>
          <w:szCs w:val="20"/>
        </w:rPr>
        <w:t>, fruit quality, and precocity. In order to reduce the high degree of variability, the vegetative method of propagation is recommended instead of seed propagation. Vegetative propagation is the most efficient method for producing true-to-type pomegranate plants. Despite its effectiveness, air layering is costly, slow, and affects the mother plant. Hardwood cuttings offer a quicker and more affordable alternative to seed-grown plants, which take three years or longer to produce fruit.</w:t>
      </w:r>
    </w:p>
    <w:p w14:paraId="122C1251" w14:textId="77777777" w:rsidR="004A5486" w:rsidRPr="002B02F9" w:rsidRDefault="004A5486" w:rsidP="005D0190">
      <w:pPr>
        <w:spacing w:line="276" w:lineRule="auto"/>
        <w:ind w:firstLine="720"/>
        <w:jc w:val="both"/>
        <w:rPr>
          <w:rFonts w:ascii="Arial" w:hAnsi="Arial" w:cs="Arial"/>
          <w:sz w:val="20"/>
          <w:szCs w:val="20"/>
        </w:rPr>
      </w:pPr>
      <w:r w:rsidRPr="002B02F9">
        <w:rPr>
          <w:rFonts w:ascii="Arial" w:hAnsi="Arial" w:cs="Arial"/>
          <w:sz w:val="20"/>
          <w:szCs w:val="20"/>
        </w:rPr>
        <w:t xml:space="preserve">The Clonal selection of Ganesh x </w:t>
      </w:r>
      <w:proofErr w:type="spellStart"/>
      <w:r w:rsidRPr="002B02F9">
        <w:rPr>
          <w:rFonts w:ascii="Arial" w:hAnsi="Arial" w:cs="Arial"/>
          <w:sz w:val="20"/>
          <w:szCs w:val="20"/>
        </w:rPr>
        <w:t>Guleshah</w:t>
      </w:r>
      <w:proofErr w:type="spellEnd"/>
      <w:r w:rsidRPr="002B02F9">
        <w:rPr>
          <w:rFonts w:ascii="Arial" w:hAnsi="Arial" w:cs="Arial"/>
          <w:sz w:val="20"/>
          <w:szCs w:val="20"/>
        </w:rPr>
        <w:t xml:space="preserve"> red is called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developed under the auspices of the All India Coordinated Research Project on Arid Zone Fruits (AICRP-AZF) by MPKV, </w:t>
      </w:r>
      <w:proofErr w:type="spellStart"/>
      <w:r w:rsidRPr="002B02F9">
        <w:rPr>
          <w:rFonts w:ascii="Arial" w:hAnsi="Arial" w:cs="Arial"/>
          <w:sz w:val="20"/>
          <w:szCs w:val="20"/>
        </w:rPr>
        <w:t>Rahuri</w:t>
      </w:r>
      <w:proofErr w:type="spellEnd"/>
      <w:r w:rsidRPr="002B02F9">
        <w:rPr>
          <w:rFonts w:ascii="Arial" w:hAnsi="Arial" w:cs="Arial"/>
          <w:sz w:val="20"/>
          <w:szCs w:val="20"/>
        </w:rPr>
        <w:t xml:space="preserve"> (2003-04). Dark green </w:t>
      </w:r>
      <w:r w:rsidRPr="002B02F9">
        <w:rPr>
          <w:rFonts w:ascii="Arial" w:hAnsi="Arial" w:cs="Arial"/>
          <w:sz w:val="20"/>
          <w:szCs w:val="20"/>
        </w:rPr>
        <w:lastRenderedPageBreak/>
        <w:t xml:space="preserve">leaves and spiky branches characterize the spreading, evergreen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pomegranate shrub. It yields male, hermaphrodite, and intermediate dark saffron flowers in all three </w:t>
      </w:r>
      <w:proofErr w:type="spellStart"/>
      <w:r w:rsidRPr="002B02F9">
        <w:rPr>
          <w:rFonts w:ascii="Arial" w:hAnsi="Arial" w:cs="Arial"/>
          <w:sz w:val="20"/>
          <w:szCs w:val="20"/>
        </w:rPr>
        <w:t>bahars</w:t>
      </w:r>
      <w:proofErr w:type="spellEnd"/>
      <w:r w:rsidRPr="002B02F9">
        <w:rPr>
          <w:rFonts w:ascii="Arial" w:hAnsi="Arial" w:cs="Arial"/>
          <w:sz w:val="20"/>
          <w:szCs w:val="20"/>
        </w:rPr>
        <w:t xml:space="preserve">. Its glossy, attractive fruits store well for 15 to 20 days and have soft seeds, thick saffron rind, and dark red arils.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yields 30–40 kg/plant, or 25–30 t/ha, when planted in high density. Medium to large fruits (avg. 405.97 g) are produced by this late-maturing plant (180–190 days). Sweet (15.38% acidity, 0.37% TSS). the arils are highly sought after and sell for two to three times the price of the Ganesh variety.</w:t>
      </w:r>
    </w:p>
    <w:p w14:paraId="6238C8EB" w14:textId="685872A0"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Rooting media have a major impact on root development and plant survival. The perfect medium should be lightweight, porous, free of pests and diseases, and able to hold onto moisture while still allowing for good drainage. Materials like sand, vermicompost, FYM, perlite, and vermiculite improve porosity, CEC, and water retention (Shrivastava </w:t>
      </w:r>
      <w:r w:rsidRPr="002B02F9">
        <w:rPr>
          <w:rFonts w:ascii="Arial" w:hAnsi="Arial" w:cs="Arial"/>
          <w:i/>
          <w:iCs/>
          <w:sz w:val="20"/>
          <w:szCs w:val="20"/>
        </w:rPr>
        <w:t>et al</w:t>
      </w:r>
      <w:r w:rsidRPr="002B02F9">
        <w:rPr>
          <w:rFonts w:ascii="Arial" w:hAnsi="Arial" w:cs="Arial"/>
          <w:sz w:val="20"/>
          <w:szCs w:val="20"/>
        </w:rPr>
        <w:t xml:space="preserve">., 1998). IBA is the most effective growth regulator at promoting healthy root development, even though IAA and NAA also show species-specific effects (Ghosh </w:t>
      </w:r>
      <w:r w:rsidRPr="002B02F9">
        <w:rPr>
          <w:rFonts w:ascii="Arial" w:hAnsi="Arial" w:cs="Arial"/>
          <w:i/>
          <w:iCs/>
          <w:sz w:val="20"/>
          <w:szCs w:val="20"/>
        </w:rPr>
        <w:t>et al</w:t>
      </w:r>
      <w:r w:rsidRPr="002B02F9">
        <w:rPr>
          <w:rFonts w:ascii="Arial" w:hAnsi="Arial" w:cs="Arial"/>
          <w:sz w:val="20"/>
          <w:szCs w:val="20"/>
        </w:rPr>
        <w:t>., 1988; Sarma and Sarma, 1991). Because pomegranate cuttings are hard to root, rooting and survival can be significantly increased by using IBA and optimizing the media.</w:t>
      </w:r>
    </w:p>
    <w:p w14:paraId="3780DA8E" w14:textId="640ED384"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Materials and Method</w:t>
      </w:r>
    </w:p>
    <w:p w14:paraId="654D44BD" w14:textId="26E4C5A1" w:rsidR="004A5486" w:rsidRPr="002B02F9" w:rsidRDefault="004A5486" w:rsidP="000C7C99">
      <w:pPr>
        <w:spacing w:line="276" w:lineRule="auto"/>
        <w:ind w:firstLine="720"/>
        <w:jc w:val="both"/>
        <w:rPr>
          <w:rFonts w:ascii="Arial" w:hAnsi="Arial" w:cs="Arial"/>
          <w:sz w:val="20"/>
          <w:szCs w:val="20"/>
        </w:rPr>
      </w:pPr>
      <w:r w:rsidRPr="002B02F9">
        <w:rPr>
          <w:rFonts w:ascii="Arial" w:hAnsi="Arial" w:cs="Arial"/>
          <w:sz w:val="20"/>
          <w:szCs w:val="20"/>
        </w:rPr>
        <w:t xml:space="preserve">The present study entitled </w:t>
      </w:r>
      <w:bookmarkStart w:id="1" w:name="_Hlk198393251"/>
      <w:r w:rsidRPr="002B02F9">
        <w:rPr>
          <w:rFonts w:ascii="Arial" w:hAnsi="Arial" w:cs="Arial"/>
          <w:sz w:val="20"/>
          <w:szCs w:val="20"/>
        </w:rPr>
        <w:t xml:space="preserve">“Effect of Rooting Media and IBA Treatments on Root and Shoot Development and Their Influence on Hardening Mortality in Pomegranate (Punica granatum L.)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w:t>
      </w:r>
      <w:bookmarkEnd w:id="1"/>
      <w:r w:rsidRPr="002B02F9">
        <w:rPr>
          <w:rFonts w:ascii="Arial" w:hAnsi="Arial" w:cs="Arial"/>
          <w:sz w:val="20"/>
          <w:szCs w:val="20"/>
        </w:rPr>
        <w:t>was conducted during rabi, 2024-25 at Centr</w:t>
      </w:r>
      <w:r w:rsidR="00BC2571" w:rsidRPr="002B02F9">
        <w:rPr>
          <w:rFonts w:ascii="Arial" w:hAnsi="Arial" w:cs="Arial"/>
          <w:sz w:val="20"/>
          <w:szCs w:val="20"/>
        </w:rPr>
        <w:t>e</w:t>
      </w:r>
      <w:r w:rsidRPr="002B02F9">
        <w:rPr>
          <w:rFonts w:ascii="Arial" w:hAnsi="Arial" w:cs="Arial"/>
          <w:sz w:val="20"/>
          <w:szCs w:val="20"/>
        </w:rPr>
        <w:t xml:space="preserve"> of Excellence for Fruits, </w:t>
      </w:r>
      <w:proofErr w:type="spellStart"/>
      <w:r w:rsidRPr="002B02F9">
        <w:rPr>
          <w:rFonts w:ascii="Arial" w:hAnsi="Arial" w:cs="Arial"/>
          <w:sz w:val="20"/>
          <w:szCs w:val="20"/>
        </w:rPr>
        <w:t>Mulugu</w:t>
      </w:r>
      <w:proofErr w:type="spellEnd"/>
      <w:r w:rsidRPr="002B02F9">
        <w:rPr>
          <w:rFonts w:ascii="Arial" w:hAnsi="Arial" w:cs="Arial"/>
          <w:sz w:val="20"/>
          <w:szCs w:val="20"/>
        </w:rPr>
        <w:t xml:space="preserve">, </w:t>
      </w:r>
      <w:proofErr w:type="spellStart"/>
      <w:r w:rsidRPr="002B02F9">
        <w:rPr>
          <w:rFonts w:ascii="Arial" w:hAnsi="Arial" w:cs="Arial"/>
          <w:sz w:val="20"/>
          <w:szCs w:val="20"/>
        </w:rPr>
        <w:t>Siddipet</w:t>
      </w:r>
      <w:proofErr w:type="spellEnd"/>
      <w:r w:rsidRPr="002B02F9">
        <w:rPr>
          <w:rFonts w:ascii="Arial" w:hAnsi="Arial" w:cs="Arial"/>
          <w:sz w:val="20"/>
          <w:szCs w:val="20"/>
        </w:rPr>
        <w:t xml:space="preserve">, Telangana, under the supervision of School of Agricultural Sciences, </w:t>
      </w:r>
      <w:proofErr w:type="spellStart"/>
      <w:r w:rsidRPr="002B02F9">
        <w:rPr>
          <w:rFonts w:ascii="Arial" w:hAnsi="Arial" w:cs="Arial"/>
          <w:sz w:val="20"/>
          <w:szCs w:val="20"/>
        </w:rPr>
        <w:t>Malla</w:t>
      </w:r>
      <w:proofErr w:type="spellEnd"/>
      <w:r w:rsidRPr="002B02F9">
        <w:rPr>
          <w:rFonts w:ascii="Arial" w:hAnsi="Arial" w:cs="Arial"/>
          <w:sz w:val="20"/>
          <w:szCs w:val="20"/>
        </w:rPr>
        <w:t xml:space="preserve"> Reddy University, </w:t>
      </w:r>
      <w:proofErr w:type="spellStart"/>
      <w:r w:rsidRPr="002B02F9">
        <w:rPr>
          <w:rFonts w:ascii="Arial" w:hAnsi="Arial" w:cs="Arial"/>
          <w:sz w:val="20"/>
          <w:szCs w:val="20"/>
        </w:rPr>
        <w:t>Hyderadad</w:t>
      </w:r>
      <w:proofErr w:type="spellEnd"/>
      <w:r w:rsidRPr="002B02F9">
        <w:rPr>
          <w:rFonts w:ascii="Arial" w:hAnsi="Arial" w:cs="Arial"/>
          <w:sz w:val="20"/>
          <w:szCs w:val="20"/>
        </w:rPr>
        <w:t xml:space="preserve">, Telangana. The experiment was laid out in Factorial Completely Randomized Design with two factors </w:t>
      </w:r>
      <w:r w:rsidRPr="002B02F9">
        <w:rPr>
          <w:rFonts w:ascii="Arial" w:hAnsi="Arial" w:cs="Arial"/>
          <w:i/>
          <w:iCs/>
          <w:sz w:val="20"/>
          <w:szCs w:val="20"/>
        </w:rPr>
        <w:t>viz.,</w:t>
      </w:r>
      <w:r w:rsidRPr="002B02F9">
        <w:rPr>
          <w:rFonts w:ascii="Arial" w:hAnsi="Arial" w:cs="Arial"/>
          <w:sz w:val="20"/>
          <w:szCs w:val="20"/>
        </w:rPr>
        <w:t xml:space="preserve"> Rooting media (3 levels) and IBA treatments (4 levels), making twelve treatment combinations which were replicated trice. Hardwood cuttings were planted in portrays consisting of rooting media </w:t>
      </w:r>
      <w:r w:rsidRPr="002B02F9">
        <w:rPr>
          <w:rFonts w:ascii="Arial" w:hAnsi="Arial" w:cs="Arial"/>
          <w:i/>
          <w:iCs/>
          <w:sz w:val="20"/>
          <w:szCs w:val="20"/>
        </w:rPr>
        <w:t>viz.,</w:t>
      </w:r>
      <w:r w:rsidRPr="002B02F9">
        <w:rPr>
          <w:rFonts w:ascii="Arial" w:hAnsi="Arial" w:cs="Arial"/>
          <w:sz w:val="20"/>
          <w:szCs w:val="20"/>
        </w:rPr>
        <w:t xml:space="preserve"> sand, vermiculite and vermicompost after treating with IBA at 0 ppm, 1000 ppm, 1500 ppm and 2000 ppm in powder form. The observations on various parameters at 30, 60 and 90 DAP were recorded as presented below.</w:t>
      </w:r>
    </w:p>
    <w:p w14:paraId="6052E79E" w14:textId="501DC111" w:rsidR="004A5486" w:rsidRPr="002B02F9" w:rsidRDefault="004A5486" w:rsidP="00B71E1E">
      <w:pPr>
        <w:pStyle w:val="ListParagraph"/>
        <w:numPr>
          <w:ilvl w:val="0"/>
          <w:numId w:val="3"/>
        </w:numPr>
        <w:spacing w:line="276" w:lineRule="auto"/>
        <w:jc w:val="both"/>
        <w:rPr>
          <w:rFonts w:ascii="Arial" w:hAnsi="Arial" w:cs="Arial"/>
          <w:b/>
          <w:bCs/>
          <w:sz w:val="20"/>
          <w:szCs w:val="20"/>
        </w:rPr>
      </w:pPr>
      <w:r w:rsidRPr="002B02F9">
        <w:rPr>
          <w:rFonts w:ascii="Arial" w:hAnsi="Arial" w:cs="Arial"/>
          <w:b/>
          <w:bCs/>
          <w:sz w:val="20"/>
          <w:szCs w:val="20"/>
        </w:rPr>
        <w:t>Results and Discussion</w:t>
      </w:r>
    </w:p>
    <w:p w14:paraId="678C73E2" w14:textId="03326FA4" w:rsidR="004A5486" w:rsidRPr="002B02F9" w:rsidRDefault="004A5486" w:rsidP="00B71E1E">
      <w:pPr>
        <w:pStyle w:val="ListParagraph"/>
        <w:numPr>
          <w:ilvl w:val="1"/>
          <w:numId w:val="3"/>
        </w:numPr>
        <w:spacing w:line="276" w:lineRule="auto"/>
        <w:jc w:val="both"/>
        <w:rPr>
          <w:rFonts w:ascii="Arial" w:hAnsi="Arial" w:cs="Arial"/>
          <w:b/>
          <w:bCs/>
          <w:sz w:val="20"/>
          <w:szCs w:val="20"/>
        </w:rPr>
      </w:pPr>
      <w:r w:rsidRPr="002B02F9">
        <w:rPr>
          <w:rFonts w:ascii="Arial" w:hAnsi="Arial" w:cs="Arial"/>
          <w:b/>
          <w:bCs/>
          <w:sz w:val="20"/>
          <w:szCs w:val="20"/>
        </w:rPr>
        <w:t xml:space="preserve">Shoot Parameters </w:t>
      </w:r>
    </w:p>
    <w:p w14:paraId="12469CFD" w14:textId="731EB302" w:rsidR="004A5486" w:rsidRPr="002B02F9" w:rsidRDefault="00B71E1E" w:rsidP="00B71E1E">
      <w:pPr>
        <w:spacing w:line="276" w:lineRule="auto"/>
        <w:jc w:val="both"/>
        <w:rPr>
          <w:rFonts w:ascii="Arial" w:hAnsi="Arial" w:cs="Arial"/>
          <w:sz w:val="20"/>
          <w:szCs w:val="20"/>
        </w:rPr>
      </w:pPr>
      <w:r w:rsidRPr="002B02F9">
        <w:rPr>
          <w:rFonts w:ascii="Arial" w:hAnsi="Arial" w:cs="Arial"/>
          <w:b/>
          <w:bCs/>
          <w:sz w:val="20"/>
          <w:szCs w:val="20"/>
        </w:rPr>
        <w:t>3.1.1</w:t>
      </w:r>
      <w:r w:rsidRPr="002B02F9">
        <w:rPr>
          <w:rFonts w:ascii="Arial" w:hAnsi="Arial" w:cs="Arial"/>
          <w:b/>
          <w:bCs/>
          <w:sz w:val="20"/>
          <w:szCs w:val="20"/>
        </w:rPr>
        <w:tab/>
      </w:r>
      <w:r w:rsidR="004A5486" w:rsidRPr="002B02F9">
        <w:rPr>
          <w:rFonts w:ascii="Arial" w:hAnsi="Arial" w:cs="Arial"/>
          <w:b/>
          <w:bCs/>
          <w:sz w:val="20"/>
          <w:szCs w:val="20"/>
        </w:rPr>
        <w:t>Number of shoots per cutting</w:t>
      </w:r>
    </w:p>
    <w:p w14:paraId="3A01615D" w14:textId="7D12EC11" w:rsidR="004A5486" w:rsidRPr="002B02F9" w:rsidRDefault="004A5486" w:rsidP="00873C94">
      <w:pPr>
        <w:spacing w:line="276" w:lineRule="auto"/>
        <w:ind w:firstLine="720"/>
        <w:jc w:val="both"/>
        <w:rPr>
          <w:rFonts w:ascii="Arial" w:hAnsi="Arial" w:cs="Arial"/>
          <w:sz w:val="20"/>
          <w:szCs w:val="20"/>
          <w:lang w:val="en-US"/>
        </w:rPr>
      </w:pPr>
      <w:r w:rsidRPr="002B02F9">
        <w:rPr>
          <w:rFonts w:ascii="Arial" w:hAnsi="Arial" w:cs="Arial"/>
          <w:sz w:val="20"/>
          <w:szCs w:val="20"/>
        </w:rPr>
        <w:t>Significant differences were observed in the number of shoots per cutting at 30, 60, and 90 DAP due to the effects of rooting media, IBA treatments, and their interaction</w:t>
      </w:r>
      <w:r w:rsidR="00AA56F6" w:rsidRPr="002B02F9">
        <w:rPr>
          <w:rFonts w:ascii="Arial" w:hAnsi="Arial" w:cs="Arial"/>
          <w:sz w:val="20"/>
          <w:szCs w:val="20"/>
        </w:rPr>
        <w:t xml:space="preserve"> </w:t>
      </w:r>
      <w:r w:rsidR="00AA56F6" w:rsidRPr="002B02F9">
        <w:rPr>
          <w:rFonts w:ascii="Arial" w:hAnsi="Arial" w:cs="Arial"/>
          <w:sz w:val="20"/>
          <w:szCs w:val="20"/>
          <w:lang w:val="en-US"/>
        </w:rPr>
        <w:t>was were presented in Table 1</w:t>
      </w:r>
      <w:r w:rsidRPr="002B02F9">
        <w:rPr>
          <w:rFonts w:ascii="Arial" w:hAnsi="Arial" w:cs="Arial"/>
          <w:sz w:val="20"/>
          <w:szCs w:val="20"/>
        </w:rPr>
        <w:t xml:space="preserve">. The average number of shoots increased from 1.68 at 30 </w:t>
      </w:r>
      <w:proofErr w:type="gramStart"/>
      <w:r w:rsidRPr="002B02F9">
        <w:rPr>
          <w:rFonts w:ascii="Arial" w:hAnsi="Arial" w:cs="Arial"/>
          <w:sz w:val="20"/>
          <w:szCs w:val="20"/>
        </w:rPr>
        <w:t>DAP</w:t>
      </w:r>
      <w:proofErr w:type="gramEnd"/>
      <w:r w:rsidRPr="002B02F9">
        <w:rPr>
          <w:rFonts w:ascii="Arial" w:hAnsi="Arial" w:cs="Arial"/>
          <w:sz w:val="20"/>
          <w:szCs w:val="20"/>
        </w:rPr>
        <w:t xml:space="preserve"> to 2.81 at 90 DAP. At 90 </w:t>
      </w:r>
      <w:proofErr w:type="gramStart"/>
      <w:r w:rsidRPr="002B02F9">
        <w:rPr>
          <w:rFonts w:ascii="Arial" w:hAnsi="Arial" w:cs="Arial"/>
          <w:sz w:val="20"/>
          <w:szCs w:val="20"/>
        </w:rPr>
        <w:t>DAP</w:t>
      </w:r>
      <w:proofErr w:type="gramEnd"/>
      <w:r w:rsidRPr="002B02F9">
        <w:rPr>
          <w:rFonts w:ascii="Arial" w:hAnsi="Arial" w:cs="Arial"/>
          <w:sz w:val="20"/>
          <w:szCs w:val="20"/>
        </w:rPr>
        <w:t>, the highest shoot number (3.42) was recorded in sand + vermiculite (M</w:t>
      </w:r>
      <w:r w:rsidRPr="002B02F9">
        <w:rPr>
          <w:rFonts w:ascii="Arial" w:hAnsi="Arial" w:cs="Arial"/>
          <w:sz w:val="20"/>
          <w:szCs w:val="20"/>
          <w:vertAlign w:val="subscript"/>
        </w:rPr>
        <w:t>2</w:t>
      </w:r>
      <w:r w:rsidRPr="002B02F9">
        <w:rPr>
          <w:rFonts w:ascii="Arial" w:hAnsi="Arial" w:cs="Arial"/>
          <w:sz w:val="20"/>
          <w:szCs w:val="20"/>
        </w:rPr>
        <w:t>), followed by sand + vermiculite + vermicompost (M</w:t>
      </w:r>
      <w:r w:rsidRPr="002B02F9">
        <w:rPr>
          <w:rFonts w:ascii="Arial" w:hAnsi="Arial" w:cs="Arial"/>
          <w:sz w:val="20"/>
          <w:szCs w:val="20"/>
          <w:vertAlign w:val="subscript"/>
        </w:rPr>
        <w:t>3</w:t>
      </w:r>
      <w:r w:rsidRPr="002B02F9">
        <w:rPr>
          <w:rFonts w:ascii="Arial" w:hAnsi="Arial" w:cs="Arial"/>
          <w:sz w:val="20"/>
          <w:szCs w:val="20"/>
        </w:rPr>
        <w:t>) with 2.84, while the lowest (2.17) was in sand + vermicompost (M</w:t>
      </w:r>
      <w:r w:rsidRPr="002B02F9">
        <w:rPr>
          <w:rFonts w:ascii="Arial" w:hAnsi="Arial" w:cs="Arial"/>
          <w:sz w:val="20"/>
          <w:szCs w:val="20"/>
          <w:vertAlign w:val="subscript"/>
        </w:rPr>
        <w:t>1</w:t>
      </w:r>
      <w:r w:rsidRPr="002B02F9">
        <w:rPr>
          <w:rFonts w:ascii="Arial" w:hAnsi="Arial" w:cs="Arial"/>
          <w:sz w:val="20"/>
          <w:szCs w:val="20"/>
        </w:rPr>
        <w:t>). Among IBA treatments, 2000 ppm (G</w:t>
      </w:r>
      <w:r w:rsidRPr="002B02F9">
        <w:rPr>
          <w:rFonts w:ascii="Arial" w:hAnsi="Arial" w:cs="Arial"/>
          <w:sz w:val="20"/>
          <w:szCs w:val="20"/>
          <w:vertAlign w:val="subscript"/>
        </w:rPr>
        <w:t>4</w:t>
      </w:r>
      <w:r w:rsidRPr="002B02F9">
        <w:rPr>
          <w:rFonts w:ascii="Arial" w:hAnsi="Arial" w:cs="Arial"/>
          <w:sz w:val="20"/>
          <w:szCs w:val="20"/>
        </w:rPr>
        <w:t>) resulted in the highest number of shoots (4.22), while control (G</w:t>
      </w:r>
      <w:r w:rsidRPr="002B02F9">
        <w:rPr>
          <w:rFonts w:ascii="Arial" w:hAnsi="Arial" w:cs="Arial"/>
          <w:sz w:val="20"/>
          <w:szCs w:val="20"/>
          <w:vertAlign w:val="subscript"/>
        </w:rPr>
        <w:t>1</w:t>
      </w:r>
      <w:r w:rsidRPr="002B02F9">
        <w:rPr>
          <w:rFonts w:ascii="Arial" w:hAnsi="Arial" w:cs="Arial"/>
          <w:sz w:val="20"/>
          <w:szCs w:val="20"/>
        </w:rPr>
        <w:t>) had the least (1.56). A significant interaction was found between media and IBA; the maximum number of shoots (5.67) occurred in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followed by M</w:t>
      </w:r>
      <w:r w:rsidRPr="002B02F9">
        <w:rPr>
          <w:rFonts w:ascii="Arial" w:hAnsi="Arial" w:cs="Arial"/>
          <w:sz w:val="20"/>
          <w:szCs w:val="20"/>
          <w:vertAlign w:val="subscript"/>
        </w:rPr>
        <w:t>3</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xml:space="preserve"> (3.67) and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3</w:t>
      </w:r>
      <w:r w:rsidRPr="002B02F9">
        <w:rPr>
          <w:rFonts w:ascii="Arial" w:hAnsi="Arial" w:cs="Arial"/>
          <w:sz w:val="20"/>
          <w:szCs w:val="20"/>
        </w:rPr>
        <w:t xml:space="preserve"> (3.56). The minimum (1.56) was in M</w:t>
      </w:r>
      <w:r w:rsidRPr="002B02F9">
        <w:rPr>
          <w:rFonts w:ascii="Arial" w:hAnsi="Arial" w:cs="Arial"/>
          <w:sz w:val="20"/>
          <w:szCs w:val="20"/>
          <w:vertAlign w:val="subscript"/>
        </w:rPr>
        <w:t>1</w:t>
      </w:r>
      <w:r w:rsidRPr="002B02F9">
        <w:rPr>
          <w:rFonts w:ascii="Arial" w:hAnsi="Arial" w:cs="Arial"/>
          <w:sz w:val="20"/>
          <w:szCs w:val="20"/>
        </w:rPr>
        <w:t>G</w:t>
      </w:r>
      <w:r w:rsidRPr="002B02F9">
        <w:rPr>
          <w:rFonts w:ascii="Arial" w:hAnsi="Arial" w:cs="Arial"/>
          <w:sz w:val="20"/>
          <w:szCs w:val="20"/>
          <w:vertAlign w:val="subscript"/>
        </w:rPr>
        <w:t>1</w:t>
      </w:r>
      <w:r w:rsidRPr="002B02F9">
        <w:rPr>
          <w:rFonts w:ascii="Arial" w:hAnsi="Arial" w:cs="Arial"/>
          <w:sz w:val="20"/>
          <w:szCs w:val="20"/>
        </w:rPr>
        <w:t xml:space="preserve">. These findings are consistent with Rajkumar </w:t>
      </w:r>
      <w:r w:rsidRPr="002B02F9">
        <w:rPr>
          <w:rFonts w:ascii="Arial" w:hAnsi="Arial" w:cs="Arial"/>
          <w:i/>
          <w:iCs/>
          <w:sz w:val="20"/>
          <w:szCs w:val="20"/>
        </w:rPr>
        <w:t>et al</w:t>
      </w:r>
      <w:r w:rsidRPr="002B02F9">
        <w:rPr>
          <w:rFonts w:ascii="Arial" w:hAnsi="Arial" w:cs="Arial"/>
          <w:sz w:val="20"/>
          <w:szCs w:val="20"/>
        </w:rPr>
        <w:t xml:space="preserve">. (2017), who stressed vermiculite's function in shoot development, and </w:t>
      </w:r>
      <w:r w:rsidR="00930211" w:rsidRPr="002B02F9">
        <w:rPr>
          <w:rFonts w:ascii="Arial" w:hAnsi="Arial" w:cs="Arial"/>
          <w:sz w:val="20"/>
          <w:szCs w:val="20"/>
        </w:rPr>
        <w:t>Bender</w:t>
      </w:r>
      <w:r w:rsidRPr="002B02F9">
        <w:rPr>
          <w:rFonts w:ascii="Arial" w:hAnsi="Arial" w:cs="Arial"/>
          <w:sz w:val="20"/>
          <w:szCs w:val="20"/>
        </w:rPr>
        <w:t xml:space="preserve"> (2007), who highlighted vermiculite's ability to hold nutrients. Additionally, IBA-treated cuttings showed increased shoot production, according to Kumar </w:t>
      </w:r>
      <w:r w:rsidRPr="002B02F9">
        <w:rPr>
          <w:rFonts w:ascii="Arial" w:hAnsi="Arial" w:cs="Arial"/>
          <w:i/>
          <w:iCs/>
          <w:sz w:val="20"/>
          <w:szCs w:val="20"/>
        </w:rPr>
        <w:t>et al</w:t>
      </w:r>
      <w:r w:rsidRPr="002B02F9">
        <w:rPr>
          <w:rFonts w:ascii="Arial" w:hAnsi="Arial" w:cs="Arial"/>
          <w:sz w:val="20"/>
          <w:szCs w:val="20"/>
        </w:rPr>
        <w:t xml:space="preserve">. (2015). In line with research by Purohit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(1985) and Bhat </w:t>
      </w:r>
      <w:r w:rsidRPr="002B02F9">
        <w:rPr>
          <w:rFonts w:ascii="Arial" w:hAnsi="Arial" w:cs="Arial"/>
          <w:i/>
          <w:iCs/>
          <w:sz w:val="20"/>
          <w:szCs w:val="20"/>
        </w:rPr>
        <w:t>et al.</w:t>
      </w:r>
      <w:r w:rsidRPr="002B02F9">
        <w:rPr>
          <w:rFonts w:ascii="Arial" w:hAnsi="Arial" w:cs="Arial"/>
          <w:sz w:val="20"/>
          <w:szCs w:val="20"/>
        </w:rPr>
        <w:t xml:space="preserve"> (2004) in pomegranates, auxins such as IBA probably encouraged shoot formation through cell division and elongation.</w:t>
      </w:r>
    </w:p>
    <w:p w14:paraId="62010340" w14:textId="0C1615E2" w:rsidR="004A5486" w:rsidRPr="002B02F9" w:rsidRDefault="004A5486" w:rsidP="00B71E1E">
      <w:pPr>
        <w:pStyle w:val="ListParagraph"/>
        <w:numPr>
          <w:ilvl w:val="2"/>
          <w:numId w:val="4"/>
        </w:numPr>
        <w:spacing w:line="276" w:lineRule="auto"/>
        <w:jc w:val="both"/>
        <w:rPr>
          <w:rFonts w:ascii="Arial" w:hAnsi="Arial" w:cs="Arial"/>
          <w:b/>
          <w:bCs/>
          <w:sz w:val="20"/>
          <w:szCs w:val="20"/>
        </w:rPr>
      </w:pPr>
      <w:r w:rsidRPr="002B02F9">
        <w:rPr>
          <w:rFonts w:ascii="Arial" w:hAnsi="Arial" w:cs="Arial"/>
          <w:b/>
          <w:bCs/>
          <w:sz w:val="20"/>
          <w:szCs w:val="20"/>
        </w:rPr>
        <w:t>Length of longest shoot per cutting</w:t>
      </w:r>
    </w:p>
    <w:p w14:paraId="5BE69F9D" w14:textId="669B2F9E" w:rsidR="004A5486" w:rsidRPr="002B02F9" w:rsidRDefault="004A5486" w:rsidP="00873C94">
      <w:pPr>
        <w:spacing w:line="276" w:lineRule="auto"/>
        <w:ind w:firstLine="720"/>
        <w:jc w:val="both"/>
        <w:rPr>
          <w:rFonts w:ascii="Arial" w:hAnsi="Arial" w:cs="Arial"/>
          <w:sz w:val="20"/>
          <w:szCs w:val="20"/>
          <w:lang w:val="en-US"/>
        </w:rPr>
      </w:pPr>
      <w:r w:rsidRPr="002B02F9">
        <w:rPr>
          <w:rFonts w:ascii="Arial" w:hAnsi="Arial" w:cs="Arial"/>
          <w:sz w:val="20"/>
          <w:szCs w:val="20"/>
        </w:rPr>
        <w:t xml:space="preserve">The length of longest shoot per cutting varied significantly by the rooting media and IBA and their interactions at 60 and 90 </w:t>
      </w:r>
      <w:proofErr w:type="gramStart"/>
      <w:r w:rsidRPr="002B02F9">
        <w:rPr>
          <w:rFonts w:ascii="Arial" w:hAnsi="Arial" w:cs="Arial"/>
          <w:sz w:val="20"/>
          <w:szCs w:val="20"/>
        </w:rPr>
        <w:t>DAP</w:t>
      </w:r>
      <w:proofErr w:type="gramEnd"/>
      <w:r w:rsidRPr="002B02F9">
        <w:rPr>
          <w:rFonts w:ascii="Arial" w:hAnsi="Arial" w:cs="Arial"/>
          <w:sz w:val="20"/>
          <w:szCs w:val="20"/>
        </w:rPr>
        <w:t xml:space="preserve"> in pomegranate</w:t>
      </w:r>
      <w:r w:rsidR="00AA56F6" w:rsidRPr="002B02F9">
        <w:rPr>
          <w:rFonts w:ascii="Arial" w:hAnsi="Arial" w:cs="Arial"/>
          <w:sz w:val="20"/>
          <w:szCs w:val="20"/>
        </w:rPr>
        <w:t xml:space="preserve"> </w:t>
      </w:r>
      <w:r w:rsidR="00AA56F6" w:rsidRPr="002B02F9">
        <w:rPr>
          <w:rFonts w:ascii="Arial" w:hAnsi="Arial" w:cs="Arial"/>
          <w:sz w:val="20"/>
          <w:szCs w:val="20"/>
          <w:lang w:val="en-US"/>
        </w:rPr>
        <w:t>was presented in Table 2</w:t>
      </w:r>
      <w:r w:rsidRPr="002B02F9">
        <w:rPr>
          <w:rFonts w:ascii="Arial" w:hAnsi="Arial" w:cs="Arial"/>
          <w:sz w:val="20"/>
          <w:szCs w:val="20"/>
        </w:rPr>
        <w:t>. There was an increase in the mean length of longest shoot per cutting from 11.78 cm (30 DAP) to 19.99 cm (90 DAP).</w:t>
      </w:r>
    </w:p>
    <w:p w14:paraId="3986436B" w14:textId="32B6FA3C"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cuttings planted in (M</w:t>
      </w:r>
      <w:r w:rsidRPr="002B02F9">
        <w:rPr>
          <w:rFonts w:ascii="Arial" w:hAnsi="Arial" w:cs="Arial"/>
          <w:sz w:val="20"/>
          <w:szCs w:val="20"/>
          <w:vertAlign w:val="subscript"/>
        </w:rPr>
        <w:t>2</w:t>
      </w:r>
      <w:r w:rsidRPr="002B02F9">
        <w:rPr>
          <w:rFonts w:ascii="Arial" w:hAnsi="Arial" w:cs="Arial"/>
          <w:sz w:val="20"/>
          <w:szCs w:val="20"/>
        </w:rPr>
        <w:t>) sand and vermiculite medium were observed to record significantly more length of longest shoot per cutting at 90 DAP (22.63 cm) followed by the cuttings planted in (M</w:t>
      </w:r>
      <w:r w:rsidRPr="002B02F9">
        <w:rPr>
          <w:rFonts w:ascii="Arial" w:hAnsi="Arial" w:cs="Arial"/>
          <w:sz w:val="20"/>
          <w:szCs w:val="20"/>
          <w:vertAlign w:val="subscript"/>
        </w:rPr>
        <w:t>3</w:t>
      </w:r>
      <w:r w:rsidRPr="002B02F9">
        <w:rPr>
          <w:rFonts w:ascii="Arial" w:hAnsi="Arial" w:cs="Arial"/>
          <w:sz w:val="20"/>
          <w:szCs w:val="20"/>
        </w:rPr>
        <w:t xml:space="preserve">) sand, vermiculite and vermicompost (18.75 cm) </w:t>
      </w:r>
      <w:r w:rsidR="00B71E1E" w:rsidRPr="002B02F9">
        <w:rPr>
          <w:rFonts w:ascii="Arial" w:hAnsi="Arial" w:cs="Arial"/>
          <w:sz w:val="20"/>
          <w:szCs w:val="20"/>
        </w:rPr>
        <w:t>which was</w:t>
      </w:r>
      <w:r w:rsidRPr="002B02F9">
        <w:rPr>
          <w:rFonts w:ascii="Arial" w:hAnsi="Arial" w:cs="Arial"/>
          <w:sz w:val="20"/>
          <w:szCs w:val="20"/>
        </w:rPr>
        <w:t xml:space="preserve"> on par with (M</w:t>
      </w:r>
      <w:r w:rsidRPr="002B02F9">
        <w:rPr>
          <w:rFonts w:ascii="Arial" w:hAnsi="Arial" w:cs="Arial"/>
          <w:sz w:val="20"/>
          <w:szCs w:val="20"/>
          <w:vertAlign w:val="subscript"/>
        </w:rPr>
        <w:t>1</w:t>
      </w:r>
      <w:r w:rsidRPr="002B02F9">
        <w:rPr>
          <w:rFonts w:ascii="Arial" w:hAnsi="Arial" w:cs="Arial"/>
          <w:sz w:val="20"/>
          <w:szCs w:val="20"/>
        </w:rPr>
        <w:t>) sand and vermicompost (18.59 cm).</w:t>
      </w:r>
    </w:p>
    <w:p w14:paraId="6ED54399"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Among the IBA treatments the length of longest shoot per cutting was found to be </w:t>
      </w:r>
      <w:r w:rsidRPr="002B02F9">
        <w:rPr>
          <w:rFonts w:ascii="Arial" w:hAnsi="Arial" w:cs="Arial"/>
          <w:sz w:val="20"/>
          <w:szCs w:val="20"/>
        </w:rPr>
        <w:lastRenderedPageBreak/>
        <w:t>maximum (28.44 cm) in cuttings treated with (G</w:t>
      </w:r>
      <w:r w:rsidRPr="002B02F9">
        <w:rPr>
          <w:rFonts w:ascii="Arial" w:hAnsi="Arial" w:cs="Arial"/>
          <w:sz w:val="20"/>
          <w:szCs w:val="20"/>
          <w:vertAlign w:val="subscript"/>
        </w:rPr>
        <w:t>4</w:t>
      </w:r>
      <w:r w:rsidRPr="002B02F9">
        <w:rPr>
          <w:rFonts w:ascii="Arial" w:hAnsi="Arial" w:cs="Arial"/>
          <w:sz w:val="20"/>
          <w:szCs w:val="20"/>
        </w:rPr>
        <w:t>) IBA at 2000 ppm followed by (G</w:t>
      </w:r>
      <w:r w:rsidRPr="002B02F9">
        <w:rPr>
          <w:rFonts w:ascii="Arial" w:hAnsi="Arial" w:cs="Arial"/>
          <w:sz w:val="20"/>
          <w:szCs w:val="20"/>
          <w:vertAlign w:val="subscript"/>
        </w:rPr>
        <w:t>3</w:t>
      </w:r>
      <w:r w:rsidRPr="002B02F9">
        <w:rPr>
          <w:rFonts w:ascii="Arial" w:hAnsi="Arial" w:cs="Arial"/>
          <w:sz w:val="20"/>
          <w:szCs w:val="20"/>
        </w:rPr>
        <w:t>) IBA at 1500 ppm (23.67 cm), while the minimum length of longest shoot per cutting (10.28 cm) was observed in (G</w:t>
      </w:r>
      <w:r w:rsidRPr="002B02F9">
        <w:rPr>
          <w:rFonts w:ascii="Arial" w:hAnsi="Arial" w:cs="Arial"/>
          <w:sz w:val="20"/>
          <w:szCs w:val="20"/>
          <w:vertAlign w:val="subscript"/>
        </w:rPr>
        <w:t>1</w:t>
      </w:r>
      <w:r w:rsidRPr="002B02F9">
        <w:rPr>
          <w:rFonts w:ascii="Arial" w:hAnsi="Arial" w:cs="Arial"/>
          <w:sz w:val="20"/>
          <w:szCs w:val="20"/>
        </w:rPr>
        <w:t xml:space="preserve">) IBA at 0 ppm. </w:t>
      </w:r>
    </w:p>
    <w:p w14:paraId="068F3BB9" w14:textId="3FC0F139"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Significant interaction existed between rooting media and IBA for length of longest shoot per cutting. si</w:t>
      </w:r>
      <w:r w:rsidR="00B71E1E" w:rsidRPr="002B02F9">
        <w:rPr>
          <w:rFonts w:ascii="Arial" w:hAnsi="Arial" w:cs="Arial"/>
          <w:sz w:val="20"/>
          <w:szCs w:val="20"/>
        </w:rPr>
        <w:t>multaneously</w:t>
      </w:r>
      <w:r w:rsidRPr="002B02F9">
        <w:rPr>
          <w:rFonts w:ascii="Arial" w:hAnsi="Arial" w:cs="Arial"/>
          <w:sz w:val="20"/>
          <w:szCs w:val="20"/>
        </w:rPr>
        <w:t xml:space="preserve"> longest shoot per cutting with highest length of 32.33 cm was observed in (M</w:t>
      </w:r>
      <w:r w:rsidRPr="002B02F9">
        <w:rPr>
          <w:rFonts w:ascii="Arial" w:hAnsi="Arial" w:cs="Arial"/>
          <w:sz w:val="20"/>
          <w:szCs w:val="20"/>
          <w:vertAlign w:val="subscript"/>
        </w:rPr>
        <w:t>2</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sand and vermiculite with IBA at 2000 ppm, followed by 27.67 cm was observed in (M</w:t>
      </w:r>
      <w:r w:rsidRPr="002B02F9">
        <w:rPr>
          <w:rFonts w:ascii="Arial" w:hAnsi="Arial" w:cs="Arial"/>
          <w:sz w:val="20"/>
          <w:szCs w:val="20"/>
          <w:vertAlign w:val="subscript"/>
        </w:rPr>
        <w:t>3</w:t>
      </w:r>
      <w:r w:rsidRPr="002B02F9">
        <w:rPr>
          <w:rFonts w:ascii="Arial" w:hAnsi="Arial" w:cs="Arial"/>
          <w:sz w:val="20"/>
          <w:szCs w:val="20"/>
        </w:rPr>
        <w:t>G</w:t>
      </w:r>
      <w:r w:rsidRPr="002B02F9">
        <w:rPr>
          <w:rFonts w:ascii="Arial" w:hAnsi="Arial" w:cs="Arial"/>
          <w:sz w:val="20"/>
          <w:szCs w:val="20"/>
          <w:vertAlign w:val="subscript"/>
        </w:rPr>
        <w:t>4</w:t>
      </w:r>
      <w:r w:rsidRPr="002B02F9">
        <w:rPr>
          <w:rFonts w:ascii="Arial" w:hAnsi="Arial" w:cs="Arial"/>
          <w:sz w:val="20"/>
          <w:szCs w:val="20"/>
        </w:rPr>
        <w:t>) sand, vermiculite and vermicompost with IBA at 2000 ppm and the least length of 7.67 cm was observed in (M</w:t>
      </w:r>
      <w:r w:rsidRPr="002B02F9">
        <w:rPr>
          <w:rFonts w:ascii="Arial" w:hAnsi="Arial" w:cs="Arial"/>
          <w:sz w:val="20"/>
          <w:szCs w:val="20"/>
          <w:vertAlign w:val="subscript"/>
        </w:rPr>
        <w:t>1</w:t>
      </w:r>
      <w:r w:rsidRPr="002B02F9">
        <w:rPr>
          <w:rFonts w:ascii="Arial" w:hAnsi="Arial" w:cs="Arial"/>
          <w:sz w:val="20"/>
          <w:szCs w:val="20"/>
        </w:rPr>
        <w:t>G</w:t>
      </w:r>
      <w:r w:rsidRPr="002B02F9">
        <w:rPr>
          <w:rFonts w:ascii="Arial" w:hAnsi="Arial" w:cs="Arial"/>
          <w:sz w:val="20"/>
          <w:szCs w:val="20"/>
          <w:vertAlign w:val="subscript"/>
        </w:rPr>
        <w:t>1</w:t>
      </w:r>
      <w:r w:rsidRPr="002B02F9">
        <w:rPr>
          <w:rFonts w:ascii="Arial" w:hAnsi="Arial" w:cs="Arial"/>
          <w:sz w:val="20"/>
          <w:szCs w:val="20"/>
        </w:rPr>
        <w:t>) sand and vermicompost with IBA at 0 ppm.</w:t>
      </w:r>
    </w:p>
    <w:p w14:paraId="3FF2D47D"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Current research indicates that the longest shoots were produced by cuttings cultivated in a mixture of sand and vermiculite. This might be the case because vermiculite gives the root a sufficient supply of oxygen, water, and nutrients to function properly, which helps the root absorb more moisture and nutrients and produces the longest shoot. Auxin may have increased the number of leaves and length of the longest shoot by promoting shoot growth and causing stems and leaves to elongate through cell division. The present findings align with those of Bhat </w:t>
      </w:r>
      <w:r w:rsidRPr="002B02F9">
        <w:rPr>
          <w:rFonts w:ascii="Arial" w:hAnsi="Arial" w:cs="Arial"/>
          <w:i/>
          <w:iCs/>
          <w:sz w:val="20"/>
          <w:szCs w:val="20"/>
        </w:rPr>
        <w:t>et al</w:t>
      </w:r>
      <w:r w:rsidRPr="002B02F9">
        <w:rPr>
          <w:rFonts w:ascii="Arial" w:hAnsi="Arial" w:cs="Arial"/>
          <w:sz w:val="20"/>
          <w:szCs w:val="20"/>
        </w:rPr>
        <w:t xml:space="preserve">. </w:t>
      </w:r>
      <w:r w:rsidRPr="002B02F9">
        <w:rPr>
          <w:rFonts w:ascii="Arial" w:hAnsi="Arial" w:cs="Arial"/>
          <w:sz w:val="20"/>
          <w:szCs w:val="20"/>
          <w:lang w:val="it-IT"/>
        </w:rPr>
        <w:t xml:space="preserve">(2004) in pomegranates, Batista </w:t>
      </w:r>
      <w:r w:rsidRPr="002B02F9">
        <w:rPr>
          <w:rFonts w:ascii="Arial" w:hAnsi="Arial" w:cs="Arial"/>
          <w:i/>
          <w:iCs/>
          <w:sz w:val="20"/>
          <w:szCs w:val="20"/>
          <w:lang w:val="it-IT"/>
        </w:rPr>
        <w:t>et al</w:t>
      </w:r>
      <w:r w:rsidRPr="002B02F9">
        <w:rPr>
          <w:rFonts w:ascii="Arial" w:hAnsi="Arial" w:cs="Arial"/>
          <w:sz w:val="20"/>
          <w:szCs w:val="20"/>
          <w:lang w:val="it-IT"/>
        </w:rPr>
        <w:t xml:space="preserve">. (2011) in pomegranates, Parvez </w:t>
      </w:r>
      <w:r w:rsidRPr="002B02F9">
        <w:rPr>
          <w:rFonts w:ascii="Arial" w:hAnsi="Arial" w:cs="Arial"/>
          <w:i/>
          <w:iCs/>
          <w:sz w:val="20"/>
          <w:szCs w:val="20"/>
          <w:lang w:val="it-IT"/>
        </w:rPr>
        <w:t>et al</w:t>
      </w:r>
      <w:r w:rsidRPr="002B02F9">
        <w:rPr>
          <w:rFonts w:ascii="Arial" w:hAnsi="Arial" w:cs="Arial"/>
          <w:sz w:val="20"/>
          <w:szCs w:val="20"/>
          <w:lang w:val="it-IT"/>
        </w:rPr>
        <w:t xml:space="preserve">. </w:t>
      </w:r>
      <w:r w:rsidRPr="002B02F9">
        <w:rPr>
          <w:rFonts w:ascii="Arial" w:hAnsi="Arial" w:cs="Arial"/>
          <w:sz w:val="20"/>
          <w:szCs w:val="20"/>
        </w:rPr>
        <w:t xml:space="preserve">(2007) in peaches, and Khayyat </w:t>
      </w:r>
      <w:r w:rsidRPr="002B02F9">
        <w:rPr>
          <w:rFonts w:ascii="Arial" w:hAnsi="Arial" w:cs="Arial"/>
          <w:i/>
          <w:iCs/>
          <w:sz w:val="20"/>
          <w:szCs w:val="20"/>
        </w:rPr>
        <w:t>et al</w:t>
      </w:r>
      <w:r w:rsidRPr="002B02F9">
        <w:rPr>
          <w:rFonts w:ascii="Arial" w:hAnsi="Arial" w:cs="Arial"/>
          <w:sz w:val="20"/>
          <w:szCs w:val="20"/>
        </w:rPr>
        <w:t xml:space="preserve">. (2007) in </w:t>
      </w:r>
      <w:proofErr w:type="spellStart"/>
      <w:r w:rsidRPr="002B02F9">
        <w:rPr>
          <w:rFonts w:ascii="Arial" w:hAnsi="Arial" w:cs="Arial"/>
          <w:sz w:val="20"/>
          <w:szCs w:val="20"/>
        </w:rPr>
        <w:t>pothos</w:t>
      </w:r>
      <w:proofErr w:type="spellEnd"/>
      <w:r w:rsidRPr="002B02F9">
        <w:rPr>
          <w:rFonts w:ascii="Arial" w:hAnsi="Arial" w:cs="Arial"/>
          <w:sz w:val="20"/>
          <w:szCs w:val="20"/>
        </w:rPr>
        <w:t>.</w:t>
      </w:r>
    </w:p>
    <w:p w14:paraId="61CEA6A9" w14:textId="033F2F33" w:rsidR="004A5486" w:rsidRPr="002B02F9" w:rsidRDefault="004A5486" w:rsidP="00B71E1E">
      <w:pPr>
        <w:pStyle w:val="ListParagraph"/>
        <w:numPr>
          <w:ilvl w:val="2"/>
          <w:numId w:val="4"/>
        </w:numPr>
        <w:spacing w:line="276" w:lineRule="auto"/>
        <w:jc w:val="both"/>
        <w:rPr>
          <w:rFonts w:ascii="Arial" w:hAnsi="Arial" w:cs="Arial"/>
          <w:b/>
          <w:bCs/>
          <w:sz w:val="20"/>
          <w:szCs w:val="20"/>
        </w:rPr>
      </w:pPr>
      <w:r w:rsidRPr="002B02F9">
        <w:rPr>
          <w:rFonts w:ascii="Arial" w:hAnsi="Arial" w:cs="Arial"/>
          <w:b/>
          <w:bCs/>
          <w:sz w:val="20"/>
          <w:szCs w:val="20"/>
        </w:rPr>
        <w:t>Percentage of mortality during hardening process</w:t>
      </w:r>
    </w:p>
    <w:p w14:paraId="4FDC86C6" w14:textId="5C963B32" w:rsidR="004A5486" w:rsidRPr="002B02F9" w:rsidRDefault="004A5486" w:rsidP="005D0190">
      <w:pPr>
        <w:spacing w:line="276" w:lineRule="auto"/>
        <w:jc w:val="both"/>
        <w:rPr>
          <w:rFonts w:ascii="Arial" w:hAnsi="Arial" w:cs="Arial"/>
          <w:sz w:val="20"/>
          <w:szCs w:val="20"/>
          <w:lang w:val="en-US"/>
        </w:rPr>
      </w:pPr>
      <w:r w:rsidRPr="002B02F9">
        <w:rPr>
          <w:rFonts w:ascii="Arial" w:hAnsi="Arial" w:cs="Arial"/>
          <w:sz w:val="20"/>
          <w:szCs w:val="20"/>
        </w:rPr>
        <w:tab/>
        <w:t xml:space="preserve">There were significant differences in percentage mortality of rooted cuttings during the hardening process among the rooting media and different IBA treatments at 90 </w:t>
      </w:r>
      <w:proofErr w:type="gramStart"/>
      <w:r w:rsidRPr="002B02F9">
        <w:rPr>
          <w:rFonts w:ascii="Arial" w:hAnsi="Arial" w:cs="Arial"/>
          <w:sz w:val="20"/>
          <w:szCs w:val="20"/>
        </w:rPr>
        <w:t>DAP</w:t>
      </w:r>
      <w:proofErr w:type="gramEnd"/>
      <w:r w:rsidR="00B71E1E" w:rsidRPr="002B02F9">
        <w:rPr>
          <w:rFonts w:ascii="Arial" w:hAnsi="Arial" w:cs="Arial"/>
          <w:sz w:val="20"/>
          <w:szCs w:val="20"/>
        </w:rPr>
        <w:t xml:space="preserve"> </w:t>
      </w:r>
      <w:r w:rsidR="00AA56F6" w:rsidRPr="002B02F9">
        <w:rPr>
          <w:rFonts w:ascii="Arial" w:hAnsi="Arial" w:cs="Arial"/>
          <w:sz w:val="20"/>
          <w:szCs w:val="20"/>
          <w:lang w:val="en-US"/>
        </w:rPr>
        <w:t xml:space="preserve">are presented in </w:t>
      </w:r>
      <w:r w:rsidR="00873C94" w:rsidRPr="002B02F9">
        <w:rPr>
          <w:rFonts w:ascii="Arial" w:hAnsi="Arial" w:cs="Arial"/>
          <w:sz w:val="20"/>
          <w:szCs w:val="20"/>
        </w:rPr>
        <w:t>Table 3</w:t>
      </w:r>
      <w:r w:rsidR="00AA56F6" w:rsidRPr="002B02F9">
        <w:rPr>
          <w:rFonts w:ascii="Arial" w:hAnsi="Arial" w:cs="Arial"/>
          <w:sz w:val="20"/>
          <w:szCs w:val="20"/>
          <w:lang w:val="en-US"/>
        </w:rPr>
        <w:t>.</w:t>
      </w:r>
    </w:p>
    <w:p w14:paraId="035DBBDE" w14:textId="0FDF6D08" w:rsidR="0087307C" w:rsidRPr="002B02F9" w:rsidRDefault="0087307C" w:rsidP="00B71E1E">
      <w:pPr>
        <w:spacing w:line="276" w:lineRule="auto"/>
        <w:ind w:firstLine="720"/>
        <w:jc w:val="both"/>
        <w:rPr>
          <w:rFonts w:ascii="Arial" w:hAnsi="Arial" w:cs="Arial"/>
          <w:sz w:val="20"/>
          <w:szCs w:val="20"/>
        </w:rPr>
      </w:pPr>
      <w:r w:rsidRPr="002B02F9">
        <w:rPr>
          <w:rFonts w:ascii="Arial" w:hAnsi="Arial" w:cs="Arial"/>
          <w:sz w:val="20"/>
          <w:szCs w:val="20"/>
        </w:rPr>
        <w:t>The cuttings planted in (M</w:t>
      </w:r>
      <w:r w:rsidRPr="002B02F9">
        <w:rPr>
          <w:rFonts w:ascii="Arial" w:hAnsi="Arial" w:cs="Arial"/>
          <w:sz w:val="20"/>
          <w:szCs w:val="20"/>
          <w:vertAlign w:val="subscript"/>
        </w:rPr>
        <w:t>3</w:t>
      </w:r>
      <w:r w:rsidRPr="002B02F9">
        <w:rPr>
          <w:rFonts w:ascii="Arial" w:hAnsi="Arial" w:cs="Arial"/>
          <w:sz w:val="20"/>
          <w:szCs w:val="20"/>
        </w:rPr>
        <w:t xml:space="preserve">) sand, vermicompost and vermiculite medium recorded lowest percentage mortality of rooted cuttings (28.9 %), followed by cuttings planted in sand and vermiculite medium (30.78%), highest percentage mortality of rooted cuttings was observed by those planted in sand and vermicompost (35.68%). </w:t>
      </w:r>
    </w:p>
    <w:p w14:paraId="2ADB0968" w14:textId="096696EA" w:rsidR="0087307C" w:rsidRPr="002B02F9" w:rsidRDefault="0087307C" w:rsidP="00B71E1E">
      <w:pPr>
        <w:spacing w:line="276" w:lineRule="auto"/>
        <w:ind w:firstLine="720"/>
        <w:jc w:val="both"/>
        <w:rPr>
          <w:rFonts w:ascii="Arial" w:hAnsi="Arial" w:cs="Arial"/>
          <w:sz w:val="20"/>
          <w:szCs w:val="20"/>
        </w:rPr>
      </w:pPr>
      <w:r w:rsidRPr="002B02F9">
        <w:rPr>
          <w:rFonts w:ascii="Arial" w:hAnsi="Arial" w:cs="Arial"/>
          <w:sz w:val="20"/>
          <w:szCs w:val="20"/>
        </w:rPr>
        <w:t xml:space="preserve"> Among the IBA treatments, (G</w:t>
      </w:r>
      <w:r w:rsidRPr="002B02F9">
        <w:rPr>
          <w:rFonts w:ascii="Arial" w:hAnsi="Arial" w:cs="Arial"/>
          <w:sz w:val="20"/>
          <w:szCs w:val="20"/>
          <w:vertAlign w:val="subscript"/>
        </w:rPr>
        <w:t>4</w:t>
      </w:r>
      <w:r w:rsidRPr="002B02F9">
        <w:rPr>
          <w:rFonts w:ascii="Arial" w:hAnsi="Arial" w:cs="Arial"/>
          <w:sz w:val="20"/>
          <w:szCs w:val="20"/>
        </w:rPr>
        <w:t xml:space="preserve">) IBA at 2000 ppm recorded the lowest percentage mortality of rooted cuttings (18.02%) which was </w:t>
      </w:r>
      <w:r w:rsidRPr="002B02F9">
        <w:rPr>
          <w:rFonts w:ascii="Arial" w:hAnsi="Arial" w:cs="Arial"/>
          <w:sz w:val="20"/>
          <w:szCs w:val="20"/>
        </w:rPr>
        <w:t xml:space="preserve">followed by (30.21%) those cuttings treated with IBA at 1500 ppm and the highest percentage mortality of rooted cuttings (44.89%) observed in IBA at 0 ppm. There existed a non-significant interaction between rooting media and IBA treatments for percentage of mortality during hardening process of rooted cuttings. The results are line with Mayer </w:t>
      </w:r>
      <w:r w:rsidRPr="002B02F9">
        <w:rPr>
          <w:rFonts w:ascii="Arial" w:hAnsi="Arial" w:cs="Arial"/>
          <w:i/>
          <w:iCs/>
          <w:sz w:val="20"/>
          <w:szCs w:val="20"/>
        </w:rPr>
        <w:t>et al</w:t>
      </w:r>
      <w:r w:rsidRPr="002B02F9">
        <w:rPr>
          <w:rFonts w:ascii="Arial" w:hAnsi="Arial" w:cs="Arial"/>
          <w:sz w:val="20"/>
          <w:szCs w:val="20"/>
        </w:rPr>
        <w:t xml:space="preserve">. (2015). </w:t>
      </w:r>
    </w:p>
    <w:p w14:paraId="2B2B9D82" w14:textId="3FEAB537" w:rsidR="004A5486" w:rsidRPr="002B02F9" w:rsidRDefault="004A5486" w:rsidP="00B71E1E">
      <w:pPr>
        <w:pStyle w:val="ListParagraph"/>
        <w:numPr>
          <w:ilvl w:val="1"/>
          <w:numId w:val="4"/>
        </w:numPr>
        <w:spacing w:line="276" w:lineRule="auto"/>
        <w:jc w:val="both"/>
        <w:rPr>
          <w:rFonts w:ascii="Arial" w:hAnsi="Arial" w:cs="Arial"/>
          <w:b/>
          <w:bCs/>
          <w:sz w:val="20"/>
          <w:szCs w:val="20"/>
        </w:rPr>
      </w:pPr>
      <w:r w:rsidRPr="002B02F9">
        <w:rPr>
          <w:rFonts w:ascii="Arial" w:hAnsi="Arial" w:cs="Arial"/>
          <w:b/>
          <w:bCs/>
          <w:sz w:val="20"/>
          <w:szCs w:val="20"/>
        </w:rPr>
        <w:t>Root parameters</w:t>
      </w:r>
    </w:p>
    <w:p w14:paraId="43465B25" w14:textId="03E78099" w:rsidR="004A5486" w:rsidRPr="002B02F9" w:rsidRDefault="00B71E1E" w:rsidP="00B71E1E">
      <w:pPr>
        <w:spacing w:line="276" w:lineRule="auto"/>
        <w:jc w:val="both"/>
        <w:rPr>
          <w:rFonts w:ascii="Arial" w:hAnsi="Arial" w:cs="Arial"/>
          <w:b/>
          <w:bCs/>
          <w:sz w:val="20"/>
          <w:szCs w:val="20"/>
          <w:lang w:val="en-US"/>
        </w:rPr>
      </w:pPr>
      <w:r w:rsidRPr="002B02F9">
        <w:rPr>
          <w:rFonts w:ascii="Arial" w:hAnsi="Arial" w:cs="Arial"/>
          <w:b/>
          <w:bCs/>
          <w:sz w:val="20"/>
          <w:szCs w:val="20"/>
          <w:lang w:val="en-US"/>
        </w:rPr>
        <w:t>3.2.1</w:t>
      </w:r>
      <w:r w:rsidRPr="002B02F9">
        <w:rPr>
          <w:rFonts w:ascii="Arial" w:hAnsi="Arial" w:cs="Arial"/>
          <w:b/>
          <w:bCs/>
          <w:sz w:val="20"/>
          <w:szCs w:val="20"/>
          <w:lang w:val="en-US"/>
        </w:rPr>
        <w:tab/>
      </w:r>
      <w:r w:rsidR="004A5486" w:rsidRPr="002B02F9">
        <w:rPr>
          <w:rFonts w:ascii="Arial" w:hAnsi="Arial" w:cs="Arial"/>
          <w:b/>
          <w:bCs/>
          <w:sz w:val="20"/>
          <w:szCs w:val="20"/>
          <w:lang w:val="en-US"/>
        </w:rPr>
        <w:t>Percentage of rooted cuttings (%)</w:t>
      </w:r>
    </w:p>
    <w:p w14:paraId="7D2368E3" w14:textId="7702F9C2" w:rsidR="004A5486" w:rsidRPr="002B02F9" w:rsidRDefault="004A5486" w:rsidP="0087307C">
      <w:pPr>
        <w:spacing w:line="276" w:lineRule="auto"/>
        <w:ind w:firstLine="720"/>
        <w:jc w:val="both"/>
        <w:rPr>
          <w:rFonts w:ascii="Arial" w:hAnsi="Arial" w:cs="Arial"/>
          <w:sz w:val="20"/>
          <w:szCs w:val="20"/>
          <w:lang w:val="en-US"/>
        </w:rPr>
      </w:pPr>
      <w:r w:rsidRPr="002B02F9">
        <w:rPr>
          <w:rFonts w:ascii="Arial" w:hAnsi="Arial" w:cs="Arial"/>
          <w:sz w:val="20"/>
          <w:szCs w:val="20"/>
        </w:rPr>
        <w:t xml:space="preserve">There were significant differences in respect of percentage of rooted cuttings among the rooting media and different IBA treatments at 30 days after planting </w:t>
      </w:r>
      <w:r w:rsidR="00AA56F6" w:rsidRPr="002B02F9">
        <w:rPr>
          <w:rFonts w:ascii="Arial" w:hAnsi="Arial" w:cs="Arial"/>
          <w:sz w:val="20"/>
          <w:szCs w:val="20"/>
          <w:lang w:val="en-US"/>
        </w:rPr>
        <w:t xml:space="preserve">was presented in </w:t>
      </w:r>
      <w:r w:rsidR="00873C94" w:rsidRPr="002B02F9">
        <w:rPr>
          <w:rFonts w:ascii="Arial" w:hAnsi="Arial" w:cs="Arial"/>
          <w:sz w:val="20"/>
          <w:szCs w:val="20"/>
          <w:lang w:val="en-US"/>
        </w:rPr>
        <w:t>Table 4.</w:t>
      </w:r>
      <w:r w:rsidR="00AA56F6" w:rsidRPr="002B02F9">
        <w:rPr>
          <w:rFonts w:ascii="Arial" w:hAnsi="Arial" w:cs="Arial"/>
          <w:sz w:val="20"/>
          <w:szCs w:val="20"/>
          <w:lang w:val="en-US"/>
        </w:rPr>
        <w:t xml:space="preserve"> </w:t>
      </w:r>
    </w:p>
    <w:p w14:paraId="527BD37C" w14:textId="489E17AC"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The cuttings planted in a mixture of sand and vermiculite (M</w:t>
      </w:r>
      <w:r w:rsidRPr="002B02F9">
        <w:rPr>
          <w:rFonts w:ascii="Arial" w:hAnsi="Arial" w:cs="Arial"/>
          <w:sz w:val="20"/>
          <w:szCs w:val="20"/>
          <w:vertAlign w:val="subscript"/>
        </w:rPr>
        <w:t>2</w:t>
      </w:r>
      <w:r w:rsidRPr="002B02F9">
        <w:rPr>
          <w:rFonts w:ascii="Arial" w:hAnsi="Arial" w:cs="Arial"/>
          <w:sz w:val="20"/>
          <w:szCs w:val="20"/>
        </w:rPr>
        <w:t>) medium recorded the highest rooting percentage (8</w:t>
      </w:r>
      <w:r w:rsidR="0087307C" w:rsidRPr="002B02F9">
        <w:rPr>
          <w:rFonts w:ascii="Arial" w:hAnsi="Arial" w:cs="Arial"/>
          <w:sz w:val="20"/>
          <w:szCs w:val="20"/>
        </w:rPr>
        <w:t>7.92</w:t>
      </w:r>
      <w:r w:rsidRPr="002B02F9">
        <w:rPr>
          <w:rFonts w:ascii="Arial" w:hAnsi="Arial" w:cs="Arial"/>
          <w:sz w:val="20"/>
          <w:szCs w:val="20"/>
        </w:rPr>
        <w:t>%), followed by cuttings planted in sand, vermiculite and vermicompost (M</w:t>
      </w:r>
      <w:r w:rsidRPr="002B02F9">
        <w:rPr>
          <w:rFonts w:ascii="Arial" w:hAnsi="Arial" w:cs="Arial"/>
          <w:sz w:val="20"/>
          <w:szCs w:val="20"/>
          <w:vertAlign w:val="subscript"/>
        </w:rPr>
        <w:t>3</w:t>
      </w:r>
      <w:r w:rsidRPr="002B02F9">
        <w:rPr>
          <w:rFonts w:ascii="Arial" w:hAnsi="Arial" w:cs="Arial"/>
          <w:sz w:val="20"/>
          <w:szCs w:val="20"/>
        </w:rPr>
        <w:t>) medium (7</w:t>
      </w:r>
      <w:r w:rsidR="0087307C" w:rsidRPr="002B02F9">
        <w:rPr>
          <w:rFonts w:ascii="Arial" w:hAnsi="Arial" w:cs="Arial"/>
          <w:sz w:val="20"/>
          <w:szCs w:val="20"/>
        </w:rPr>
        <w:t>8.34</w:t>
      </w:r>
      <w:r w:rsidRPr="002B02F9">
        <w:rPr>
          <w:rFonts w:ascii="Arial" w:hAnsi="Arial" w:cs="Arial"/>
          <w:sz w:val="20"/>
          <w:szCs w:val="20"/>
        </w:rPr>
        <w:t>%) and the lowest percentage of rooted cutting in cuttings planted in sand and vermicompost (M</w:t>
      </w:r>
      <w:r w:rsidRPr="002B02F9">
        <w:rPr>
          <w:rFonts w:ascii="Arial" w:hAnsi="Arial" w:cs="Arial"/>
          <w:sz w:val="20"/>
          <w:szCs w:val="20"/>
          <w:vertAlign w:val="subscript"/>
        </w:rPr>
        <w:t>1</w:t>
      </w:r>
      <w:r w:rsidRPr="002B02F9">
        <w:rPr>
          <w:rFonts w:ascii="Arial" w:hAnsi="Arial" w:cs="Arial"/>
          <w:sz w:val="20"/>
          <w:szCs w:val="20"/>
        </w:rPr>
        <w:t>) medium (7</w:t>
      </w:r>
      <w:r w:rsidR="0087307C" w:rsidRPr="002B02F9">
        <w:rPr>
          <w:rFonts w:ascii="Arial" w:hAnsi="Arial" w:cs="Arial"/>
          <w:sz w:val="20"/>
          <w:szCs w:val="20"/>
        </w:rPr>
        <w:t>5.00</w:t>
      </w:r>
      <w:r w:rsidRPr="002B02F9">
        <w:rPr>
          <w:rFonts w:ascii="Arial" w:hAnsi="Arial" w:cs="Arial"/>
          <w:sz w:val="20"/>
          <w:szCs w:val="20"/>
        </w:rPr>
        <w:t>%).</w:t>
      </w:r>
    </w:p>
    <w:p w14:paraId="736D222C" w14:textId="31681CDF" w:rsidR="004A5486" w:rsidRPr="002B02F9" w:rsidRDefault="004A5486" w:rsidP="005D0190">
      <w:pPr>
        <w:spacing w:line="276" w:lineRule="auto"/>
        <w:jc w:val="both"/>
        <w:rPr>
          <w:rFonts w:ascii="Arial" w:eastAsia="Times New Roman" w:hAnsi="Arial" w:cs="Arial"/>
          <w:color w:val="000000"/>
          <w:kern w:val="0"/>
          <w:sz w:val="20"/>
          <w:szCs w:val="20"/>
          <w:lang w:eastAsia="en-IN"/>
          <w14:ligatures w14:val="none"/>
        </w:rPr>
      </w:pPr>
      <w:r w:rsidRPr="002B02F9">
        <w:rPr>
          <w:rFonts w:ascii="Arial" w:hAnsi="Arial" w:cs="Arial"/>
          <w:sz w:val="20"/>
          <w:szCs w:val="20"/>
        </w:rPr>
        <w:tab/>
        <w:t xml:space="preserve">Among the IBA treatments, IBA powder dip at 2000 ppm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w:t>
      </w:r>
      <w:r w:rsidRPr="002B02F9">
        <w:rPr>
          <w:rFonts w:ascii="Arial" w:hAnsi="Arial" w:cs="Arial"/>
          <w:sz w:val="20"/>
          <w:szCs w:val="20"/>
        </w:rPr>
        <w:t xml:space="preserve"> recorded the highest rooting percentage (8</w:t>
      </w:r>
      <w:r w:rsidR="0087307C" w:rsidRPr="002B02F9">
        <w:rPr>
          <w:rFonts w:ascii="Arial" w:hAnsi="Arial" w:cs="Arial"/>
          <w:sz w:val="20"/>
          <w:szCs w:val="20"/>
        </w:rPr>
        <w:t>8.89</w:t>
      </w:r>
      <w:r w:rsidRPr="002B02F9">
        <w:rPr>
          <w:rFonts w:ascii="Arial" w:hAnsi="Arial" w:cs="Arial"/>
          <w:sz w:val="20"/>
          <w:szCs w:val="20"/>
        </w:rPr>
        <w:t>%), which was followed by (8</w:t>
      </w:r>
      <w:r w:rsidR="0087307C" w:rsidRPr="002B02F9">
        <w:rPr>
          <w:rFonts w:ascii="Arial" w:hAnsi="Arial" w:cs="Arial"/>
          <w:sz w:val="20"/>
          <w:szCs w:val="20"/>
        </w:rPr>
        <w:t>2.22</w:t>
      </w:r>
      <w:r w:rsidRPr="002B02F9">
        <w:rPr>
          <w:rFonts w:ascii="Arial" w:hAnsi="Arial" w:cs="Arial"/>
          <w:sz w:val="20"/>
          <w:szCs w:val="20"/>
        </w:rPr>
        <w:t xml:space="preserve">%) those cuttings treated with 1500 ppm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3</w:t>
      </w:r>
      <w:r w:rsidRPr="002B02F9">
        <w:rPr>
          <w:rFonts w:ascii="Arial" w:eastAsia="Times New Roman" w:hAnsi="Arial" w:cs="Arial"/>
          <w:color w:val="000000"/>
          <w:kern w:val="0"/>
          <w:sz w:val="20"/>
          <w:szCs w:val="20"/>
          <w:lang w:eastAsia="en-IN"/>
          <w14:ligatures w14:val="none"/>
        </w:rPr>
        <w:t>)</w:t>
      </w:r>
      <w:r w:rsidRPr="002B02F9">
        <w:rPr>
          <w:rFonts w:ascii="Arial" w:hAnsi="Arial" w:cs="Arial"/>
          <w:sz w:val="20"/>
          <w:szCs w:val="20"/>
        </w:rPr>
        <w:t xml:space="preserve"> and the least rooting percentage was recorded in the control </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1</w:t>
      </w:r>
      <w:r w:rsidRPr="002B02F9">
        <w:rPr>
          <w:rFonts w:ascii="Arial" w:eastAsia="Times New Roman" w:hAnsi="Arial" w:cs="Arial"/>
          <w:color w:val="000000"/>
          <w:kern w:val="0"/>
          <w:sz w:val="20"/>
          <w:szCs w:val="20"/>
          <w:lang w:eastAsia="en-IN"/>
          <w14:ligatures w14:val="none"/>
        </w:rPr>
        <w:t xml:space="preserve">) (71.11%). There existed a non-significant interaction between rooting media and IBA treatments for percentage of rooted cuttings. </w:t>
      </w:r>
    </w:p>
    <w:p w14:paraId="3CC4E1EE" w14:textId="77777777" w:rsidR="004A5486" w:rsidRPr="002B02F9" w:rsidRDefault="004A5486" w:rsidP="005D0190">
      <w:pPr>
        <w:spacing w:line="276" w:lineRule="auto"/>
        <w:jc w:val="both"/>
        <w:rPr>
          <w:rFonts w:ascii="Arial" w:eastAsia="Times New Roman" w:hAnsi="Arial" w:cs="Arial"/>
          <w:color w:val="000000"/>
          <w:kern w:val="0"/>
          <w:sz w:val="20"/>
          <w:szCs w:val="20"/>
          <w:lang w:eastAsia="en-IN"/>
          <w14:ligatures w14:val="none"/>
        </w:rPr>
      </w:pPr>
      <w:r w:rsidRPr="002B02F9">
        <w:rPr>
          <w:rFonts w:ascii="Arial" w:eastAsia="Times New Roman" w:hAnsi="Arial" w:cs="Arial"/>
          <w:color w:val="000000"/>
          <w:kern w:val="0"/>
          <w:sz w:val="20"/>
          <w:szCs w:val="20"/>
          <w:lang w:eastAsia="en-IN"/>
          <w14:ligatures w14:val="none"/>
        </w:rPr>
        <w:tab/>
        <w:t xml:space="preserve">Sand + vermiculite may work well because of its increased water-holding capacity and the gradual release of nutrients from the vermiculite medium (Ansari, 2013). In order to maximize auxin levels and raise the cuttings' rooting percentage, cuttings treated with increasing concentrations of IBA may be paired with endogenous auxins already present in the cuttings (Melgarejo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2000). Similar findings were obtained by Rajkumar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(2017), Gautam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(2010) in guava, Tanwar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xml:space="preserve">. (2020) in pomegranate, and Ristow </w:t>
      </w:r>
      <w:r w:rsidRPr="002B02F9">
        <w:rPr>
          <w:rFonts w:ascii="Arial" w:eastAsia="Times New Roman" w:hAnsi="Arial" w:cs="Arial"/>
          <w:i/>
          <w:iCs/>
          <w:color w:val="000000"/>
          <w:kern w:val="0"/>
          <w:sz w:val="20"/>
          <w:szCs w:val="20"/>
          <w:lang w:eastAsia="en-IN"/>
          <w14:ligatures w14:val="none"/>
        </w:rPr>
        <w:t>et al</w:t>
      </w:r>
      <w:r w:rsidRPr="002B02F9">
        <w:rPr>
          <w:rFonts w:ascii="Arial" w:eastAsia="Times New Roman" w:hAnsi="Arial" w:cs="Arial"/>
          <w:color w:val="000000"/>
          <w:kern w:val="0"/>
          <w:sz w:val="20"/>
          <w:szCs w:val="20"/>
          <w:lang w:eastAsia="en-IN"/>
          <w14:ligatures w14:val="none"/>
        </w:rPr>
        <w:t>. (2012) in blueberry.</w:t>
      </w:r>
    </w:p>
    <w:p w14:paraId="681C2952" w14:textId="05507943" w:rsidR="004A5486" w:rsidRPr="002B02F9" w:rsidRDefault="004A5486" w:rsidP="00B71E1E">
      <w:pPr>
        <w:pStyle w:val="ListParagraph"/>
        <w:numPr>
          <w:ilvl w:val="2"/>
          <w:numId w:val="4"/>
        </w:numPr>
        <w:spacing w:line="276" w:lineRule="auto"/>
        <w:jc w:val="both"/>
        <w:rPr>
          <w:rFonts w:ascii="Arial" w:hAnsi="Arial" w:cs="Arial"/>
          <w:b/>
          <w:bCs/>
          <w:sz w:val="20"/>
          <w:szCs w:val="20"/>
          <w:lang w:val="en-US"/>
        </w:rPr>
      </w:pPr>
      <w:r w:rsidRPr="002B02F9">
        <w:rPr>
          <w:rFonts w:ascii="Arial" w:hAnsi="Arial" w:cs="Arial"/>
          <w:b/>
          <w:bCs/>
          <w:sz w:val="20"/>
          <w:szCs w:val="20"/>
          <w:lang w:val="en-US"/>
        </w:rPr>
        <w:t>Number of primary and secondary roots</w:t>
      </w:r>
    </w:p>
    <w:p w14:paraId="1B6A2208" w14:textId="32CDCD38" w:rsidR="004A5486" w:rsidRPr="002B02F9" w:rsidRDefault="004A5486" w:rsidP="005D0190">
      <w:pPr>
        <w:spacing w:line="276" w:lineRule="auto"/>
        <w:jc w:val="both"/>
        <w:rPr>
          <w:rFonts w:ascii="Arial" w:hAnsi="Arial" w:cs="Arial"/>
          <w:sz w:val="20"/>
          <w:szCs w:val="20"/>
          <w:lang w:val="en-US"/>
        </w:rPr>
      </w:pPr>
      <w:r w:rsidRPr="002B02F9">
        <w:rPr>
          <w:rFonts w:ascii="Arial" w:hAnsi="Arial" w:cs="Arial"/>
          <w:sz w:val="20"/>
          <w:szCs w:val="20"/>
          <w:lang w:val="en-US"/>
        </w:rPr>
        <w:lastRenderedPageBreak/>
        <w:tab/>
        <w:t xml:space="preserve">Significant influence of rooting media, IBA treatments as well as their interactions was observed on number of primary and secondary roots per cutting in pomegranate at 90 DAP was presented in Table </w:t>
      </w:r>
      <w:r w:rsidR="00873C94" w:rsidRPr="002B02F9">
        <w:rPr>
          <w:rFonts w:ascii="Arial" w:hAnsi="Arial" w:cs="Arial"/>
          <w:sz w:val="20"/>
          <w:szCs w:val="20"/>
          <w:lang w:val="en-US"/>
        </w:rPr>
        <w:t>5</w:t>
      </w:r>
      <w:r w:rsidRPr="002B02F9">
        <w:rPr>
          <w:rFonts w:ascii="Arial" w:hAnsi="Arial" w:cs="Arial"/>
          <w:sz w:val="20"/>
          <w:szCs w:val="20"/>
          <w:lang w:val="en-US"/>
        </w:rPr>
        <w:t>.</w:t>
      </w:r>
    </w:p>
    <w:p w14:paraId="51A84E51"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lang w:val="en-US"/>
        </w:rPr>
        <w:tab/>
        <w:t xml:space="preserve">At 90 </w:t>
      </w:r>
      <w:proofErr w:type="gramStart"/>
      <w:r w:rsidRPr="002B02F9">
        <w:rPr>
          <w:rFonts w:ascii="Arial" w:hAnsi="Arial" w:cs="Arial"/>
          <w:sz w:val="20"/>
          <w:szCs w:val="20"/>
          <w:lang w:val="en-US"/>
        </w:rPr>
        <w:t>DAP</w:t>
      </w:r>
      <w:proofErr w:type="gramEnd"/>
      <w:r w:rsidRPr="002B02F9">
        <w:rPr>
          <w:rFonts w:ascii="Arial" w:hAnsi="Arial" w:cs="Arial"/>
          <w:sz w:val="20"/>
          <w:szCs w:val="20"/>
          <w:lang w:val="en-US"/>
        </w:rPr>
        <w:t xml:space="preserve">, the cuttings planted in a mixture of sand and vermiculite </w:t>
      </w:r>
      <w:r w:rsidRPr="002B02F9">
        <w:rPr>
          <w:rFonts w:ascii="Arial" w:eastAsia="Times New Roman" w:hAnsi="Arial" w:cs="Arial"/>
          <w:color w:val="000000" w:themeColor="text1"/>
          <w:kern w:val="0"/>
          <w:sz w:val="20"/>
          <w:szCs w:val="20"/>
          <w:lang w:eastAsia="en-IN"/>
          <w14:ligatures w14:val="none"/>
        </w:rPr>
        <w:t>(M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r w:rsidRPr="002B02F9">
        <w:rPr>
          <w:rFonts w:ascii="Arial" w:hAnsi="Arial" w:cs="Arial"/>
          <w:sz w:val="20"/>
          <w:szCs w:val="20"/>
          <w:lang w:val="en-US"/>
        </w:rPr>
        <w:t xml:space="preserve"> recorded highest count of primary and secondary roots (6.59 and 36.33) followed by cutting planted in sand, vermiculite and vermicompost (</w:t>
      </w:r>
      <w:r w:rsidRPr="002B02F9">
        <w:rPr>
          <w:rFonts w:ascii="Arial" w:eastAsia="Times New Roman" w:hAnsi="Arial" w:cs="Arial"/>
          <w:color w:val="000000" w:themeColor="text1"/>
          <w:kern w:val="0"/>
          <w:sz w:val="20"/>
          <w:szCs w:val="20"/>
          <w:lang w:eastAsia="en-IN"/>
          <w14:ligatures w14:val="none"/>
        </w:rPr>
        <w:t>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hAnsi="Arial" w:cs="Arial"/>
          <w:sz w:val="20"/>
          <w:szCs w:val="20"/>
        </w:rPr>
        <w:t>) (5.25 and 29.67) and the least count was observed in sand and vermicompost (M</w:t>
      </w:r>
      <w:r w:rsidRPr="002B02F9">
        <w:rPr>
          <w:rFonts w:ascii="Arial" w:hAnsi="Arial" w:cs="Arial"/>
          <w:sz w:val="20"/>
          <w:szCs w:val="20"/>
          <w:vertAlign w:val="subscript"/>
        </w:rPr>
        <w:t>1</w:t>
      </w:r>
      <w:r w:rsidRPr="002B02F9">
        <w:rPr>
          <w:rFonts w:ascii="Arial" w:hAnsi="Arial" w:cs="Arial"/>
          <w:sz w:val="20"/>
          <w:szCs w:val="20"/>
        </w:rPr>
        <w:t xml:space="preserve">) (4.00 and 26.50). </w:t>
      </w:r>
      <w:bookmarkStart w:id="2" w:name="_Hlk197941674"/>
      <w:r w:rsidRPr="002B02F9">
        <w:rPr>
          <w:rFonts w:ascii="Arial" w:hAnsi="Arial" w:cs="Arial"/>
          <w:sz w:val="20"/>
          <w:szCs w:val="20"/>
        </w:rPr>
        <w:t>Among the IBA treatments IBA at 2000 ppm was found higher number of primary and secondary roots (9.11 and 42.11) which was on par with IBA at 1500 ppm (4.89 and 34.00) and the least number of primary and secondary roots was found in IBA at 0 ppm (2.67 and 17.89)</w:t>
      </w:r>
      <w:bookmarkEnd w:id="2"/>
    </w:p>
    <w:p w14:paraId="40D16938"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The interaction effect between rooting media and IBA treatments was found significant for number of primary and secondary roots per cutting. Maximum number of primary and secondary roots (11.00 and 48.00) was found in cuttings planted in </w:t>
      </w:r>
      <w:r w:rsidRPr="002B02F9">
        <w:rPr>
          <w:rFonts w:ascii="Arial" w:hAnsi="Arial" w:cs="Arial"/>
          <w:sz w:val="20"/>
          <w:szCs w:val="20"/>
          <w:lang w:val="en-US"/>
        </w:rPr>
        <w:t>(M</w:t>
      </w:r>
      <w:r w:rsidRPr="002B02F9">
        <w:rPr>
          <w:rFonts w:ascii="Arial" w:hAnsi="Arial" w:cs="Arial"/>
          <w:sz w:val="20"/>
          <w:szCs w:val="20"/>
          <w:vertAlign w:val="subscript"/>
          <w:lang w:val="en-US"/>
        </w:rPr>
        <w:t>2</w:t>
      </w:r>
      <w:r w:rsidRPr="002B02F9">
        <w:rPr>
          <w:rFonts w:ascii="Arial" w:hAnsi="Arial" w:cs="Arial"/>
          <w:sz w:val="20"/>
          <w:szCs w:val="20"/>
          <w:lang w:val="en-US"/>
        </w:rPr>
        <w:t>G</w:t>
      </w:r>
      <w:r w:rsidRPr="002B02F9">
        <w:rPr>
          <w:rFonts w:ascii="Arial" w:hAnsi="Arial" w:cs="Arial"/>
          <w:sz w:val="20"/>
          <w:szCs w:val="20"/>
          <w:vertAlign w:val="subscript"/>
          <w:lang w:val="en-US"/>
        </w:rPr>
        <w:t>4</w:t>
      </w:r>
      <w:r w:rsidRPr="002B02F9">
        <w:rPr>
          <w:rFonts w:ascii="Arial" w:hAnsi="Arial" w:cs="Arial"/>
          <w:sz w:val="20"/>
          <w:szCs w:val="20"/>
          <w:lang w:val="en-US"/>
        </w:rPr>
        <w:t xml:space="preserve">) </w:t>
      </w:r>
      <w:r w:rsidRPr="002B02F9">
        <w:rPr>
          <w:rFonts w:ascii="Arial" w:hAnsi="Arial" w:cs="Arial"/>
          <w:sz w:val="20"/>
          <w:szCs w:val="20"/>
        </w:rPr>
        <w:t>sand and vermiculite with IBA 2000 ppm which was on par with cuttings treated with (</w:t>
      </w:r>
      <w:r w:rsidRPr="002B02F9">
        <w:rPr>
          <w:rFonts w:ascii="Arial" w:hAnsi="Arial" w:cs="Arial"/>
          <w:sz w:val="20"/>
          <w:szCs w:val="20"/>
          <w:lang w:val="en-US"/>
        </w:rPr>
        <w:t>M</w:t>
      </w:r>
      <w:r w:rsidRPr="002B02F9">
        <w:rPr>
          <w:rFonts w:ascii="Arial" w:hAnsi="Arial" w:cs="Arial"/>
          <w:sz w:val="20"/>
          <w:szCs w:val="20"/>
          <w:vertAlign w:val="subscript"/>
          <w:lang w:val="en-US"/>
        </w:rPr>
        <w:t>3</w:t>
      </w:r>
      <w:r w:rsidRPr="002B02F9">
        <w:rPr>
          <w:rFonts w:ascii="Arial" w:hAnsi="Arial" w:cs="Arial"/>
          <w:sz w:val="20"/>
          <w:szCs w:val="20"/>
          <w:lang w:val="en-US"/>
        </w:rPr>
        <w:t>G</w:t>
      </w:r>
      <w:r w:rsidRPr="002B02F9">
        <w:rPr>
          <w:rFonts w:ascii="Arial" w:hAnsi="Arial" w:cs="Arial"/>
          <w:sz w:val="20"/>
          <w:szCs w:val="20"/>
          <w:vertAlign w:val="subscript"/>
          <w:lang w:val="en-US"/>
        </w:rPr>
        <w:t>4</w:t>
      </w:r>
      <w:r w:rsidRPr="002B02F9">
        <w:rPr>
          <w:rFonts w:ascii="Arial" w:hAnsi="Arial" w:cs="Arial"/>
          <w:sz w:val="20"/>
          <w:szCs w:val="20"/>
          <w:lang w:val="en-US"/>
        </w:rPr>
        <w:t xml:space="preserve">) </w:t>
      </w:r>
      <w:r w:rsidRPr="002B02F9">
        <w:rPr>
          <w:rFonts w:ascii="Arial" w:hAnsi="Arial" w:cs="Arial"/>
          <w:sz w:val="20"/>
          <w:szCs w:val="20"/>
        </w:rPr>
        <w:t xml:space="preserve">sand, vermiculite and vermicompost with IBA 2000 ppm (9.00 and 43.00) and the least number of count (2.33 and 13.67) was found in sand and vermicompost with 0 ppm. </w:t>
      </w:r>
    </w:p>
    <w:p w14:paraId="3CBE637C" w14:textId="77777777" w:rsidR="004A5486" w:rsidRPr="002B02F9" w:rsidRDefault="004A5486" w:rsidP="005D0190">
      <w:pPr>
        <w:spacing w:line="276" w:lineRule="auto"/>
        <w:jc w:val="both"/>
        <w:rPr>
          <w:rFonts w:ascii="Arial" w:hAnsi="Arial" w:cs="Arial"/>
          <w:sz w:val="20"/>
          <w:szCs w:val="20"/>
        </w:rPr>
      </w:pPr>
      <w:r w:rsidRPr="002B02F9">
        <w:rPr>
          <w:rFonts w:ascii="Arial" w:hAnsi="Arial" w:cs="Arial"/>
          <w:sz w:val="20"/>
          <w:szCs w:val="20"/>
        </w:rPr>
        <w:tab/>
        <w:t xml:space="preserve">The best results were obtained from cuttings grown in a mixture of sand and vermiculite, which may be due to the physical characteristics of vermiculite, such as its capacity to retain water and aerate, as well as the high concentration of IBA, which encourages the development of a large number of primary and secondary roots and an effective root system. IBA's effect on cell wall flexibility, which encourages callus formation, root growth, and faster cell division, may be the reason why cuttings treated with 2000 ppm of IBA had the greatest number of primary and secondary roots. Similar results were noted in pomegranates by Purohit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(1985), </w:t>
      </w:r>
      <w:proofErr w:type="spellStart"/>
      <w:r w:rsidRPr="002B02F9">
        <w:rPr>
          <w:rFonts w:ascii="Arial" w:hAnsi="Arial" w:cs="Arial"/>
          <w:sz w:val="20"/>
          <w:szCs w:val="20"/>
        </w:rPr>
        <w:t>Bankar</w:t>
      </w:r>
      <w:proofErr w:type="spellEnd"/>
      <w:r w:rsidRPr="002B02F9">
        <w:rPr>
          <w:rFonts w:ascii="Arial" w:hAnsi="Arial" w:cs="Arial"/>
          <w:sz w:val="20"/>
          <w:szCs w:val="20"/>
        </w:rPr>
        <w:t xml:space="preserve"> and Parsad (1993), and Upadhyay and Badyal (2007).</w:t>
      </w:r>
    </w:p>
    <w:p w14:paraId="6EFB533A" w14:textId="60ED0FD8" w:rsidR="004A5486" w:rsidRPr="002B02F9" w:rsidRDefault="004A5486" w:rsidP="00B71E1E">
      <w:pPr>
        <w:pStyle w:val="ListParagraph"/>
        <w:numPr>
          <w:ilvl w:val="2"/>
          <w:numId w:val="4"/>
        </w:numPr>
        <w:spacing w:line="276" w:lineRule="auto"/>
        <w:jc w:val="both"/>
        <w:rPr>
          <w:rFonts w:ascii="Arial" w:eastAsia="Times New Roman" w:hAnsi="Arial" w:cs="Arial"/>
          <w:b/>
          <w:bCs/>
          <w:color w:val="000000"/>
          <w:kern w:val="0"/>
          <w:sz w:val="20"/>
          <w:szCs w:val="20"/>
          <w:lang w:val="en-US" w:eastAsia="en-IN"/>
          <w14:ligatures w14:val="none"/>
        </w:rPr>
      </w:pPr>
      <w:r w:rsidRPr="002B02F9">
        <w:rPr>
          <w:rFonts w:ascii="Arial" w:eastAsia="Times New Roman" w:hAnsi="Arial" w:cs="Arial"/>
          <w:b/>
          <w:bCs/>
          <w:color w:val="000000"/>
          <w:kern w:val="0"/>
          <w:sz w:val="20"/>
          <w:szCs w:val="20"/>
          <w:lang w:val="en-US" w:eastAsia="en-IN"/>
          <w14:ligatures w14:val="none"/>
        </w:rPr>
        <w:t>Length of longest root per cutting</w:t>
      </w:r>
    </w:p>
    <w:p w14:paraId="3AB4C757" w14:textId="431E81DA"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 xml:space="preserve">Significant influence of rooting media, IBA treatments as well as their interactions was observed on length of longest root per cutting in pomegranate at 60 DAP and at 90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 xml:space="preserve"> were presented in Table </w:t>
      </w:r>
      <w:r w:rsidR="00873C94" w:rsidRPr="002B02F9">
        <w:rPr>
          <w:rFonts w:ascii="Arial" w:eastAsia="Times New Roman" w:hAnsi="Arial" w:cs="Arial"/>
          <w:color w:val="000000"/>
          <w:kern w:val="0"/>
          <w:sz w:val="20"/>
          <w:szCs w:val="20"/>
          <w:lang w:val="en-US" w:eastAsia="en-IN"/>
          <w14:ligatures w14:val="none"/>
        </w:rPr>
        <w:t>6</w:t>
      </w:r>
      <w:r w:rsidR="00AA56F6" w:rsidRPr="002B02F9">
        <w:rPr>
          <w:rFonts w:ascii="Arial" w:eastAsia="Times New Roman" w:hAnsi="Arial" w:cs="Arial"/>
          <w:color w:val="000000"/>
          <w:kern w:val="0"/>
          <w:sz w:val="20"/>
          <w:szCs w:val="20"/>
          <w:lang w:val="en-US" w:eastAsia="en-IN"/>
          <w14:ligatures w14:val="none"/>
        </w:rPr>
        <w:t>. T</w:t>
      </w:r>
      <w:r w:rsidRPr="002B02F9">
        <w:rPr>
          <w:rFonts w:ascii="Arial" w:eastAsia="Times New Roman" w:hAnsi="Arial" w:cs="Arial"/>
          <w:color w:val="000000"/>
          <w:kern w:val="0"/>
          <w:sz w:val="20"/>
          <w:szCs w:val="20"/>
          <w:lang w:val="en-US" w:eastAsia="en-IN"/>
          <w14:ligatures w14:val="none"/>
        </w:rPr>
        <w:t xml:space="preserve">he mean length of longest root per cutting increased from 4.49 cm at 60 </w:t>
      </w:r>
      <w:proofErr w:type="gramStart"/>
      <w:r w:rsidRPr="002B02F9">
        <w:rPr>
          <w:rFonts w:ascii="Arial" w:eastAsia="Times New Roman" w:hAnsi="Arial" w:cs="Arial"/>
          <w:color w:val="000000"/>
          <w:kern w:val="0"/>
          <w:sz w:val="20"/>
          <w:szCs w:val="20"/>
          <w:lang w:val="en-US" w:eastAsia="en-IN"/>
          <w14:ligatures w14:val="none"/>
        </w:rPr>
        <w:t>DAP</w:t>
      </w:r>
      <w:proofErr w:type="gramEnd"/>
      <w:r w:rsidRPr="002B02F9">
        <w:rPr>
          <w:rFonts w:ascii="Arial" w:eastAsia="Times New Roman" w:hAnsi="Arial" w:cs="Arial"/>
          <w:color w:val="000000"/>
          <w:kern w:val="0"/>
          <w:sz w:val="20"/>
          <w:szCs w:val="20"/>
          <w:lang w:val="en-US" w:eastAsia="en-IN"/>
          <w14:ligatures w14:val="none"/>
        </w:rPr>
        <w:t xml:space="preserve"> to 22.01 cm at 90 DAP.</w:t>
      </w:r>
    </w:p>
    <w:p w14:paraId="44502467" w14:textId="77777777"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At 90 DAP, the cuttings planted in (M</w:t>
      </w:r>
      <w:r w:rsidRPr="002B02F9">
        <w:rPr>
          <w:rFonts w:ascii="Arial" w:eastAsia="Times New Roman" w:hAnsi="Arial" w:cs="Arial"/>
          <w:color w:val="000000"/>
          <w:kern w:val="0"/>
          <w:sz w:val="20"/>
          <w:szCs w:val="20"/>
          <w:vertAlign w:val="subscript"/>
          <w:lang w:val="en-US" w:eastAsia="en-IN"/>
          <w14:ligatures w14:val="none"/>
        </w:rPr>
        <w:t>3</w:t>
      </w:r>
      <w:proofErr w:type="gramStart"/>
      <w:r w:rsidRPr="002B02F9">
        <w:rPr>
          <w:rFonts w:ascii="Arial" w:eastAsia="Times New Roman" w:hAnsi="Arial" w:cs="Arial"/>
          <w:color w:val="000000"/>
          <w:kern w:val="0"/>
          <w:sz w:val="20"/>
          <w:szCs w:val="20"/>
          <w:lang w:val="en-US" w:eastAsia="en-IN"/>
          <w14:ligatures w14:val="none"/>
        </w:rPr>
        <w:t>)</w:t>
      </w:r>
      <w:r w:rsidRPr="002B02F9">
        <w:rPr>
          <w:rFonts w:ascii="Arial" w:eastAsia="Times New Roman" w:hAnsi="Arial" w:cs="Arial"/>
          <w:color w:val="000000"/>
          <w:kern w:val="0"/>
          <w:sz w:val="20"/>
          <w:szCs w:val="20"/>
          <w:vertAlign w:val="subscript"/>
          <w:lang w:val="en-US" w:eastAsia="en-IN"/>
          <w14:ligatures w14:val="none"/>
        </w:rPr>
        <w:t xml:space="preserve"> </w:t>
      </w:r>
      <w:r w:rsidRPr="002B02F9">
        <w:rPr>
          <w:rFonts w:ascii="Arial" w:eastAsia="Times New Roman" w:hAnsi="Arial" w:cs="Arial"/>
          <w:color w:val="000000"/>
          <w:kern w:val="0"/>
          <w:sz w:val="20"/>
          <w:szCs w:val="20"/>
          <w:lang w:val="en-US" w:eastAsia="en-IN"/>
          <w14:ligatures w14:val="none"/>
        </w:rPr>
        <w:t xml:space="preserve"> sand</w:t>
      </w:r>
      <w:proofErr w:type="gramEnd"/>
      <w:r w:rsidRPr="002B02F9">
        <w:rPr>
          <w:rFonts w:ascii="Arial" w:eastAsia="Times New Roman" w:hAnsi="Arial" w:cs="Arial"/>
          <w:color w:val="000000"/>
          <w:kern w:val="0"/>
          <w:sz w:val="20"/>
          <w:szCs w:val="20"/>
          <w:lang w:val="en-US" w:eastAsia="en-IN"/>
          <w14:ligatures w14:val="none"/>
        </w:rPr>
        <w:t xml:space="preserve"> and vermiculite medium were found to show the maximum length of longest root (23.50 cm), followed by (M</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 sand, vermiculite and vermicompost (21.42 cm) and the minimum length of longest root (21.12 cm) was observed in (M</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sand and vermicompost media. Among IBA treatments, (G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IBA at 2000 ppm was founded to record the highest value (27.67 cm) of length of longest root per cutting, followed by (G</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 IBA at 1500 ppm (24.17 cm), while the minimum length of longest root per cutting was recorded by (G</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control (15.61 cm).</w:t>
      </w:r>
    </w:p>
    <w:p w14:paraId="51916E6A" w14:textId="77777777" w:rsidR="004A5486" w:rsidRPr="002B02F9" w:rsidRDefault="004A5486" w:rsidP="005D0190">
      <w:pPr>
        <w:spacing w:line="276" w:lineRule="auto"/>
        <w:jc w:val="both"/>
        <w:rPr>
          <w:rFonts w:ascii="Arial" w:eastAsia="Times New Roman" w:hAnsi="Arial" w:cs="Arial"/>
          <w:color w:val="000000"/>
          <w:kern w:val="0"/>
          <w:sz w:val="20"/>
          <w:szCs w:val="20"/>
          <w:lang w:val="en-US" w:eastAsia="en-IN"/>
          <w14:ligatures w14:val="none"/>
        </w:rPr>
      </w:pPr>
      <w:r w:rsidRPr="002B02F9">
        <w:rPr>
          <w:rFonts w:ascii="Arial" w:eastAsia="Times New Roman" w:hAnsi="Arial" w:cs="Arial"/>
          <w:color w:val="000000"/>
          <w:kern w:val="0"/>
          <w:sz w:val="20"/>
          <w:szCs w:val="20"/>
          <w:lang w:val="en-US" w:eastAsia="en-IN"/>
          <w14:ligatures w14:val="none"/>
        </w:rPr>
        <w:tab/>
        <w:t>The interaction effect between rooting media and IBA treatments was found significant for the length of longest root per cutting. The longest roots per cutting (29.67 cm) were found in cuttings planted in sand and vermiculite with IBA at 2000 ppm (M</w:t>
      </w:r>
      <w:r w:rsidRPr="002B02F9">
        <w:rPr>
          <w:rFonts w:ascii="Arial" w:eastAsia="Times New Roman" w:hAnsi="Arial" w:cs="Arial"/>
          <w:color w:val="000000"/>
          <w:kern w:val="0"/>
          <w:sz w:val="20"/>
          <w:szCs w:val="20"/>
          <w:vertAlign w:val="subscript"/>
          <w:lang w:val="en-US" w:eastAsia="en-IN"/>
          <w14:ligatures w14:val="none"/>
        </w:rPr>
        <w:t>2</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which was on par with (27.50 cm) cuttings planted in (M</w:t>
      </w:r>
      <w:r w:rsidRPr="002B02F9">
        <w:rPr>
          <w:rFonts w:ascii="Arial" w:eastAsia="Times New Roman" w:hAnsi="Arial" w:cs="Arial"/>
          <w:color w:val="000000"/>
          <w:kern w:val="0"/>
          <w:sz w:val="20"/>
          <w:szCs w:val="20"/>
          <w:vertAlign w:val="subscript"/>
          <w:lang w:val="en-US" w:eastAsia="en-IN"/>
          <w14:ligatures w14:val="none"/>
        </w:rPr>
        <w:t>3</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4</w:t>
      </w:r>
      <w:r w:rsidRPr="002B02F9">
        <w:rPr>
          <w:rFonts w:ascii="Arial" w:eastAsia="Times New Roman" w:hAnsi="Arial" w:cs="Arial"/>
          <w:color w:val="000000"/>
          <w:kern w:val="0"/>
          <w:sz w:val="20"/>
          <w:szCs w:val="20"/>
          <w:lang w:val="en-US" w:eastAsia="en-IN"/>
          <w14:ligatures w14:val="none"/>
        </w:rPr>
        <w:t>) sand, vermiculite and vermicompost with IBA at 2000 ppm while the minimum length was observed in (M</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G</w:t>
      </w:r>
      <w:r w:rsidRPr="002B02F9">
        <w:rPr>
          <w:rFonts w:ascii="Arial" w:eastAsia="Times New Roman" w:hAnsi="Arial" w:cs="Arial"/>
          <w:color w:val="000000"/>
          <w:kern w:val="0"/>
          <w:sz w:val="20"/>
          <w:szCs w:val="20"/>
          <w:vertAlign w:val="subscript"/>
          <w:lang w:val="en-US" w:eastAsia="en-IN"/>
          <w14:ligatures w14:val="none"/>
        </w:rPr>
        <w:t>1</w:t>
      </w:r>
      <w:r w:rsidRPr="002B02F9">
        <w:rPr>
          <w:rFonts w:ascii="Arial" w:eastAsia="Times New Roman" w:hAnsi="Arial" w:cs="Arial"/>
          <w:color w:val="000000"/>
          <w:kern w:val="0"/>
          <w:sz w:val="20"/>
          <w:szCs w:val="20"/>
          <w:lang w:val="en-US" w:eastAsia="en-IN"/>
          <w14:ligatures w14:val="none"/>
        </w:rPr>
        <w:t>) sand and vermicompost with IBA 0 ppm.</w:t>
      </w:r>
    </w:p>
    <w:p w14:paraId="028B993D" w14:textId="6D8E35D1" w:rsidR="005D0190" w:rsidRPr="002B02F9" w:rsidRDefault="004A5486" w:rsidP="005D0190">
      <w:pPr>
        <w:spacing w:line="276" w:lineRule="auto"/>
        <w:jc w:val="both"/>
        <w:rPr>
          <w:rFonts w:ascii="Arial" w:hAnsi="Arial" w:cs="Arial"/>
          <w:sz w:val="20"/>
          <w:szCs w:val="20"/>
        </w:rPr>
      </w:pPr>
      <w:r w:rsidRPr="002B02F9">
        <w:rPr>
          <w:rFonts w:ascii="Arial" w:hAnsi="Arial" w:cs="Arial"/>
          <w:sz w:val="20"/>
          <w:szCs w:val="20"/>
          <w:lang w:val="en-US"/>
        </w:rPr>
        <w:tab/>
      </w:r>
      <w:r w:rsidRPr="002B02F9">
        <w:rPr>
          <w:rFonts w:ascii="Arial" w:hAnsi="Arial" w:cs="Arial"/>
          <w:sz w:val="20"/>
          <w:szCs w:val="20"/>
        </w:rPr>
        <w:t xml:space="preserve">These results are in line with those of Rathore </w:t>
      </w:r>
      <w:r w:rsidRPr="002B02F9">
        <w:rPr>
          <w:rFonts w:ascii="Arial" w:hAnsi="Arial" w:cs="Arial"/>
          <w:i/>
          <w:iCs/>
          <w:sz w:val="20"/>
          <w:szCs w:val="20"/>
        </w:rPr>
        <w:t>et al</w:t>
      </w:r>
      <w:r w:rsidRPr="002B02F9">
        <w:rPr>
          <w:rFonts w:ascii="Arial" w:hAnsi="Arial" w:cs="Arial"/>
          <w:sz w:val="20"/>
          <w:szCs w:val="20"/>
        </w:rPr>
        <w:t xml:space="preserve">. (1984) in guavas, Abhinav </w:t>
      </w:r>
      <w:r w:rsidRPr="002B02F9">
        <w:rPr>
          <w:rFonts w:ascii="Arial" w:hAnsi="Arial" w:cs="Arial"/>
          <w:i/>
          <w:iCs/>
          <w:sz w:val="20"/>
          <w:szCs w:val="20"/>
        </w:rPr>
        <w:t>et al</w:t>
      </w:r>
      <w:r w:rsidRPr="002B02F9">
        <w:rPr>
          <w:rFonts w:ascii="Arial" w:hAnsi="Arial" w:cs="Arial"/>
          <w:sz w:val="20"/>
          <w:szCs w:val="20"/>
        </w:rPr>
        <w:t xml:space="preserve">. (2016) in grapes, and Hakim </w:t>
      </w:r>
      <w:r w:rsidRPr="002B02F9">
        <w:rPr>
          <w:rFonts w:ascii="Arial" w:hAnsi="Arial" w:cs="Arial"/>
          <w:i/>
          <w:iCs/>
          <w:sz w:val="20"/>
          <w:szCs w:val="20"/>
        </w:rPr>
        <w:t>et al</w:t>
      </w:r>
      <w:r w:rsidRPr="002B02F9">
        <w:rPr>
          <w:rFonts w:ascii="Arial" w:hAnsi="Arial" w:cs="Arial"/>
          <w:sz w:val="20"/>
          <w:szCs w:val="20"/>
        </w:rPr>
        <w:t xml:space="preserve">. (2018) in pomegranates. Because IBA promotes cell division and elongation, which lengthens roots due to increased vegetative growth and the accumulation of carbohydrates and increases root mass due to a greater number of roots, the successful rooting of IBA-treated cuttings may have contributed to the increase in root length. Growing media with higher fertilizer and water-holding capacities result in larger roots because they always provide enough nutrition and water. </w:t>
      </w:r>
      <w:r w:rsidR="00B71E1E" w:rsidRPr="002B02F9">
        <w:rPr>
          <w:rFonts w:ascii="Arial" w:hAnsi="Arial" w:cs="Arial"/>
          <w:sz w:val="20"/>
          <w:szCs w:val="20"/>
        </w:rPr>
        <w:t>Favourable</w:t>
      </w:r>
      <w:r w:rsidRPr="002B02F9">
        <w:rPr>
          <w:rFonts w:ascii="Arial" w:hAnsi="Arial" w:cs="Arial"/>
          <w:sz w:val="20"/>
          <w:szCs w:val="20"/>
        </w:rPr>
        <w:t xml:space="preserve"> climate conditions, such as high humidity and temperatures, however, improved root development and, as a result, increased cambium activity for proliferation.</w:t>
      </w:r>
    </w:p>
    <w:p w14:paraId="360B38A8" w14:textId="38828741" w:rsidR="004A5486" w:rsidRPr="002B02F9" w:rsidRDefault="004A5486" w:rsidP="005D0190">
      <w:pPr>
        <w:spacing w:line="276" w:lineRule="auto"/>
        <w:jc w:val="both"/>
        <w:rPr>
          <w:rFonts w:ascii="Arial" w:eastAsia="Times New Roman" w:hAnsi="Arial" w:cs="Arial"/>
          <w:b/>
          <w:bCs/>
          <w:color w:val="000000"/>
          <w:kern w:val="0"/>
          <w:sz w:val="20"/>
          <w:szCs w:val="20"/>
          <w:lang w:eastAsia="en-IN"/>
          <w14:ligatures w14:val="none"/>
        </w:rPr>
      </w:pPr>
      <w:r w:rsidRPr="002B02F9">
        <w:rPr>
          <w:rFonts w:ascii="Arial" w:eastAsia="Times New Roman" w:hAnsi="Arial" w:cs="Arial"/>
          <w:b/>
          <w:bCs/>
          <w:color w:val="000000"/>
          <w:kern w:val="0"/>
          <w:sz w:val="20"/>
          <w:szCs w:val="20"/>
          <w:lang w:eastAsia="en-IN"/>
          <w14:ligatures w14:val="none"/>
        </w:rPr>
        <w:t>Conclusion</w:t>
      </w:r>
    </w:p>
    <w:p w14:paraId="67895C52" w14:textId="30C76C30" w:rsidR="004A5486" w:rsidRPr="002B02F9" w:rsidRDefault="004A5486" w:rsidP="0087307C">
      <w:pPr>
        <w:spacing w:line="276" w:lineRule="auto"/>
        <w:ind w:firstLine="720"/>
        <w:jc w:val="both"/>
        <w:rPr>
          <w:rFonts w:ascii="Arial" w:eastAsia="Times New Roman" w:hAnsi="Arial" w:cs="Arial"/>
          <w:color w:val="000000"/>
          <w:kern w:val="0"/>
          <w:sz w:val="20"/>
          <w:szCs w:val="20"/>
          <w:lang w:eastAsia="en-IN"/>
          <w14:ligatures w14:val="none"/>
        </w:rPr>
      </w:pPr>
      <w:r w:rsidRPr="002B02F9">
        <w:rPr>
          <w:rFonts w:ascii="Arial" w:eastAsia="Times New Roman" w:hAnsi="Arial" w:cs="Arial"/>
          <w:color w:val="000000"/>
          <w:kern w:val="0"/>
          <w:sz w:val="20"/>
          <w:szCs w:val="20"/>
          <w:lang w:eastAsia="en-IN"/>
          <w14:ligatures w14:val="none"/>
        </w:rPr>
        <w:lastRenderedPageBreak/>
        <w:t>The study clearly demonstrated that both rooting media and IBA treatments</w:t>
      </w:r>
      <w:r w:rsidR="002B02F9">
        <w:rPr>
          <w:rFonts w:ascii="Arial" w:eastAsia="Times New Roman" w:hAnsi="Arial" w:cs="Arial"/>
          <w:color w:val="000000"/>
          <w:kern w:val="0"/>
          <w:sz w:val="20"/>
          <w:szCs w:val="20"/>
          <w:lang w:eastAsia="en-IN"/>
          <w14:ligatures w14:val="none"/>
        </w:rPr>
        <w:t xml:space="preserve"> </w:t>
      </w:r>
      <w:r w:rsidRPr="002B02F9">
        <w:rPr>
          <w:rFonts w:ascii="Arial" w:eastAsia="Times New Roman" w:hAnsi="Arial" w:cs="Arial"/>
          <w:color w:val="000000"/>
          <w:kern w:val="0"/>
          <w:sz w:val="20"/>
          <w:szCs w:val="20"/>
          <w:lang w:eastAsia="en-IN"/>
          <w14:ligatures w14:val="none"/>
        </w:rPr>
        <w:t>significantly influenced shoot and root parameters in pomegranate cuttings. Among the media, sand and vermiculite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 consistently showed superior results, followed by sand, vermiculite, and vermicompost (M</w:t>
      </w:r>
      <w:r w:rsidRPr="002B02F9">
        <w:rPr>
          <w:rFonts w:ascii="Arial" w:eastAsia="Times New Roman" w:hAnsi="Arial" w:cs="Arial"/>
          <w:color w:val="000000"/>
          <w:kern w:val="0"/>
          <w:sz w:val="20"/>
          <w:szCs w:val="20"/>
          <w:vertAlign w:val="subscript"/>
          <w:lang w:eastAsia="en-IN"/>
          <w14:ligatures w14:val="none"/>
        </w:rPr>
        <w:t>3</w:t>
      </w:r>
      <w:r w:rsidRPr="002B02F9">
        <w:rPr>
          <w:rFonts w:ascii="Arial" w:eastAsia="Times New Roman" w:hAnsi="Arial" w:cs="Arial"/>
          <w:color w:val="000000"/>
          <w:kern w:val="0"/>
          <w:sz w:val="20"/>
          <w:szCs w:val="20"/>
          <w:lang w:eastAsia="en-IN"/>
          <w14:ligatures w14:val="none"/>
        </w:rPr>
        <w:t>). IBA at 2000 ppm (G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was most effective across all parameters, including number and length of shoots, rooting percentage, root number, and root length. The best combination was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which resulted in the highest number of shoots (5.67), maximum shoot length (32.33 cm), greatest number of primary and secondary roots (11.00 and 48.00), and longest root (29.67 cm). Mortality was lowest in M</w:t>
      </w:r>
      <w:r w:rsidRPr="002B02F9">
        <w:rPr>
          <w:rFonts w:ascii="Arial" w:eastAsia="Times New Roman" w:hAnsi="Arial" w:cs="Arial"/>
          <w:color w:val="000000"/>
          <w:kern w:val="0"/>
          <w:sz w:val="20"/>
          <w:szCs w:val="20"/>
          <w:vertAlign w:val="subscript"/>
          <w:lang w:eastAsia="en-IN"/>
          <w14:ligatures w14:val="none"/>
        </w:rPr>
        <w:t>2</w:t>
      </w:r>
      <w:r w:rsidRPr="002B02F9">
        <w:rPr>
          <w:rFonts w:ascii="Arial" w:eastAsia="Times New Roman" w:hAnsi="Arial" w:cs="Arial"/>
          <w:color w:val="000000"/>
          <w:kern w:val="0"/>
          <w:sz w:val="20"/>
          <w:szCs w:val="20"/>
          <w:lang w:eastAsia="en-IN"/>
          <w14:ligatures w14:val="none"/>
        </w:rPr>
        <w:t xml:space="preserve"> and G</w:t>
      </w:r>
      <w:r w:rsidRPr="002B02F9">
        <w:rPr>
          <w:rFonts w:ascii="Arial" w:eastAsia="Times New Roman" w:hAnsi="Arial" w:cs="Arial"/>
          <w:color w:val="000000"/>
          <w:kern w:val="0"/>
          <w:sz w:val="20"/>
          <w:szCs w:val="20"/>
          <w:vertAlign w:val="subscript"/>
          <w:lang w:eastAsia="en-IN"/>
          <w14:ligatures w14:val="none"/>
        </w:rPr>
        <w:t>4</w:t>
      </w:r>
      <w:r w:rsidRPr="002B02F9">
        <w:rPr>
          <w:rFonts w:ascii="Arial" w:eastAsia="Times New Roman" w:hAnsi="Arial" w:cs="Arial"/>
          <w:color w:val="000000"/>
          <w:kern w:val="0"/>
          <w:sz w:val="20"/>
          <w:szCs w:val="20"/>
          <w:lang w:eastAsia="en-IN"/>
          <w14:ligatures w14:val="none"/>
        </w:rPr>
        <w:t xml:space="preserve">, indicating their suitability for better survival during hardening. The positive impact of vermiculite is attributed to its aeration, water retention, and nutrient-holding capacity, while IBA enhanced cell division and elongation, improving overall root and shoot development. </w:t>
      </w:r>
      <w:r w:rsidRPr="002B02F9">
        <w:rPr>
          <w:rFonts w:ascii="Arial" w:eastAsia="Times New Roman" w:hAnsi="Arial" w:cs="Arial"/>
          <w:color w:val="000000"/>
          <w:kern w:val="0"/>
          <w:sz w:val="20"/>
          <w:szCs w:val="20"/>
          <w:lang w:eastAsia="en-IN"/>
          <w14:ligatures w14:val="none"/>
        </w:rPr>
        <w:t xml:space="preserve">The findings align with earlier studies in various crops, confirming the effectiveness of sand + vermiculite media and higher IBA concentrations. Thus, using sand and vermiculite as rooting media along with 2000 ppm IBA is recommended for optimal propagation of pomegranate cuttings, ensuring better survival, rooting efficiency, and plant </w:t>
      </w:r>
      <w:proofErr w:type="spellStart"/>
      <w:r w:rsidRPr="002B02F9">
        <w:rPr>
          <w:rFonts w:ascii="Arial" w:eastAsia="Times New Roman" w:hAnsi="Arial" w:cs="Arial"/>
          <w:color w:val="000000"/>
          <w:kern w:val="0"/>
          <w:sz w:val="20"/>
          <w:szCs w:val="20"/>
          <w:lang w:eastAsia="en-IN"/>
          <w14:ligatures w14:val="none"/>
        </w:rPr>
        <w:t>vigor</w:t>
      </w:r>
      <w:proofErr w:type="spellEnd"/>
      <w:r w:rsidRPr="002B02F9">
        <w:rPr>
          <w:rFonts w:ascii="Arial" w:eastAsia="Times New Roman" w:hAnsi="Arial" w:cs="Arial"/>
          <w:color w:val="000000"/>
          <w:kern w:val="0"/>
          <w:sz w:val="20"/>
          <w:szCs w:val="20"/>
          <w:lang w:eastAsia="en-IN"/>
          <w14:ligatures w14:val="none"/>
        </w:rPr>
        <w:t>.</w:t>
      </w:r>
    </w:p>
    <w:p w14:paraId="7D14FCD9" w14:textId="77777777" w:rsidR="002B02F9" w:rsidRDefault="002B02F9" w:rsidP="005D0190">
      <w:pPr>
        <w:spacing w:line="276" w:lineRule="auto"/>
        <w:jc w:val="both"/>
        <w:rPr>
          <w:rFonts w:ascii="Times New Roman" w:hAnsi="Times New Roman" w:cs="Times New Roman"/>
          <w:sz w:val="24"/>
          <w:szCs w:val="24"/>
        </w:rPr>
      </w:pPr>
    </w:p>
    <w:p w14:paraId="2D0993B9" w14:textId="77777777" w:rsidR="005D6B20" w:rsidRPr="005D6B20" w:rsidRDefault="005D6B20" w:rsidP="005D6B20">
      <w:pPr>
        <w:spacing w:line="276" w:lineRule="auto"/>
        <w:jc w:val="both"/>
        <w:rPr>
          <w:rFonts w:ascii="Times New Roman" w:hAnsi="Times New Roman" w:cs="Times New Roman"/>
          <w:sz w:val="24"/>
          <w:szCs w:val="24"/>
        </w:rPr>
      </w:pPr>
      <w:r w:rsidRPr="005D6B20">
        <w:rPr>
          <w:rFonts w:ascii="Times New Roman" w:hAnsi="Times New Roman" w:cs="Times New Roman"/>
          <w:sz w:val="24"/>
          <w:szCs w:val="24"/>
        </w:rPr>
        <w:t>COMPETING INTERESTS DISCLAIMER:</w:t>
      </w:r>
    </w:p>
    <w:p w14:paraId="527432C9" w14:textId="6374FA7E" w:rsidR="005D6B20" w:rsidRDefault="005D6B20" w:rsidP="005D6B20">
      <w:pPr>
        <w:spacing w:line="276" w:lineRule="auto"/>
        <w:jc w:val="both"/>
        <w:rPr>
          <w:rFonts w:ascii="Times New Roman" w:hAnsi="Times New Roman" w:cs="Times New Roman"/>
          <w:sz w:val="24"/>
          <w:szCs w:val="24"/>
        </w:rPr>
        <w:sectPr w:rsidR="005D6B20" w:rsidSect="002B02F9">
          <w:type w:val="continuous"/>
          <w:pgSz w:w="11906" w:h="16838"/>
          <w:pgMar w:top="1440" w:right="1440" w:bottom="1440" w:left="1440" w:header="709" w:footer="709" w:gutter="0"/>
          <w:cols w:num="2" w:space="708"/>
          <w:docGrid w:linePitch="360"/>
        </w:sectPr>
      </w:pPr>
      <w:r w:rsidRPr="005D6B2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98A4EA0" w14:textId="77777777" w:rsidR="004E761B" w:rsidRPr="004E761B" w:rsidRDefault="004E761B" w:rsidP="005D0190">
      <w:pPr>
        <w:spacing w:line="276" w:lineRule="auto"/>
        <w:jc w:val="both"/>
        <w:rPr>
          <w:rFonts w:ascii="Times New Roman" w:hAnsi="Times New Roman" w:cs="Times New Roman"/>
          <w:sz w:val="24"/>
          <w:szCs w:val="24"/>
        </w:rPr>
      </w:pPr>
    </w:p>
    <w:p w14:paraId="0B8446F3" w14:textId="77777777" w:rsidR="002B02F9" w:rsidRPr="002B02F9" w:rsidRDefault="002B02F9" w:rsidP="002B02F9">
      <w:pPr>
        <w:spacing w:line="276" w:lineRule="auto"/>
        <w:rPr>
          <w:rFonts w:ascii="Arial" w:hAnsi="Arial" w:cs="Arial"/>
          <w:sz w:val="20"/>
          <w:szCs w:val="20"/>
        </w:rPr>
      </w:pPr>
      <w:r w:rsidRPr="002B02F9">
        <w:rPr>
          <w:rFonts w:ascii="Arial" w:hAnsi="Arial" w:cs="Arial"/>
          <w:b/>
          <w:bCs/>
          <w:sz w:val="20"/>
          <w:szCs w:val="20"/>
        </w:rPr>
        <w:t xml:space="preserve">Table 3 </w:t>
      </w:r>
      <w:r w:rsidRPr="002B02F9">
        <w:rPr>
          <w:rFonts w:ascii="Arial" w:hAnsi="Arial" w:cs="Arial"/>
          <w:sz w:val="20"/>
          <w:szCs w:val="20"/>
        </w:rPr>
        <w:t xml:space="preserve">Effect of rooting media and IBA treatment on percentage of mortality </w:t>
      </w:r>
      <w:proofErr w:type="spellStart"/>
      <w:r w:rsidRPr="002B02F9">
        <w:rPr>
          <w:rFonts w:ascii="Arial" w:hAnsi="Arial" w:cs="Arial"/>
          <w:sz w:val="20"/>
          <w:szCs w:val="20"/>
        </w:rPr>
        <w:t>duting</w:t>
      </w:r>
      <w:proofErr w:type="spellEnd"/>
      <w:r w:rsidRPr="002B02F9">
        <w:rPr>
          <w:rFonts w:ascii="Arial" w:hAnsi="Arial" w:cs="Arial"/>
          <w:sz w:val="20"/>
          <w:szCs w:val="20"/>
        </w:rPr>
        <w:t xml:space="preserve"> hardening process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tbl>
      <w:tblPr>
        <w:tblW w:w="9278" w:type="dxa"/>
        <w:tblInd w:w="-5" w:type="dxa"/>
        <w:tblLook w:val="04A0" w:firstRow="1" w:lastRow="0" w:firstColumn="1" w:lastColumn="0" w:noHBand="0" w:noVBand="1"/>
      </w:tblPr>
      <w:tblGrid>
        <w:gridCol w:w="3709"/>
        <w:gridCol w:w="937"/>
        <w:gridCol w:w="1273"/>
        <w:gridCol w:w="1273"/>
        <w:gridCol w:w="1273"/>
        <w:gridCol w:w="813"/>
      </w:tblGrid>
      <w:tr w:rsidR="002B02F9" w:rsidRPr="002B02F9" w14:paraId="31C44934" w14:textId="77777777" w:rsidTr="00572387">
        <w:trPr>
          <w:trHeight w:val="402"/>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848F"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Percentage of mortality during Hardening process @90 DAP</w:t>
            </w:r>
          </w:p>
        </w:tc>
      </w:tr>
      <w:tr w:rsidR="002B02F9" w:rsidRPr="002B02F9" w14:paraId="081F1EA0" w14:textId="77777777" w:rsidTr="00572387">
        <w:trPr>
          <w:trHeight w:val="402"/>
        </w:trPr>
        <w:tc>
          <w:tcPr>
            <w:tcW w:w="3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90F0E"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Rooting Media (M)</w:t>
            </w:r>
          </w:p>
        </w:tc>
        <w:tc>
          <w:tcPr>
            <w:tcW w:w="556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2036AA5"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r>
      <w:tr w:rsidR="002B02F9" w:rsidRPr="002B02F9" w14:paraId="1C8423E5" w14:textId="77777777" w:rsidTr="00572387">
        <w:trPr>
          <w:trHeight w:val="402"/>
        </w:trPr>
        <w:tc>
          <w:tcPr>
            <w:tcW w:w="3709" w:type="dxa"/>
            <w:vMerge/>
            <w:tcBorders>
              <w:top w:val="nil"/>
              <w:left w:val="single" w:sz="4" w:space="0" w:color="auto"/>
              <w:bottom w:val="single" w:sz="4" w:space="0" w:color="auto"/>
              <w:right w:val="single" w:sz="4" w:space="0" w:color="auto"/>
            </w:tcBorders>
            <w:vAlign w:val="center"/>
            <w:hideMark/>
          </w:tcPr>
          <w:p w14:paraId="2CE69C25" w14:textId="77777777" w:rsidR="002B02F9" w:rsidRPr="002B02F9" w:rsidRDefault="002B02F9" w:rsidP="00572387">
            <w:pPr>
              <w:spacing w:after="0" w:line="240" w:lineRule="auto"/>
              <w:rPr>
                <w:rFonts w:ascii="Arial" w:eastAsia="Times New Roman" w:hAnsi="Arial" w:cs="Arial"/>
                <w:b/>
                <w:bCs/>
                <w:color w:val="000000" w:themeColor="text1"/>
                <w:kern w:val="0"/>
                <w:sz w:val="20"/>
                <w:szCs w:val="20"/>
                <w:lang w:eastAsia="en-IN"/>
                <w14:ligatures w14:val="none"/>
              </w:rPr>
            </w:pPr>
          </w:p>
        </w:tc>
        <w:tc>
          <w:tcPr>
            <w:tcW w:w="937" w:type="dxa"/>
            <w:tcBorders>
              <w:top w:val="nil"/>
              <w:left w:val="nil"/>
              <w:bottom w:val="single" w:sz="4" w:space="0" w:color="auto"/>
              <w:right w:val="single" w:sz="4" w:space="0" w:color="auto"/>
            </w:tcBorders>
            <w:shd w:val="clear" w:color="auto" w:fill="auto"/>
            <w:noWrap/>
            <w:vAlign w:val="bottom"/>
            <w:hideMark/>
          </w:tcPr>
          <w:p w14:paraId="2600FDE0"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0F184A5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31E824B9"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1273" w:type="dxa"/>
            <w:tcBorders>
              <w:top w:val="nil"/>
              <w:left w:val="nil"/>
              <w:bottom w:val="single" w:sz="4" w:space="0" w:color="auto"/>
              <w:right w:val="single" w:sz="4" w:space="0" w:color="auto"/>
            </w:tcBorders>
            <w:shd w:val="clear" w:color="auto" w:fill="auto"/>
            <w:noWrap/>
            <w:vAlign w:val="bottom"/>
            <w:hideMark/>
          </w:tcPr>
          <w:p w14:paraId="31D5AD7E"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813" w:type="dxa"/>
            <w:tcBorders>
              <w:top w:val="nil"/>
              <w:left w:val="nil"/>
              <w:bottom w:val="single" w:sz="4" w:space="0" w:color="auto"/>
              <w:right w:val="single" w:sz="4" w:space="0" w:color="auto"/>
            </w:tcBorders>
            <w:shd w:val="clear" w:color="auto" w:fill="auto"/>
            <w:noWrap/>
            <w:vAlign w:val="bottom"/>
            <w:hideMark/>
          </w:tcPr>
          <w:p w14:paraId="6D6D7DE8"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B02F9" w:rsidRPr="002B02F9" w14:paraId="080F7694"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1461D05A"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Sand+ Vermicompost (M</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0782BD1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49.79</w:t>
            </w:r>
          </w:p>
        </w:tc>
        <w:tc>
          <w:tcPr>
            <w:tcW w:w="1273" w:type="dxa"/>
            <w:tcBorders>
              <w:top w:val="nil"/>
              <w:left w:val="nil"/>
              <w:bottom w:val="single" w:sz="4" w:space="0" w:color="auto"/>
              <w:right w:val="single" w:sz="4" w:space="0" w:color="auto"/>
            </w:tcBorders>
            <w:shd w:val="clear" w:color="auto" w:fill="auto"/>
            <w:noWrap/>
            <w:vAlign w:val="bottom"/>
          </w:tcPr>
          <w:p w14:paraId="3D9D4EF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37.55</w:t>
            </w:r>
          </w:p>
        </w:tc>
        <w:tc>
          <w:tcPr>
            <w:tcW w:w="1273" w:type="dxa"/>
            <w:tcBorders>
              <w:top w:val="nil"/>
              <w:left w:val="nil"/>
              <w:bottom w:val="single" w:sz="4" w:space="0" w:color="auto"/>
              <w:right w:val="single" w:sz="4" w:space="0" w:color="auto"/>
            </w:tcBorders>
            <w:shd w:val="clear" w:color="auto" w:fill="auto"/>
            <w:noWrap/>
            <w:vAlign w:val="bottom"/>
          </w:tcPr>
          <w:p w14:paraId="56EAF5E7"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30.95</w:t>
            </w:r>
          </w:p>
        </w:tc>
        <w:tc>
          <w:tcPr>
            <w:tcW w:w="1273" w:type="dxa"/>
            <w:tcBorders>
              <w:top w:val="nil"/>
              <w:left w:val="nil"/>
              <w:bottom w:val="single" w:sz="4" w:space="0" w:color="auto"/>
              <w:right w:val="single" w:sz="4" w:space="0" w:color="auto"/>
            </w:tcBorders>
            <w:shd w:val="clear" w:color="auto" w:fill="auto"/>
            <w:noWrap/>
            <w:vAlign w:val="bottom"/>
          </w:tcPr>
          <w:p w14:paraId="0EE8842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24.44</w:t>
            </w:r>
          </w:p>
        </w:tc>
        <w:tc>
          <w:tcPr>
            <w:tcW w:w="813" w:type="dxa"/>
            <w:tcBorders>
              <w:top w:val="nil"/>
              <w:left w:val="nil"/>
              <w:bottom w:val="single" w:sz="4" w:space="0" w:color="auto"/>
              <w:right w:val="single" w:sz="4" w:space="0" w:color="auto"/>
            </w:tcBorders>
            <w:shd w:val="clear" w:color="auto" w:fill="auto"/>
            <w:noWrap/>
            <w:vAlign w:val="bottom"/>
          </w:tcPr>
          <w:p w14:paraId="0922687F"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35.68</w:t>
            </w:r>
          </w:p>
        </w:tc>
      </w:tr>
      <w:tr w:rsidR="002B02F9" w:rsidRPr="002B02F9" w14:paraId="424A43D0"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5444C635"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 Sand+ Vermiculite (M</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6D74D32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44.29</w:t>
            </w:r>
          </w:p>
        </w:tc>
        <w:tc>
          <w:tcPr>
            <w:tcW w:w="1273" w:type="dxa"/>
            <w:tcBorders>
              <w:top w:val="nil"/>
              <w:left w:val="nil"/>
              <w:bottom w:val="single" w:sz="4" w:space="0" w:color="auto"/>
              <w:right w:val="single" w:sz="4" w:space="0" w:color="auto"/>
            </w:tcBorders>
            <w:shd w:val="clear" w:color="auto" w:fill="auto"/>
            <w:noWrap/>
            <w:vAlign w:val="bottom"/>
          </w:tcPr>
          <w:p w14:paraId="35D5F26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32.68</w:t>
            </w:r>
          </w:p>
        </w:tc>
        <w:tc>
          <w:tcPr>
            <w:tcW w:w="1273" w:type="dxa"/>
            <w:tcBorders>
              <w:top w:val="nil"/>
              <w:left w:val="nil"/>
              <w:bottom w:val="nil"/>
              <w:right w:val="nil"/>
            </w:tcBorders>
            <w:shd w:val="clear" w:color="auto" w:fill="auto"/>
            <w:noWrap/>
            <w:vAlign w:val="bottom"/>
          </w:tcPr>
          <w:p w14:paraId="6BC08AD1"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30.17</w:t>
            </w:r>
          </w:p>
        </w:tc>
        <w:tc>
          <w:tcPr>
            <w:tcW w:w="1273" w:type="dxa"/>
            <w:tcBorders>
              <w:top w:val="nil"/>
              <w:left w:val="single" w:sz="4" w:space="0" w:color="auto"/>
              <w:bottom w:val="single" w:sz="4" w:space="0" w:color="auto"/>
              <w:right w:val="single" w:sz="4" w:space="0" w:color="auto"/>
            </w:tcBorders>
            <w:shd w:val="clear" w:color="auto" w:fill="auto"/>
            <w:noWrap/>
            <w:vAlign w:val="bottom"/>
          </w:tcPr>
          <w:p w14:paraId="549A5F5F"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15.98</w:t>
            </w:r>
          </w:p>
        </w:tc>
        <w:tc>
          <w:tcPr>
            <w:tcW w:w="813" w:type="dxa"/>
            <w:tcBorders>
              <w:top w:val="nil"/>
              <w:left w:val="nil"/>
              <w:bottom w:val="single" w:sz="4" w:space="0" w:color="auto"/>
              <w:right w:val="single" w:sz="4" w:space="0" w:color="auto"/>
            </w:tcBorders>
            <w:shd w:val="clear" w:color="auto" w:fill="auto"/>
            <w:noWrap/>
            <w:vAlign w:val="bottom"/>
          </w:tcPr>
          <w:p w14:paraId="4149ABA2"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30.78</w:t>
            </w:r>
          </w:p>
        </w:tc>
      </w:tr>
      <w:tr w:rsidR="002B02F9" w:rsidRPr="002B02F9" w14:paraId="05900C92"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361853DC"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Sand+ Vermiculite + Vermicompost (M</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5E55FBD5"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40.60</w:t>
            </w:r>
          </w:p>
        </w:tc>
        <w:tc>
          <w:tcPr>
            <w:tcW w:w="1273" w:type="dxa"/>
            <w:tcBorders>
              <w:top w:val="nil"/>
              <w:left w:val="nil"/>
              <w:bottom w:val="single" w:sz="4" w:space="0" w:color="auto"/>
              <w:right w:val="single" w:sz="4" w:space="0" w:color="auto"/>
            </w:tcBorders>
            <w:shd w:val="clear" w:color="auto" w:fill="auto"/>
            <w:noWrap/>
            <w:vAlign w:val="bottom"/>
          </w:tcPr>
          <w:p w14:paraId="23AAFD3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31.87</w:t>
            </w:r>
          </w:p>
        </w:tc>
        <w:tc>
          <w:tcPr>
            <w:tcW w:w="1273" w:type="dxa"/>
            <w:tcBorders>
              <w:top w:val="single" w:sz="4" w:space="0" w:color="auto"/>
              <w:left w:val="nil"/>
              <w:bottom w:val="single" w:sz="4" w:space="0" w:color="auto"/>
              <w:right w:val="single" w:sz="4" w:space="0" w:color="auto"/>
            </w:tcBorders>
            <w:shd w:val="clear" w:color="auto" w:fill="auto"/>
            <w:noWrap/>
            <w:vAlign w:val="bottom"/>
          </w:tcPr>
          <w:p w14:paraId="71C0CA7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29.52</w:t>
            </w:r>
          </w:p>
        </w:tc>
        <w:tc>
          <w:tcPr>
            <w:tcW w:w="1273" w:type="dxa"/>
            <w:tcBorders>
              <w:top w:val="nil"/>
              <w:left w:val="nil"/>
              <w:bottom w:val="single" w:sz="4" w:space="0" w:color="auto"/>
              <w:right w:val="single" w:sz="4" w:space="0" w:color="auto"/>
            </w:tcBorders>
            <w:shd w:val="clear" w:color="auto" w:fill="auto"/>
            <w:noWrap/>
            <w:vAlign w:val="bottom"/>
          </w:tcPr>
          <w:p w14:paraId="0C2547BA"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13.65</w:t>
            </w:r>
          </w:p>
        </w:tc>
        <w:tc>
          <w:tcPr>
            <w:tcW w:w="813" w:type="dxa"/>
            <w:tcBorders>
              <w:top w:val="nil"/>
              <w:left w:val="nil"/>
              <w:bottom w:val="single" w:sz="4" w:space="0" w:color="auto"/>
              <w:right w:val="single" w:sz="4" w:space="0" w:color="auto"/>
            </w:tcBorders>
            <w:shd w:val="clear" w:color="auto" w:fill="auto"/>
            <w:noWrap/>
            <w:vAlign w:val="bottom"/>
          </w:tcPr>
          <w:p w14:paraId="0D3D591B"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28.91</w:t>
            </w:r>
          </w:p>
        </w:tc>
      </w:tr>
      <w:tr w:rsidR="002B02F9" w:rsidRPr="002B02F9" w14:paraId="5BBFB94E"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023EF38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937" w:type="dxa"/>
            <w:tcBorders>
              <w:top w:val="nil"/>
              <w:left w:val="nil"/>
              <w:bottom w:val="single" w:sz="4" w:space="0" w:color="auto"/>
              <w:right w:val="single" w:sz="4" w:space="0" w:color="auto"/>
            </w:tcBorders>
            <w:shd w:val="clear" w:color="auto" w:fill="auto"/>
            <w:noWrap/>
            <w:vAlign w:val="bottom"/>
          </w:tcPr>
          <w:p w14:paraId="4410C47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44.89</w:t>
            </w:r>
          </w:p>
        </w:tc>
        <w:tc>
          <w:tcPr>
            <w:tcW w:w="1273" w:type="dxa"/>
            <w:tcBorders>
              <w:top w:val="nil"/>
              <w:left w:val="nil"/>
              <w:bottom w:val="single" w:sz="4" w:space="0" w:color="auto"/>
              <w:right w:val="single" w:sz="4" w:space="0" w:color="auto"/>
            </w:tcBorders>
            <w:shd w:val="clear" w:color="auto" w:fill="auto"/>
            <w:noWrap/>
            <w:vAlign w:val="bottom"/>
          </w:tcPr>
          <w:p w14:paraId="524D6424"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34.03</w:t>
            </w:r>
          </w:p>
        </w:tc>
        <w:tc>
          <w:tcPr>
            <w:tcW w:w="1273" w:type="dxa"/>
            <w:tcBorders>
              <w:top w:val="nil"/>
              <w:left w:val="nil"/>
              <w:bottom w:val="single" w:sz="4" w:space="0" w:color="auto"/>
              <w:right w:val="single" w:sz="4" w:space="0" w:color="auto"/>
            </w:tcBorders>
            <w:shd w:val="clear" w:color="auto" w:fill="auto"/>
            <w:noWrap/>
            <w:vAlign w:val="bottom"/>
          </w:tcPr>
          <w:p w14:paraId="7E07AD4A"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30.21</w:t>
            </w:r>
          </w:p>
        </w:tc>
        <w:tc>
          <w:tcPr>
            <w:tcW w:w="1273" w:type="dxa"/>
            <w:tcBorders>
              <w:top w:val="nil"/>
              <w:left w:val="nil"/>
              <w:bottom w:val="single" w:sz="4" w:space="0" w:color="auto"/>
              <w:right w:val="single" w:sz="4" w:space="0" w:color="auto"/>
            </w:tcBorders>
            <w:shd w:val="clear" w:color="auto" w:fill="auto"/>
            <w:noWrap/>
            <w:vAlign w:val="bottom"/>
          </w:tcPr>
          <w:p w14:paraId="078FE586" w14:textId="77777777" w:rsidR="002B02F9" w:rsidRPr="002B02F9" w:rsidRDefault="002B02F9" w:rsidP="00572387">
            <w:pPr>
              <w:spacing w:after="0" w:line="240" w:lineRule="auto"/>
              <w:jc w:val="center"/>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18.02</w:t>
            </w:r>
          </w:p>
        </w:tc>
        <w:tc>
          <w:tcPr>
            <w:tcW w:w="813" w:type="dxa"/>
            <w:tcBorders>
              <w:top w:val="nil"/>
              <w:left w:val="nil"/>
              <w:bottom w:val="single" w:sz="4" w:space="0" w:color="auto"/>
              <w:right w:val="single" w:sz="4" w:space="0" w:color="auto"/>
            </w:tcBorders>
            <w:shd w:val="clear" w:color="auto" w:fill="auto"/>
            <w:noWrap/>
            <w:vAlign w:val="bottom"/>
          </w:tcPr>
          <w:p w14:paraId="3665000D"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p>
        </w:tc>
      </w:tr>
      <w:tr w:rsidR="002B02F9" w:rsidRPr="002B02F9" w14:paraId="135CEB5D"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6534C338"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937" w:type="dxa"/>
            <w:tcBorders>
              <w:top w:val="nil"/>
              <w:left w:val="nil"/>
              <w:bottom w:val="single" w:sz="4" w:space="0" w:color="auto"/>
              <w:right w:val="single" w:sz="4" w:space="0" w:color="auto"/>
            </w:tcBorders>
            <w:shd w:val="clear" w:color="auto" w:fill="auto"/>
            <w:noWrap/>
            <w:vAlign w:val="bottom"/>
            <w:hideMark/>
          </w:tcPr>
          <w:p w14:paraId="34322C09"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1273" w:type="dxa"/>
            <w:tcBorders>
              <w:top w:val="nil"/>
              <w:left w:val="nil"/>
              <w:bottom w:val="single" w:sz="4" w:space="0" w:color="auto"/>
              <w:right w:val="single" w:sz="4" w:space="0" w:color="auto"/>
            </w:tcBorders>
            <w:shd w:val="clear" w:color="auto" w:fill="auto"/>
            <w:noWrap/>
            <w:vAlign w:val="bottom"/>
            <w:hideMark/>
          </w:tcPr>
          <w:p w14:paraId="03D0364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65C00A6D"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 </w:t>
            </w:r>
          </w:p>
        </w:tc>
      </w:tr>
      <w:tr w:rsidR="002B02F9" w:rsidRPr="002B02F9" w14:paraId="06B4F137"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6EBE1A9C"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937" w:type="dxa"/>
            <w:tcBorders>
              <w:top w:val="nil"/>
              <w:left w:val="nil"/>
              <w:bottom w:val="single" w:sz="4" w:space="0" w:color="auto"/>
              <w:right w:val="single" w:sz="4" w:space="0" w:color="auto"/>
            </w:tcBorders>
            <w:shd w:val="clear" w:color="auto" w:fill="auto"/>
            <w:noWrap/>
            <w:vAlign w:val="bottom"/>
          </w:tcPr>
          <w:p w14:paraId="0E0FCBFC"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2.77</w:t>
            </w:r>
          </w:p>
        </w:tc>
        <w:tc>
          <w:tcPr>
            <w:tcW w:w="1273" w:type="dxa"/>
            <w:tcBorders>
              <w:top w:val="nil"/>
              <w:left w:val="nil"/>
              <w:bottom w:val="single" w:sz="4" w:space="0" w:color="auto"/>
              <w:right w:val="single" w:sz="4" w:space="0" w:color="auto"/>
            </w:tcBorders>
            <w:shd w:val="clear" w:color="auto" w:fill="auto"/>
            <w:noWrap/>
            <w:vAlign w:val="bottom"/>
          </w:tcPr>
          <w:p w14:paraId="0F113906"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3.20</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22C550AE"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5.55</w:t>
            </w:r>
          </w:p>
        </w:tc>
      </w:tr>
      <w:tr w:rsidR="002B02F9" w:rsidRPr="002B02F9" w14:paraId="19787AD4" w14:textId="77777777" w:rsidTr="00572387">
        <w:trPr>
          <w:trHeight w:val="402"/>
        </w:trPr>
        <w:tc>
          <w:tcPr>
            <w:tcW w:w="3709" w:type="dxa"/>
            <w:tcBorders>
              <w:top w:val="nil"/>
              <w:left w:val="single" w:sz="4" w:space="0" w:color="auto"/>
              <w:bottom w:val="single" w:sz="4" w:space="0" w:color="auto"/>
              <w:right w:val="single" w:sz="4" w:space="0" w:color="auto"/>
            </w:tcBorders>
            <w:shd w:val="clear" w:color="auto" w:fill="auto"/>
            <w:noWrap/>
            <w:vAlign w:val="center"/>
            <w:hideMark/>
          </w:tcPr>
          <w:p w14:paraId="669681D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937" w:type="dxa"/>
            <w:tcBorders>
              <w:top w:val="nil"/>
              <w:left w:val="nil"/>
              <w:bottom w:val="single" w:sz="4" w:space="0" w:color="auto"/>
              <w:right w:val="single" w:sz="4" w:space="0" w:color="auto"/>
            </w:tcBorders>
            <w:shd w:val="clear" w:color="auto" w:fill="auto"/>
            <w:noWrap/>
            <w:vAlign w:val="bottom"/>
          </w:tcPr>
          <w:p w14:paraId="36FF7A5B" w14:textId="77777777" w:rsidR="002B02F9" w:rsidRPr="002B02F9" w:rsidRDefault="002B02F9" w:rsidP="00572387">
            <w:pPr>
              <w:spacing w:after="0" w:line="240" w:lineRule="auto"/>
              <w:jc w:val="right"/>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5.73</w:t>
            </w:r>
          </w:p>
        </w:tc>
        <w:tc>
          <w:tcPr>
            <w:tcW w:w="1273" w:type="dxa"/>
            <w:tcBorders>
              <w:top w:val="nil"/>
              <w:left w:val="nil"/>
              <w:bottom w:val="single" w:sz="4" w:space="0" w:color="auto"/>
              <w:right w:val="single" w:sz="4" w:space="0" w:color="auto"/>
            </w:tcBorders>
            <w:shd w:val="clear" w:color="auto" w:fill="auto"/>
            <w:noWrap/>
            <w:vAlign w:val="bottom"/>
          </w:tcPr>
          <w:p w14:paraId="0205D4D2" w14:textId="77777777" w:rsidR="002B02F9" w:rsidRPr="002B02F9" w:rsidRDefault="002B02F9" w:rsidP="00572387">
            <w:pPr>
              <w:spacing w:after="0" w:line="240" w:lineRule="auto"/>
              <w:jc w:val="right"/>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6.62</w:t>
            </w:r>
          </w:p>
        </w:tc>
        <w:tc>
          <w:tcPr>
            <w:tcW w:w="3359" w:type="dxa"/>
            <w:gridSpan w:val="3"/>
            <w:tcBorders>
              <w:top w:val="nil"/>
              <w:left w:val="nil"/>
              <w:bottom w:val="single" w:sz="4" w:space="0" w:color="auto"/>
              <w:right w:val="single" w:sz="4" w:space="0" w:color="auto"/>
            </w:tcBorders>
            <w:shd w:val="clear" w:color="auto" w:fill="auto"/>
            <w:noWrap/>
            <w:vAlign w:val="bottom"/>
            <w:hideMark/>
          </w:tcPr>
          <w:p w14:paraId="34C23503" w14:textId="77777777" w:rsidR="002B02F9" w:rsidRPr="002B02F9" w:rsidRDefault="002B02F9" w:rsidP="00572387">
            <w:pPr>
              <w:spacing w:after="0" w:line="240"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NS</w:t>
            </w:r>
          </w:p>
        </w:tc>
      </w:tr>
    </w:tbl>
    <w:p w14:paraId="59483978" w14:textId="77777777" w:rsidR="0020568F" w:rsidRDefault="0020568F" w:rsidP="005D0190">
      <w:pPr>
        <w:spacing w:line="276" w:lineRule="auto"/>
        <w:ind w:firstLine="720"/>
        <w:jc w:val="both"/>
        <w:rPr>
          <w:rFonts w:ascii="Times New Roman" w:hAnsi="Times New Roman" w:cs="Times New Roman"/>
          <w:sz w:val="24"/>
          <w:szCs w:val="24"/>
        </w:rPr>
        <w:sectPr w:rsidR="0020568F" w:rsidSect="002B02F9">
          <w:type w:val="continuous"/>
          <w:pgSz w:w="11906" w:h="16838"/>
          <w:pgMar w:top="1440" w:right="1440" w:bottom="1440" w:left="1440" w:header="709" w:footer="709" w:gutter="0"/>
          <w:cols w:space="708"/>
          <w:docGrid w:linePitch="360"/>
        </w:sectPr>
      </w:pPr>
    </w:p>
    <w:p w14:paraId="0B1C8904" w14:textId="0583517A" w:rsidR="00842CD0" w:rsidRDefault="00842CD0" w:rsidP="005D0190">
      <w:pPr>
        <w:spacing w:line="276" w:lineRule="auto"/>
        <w:ind w:firstLine="720"/>
        <w:jc w:val="both"/>
        <w:rPr>
          <w:rFonts w:ascii="Times New Roman" w:hAnsi="Times New Roman" w:cs="Times New Roman"/>
          <w:sz w:val="24"/>
          <w:szCs w:val="24"/>
        </w:rPr>
      </w:pPr>
    </w:p>
    <w:tbl>
      <w:tblPr>
        <w:tblStyle w:val="PlainTable2"/>
        <w:tblpPr w:leftFromText="180" w:rightFromText="180" w:vertAnchor="page" w:horzAnchor="margin" w:tblpXSpec="center" w:tblpY="186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36"/>
        <w:gridCol w:w="808"/>
        <w:gridCol w:w="808"/>
        <w:gridCol w:w="814"/>
        <w:gridCol w:w="839"/>
        <w:gridCol w:w="736"/>
        <w:gridCol w:w="808"/>
        <w:gridCol w:w="808"/>
        <w:gridCol w:w="816"/>
        <w:gridCol w:w="954"/>
        <w:gridCol w:w="736"/>
        <w:gridCol w:w="808"/>
        <w:gridCol w:w="808"/>
        <w:gridCol w:w="908"/>
        <w:gridCol w:w="851"/>
      </w:tblGrid>
      <w:tr w:rsidR="0020568F" w:rsidRPr="002B02F9" w14:paraId="0535A489" w14:textId="77777777" w:rsidTr="00873C94">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4454" w:type="dxa"/>
            <w:gridSpan w:val="16"/>
            <w:tcBorders>
              <w:top w:val="single" w:sz="4" w:space="0" w:color="auto"/>
              <w:left w:val="single" w:sz="4" w:space="0" w:color="auto"/>
              <w:right w:val="single" w:sz="4" w:space="0" w:color="auto"/>
            </w:tcBorders>
            <w:noWrap/>
            <w:vAlign w:val="center"/>
            <w:hideMark/>
          </w:tcPr>
          <w:p w14:paraId="2B4B5CD8"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No. of shoots per cutting</w:t>
            </w:r>
          </w:p>
        </w:tc>
      </w:tr>
      <w:tr w:rsidR="0020568F" w:rsidRPr="002B02F9" w14:paraId="13151442"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vMerge w:val="restart"/>
            <w:tcBorders>
              <w:left w:val="single" w:sz="4" w:space="0" w:color="auto"/>
              <w:right w:val="single" w:sz="4" w:space="0" w:color="auto"/>
            </w:tcBorders>
            <w:noWrap/>
            <w:vAlign w:val="center"/>
            <w:hideMark/>
          </w:tcPr>
          <w:p w14:paraId="75F5DBFB"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Rooting Media (M)</w:t>
            </w:r>
          </w:p>
        </w:tc>
        <w:tc>
          <w:tcPr>
            <w:tcW w:w="3166" w:type="dxa"/>
            <w:gridSpan w:val="4"/>
            <w:tcBorders>
              <w:left w:val="single" w:sz="4" w:space="0" w:color="auto"/>
              <w:right w:val="single" w:sz="4" w:space="0" w:color="auto"/>
            </w:tcBorders>
            <w:noWrap/>
            <w:vAlign w:val="center"/>
            <w:hideMark/>
          </w:tcPr>
          <w:p w14:paraId="74051F9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30 </w:t>
            </w:r>
            <w:proofErr w:type="gramStart"/>
            <w:r w:rsidRPr="002B02F9">
              <w:rPr>
                <w:rFonts w:ascii="Arial" w:hAnsi="Arial" w:cs="Arial"/>
                <w:b/>
                <w:bCs/>
                <w:sz w:val="20"/>
                <w:szCs w:val="20"/>
              </w:rPr>
              <w:t>DAP</w:t>
            </w:r>
            <w:proofErr w:type="gramEnd"/>
          </w:p>
        </w:tc>
        <w:tc>
          <w:tcPr>
            <w:tcW w:w="839" w:type="dxa"/>
            <w:vMerge w:val="restart"/>
            <w:tcBorders>
              <w:left w:val="single" w:sz="4" w:space="0" w:color="auto"/>
              <w:right w:val="single" w:sz="4" w:space="0" w:color="auto"/>
            </w:tcBorders>
            <w:noWrap/>
            <w:vAlign w:val="center"/>
          </w:tcPr>
          <w:p w14:paraId="039919C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37DC26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168" w:type="dxa"/>
            <w:gridSpan w:val="4"/>
            <w:tcBorders>
              <w:left w:val="single" w:sz="4" w:space="0" w:color="auto"/>
              <w:right w:val="single" w:sz="4" w:space="0" w:color="auto"/>
            </w:tcBorders>
            <w:noWrap/>
            <w:vAlign w:val="center"/>
            <w:hideMark/>
          </w:tcPr>
          <w:p w14:paraId="2A96BEB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60 </w:t>
            </w:r>
            <w:proofErr w:type="gramStart"/>
            <w:r w:rsidRPr="002B02F9">
              <w:rPr>
                <w:rFonts w:ascii="Arial" w:hAnsi="Arial" w:cs="Arial"/>
                <w:b/>
                <w:bCs/>
                <w:sz w:val="20"/>
                <w:szCs w:val="20"/>
              </w:rPr>
              <w:t>DAP</w:t>
            </w:r>
            <w:proofErr w:type="gramEnd"/>
          </w:p>
        </w:tc>
        <w:tc>
          <w:tcPr>
            <w:tcW w:w="954" w:type="dxa"/>
            <w:vMerge w:val="restart"/>
            <w:tcBorders>
              <w:left w:val="single" w:sz="4" w:space="0" w:color="auto"/>
              <w:right w:val="single" w:sz="4" w:space="0" w:color="auto"/>
            </w:tcBorders>
            <w:noWrap/>
            <w:vAlign w:val="center"/>
          </w:tcPr>
          <w:p w14:paraId="741FEE5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8065FD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7984AD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87D1F9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260" w:type="dxa"/>
            <w:gridSpan w:val="4"/>
            <w:tcBorders>
              <w:left w:val="single" w:sz="4" w:space="0" w:color="auto"/>
              <w:right w:val="single" w:sz="4" w:space="0" w:color="auto"/>
            </w:tcBorders>
            <w:noWrap/>
            <w:vAlign w:val="center"/>
            <w:hideMark/>
          </w:tcPr>
          <w:p w14:paraId="6331778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90 </w:t>
            </w:r>
            <w:proofErr w:type="gramStart"/>
            <w:r w:rsidRPr="002B02F9">
              <w:rPr>
                <w:rFonts w:ascii="Arial" w:hAnsi="Arial" w:cs="Arial"/>
                <w:b/>
                <w:bCs/>
                <w:sz w:val="20"/>
                <w:szCs w:val="20"/>
              </w:rPr>
              <w:t>DAP</w:t>
            </w:r>
            <w:proofErr w:type="gramEnd"/>
          </w:p>
        </w:tc>
        <w:tc>
          <w:tcPr>
            <w:tcW w:w="851" w:type="dxa"/>
            <w:vMerge w:val="restart"/>
            <w:tcBorders>
              <w:left w:val="single" w:sz="4" w:space="0" w:color="auto"/>
              <w:right w:val="single" w:sz="4" w:space="0" w:color="auto"/>
            </w:tcBorders>
            <w:noWrap/>
            <w:vAlign w:val="center"/>
          </w:tcPr>
          <w:p w14:paraId="7BC4A06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149BDF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509C25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272398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r>
      <w:tr w:rsidR="0020568F" w:rsidRPr="002B02F9" w14:paraId="3253D5D3"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2AB6EE43" w14:textId="77777777" w:rsidR="0020568F" w:rsidRPr="002B02F9" w:rsidRDefault="0020568F" w:rsidP="00873C94">
            <w:pPr>
              <w:spacing w:after="160" w:line="276" w:lineRule="auto"/>
              <w:jc w:val="center"/>
              <w:rPr>
                <w:rFonts w:ascii="Arial" w:hAnsi="Arial" w:cs="Arial"/>
                <w:sz w:val="20"/>
                <w:szCs w:val="20"/>
              </w:rPr>
            </w:pPr>
          </w:p>
        </w:tc>
        <w:tc>
          <w:tcPr>
            <w:tcW w:w="3166" w:type="dxa"/>
            <w:gridSpan w:val="4"/>
            <w:tcBorders>
              <w:top w:val="single" w:sz="4" w:space="0" w:color="auto"/>
              <w:left w:val="single" w:sz="4" w:space="0" w:color="auto"/>
              <w:bottom w:val="single" w:sz="4" w:space="0" w:color="auto"/>
              <w:right w:val="single" w:sz="4" w:space="0" w:color="auto"/>
            </w:tcBorders>
            <w:noWrap/>
            <w:vAlign w:val="center"/>
            <w:hideMark/>
          </w:tcPr>
          <w:p w14:paraId="46DF425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7E01518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68" w:type="dxa"/>
            <w:gridSpan w:val="4"/>
            <w:tcBorders>
              <w:top w:val="single" w:sz="4" w:space="0" w:color="auto"/>
              <w:left w:val="single" w:sz="4" w:space="0" w:color="auto"/>
              <w:bottom w:val="single" w:sz="4" w:space="0" w:color="auto"/>
              <w:right w:val="single" w:sz="4" w:space="0" w:color="auto"/>
            </w:tcBorders>
            <w:noWrap/>
            <w:vAlign w:val="center"/>
            <w:hideMark/>
          </w:tcPr>
          <w:p w14:paraId="13A0C7C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1A1C4E1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60" w:type="dxa"/>
            <w:gridSpan w:val="4"/>
            <w:tcBorders>
              <w:top w:val="single" w:sz="4" w:space="0" w:color="auto"/>
              <w:left w:val="single" w:sz="4" w:space="0" w:color="auto"/>
              <w:bottom w:val="single" w:sz="4" w:space="0" w:color="auto"/>
              <w:right w:val="single" w:sz="4" w:space="0" w:color="auto"/>
            </w:tcBorders>
            <w:noWrap/>
            <w:vAlign w:val="center"/>
            <w:hideMark/>
          </w:tcPr>
          <w:p w14:paraId="4AECC8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78DF873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568F" w:rsidRPr="002B02F9" w14:paraId="257E63ED" w14:textId="77777777" w:rsidTr="00873C94">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vAlign w:val="center"/>
            <w:hideMark/>
          </w:tcPr>
          <w:p w14:paraId="553ECF00" w14:textId="77777777" w:rsidR="0020568F" w:rsidRPr="002B02F9" w:rsidRDefault="0020568F" w:rsidP="00873C94">
            <w:pPr>
              <w:spacing w:after="160" w:line="276" w:lineRule="auto"/>
              <w:jc w:val="center"/>
              <w:rPr>
                <w:rFonts w:ascii="Arial" w:hAnsi="Arial" w:cs="Arial"/>
                <w:sz w:val="20"/>
                <w:szCs w:val="20"/>
              </w:rPr>
            </w:pPr>
          </w:p>
        </w:tc>
        <w:tc>
          <w:tcPr>
            <w:tcW w:w="736" w:type="dxa"/>
            <w:tcBorders>
              <w:left w:val="single" w:sz="4" w:space="0" w:color="auto"/>
              <w:right w:val="single" w:sz="4" w:space="0" w:color="auto"/>
            </w:tcBorders>
            <w:noWrap/>
            <w:vAlign w:val="center"/>
            <w:hideMark/>
          </w:tcPr>
          <w:p w14:paraId="65981A8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173F6E1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77700EA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814" w:type="dxa"/>
            <w:tcBorders>
              <w:left w:val="single" w:sz="4" w:space="0" w:color="auto"/>
              <w:right w:val="single" w:sz="4" w:space="0" w:color="auto"/>
            </w:tcBorders>
            <w:noWrap/>
            <w:vAlign w:val="center"/>
            <w:hideMark/>
          </w:tcPr>
          <w:p w14:paraId="20EFC8E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29FB3FD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6" w:type="dxa"/>
            <w:tcBorders>
              <w:left w:val="single" w:sz="4" w:space="0" w:color="auto"/>
              <w:right w:val="single" w:sz="4" w:space="0" w:color="auto"/>
            </w:tcBorders>
            <w:noWrap/>
            <w:vAlign w:val="center"/>
            <w:hideMark/>
          </w:tcPr>
          <w:p w14:paraId="26CC6FC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0BE9BF6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2160812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816" w:type="dxa"/>
            <w:tcBorders>
              <w:left w:val="single" w:sz="4" w:space="0" w:color="auto"/>
              <w:right w:val="single" w:sz="4" w:space="0" w:color="auto"/>
            </w:tcBorders>
            <w:noWrap/>
            <w:vAlign w:val="center"/>
            <w:hideMark/>
          </w:tcPr>
          <w:p w14:paraId="0E485C0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08FEAF9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36" w:type="dxa"/>
            <w:tcBorders>
              <w:left w:val="single" w:sz="4" w:space="0" w:color="auto"/>
              <w:right w:val="single" w:sz="4" w:space="0" w:color="auto"/>
            </w:tcBorders>
            <w:noWrap/>
            <w:vAlign w:val="center"/>
            <w:hideMark/>
          </w:tcPr>
          <w:p w14:paraId="2DA2044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3B8BC16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808" w:type="dxa"/>
            <w:tcBorders>
              <w:left w:val="single" w:sz="4" w:space="0" w:color="auto"/>
              <w:right w:val="single" w:sz="4" w:space="0" w:color="auto"/>
            </w:tcBorders>
            <w:noWrap/>
            <w:vAlign w:val="center"/>
            <w:hideMark/>
          </w:tcPr>
          <w:p w14:paraId="7B879EE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908" w:type="dxa"/>
            <w:tcBorders>
              <w:left w:val="single" w:sz="4" w:space="0" w:color="auto"/>
              <w:right w:val="single" w:sz="4" w:space="0" w:color="auto"/>
            </w:tcBorders>
            <w:noWrap/>
            <w:vAlign w:val="center"/>
            <w:hideMark/>
          </w:tcPr>
          <w:p w14:paraId="1CE7E1E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06D1463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568F" w:rsidRPr="002B02F9" w14:paraId="1C52E380" w14:textId="77777777" w:rsidTr="00873C94">
        <w:trPr>
          <w:trHeight w:val="578"/>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7CCC2F5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Vermicompost (M</w:t>
            </w:r>
            <w:r w:rsidRPr="002B02F9">
              <w:rPr>
                <w:rFonts w:ascii="Arial" w:hAnsi="Arial" w:cs="Arial"/>
                <w:sz w:val="20"/>
                <w:szCs w:val="20"/>
                <w:vertAlign w:val="subscript"/>
              </w:rPr>
              <w:t>1</w:t>
            </w:r>
            <w:r w:rsidRPr="002B02F9">
              <w:rPr>
                <w:rFonts w:ascii="Arial" w:hAnsi="Arial" w:cs="Arial"/>
                <w:sz w:val="20"/>
                <w:szCs w:val="20"/>
              </w:rPr>
              <w:t>)</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0404D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DF4C83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32B11E8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4FEBE38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1.20</w:t>
            </w:r>
          </w:p>
        </w:tc>
        <w:tc>
          <w:tcPr>
            <w:tcW w:w="839" w:type="dxa"/>
            <w:tcBorders>
              <w:top w:val="single" w:sz="4" w:space="0" w:color="auto"/>
              <w:left w:val="single" w:sz="4" w:space="0" w:color="auto"/>
              <w:bottom w:val="single" w:sz="4" w:space="0" w:color="auto"/>
              <w:right w:val="single" w:sz="4" w:space="0" w:color="auto"/>
            </w:tcBorders>
            <w:noWrap/>
            <w:vAlign w:val="center"/>
            <w:hideMark/>
          </w:tcPr>
          <w:p w14:paraId="278563E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35659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2C4BE1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30BDBF9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7A6BDD0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954" w:type="dxa"/>
            <w:tcBorders>
              <w:top w:val="single" w:sz="4" w:space="0" w:color="auto"/>
              <w:left w:val="single" w:sz="4" w:space="0" w:color="auto"/>
              <w:bottom w:val="single" w:sz="4" w:space="0" w:color="auto"/>
              <w:right w:val="single" w:sz="4" w:space="0" w:color="auto"/>
            </w:tcBorders>
            <w:noWrap/>
            <w:vAlign w:val="center"/>
            <w:hideMark/>
          </w:tcPr>
          <w:p w14:paraId="170AE88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1.67</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18864EB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385AE1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A75C29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2.33</w:t>
            </w:r>
          </w:p>
        </w:tc>
        <w:tc>
          <w:tcPr>
            <w:tcW w:w="908" w:type="dxa"/>
            <w:tcBorders>
              <w:top w:val="single" w:sz="4" w:space="0" w:color="auto"/>
              <w:left w:val="single" w:sz="4" w:space="0" w:color="auto"/>
              <w:bottom w:val="single" w:sz="4" w:space="0" w:color="auto"/>
              <w:right w:val="single" w:sz="4" w:space="0" w:color="auto"/>
            </w:tcBorders>
            <w:noWrap/>
            <w:vAlign w:val="center"/>
            <w:hideMark/>
          </w:tcPr>
          <w:p w14:paraId="42B6E0E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CDF447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2.17</w:t>
            </w:r>
          </w:p>
        </w:tc>
      </w:tr>
      <w:tr w:rsidR="0020568F" w:rsidRPr="002B02F9" w14:paraId="6CFEA9B8" w14:textId="77777777" w:rsidTr="00873C94">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32EE5D9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(M</w:t>
            </w:r>
            <w:r w:rsidRPr="002B02F9">
              <w:rPr>
                <w:rFonts w:ascii="Arial" w:hAnsi="Arial" w:cs="Arial"/>
                <w:sz w:val="20"/>
                <w:szCs w:val="20"/>
                <w:vertAlign w:val="subscript"/>
              </w:rPr>
              <w:t>2</w:t>
            </w:r>
            <w:r w:rsidRPr="002B02F9">
              <w:rPr>
                <w:rFonts w:ascii="Arial" w:hAnsi="Arial" w:cs="Arial"/>
                <w:sz w:val="20"/>
                <w:szCs w:val="20"/>
              </w:rPr>
              <w:t>)</w:t>
            </w:r>
          </w:p>
        </w:tc>
        <w:tc>
          <w:tcPr>
            <w:tcW w:w="736" w:type="dxa"/>
            <w:tcBorders>
              <w:left w:val="single" w:sz="4" w:space="0" w:color="auto"/>
              <w:right w:val="single" w:sz="4" w:space="0" w:color="auto"/>
            </w:tcBorders>
            <w:noWrap/>
            <w:vAlign w:val="center"/>
            <w:hideMark/>
          </w:tcPr>
          <w:p w14:paraId="7D8A787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1.73</w:t>
            </w:r>
          </w:p>
        </w:tc>
        <w:tc>
          <w:tcPr>
            <w:tcW w:w="808" w:type="dxa"/>
            <w:tcBorders>
              <w:left w:val="single" w:sz="4" w:space="0" w:color="auto"/>
              <w:right w:val="single" w:sz="4" w:space="0" w:color="auto"/>
            </w:tcBorders>
            <w:noWrap/>
            <w:vAlign w:val="center"/>
            <w:hideMark/>
          </w:tcPr>
          <w:p w14:paraId="443CA062"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1.73</w:t>
            </w:r>
          </w:p>
        </w:tc>
        <w:tc>
          <w:tcPr>
            <w:tcW w:w="808" w:type="dxa"/>
            <w:tcBorders>
              <w:left w:val="single" w:sz="4" w:space="0" w:color="auto"/>
              <w:right w:val="single" w:sz="4" w:space="0" w:color="auto"/>
            </w:tcBorders>
            <w:noWrap/>
            <w:vAlign w:val="center"/>
            <w:hideMark/>
          </w:tcPr>
          <w:p w14:paraId="64E1B52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14" w:type="dxa"/>
            <w:tcBorders>
              <w:left w:val="single" w:sz="4" w:space="0" w:color="auto"/>
              <w:right w:val="single" w:sz="4" w:space="0" w:color="auto"/>
            </w:tcBorders>
            <w:noWrap/>
            <w:vAlign w:val="center"/>
            <w:hideMark/>
          </w:tcPr>
          <w:p w14:paraId="41EE918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2.20</w:t>
            </w:r>
          </w:p>
        </w:tc>
        <w:tc>
          <w:tcPr>
            <w:tcW w:w="839" w:type="dxa"/>
            <w:tcBorders>
              <w:left w:val="single" w:sz="4" w:space="0" w:color="auto"/>
              <w:right w:val="single" w:sz="4" w:space="0" w:color="auto"/>
            </w:tcBorders>
            <w:noWrap/>
            <w:vAlign w:val="center"/>
            <w:hideMark/>
          </w:tcPr>
          <w:p w14:paraId="78528A8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1.88</w:t>
            </w:r>
          </w:p>
        </w:tc>
        <w:tc>
          <w:tcPr>
            <w:tcW w:w="736" w:type="dxa"/>
            <w:tcBorders>
              <w:left w:val="single" w:sz="4" w:space="0" w:color="auto"/>
              <w:right w:val="single" w:sz="4" w:space="0" w:color="auto"/>
            </w:tcBorders>
            <w:noWrap/>
            <w:vAlign w:val="center"/>
            <w:hideMark/>
          </w:tcPr>
          <w:p w14:paraId="1199B27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1.33</w:t>
            </w:r>
          </w:p>
        </w:tc>
        <w:tc>
          <w:tcPr>
            <w:tcW w:w="808" w:type="dxa"/>
            <w:tcBorders>
              <w:left w:val="single" w:sz="4" w:space="0" w:color="auto"/>
              <w:right w:val="single" w:sz="4" w:space="0" w:color="auto"/>
            </w:tcBorders>
            <w:noWrap/>
            <w:vAlign w:val="center"/>
            <w:hideMark/>
          </w:tcPr>
          <w:p w14:paraId="505F588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2.00</w:t>
            </w:r>
          </w:p>
        </w:tc>
        <w:tc>
          <w:tcPr>
            <w:tcW w:w="808" w:type="dxa"/>
            <w:tcBorders>
              <w:left w:val="single" w:sz="4" w:space="0" w:color="auto"/>
              <w:right w:val="single" w:sz="4" w:space="0" w:color="auto"/>
            </w:tcBorders>
            <w:noWrap/>
            <w:vAlign w:val="center"/>
            <w:hideMark/>
          </w:tcPr>
          <w:p w14:paraId="74D3940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16" w:type="dxa"/>
            <w:tcBorders>
              <w:left w:val="single" w:sz="4" w:space="0" w:color="auto"/>
              <w:right w:val="single" w:sz="4" w:space="0" w:color="auto"/>
            </w:tcBorders>
            <w:noWrap/>
            <w:vAlign w:val="center"/>
            <w:hideMark/>
          </w:tcPr>
          <w:p w14:paraId="73E27C6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954" w:type="dxa"/>
            <w:tcBorders>
              <w:left w:val="single" w:sz="4" w:space="0" w:color="auto"/>
              <w:right w:val="single" w:sz="4" w:space="0" w:color="auto"/>
            </w:tcBorders>
            <w:noWrap/>
            <w:vAlign w:val="center"/>
            <w:hideMark/>
          </w:tcPr>
          <w:p w14:paraId="52CA52C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2.33</w:t>
            </w:r>
          </w:p>
        </w:tc>
        <w:tc>
          <w:tcPr>
            <w:tcW w:w="736" w:type="dxa"/>
            <w:tcBorders>
              <w:left w:val="single" w:sz="4" w:space="0" w:color="auto"/>
              <w:right w:val="single" w:sz="4" w:space="0" w:color="auto"/>
            </w:tcBorders>
            <w:noWrap/>
            <w:vAlign w:val="center"/>
            <w:hideMark/>
          </w:tcPr>
          <w:p w14:paraId="36D594E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left w:val="single" w:sz="4" w:space="0" w:color="auto"/>
              <w:right w:val="single" w:sz="4" w:space="0" w:color="auto"/>
            </w:tcBorders>
            <w:noWrap/>
            <w:vAlign w:val="center"/>
            <w:hideMark/>
          </w:tcPr>
          <w:p w14:paraId="3ABE0CC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08" w:type="dxa"/>
            <w:tcBorders>
              <w:left w:val="single" w:sz="4" w:space="0" w:color="auto"/>
              <w:right w:val="single" w:sz="4" w:space="0" w:color="auto"/>
            </w:tcBorders>
            <w:noWrap/>
            <w:vAlign w:val="center"/>
            <w:hideMark/>
          </w:tcPr>
          <w:p w14:paraId="27FD043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3.67</w:t>
            </w:r>
          </w:p>
        </w:tc>
        <w:tc>
          <w:tcPr>
            <w:tcW w:w="908" w:type="dxa"/>
            <w:tcBorders>
              <w:left w:val="single" w:sz="4" w:space="0" w:color="auto"/>
              <w:right w:val="single" w:sz="4" w:space="0" w:color="auto"/>
            </w:tcBorders>
            <w:noWrap/>
            <w:vAlign w:val="center"/>
            <w:hideMark/>
          </w:tcPr>
          <w:p w14:paraId="309858C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5.67</w:t>
            </w:r>
          </w:p>
        </w:tc>
        <w:tc>
          <w:tcPr>
            <w:tcW w:w="851" w:type="dxa"/>
            <w:tcBorders>
              <w:left w:val="single" w:sz="4" w:space="0" w:color="auto"/>
              <w:right w:val="single" w:sz="4" w:space="0" w:color="auto"/>
            </w:tcBorders>
            <w:noWrap/>
            <w:vAlign w:val="center"/>
            <w:hideMark/>
          </w:tcPr>
          <w:p w14:paraId="5F91874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3.42</w:t>
            </w:r>
          </w:p>
        </w:tc>
      </w:tr>
      <w:tr w:rsidR="0020568F" w:rsidRPr="002B02F9" w14:paraId="014DB8E3" w14:textId="77777777" w:rsidTr="00873C94">
        <w:trPr>
          <w:trHeight w:val="578"/>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00C1E146"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 Vermicompost (M</w:t>
            </w:r>
            <w:r w:rsidRPr="002B02F9">
              <w:rPr>
                <w:rFonts w:ascii="Arial" w:hAnsi="Arial" w:cs="Arial"/>
                <w:sz w:val="20"/>
                <w:szCs w:val="20"/>
                <w:vertAlign w:val="subscript"/>
              </w:rPr>
              <w:t>3</w:t>
            </w:r>
            <w:r w:rsidRPr="002B02F9">
              <w:rPr>
                <w:rFonts w:ascii="Arial" w:hAnsi="Arial" w:cs="Arial"/>
                <w:sz w:val="20"/>
                <w:szCs w:val="20"/>
              </w:rPr>
              <w:t>)</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28EBDD6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1.53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B9A4B6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1.87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94BAB9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14" w:type="dxa"/>
            <w:tcBorders>
              <w:top w:val="single" w:sz="4" w:space="0" w:color="auto"/>
              <w:left w:val="single" w:sz="4" w:space="0" w:color="auto"/>
              <w:bottom w:val="single" w:sz="4" w:space="0" w:color="auto"/>
              <w:right w:val="single" w:sz="4" w:space="0" w:color="auto"/>
            </w:tcBorders>
            <w:noWrap/>
            <w:vAlign w:val="center"/>
            <w:hideMark/>
          </w:tcPr>
          <w:p w14:paraId="170270C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2.13</w:t>
            </w:r>
          </w:p>
        </w:tc>
        <w:tc>
          <w:tcPr>
            <w:tcW w:w="839" w:type="dxa"/>
            <w:tcBorders>
              <w:top w:val="single" w:sz="4" w:space="0" w:color="auto"/>
              <w:left w:val="single" w:sz="4" w:space="0" w:color="auto"/>
              <w:bottom w:val="single" w:sz="4" w:space="0" w:color="auto"/>
              <w:right w:val="single" w:sz="4" w:space="0" w:color="auto"/>
            </w:tcBorders>
            <w:noWrap/>
            <w:vAlign w:val="center"/>
            <w:hideMark/>
          </w:tcPr>
          <w:p w14:paraId="53AD99F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1.80</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5F7CB5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1.00</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4E403D5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17F0F8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28443E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2.33</w:t>
            </w:r>
          </w:p>
        </w:tc>
        <w:tc>
          <w:tcPr>
            <w:tcW w:w="954" w:type="dxa"/>
            <w:tcBorders>
              <w:top w:val="single" w:sz="4" w:space="0" w:color="auto"/>
              <w:left w:val="single" w:sz="4" w:space="0" w:color="auto"/>
              <w:bottom w:val="single" w:sz="4" w:space="0" w:color="auto"/>
              <w:right w:val="single" w:sz="4" w:space="0" w:color="auto"/>
            </w:tcBorders>
            <w:noWrap/>
            <w:vAlign w:val="center"/>
            <w:hideMark/>
          </w:tcPr>
          <w:p w14:paraId="372CD64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1.75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E25E6F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F1B7FC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2.67</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7D00F50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3.33</w:t>
            </w:r>
          </w:p>
        </w:tc>
        <w:tc>
          <w:tcPr>
            <w:tcW w:w="908" w:type="dxa"/>
            <w:tcBorders>
              <w:top w:val="single" w:sz="4" w:space="0" w:color="auto"/>
              <w:left w:val="single" w:sz="4" w:space="0" w:color="auto"/>
              <w:bottom w:val="single" w:sz="4" w:space="0" w:color="auto"/>
              <w:right w:val="single" w:sz="4" w:space="0" w:color="auto"/>
            </w:tcBorders>
            <w:noWrap/>
            <w:vAlign w:val="center"/>
            <w:hideMark/>
          </w:tcPr>
          <w:p w14:paraId="28C4757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DC30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2.84</w:t>
            </w:r>
          </w:p>
        </w:tc>
      </w:tr>
      <w:tr w:rsidR="0020568F" w:rsidRPr="002B02F9" w14:paraId="59DE1F92"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1DBA8634"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Mean</w:t>
            </w:r>
          </w:p>
        </w:tc>
        <w:tc>
          <w:tcPr>
            <w:tcW w:w="736" w:type="dxa"/>
            <w:tcBorders>
              <w:left w:val="single" w:sz="4" w:space="0" w:color="auto"/>
              <w:right w:val="single" w:sz="4" w:space="0" w:color="auto"/>
            </w:tcBorders>
            <w:noWrap/>
            <w:vAlign w:val="center"/>
            <w:hideMark/>
          </w:tcPr>
          <w:p w14:paraId="17BB330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1.42</w:t>
            </w:r>
          </w:p>
        </w:tc>
        <w:tc>
          <w:tcPr>
            <w:tcW w:w="808" w:type="dxa"/>
            <w:tcBorders>
              <w:left w:val="single" w:sz="4" w:space="0" w:color="auto"/>
              <w:right w:val="single" w:sz="4" w:space="0" w:color="auto"/>
            </w:tcBorders>
            <w:noWrap/>
            <w:vAlign w:val="center"/>
            <w:hideMark/>
          </w:tcPr>
          <w:p w14:paraId="03A1C3D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1.82</w:t>
            </w:r>
          </w:p>
        </w:tc>
        <w:tc>
          <w:tcPr>
            <w:tcW w:w="808" w:type="dxa"/>
            <w:tcBorders>
              <w:left w:val="single" w:sz="4" w:space="0" w:color="auto"/>
              <w:right w:val="single" w:sz="4" w:space="0" w:color="auto"/>
            </w:tcBorders>
            <w:noWrap/>
            <w:vAlign w:val="center"/>
            <w:hideMark/>
          </w:tcPr>
          <w:p w14:paraId="6FE1D51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1.62</w:t>
            </w:r>
          </w:p>
        </w:tc>
        <w:tc>
          <w:tcPr>
            <w:tcW w:w="814" w:type="dxa"/>
            <w:tcBorders>
              <w:left w:val="single" w:sz="4" w:space="0" w:color="auto"/>
              <w:right w:val="single" w:sz="4" w:space="0" w:color="auto"/>
            </w:tcBorders>
            <w:noWrap/>
            <w:vAlign w:val="center"/>
            <w:hideMark/>
          </w:tcPr>
          <w:p w14:paraId="45B8E9B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1.84</w:t>
            </w:r>
          </w:p>
        </w:tc>
        <w:tc>
          <w:tcPr>
            <w:tcW w:w="839" w:type="dxa"/>
            <w:tcBorders>
              <w:left w:val="single" w:sz="4" w:space="0" w:color="auto"/>
              <w:right w:val="single" w:sz="4" w:space="0" w:color="auto"/>
            </w:tcBorders>
            <w:noWrap/>
            <w:vAlign w:val="center"/>
            <w:hideMark/>
          </w:tcPr>
          <w:p w14:paraId="61EA508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1.68</w:t>
            </w:r>
          </w:p>
        </w:tc>
        <w:tc>
          <w:tcPr>
            <w:tcW w:w="736" w:type="dxa"/>
            <w:tcBorders>
              <w:left w:val="single" w:sz="4" w:space="0" w:color="auto"/>
              <w:right w:val="single" w:sz="4" w:space="0" w:color="auto"/>
            </w:tcBorders>
            <w:noWrap/>
            <w:vAlign w:val="center"/>
            <w:hideMark/>
          </w:tcPr>
          <w:p w14:paraId="751FC5A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1.11</w:t>
            </w:r>
          </w:p>
        </w:tc>
        <w:tc>
          <w:tcPr>
            <w:tcW w:w="808" w:type="dxa"/>
            <w:tcBorders>
              <w:left w:val="single" w:sz="4" w:space="0" w:color="auto"/>
              <w:right w:val="single" w:sz="4" w:space="0" w:color="auto"/>
            </w:tcBorders>
            <w:noWrap/>
            <w:vAlign w:val="center"/>
            <w:hideMark/>
          </w:tcPr>
          <w:p w14:paraId="5EEE482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1.67</w:t>
            </w:r>
          </w:p>
        </w:tc>
        <w:tc>
          <w:tcPr>
            <w:tcW w:w="808" w:type="dxa"/>
            <w:tcBorders>
              <w:left w:val="single" w:sz="4" w:space="0" w:color="auto"/>
              <w:right w:val="single" w:sz="4" w:space="0" w:color="auto"/>
            </w:tcBorders>
            <w:noWrap/>
            <w:vAlign w:val="center"/>
            <w:hideMark/>
          </w:tcPr>
          <w:p w14:paraId="7652A1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2.11</w:t>
            </w:r>
          </w:p>
        </w:tc>
        <w:tc>
          <w:tcPr>
            <w:tcW w:w="816" w:type="dxa"/>
            <w:tcBorders>
              <w:left w:val="single" w:sz="4" w:space="0" w:color="auto"/>
              <w:right w:val="single" w:sz="4" w:space="0" w:color="auto"/>
            </w:tcBorders>
            <w:noWrap/>
            <w:vAlign w:val="center"/>
            <w:hideMark/>
          </w:tcPr>
          <w:p w14:paraId="5B05322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2.78</w:t>
            </w:r>
          </w:p>
        </w:tc>
        <w:tc>
          <w:tcPr>
            <w:tcW w:w="954" w:type="dxa"/>
            <w:tcBorders>
              <w:left w:val="single" w:sz="4" w:space="0" w:color="auto"/>
              <w:right w:val="single" w:sz="4" w:space="0" w:color="auto"/>
            </w:tcBorders>
            <w:noWrap/>
            <w:vAlign w:val="center"/>
            <w:hideMark/>
          </w:tcPr>
          <w:p w14:paraId="71627D4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1.92</w:t>
            </w:r>
          </w:p>
        </w:tc>
        <w:tc>
          <w:tcPr>
            <w:tcW w:w="736" w:type="dxa"/>
            <w:tcBorders>
              <w:left w:val="single" w:sz="4" w:space="0" w:color="auto"/>
              <w:right w:val="single" w:sz="4" w:space="0" w:color="auto"/>
            </w:tcBorders>
            <w:noWrap/>
            <w:vAlign w:val="center"/>
            <w:hideMark/>
          </w:tcPr>
          <w:p w14:paraId="6A6BF41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1.56</w:t>
            </w:r>
          </w:p>
        </w:tc>
        <w:tc>
          <w:tcPr>
            <w:tcW w:w="808" w:type="dxa"/>
            <w:tcBorders>
              <w:left w:val="single" w:sz="4" w:space="0" w:color="auto"/>
              <w:right w:val="single" w:sz="4" w:space="0" w:color="auto"/>
            </w:tcBorders>
            <w:noWrap/>
            <w:vAlign w:val="center"/>
            <w:hideMark/>
          </w:tcPr>
          <w:p w14:paraId="4A7FE94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2.34</w:t>
            </w:r>
          </w:p>
        </w:tc>
        <w:tc>
          <w:tcPr>
            <w:tcW w:w="808" w:type="dxa"/>
            <w:tcBorders>
              <w:left w:val="single" w:sz="4" w:space="0" w:color="auto"/>
              <w:right w:val="single" w:sz="4" w:space="0" w:color="auto"/>
            </w:tcBorders>
            <w:noWrap/>
            <w:vAlign w:val="center"/>
            <w:hideMark/>
          </w:tcPr>
          <w:p w14:paraId="28260BB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3.11</w:t>
            </w:r>
          </w:p>
        </w:tc>
        <w:tc>
          <w:tcPr>
            <w:tcW w:w="908" w:type="dxa"/>
            <w:tcBorders>
              <w:left w:val="single" w:sz="4" w:space="0" w:color="auto"/>
              <w:right w:val="single" w:sz="4" w:space="0" w:color="auto"/>
            </w:tcBorders>
            <w:noWrap/>
            <w:vAlign w:val="center"/>
            <w:hideMark/>
          </w:tcPr>
          <w:p w14:paraId="569D003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4.22</w:t>
            </w:r>
          </w:p>
        </w:tc>
        <w:tc>
          <w:tcPr>
            <w:tcW w:w="851" w:type="dxa"/>
            <w:tcBorders>
              <w:left w:val="single" w:sz="4" w:space="0" w:color="auto"/>
              <w:right w:val="single" w:sz="4" w:space="0" w:color="auto"/>
            </w:tcBorders>
            <w:noWrap/>
            <w:vAlign w:val="center"/>
            <w:hideMark/>
          </w:tcPr>
          <w:p w14:paraId="601D29E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2.81</w:t>
            </w:r>
          </w:p>
        </w:tc>
      </w:tr>
      <w:tr w:rsidR="0020568F" w:rsidRPr="002B02F9" w14:paraId="09BF625E"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396DFFE7"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Factor</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BFF0EE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12EC2A9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461" w:type="dxa"/>
            <w:gridSpan w:val="3"/>
            <w:tcBorders>
              <w:top w:val="single" w:sz="4" w:space="0" w:color="auto"/>
              <w:left w:val="single" w:sz="4" w:space="0" w:color="auto"/>
              <w:bottom w:val="single" w:sz="4" w:space="0" w:color="auto"/>
              <w:right w:val="single" w:sz="4" w:space="0" w:color="auto"/>
            </w:tcBorders>
            <w:noWrap/>
            <w:vAlign w:val="center"/>
            <w:hideMark/>
          </w:tcPr>
          <w:p w14:paraId="092A6E7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3BDCD15A"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215848C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578" w:type="dxa"/>
            <w:gridSpan w:val="3"/>
            <w:tcBorders>
              <w:top w:val="single" w:sz="4" w:space="0" w:color="auto"/>
              <w:left w:val="single" w:sz="4" w:space="0" w:color="auto"/>
              <w:bottom w:val="single" w:sz="4" w:space="0" w:color="auto"/>
              <w:right w:val="single" w:sz="4" w:space="0" w:color="auto"/>
            </w:tcBorders>
            <w:noWrap/>
            <w:vAlign w:val="center"/>
            <w:hideMark/>
          </w:tcPr>
          <w:p w14:paraId="52ECE76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6575ACC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6E72837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567" w:type="dxa"/>
            <w:gridSpan w:val="3"/>
            <w:tcBorders>
              <w:top w:val="single" w:sz="4" w:space="0" w:color="auto"/>
              <w:left w:val="single" w:sz="4" w:space="0" w:color="auto"/>
              <w:bottom w:val="single" w:sz="4" w:space="0" w:color="auto"/>
              <w:right w:val="single" w:sz="4" w:space="0" w:color="auto"/>
            </w:tcBorders>
            <w:noWrap/>
            <w:vAlign w:val="center"/>
            <w:hideMark/>
          </w:tcPr>
          <w:p w14:paraId="3A2A746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r>
      <w:tr w:rsidR="0020568F" w:rsidRPr="002B02F9" w14:paraId="60B3895E" w14:textId="77777777" w:rsidTr="00873C94">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right w:val="single" w:sz="4" w:space="0" w:color="auto"/>
            </w:tcBorders>
            <w:noWrap/>
            <w:vAlign w:val="center"/>
            <w:hideMark/>
          </w:tcPr>
          <w:p w14:paraId="0E2D5B4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Sem</w:t>
            </w:r>
            <w:r w:rsidRPr="002B02F9">
              <w:rPr>
                <w:rFonts w:ascii="Arial" w:hAnsi="Arial" w:cs="Arial"/>
                <w:sz w:val="20"/>
                <w:szCs w:val="20"/>
                <w:u w:val="single"/>
              </w:rPr>
              <w:t>+</w:t>
            </w:r>
          </w:p>
        </w:tc>
        <w:tc>
          <w:tcPr>
            <w:tcW w:w="736" w:type="dxa"/>
            <w:tcBorders>
              <w:left w:val="single" w:sz="4" w:space="0" w:color="auto"/>
              <w:right w:val="single" w:sz="4" w:space="0" w:color="auto"/>
            </w:tcBorders>
            <w:noWrap/>
            <w:vAlign w:val="center"/>
            <w:hideMark/>
          </w:tcPr>
          <w:p w14:paraId="7D14B12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0.11</w:t>
            </w:r>
          </w:p>
        </w:tc>
        <w:tc>
          <w:tcPr>
            <w:tcW w:w="808" w:type="dxa"/>
            <w:tcBorders>
              <w:left w:val="single" w:sz="4" w:space="0" w:color="auto"/>
              <w:right w:val="single" w:sz="4" w:space="0" w:color="auto"/>
            </w:tcBorders>
            <w:noWrap/>
            <w:vAlign w:val="center"/>
            <w:hideMark/>
          </w:tcPr>
          <w:p w14:paraId="1DDCFBA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0.13</w:t>
            </w:r>
          </w:p>
        </w:tc>
        <w:tc>
          <w:tcPr>
            <w:tcW w:w="2461" w:type="dxa"/>
            <w:gridSpan w:val="3"/>
            <w:tcBorders>
              <w:left w:val="single" w:sz="4" w:space="0" w:color="auto"/>
              <w:right w:val="single" w:sz="4" w:space="0" w:color="auto"/>
            </w:tcBorders>
            <w:noWrap/>
            <w:vAlign w:val="center"/>
            <w:hideMark/>
          </w:tcPr>
          <w:p w14:paraId="41AE675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0.22</w:t>
            </w:r>
          </w:p>
        </w:tc>
        <w:tc>
          <w:tcPr>
            <w:tcW w:w="736" w:type="dxa"/>
            <w:tcBorders>
              <w:left w:val="single" w:sz="4" w:space="0" w:color="auto"/>
              <w:right w:val="single" w:sz="4" w:space="0" w:color="auto"/>
            </w:tcBorders>
            <w:noWrap/>
            <w:vAlign w:val="center"/>
            <w:hideMark/>
          </w:tcPr>
          <w:p w14:paraId="5AC0621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0.08</w:t>
            </w:r>
          </w:p>
        </w:tc>
        <w:tc>
          <w:tcPr>
            <w:tcW w:w="808" w:type="dxa"/>
            <w:tcBorders>
              <w:left w:val="single" w:sz="4" w:space="0" w:color="auto"/>
              <w:right w:val="single" w:sz="4" w:space="0" w:color="auto"/>
            </w:tcBorders>
            <w:noWrap/>
            <w:vAlign w:val="center"/>
            <w:hideMark/>
          </w:tcPr>
          <w:p w14:paraId="2180814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0.09</w:t>
            </w:r>
          </w:p>
        </w:tc>
        <w:tc>
          <w:tcPr>
            <w:tcW w:w="2578" w:type="dxa"/>
            <w:gridSpan w:val="3"/>
            <w:tcBorders>
              <w:left w:val="single" w:sz="4" w:space="0" w:color="auto"/>
              <w:right w:val="single" w:sz="4" w:space="0" w:color="auto"/>
            </w:tcBorders>
            <w:noWrap/>
            <w:vAlign w:val="center"/>
            <w:hideMark/>
          </w:tcPr>
          <w:p w14:paraId="59ED122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0.16</w:t>
            </w:r>
          </w:p>
        </w:tc>
        <w:tc>
          <w:tcPr>
            <w:tcW w:w="736" w:type="dxa"/>
            <w:tcBorders>
              <w:left w:val="single" w:sz="4" w:space="0" w:color="auto"/>
              <w:right w:val="single" w:sz="4" w:space="0" w:color="auto"/>
            </w:tcBorders>
            <w:noWrap/>
            <w:vAlign w:val="center"/>
            <w:hideMark/>
          </w:tcPr>
          <w:p w14:paraId="76DD6DC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0.23</w:t>
            </w:r>
          </w:p>
        </w:tc>
        <w:tc>
          <w:tcPr>
            <w:tcW w:w="808" w:type="dxa"/>
            <w:tcBorders>
              <w:left w:val="single" w:sz="4" w:space="0" w:color="auto"/>
              <w:right w:val="single" w:sz="4" w:space="0" w:color="auto"/>
            </w:tcBorders>
            <w:noWrap/>
            <w:vAlign w:val="center"/>
            <w:hideMark/>
          </w:tcPr>
          <w:p w14:paraId="27CA4E4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2567" w:type="dxa"/>
            <w:gridSpan w:val="3"/>
            <w:tcBorders>
              <w:left w:val="single" w:sz="4" w:space="0" w:color="auto"/>
              <w:right w:val="single" w:sz="4" w:space="0" w:color="auto"/>
            </w:tcBorders>
            <w:noWrap/>
            <w:vAlign w:val="center"/>
            <w:hideMark/>
          </w:tcPr>
          <w:p w14:paraId="172AD17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0.47</w:t>
            </w:r>
          </w:p>
        </w:tc>
      </w:tr>
      <w:tr w:rsidR="0020568F" w:rsidRPr="002B02F9" w14:paraId="1AAC53BE" w14:textId="77777777" w:rsidTr="00873C94">
        <w:trPr>
          <w:trHeight w:val="534"/>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right w:val="single" w:sz="4" w:space="0" w:color="auto"/>
            </w:tcBorders>
            <w:noWrap/>
            <w:vAlign w:val="center"/>
            <w:hideMark/>
          </w:tcPr>
          <w:p w14:paraId="62A9B6A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CD at 5%</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23D05CB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0.23</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0B828A1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2461" w:type="dxa"/>
            <w:gridSpan w:val="3"/>
            <w:tcBorders>
              <w:top w:val="single" w:sz="4" w:space="0" w:color="auto"/>
              <w:left w:val="single" w:sz="4" w:space="0" w:color="auto"/>
              <w:bottom w:val="single" w:sz="4" w:space="0" w:color="auto"/>
              <w:right w:val="single" w:sz="4" w:space="0" w:color="auto"/>
            </w:tcBorders>
            <w:noWrap/>
            <w:vAlign w:val="center"/>
            <w:hideMark/>
          </w:tcPr>
          <w:p w14:paraId="29F9510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0.46</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5CA55E5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0.46</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4F220F2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0.19</w:t>
            </w:r>
          </w:p>
        </w:tc>
        <w:tc>
          <w:tcPr>
            <w:tcW w:w="2578" w:type="dxa"/>
            <w:gridSpan w:val="3"/>
            <w:tcBorders>
              <w:top w:val="single" w:sz="4" w:space="0" w:color="auto"/>
              <w:left w:val="single" w:sz="4" w:space="0" w:color="auto"/>
              <w:bottom w:val="single" w:sz="4" w:space="0" w:color="auto"/>
              <w:right w:val="single" w:sz="4" w:space="0" w:color="auto"/>
            </w:tcBorders>
            <w:noWrap/>
            <w:vAlign w:val="center"/>
            <w:hideMark/>
          </w:tcPr>
          <w:p w14:paraId="68ACC85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0.33</w:t>
            </w:r>
          </w:p>
        </w:tc>
        <w:tc>
          <w:tcPr>
            <w:tcW w:w="736" w:type="dxa"/>
            <w:tcBorders>
              <w:top w:val="single" w:sz="4" w:space="0" w:color="auto"/>
              <w:left w:val="single" w:sz="4" w:space="0" w:color="auto"/>
              <w:bottom w:val="single" w:sz="4" w:space="0" w:color="auto"/>
              <w:right w:val="single" w:sz="4" w:space="0" w:color="auto"/>
            </w:tcBorders>
            <w:noWrap/>
            <w:vAlign w:val="center"/>
            <w:hideMark/>
          </w:tcPr>
          <w:p w14:paraId="478EF57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0.48</w:t>
            </w:r>
          </w:p>
        </w:tc>
        <w:tc>
          <w:tcPr>
            <w:tcW w:w="808" w:type="dxa"/>
            <w:tcBorders>
              <w:top w:val="single" w:sz="4" w:space="0" w:color="auto"/>
              <w:left w:val="single" w:sz="4" w:space="0" w:color="auto"/>
              <w:bottom w:val="single" w:sz="4" w:space="0" w:color="auto"/>
              <w:right w:val="single" w:sz="4" w:space="0" w:color="auto"/>
            </w:tcBorders>
            <w:noWrap/>
            <w:vAlign w:val="center"/>
            <w:hideMark/>
          </w:tcPr>
          <w:p w14:paraId="526BCF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0.56</w:t>
            </w:r>
          </w:p>
        </w:tc>
        <w:tc>
          <w:tcPr>
            <w:tcW w:w="2567" w:type="dxa"/>
            <w:gridSpan w:val="3"/>
            <w:tcBorders>
              <w:top w:val="single" w:sz="4" w:space="0" w:color="auto"/>
              <w:left w:val="single" w:sz="4" w:space="0" w:color="auto"/>
              <w:bottom w:val="single" w:sz="4" w:space="0" w:color="auto"/>
              <w:right w:val="single" w:sz="4" w:space="0" w:color="auto"/>
            </w:tcBorders>
            <w:noWrap/>
            <w:vAlign w:val="center"/>
            <w:hideMark/>
          </w:tcPr>
          <w:p w14:paraId="0CF47EA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0.97</w:t>
            </w:r>
          </w:p>
        </w:tc>
      </w:tr>
    </w:tbl>
    <w:p w14:paraId="02353039" w14:textId="0C4F4440" w:rsidR="00842CD0" w:rsidRPr="002B02F9" w:rsidRDefault="0087307C" w:rsidP="005D0190">
      <w:pPr>
        <w:spacing w:line="276" w:lineRule="auto"/>
        <w:jc w:val="both"/>
        <w:rPr>
          <w:rFonts w:ascii="Arial" w:hAnsi="Arial" w:cs="Arial"/>
          <w:sz w:val="20"/>
          <w:szCs w:val="20"/>
        </w:rPr>
      </w:pPr>
      <w:r w:rsidRPr="002B02F9">
        <w:rPr>
          <w:rFonts w:ascii="Arial" w:hAnsi="Arial" w:cs="Arial"/>
          <w:b/>
          <w:bCs/>
          <w:sz w:val="20"/>
          <w:szCs w:val="20"/>
        </w:rPr>
        <w:t xml:space="preserve">Table 1 </w:t>
      </w:r>
      <w:r w:rsidRPr="002B02F9">
        <w:rPr>
          <w:rFonts w:ascii="Arial" w:hAnsi="Arial" w:cs="Arial"/>
          <w:sz w:val="20"/>
          <w:szCs w:val="20"/>
        </w:rPr>
        <w:t xml:space="preserve">Effect of rooting media and IBA treatment on number of shoots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p w14:paraId="7396672E" w14:textId="77777777" w:rsidR="0020568F" w:rsidRPr="0020568F" w:rsidRDefault="0020568F" w:rsidP="005D0190">
      <w:pPr>
        <w:spacing w:line="276" w:lineRule="auto"/>
        <w:rPr>
          <w:rFonts w:ascii="Times New Roman" w:hAnsi="Times New Roman" w:cs="Times New Roman"/>
          <w:sz w:val="24"/>
          <w:szCs w:val="24"/>
        </w:rPr>
      </w:pPr>
    </w:p>
    <w:p w14:paraId="1EB6B6EA" w14:textId="24A941D5" w:rsidR="0020568F" w:rsidRDefault="0020568F" w:rsidP="005D0190">
      <w:pPr>
        <w:spacing w:line="276" w:lineRule="auto"/>
        <w:rPr>
          <w:rFonts w:ascii="Times New Roman" w:hAnsi="Times New Roman" w:cs="Times New Roman"/>
          <w:sz w:val="24"/>
          <w:szCs w:val="24"/>
        </w:rPr>
        <w:sectPr w:rsidR="0020568F" w:rsidSect="0020568F">
          <w:pgSz w:w="16838" w:h="11906" w:orient="landscape"/>
          <w:pgMar w:top="720" w:right="720" w:bottom="720" w:left="720" w:header="709" w:footer="709" w:gutter="0"/>
          <w:cols w:space="708"/>
          <w:docGrid w:linePitch="360"/>
        </w:sectPr>
      </w:pPr>
    </w:p>
    <w:tbl>
      <w:tblPr>
        <w:tblStyle w:val="PlainTable2"/>
        <w:tblpPr w:leftFromText="180" w:rightFromText="180" w:vertAnchor="text" w:horzAnchor="page" w:tblpX="1769" w:tblpY="897"/>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62"/>
        <w:gridCol w:w="782"/>
        <w:gridCol w:w="782"/>
        <w:gridCol w:w="783"/>
        <w:gridCol w:w="830"/>
        <w:gridCol w:w="782"/>
        <w:gridCol w:w="782"/>
        <w:gridCol w:w="782"/>
        <w:gridCol w:w="782"/>
        <w:gridCol w:w="17"/>
        <w:gridCol w:w="810"/>
        <w:gridCol w:w="24"/>
      </w:tblGrid>
      <w:tr w:rsidR="0020568F" w:rsidRPr="002B02F9" w14:paraId="20D509EC" w14:textId="77777777" w:rsidTr="00873C94">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665" w:type="dxa"/>
            <w:gridSpan w:val="13"/>
            <w:tcBorders>
              <w:top w:val="single" w:sz="4" w:space="0" w:color="auto"/>
              <w:left w:val="single" w:sz="4" w:space="0" w:color="auto"/>
              <w:right w:val="single" w:sz="4" w:space="0" w:color="auto"/>
            </w:tcBorders>
            <w:noWrap/>
            <w:vAlign w:val="center"/>
            <w:hideMark/>
          </w:tcPr>
          <w:p w14:paraId="0D44BB60"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lastRenderedPageBreak/>
              <w:t>Length of longest shoot per cutting (cm)</w:t>
            </w:r>
          </w:p>
        </w:tc>
      </w:tr>
      <w:tr w:rsidR="0020568F" w:rsidRPr="002B02F9" w14:paraId="6CB047B2" w14:textId="77777777" w:rsidTr="00873C94">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4" w:space="0" w:color="auto"/>
              <w:right w:val="single" w:sz="4" w:space="0" w:color="auto"/>
            </w:tcBorders>
            <w:noWrap/>
            <w:vAlign w:val="center"/>
            <w:hideMark/>
          </w:tcPr>
          <w:p w14:paraId="27EA777B"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Rooting Media (M)</w:t>
            </w:r>
          </w:p>
        </w:tc>
        <w:tc>
          <w:tcPr>
            <w:tcW w:w="3109" w:type="dxa"/>
            <w:gridSpan w:val="4"/>
            <w:tcBorders>
              <w:left w:val="single" w:sz="4" w:space="0" w:color="auto"/>
              <w:right w:val="single" w:sz="4" w:space="0" w:color="auto"/>
            </w:tcBorders>
            <w:noWrap/>
            <w:vAlign w:val="center"/>
            <w:hideMark/>
          </w:tcPr>
          <w:p w14:paraId="68F66DD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60 </w:t>
            </w:r>
            <w:proofErr w:type="gramStart"/>
            <w:r w:rsidRPr="002B02F9">
              <w:rPr>
                <w:rFonts w:ascii="Arial" w:hAnsi="Arial" w:cs="Arial"/>
                <w:b/>
                <w:bCs/>
                <w:sz w:val="20"/>
                <w:szCs w:val="20"/>
              </w:rPr>
              <w:t>DAP</w:t>
            </w:r>
            <w:proofErr w:type="gramEnd"/>
          </w:p>
        </w:tc>
        <w:tc>
          <w:tcPr>
            <w:tcW w:w="830" w:type="dxa"/>
            <w:vMerge w:val="restart"/>
            <w:tcBorders>
              <w:left w:val="single" w:sz="4" w:space="0" w:color="auto"/>
              <w:right w:val="single" w:sz="4" w:space="0" w:color="auto"/>
            </w:tcBorders>
            <w:noWrap/>
            <w:vAlign w:val="center"/>
          </w:tcPr>
          <w:p w14:paraId="50E1C2B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FF834A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009F29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c>
          <w:tcPr>
            <w:tcW w:w="3145" w:type="dxa"/>
            <w:gridSpan w:val="5"/>
            <w:tcBorders>
              <w:left w:val="single" w:sz="4" w:space="0" w:color="auto"/>
              <w:right w:val="single" w:sz="4" w:space="0" w:color="auto"/>
            </w:tcBorders>
            <w:noWrap/>
            <w:vAlign w:val="center"/>
            <w:hideMark/>
          </w:tcPr>
          <w:p w14:paraId="48AD778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 xml:space="preserve">AT 90 </w:t>
            </w:r>
            <w:proofErr w:type="gramStart"/>
            <w:r w:rsidRPr="002B02F9">
              <w:rPr>
                <w:rFonts w:ascii="Arial" w:hAnsi="Arial" w:cs="Arial"/>
                <w:b/>
                <w:bCs/>
                <w:sz w:val="20"/>
                <w:szCs w:val="20"/>
              </w:rPr>
              <w:t>DAP</w:t>
            </w:r>
            <w:proofErr w:type="gramEnd"/>
          </w:p>
        </w:tc>
        <w:tc>
          <w:tcPr>
            <w:tcW w:w="834" w:type="dxa"/>
            <w:gridSpan w:val="2"/>
            <w:vMerge w:val="restart"/>
            <w:tcBorders>
              <w:left w:val="single" w:sz="4" w:space="0" w:color="auto"/>
              <w:right w:val="single" w:sz="4" w:space="0" w:color="auto"/>
            </w:tcBorders>
            <w:noWrap/>
            <w:vAlign w:val="center"/>
          </w:tcPr>
          <w:p w14:paraId="41CF780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4F3D1D7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69FD4B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Mean</w:t>
            </w:r>
          </w:p>
        </w:tc>
      </w:tr>
      <w:tr w:rsidR="0020568F" w:rsidRPr="002B02F9" w14:paraId="2CD17C38" w14:textId="77777777" w:rsidTr="00873C94">
        <w:trPr>
          <w:trHeight w:val="21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41BB61FD" w14:textId="77777777" w:rsidR="0020568F" w:rsidRPr="002B02F9" w:rsidRDefault="0020568F" w:rsidP="00873C94">
            <w:pPr>
              <w:spacing w:after="160" w:line="276" w:lineRule="auto"/>
              <w:jc w:val="center"/>
              <w:rPr>
                <w:rFonts w:ascii="Arial" w:hAnsi="Arial" w:cs="Arial"/>
                <w:sz w:val="20"/>
                <w:szCs w:val="20"/>
              </w:rPr>
            </w:pPr>
          </w:p>
        </w:tc>
        <w:tc>
          <w:tcPr>
            <w:tcW w:w="3109" w:type="dxa"/>
            <w:gridSpan w:val="4"/>
            <w:tcBorders>
              <w:top w:val="single" w:sz="4" w:space="0" w:color="auto"/>
              <w:left w:val="single" w:sz="4" w:space="0" w:color="auto"/>
              <w:bottom w:val="single" w:sz="4" w:space="0" w:color="auto"/>
              <w:right w:val="single" w:sz="4" w:space="0" w:color="auto"/>
            </w:tcBorders>
            <w:noWrap/>
            <w:vAlign w:val="center"/>
            <w:hideMark/>
          </w:tcPr>
          <w:p w14:paraId="4CAAF72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55D8A7F9"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45" w:type="dxa"/>
            <w:gridSpan w:val="5"/>
            <w:tcBorders>
              <w:top w:val="single" w:sz="4" w:space="0" w:color="auto"/>
              <w:left w:val="single" w:sz="4" w:space="0" w:color="auto"/>
              <w:bottom w:val="single" w:sz="4" w:space="0" w:color="auto"/>
              <w:right w:val="single" w:sz="4" w:space="0" w:color="auto"/>
            </w:tcBorders>
            <w:noWrap/>
            <w:vAlign w:val="center"/>
            <w:hideMark/>
          </w:tcPr>
          <w:p w14:paraId="73B0F19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IBA Treatment (G)</w:t>
            </w:r>
          </w:p>
        </w:tc>
        <w:tc>
          <w:tcPr>
            <w:tcW w:w="0" w:type="auto"/>
            <w:gridSpan w:val="2"/>
            <w:vMerge/>
            <w:tcBorders>
              <w:top w:val="single" w:sz="4" w:space="0" w:color="7F7F7F" w:themeColor="text1" w:themeTint="80"/>
              <w:left w:val="single" w:sz="4" w:space="0" w:color="auto"/>
              <w:bottom w:val="single" w:sz="4" w:space="0" w:color="7F7F7F" w:themeColor="text1" w:themeTint="80"/>
              <w:right w:val="single" w:sz="4" w:space="0" w:color="auto"/>
            </w:tcBorders>
            <w:vAlign w:val="center"/>
            <w:hideMark/>
          </w:tcPr>
          <w:p w14:paraId="6632256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0568F" w:rsidRPr="002B02F9" w14:paraId="319DF6BF"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3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vAlign w:val="center"/>
            <w:hideMark/>
          </w:tcPr>
          <w:p w14:paraId="7B9732BA" w14:textId="77777777" w:rsidR="0020568F" w:rsidRPr="002B02F9" w:rsidRDefault="0020568F" w:rsidP="00873C94">
            <w:pPr>
              <w:spacing w:after="160" w:line="276" w:lineRule="auto"/>
              <w:jc w:val="center"/>
              <w:rPr>
                <w:rFonts w:ascii="Arial" w:hAnsi="Arial" w:cs="Arial"/>
                <w:sz w:val="20"/>
                <w:szCs w:val="20"/>
              </w:rPr>
            </w:pPr>
          </w:p>
        </w:tc>
        <w:tc>
          <w:tcPr>
            <w:tcW w:w="762" w:type="dxa"/>
            <w:tcBorders>
              <w:left w:val="single" w:sz="4" w:space="0" w:color="auto"/>
              <w:right w:val="single" w:sz="4" w:space="0" w:color="auto"/>
            </w:tcBorders>
            <w:noWrap/>
            <w:vAlign w:val="center"/>
            <w:hideMark/>
          </w:tcPr>
          <w:p w14:paraId="7282073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015C071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428836F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783" w:type="dxa"/>
            <w:tcBorders>
              <w:left w:val="single" w:sz="4" w:space="0" w:color="auto"/>
              <w:right w:val="single" w:sz="4" w:space="0" w:color="auto"/>
            </w:tcBorders>
            <w:noWrap/>
            <w:vAlign w:val="center"/>
            <w:hideMark/>
          </w:tcPr>
          <w:p w14:paraId="7EB2BF5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vMerge/>
            <w:tcBorders>
              <w:left w:val="single" w:sz="4" w:space="0" w:color="auto"/>
              <w:right w:val="single" w:sz="4" w:space="0" w:color="auto"/>
            </w:tcBorders>
            <w:vAlign w:val="center"/>
            <w:hideMark/>
          </w:tcPr>
          <w:p w14:paraId="2A631E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2" w:type="dxa"/>
            <w:tcBorders>
              <w:left w:val="single" w:sz="4" w:space="0" w:color="auto"/>
              <w:right w:val="single" w:sz="4" w:space="0" w:color="auto"/>
            </w:tcBorders>
            <w:noWrap/>
            <w:vAlign w:val="center"/>
            <w:hideMark/>
          </w:tcPr>
          <w:p w14:paraId="37907A47"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0 PPM (G</w:t>
            </w:r>
            <w:r w:rsidRPr="002B02F9">
              <w:rPr>
                <w:rFonts w:ascii="Arial" w:hAnsi="Arial" w:cs="Arial"/>
                <w:b/>
                <w:bCs/>
                <w:sz w:val="20"/>
                <w:szCs w:val="20"/>
                <w:vertAlign w:val="subscript"/>
              </w:rPr>
              <w:t>1</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3CAFBAE1"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1000 PPM (G</w:t>
            </w:r>
            <w:r w:rsidRPr="002B02F9">
              <w:rPr>
                <w:rFonts w:ascii="Arial" w:hAnsi="Arial" w:cs="Arial"/>
                <w:b/>
                <w:bCs/>
                <w:sz w:val="20"/>
                <w:szCs w:val="20"/>
                <w:vertAlign w:val="subscript"/>
              </w:rPr>
              <w:t>2</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3CA10F59"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1500 PPM (G</w:t>
            </w:r>
            <w:r w:rsidRPr="002B02F9">
              <w:rPr>
                <w:rFonts w:ascii="Arial" w:hAnsi="Arial" w:cs="Arial"/>
                <w:b/>
                <w:bCs/>
                <w:sz w:val="20"/>
                <w:szCs w:val="20"/>
                <w:vertAlign w:val="subscript"/>
              </w:rPr>
              <w:t>3</w:t>
            </w:r>
            <w:r w:rsidRPr="002B02F9">
              <w:rPr>
                <w:rFonts w:ascii="Arial" w:hAnsi="Arial" w:cs="Arial"/>
                <w:b/>
                <w:bCs/>
                <w:sz w:val="20"/>
                <w:szCs w:val="20"/>
              </w:rPr>
              <w:t>)</w:t>
            </w:r>
          </w:p>
        </w:tc>
        <w:tc>
          <w:tcPr>
            <w:tcW w:w="782" w:type="dxa"/>
            <w:tcBorders>
              <w:left w:val="single" w:sz="4" w:space="0" w:color="auto"/>
              <w:right w:val="single" w:sz="4" w:space="0" w:color="auto"/>
            </w:tcBorders>
            <w:noWrap/>
            <w:vAlign w:val="center"/>
            <w:hideMark/>
          </w:tcPr>
          <w:p w14:paraId="09D6995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2000 PPM (G</w:t>
            </w:r>
            <w:r w:rsidRPr="002B02F9">
              <w:rPr>
                <w:rFonts w:ascii="Arial" w:hAnsi="Arial" w:cs="Arial"/>
                <w:b/>
                <w:bCs/>
                <w:sz w:val="20"/>
                <w:szCs w:val="20"/>
                <w:vertAlign w:val="subscript"/>
              </w:rPr>
              <w:t>4</w:t>
            </w:r>
            <w:r w:rsidRPr="002B02F9">
              <w:rPr>
                <w:rFonts w:ascii="Arial" w:hAnsi="Arial" w:cs="Arial"/>
                <w:b/>
                <w:bCs/>
                <w:sz w:val="20"/>
                <w:szCs w:val="20"/>
              </w:rPr>
              <w:t>)</w:t>
            </w:r>
          </w:p>
        </w:tc>
        <w:tc>
          <w:tcPr>
            <w:tcW w:w="0" w:type="auto"/>
            <w:gridSpan w:val="2"/>
            <w:vMerge/>
            <w:tcBorders>
              <w:left w:val="single" w:sz="4" w:space="0" w:color="auto"/>
              <w:right w:val="single" w:sz="4" w:space="0" w:color="auto"/>
            </w:tcBorders>
            <w:vAlign w:val="center"/>
            <w:hideMark/>
          </w:tcPr>
          <w:p w14:paraId="08C6119A"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20568F" w:rsidRPr="002B02F9" w14:paraId="3DB37430" w14:textId="77777777" w:rsidTr="00873C94">
        <w:trPr>
          <w:gridAfter w:val="1"/>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140FC0E6"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Vermicompost (M</w:t>
            </w:r>
            <w:r w:rsidRPr="002B02F9">
              <w:rPr>
                <w:rFonts w:ascii="Arial" w:hAnsi="Arial" w:cs="Arial"/>
                <w:sz w:val="20"/>
                <w:szCs w:val="20"/>
                <w:vertAlign w:val="subscript"/>
              </w:rPr>
              <w:t>1</w:t>
            </w:r>
            <w:r w:rsidRPr="002B02F9">
              <w:rPr>
                <w:rFonts w:ascii="Arial" w:hAnsi="Arial" w:cs="Arial"/>
                <w:sz w:val="20"/>
                <w:szCs w:val="20"/>
              </w:rPr>
              <w:t>)</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3B68044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6.00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07917F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09A634F"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11.83</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1DE0A7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13.83</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4E76EB9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3387EE2"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7.67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968701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17.67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6A0902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23.67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8C6D65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25.33</w:t>
            </w:r>
          </w:p>
        </w:tc>
        <w:tc>
          <w:tcPr>
            <w:tcW w:w="827" w:type="dxa"/>
            <w:gridSpan w:val="2"/>
            <w:tcBorders>
              <w:top w:val="single" w:sz="4" w:space="0" w:color="auto"/>
              <w:left w:val="single" w:sz="4" w:space="0" w:color="auto"/>
              <w:bottom w:val="single" w:sz="4" w:space="0" w:color="auto"/>
              <w:right w:val="single" w:sz="4" w:space="0" w:color="auto"/>
            </w:tcBorders>
            <w:noWrap/>
            <w:vAlign w:val="center"/>
            <w:hideMark/>
          </w:tcPr>
          <w:p w14:paraId="3F1903C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18.59</w:t>
            </w:r>
          </w:p>
        </w:tc>
      </w:tr>
      <w:tr w:rsidR="0020568F" w:rsidRPr="002B02F9" w14:paraId="2C0A1EB3"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287D2F6E"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(M</w:t>
            </w:r>
            <w:r w:rsidRPr="002B02F9">
              <w:rPr>
                <w:rFonts w:ascii="Arial" w:hAnsi="Arial" w:cs="Arial"/>
                <w:sz w:val="20"/>
                <w:szCs w:val="20"/>
                <w:vertAlign w:val="subscript"/>
              </w:rPr>
              <w:t>2</w:t>
            </w:r>
            <w:r w:rsidRPr="002B02F9">
              <w:rPr>
                <w:rFonts w:ascii="Arial" w:hAnsi="Arial" w:cs="Arial"/>
                <w:sz w:val="20"/>
                <w:szCs w:val="20"/>
              </w:rPr>
              <w:t>)</w:t>
            </w:r>
          </w:p>
        </w:tc>
        <w:tc>
          <w:tcPr>
            <w:tcW w:w="762" w:type="dxa"/>
            <w:tcBorders>
              <w:left w:val="single" w:sz="4" w:space="0" w:color="auto"/>
              <w:right w:val="single" w:sz="4" w:space="0" w:color="auto"/>
            </w:tcBorders>
            <w:noWrap/>
            <w:vAlign w:val="center"/>
            <w:hideMark/>
          </w:tcPr>
          <w:p w14:paraId="6591483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9.17</w:t>
            </w:r>
          </w:p>
        </w:tc>
        <w:tc>
          <w:tcPr>
            <w:tcW w:w="782" w:type="dxa"/>
            <w:tcBorders>
              <w:left w:val="single" w:sz="4" w:space="0" w:color="auto"/>
              <w:right w:val="single" w:sz="4" w:space="0" w:color="auto"/>
            </w:tcBorders>
            <w:noWrap/>
            <w:vAlign w:val="center"/>
            <w:hideMark/>
          </w:tcPr>
          <w:p w14:paraId="118BEA6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10.67</w:t>
            </w:r>
          </w:p>
        </w:tc>
        <w:tc>
          <w:tcPr>
            <w:tcW w:w="782" w:type="dxa"/>
            <w:tcBorders>
              <w:left w:val="single" w:sz="4" w:space="0" w:color="auto"/>
              <w:right w:val="single" w:sz="4" w:space="0" w:color="auto"/>
            </w:tcBorders>
            <w:noWrap/>
            <w:vAlign w:val="center"/>
            <w:hideMark/>
          </w:tcPr>
          <w:p w14:paraId="3FAC406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15.00</w:t>
            </w:r>
          </w:p>
        </w:tc>
        <w:tc>
          <w:tcPr>
            <w:tcW w:w="783" w:type="dxa"/>
            <w:tcBorders>
              <w:left w:val="single" w:sz="4" w:space="0" w:color="auto"/>
              <w:right w:val="single" w:sz="4" w:space="0" w:color="auto"/>
            </w:tcBorders>
            <w:noWrap/>
            <w:vAlign w:val="center"/>
            <w:hideMark/>
          </w:tcPr>
          <w:p w14:paraId="4E2F276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19.00</w:t>
            </w:r>
          </w:p>
        </w:tc>
        <w:tc>
          <w:tcPr>
            <w:tcW w:w="830" w:type="dxa"/>
            <w:tcBorders>
              <w:left w:val="single" w:sz="4" w:space="0" w:color="auto"/>
              <w:right w:val="single" w:sz="4" w:space="0" w:color="auto"/>
            </w:tcBorders>
            <w:noWrap/>
            <w:vAlign w:val="center"/>
            <w:hideMark/>
          </w:tcPr>
          <w:p w14:paraId="0207638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13.46</w:t>
            </w:r>
          </w:p>
        </w:tc>
        <w:tc>
          <w:tcPr>
            <w:tcW w:w="782" w:type="dxa"/>
            <w:tcBorders>
              <w:left w:val="single" w:sz="4" w:space="0" w:color="auto"/>
              <w:right w:val="single" w:sz="4" w:space="0" w:color="auto"/>
            </w:tcBorders>
            <w:noWrap/>
            <w:vAlign w:val="center"/>
            <w:hideMark/>
          </w:tcPr>
          <w:p w14:paraId="7082D67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12.17</w:t>
            </w:r>
          </w:p>
        </w:tc>
        <w:tc>
          <w:tcPr>
            <w:tcW w:w="782" w:type="dxa"/>
            <w:tcBorders>
              <w:left w:val="single" w:sz="4" w:space="0" w:color="auto"/>
              <w:right w:val="single" w:sz="4" w:space="0" w:color="auto"/>
            </w:tcBorders>
            <w:noWrap/>
            <w:vAlign w:val="center"/>
            <w:hideMark/>
          </w:tcPr>
          <w:p w14:paraId="666B5114"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20.67</w:t>
            </w:r>
          </w:p>
        </w:tc>
        <w:tc>
          <w:tcPr>
            <w:tcW w:w="782" w:type="dxa"/>
            <w:tcBorders>
              <w:left w:val="single" w:sz="4" w:space="0" w:color="auto"/>
              <w:right w:val="single" w:sz="4" w:space="0" w:color="auto"/>
            </w:tcBorders>
            <w:noWrap/>
            <w:vAlign w:val="center"/>
            <w:hideMark/>
          </w:tcPr>
          <w:p w14:paraId="3E124AC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25.33</w:t>
            </w:r>
          </w:p>
        </w:tc>
        <w:tc>
          <w:tcPr>
            <w:tcW w:w="782" w:type="dxa"/>
            <w:tcBorders>
              <w:left w:val="single" w:sz="4" w:space="0" w:color="auto"/>
              <w:right w:val="single" w:sz="4" w:space="0" w:color="auto"/>
            </w:tcBorders>
            <w:noWrap/>
            <w:vAlign w:val="center"/>
            <w:hideMark/>
          </w:tcPr>
          <w:p w14:paraId="5ECA837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32.33</w:t>
            </w:r>
          </w:p>
        </w:tc>
        <w:tc>
          <w:tcPr>
            <w:tcW w:w="827" w:type="dxa"/>
            <w:gridSpan w:val="2"/>
            <w:tcBorders>
              <w:left w:val="single" w:sz="4" w:space="0" w:color="auto"/>
              <w:right w:val="single" w:sz="4" w:space="0" w:color="auto"/>
            </w:tcBorders>
            <w:noWrap/>
            <w:vAlign w:val="center"/>
            <w:hideMark/>
          </w:tcPr>
          <w:p w14:paraId="1A222C4C"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22.63</w:t>
            </w:r>
          </w:p>
        </w:tc>
      </w:tr>
      <w:tr w:rsidR="0020568F" w:rsidRPr="002B02F9" w14:paraId="7B159FEA" w14:textId="77777777" w:rsidTr="00873C94">
        <w:trPr>
          <w:gridAfter w:val="1"/>
          <w:wAfter w:w="24" w:type="dxa"/>
          <w:trHeight w:val="234"/>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1B48909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Sand+ Vermiculite + Vermicompost (M</w:t>
            </w:r>
            <w:r w:rsidRPr="002B02F9">
              <w:rPr>
                <w:rFonts w:ascii="Arial" w:hAnsi="Arial" w:cs="Arial"/>
                <w:sz w:val="20"/>
                <w:szCs w:val="20"/>
                <w:vertAlign w:val="subscript"/>
              </w:rPr>
              <w:t>3</w:t>
            </w:r>
            <w:r w:rsidRPr="002B02F9">
              <w:rPr>
                <w:rFonts w:ascii="Arial" w:hAnsi="Arial" w:cs="Arial"/>
                <w:sz w:val="20"/>
                <w:szCs w:val="20"/>
              </w:rPr>
              <w:t>)</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49E0E43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6.67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539F5A7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10.83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35E23D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12.67</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6D924ADE"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14.67</w:t>
            </w:r>
          </w:p>
        </w:tc>
        <w:tc>
          <w:tcPr>
            <w:tcW w:w="830" w:type="dxa"/>
            <w:tcBorders>
              <w:top w:val="single" w:sz="4" w:space="0" w:color="auto"/>
              <w:left w:val="single" w:sz="4" w:space="0" w:color="auto"/>
              <w:bottom w:val="single" w:sz="4" w:space="0" w:color="auto"/>
              <w:right w:val="single" w:sz="4" w:space="0" w:color="auto"/>
            </w:tcBorders>
            <w:noWrap/>
            <w:vAlign w:val="center"/>
            <w:hideMark/>
          </w:tcPr>
          <w:p w14:paraId="204F1D56"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11.21</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16253B4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2D6077ED"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14.33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8E5841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22.00</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809E4D0"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27.67</w:t>
            </w:r>
          </w:p>
        </w:tc>
        <w:tc>
          <w:tcPr>
            <w:tcW w:w="827" w:type="dxa"/>
            <w:gridSpan w:val="2"/>
            <w:tcBorders>
              <w:top w:val="single" w:sz="4" w:space="0" w:color="auto"/>
              <w:left w:val="single" w:sz="4" w:space="0" w:color="auto"/>
              <w:bottom w:val="single" w:sz="4" w:space="0" w:color="auto"/>
              <w:right w:val="single" w:sz="4" w:space="0" w:color="auto"/>
            </w:tcBorders>
            <w:noWrap/>
            <w:vAlign w:val="center"/>
            <w:hideMark/>
          </w:tcPr>
          <w:p w14:paraId="3E9BD3B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18.75</w:t>
            </w:r>
          </w:p>
        </w:tc>
      </w:tr>
      <w:tr w:rsidR="0020568F" w:rsidRPr="002B02F9" w14:paraId="2D86D0BC"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07A4DA0F"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mean</w:t>
            </w:r>
          </w:p>
        </w:tc>
        <w:tc>
          <w:tcPr>
            <w:tcW w:w="762" w:type="dxa"/>
            <w:tcBorders>
              <w:left w:val="single" w:sz="4" w:space="0" w:color="auto"/>
              <w:right w:val="single" w:sz="4" w:space="0" w:color="auto"/>
            </w:tcBorders>
            <w:noWrap/>
            <w:vAlign w:val="center"/>
            <w:hideMark/>
          </w:tcPr>
          <w:p w14:paraId="5A4E2346"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7.28</w:t>
            </w:r>
          </w:p>
        </w:tc>
        <w:tc>
          <w:tcPr>
            <w:tcW w:w="782" w:type="dxa"/>
            <w:tcBorders>
              <w:left w:val="single" w:sz="4" w:space="0" w:color="auto"/>
              <w:right w:val="single" w:sz="4" w:space="0" w:color="auto"/>
            </w:tcBorders>
            <w:noWrap/>
            <w:vAlign w:val="center"/>
            <w:hideMark/>
          </w:tcPr>
          <w:p w14:paraId="02AC2C9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10.83</w:t>
            </w:r>
          </w:p>
        </w:tc>
        <w:tc>
          <w:tcPr>
            <w:tcW w:w="782" w:type="dxa"/>
            <w:tcBorders>
              <w:left w:val="single" w:sz="4" w:space="0" w:color="auto"/>
              <w:right w:val="single" w:sz="4" w:space="0" w:color="auto"/>
            </w:tcBorders>
            <w:noWrap/>
            <w:vAlign w:val="center"/>
            <w:hideMark/>
          </w:tcPr>
          <w:p w14:paraId="22386A5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13.17</w:t>
            </w:r>
          </w:p>
        </w:tc>
        <w:tc>
          <w:tcPr>
            <w:tcW w:w="783" w:type="dxa"/>
            <w:tcBorders>
              <w:left w:val="single" w:sz="4" w:space="0" w:color="auto"/>
              <w:right w:val="single" w:sz="4" w:space="0" w:color="auto"/>
            </w:tcBorders>
            <w:noWrap/>
            <w:vAlign w:val="center"/>
            <w:hideMark/>
          </w:tcPr>
          <w:p w14:paraId="695537C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15.83</w:t>
            </w:r>
          </w:p>
        </w:tc>
        <w:tc>
          <w:tcPr>
            <w:tcW w:w="830" w:type="dxa"/>
            <w:tcBorders>
              <w:left w:val="single" w:sz="4" w:space="0" w:color="auto"/>
              <w:right w:val="single" w:sz="4" w:space="0" w:color="auto"/>
            </w:tcBorders>
            <w:noWrap/>
            <w:vAlign w:val="center"/>
            <w:hideMark/>
          </w:tcPr>
          <w:p w14:paraId="0549641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11.78</w:t>
            </w:r>
          </w:p>
        </w:tc>
        <w:tc>
          <w:tcPr>
            <w:tcW w:w="782" w:type="dxa"/>
            <w:tcBorders>
              <w:left w:val="single" w:sz="4" w:space="0" w:color="auto"/>
              <w:right w:val="single" w:sz="4" w:space="0" w:color="auto"/>
            </w:tcBorders>
            <w:noWrap/>
            <w:vAlign w:val="center"/>
            <w:hideMark/>
          </w:tcPr>
          <w:p w14:paraId="6B90E8C5"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10.28</w:t>
            </w:r>
          </w:p>
        </w:tc>
        <w:tc>
          <w:tcPr>
            <w:tcW w:w="782" w:type="dxa"/>
            <w:tcBorders>
              <w:left w:val="single" w:sz="4" w:space="0" w:color="auto"/>
              <w:right w:val="single" w:sz="4" w:space="0" w:color="auto"/>
            </w:tcBorders>
            <w:noWrap/>
            <w:vAlign w:val="center"/>
            <w:hideMark/>
          </w:tcPr>
          <w:p w14:paraId="313EAC6D"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17.56</w:t>
            </w:r>
          </w:p>
        </w:tc>
        <w:tc>
          <w:tcPr>
            <w:tcW w:w="782" w:type="dxa"/>
            <w:tcBorders>
              <w:left w:val="single" w:sz="4" w:space="0" w:color="auto"/>
              <w:right w:val="single" w:sz="4" w:space="0" w:color="auto"/>
            </w:tcBorders>
            <w:noWrap/>
            <w:vAlign w:val="center"/>
            <w:hideMark/>
          </w:tcPr>
          <w:p w14:paraId="4C69A9F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23.67</w:t>
            </w:r>
          </w:p>
        </w:tc>
        <w:tc>
          <w:tcPr>
            <w:tcW w:w="782" w:type="dxa"/>
            <w:tcBorders>
              <w:left w:val="single" w:sz="4" w:space="0" w:color="auto"/>
              <w:right w:val="single" w:sz="4" w:space="0" w:color="auto"/>
            </w:tcBorders>
            <w:noWrap/>
            <w:vAlign w:val="center"/>
            <w:hideMark/>
          </w:tcPr>
          <w:p w14:paraId="0CA93BF3"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B02F9">
              <w:rPr>
                <w:rFonts w:ascii="Arial" w:hAnsi="Arial" w:cs="Arial"/>
                <w:b/>
                <w:bCs/>
                <w:sz w:val="20"/>
                <w:szCs w:val="20"/>
              </w:rPr>
              <w:t>28.44</w:t>
            </w:r>
          </w:p>
        </w:tc>
        <w:tc>
          <w:tcPr>
            <w:tcW w:w="827" w:type="dxa"/>
            <w:gridSpan w:val="2"/>
            <w:tcBorders>
              <w:left w:val="single" w:sz="4" w:space="0" w:color="auto"/>
              <w:right w:val="single" w:sz="4" w:space="0" w:color="auto"/>
            </w:tcBorders>
            <w:noWrap/>
            <w:vAlign w:val="center"/>
            <w:hideMark/>
          </w:tcPr>
          <w:p w14:paraId="536D91FF"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19.99</w:t>
            </w:r>
          </w:p>
        </w:tc>
      </w:tr>
      <w:tr w:rsidR="0020568F" w:rsidRPr="002B02F9" w14:paraId="4ED7BE71" w14:textId="77777777" w:rsidTr="00873C94">
        <w:trPr>
          <w:gridAfter w:val="1"/>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280281C2"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Factor</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0338B19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100C31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395" w:type="dxa"/>
            <w:gridSpan w:val="3"/>
            <w:tcBorders>
              <w:top w:val="single" w:sz="4" w:space="0" w:color="auto"/>
              <w:left w:val="single" w:sz="4" w:space="0" w:color="auto"/>
              <w:bottom w:val="single" w:sz="4" w:space="0" w:color="auto"/>
              <w:right w:val="single" w:sz="4" w:space="0" w:color="auto"/>
            </w:tcBorders>
            <w:noWrap/>
            <w:vAlign w:val="center"/>
            <w:hideMark/>
          </w:tcPr>
          <w:p w14:paraId="05494B23"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7D438E8"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5398092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G</w:t>
            </w:r>
          </w:p>
        </w:tc>
        <w:tc>
          <w:tcPr>
            <w:tcW w:w="2391" w:type="dxa"/>
            <w:gridSpan w:val="4"/>
            <w:tcBorders>
              <w:top w:val="single" w:sz="4" w:space="0" w:color="auto"/>
              <w:left w:val="single" w:sz="4" w:space="0" w:color="auto"/>
              <w:bottom w:val="single" w:sz="4" w:space="0" w:color="auto"/>
              <w:right w:val="single" w:sz="4" w:space="0" w:color="auto"/>
            </w:tcBorders>
            <w:noWrap/>
            <w:vAlign w:val="center"/>
            <w:hideMark/>
          </w:tcPr>
          <w:p w14:paraId="0AA3F417"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M x G</w:t>
            </w:r>
          </w:p>
        </w:tc>
      </w:tr>
      <w:tr w:rsidR="0020568F" w:rsidRPr="002B02F9" w14:paraId="717DCDE4" w14:textId="77777777" w:rsidTr="00873C94">
        <w:trPr>
          <w:gridAfter w:val="1"/>
          <w:cnfStyle w:val="000000100000" w:firstRow="0" w:lastRow="0" w:firstColumn="0" w:lastColumn="0" w:oddVBand="0" w:evenVBand="0" w:oddHBand="1" w:evenHBand="0" w:firstRowFirstColumn="0" w:firstRowLastColumn="0" w:lastRowFirstColumn="0" w:lastRowLastColumn="0"/>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left w:val="single" w:sz="4" w:space="0" w:color="auto"/>
              <w:right w:val="single" w:sz="4" w:space="0" w:color="auto"/>
            </w:tcBorders>
            <w:noWrap/>
            <w:vAlign w:val="center"/>
            <w:hideMark/>
          </w:tcPr>
          <w:p w14:paraId="45B1D5B5"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Sem</w:t>
            </w:r>
            <w:r w:rsidRPr="002B02F9">
              <w:rPr>
                <w:rFonts w:ascii="Arial" w:hAnsi="Arial" w:cs="Arial"/>
                <w:sz w:val="20"/>
                <w:szCs w:val="20"/>
                <w:u w:val="single"/>
              </w:rPr>
              <w:t>+</w:t>
            </w:r>
          </w:p>
        </w:tc>
        <w:tc>
          <w:tcPr>
            <w:tcW w:w="762" w:type="dxa"/>
            <w:tcBorders>
              <w:left w:val="single" w:sz="4" w:space="0" w:color="auto"/>
              <w:right w:val="single" w:sz="4" w:space="0" w:color="auto"/>
            </w:tcBorders>
            <w:noWrap/>
            <w:vAlign w:val="center"/>
            <w:hideMark/>
          </w:tcPr>
          <w:p w14:paraId="526066B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0.27</w:t>
            </w:r>
          </w:p>
        </w:tc>
        <w:tc>
          <w:tcPr>
            <w:tcW w:w="782" w:type="dxa"/>
            <w:tcBorders>
              <w:left w:val="single" w:sz="4" w:space="0" w:color="auto"/>
              <w:right w:val="single" w:sz="4" w:space="0" w:color="auto"/>
            </w:tcBorders>
            <w:noWrap/>
            <w:vAlign w:val="center"/>
            <w:hideMark/>
          </w:tcPr>
          <w:p w14:paraId="5751F5F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0.31</w:t>
            </w:r>
          </w:p>
        </w:tc>
        <w:tc>
          <w:tcPr>
            <w:tcW w:w="2395" w:type="dxa"/>
            <w:gridSpan w:val="3"/>
            <w:tcBorders>
              <w:left w:val="single" w:sz="4" w:space="0" w:color="auto"/>
              <w:right w:val="single" w:sz="4" w:space="0" w:color="auto"/>
            </w:tcBorders>
            <w:noWrap/>
            <w:vAlign w:val="center"/>
            <w:hideMark/>
          </w:tcPr>
          <w:p w14:paraId="7E54E880"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0.55</w:t>
            </w:r>
          </w:p>
        </w:tc>
        <w:tc>
          <w:tcPr>
            <w:tcW w:w="782" w:type="dxa"/>
            <w:tcBorders>
              <w:left w:val="single" w:sz="4" w:space="0" w:color="auto"/>
              <w:right w:val="single" w:sz="4" w:space="0" w:color="auto"/>
            </w:tcBorders>
            <w:noWrap/>
            <w:vAlign w:val="center"/>
            <w:hideMark/>
          </w:tcPr>
          <w:p w14:paraId="1A68816B"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0.76</w:t>
            </w:r>
          </w:p>
        </w:tc>
        <w:tc>
          <w:tcPr>
            <w:tcW w:w="782" w:type="dxa"/>
            <w:tcBorders>
              <w:left w:val="single" w:sz="4" w:space="0" w:color="auto"/>
              <w:right w:val="single" w:sz="4" w:space="0" w:color="auto"/>
            </w:tcBorders>
            <w:noWrap/>
            <w:vAlign w:val="center"/>
            <w:hideMark/>
          </w:tcPr>
          <w:p w14:paraId="3639B6B8"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0.86</w:t>
            </w:r>
          </w:p>
        </w:tc>
        <w:tc>
          <w:tcPr>
            <w:tcW w:w="2391" w:type="dxa"/>
            <w:gridSpan w:val="4"/>
            <w:tcBorders>
              <w:left w:val="single" w:sz="4" w:space="0" w:color="auto"/>
              <w:right w:val="single" w:sz="4" w:space="0" w:color="auto"/>
            </w:tcBorders>
            <w:noWrap/>
            <w:vAlign w:val="center"/>
            <w:hideMark/>
          </w:tcPr>
          <w:p w14:paraId="5F238A4E" w14:textId="77777777" w:rsidR="0020568F" w:rsidRPr="002B02F9" w:rsidRDefault="0020568F" w:rsidP="00873C94">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02F9">
              <w:rPr>
                <w:rFonts w:ascii="Arial" w:hAnsi="Arial" w:cs="Arial"/>
                <w:sz w:val="20"/>
                <w:szCs w:val="20"/>
              </w:rPr>
              <w:t>1.49</w:t>
            </w:r>
          </w:p>
        </w:tc>
      </w:tr>
      <w:tr w:rsidR="0020568F" w:rsidRPr="002B02F9" w14:paraId="6C32FBC5" w14:textId="77777777" w:rsidTr="00873C94">
        <w:trPr>
          <w:gridAfter w:val="1"/>
          <w:wAfter w:w="24" w:type="dxa"/>
          <w:trHeight w:val="217"/>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noWrap/>
            <w:vAlign w:val="center"/>
            <w:hideMark/>
          </w:tcPr>
          <w:p w14:paraId="025091D4" w14:textId="77777777" w:rsidR="0020568F" w:rsidRPr="002B02F9" w:rsidRDefault="0020568F" w:rsidP="00873C94">
            <w:pPr>
              <w:spacing w:after="160" w:line="276" w:lineRule="auto"/>
              <w:jc w:val="center"/>
              <w:rPr>
                <w:rFonts w:ascii="Arial" w:hAnsi="Arial" w:cs="Arial"/>
                <w:sz w:val="20"/>
                <w:szCs w:val="20"/>
              </w:rPr>
            </w:pPr>
            <w:r w:rsidRPr="002B02F9">
              <w:rPr>
                <w:rFonts w:ascii="Arial" w:hAnsi="Arial" w:cs="Arial"/>
                <w:sz w:val="20"/>
                <w:szCs w:val="20"/>
              </w:rPr>
              <w:t>CD at 5%</w:t>
            </w:r>
          </w:p>
        </w:tc>
        <w:tc>
          <w:tcPr>
            <w:tcW w:w="762" w:type="dxa"/>
            <w:tcBorders>
              <w:top w:val="single" w:sz="4" w:space="0" w:color="auto"/>
              <w:left w:val="single" w:sz="4" w:space="0" w:color="auto"/>
              <w:bottom w:val="single" w:sz="4" w:space="0" w:color="auto"/>
              <w:right w:val="single" w:sz="4" w:space="0" w:color="auto"/>
            </w:tcBorders>
            <w:noWrap/>
            <w:vAlign w:val="center"/>
            <w:hideMark/>
          </w:tcPr>
          <w:p w14:paraId="67F71801"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0.57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0D60BBB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0.65</w:t>
            </w:r>
          </w:p>
        </w:tc>
        <w:tc>
          <w:tcPr>
            <w:tcW w:w="2395" w:type="dxa"/>
            <w:gridSpan w:val="3"/>
            <w:tcBorders>
              <w:top w:val="single" w:sz="4" w:space="0" w:color="auto"/>
              <w:left w:val="single" w:sz="4" w:space="0" w:color="auto"/>
              <w:bottom w:val="single" w:sz="4" w:space="0" w:color="auto"/>
              <w:right w:val="single" w:sz="4" w:space="0" w:color="auto"/>
            </w:tcBorders>
            <w:noWrap/>
            <w:vAlign w:val="center"/>
            <w:hideMark/>
          </w:tcPr>
          <w:p w14:paraId="530EA57C"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1.14</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73EF7ADB"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1.53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45492A94"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1.77</w:t>
            </w:r>
          </w:p>
        </w:tc>
        <w:tc>
          <w:tcPr>
            <w:tcW w:w="2391" w:type="dxa"/>
            <w:gridSpan w:val="4"/>
            <w:tcBorders>
              <w:top w:val="single" w:sz="4" w:space="0" w:color="auto"/>
              <w:left w:val="single" w:sz="4" w:space="0" w:color="auto"/>
              <w:bottom w:val="single" w:sz="4" w:space="0" w:color="auto"/>
              <w:right w:val="single" w:sz="4" w:space="0" w:color="auto"/>
            </w:tcBorders>
            <w:noWrap/>
            <w:vAlign w:val="center"/>
            <w:hideMark/>
          </w:tcPr>
          <w:p w14:paraId="22F355E5" w14:textId="77777777" w:rsidR="0020568F" w:rsidRPr="002B02F9" w:rsidRDefault="0020568F" w:rsidP="00873C94">
            <w:pPr>
              <w:spacing w:after="16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2F9">
              <w:rPr>
                <w:rFonts w:ascii="Arial" w:hAnsi="Arial" w:cs="Arial"/>
                <w:sz w:val="20"/>
                <w:szCs w:val="20"/>
              </w:rPr>
              <w:t>3.07</w:t>
            </w:r>
          </w:p>
        </w:tc>
      </w:tr>
    </w:tbl>
    <w:p w14:paraId="350DF432" w14:textId="74217192" w:rsidR="0020568F" w:rsidRPr="002B02F9" w:rsidRDefault="0087307C" w:rsidP="005D0190">
      <w:pPr>
        <w:spacing w:line="276" w:lineRule="auto"/>
        <w:rPr>
          <w:rFonts w:ascii="Arial" w:hAnsi="Arial" w:cs="Arial"/>
          <w:sz w:val="20"/>
          <w:szCs w:val="20"/>
        </w:rPr>
      </w:pPr>
      <w:r w:rsidRPr="002B02F9">
        <w:rPr>
          <w:rFonts w:ascii="Arial" w:hAnsi="Arial" w:cs="Arial"/>
          <w:b/>
          <w:bCs/>
          <w:sz w:val="20"/>
          <w:szCs w:val="20"/>
        </w:rPr>
        <w:t xml:space="preserve">Table 2 </w:t>
      </w:r>
      <w:r w:rsidRPr="002B02F9">
        <w:rPr>
          <w:rFonts w:ascii="Arial" w:hAnsi="Arial" w:cs="Arial"/>
          <w:sz w:val="20"/>
          <w:szCs w:val="20"/>
        </w:rPr>
        <w:t xml:space="preserve">Effect of rooting media and IBA treatment on length of longest shoot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w:t>
      </w:r>
    </w:p>
    <w:p w14:paraId="50E49D2A" w14:textId="77777777" w:rsidR="002B02F9" w:rsidRDefault="002B02F9" w:rsidP="005D0190">
      <w:pPr>
        <w:spacing w:line="276" w:lineRule="auto"/>
        <w:rPr>
          <w:rFonts w:ascii="Arial" w:hAnsi="Arial" w:cs="Arial"/>
          <w:b/>
          <w:bCs/>
          <w:sz w:val="20"/>
          <w:szCs w:val="20"/>
        </w:rPr>
      </w:pPr>
    </w:p>
    <w:p w14:paraId="42A58DE6" w14:textId="074A8533" w:rsidR="0020568F" w:rsidRPr="002B02F9" w:rsidRDefault="0087307C" w:rsidP="005D0190">
      <w:pPr>
        <w:spacing w:line="276" w:lineRule="auto"/>
        <w:rPr>
          <w:rFonts w:ascii="Arial" w:hAnsi="Arial" w:cs="Arial"/>
          <w:sz w:val="20"/>
          <w:szCs w:val="20"/>
        </w:rPr>
      </w:pPr>
      <w:r w:rsidRPr="002B02F9">
        <w:rPr>
          <w:rFonts w:ascii="Arial" w:hAnsi="Arial" w:cs="Arial"/>
          <w:b/>
          <w:bCs/>
          <w:sz w:val="20"/>
          <w:szCs w:val="20"/>
        </w:rPr>
        <w:t>Table 4</w:t>
      </w:r>
      <w:r w:rsidR="0020568F" w:rsidRPr="002B02F9">
        <w:rPr>
          <w:rFonts w:ascii="Arial" w:hAnsi="Arial" w:cs="Arial"/>
          <w:b/>
          <w:bCs/>
          <w:sz w:val="20"/>
          <w:szCs w:val="20"/>
          <w:lang w:val="en-US"/>
        </w:rPr>
        <w:t xml:space="preserve"> </w:t>
      </w:r>
      <w:r w:rsidR="0020568F" w:rsidRPr="002B02F9">
        <w:rPr>
          <w:rFonts w:ascii="Arial" w:hAnsi="Arial" w:cs="Arial"/>
          <w:sz w:val="20"/>
          <w:szCs w:val="20"/>
        </w:rPr>
        <w:t xml:space="preserve">Effect of rooting media and IBA treatment on percentage of rooted cuttings in pomegranate cv. </w:t>
      </w:r>
      <w:proofErr w:type="spellStart"/>
      <w:r w:rsidR="0020568F" w:rsidRPr="002B02F9">
        <w:rPr>
          <w:rFonts w:ascii="Arial" w:hAnsi="Arial" w:cs="Arial"/>
          <w:sz w:val="20"/>
          <w:szCs w:val="20"/>
        </w:rPr>
        <w:t>Bhagwa</w:t>
      </w:r>
      <w:proofErr w:type="spellEnd"/>
      <w:r w:rsidR="0020568F" w:rsidRPr="002B02F9">
        <w:rPr>
          <w:rFonts w:ascii="Arial" w:hAnsi="Arial" w:cs="Arial"/>
          <w:sz w:val="20"/>
          <w:szCs w:val="20"/>
        </w:rPr>
        <w:t xml:space="preserve"> at 30 </w:t>
      </w:r>
      <w:proofErr w:type="gramStart"/>
      <w:r w:rsidR="0020568F" w:rsidRPr="002B02F9">
        <w:rPr>
          <w:rFonts w:ascii="Arial" w:hAnsi="Arial" w:cs="Arial"/>
          <w:sz w:val="20"/>
          <w:szCs w:val="20"/>
        </w:rPr>
        <w:t>DAP</w:t>
      </w:r>
      <w:proofErr w:type="gramEnd"/>
      <w:r w:rsidR="0020568F" w:rsidRPr="002B02F9">
        <w:rPr>
          <w:rFonts w:ascii="Arial" w:hAnsi="Arial" w:cs="Arial"/>
          <w:sz w:val="20"/>
          <w:szCs w:val="20"/>
        </w:rPr>
        <w:t>.</w:t>
      </w:r>
    </w:p>
    <w:tbl>
      <w:tblPr>
        <w:tblStyle w:val="PlainTable2"/>
        <w:tblpPr w:leftFromText="180" w:rightFromText="180" w:vertAnchor="text" w:horzAnchor="page" w:tblpX="1733"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154"/>
        <w:gridCol w:w="1445"/>
        <w:gridCol w:w="1063"/>
        <w:gridCol w:w="1196"/>
        <w:gridCol w:w="788"/>
      </w:tblGrid>
      <w:tr w:rsidR="0087307C" w:rsidRPr="002B02F9" w14:paraId="34EA251D" w14:textId="77777777" w:rsidTr="002B02F9">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23" w:type="dxa"/>
            <w:gridSpan w:val="6"/>
            <w:tcBorders>
              <w:bottom w:val="none" w:sz="0" w:space="0" w:color="auto"/>
            </w:tcBorders>
            <w:noWrap/>
            <w:vAlign w:val="center"/>
            <w:hideMark/>
          </w:tcPr>
          <w:p w14:paraId="72AB690E"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 xml:space="preserve">Percentage of rooted cuttings at 30 </w:t>
            </w:r>
            <w:proofErr w:type="gramStart"/>
            <w:r w:rsidRPr="002B02F9">
              <w:rPr>
                <w:rFonts w:ascii="Arial" w:eastAsia="Times New Roman" w:hAnsi="Arial" w:cs="Arial"/>
                <w:kern w:val="0"/>
                <w:sz w:val="20"/>
                <w:szCs w:val="20"/>
                <w:lang w:eastAsia="en-IN"/>
                <w14:ligatures w14:val="none"/>
              </w:rPr>
              <w:t>DAP</w:t>
            </w:r>
            <w:proofErr w:type="gramEnd"/>
          </w:p>
        </w:tc>
      </w:tr>
      <w:tr w:rsidR="0087307C" w:rsidRPr="002B02F9" w14:paraId="41129355"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vMerge w:val="restart"/>
            <w:tcBorders>
              <w:top w:val="none" w:sz="0" w:space="0" w:color="auto"/>
              <w:bottom w:val="none" w:sz="0" w:space="0" w:color="auto"/>
            </w:tcBorders>
            <w:noWrap/>
            <w:vAlign w:val="center"/>
            <w:hideMark/>
          </w:tcPr>
          <w:p w14:paraId="159E9A16"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Rooting Media (M)</w:t>
            </w:r>
          </w:p>
        </w:tc>
        <w:tc>
          <w:tcPr>
            <w:tcW w:w="4858" w:type="dxa"/>
            <w:gridSpan w:val="4"/>
            <w:tcBorders>
              <w:top w:val="none" w:sz="0" w:space="0" w:color="auto"/>
              <w:bottom w:val="none" w:sz="0" w:space="0" w:color="auto"/>
            </w:tcBorders>
            <w:noWrap/>
            <w:vAlign w:val="center"/>
            <w:hideMark/>
          </w:tcPr>
          <w:p w14:paraId="0089FB96"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IBA Treatment (G)</w:t>
            </w:r>
          </w:p>
        </w:tc>
        <w:tc>
          <w:tcPr>
            <w:tcW w:w="787" w:type="dxa"/>
            <w:vMerge w:val="restart"/>
            <w:tcBorders>
              <w:top w:val="none" w:sz="0" w:space="0" w:color="auto"/>
              <w:bottom w:val="none" w:sz="0" w:space="0" w:color="auto"/>
            </w:tcBorders>
            <w:vAlign w:val="center"/>
          </w:tcPr>
          <w:p w14:paraId="488568C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Mean</w:t>
            </w:r>
          </w:p>
        </w:tc>
      </w:tr>
      <w:tr w:rsidR="0087307C" w:rsidRPr="002B02F9" w14:paraId="7BEC171A"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vMerge/>
            <w:vAlign w:val="center"/>
            <w:hideMark/>
          </w:tcPr>
          <w:p w14:paraId="00AB09C9"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p>
        </w:tc>
        <w:tc>
          <w:tcPr>
            <w:tcW w:w="1154" w:type="dxa"/>
            <w:noWrap/>
            <w:vAlign w:val="center"/>
            <w:hideMark/>
          </w:tcPr>
          <w:p w14:paraId="3CA318B2"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0 PPM (G</w:t>
            </w:r>
            <w:r w:rsidRPr="002B02F9">
              <w:rPr>
                <w:rFonts w:ascii="Arial" w:eastAsia="Times New Roman" w:hAnsi="Arial" w:cs="Arial"/>
                <w:b/>
                <w:bCs/>
                <w:kern w:val="0"/>
                <w:sz w:val="20"/>
                <w:szCs w:val="20"/>
                <w:vertAlign w:val="subscript"/>
                <w:lang w:eastAsia="en-IN"/>
                <w14:ligatures w14:val="none"/>
              </w:rPr>
              <w:t>1</w:t>
            </w:r>
            <w:r w:rsidRPr="002B02F9">
              <w:rPr>
                <w:rFonts w:ascii="Arial" w:eastAsia="Times New Roman" w:hAnsi="Arial" w:cs="Arial"/>
                <w:b/>
                <w:bCs/>
                <w:kern w:val="0"/>
                <w:sz w:val="20"/>
                <w:szCs w:val="20"/>
                <w:lang w:eastAsia="en-IN"/>
                <w14:ligatures w14:val="none"/>
              </w:rPr>
              <w:t>)</w:t>
            </w:r>
          </w:p>
        </w:tc>
        <w:tc>
          <w:tcPr>
            <w:tcW w:w="1445" w:type="dxa"/>
            <w:noWrap/>
            <w:vAlign w:val="center"/>
            <w:hideMark/>
          </w:tcPr>
          <w:p w14:paraId="57F732BD"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1000 PPM (G</w:t>
            </w:r>
            <w:r w:rsidRPr="002B02F9">
              <w:rPr>
                <w:rFonts w:ascii="Arial" w:eastAsia="Times New Roman" w:hAnsi="Arial" w:cs="Arial"/>
                <w:b/>
                <w:bCs/>
                <w:kern w:val="0"/>
                <w:sz w:val="20"/>
                <w:szCs w:val="20"/>
                <w:vertAlign w:val="subscript"/>
                <w:lang w:eastAsia="en-IN"/>
                <w14:ligatures w14:val="none"/>
              </w:rPr>
              <w:t>2</w:t>
            </w:r>
            <w:r w:rsidRPr="002B02F9">
              <w:rPr>
                <w:rFonts w:ascii="Arial" w:eastAsia="Times New Roman" w:hAnsi="Arial" w:cs="Arial"/>
                <w:b/>
                <w:bCs/>
                <w:kern w:val="0"/>
                <w:sz w:val="20"/>
                <w:szCs w:val="20"/>
                <w:lang w:eastAsia="en-IN"/>
                <w14:ligatures w14:val="none"/>
              </w:rPr>
              <w:t>)</w:t>
            </w:r>
          </w:p>
        </w:tc>
        <w:tc>
          <w:tcPr>
            <w:tcW w:w="1063" w:type="dxa"/>
            <w:noWrap/>
            <w:vAlign w:val="center"/>
            <w:hideMark/>
          </w:tcPr>
          <w:p w14:paraId="41626C4E"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1500 PPM (G</w:t>
            </w:r>
            <w:r w:rsidRPr="002B02F9">
              <w:rPr>
                <w:rFonts w:ascii="Arial" w:eastAsia="Times New Roman" w:hAnsi="Arial" w:cs="Arial"/>
                <w:b/>
                <w:bCs/>
                <w:kern w:val="0"/>
                <w:sz w:val="20"/>
                <w:szCs w:val="20"/>
                <w:vertAlign w:val="subscript"/>
                <w:lang w:eastAsia="en-IN"/>
                <w14:ligatures w14:val="none"/>
              </w:rPr>
              <w:t>3</w:t>
            </w:r>
            <w:r w:rsidRPr="002B02F9">
              <w:rPr>
                <w:rFonts w:ascii="Arial" w:eastAsia="Times New Roman" w:hAnsi="Arial" w:cs="Arial"/>
                <w:b/>
                <w:bCs/>
                <w:kern w:val="0"/>
                <w:sz w:val="20"/>
                <w:szCs w:val="20"/>
                <w:lang w:eastAsia="en-IN"/>
                <w14:ligatures w14:val="none"/>
              </w:rPr>
              <w:t>)</w:t>
            </w:r>
          </w:p>
        </w:tc>
        <w:tc>
          <w:tcPr>
            <w:tcW w:w="1194" w:type="dxa"/>
            <w:noWrap/>
            <w:vAlign w:val="center"/>
            <w:hideMark/>
          </w:tcPr>
          <w:p w14:paraId="77E1B889"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2000 PPM (G</w:t>
            </w:r>
            <w:r w:rsidRPr="002B02F9">
              <w:rPr>
                <w:rFonts w:ascii="Arial" w:eastAsia="Times New Roman" w:hAnsi="Arial" w:cs="Arial"/>
                <w:b/>
                <w:bCs/>
                <w:kern w:val="0"/>
                <w:sz w:val="20"/>
                <w:szCs w:val="20"/>
                <w:vertAlign w:val="subscript"/>
                <w:lang w:eastAsia="en-IN"/>
                <w14:ligatures w14:val="none"/>
              </w:rPr>
              <w:t>4</w:t>
            </w:r>
            <w:r w:rsidRPr="002B02F9">
              <w:rPr>
                <w:rFonts w:ascii="Arial" w:eastAsia="Times New Roman" w:hAnsi="Arial" w:cs="Arial"/>
                <w:b/>
                <w:bCs/>
                <w:kern w:val="0"/>
                <w:sz w:val="20"/>
                <w:szCs w:val="20"/>
                <w:lang w:eastAsia="en-IN"/>
                <w14:ligatures w14:val="none"/>
              </w:rPr>
              <w:t>)</w:t>
            </w:r>
          </w:p>
        </w:tc>
        <w:tc>
          <w:tcPr>
            <w:tcW w:w="787" w:type="dxa"/>
            <w:vMerge/>
            <w:noWrap/>
            <w:vAlign w:val="center"/>
            <w:hideMark/>
          </w:tcPr>
          <w:p w14:paraId="2971558F"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p>
        </w:tc>
      </w:tr>
      <w:tr w:rsidR="0087307C" w:rsidRPr="002B02F9" w14:paraId="023EF7F1"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2B3F3D94"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Vermicompost (M</w:t>
            </w:r>
            <w:r w:rsidRPr="002B02F9">
              <w:rPr>
                <w:rFonts w:ascii="Arial" w:eastAsia="Times New Roman" w:hAnsi="Arial" w:cs="Arial"/>
                <w:kern w:val="0"/>
                <w:sz w:val="20"/>
                <w:szCs w:val="20"/>
                <w:vertAlign w:val="subscript"/>
                <w:lang w:eastAsia="en-IN"/>
                <w14:ligatures w14:val="none"/>
              </w:rPr>
              <w:t>1</w:t>
            </w:r>
            <w:r w:rsidRPr="002B02F9">
              <w:rPr>
                <w:rFonts w:ascii="Arial" w:eastAsia="Times New Roman" w:hAnsi="Arial" w:cs="Arial"/>
                <w:kern w:val="0"/>
                <w:sz w:val="20"/>
                <w:szCs w:val="20"/>
                <w:lang w:eastAsia="en-IN"/>
                <w14:ligatures w14:val="none"/>
              </w:rPr>
              <w:t>)</w:t>
            </w:r>
          </w:p>
        </w:tc>
        <w:tc>
          <w:tcPr>
            <w:tcW w:w="1154" w:type="dxa"/>
            <w:tcBorders>
              <w:top w:val="none" w:sz="0" w:space="0" w:color="auto"/>
              <w:bottom w:val="none" w:sz="0" w:space="0" w:color="auto"/>
            </w:tcBorders>
            <w:noWrap/>
            <w:vAlign w:val="center"/>
            <w:hideMark/>
          </w:tcPr>
          <w:p w14:paraId="342A176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66.67</w:t>
            </w:r>
          </w:p>
        </w:tc>
        <w:tc>
          <w:tcPr>
            <w:tcW w:w="1445" w:type="dxa"/>
            <w:tcBorders>
              <w:top w:val="none" w:sz="0" w:space="0" w:color="auto"/>
              <w:bottom w:val="none" w:sz="0" w:space="0" w:color="auto"/>
            </w:tcBorders>
            <w:noWrap/>
            <w:vAlign w:val="center"/>
            <w:hideMark/>
          </w:tcPr>
          <w:p w14:paraId="4DD1A76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73.33</w:t>
            </w:r>
          </w:p>
        </w:tc>
        <w:tc>
          <w:tcPr>
            <w:tcW w:w="1063" w:type="dxa"/>
            <w:tcBorders>
              <w:top w:val="none" w:sz="0" w:space="0" w:color="auto"/>
              <w:bottom w:val="none" w:sz="0" w:space="0" w:color="auto"/>
            </w:tcBorders>
            <w:noWrap/>
            <w:vAlign w:val="center"/>
            <w:hideMark/>
          </w:tcPr>
          <w:p w14:paraId="7F112A4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76.67</w:t>
            </w:r>
          </w:p>
        </w:tc>
        <w:tc>
          <w:tcPr>
            <w:tcW w:w="1194" w:type="dxa"/>
            <w:tcBorders>
              <w:top w:val="none" w:sz="0" w:space="0" w:color="auto"/>
              <w:bottom w:val="none" w:sz="0" w:space="0" w:color="auto"/>
            </w:tcBorders>
            <w:noWrap/>
            <w:vAlign w:val="center"/>
            <w:hideMark/>
          </w:tcPr>
          <w:p w14:paraId="5091027F"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83.33</w:t>
            </w:r>
          </w:p>
        </w:tc>
        <w:tc>
          <w:tcPr>
            <w:tcW w:w="787" w:type="dxa"/>
            <w:tcBorders>
              <w:top w:val="none" w:sz="0" w:space="0" w:color="auto"/>
              <w:bottom w:val="none" w:sz="0" w:space="0" w:color="auto"/>
            </w:tcBorders>
            <w:noWrap/>
            <w:vAlign w:val="center"/>
            <w:hideMark/>
          </w:tcPr>
          <w:p w14:paraId="6619AE42"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75.00</w:t>
            </w:r>
          </w:p>
        </w:tc>
      </w:tr>
      <w:tr w:rsidR="0087307C" w:rsidRPr="002B02F9" w14:paraId="6B18199A"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44BA837C"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Vermiculite (M</w:t>
            </w:r>
            <w:r w:rsidRPr="002B02F9">
              <w:rPr>
                <w:rFonts w:ascii="Arial" w:eastAsia="Times New Roman" w:hAnsi="Arial" w:cs="Arial"/>
                <w:kern w:val="0"/>
                <w:sz w:val="20"/>
                <w:szCs w:val="20"/>
                <w:vertAlign w:val="subscript"/>
                <w:lang w:eastAsia="en-IN"/>
                <w14:ligatures w14:val="none"/>
              </w:rPr>
              <w:t>2</w:t>
            </w:r>
            <w:r w:rsidRPr="002B02F9">
              <w:rPr>
                <w:rFonts w:ascii="Arial" w:eastAsia="Times New Roman" w:hAnsi="Arial" w:cs="Arial"/>
                <w:kern w:val="0"/>
                <w:sz w:val="20"/>
                <w:szCs w:val="20"/>
                <w:lang w:eastAsia="en-IN"/>
                <w14:ligatures w14:val="none"/>
              </w:rPr>
              <w:t>)</w:t>
            </w:r>
          </w:p>
        </w:tc>
        <w:tc>
          <w:tcPr>
            <w:tcW w:w="1154" w:type="dxa"/>
            <w:noWrap/>
            <w:vAlign w:val="center"/>
            <w:hideMark/>
          </w:tcPr>
          <w:p w14:paraId="425308F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75.00</w:t>
            </w:r>
          </w:p>
        </w:tc>
        <w:tc>
          <w:tcPr>
            <w:tcW w:w="1445" w:type="dxa"/>
            <w:noWrap/>
            <w:vAlign w:val="center"/>
            <w:hideMark/>
          </w:tcPr>
          <w:p w14:paraId="068B98D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88.33</w:t>
            </w:r>
          </w:p>
        </w:tc>
        <w:tc>
          <w:tcPr>
            <w:tcW w:w="1063" w:type="dxa"/>
            <w:noWrap/>
            <w:vAlign w:val="center"/>
            <w:hideMark/>
          </w:tcPr>
          <w:p w14:paraId="347330EB"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91.67</w:t>
            </w:r>
          </w:p>
        </w:tc>
        <w:tc>
          <w:tcPr>
            <w:tcW w:w="1194" w:type="dxa"/>
            <w:noWrap/>
            <w:vAlign w:val="center"/>
            <w:hideMark/>
          </w:tcPr>
          <w:p w14:paraId="422885C8"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96.67</w:t>
            </w:r>
          </w:p>
        </w:tc>
        <w:tc>
          <w:tcPr>
            <w:tcW w:w="787" w:type="dxa"/>
            <w:noWrap/>
            <w:vAlign w:val="center"/>
            <w:hideMark/>
          </w:tcPr>
          <w:p w14:paraId="27A11E6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87.92</w:t>
            </w:r>
          </w:p>
        </w:tc>
      </w:tr>
      <w:tr w:rsidR="0087307C" w:rsidRPr="002B02F9" w14:paraId="583B37C4"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169B0E07"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Sand+ Vermiculite + Vermicompost (M</w:t>
            </w:r>
            <w:r w:rsidRPr="002B02F9">
              <w:rPr>
                <w:rFonts w:ascii="Arial" w:eastAsia="Times New Roman" w:hAnsi="Arial" w:cs="Arial"/>
                <w:kern w:val="0"/>
                <w:sz w:val="20"/>
                <w:szCs w:val="20"/>
                <w:vertAlign w:val="subscript"/>
                <w:lang w:eastAsia="en-IN"/>
                <w14:ligatures w14:val="none"/>
              </w:rPr>
              <w:t>3</w:t>
            </w:r>
            <w:r w:rsidRPr="002B02F9">
              <w:rPr>
                <w:rFonts w:ascii="Arial" w:eastAsia="Times New Roman" w:hAnsi="Arial" w:cs="Arial"/>
                <w:kern w:val="0"/>
                <w:sz w:val="20"/>
                <w:szCs w:val="20"/>
                <w:lang w:eastAsia="en-IN"/>
                <w14:ligatures w14:val="none"/>
              </w:rPr>
              <w:t>)</w:t>
            </w:r>
          </w:p>
        </w:tc>
        <w:tc>
          <w:tcPr>
            <w:tcW w:w="1154" w:type="dxa"/>
            <w:tcBorders>
              <w:top w:val="none" w:sz="0" w:space="0" w:color="auto"/>
              <w:bottom w:val="none" w:sz="0" w:space="0" w:color="auto"/>
            </w:tcBorders>
            <w:noWrap/>
            <w:vAlign w:val="center"/>
            <w:hideMark/>
          </w:tcPr>
          <w:p w14:paraId="5575D75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71.67</w:t>
            </w:r>
          </w:p>
        </w:tc>
        <w:tc>
          <w:tcPr>
            <w:tcW w:w="1445" w:type="dxa"/>
            <w:tcBorders>
              <w:top w:val="none" w:sz="0" w:space="0" w:color="auto"/>
              <w:bottom w:val="none" w:sz="0" w:space="0" w:color="auto"/>
            </w:tcBorders>
            <w:noWrap/>
            <w:vAlign w:val="center"/>
            <w:hideMark/>
          </w:tcPr>
          <w:p w14:paraId="24D40D2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76.67</w:t>
            </w:r>
          </w:p>
        </w:tc>
        <w:tc>
          <w:tcPr>
            <w:tcW w:w="1063" w:type="dxa"/>
            <w:tcBorders>
              <w:top w:val="none" w:sz="0" w:space="0" w:color="auto"/>
              <w:bottom w:val="none" w:sz="0" w:space="0" w:color="auto"/>
            </w:tcBorders>
            <w:noWrap/>
            <w:vAlign w:val="center"/>
            <w:hideMark/>
          </w:tcPr>
          <w:p w14:paraId="7609B9D4"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78.33</w:t>
            </w:r>
          </w:p>
        </w:tc>
        <w:tc>
          <w:tcPr>
            <w:tcW w:w="1194" w:type="dxa"/>
            <w:tcBorders>
              <w:top w:val="none" w:sz="0" w:space="0" w:color="auto"/>
              <w:bottom w:val="none" w:sz="0" w:space="0" w:color="auto"/>
            </w:tcBorders>
            <w:noWrap/>
            <w:vAlign w:val="center"/>
            <w:hideMark/>
          </w:tcPr>
          <w:p w14:paraId="6E2AF558"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86.67</w:t>
            </w:r>
          </w:p>
        </w:tc>
        <w:tc>
          <w:tcPr>
            <w:tcW w:w="787" w:type="dxa"/>
            <w:tcBorders>
              <w:top w:val="none" w:sz="0" w:space="0" w:color="auto"/>
              <w:bottom w:val="none" w:sz="0" w:space="0" w:color="auto"/>
            </w:tcBorders>
            <w:noWrap/>
            <w:vAlign w:val="center"/>
            <w:hideMark/>
          </w:tcPr>
          <w:p w14:paraId="01133093"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78.34</w:t>
            </w:r>
          </w:p>
        </w:tc>
      </w:tr>
      <w:tr w:rsidR="0087307C" w:rsidRPr="002B02F9" w14:paraId="136DFB10"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72D7352A" w14:textId="77777777" w:rsidR="0087307C" w:rsidRPr="002B02F9" w:rsidRDefault="0087307C" w:rsidP="00043C33">
            <w:pPr>
              <w:jc w:val="center"/>
              <w:rPr>
                <w:rFonts w:ascii="Arial" w:eastAsia="Times New Roman" w:hAnsi="Arial" w:cs="Arial"/>
                <w:b w:val="0"/>
                <w:bCs w:val="0"/>
                <w:kern w:val="0"/>
                <w:sz w:val="20"/>
                <w:szCs w:val="20"/>
                <w:lang w:eastAsia="en-IN"/>
                <w14:ligatures w14:val="none"/>
              </w:rPr>
            </w:pPr>
            <w:r w:rsidRPr="002B02F9">
              <w:rPr>
                <w:rFonts w:ascii="Arial" w:eastAsia="Times New Roman" w:hAnsi="Arial" w:cs="Arial"/>
                <w:kern w:val="0"/>
                <w:sz w:val="20"/>
                <w:szCs w:val="20"/>
                <w:lang w:eastAsia="en-IN"/>
                <w14:ligatures w14:val="none"/>
              </w:rPr>
              <w:t>Mean</w:t>
            </w:r>
          </w:p>
        </w:tc>
        <w:tc>
          <w:tcPr>
            <w:tcW w:w="1154" w:type="dxa"/>
            <w:noWrap/>
            <w:vAlign w:val="center"/>
            <w:hideMark/>
          </w:tcPr>
          <w:p w14:paraId="451F8531"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71.11</w:t>
            </w:r>
          </w:p>
        </w:tc>
        <w:tc>
          <w:tcPr>
            <w:tcW w:w="1445" w:type="dxa"/>
            <w:noWrap/>
            <w:vAlign w:val="center"/>
            <w:hideMark/>
          </w:tcPr>
          <w:p w14:paraId="6545893B"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79.44</w:t>
            </w:r>
          </w:p>
        </w:tc>
        <w:tc>
          <w:tcPr>
            <w:tcW w:w="1063" w:type="dxa"/>
            <w:noWrap/>
            <w:vAlign w:val="center"/>
            <w:hideMark/>
          </w:tcPr>
          <w:p w14:paraId="37AE93DF"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82.22</w:t>
            </w:r>
          </w:p>
        </w:tc>
        <w:tc>
          <w:tcPr>
            <w:tcW w:w="1194" w:type="dxa"/>
            <w:noWrap/>
            <w:vAlign w:val="center"/>
            <w:hideMark/>
          </w:tcPr>
          <w:p w14:paraId="3F6B9A05"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IN"/>
                <w14:ligatures w14:val="none"/>
              </w:rPr>
            </w:pPr>
            <w:r w:rsidRPr="002B02F9">
              <w:rPr>
                <w:rFonts w:ascii="Arial" w:eastAsia="Times New Roman" w:hAnsi="Arial" w:cs="Arial"/>
                <w:b/>
                <w:bCs/>
                <w:kern w:val="0"/>
                <w:sz w:val="20"/>
                <w:szCs w:val="20"/>
                <w:lang w:eastAsia="en-IN"/>
                <w14:ligatures w14:val="none"/>
              </w:rPr>
              <w:t>88.89</w:t>
            </w:r>
          </w:p>
        </w:tc>
        <w:tc>
          <w:tcPr>
            <w:tcW w:w="787" w:type="dxa"/>
            <w:noWrap/>
            <w:vAlign w:val="center"/>
            <w:hideMark/>
          </w:tcPr>
          <w:p w14:paraId="1E007AA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2B7A74EC"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7D455699"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Factor</w:t>
            </w:r>
          </w:p>
        </w:tc>
        <w:tc>
          <w:tcPr>
            <w:tcW w:w="1154" w:type="dxa"/>
            <w:tcBorders>
              <w:top w:val="none" w:sz="0" w:space="0" w:color="auto"/>
              <w:bottom w:val="none" w:sz="0" w:space="0" w:color="auto"/>
            </w:tcBorders>
            <w:noWrap/>
            <w:vAlign w:val="center"/>
            <w:hideMark/>
          </w:tcPr>
          <w:p w14:paraId="681817D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1445" w:type="dxa"/>
            <w:tcBorders>
              <w:top w:val="none" w:sz="0" w:space="0" w:color="auto"/>
              <w:bottom w:val="none" w:sz="0" w:space="0" w:color="auto"/>
            </w:tcBorders>
            <w:noWrap/>
            <w:vAlign w:val="center"/>
            <w:hideMark/>
          </w:tcPr>
          <w:p w14:paraId="7F57F22A"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3045" w:type="dxa"/>
            <w:gridSpan w:val="3"/>
            <w:tcBorders>
              <w:top w:val="none" w:sz="0" w:space="0" w:color="auto"/>
              <w:bottom w:val="none" w:sz="0" w:space="0" w:color="auto"/>
            </w:tcBorders>
            <w:noWrap/>
            <w:vAlign w:val="center"/>
            <w:hideMark/>
          </w:tcPr>
          <w:p w14:paraId="6BF22BA4"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481327B"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120DFC26" w14:textId="77777777" w:rsidTr="002B02F9">
        <w:trPr>
          <w:trHeight w:val="398"/>
        </w:trPr>
        <w:tc>
          <w:tcPr>
            <w:cnfStyle w:val="001000000000" w:firstRow="0" w:lastRow="0" w:firstColumn="1" w:lastColumn="0" w:oddVBand="0" w:evenVBand="0" w:oddHBand="0" w:evenHBand="0" w:firstRowFirstColumn="0" w:firstRowLastColumn="0" w:lastRowFirstColumn="0" w:lastRowLastColumn="0"/>
            <w:tcW w:w="3577" w:type="dxa"/>
            <w:noWrap/>
            <w:vAlign w:val="center"/>
            <w:hideMark/>
          </w:tcPr>
          <w:p w14:paraId="13E44C37"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Sem</w:t>
            </w:r>
            <w:r w:rsidRPr="002B02F9">
              <w:rPr>
                <w:rFonts w:ascii="Arial" w:eastAsia="Times New Roman" w:hAnsi="Arial" w:cs="Arial"/>
                <w:kern w:val="0"/>
                <w:sz w:val="20"/>
                <w:szCs w:val="20"/>
                <w:u w:val="single"/>
                <w:lang w:eastAsia="en-IN"/>
                <w14:ligatures w14:val="none"/>
              </w:rPr>
              <w:t>+</w:t>
            </w:r>
          </w:p>
        </w:tc>
        <w:tc>
          <w:tcPr>
            <w:tcW w:w="1154" w:type="dxa"/>
            <w:noWrap/>
            <w:vAlign w:val="center"/>
            <w:hideMark/>
          </w:tcPr>
          <w:p w14:paraId="384CA296"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1.40</w:t>
            </w:r>
          </w:p>
        </w:tc>
        <w:tc>
          <w:tcPr>
            <w:tcW w:w="1445" w:type="dxa"/>
            <w:noWrap/>
            <w:vAlign w:val="center"/>
            <w:hideMark/>
          </w:tcPr>
          <w:p w14:paraId="6F062EB4"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1.61</w:t>
            </w:r>
          </w:p>
        </w:tc>
        <w:tc>
          <w:tcPr>
            <w:tcW w:w="3045" w:type="dxa"/>
            <w:gridSpan w:val="3"/>
            <w:noWrap/>
            <w:vAlign w:val="center"/>
            <w:hideMark/>
          </w:tcPr>
          <w:p w14:paraId="5B3AA3E7"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2.80</w:t>
            </w:r>
          </w:p>
          <w:p w14:paraId="73AEC023" w14:textId="77777777" w:rsidR="0087307C" w:rsidRPr="002B02F9" w:rsidRDefault="0087307C" w:rsidP="00043C3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p>
        </w:tc>
      </w:tr>
      <w:tr w:rsidR="0087307C" w:rsidRPr="002B02F9" w14:paraId="49339D5E" w14:textId="77777777" w:rsidTr="002B02F9">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77" w:type="dxa"/>
            <w:tcBorders>
              <w:top w:val="none" w:sz="0" w:space="0" w:color="auto"/>
              <w:bottom w:val="none" w:sz="0" w:space="0" w:color="auto"/>
            </w:tcBorders>
            <w:noWrap/>
            <w:vAlign w:val="center"/>
            <w:hideMark/>
          </w:tcPr>
          <w:p w14:paraId="3D8EF3FA" w14:textId="77777777" w:rsidR="0087307C" w:rsidRPr="002B02F9" w:rsidRDefault="0087307C" w:rsidP="00043C33">
            <w:pPr>
              <w:jc w:val="center"/>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CD at 5%</w:t>
            </w:r>
          </w:p>
        </w:tc>
        <w:tc>
          <w:tcPr>
            <w:tcW w:w="1154" w:type="dxa"/>
            <w:tcBorders>
              <w:top w:val="none" w:sz="0" w:space="0" w:color="auto"/>
              <w:bottom w:val="none" w:sz="0" w:space="0" w:color="auto"/>
            </w:tcBorders>
            <w:noWrap/>
            <w:vAlign w:val="center"/>
            <w:hideMark/>
          </w:tcPr>
          <w:p w14:paraId="3032A42C"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2.89</w:t>
            </w:r>
          </w:p>
        </w:tc>
        <w:tc>
          <w:tcPr>
            <w:tcW w:w="1445" w:type="dxa"/>
            <w:tcBorders>
              <w:top w:val="none" w:sz="0" w:space="0" w:color="auto"/>
              <w:bottom w:val="none" w:sz="0" w:space="0" w:color="auto"/>
            </w:tcBorders>
            <w:noWrap/>
            <w:vAlign w:val="center"/>
            <w:hideMark/>
          </w:tcPr>
          <w:p w14:paraId="21D10A79"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3.34</w:t>
            </w:r>
          </w:p>
        </w:tc>
        <w:tc>
          <w:tcPr>
            <w:tcW w:w="3045" w:type="dxa"/>
            <w:gridSpan w:val="3"/>
            <w:tcBorders>
              <w:top w:val="none" w:sz="0" w:space="0" w:color="auto"/>
              <w:bottom w:val="none" w:sz="0" w:space="0" w:color="auto"/>
            </w:tcBorders>
            <w:noWrap/>
            <w:vAlign w:val="center"/>
            <w:hideMark/>
          </w:tcPr>
          <w:p w14:paraId="6B8B794E"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NS</w:t>
            </w:r>
          </w:p>
          <w:p w14:paraId="60B98BC3" w14:textId="77777777" w:rsidR="0087307C" w:rsidRPr="002B02F9" w:rsidRDefault="0087307C" w:rsidP="00043C3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IN"/>
                <w14:ligatures w14:val="none"/>
              </w:rPr>
            </w:pPr>
          </w:p>
        </w:tc>
      </w:tr>
    </w:tbl>
    <w:p w14:paraId="778E048D" w14:textId="77777777" w:rsidR="0020568F" w:rsidRDefault="0020568F" w:rsidP="005D0190">
      <w:pPr>
        <w:spacing w:line="276" w:lineRule="auto"/>
        <w:rPr>
          <w:rFonts w:ascii="Times New Roman" w:hAnsi="Times New Roman" w:cs="Times New Roman"/>
          <w:sz w:val="24"/>
          <w:szCs w:val="24"/>
        </w:rPr>
      </w:pPr>
    </w:p>
    <w:tbl>
      <w:tblPr>
        <w:tblStyle w:val="PlainTable2"/>
        <w:tblpPr w:leftFromText="180" w:rightFromText="180" w:vertAnchor="text" w:horzAnchor="margin" w:tblpXSpec="center" w:tblpY="908"/>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17"/>
        <w:gridCol w:w="757"/>
        <w:gridCol w:w="757"/>
        <w:gridCol w:w="757"/>
        <w:gridCol w:w="782"/>
        <w:gridCol w:w="736"/>
        <w:gridCol w:w="757"/>
        <w:gridCol w:w="757"/>
        <w:gridCol w:w="737"/>
        <w:gridCol w:w="1058"/>
      </w:tblGrid>
      <w:tr w:rsidR="0020568F" w:rsidRPr="002B02F9" w14:paraId="601961B4" w14:textId="77777777" w:rsidTr="00873C9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873" w:type="dxa"/>
            <w:gridSpan w:val="11"/>
            <w:tcBorders>
              <w:bottom w:val="none" w:sz="0" w:space="0" w:color="auto"/>
            </w:tcBorders>
            <w:noWrap/>
            <w:vAlign w:val="center"/>
            <w:hideMark/>
          </w:tcPr>
          <w:p w14:paraId="01457154"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Number of Primary &amp; Secondary roots</w:t>
            </w:r>
          </w:p>
        </w:tc>
      </w:tr>
      <w:tr w:rsidR="0020568F" w:rsidRPr="002B02F9" w14:paraId="75ABD476"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vMerge w:val="restart"/>
            <w:noWrap/>
            <w:vAlign w:val="center"/>
            <w:hideMark/>
          </w:tcPr>
          <w:p w14:paraId="48C62D74"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Rooting Media (M)</w:t>
            </w:r>
          </w:p>
        </w:tc>
        <w:tc>
          <w:tcPr>
            <w:tcW w:w="2988" w:type="dxa"/>
            <w:gridSpan w:val="4"/>
            <w:noWrap/>
            <w:vAlign w:val="center"/>
            <w:hideMark/>
          </w:tcPr>
          <w:p w14:paraId="75CA922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Primary roots</w:t>
            </w:r>
          </w:p>
        </w:tc>
        <w:tc>
          <w:tcPr>
            <w:tcW w:w="782" w:type="dxa"/>
            <w:vMerge w:val="restart"/>
            <w:noWrap/>
            <w:vAlign w:val="center"/>
            <w:hideMark/>
          </w:tcPr>
          <w:p w14:paraId="7754F7C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2987" w:type="dxa"/>
            <w:gridSpan w:val="4"/>
            <w:noWrap/>
            <w:vAlign w:val="center"/>
            <w:hideMark/>
          </w:tcPr>
          <w:p w14:paraId="11B21D1B"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Secondary roots</w:t>
            </w:r>
          </w:p>
        </w:tc>
        <w:tc>
          <w:tcPr>
            <w:tcW w:w="1050" w:type="dxa"/>
            <w:vMerge w:val="restart"/>
            <w:noWrap/>
            <w:vAlign w:val="center"/>
            <w:hideMark/>
          </w:tcPr>
          <w:p w14:paraId="791354D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0568F" w:rsidRPr="002B02F9" w14:paraId="479A2E4F"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vMerge/>
            <w:vAlign w:val="center"/>
            <w:hideMark/>
          </w:tcPr>
          <w:p w14:paraId="5C02B0F8"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p>
        </w:tc>
        <w:tc>
          <w:tcPr>
            <w:tcW w:w="2988" w:type="dxa"/>
            <w:gridSpan w:val="4"/>
            <w:noWrap/>
            <w:vAlign w:val="center"/>
            <w:hideMark/>
          </w:tcPr>
          <w:p w14:paraId="6E4C0EE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82" w:type="dxa"/>
            <w:vMerge/>
            <w:vAlign w:val="center"/>
            <w:hideMark/>
          </w:tcPr>
          <w:p w14:paraId="76E4BAF0"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2987" w:type="dxa"/>
            <w:gridSpan w:val="4"/>
            <w:noWrap/>
            <w:vAlign w:val="center"/>
            <w:hideMark/>
          </w:tcPr>
          <w:p w14:paraId="3FE46F5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1050" w:type="dxa"/>
            <w:vMerge/>
            <w:vAlign w:val="center"/>
            <w:hideMark/>
          </w:tcPr>
          <w:p w14:paraId="398F401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0568F" w:rsidRPr="002B02F9" w14:paraId="054D070E" w14:textId="77777777" w:rsidTr="00873C9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058" w:type="dxa"/>
            <w:vMerge/>
            <w:vAlign w:val="center"/>
            <w:hideMark/>
          </w:tcPr>
          <w:p w14:paraId="00EF6DE3"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p>
        </w:tc>
        <w:tc>
          <w:tcPr>
            <w:tcW w:w="717" w:type="dxa"/>
            <w:noWrap/>
            <w:vAlign w:val="center"/>
            <w:hideMark/>
          </w:tcPr>
          <w:p w14:paraId="7C57412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3A6A7A83"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21EACBC8"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4798897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82" w:type="dxa"/>
            <w:vMerge/>
            <w:vAlign w:val="center"/>
            <w:hideMark/>
          </w:tcPr>
          <w:p w14:paraId="41DEF4A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736" w:type="dxa"/>
            <w:noWrap/>
            <w:vAlign w:val="center"/>
            <w:hideMark/>
          </w:tcPr>
          <w:p w14:paraId="215C4A4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6C9AC562"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57" w:type="dxa"/>
            <w:noWrap/>
            <w:vAlign w:val="center"/>
            <w:hideMark/>
          </w:tcPr>
          <w:p w14:paraId="08932BE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36" w:type="dxa"/>
            <w:noWrap/>
            <w:vAlign w:val="center"/>
            <w:hideMark/>
          </w:tcPr>
          <w:p w14:paraId="1107F498"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1050" w:type="dxa"/>
            <w:vMerge/>
            <w:vAlign w:val="center"/>
            <w:hideMark/>
          </w:tcPr>
          <w:p w14:paraId="793F1D1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0568F" w:rsidRPr="002B02F9" w14:paraId="699FB123" w14:textId="77777777" w:rsidTr="00873C94">
        <w:trPr>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7146100"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Vermicompost (M</w:t>
            </w:r>
            <w:r w:rsidRPr="002B02F9">
              <w:rPr>
                <w:rFonts w:ascii="Arial" w:eastAsia="Times New Roman" w:hAnsi="Arial" w:cs="Arial"/>
                <w:color w:val="000000" w:themeColor="text1"/>
                <w:kern w:val="0"/>
                <w:sz w:val="20"/>
                <w:szCs w:val="20"/>
                <w:vertAlign w:val="subscript"/>
                <w:lang w:eastAsia="en-IN"/>
                <w14:ligatures w14:val="none"/>
              </w:rPr>
              <w:t>1</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63DA30B0"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2.33</w:t>
            </w:r>
          </w:p>
        </w:tc>
        <w:tc>
          <w:tcPr>
            <w:tcW w:w="757" w:type="dxa"/>
            <w:noWrap/>
            <w:vAlign w:val="center"/>
            <w:hideMark/>
          </w:tcPr>
          <w:p w14:paraId="448ABB2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3.00</w:t>
            </w:r>
          </w:p>
        </w:tc>
        <w:tc>
          <w:tcPr>
            <w:tcW w:w="757" w:type="dxa"/>
            <w:noWrap/>
            <w:vAlign w:val="center"/>
            <w:hideMark/>
          </w:tcPr>
          <w:p w14:paraId="193AEAF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3.33</w:t>
            </w:r>
          </w:p>
        </w:tc>
        <w:tc>
          <w:tcPr>
            <w:tcW w:w="757" w:type="dxa"/>
            <w:noWrap/>
            <w:vAlign w:val="center"/>
            <w:hideMark/>
          </w:tcPr>
          <w:p w14:paraId="0454BBC2"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7.33</w:t>
            </w:r>
          </w:p>
        </w:tc>
        <w:tc>
          <w:tcPr>
            <w:tcW w:w="782" w:type="dxa"/>
            <w:noWrap/>
            <w:vAlign w:val="center"/>
            <w:hideMark/>
          </w:tcPr>
          <w:p w14:paraId="41B3B38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4.00</w:t>
            </w:r>
          </w:p>
        </w:tc>
        <w:tc>
          <w:tcPr>
            <w:tcW w:w="736" w:type="dxa"/>
            <w:noWrap/>
            <w:vAlign w:val="center"/>
            <w:hideMark/>
          </w:tcPr>
          <w:p w14:paraId="25FB28C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13.67</w:t>
            </w:r>
          </w:p>
        </w:tc>
        <w:tc>
          <w:tcPr>
            <w:tcW w:w="757" w:type="dxa"/>
            <w:noWrap/>
            <w:vAlign w:val="center"/>
            <w:hideMark/>
          </w:tcPr>
          <w:p w14:paraId="2F57E88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21.00</w:t>
            </w:r>
          </w:p>
        </w:tc>
        <w:tc>
          <w:tcPr>
            <w:tcW w:w="757" w:type="dxa"/>
            <w:noWrap/>
            <w:vAlign w:val="center"/>
            <w:hideMark/>
          </w:tcPr>
          <w:p w14:paraId="5A80708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35.33</w:t>
            </w:r>
          </w:p>
        </w:tc>
        <w:tc>
          <w:tcPr>
            <w:tcW w:w="736" w:type="dxa"/>
            <w:noWrap/>
            <w:vAlign w:val="center"/>
            <w:hideMark/>
          </w:tcPr>
          <w:p w14:paraId="0C6939E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36.00</w:t>
            </w:r>
          </w:p>
        </w:tc>
        <w:tc>
          <w:tcPr>
            <w:tcW w:w="1050" w:type="dxa"/>
            <w:noWrap/>
            <w:vAlign w:val="center"/>
            <w:hideMark/>
          </w:tcPr>
          <w:p w14:paraId="3BDEB3AC"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26.50</w:t>
            </w:r>
          </w:p>
        </w:tc>
      </w:tr>
      <w:tr w:rsidR="0020568F" w:rsidRPr="002B02F9" w14:paraId="0F885380" w14:textId="77777777" w:rsidTr="00873C9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2E5B7BE2"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06AC63B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2.67</w:t>
            </w:r>
          </w:p>
        </w:tc>
        <w:tc>
          <w:tcPr>
            <w:tcW w:w="757" w:type="dxa"/>
            <w:noWrap/>
            <w:vAlign w:val="center"/>
            <w:hideMark/>
          </w:tcPr>
          <w:p w14:paraId="1E7A62C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6.00</w:t>
            </w:r>
          </w:p>
        </w:tc>
        <w:tc>
          <w:tcPr>
            <w:tcW w:w="757" w:type="dxa"/>
            <w:noWrap/>
            <w:vAlign w:val="center"/>
            <w:hideMark/>
          </w:tcPr>
          <w:p w14:paraId="582C83C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6.67</w:t>
            </w:r>
          </w:p>
        </w:tc>
        <w:tc>
          <w:tcPr>
            <w:tcW w:w="757" w:type="dxa"/>
            <w:noWrap/>
            <w:vAlign w:val="center"/>
            <w:hideMark/>
          </w:tcPr>
          <w:p w14:paraId="3EC90D9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11.00</w:t>
            </w:r>
          </w:p>
        </w:tc>
        <w:tc>
          <w:tcPr>
            <w:tcW w:w="782" w:type="dxa"/>
            <w:noWrap/>
            <w:vAlign w:val="center"/>
            <w:hideMark/>
          </w:tcPr>
          <w:p w14:paraId="421B239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6.59</w:t>
            </w:r>
          </w:p>
        </w:tc>
        <w:tc>
          <w:tcPr>
            <w:tcW w:w="736" w:type="dxa"/>
            <w:noWrap/>
            <w:vAlign w:val="center"/>
            <w:hideMark/>
          </w:tcPr>
          <w:p w14:paraId="26310125"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18.33</w:t>
            </w:r>
          </w:p>
        </w:tc>
        <w:tc>
          <w:tcPr>
            <w:tcW w:w="757" w:type="dxa"/>
            <w:noWrap/>
            <w:vAlign w:val="center"/>
            <w:hideMark/>
          </w:tcPr>
          <w:p w14:paraId="41059F2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37.33</w:t>
            </w:r>
          </w:p>
        </w:tc>
        <w:tc>
          <w:tcPr>
            <w:tcW w:w="757" w:type="dxa"/>
            <w:noWrap/>
            <w:vAlign w:val="center"/>
            <w:hideMark/>
          </w:tcPr>
          <w:p w14:paraId="0FB6F27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41.67</w:t>
            </w:r>
          </w:p>
        </w:tc>
        <w:tc>
          <w:tcPr>
            <w:tcW w:w="736" w:type="dxa"/>
            <w:noWrap/>
            <w:vAlign w:val="center"/>
            <w:hideMark/>
          </w:tcPr>
          <w:p w14:paraId="788140A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48.00</w:t>
            </w:r>
          </w:p>
        </w:tc>
        <w:tc>
          <w:tcPr>
            <w:tcW w:w="1050" w:type="dxa"/>
            <w:noWrap/>
            <w:vAlign w:val="center"/>
            <w:hideMark/>
          </w:tcPr>
          <w:p w14:paraId="119B57E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36.33</w:t>
            </w:r>
          </w:p>
        </w:tc>
      </w:tr>
      <w:tr w:rsidR="0020568F" w:rsidRPr="002B02F9" w14:paraId="14C62081" w14:textId="77777777" w:rsidTr="00873C94">
        <w:trPr>
          <w:trHeight w:val="365"/>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BF7FE68"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 Vermicompost (M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eastAsia="Times New Roman" w:hAnsi="Arial" w:cs="Arial"/>
                <w:color w:val="000000" w:themeColor="text1"/>
                <w:kern w:val="0"/>
                <w:sz w:val="20"/>
                <w:szCs w:val="20"/>
                <w:lang w:eastAsia="en-IN"/>
                <w14:ligatures w14:val="none"/>
              </w:rPr>
              <w:t>)</w:t>
            </w:r>
          </w:p>
        </w:tc>
        <w:tc>
          <w:tcPr>
            <w:tcW w:w="717" w:type="dxa"/>
            <w:noWrap/>
            <w:vAlign w:val="center"/>
            <w:hideMark/>
          </w:tcPr>
          <w:p w14:paraId="73E7E2B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3.00</w:t>
            </w:r>
          </w:p>
        </w:tc>
        <w:tc>
          <w:tcPr>
            <w:tcW w:w="757" w:type="dxa"/>
            <w:noWrap/>
            <w:vAlign w:val="center"/>
            <w:hideMark/>
          </w:tcPr>
          <w:p w14:paraId="21F1D8A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4.33</w:t>
            </w:r>
          </w:p>
        </w:tc>
        <w:tc>
          <w:tcPr>
            <w:tcW w:w="757" w:type="dxa"/>
            <w:noWrap/>
            <w:vAlign w:val="center"/>
            <w:hideMark/>
          </w:tcPr>
          <w:p w14:paraId="56116BD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4.67</w:t>
            </w:r>
          </w:p>
        </w:tc>
        <w:tc>
          <w:tcPr>
            <w:tcW w:w="757" w:type="dxa"/>
            <w:noWrap/>
            <w:vAlign w:val="center"/>
            <w:hideMark/>
          </w:tcPr>
          <w:p w14:paraId="7562E38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9.00</w:t>
            </w:r>
          </w:p>
        </w:tc>
        <w:tc>
          <w:tcPr>
            <w:tcW w:w="782" w:type="dxa"/>
            <w:noWrap/>
            <w:vAlign w:val="center"/>
            <w:hideMark/>
          </w:tcPr>
          <w:p w14:paraId="6DBFBCBC"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5.25</w:t>
            </w:r>
          </w:p>
        </w:tc>
        <w:tc>
          <w:tcPr>
            <w:tcW w:w="736" w:type="dxa"/>
            <w:noWrap/>
            <w:vAlign w:val="center"/>
            <w:hideMark/>
          </w:tcPr>
          <w:p w14:paraId="6FB85A86"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21.67</w:t>
            </w:r>
          </w:p>
        </w:tc>
        <w:tc>
          <w:tcPr>
            <w:tcW w:w="757" w:type="dxa"/>
            <w:noWrap/>
            <w:vAlign w:val="center"/>
            <w:hideMark/>
          </w:tcPr>
          <w:p w14:paraId="0E75CBF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29.67</w:t>
            </w:r>
          </w:p>
        </w:tc>
        <w:tc>
          <w:tcPr>
            <w:tcW w:w="757" w:type="dxa"/>
            <w:noWrap/>
            <w:vAlign w:val="center"/>
            <w:hideMark/>
          </w:tcPr>
          <w:p w14:paraId="581F150E"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24.33</w:t>
            </w:r>
          </w:p>
        </w:tc>
        <w:tc>
          <w:tcPr>
            <w:tcW w:w="736" w:type="dxa"/>
            <w:noWrap/>
            <w:vAlign w:val="center"/>
            <w:hideMark/>
          </w:tcPr>
          <w:p w14:paraId="3B778EC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43.00</w:t>
            </w:r>
          </w:p>
        </w:tc>
        <w:tc>
          <w:tcPr>
            <w:tcW w:w="1050" w:type="dxa"/>
            <w:noWrap/>
            <w:vAlign w:val="center"/>
            <w:hideMark/>
          </w:tcPr>
          <w:p w14:paraId="74AC65B1"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29.67</w:t>
            </w:r>
          </w:p>
        </w:tc>
      </w:tr>
      <w:tr w:rsidR="0020568F" w:rsidRPr="002B02F9" w14:paraId="5610669F"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0FD9A93E"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Mean</w:t>
            </w:r>
          </w:p>
        </w:tc>
        <w:tc>
          <w:tcPr>
            <w:tcW w:w="717" w:type="dxa"/>
            <w:noWrap/>
            <w:vAlign w:val="center"/>
            <w:hideMark/>
          </w:tcPr>
          <w:p w14:paraId="2C3E61BA"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2.67</w:t>
            </w:r>
          </w:p>
        </w:tc>
        <w:tc>
          <w:tcPr>
            <w:tcW w:w="757" w:type="dxa"/>
            <w:noWrap/>
            <w:vAlign w:val="center"/>
            <w:hideMark/>
          </w:tcPr>
          <w:p w14:paraId="7037EAD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4.44</w:t>
            </w:r>
          </w:p>
        </w:tc>
        <w:tc>
          <w:tcPr>
            <w:tcW w:w="757" w:type="dxa"/>
            <w:noWrap/>
            <w:vAlign w:val="center"/>
            <w:hideMark/>
          </w:tcPr>
          <w:p w14:paraId="2C3A3FBC"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4.89</w:t>
            </w:r>
          </w:p>
        </w:tc>
        <w:tc>
          <w:tcPr>
            <w:tcW w:w="757" w:type="dxa"/>
            <w:noWrap/>
            <w:vAlign w:val="center"/>
            <w:hideMark/>
          </w:tcPr>
          <w:p w14:paraId="51ABD72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9.11</w:t>
            </w:r>
          </w:p>
        </w:tc>
        <w:tc>
          <w:tcPr>
            <w:tcW w:w="782" w:type="dxa"/>
            <w:noWrap/>
            <w:vAlign w:val="center"/>
            <w:hideMark/>
          </w:tcPr>
          <w:p w14:paraId="4869D46D"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c>
          <w:tcPr>
            <w:tcW w:w="736" w:type="dxa"/>
            <w:noWrap/>
            <w:vAlign w:val="center"/>
            <w:hideMark/>
          </w:tcPr>
          <w:p w14:paraId="1F072A99"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17.89</w:t>
            </w:r>
          </w:p>
        </w:tc>
        <w:tc>
          <w:tcPr>
            <w:tcW w:w="757" w:type="dxa"/>
            <w:noWrap/>
            <w:vAlign w:val="center"/>
            <w:hideMark/>
          </w:tcPr>
          <w:p w14:paraId="70F9F09E"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29.33</w:t>
            </w:r>
          </w:p>
        </w:tc>
        <w:tc>
          <w:tcPr>
            <w:tcW w:w="757" w:type="dxa"/>
            <w:noWrap/>
            <w:vAlign w:val="center"/>
            <w:hideMark/>
          </w:tcPr>
          <w:p w14:paraId="3F90D0B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33.78</w:t>
            </w:r>
          </w:p>
        </w:tc>
        <w:tc>
          <w:tcPr>
            <w:tcW w:w="736" w:type="dxa"/>
            <w:noWrap/>
            <w:vAlign w:val="center"/>
            <w:hideMark/>
          </w:tcPr>
          <w:p w14:paraId="31A3C4F0"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42.33</w:t>
            </w:r>
          </w:p>
        </w:tc>
        <w:tc>
          <w:tcPr>
            <w:tcW w:w="1050" w:type="dxa"/>
            <w:noWrap/>
            <w:vAlign w:val="center"/>
            <w:hideMark/>
          </w:tcPr>
          <w:p w14:paraId="72C6F776"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r>
      <w:tr w:rsidR="0020568F" w:rsidRPr="002B02F9" w14:paraId="402C363A"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4E3DCC3C"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717" w:type="dxa"/>
            <w:noWrap/>
            <w:vAlign w:val="center"/>
            <w:hideMark/>
          </w:tcPr>
          <w:p w14:paraId="33D0F7E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757" w:type="dxa"/>
            <w:noWrap/>
            <w:vAlign w:val="center"/>
            <w:hideMark/>
          </w:tcPr>
          <w:p w14:paraId="72C35E8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2296" w:type="dxa"/>
            <w:gridSpan w:val="3"/>
            <w:noWrap/>
            <w:vAlign w:val="center"/>
            <w:hideMark/>
          </w:tcPr>
          <w:p w14:paraId="4C0DC29F"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6F0317E"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c>
          <w:tcPr>
            <w:tcW w:w="736" w:type="dxa"/>
            <w:noWrap/>
            <w:vAlign w:val="center"/>
            <w:hideMark/>
          </w:tcPr>
          <w:p w14:paraId="07A77F8D"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M</w:t>
            </w:r>
          </w:p>
        </w:tc>
        <w:tc>
          <w:tcPr>
            <w:tcW w:w="757" w:type="dxa"/>
            <w:noWrap/>
            <w:vAlign w:val="center"/>
            <w:hideMark/>
          </w:tcPr>
          <w:p w14:paraId="3FD4F05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kern w:val="0"/>
                <w:sz w:val="20"/>
                <w:szCs w:val="20"/>
                <w:lang w:eastAsia="en-IN"/>
                <w14:ligatures w14:val="none"/>
              </w:rPr>
              <w:t>G</w:t>
            </w:r>
          </w:p>
        </w:tc>
        <w:tc>
          <w:tcPr>
            <w:tcW w:w="2544" w:type="dxa"/>
            <w:gridSpan w:val="3"/>
            <w:noWrap/>
            <w:vAlign w:val="center"/>
            <w:hideMark/>
          </w:tcPr>
          <w:p w14:paraId="6715AC5F"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IN"/>
                <w14:ligatures w14:val="none"/>
              </w:rPr>
            </w:pPr>
            <w:r w:rsidRPr="002B02F9">
              <w:rPr>
                <w:rFonts w:ascii="Arial" w:eastAsia="Times New Roman" w:hAnsi="Arial" w:cs="Arial"/>
                <w:kern w:val="0"/>
                <w:sz w:val="20"/>
                <w:szCs w:val="20"/>
                <w:lang w:eastAsia="en-IN"/>
                <w14:ligatures w14:val="none"/>
              </w:rPr>
              <w:t>M x G</w:t>
            </w:r>
          </w:p>
          <w:p w14:paraId="4582A622"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p>
        </w:tc>
      </w:tr>
      <w:tr w:rsidR="0020568F" w:rsidRPr="002B02F9" w14:paraId="3E6EEF80" w14:textId="77777777" w:rsidTr="00873C9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7B291AAB"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717" w:type="dxa"/>
            <w:noWrap/>
            <w:vAlign w:val="center"/>
            <w:hideMark/>
          </w:tcPr>
          <w:p w14:paraId="72F11CE3"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0.34</w:t>
            </w:r>
          </w:p>
        </w:tc>
        <w:tc>
          <w:tcPr>
            <w:tcW w:w="757" w:type="dxa"/>
            <w:noWrap/>
            <w:vAlign w:val="center"/>
            <w:hideMark/>
          </w:tcPr>
          <w:p w14:paraId="26EE1997"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0.39</w:t>
            </w:r>
          </w:p>
        </w:tc>
        <w:tc>
          <w:tcPr>
            <w:tcW w:w="2296" w:type="dxa"/>
            <w:gridSpan w:val="3"/>
            <w:noWrap/>
            <w:vAlign w:val="center"/>
            <w:hideMark/>
          </w:tcPr>
          <w:p w14:paraId="175889B4"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0.68</w:t>
            </w:r>
          </w:p>
        </w:tc>
        <w:tc>
          <w:tcPr>
            <w:tcW w:w="736" w:type="dxa"/>
            <w:noWrap/>
            <w:vAlign w:val="center"/>
            <w:hideMark/>
          </w:tcPr>
          <w:p w14:paraId="3AA77BAF"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1.75</w:t>
            </w:r>
          </w:p>
        </w:tc>
        <w:tc>
          <w:tcPr>
            <w:tcW w:w="757" w:type="dxa"/>
            <w:noWrap/>
            <w:vAlign w:val="center"/>
            <w:hideMark/>
          </w:tcPr>
          <w:p w14:paraId="4640B261"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2.03</w:t>
            </w:r>
          </w:p>
        </w:tc>
        <w:tc>
          <w:tcPr>
            <w:tcW w:w="2544" w:type="dxa"/>
            <w:gridSpan w:val="3"/>
            <w:noWrap/>
            <w:vAlign w:val="center"/>
            <w:hideMark/>
          </w:tcPr>
          <w:p w14:paraId="3B0809DB" w14:textId="77777777" w:rsidR="0020568F" w:rsidRPr="002B02F9" w:rsidRDefault="0020568F" w:rsidP="005D019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3.51</w:t>
            </w:r>
          </w:p>
        </w:tc>
      </w:tr>
      <w:tr w:rsidR="0020568F" w:rsidRPr="002B02F9" w14:paraId="190D8F34" w14:textId="77777777" w:rsidTr="00873C94">
        <w:trPr>
          <w:trHeight w:val="337"/>
        </w:trPr>
        <w:tc>
          <w:tcPr>
            <w:cnfStyle w:val="001000000000" w:firstRow="0" w:lastRow="0" w:firstColumn="1" w:lastColumn="0" w:oddVBand="0" w:evenVBand="0" w:oddHBand="0" w:evenHBand="0" w:firstRowFirstColumn="0" w:firstRowLastColumn="0" w:lastRowFirstColumn="0" w:lastRowLastColumn="0"/>
            <w:tcW w:w="2058" w:type="dxa"/>
            <w:noWrap/>
            <w:vAlign w:val="center"/>
            <w:hideMark/>
          </w:tcPr>
          <w:p w14:paraId="40E6CC47" w14:textId="77777777" w:rsidR="0020568F" w:rsidRPr="002B02F9" w:rsidRDefault="0020568F" w:rsidP="005D0190">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717" w:type="dxa"/>
            <w:noWrap/>
            <w:vAlign w:val="center"/>
            <w:hideMark/>
          </w:tcPr>
          <w:p w14:paraId="7137A445"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0.7</w:t>
            </w:r>
          </w:p>
        </w:tc>
        <w:tc>
          <w:tcPr>
            <w:tcW w:w="757" w:type="dxa"/>
            <w:noWrap/>
            <w:vAlign w:val="center"/>
            <w:hideMark/>
          </w:tcPr>
          <w:p w14:paraId="7EA5DB28"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0.81</w:t>
            </w:r>
          </w:p>
        </w:tc>
        <w:tc>
          <w:tcPr>
            <w:tcW w:w="2296" w:type="dxa"/>
            <w:gridSpan w:val="3"/>
            <w:noWrap/>
            <w:vAlign w:val="center"/>
            <w:hideMark/>
          </w:tcPr>
          <w:p w14:paraId="3BD5838B"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1.4</w:t>
            </w:r>
          </w:p>
        </w:tc>
        <w:tc>
          <w:tcPr>
            <w:tcW w:w="736" w:type="dxa"/>
            <w:noWrap/>
            <w:vAlign w:val="center"/>
            <w:hideMark/>
          </w:tcPr>
          <w:p w14:paraId="092448A3"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3.62</w:t>
            </w:r>
          </w:p>
        </w:tc>
        <w:tc>
          <w:tcPr>
            <w:tcW w:w="757" w:type="dxa"/>
            <w:noWrap/>
            <w:vAlign w:val="center"/>
            <w:hideMark/>
          </w:tcPr>
          <w:p w14:paraId="50034039"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4.19</w:t>
            </w:r>
          </w:p>
        </w:tc>
        <w:tc>
          <w:tcPr>
            <w:tcW w:w="2544" w:type="dxa"/>
            <w:gridSpan w:val="3"/>
            <w:noWrap/>
            <w:vAlign w:val="center"/>
            <w:hideMark/>
          </w:tcPr>
          <w:p w14:paraId="27C3AE97" w14:textId="77777777" w:rsidR="0020568F" w:rsidRPr="002B02F9" w:rsidRDefault="0020568F" w:rsidP="005D019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7.25</w:t>
            </w:r>
          </w:p>
        </w:tc>
      </w:tr>
    </w:tbl>
    <w:p w14:paraId="28FF3549" w14:textId="5F4F8521" w:rsidR="0020568F" w:rsidRPr="002B02F9" w:rsidRDefault="0020568F" w:rsidP="005D0190">
      <w:pPr>
        <w:spacing w:line="276" w:lineRule="auto"/>
        <w:rPr>
          <w:rFonts w:ascii="Arial" w:hAnsi="Arial" w:cs="Arial"/>
          <w:sz w:val="20"/>
          <w:szCs w:val="20"/>
        </w:rPr>
      </w:pPr>
      <w:r w:rsidRPr="002B02F9">
        <w:rPr>
          <w:rFonts w:ascii="Arial" w:hAnsi="Arial" w:cs="Arial"/>
          <w:b/>
          <w:bCs/>
          <w:sz w:val="20"/>
          <w:szCs w:val="20"/>
        </w:rPr>
        <w:t>Table</w:t>
      </w:r>
      <w:r w:rsidRPr="002B02F9">
        <w:rPr>
          <w:rFonts w:ascii="Arial" w:hAnsi="Arial" w:cs="Arial"/>
          <w:b/>
          <w:bCs/>
          <w:sz w:val="20"/>
          <w:szCs w:val="20"/>
          <w:lang w:val="en-US"/>
        </w:rPr>
        <w:t xml:space="preserve"> </w:t>
      </w:r>
      <w:r w:rsidR="0087307C" w:rsidRPr="002B02F9">
        <w:rPr>
          <w:rFonts w:ascii="Arial" w:hAnsi="Arial" w:cs="Arial"/>
          <w:b/>
          <w:bCs/>
          <w:sz w:val="20"/>
          <w:szCs w:val="20"/>
          <w:lang w:val="en-US"/>
        </w:rPr>
        <w:t>5</w:t>
      </w:r>
      <w:r w:rsidRPr="002B02F9">
        <w:rPr>
          <w:rFonts w:ascii="Arial" w:hAnsi="Arial" w:cs="Arial"/>
          <w:b/>
          <w:bCs/>
          <w:sz w:val="20"/>
          <w:szCs w:val="20"/>
          <w:lang w:val="en-US"/>
        </w:rPr>
        <w:t xml:space="preserve"> </w:t>
      </w:r>
      <w:r w:rsidRPr="002B02F9">
        <w:rPr>
          <w:rFonts w:ascii="Arial" w:hAnsi="Arial" w:cs="Arial"/>
          <w:sz w:val="20"/>
          <w:szCs w:val="20"/>
        </w:rPr>
        <w:t xml:space="preserve">Effect of rooting media and IBA treatment on number of primary and secondary roots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at 90 </w:t>
      </w:r>
      <w:proofErr w:type="gramStart"/>
      <w:r w:rsidRPr="002B02F9">
        <w:rPr>
          <w:rFonts w:ascii="Arial" w:hAnsi="Arial" w:cs="Arial"/>
          <w:sz w:val="20"/>
          <w:szCs w:val="20"/>
        </w:rPr>
        <w:t>DAP</w:t>
      </w:r>
      <w:proofErr w:type="gramEnd"/>
      <w:r w:rsidRPr="002B02F9">
        <w:rPr>
          <w:rFonts w:ascii="Arial" w:hAnsi="Arial" w:cs="Arial"/>
          <w:sz w:val="20"/>
          <w:szCs w:val="20"/>
        </w:rPr>
        <w:t>.</w:t>
      </w:r>
    </w:p>
    <w:p w14:paraId="6BAF6C57" w14:textId="77777777" w:rsidR="002B02F9" w:rsidRDefault="002B02F9" w:rsidP="002B02F9">
      <w:pPr>
        <w:spacing w:line="276" w:lineRule="auto"/>
        <w:jc w:val="both"/>
        <w:rPr>
          <w:rFonts w:ascii="Times New Roman" w:hAnsi="Times New Roman" w:cs="Times New Roman"/>
          <w:b/>
          <w:bCs/>
          <w:sz w:val="24"/>
          <w:szCs w:val="24"/>
        </w:rPr>
      </w:pPr>
    </w:p>
    <w:tbl>
      <w:tblPr>
        <w:tblStyle w:val="PlainTable2"/>
        <w:tblpPr w:leftFromText="180" w:rightFromText="180" w:vertAnchor="text" w:horzAnchor="margin" w:tblpY="971"/>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85"/>
        <w:gridCol w:w="685"/>
        <w:gridCol w:w="685"/>
        <w:gridCol w:w="688"/>
        <w:gridCol w:w="747"/>
        <w:gridCol w:w="717"/>
        <w:gridCol w:w="717"/>
        <w:gridCol w:w="717"/>
        <w:gridCol w:w="717"/>
        <w:gridCol w:w="753"/>
      </w:tblGrid>
      <w:tr w:rsidR="002B02F9" w:rsidRPr="002B02F9" w14:paraId="3F2D49E4" w14:textId="77777777" w:rsidTr="002B02F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77" w:type="dxa"/>
            <w:gridSpan w:val="11"/>
            <w:tcBorders>
              <w:bottom w:val="none" w:sz="0" w:space="0" w:color="auto"/>
            </w:tcBorders>
            <w:noWrap/>
            <w:vAlign w:val="center"/>
            <w:hideMark/>
          </w:tcPr>
          <w:p w14:paraId="3EF7B025"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Length of longest root per cutting (cm)</w:t>
            </w:r>
          </w:p>
        </w:tc>
      </w:tr>
      <w:tr w:rsidR="002B02F9" w:rsidRPr="002B02F9" w14:paraId="2271C470"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vMerge w:val="restart"/>
            <w:noWrap/>
            <w:vAlign w:val="center"/>
            <w:hideMark/>
          </w:tcPr>
          <w:p w14:paraId="4778907C"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Rooting Media (M)</w:t>
            </w:r>
          </w:p>
        </w:tc>
        <w:tc>
          <w:tcPr>
            <w:tcW w:w="2743" w:type="dxa"/>
            <w:gridSpan w:val="4"/>
            <w:noWrap/>
            <w:vAlign w:val="center"/>
            <w:hideMark/>
          </w:tcPr>
          <w:p w14:paraId="774BCB0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AT 60 </w:t>
            </w:r>
            <w:proofErr w:type="gramStart"/>
            <w:r w:rsidRPr="002B02F9">
              <w:rPr>
                <w:rFonts w:ascii="Arial" w:eastAsia="Times New Roman" w:hAnsi="Arial" w:cs="Arial"/>
                <w:b/>
                <w:bCs/>
                <w:color w:val="000000" w:themeColor="text1"/>
                <w:kern w:val="0"/>
                <w:sz w:val="20"/>
                <w:szCs w:val="20"/>
                <w:lang w:eastAsia="en-IN"/>
                <w14:ligatures w14:val="none"/>
              </w:rPr>
              <w:t>DAP</w:t>
            </w:r>
            <w:proofErr w:type="gramEnd"/>
          </w:p>
        </w:tc>
        <w:tc>
          <w:tcPr>
            <w:tcW w:w="747" w:type="dxa"/>
            <w:vMerge w:val="restart"/>
            <w:noWrap/>
            <w:vAlign w:val="center"/>
            <w:hideMark/>
          </w:tcPr>
          <w:p w14:paraId="31B8873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0F27066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672D0EE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c>
          <w:tcPr>
            <w:tcW w:w="2868" w:type="dxa"/>
            <w:gridSpan w:val="4"/>
            <w:noWrap/>
            <w:vAlign w:val="center"/>
            <w:hideMark/>
          </w:tcPr>
          <w:p w14:paraId="46A0C4CD"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 xml:space="preserve">AT 90 </w:t>
            </w:r>
            <w:proofErr w:type="gramStart"/>
            <w:r w:rsidRPr="002B02F9">
              <w:rPr>
                <w:rFonts w:ascii="Arial" w:eastAsia="Times New Roman" w:hAnsi="Arial" w:cs="Arial"/>
                <w:b/>
                <w:bCs/>
                <w:color w:val="000000" w:themeColor="text1"/>
                <w:kern w:val="0"/>
                <w:sz w:val="20"/>
                <w:szCs w:val="20"/>
                <w:lang w:eastAsia="en-IN"/>
                <w14:ligatures w14:val="none"/>
              </w:rPr>
              <w:t>DAP</w:t>
            </w:r>
            <w:proofErr w:type="gramEnd"/>
          </w:p>
        </w:tc>
        <w:tc>
          <w:tcPr>
            <w:tcW w:w="753" w:type="dxa"/>
            <w:vMerge w:val="restart"/>
            <w:noWrap/>
            <w:vAlign w:val="center"/>
            <w:hideMark/>
          </w:tcPr>
          <w:p w14:paraId="20AAB80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5061B56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p w14:paraId="4F7A509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Mean</w:t>
            </w:r>
          </w:p>
        </w:tc>
      </w:tr>
      <w:tr w:rsidR="002B02F9" w:rsidRPr="002B02F9" w14:paraId="76EB9926"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vMerge/>
            <w:vAlign w:val="center"/>
            <w:hideMark/>
          </w:tcPr>
          <w:p w14:paraId="0189B689"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p>
        </w:tc>
        <w:tc>
          <w:tcPr>
            <w:tcW w:w="2743" w:type="dxa"/>
            <w:gridSpan w:val="4"/>
            <w:noWrap/>
            <w:vAlign w:val="center"/>
            <w:hideMark/>
          </w:tcPr>
          <w:p w14:paraId="1B2C61F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47" w:type="dxa"/>
            <w:vMerge/>
            <w:vAlign w:val="center"/>
            <w:hideMark/>
          </w:tcPr>
          <w:p w14:paraId="10B6089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2868" w:type="dxa"/>
            <w:gridSpan w:val="4"/>
            <w:noWrap/>
            <w:vAlign w:val="center"/>
            <w:hideMark/>
          </w:tcPr>
          <w:p w14:paraId="32732929"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IBA Treatment (G)</w:t>
            </w:r>
          </w:p>
        </w:tc>
        <w:tc>
          <w:tcPr>
            <w:tcW w:w="753" w:type="dxa"/>
            <w:vMerge/>
            <w:vAlign w:val="center"/>
            <w:hideMark/>
          </w:tcPr>
          <w:p w14:paraId="06FEC58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B02F9" w:rsidRPr="002B02F9" w14:paraId="5D96EEC4" w14:textId="77777777" w:rsidTr="002B02F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66" w:type="dxa"/>
            <w:vMerge/>
            <w:vAlign w:val="center"/>
            <w:hideMark/>
          </w:tcPr>
          <w:p w14:paraId="475F409A"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p>
        </w:tc>
        <w:tc>
          <w:tcPr>
            <w:tcW w:w="685" w:type="dxa"/>
            <w:noWrap/>
            <w:vAlign w:val="center"/>
            <w:hideMark/>
          </w:tcPr>
          <w:p w14:paraId="2C3E247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685" w:type="dxa"/>
            <w:noWrap/>
            <w:vAlign w:val="center"/>
            <w:hideMark/>
          </w:tcPr>
          <w:p w14:paraId="670AD9BA"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685" w:type="dxa"/>
            <w:noWrap/>
            <w:vAlign w:val="center"/>
            <w:hideMark/>
          </w:tcPr>
          <w:p w14:paraId="264F9A4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688" w:type="dxa"/>
            <w:noWrap/>
            <w:vAlign w:val="center"/>
            <w:hideMark/>
          </w:tcPr>
          <w:p w14:paraId="56DD4F6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47" w:type="dxa"/>
            <w:vMerge/>
            <w:vAlign w:val="center"/>
            <w:hideMark/>
          </w:tcPr>
          <w:p w14:paraId="033B3D0B"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c>
          <w:tcPr>
            <w:tcW w:w="717" w:type="dxa"/>
            <w:noWrap/>
            <w:vAlign w:val="center"/>
            <w:hideMark/>
          </w:tcPr>
          <w:p w14:paraId="12A18BB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0 PPM (G</w:t>
            </w:r>
            <w:r w:rsidRPr="002B02F9">
              <w:rPr>
                <w:rFonts w:ascii="Arial" w:eastAsia="Times New Roman" w:hAnsi="Arial" w:cs="Arial"/>
                <w:b/>
                <w:bCs/>
                <w:color w:val="000000" w:themeColor="text1"/>
                <w:kern w:val="0"/>
                <w:sz w:val="20"/>
                <w:szCs w:val="20"/>
                <w:vertAlign w:val="subscript"/>
                <w:lang w:eastAsia="en-IN"/>
                <w14:ligatures w14:val="none"/>
              </w:rPr>
              <w:t>1</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5A78BDB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1000 PPM (G</w:t>
            </w:r>
            <w:r w:rsidRPr="002B02F9">
              <w:rPr>
                <w:rFonts w:ascii="Arial" w:eastAsia="Times New Roman" w:hAnsi="Arial" w:cs="Arial"/>
                <w:b/>
                <w:bCs/>
                <w:color w:val="000000" w:themeColor="text1"/>
                <w:kern w:val="0"/>
                <w:sz w:val="20"/>
                <w:szCs w:val="20"/>
                <w:vertAlign w:val="subscript"/>
                <w:lang w:eastAsia="en-IN"/>
                <w14:ligatures w14:val="none"/>
              </w:rPr>
              <w:t>2</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65134A6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1500 PPM (G</w:t>
            </w:r>
            <w:r w:rsidRPr="002B02F9">
              <w:rPr>
                <w:rFonts w:ascii="Arial" w:eastAsia="Times New Roman" w:hAnsi="Arial" w:cs="Arial"/>
                <w:b/>
                <w:bCs/>
                <w:color w:val="000000" w:themeColor="text1"/>
                <w:kern w:val="0"/>
                <w:sz w:val="20"/>
                <w:szCs w:val="20"/>
                <w:vertAlign w:val="subscript"/>
                <w:lang w:eastAsia="en-IN"/>
                <w14:ligatures w14:val="none"/>
              </w:rPr>
              <w:t>3</w:t>
            </w:r>
            <w:r w:rsidRPr="002B02F9">
              <w:rPr>
                <w:rFonts w:ascii="Arial" w:eastAsia="Times New Roman" w:hAnsi="Arial" w:cs="Arial"/>
                <w:b/>
                <w:bCs/>
                <w:color w:val="000000" w:themeColor="text1"/>
                <w:kern w:val="0"/>
                <w:sz w:val="20"/>
                <w:szCs w:val="20"/>
                <w:lang w:eastAsia="en-IN"/>
                <w14:ligatures w14:val="none"/>
              </w:rPr>
              <w:t>)</w:t>
            </w:r>
          </w:p>
        </w:tc>
        <w:tc>
          <w:tcPr>
            <w:tcW w:w="717" w:type="dxa"/>
            <w:noWrap/>
            <w:vAlign w:val="center"/>
            <w:hideMark/>
          </w:tcPr>
          <w:p w14:paraId="301B5134"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2000 PPM (G</w:t>
            </w:r>
            <w:r w:rsidRPr="002B02F9">
              <w:rPr>
                <w:rFonts w:ascii="Arial" w:eastAsia="Times New Roman" w:hAnsi="Arial" w:cs="Arial"/>
                <w:b/>
                <w:bCs/>
                <w:color w:val="000000" w:themeColor="text1"/>
                <w:kern w:val="0"/>
                <w:sz w:val="20"/>
                <w:szCs w:val="20"/>
                <w:vertAlign w:val="subscript"/>
                <w:lang w:eastAsia="en-IN"/>
                <w14:ligatures w14:val="none"/>
              </w:rPr>
              <w:t>4</w:t>
            </w:r>
            <w:r w:rsidRPr="002B02F9">
              <w:rPr>
                <w:rFonts w:ascii="Arial" w:eastAsia="Times New Roman" w:hAnsi="Arial" w:cs="Arial"/>
                <w:b/>
                <w:bCs/>
                <w:color w:val="000000" w:themeColor="text1"/>
                <w:kern w:val="0"/>
                <w:sz w:val="20"/>
                <w:szCs w:val="20"/>
                <w:lang w:eastAsia="en-IN"/>
                <w14:ligatures w14:val="none"/>
              </w:rPr>
              <w:t>)</w:t>
            </w:r>
          </w:p>
        </w:tc>
        <w:tc>
          <w:tcPr>
            <w:tcW w:w="748" w:type="dxa"/>
            <w:vMerge/>
            <w:vAlign w:val="center"/>
            <w:hideMark/>
          </w:tcPr>
          <w:p w14:paraId="2306F94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p>
        </w:tc>
      </w:tr>
      <w:tr w:rsidR="002B02F9" w:rsidRPr="002B02F9" w14:paraId="6C8BEDEC" w14:textId="77777777" w:rsidTr="002B02F9">
        <w:trPr>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0252AF59"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Vermicompost (M</w:t>
            </w:r>
            <w:r w:rsidRPr="002B02F9">
              <w:rPr>
                <w:rFonts w:ascii="Arial" w:eastAsia="Times New Roman" w:hAnsi="Arial" w:cs="Arial"/>
                <w:color w:val="000000" w:themeColor="text1"/>
                <w:kern w:val="0"/>
                <w:sz w:val="20"/>
                <w:szCs w:val="20"/>
                <w:vertAlign w:val="subscript"/>
                <w:lang w:eastAsia="en-IN"/>
                <w14:ligatures w14:val="none"/>
              </w:rPr>
              <w:t>1</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391D8A27"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1.17</w:t>
            </w:r>
          </w:p>
        </w:tc>
        <w:tc>
          <w:tcPr>
            <w:tcW w:w="685" w:type="dxa"/>
            <w:noWrap/>
            <w:vAlign w:val="center"/>
            <w:hideMark/>
          </w:tcPr>
          <w:p w14:paraId="3D49C31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4.67</w:t>
            </w:r>
          </w:p>
        </w:tc>
        <w:tc>
          <w:tcPr>
            <w:tcW w:w="685" w:type="dxa"/>
            <w:noWrap/>
            <w:vAlign w:val="center"/>
            <w:hideMark/>
          </w:tcPr>
          <w:p w14:paraId="51CD96A1"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4.70</w:t>
            </w:r>
          </w:p>
        </w:tc>
        <w:tc>
          <w:tcPr>
            <w:tcW w:w="688" w:type="dxa"/>
            <w:noWrap/>
            <w:vAlign w:val="center"/>
            <w:hideMark/>
          </w:tcPr>
          <w:p w14:paraId="5718797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5.33</w:t>
            </w:r>
          </w:p>
        </w:tc>
        <w:tc>
          <w:tcPr>
            <w:tcW w:w="747" w:type="dxa"/>
            <w:noWrap/>
            <w:vAlign w:val="center"/>
            <w:hideMark/>
          </w:tcPr>
          <w:p w14:paraId="60F81E3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3.97</w:t>
            </w:r>
          </w:p>
        </w:tc>
        <w:tc>
          <w:tcPr>
            <w:tcW w:w="717" w:type="dxa"/>
            <w:noWrap/>
            <w:vAlign w:val="center"/>
            <w:hideMark/>
          </w:tcPr>
          <w:p w14:paraId="29AD3F3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13.33</w:t>
            </w:r>
          </w:p>
        </w:tc>
        <w:tc>
          <w:tcPr>
            <w:tcW w:w="717" w:type="dxa"/>
            <w:noWrap/>
            <w:vAlign w:val="center"/>
            <w:hideMark/>
          </w:tcPr>
          <w:p w14:paraId="765DE847"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22.00</w:t>
            </w:r>
          </w:p>
        </w:tc>
        <w:tc>
          <w:tcPr>
            <w:tcW w:w="717" w:type="dxa"/>
            <w:noWrap/>
            <w:vAlign w:val="center"/>
            <w:hideMark/>
          </w:tcPr>
          <w:p w14:paraId="0BA4F5D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23.33</w:t>
            </w:r>
          </w:p>
        </w:tc>
        <w:tc>
          <w:tcPr>
            <w:tcW w:w="717" w:type="dxa"/>
            <w:noWrap/>
            <w:vAlign w:val="center"/>
            <w:hideMark/>
          </w:tcPr>
          <w:p w14:paraId="5276F68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25.83</w:t>
            </w:r>
          </w:p>
        </w:tc>
        <w:tc>
          <w:tcPr>
            <w:tcW w:w="748" w:type="dxa"/>
            <w:noWrap/>
            <w:vAlign w:val="center"/>
            <w:hideMark/>
          </w:tcPr>
          <w:p w14:paraId="38DC0A82"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21.12</w:t>
            </w:r>
          </w:p>
        </w:tc>
      </w:tr>
      <w:tr w:rsidR="002B02F9" w:rsidRPr="002B02F9" w14:paraId="19ACC7D6" w14:textId="77777777" w:rsidTr="002B02F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4F3368A0"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(M</w:t>
            </w:r>
            <w:r w:rsidRPr="002B02F9">
              <w:rPr>
                <w:rFonts w:ascii="Arial" w:eastAsia="Times New Roman" w:hAnsi="Arial" w:cs="Arial"/>
                <w:color w:val="000000" w:themeColor="text1"/>
                <w:kern w:val="0"/>
                <w:sz w:val="20"/>
                <w:szCs w:val="20"/>
                <w:vertAlign w:val="subscript"/>
                <w:lang w:eastAsia="en-IN"/>
                <w14:ligatures w14:val="none"/>
              </w:rPr>
              <w:t>2</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02419F9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3.83</w:t>
            </w:r>
          </w:p>
        </w:tc>
        <w:tc>
          <w:tcPr>
            <w:tcW w:w="685" w:type="dxa"/>
            <w:noWrap/>
            <w:vAlign w:val="center"/>
            <w:hideMark/>
          </w:tcPr>
          <w:p w14:paraId="2A931E3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4.33</w:t>
            </w:r>
          </w:p>
        </w:tc>
        <w:tc>
          <w:tcPr>
            <w:tcW w:w="685" w:type="dxa"/>
            <w:noWrap/>
            <w:vAlign w:val="center"/>
            <w:hideMark/>
          </w:tcPr>
          <w:p w14:paraId="68FA378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5.00</w:t>
            </w:r>
          </w:p>
        </w:tc>
        <w:tc>
          <w:tcPr>
            <w:tcW w:w="688" w:type="dxa"/>
            <w:noWrap/>
            <w:vAlign w:val="center"/>
            <w:hideMark/>
          </w:tcPr>
          <w:p w14:paraId="6232602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6.67</w:t>
            </w:r>
          </w:p>
        </w:tc>
        <w:tc>
          <w:tcPr>
            <w:tcW w:w="747" w:type="dxa"/>
            <w:noWrap/>
            <w:vAlign w:val="center"/>
            <w:hideMark/>
          </w:tcPr>
          <w:p w14:paraId="419FDE5C"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4.96</w:t>
            </w:r>
          </w:p>
        </w:tc>
        <w:tc>
          <w:tcPr>
            <w:tcW w:w="717" w:type="dxa"/>
            <w:noWrap/>
            <w:vAlign w:val="center"/>
            <w:hideMark/>
          </w:tcPr>
          <w:p w14:paraId="2D22449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16.67</w:t>
            </w:r>
          </w:p>
        </w:tc>
        <w:tc>
          <w:tcPr>
            <w:tcW w:w="717" w:type="dxa"/>
            <w:noWrap/>
            <w:vAlign w:val="center"/>
            <w:hideMark/>
          </w:tcPr>
          <w:p w14:paraId="16AF2908"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21.67</w:t>
            </w:r>
          </w:p>
        </w:tc>
        <w:tc>
          <w:tcPr>
            <w:tcW w:w="717" w:type="dxa"/>
            <w:noWrap/>
            <w:vAlign w:val="center"/>
            <w:hideMark/>
          </w:tcPr>
          <w:p w14:paraId="58C5E442"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26.00</w:t>
            </w:r>
          </w:p>
        </w:tc>
        <w:tc>
          <w:tcPr>
            <w:tcW w:w="717" w:type="dxa"/>
            <w:noWrap/>
            <w:vAlign w:val="center"/>
            <w:hideMark/>
          </w:tcPr>
          <w:p w14:paraId="3AD29556"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29.67</w:t>
            </w:r>
          </w:p>
        </w:tc>
        <w:tc>
          <w:tcPr>
            <w:tcW w:w="748" w:type="dxa"/>
            <w:noWrap/>
            <w:vAlign w:val="center"/>
            <w:hideMark/>
          </w:tcPr>
          <w:p w14:paraId="3BB7EA8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23.50</w:t>
            </w:r>
          </w:p>
        </w:tc>
      </w:tr>
      <w:tr w:rsidR="002B02F9" w:rsidRPr="002B02F9" w14:paraId="02A23CD4" w14:textId="77777777" w:rsidTr="002B02F9">
        <w:trPr>
          <w:trHeight w:val="297"/>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147B1637"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Sand+ Vermiculite + Vermicompost (M</w:t>
            </w:r>
            <w:r w:rsidRPr="002B02F9">
              <w:rPr>
                <w:rFonts w:ascii="Arial" w:eastAsia="Times New Roman" w:hAnsi="Arial" w:cs="Arial"/>
                <w:color w:val="000000" w:themeColor="text1"/>
                <w:kern w:val="0"/>
                <w:sz w:val="20"/>
                <w:szCs w:val="20"/>
                <w:vertAlign w:val="subscript"/>
                <w:lang w:eastAsia="en-IN"/>
                <w14:ligatures w14:val="none"/>
              </w:rPr>
              <w:t>3</w:t>
            </w:r>
            <w:r w:rsidRPr="002B02F9">
              <w:rPr>
                <w:rFonts w:ascii="Arial" w:eastAsia="Times New Roman" w:hAnsi="Arial" w:cs="Arial"/>
                <w:color w:val="000000" w:themeColor="text1"/>
                <w:kern w:val="0"/>
                <w:sz w:val="20"/>
                <w:szCs w:val="20"/>
                <w:lang w:eastAsia="en-IN"/>
                <w14:ligatures w14:val="none"/>
              </w:rPr>
              <w:t>)</w:t>
            </w:r>
          </w:p>
        </w:tc>
        <w:tc>
          <w:tcPr>
            <w:tcW w:w="685" w:type="dxa"/>
            <w:noWrap/>
            <w:vAlign w:val="center"/>
            <w:hideMark/>
          </w:tcPr>
          <w:p w14:paraId="510FFBA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1.67</w:t>
            </w:r>
          </w:p>
        </w:tc>
        <w:tc>
          <w:tcPr>
            <w:tcW w:w="685" w:type="dxa"/>
            <w:noWrap/>
            <w:vAlign w:val="center"/>
            <w:hideMark/>
          </w:tcPr>
          <w:p w14:paraId="6D36B818"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5.33</w:t>
            </w:r>
          </w:p>
        </w:tc>
        <w:tc>
          <w:tcPr>
            <w:tcW w:w="685" w:type="dxa"/>
            <w:noWrap/>
            <w:vAlign w:val="center"/>
            <w:hideMark/>
          </w:tcPr>
          <w:p w14:paraId="67415CE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5.50</w:t>
            </w:r>
          </w:p>
        </w:tc>
        <w:tc>
          <w:tcPr>
            <w:tcW w:w="688" w:type="dxa"/>
            <w:noWrap/>
            <w:vAlign w:val="center"/>
            <w:hideMark/>
          </w:tcPr>
          <w:p w14:paraId="519661E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5.67</w:t>
            </w:r>
          </w:p>
        </w:tc>
        <w:tc>
          <w:tcPr>
            <w:tcW w:w="747" w:type="dxa"/>
            <w:noWrap/>
            <w:vAlign w:val="center"/>
            <w:hideMark/>
          </w:tcPr>
          <w:p w14:paraId="1138015E"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4.54</w:t>
            </w:r>
          </w:p>
        </w:tc>
        <w:tc>
          <w:tcPr>
            <w:tcW w:w="717" w:type="dxa"/>
            <w:noWrap/>
            <w:vAlign w:val="center"/>
            <w:hideMark/>
          </w:tcPr>
          <w:p w14:paraId="2C992A13"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16.83</w:t>
            </w:r>
          </w:p>
        </w:tc>
        <w:tc>
          <w:tcPr>
            <w:tcW w:w="717" w:type="dxa"/>
            <w:noWrap/>
            <w:vAlign w:val="center"/>
            <w:hideMark/>
          </w:tcPr>
          <w:p w14:paraId="0AEFD3D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18.17</w:t>
            </w:r>
          </w:p>
        </w:tc>
        <w:tc>
          <w:tcPr>
            <w:tcW w:w="717" w:type="dxa"/>
            <w:noWrap/>
            <w:vAlign w:val="center"/>
            <w:hideMark/>
          </w:tcPr>
          <w:p w14:paraId="2D9F0779"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23.17</w:t>
            </w:r>
          </w:p>
        </w:tc>
        <w:tc>
          <w:tcPr>
            <w:tcW w:w="717" w:type="dxa"/>
            <w:noWrap/>
            <w:vAlign w:val="center"/>
            <w:hideMark/>
          </w:tcPr>
          <w:p w14:paraId="48EE660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27.50</w:t>
            </w:r>
          </w:p>
        </w:tc>
        <w:tc>
          <w:tcPr>
            <w:tcW w:w="748" w:type="dxa"/>
            <w:noWrap/>
            <w:vAlign w:val="center"/>
            <w:hideMark/>
          </w:tcPr>
          <w:p w14:paraId="7CCDEA4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21.42</w:t>
            </w:r>
          </w:p>
        </w:tc>
      </w:tr>
      <w:tr w:rsidR="002B02F9" w:rsidRPr="002B02F9" w14:paraId="7A16E559"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250454FA"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Mean</w:t>
            </w:r>
          </w:p>
        </w:tc>
        <w:tc>
          <w:tcPr>
            <w:tcW w:w="685" w:type="dxa"/>
            <w:noWrap/>
            <w:vAlign w:val="center"/>
            <w:hideMark/>
          </w:tcPr>
          <w:p w14:paraId="323CCAF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2.22</w:t>
            </w:r>
          </w:p>
        </w:tc>
        <w:tc>
          <w:tcPr>
            <w:tcW w:w="685" w:type="dxa"/>
            <w:noWrap/>
            <w:vAlign w:val="center"/>
            <w:hideMark/>
          </w:tcPr>
          <w:p w14:paraId="614470C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4.78</w:t>
            </w:r>
          </w:p>
        </w:tc>
        <w:tc>
          <w:tcPr>
            <w:tcW w:w="685" w:type="dxa"/>
            <w:noWrap/>
            <w:vAlign w:val="center"/>
            <w:hideMark/>
          </w:tcPr>
          <w:p w14:paraId="19A666F8"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5.07</w:t>
            </w:r>
          </w:p>
        </w:tc>
        <w:tc>
          <w:tcPr>
            <w:tcW w:w="688" w:type="dxa"/>
            <w:noWrap/>
            <w:vAlign w:val="center"/>
            <w:hideMark/>
          </w:tcPr>
          <w:p w14:paraId="1FC8FD2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5.89</w:t>
            </w:r>
          </w:p>
        </w:tc>
        <w:tc>
          <w:tcPr>
            <w:tcW w:w="747" w:type="dxa"/>
            <w:noWrap/>
            <w:vAlign w:val="center"/>
            <w:hideMark/>
          </w:tcPr>
          <w:p w14:paraId="7CA5935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4.49</w:t>
            </w:r>
          </w:p>
        </w:tc>
        <w:tc>
          <w:tcPr>
            <w:tcW w:w="717" w:type="dxa"/>
            <w:noWrap/>
            <w:vAlign w:val="center"/>
            <w:hideMark/>
          </w:tcPr>
          <w:p w14:paraId="771180CF"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15.61</w:t>
            </w:r>
          </w:p>
        </w:tc>
        <w:tc>
          <w:tcPr>
            <w:tcW w:w="717" w:type="dxa"/>
            <w:noWrap/>
            <w:vAlign w:val="center"/>
            <w:hideMark/>
          </w:tcPr>
          <w:p w14:paraId="75878519"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20.61</w:t>
            </w:r>
          </w:p>
        </w:tc>
        <w:tc>
          <w:tcPr>
            <w:tcW w:w="717" w:type="dxa"/>
            <w:noWrap/>
            <w:vAlign w:val="center"/>
            <w:hideMark/>
          </w:tcPr>
          <w:p w14:paraId="6B0A12AE"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24.17</w:t>
            </w:r>
          </w:p>
        </w:tc>
        <w:tc>
          <w:tcPr>
            <w:tcW w:w="717" w:type="dxa"/>
            <w:noWrap/>
            <w:vAlign w:val="center"/>
            <w:hideMark/>
          </w:tcPr>
          <w:p w14:paraId="7C7B8E20"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kern w:val="0"/>
                <w:sz w:val="20"/>
                <w:szCs w:val="20"/>
                <w:lang w:eastAsia="en-IN"/>
                <w14:ligatures w14:val="none"/>
              </w:rPr>
            </w:pPr>
            <w:r w:rsidRPr="002B02F9">
              <w:rPr>
                <w:rFonts w:ascii="Arial" w:eastAsia="Times New Roman" w:hAnsi="Arial" w:cs="Arial"/>
                <w:b/>
                <w:bCs/>
                <w:color w:val="000000" w:themeColor="text1"/>
                <w:kern w:val="0"/>
                <w:sz w:val="20"/>
                <w:szCs w:val="20"/>
                <w:lang w:eastAsia="en-IN"/>
                <w14:ligatures w14:val="none"/>
              </w:rPr>
              <w:t>27.67</w:t>
            </w:r>
          </w:p>
        </w:tc>
        <w:tc>
          <w:tcPr>
            <w:tcW w:w="748" w:type="dxa"/>
            <w:noWrap/>
            <w:vAlign w:val="center"/>
            <w:hideMark/>
          </w:tcPr>
          <w:p w14:paraId="2B0857A3"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22.01</w:t>
            </w:r>
          </w:p>
        </w:tc>
      </w:tr>
      <w:tr w:rsidR="002B02F9" w:rsidRPr="002B02F9" w14:paraId="016B6D62"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5B697F11"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Factor</w:t>
            </w:r>
          </w:p>
        </w:tc>
        <w:tc>
          <w:tcPr>
            <w:tcW w:w="685" w:type="dxa"/>
            <w:noWrap/>
            <w:vAlign w:val="center"/>
            <w:hideMark/>
          </w:tcPr>
          <w:p w14:paraId="793C933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685" w:type="dxa"/>
            <w:noWrap/>
            <w:vAlign w:val="center"/>
            <w:hideMark/>
          </w:tcPr>
          <w:p w14:paraId="23E81E8A"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2120" w:type="dxa"/>
            <w:gridSpan w:val="3"/>
            <w:noWrap/>
            <w:vAlign w:val="center"/>
            <w:hideMark/>
          </w:tcPr>
          <w:p w14:paraId="1AE8564C"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w:t>
            </w:r>
          </w:p>
        </w:tc>
        <w:tc>
          <w:tcPr>
            <w:tcW w:w="717" w:type="dxa"/>
            <w:noWrap/>
            <w:vAlign w:val="center"/>
            <w:hideMark/>
          </w:tcPr>
          <w:p w14:paraId="5E4363FF"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w:t>
            </w:r>
          </w:p>
        </w:tc>
        <w:tc>
          <w:tcPr>
            <w:tcW w:w="717" w:type="dxa"/>
            <w:noWrap/>
            <w:vAlign w:val="center"/>
            <w:hideMark/>
          </w:tcPr>
          <w:p w14:paraId="5A6004E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G</w:t>
            </w:r>
          </w:p>
        </w:tc>
        <w:tc>
          <w:tcPr>
            <w:tcW w:w="2182" w:type="dxa"/>
            <w:gridSpan w:val="3"/>
            <w:noWrap/>
            <w:vAlign w:val="center"/>
            <w:hideMark/>
          </w:tcPr>
          <w:p w14:paraId="30A9E964"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M x G</w:t>
            </w:r>
          </w:p>
        </w:tc>
      </w:tr>
      <w:tr w:rsidR="002B02F9" w:rsidRPr="002B02F9" w14:paraId="7356AA99" w14:textId="77777777" w:rsidTr="002B02F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11500A18"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Sem</w:t>
            </w:r>
            <w:r w:rsidRPr="002B02F9">
              <w:rPr>
                <w:rFonts w:ascii="Arial" w:eastAsia="Times New Roman" w:hAnsi="Arial" w:cs="Arial"/>
                <w:color w:val="000000" w:themeColor="text1"/>
                <w:kern w:val="0"/>
                <w:sz w:val="20"/>
                <w:szCs w:val="20"/>
                <w:u w:val="single"/>
                <w:lang w:eastAsia="en-IN"/>
                <w14:ligatures w14:val="none"/>
              </w:rPr>
              <w:t>+</w:t>
            </w:r>
          </w:p>
        </w:tc>
        <w:tc>
          <w:tcPr>
            <w:tcW w:w="685" w:type="dxa"/>
            <w:noWrap/>
            <w:vAlign w:val="center"/>
            <w:hideMark/>
          </w:tcPr>
          <w:p w14:paraId="469FE4C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0.10</w:t>
            </w:r>
          </w:p>
        </w:tc>
        <w:tc>
          <w:tcPr>
            <w:tcW w:w="685" w:type="dxa"/>
            <w:noWrap/>
            <w:vAlign w:val="center"/>
            <w:hideMark/>
          </w:tcPr>
          <w:p w14:paraId="7F17A1A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0.12</w:t>
            </w:r>
          </w:p>
        </w:tc>
        <w:tc>
          <w:tcPr>
            <w:tcW w:w="2120" w:type="dxa"/>
            <w:gridSpan w:val="3"/>
            <w:noWrap/>
            <w:vAlign w:val="center"/>
            <w:hideMark/>
          </w:tcPr>
          <w:p w14:paraId="48A09A0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0.21</w:t>
            </w:r>
          </w:p>
        </w:tc>
        <w:tc>
          <w:tcPr>
            <w:tcW w:w="717" w:type="dxa"/>
            <w:noWrap/>
            <w:vAlign w:val="center"/>
          </w:tcPr>
          <w:p w14:paraId="54418775"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0.57</w:t>
            </w:r>
          </w:p>
        </w:tc>
        <w:tc>
          <w:tcPr>
            <w:tcW w:w="717" w:type="dxa"/>
            <w:noWrap/>
            <w:vAlign w:val="center"/>
          </w:tcPr>
          <w:p w14:paraId="70F684F1"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0.66</w:t>
            </w:r>
          </w:p>
        </w:tc>
        <w:tc>
          <w:tcPr>
            <w:tcW w:w="2182" w:type="dxa"/>
            <w:gridSpan w:val="3"/>
            <w:noWrap/>
            <w:vAlign w:val="center"/>
          </w:tcPr>
          <w:p w14:paraId="3C5711E7" w14:textId="77777777" w:rsidR="002B02F9" w:rsidRPr="002B02F9" w:rsidRDefault="002B02F9" w:rsidP="002B02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1.14</w:t>
            </w:r>
          </w:p>
        </w:tc>
      </w:tr>
      <w:tr w:rsidR="002B02F9" w:rsidRPr="002B02F9" w14:paraId="444C16AA" w14:textId="77777777" w:rsidTr="002B02F9">
        <w:trPr>
          <w:trHeight w:val="273"/>
        </w:trPr>
        <w:tc>
          <w:tcPr>
            <w:cnfStyle w:val="001000000000" w:firstRow="0" w:lastRow="0" w:firstColumn="1" w:lastColumn="0" w:oddVBand="0" w:evenVBand="0" w:oddHBand="0" w:evenHBand="0" w:firstRowFirstColumn="0" w:firstRowLastColumn="0" w:lastRowFirstColumn="0" w:lastRowLastColumn="0"/>
            <w:tcW w:w="1666" w:type="dxa"/>
            <w:noWrap/>
            <w:vAlign w:val="center"/>
            <w:hideMark/>
          </w:tcPr>
          <w:p w14:paraId="5EDBAE0F" w14:textId="77777777" w:rsidR="002B02F9" w:rsidRPr="002B02F9" w:rsidRDefault="002B02F9" w:rsidP="002B02F9">
            <w:pPr>
              <w:spacing w:line="276" w:lineRule="auto"/>
              <w:jc w:val="center"/>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CD at 5%</w:t>
            </w:r>
          </w:p>
        </w:tc>
        <w:tc>
          <w:tcPr>
            <w:tcW w:w="685" w:type="dxa"/>
            <w:noWrap/>
            <w:vAlign w:val="center"/>
            <w:hideMark/>
          </w:tcPr>
          <w:p w14:paraId="2CB166AB"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0.21</w:t>
            </w:r>
          </w:p>
        </w:tc>
        <w:tc>
          <w:tcPr>
            <w:tcW w:w="685" w:type="dxa"/>
            <w:noWrap/>
            <w:vAlign w:val="center"/>
            <w:hideMark/>
          </w:tcPr>
          <w:p w14:paraId="2CBC7335"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0.25</w:t>
            </w:r>
          </w:p>
        </w:tc>
        <w:tc>
          <w:tcPr>
            <w:tcW w:w="2120" w:type="dxa"/>
            <w:gridSpan w:val="3"/>
            <w:noWrap/>
            <w:vAlign w:val="center"/>
            <w:hideMark/>
          </w:tcPr>
          <w:p w14:paraId="549C7DDD"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0.43</w:t>
            </w:r>
          </w:p>
        </w:tc>
        <w:tc>
          <w:tcPr>
            <w:tcW w:w="717" w:type="dxa"/>
            <w:noWrap/>
            <w:vAlign w:val="center"/>
          </w:tcPr>
          <w:p w14:paraId="12955750"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1.18</w:t>
            </w:r>
          </w:p>
        </w:tc>
        <w:tc>
          <w:tcPr>
            <w:tcW w:w="717" w:type="dxa"/>
            <w:noWrap/>
            <w:vAlign w:val="center"/>
          </w:tcPr>
          <w:p w14:paraId="06434B3E"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1.36</w:t>
            </w:r>
          </w:p>
        </w:tc>
        <w:tc>
          <w:tcPr>
            <w:tcW w:w="2182" w:type="dxa"/>
            <w:gridSpan w:val="3"/>
            <w:noWrap/>
            <w:vAlign w:val="center"/>
          </w:tcPr>
          <w:p w14:paraId="5EAA3F52" w14:textId="77777777" w:rsidR="002B02F9" w:rsidRPr="002B02F9" w:rsidRDefault="002B02F9" w:rsidP="002B02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kern w:val="0"/>
                <w:sz w:val="20"/>
                <w:szCs w:val="20"/>
                <w:lang w:eastAsia="en-IN"/>
                <w14:ligatures w14:val="none"/>
              </w:rPr>
            </w:pPr>
            <w:r w:rsidRPr="002B02F9">
              <w:rPr>
                <w:rFonts w:ascii="Arial" w:eastAsia="Times New Roman" w:hAnsi="Arial" w:cs="Arial"/>
                <w:color w:val="000000" w:themeColor="text1"/>
                <w:kern w:val="0"/>
                <w:sz w:val="20"/>
                <w:szCs w:val="20"/>
                <w:lang w:eastAsia="en-IN"/>
                <w14:ligatures w14:val="none"/>
              </w:rPr>
              <w:t>2.37</w:t>
            </w:r>
          </w:p>
        </w:tc>
      </w:tr>
    </w:tbl>
    <w:p w14:paraId="12F24D57" w14:textId="5C6622E2" w:rsidR="00E8194C" w:rsidRPr="002B02F9" w:rsidRDefault="002B02F9" w:rsidP="002B02F9">
      <w:pPr>
        <w:spacing w:line="276" w:lineRule="auto"/>
        <w:jc w:val="both"/>
        <w:rPr>
          <w:rFonts w:ascii="Arial" w:hAnsi="Arial" w:cs="Arial"/>
          <w:sz w:val="20"/>
          <w:szCs w:val="20"/>
        </w:rPr>
      </w:pPr>
      <w:r w:rsidRPr="002B02F9">
        <w:rPr>
          <w:rFonts w:ascii="Arial" w:hAnsi="Arial" w:cs="Arial"/>
          <w:b/>
          <w:bCs/>
          <w:sz w:val="20"/>
          <w:szCs w:val="20"/>
        </w:rPr>
        <w:t>Table</w:t>
      </w:r>
      <w:r w:rsidRPr="002B02F9">
        <w:rPr>
          <w:rFonts w:ascii="Arial" w:hAnsi="Arial" w:cs="Arial"/>
          <w:b/>
          <w:bCs/>
          <w:sz w:val="20"/>
          <w:szCs w:val="20"/>
          <w:lang w:val="en-US"/>
        </w:rPr>
        <w:t xml:space="preserve"> 6 </w:t>
      </w:r>
      <w:r w:rsidRPr="002B02F9">
        <w:rPr>
          <w:rFonts w:ascii="Arial" w:hAnsi="Arial" w:cs="Arial"/>
          <w:sz w:val="20"/>
          <w:szCs w:val="20"/>
        </w:rPr>
        <w:t xml:space="preserve">Effect of rooting media and IBA treatment on length of longest root per cutting of hardwood cuttings in pomegranate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at 60 and 90 DAP</w:t>
      </w:r>
      <w:r w:rsidR="00E8194C">
        <w:rPr>
          <w:rFonts w:ascii="Times New Roman" w:hAnsi="Times New Roman" w:cs="Times New Roman"/>
          <w:sz w:val="24"/>
          <w:szCs w:val="24"/>
        </w:rPr>
        <w:br w:type="page"/>
      </w:r>
    </w:p>
    <w:p w14:paraId="57FF8F35" w14:textId="77777777" w:rsidR="00A91B05" w:rsidRDefault="00A91B05" w:rsidP="005D0190">
      <w:pPr>
        <w:spacing w:line="276" w:lineRule="auto"/>
        <w:rPr>
          <w:rFonts w:ascii="Times New Roman" w:hAnsi="Times New Roman" w:cs="Times New Roman"/>
          <w:sz w:val="24"/>
          <w:szCs w:val="24"/>
        </w:rPr>
      </w:pPr>
    </w:p>
    <w:p w14:paraId="1BC997BC" w14:textId="4140405D" w:rsidR="00A91B05" w:rsidRDefault="00F738D8" w:rsidP="00F738D8">
      <w:pPr>
        <w:spacing w:line="276" w:lineRule="auto"/>
        <w:jc w:val="center"/>
        <w:rPr>
          <w:rFonts w:ascii="Times New Roman" w:hAnsi="Times New Roman" w:cs="Times New Roman"/>
          <w:sz w:val="24"/>
          <w:szCs w:val="24"/>
        </w:rPr>
      </w:pPr>
      <w:r>
        <w:rPr>
          <w:noProof/>
        </w:rPr>
        <w:drawing>
          <wp:inline distT="0" distB="0" distL="0" distR="0" wp14:anchorId="58F20BE9" wp14:editId="58BFBCD0">
            <wp:extent cx="4886325" cy="5734050"/>
            <wp:effectExtent l="0" t="0" r="9525" b="0"/>
            <wp:docPr id="155712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20502" name=""/>
                    <pic:cNvPicPr/>
                  </pic:nvPicPr>
                  <pic:blipFill>
                    <a:blip r:embed="rId14"/>
                    <a:stretch>
                      <a:fillRect/>
                    </a:stretch>
                  </pic:blipFill>
                  <pic:spPr>
                    <a:xfrm>
                      <a:off x="0" y="0"/>
                      <a:ext cx="4886325" cy="5734050"/>
                    </a:xfrm>
                    <a:prstGeom prst="rect">
                      <a:avLst/>
                    </a:prstGeom>
                  </pic:spPr>
                </pic:pic>
              </a:graphicData>
            </a:graphic>
          </wp:inline>
        </w:drawing>
      </w:r>
    </w:p>
    <w:p w14:paraId="2606AE5A" w14:textId="1C956F66" w:rsidR="00C44A07" w:rsidRDefault="00ED6452" w:rsidP="0051145F">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Fig 1. </w:t>
      </w:r>
      <w:r w:rsidR="00C746B1" w:rsidRPr="00C746B1">
        <w:rPr>
          <w:rFonts w:ascii="Times New Roman" w:hAnsi="Times New Roman" w:cs="Times New Roman"/>
          <w:sz w:val="24"/>
          <w:szCs w:val="24"/>
        </w:rPr>
        <w:t>Effect of rooting media and IBA treatment on length of longest root per cutting of hardwood</w:t>
      </w:r>
    </w:p>
    <w:p w14:paraId="75D27078" w14:textId="77777777" w:rsidR="00C44A07" w:rsidRDefault="00C44A07" w:rsidP="0051145F">
      <w:pPr>
        <w:spacing w:line="360" w:lineRule="auto"/>
        <w:ind w:hanging="720"/>
        <w:jc w:val="both"/>
        <w:rPr>
          <w:rFonts w:ascii="Times New Roman" w:hAnsi="Times New Roman" w:cs="Times New Roman"/>
          <w:sz w:val="24"/>
          <w:szCs w:val="24"/>
        </w:rPr>
      </w:pPr>
    </w:p>
    <w:p w14:paraId="7A5F87E5" w14:textId="77777777" w:rsidR="00C44A07" w:rsidRDefault="00C44A07" w:rsidP="0051145F">
      <w:pPr>
        <w:spacing w:line="360" w:lineRule="auto"/>
        <w:ind w:hanging="720"/>
        <w:jc w:val="both"/>
        <w:rPr>
          <w:rFonts w:ascii="Times New Roman" w:hAnsi="Times New Roman" w:cs="Times New Roman"/>
          <w:sz w:val="24"/>
          <w:szCs w:val="24"/>
        </w:rPr>
      </w:pPr>
    </w:p>
    <w:p w14:paraId="42CBDBDC" w14:textId="77777777" w:rsidR="008F68F9" w:rsidRDefault="008F68F9" w:rsidP="0051145F">
      <w:pPr>
        <w:spacing w:line="360" w:lineRule="auto"/>
        <w:ind w:hanging="720"/>
        <w:jc w:val="both"/>
        <w:rPr>
          <w:rFonts w:ascii="Times New Roman" w:hAnsi="Times New Roman" w:cs="Times New Roman"/>
          <w:sz w:val="24"/>
          <w:szCs w:val="24"/>
        </w:rPr>
      </w:pPr>
    </w:p>
    <w:p w14:paraId="2D5794DC" w14:textId="77777777" w:rsidR="00440721" w:rsidRDefault="00440721" w:rsidP="00440721">
      <w:pPr>
        <w:spacing w:line="360" w:lineRule="auto"/>
        <w:ind w:left="862" w:hanging="720"/>
        <w:jc w:val="both"/>
        <w:rPr>
          <w:rFonts w:ascii="Times New Roman" w:hAnsi="Times New Roman" w:cs="Times New Roman"/>
          <w:b/>
          <w:bCs/>
          <w:sz w:val="24"/>
          <w:szCs w:val="24"/>
        </w:rPr>
        <w:sectPr w:rsidR="00440721" w:rsidSect="0020568F">
          <w:pgSz w:w="11906" w:h="16838"/>
          <w:pgMar w:top="1440" w:right="1440" w:bottom="1440" w:left="1440" w:header="709" w:footer="709" w:gutter="0"/>
          <w:cols w:space="708"/>
          <w:docGrid w:linePitch="360"/>
        </w:sectPr>
      </w:pPr>
    </w:p>
    <w:p w14:paraId="1D5AB3B1" w14:textId="3BAC3F0E" w:rsidR="008F68F9" w:rsidRPr="002B02F9" w:rsidRDefault="008F68F9" w:rsidP="002B02F9">
      <w:pPr>
        <w:spacing w:line="240" w:lineRule="auto"/>
        <w:ind w:left="862" w:hanging="720"/>
        <w:jc w:val="both"/>
        <w:rPr>
          <w:rFonts w:ascii="Arial" w:hAnsi="Arial" w:cs="Arial"/>
          <w:b/>
          <w:bCs/>
          <w:sz w:val="20"/>
          <w:szCs w:val="20"/>
        </w:rPr>
      </w:pPr>
      <w:r w:rsidRPr="002B02F9">
        <w:rPr>
          <w:rFonts w:ascii="Arial" w:hAnsi="Arial" w:cs="Arial"/>
          <w:b/>
          <w:bCs/>
          <w:sz w:val="20"/>
          <w:szCs w:val="20"/>
        </w:rPr>
        <w:t>Reference</w:t>
      </w:r>
    </w:p>
    <w:p w14:paraId="288C70C4" w14:textId="34B792DC"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Abhinav, Burman R N, </w:t>
      </w:r>
      <w:proofErr w:type="spellStart"/>
      <w:r w:rsidRPr="002B02F9">
        <w:rPr>
          <w:rFonts w:ascii="Arial" w:hAnsi="Arial" w:cs="Arial"/>
          <w:sz w:val="20"/>
          <w:szCs w:val="20"/>
        </w:rPr>
        <w:t>Kanpure</w:t>
      </w:r>
      <w:proofErr w:type="spellEnd"/>
      <w:r w:rsidRPr="002B02F9">
        <w:rPr>
          <w:rFonts w:ascii="Arial" w:hAnsi="Arial" w:cs="Arial"/>
          <w:sz w:val="20"/>
          <w:szCs w:val="20"/>
        </w:rPr>
        <w:t xml:space="preserve"> S R, </w:t>
      </w:r>
      <w:proofErr w:type="spellStart"/>
      <w:r w:rsidRPr="002B02F9">
        <w:rPr>
          <w:rFonts w:ascii="Arial" w:hAnsi="Arial" w:cs="Arial"/>
          <w:sz w:val="20"/>
          <w:szCs w:val="20"/>
        </w:rPr>
        <w:t>Anjanawe</w:t>
      </w:r>
      <w:proofErr w:type="spellEnd"/>
      <w:r w:rsidRPr="002B02F9">
        <w:rPr>
          <w:rFonts w:ascii="Arial" w:hAnsi="Arial" w:cs="Arial"/>
          <w:sz w:val="20"/>
          <w:szCs w:val="20"/>
        </w:rPr>
        <w:t xml:space="preserve"> A, Haldar R P, Patel, Singh T and Yadav S K. (2016). Effect of biofertilizers and growth regulators on rooting and growth of hardwood cutting of grapevine (</w:t>
      </w:r>
      <w:proofErr w:type="spellStart"/>
      <w:r w:rsidRPr="002B02F9">
        <w:rPr>
          <w:rFonts w:ascii="Arial" w:hAnsi="Arial" w:cs="Arial"/>
          <w:i/>
          <w:iCs/>
          <w:sz w:val="20"/>
          <w:szCs w:val="20"/>
        </w:rPr>
        <w:t>Vitis</w:t>
      </w:r>
      <w:proofErr w:type="spellEnd"/>
      <w:r w:rsidRPr="002B02F9">
        <w:rPr>
          <w:rFonts w:ascii="Arial" w:hAnsi="Arial" w:cs="Arial"/>
          <w:i/>
          <w:iCs/>
          <w:sz w:val="20"/>
          <w:szCs w:val="20"/>
        </w:rPr>
        <w:t xml:space="preserve"> </w:t>
      </w:r>
      <w:proofErr w:type="spellStart"/>
      <w:r w:rsidRPr="002B02F9">
        <w:rPr>
          <w:rFonts w:ascii="Arial" w:hAnsi="Arial" w:cs="Arial"/>
          <w:i/>
          <w:iCs/>
          <w:sz w:val="20"/>
          <w:szCs w:val="20"/>
        </w:rPr>
        <w:t>venifera</w:t>
      </w:r>
      <w:proofErr w:type="spellEnd"/>
      <w:r w:rsidRPr="002B02F9">
        <w:rPr>
          <w:rFonts w:ascii="Arial" w:hAnsi="Arial" w:cs="Arial"/>
          <w:i/>
          <w:iCs/>
          <w:sz w:val="20"/>
          <w:szCs w:val="20"/>
        </w:rPr>
        <w:t xml:space="preserve"> </w:t>
      </w:r>
      <w:r w:rsidRPr="002B02F9">
        <w:rPr>
          <w:rFonts w:ascii="Arial" w:hAnsi="Arial" w:cs="Arial"/>
          <w:sz w:val="20"/>
          <w:szCs w:val="20"/>
        </w:rPr>
        <w:t xml:space="preserve">L.) </w:t>
      </w:r>
      <w:r w:rsidRPr="002B02F9">
        <w:rPr>
          <w:rFonts w:ascii="Arial" w:hAnsi="Arial" w:cs="Arial"/>
          <w:sz w:val="20"/>
          <w:szCs w:val="20"/>
        </w:rPr>
        <w:t xml:space="preserve">cv. Thompson seedless. </w:t>
      </w:r>
      <w:r w:rsidRPr="002B02F9">
        <w:rPr>
          <w:rFonts w:ascii="Arial" w:hAnsi="Arial" w:cs="Arial"/>
          <w:i/>
          <w:iCs/>
          <w:sz w:val="20"/>
          <w:szCs w:val="20"/>
        </w:rPr>
        <w:t xml:space="preserve">Research in Environment and Life Sciences. </w:t>
      </w:r>
      <w:r w:rsidRPr="002B02F9">
        <w:rPr>
          <w:rFonts w:ascii="Arial" w:hAnsi="Arial" w:cs="Arial"/>
          <w:sz w:val="20"/>
          <w:szCs w:val="20"/>
        </w:rPr>
        <w:t>9: 1522-1525.</w:t>
      </w:r>
    </w:p>
    <w:p w14:paraId="3196C5EF" w14:textId="7CDC10CD"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Ansari, K. (2013). Effects of different collecting time and different medium on rooting of pomegranate" Malas </w:t>
      </w:r>
      <w:proofErr w:type="spellStart"/>
      <w:r w:rsidRPr="002B02F9">
        <w:rPr>
          <w:rFonts w:ascii="Arial" w:hAnsi="Arial" w:cs="Arial"/>
          <w:sz w:val="20"/>
          <w:szCs w:val="20"/>
        </w:rPr>
        <w:t>torsh</w:t>
      </w:r>
      <w:proofErr w:type="spellEnd"/>
      <w:r w:rsidRPr="002B02F9">
        <w:rPr>
          <w:rFonts w:ascii="Arial" w:hAnsi="Arial" w:cs="Arial"/>
          <w:sz w:val="20"/>
          <w:szCs w:val="20"/>
        </w:rPr>
        <w:t xml:space="preserve"> cv." cuttings. </w:t>
      </w:r>
      <w:r w:rsidRPr="002B02F9">
        <w:rPr>
          <w:rFonts w:ascii="Arial" w:hAnsi="Arial" w:cs="Arial"/>
          <w:i/>
          <w:iCs/>
          <w:sz w:val="20"/>
          <w:szCs w:val="20"/>
        </w:rPr>
        <w:t xml:space="preserve">Bulletin of </w:t>
      </w:r>
      <w:r w:rsidRPr="002B02F9">
        <w:rPr>
          <w:rFonts w:ascii="Arial" w:hAnsi="Arial" w:cs="Arial"/>
          <w:i/>
          <w:iCs/>
          <w:sz w:val="20"/>
          <w:szCs w:val="20"/>
        </w:rPr>
        <w:lastRenderedPageBreak/>
        <w:t>Environment, Pharmacology and Life Sciences</w:t>
      </w:r>
      <w:r w:rsidRPr="002B02F9">
        <w:rPr>
          <w:rFonts w:ascii="Arial" w:hAnsi="Arial" w:cs="Arial"/>
          <w:sz w:val="20"/>
          <w:szCs w:val="20"/>
        </w:rPr>
        <w:t>. 2(12): 164-168.</w:t>
      </w:r>
    </w:p>
    <w:p w14:paraId="5C9023CD"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Bankar, G.J. and Prasad, R.N. (1992). Rooting of cuttings with auxin in pomegranate cv. Jalore Seedless. </w:t>
      </w:r>
      <w:r w:rsidRPr="002B02F9">
        <w:rPr>
          <w:rFonts w:ascii="Arial" w:hAnsi="Arial" w:cs="Arial"/>
          <w:i/>
          <w:iCs/>
          <w:sz w:val="20"/>
          <w:szCs w:val="20"/>
        </w:rPr>
        <w:t xml:space="preserve">Annals of Arid Zone. </w:t>
      </w:r>
      <w:r w:rsidRPr="002B02F9">
        <w:rPr>
          <w:rFonts w:ascii="Arial" w:hAnsi="Arial" w:cs="Arial"/>
          <w:sz w:val="20"/>
          <w:szCs w:val="20"/>
        </w:rPr>
        <w:t>31(3): 223-224.</w:t>
      </w:r>
    </w:p>
    <w:p w14:paraId="20BA55C1"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Batista, P.F., Maia, S.S.S., Coelho, M.F.B., Benedito, C.P. and Guimaraes, I.P. (2011). </w:t>
      </w:r>
      <w:r w:rsidRPr="002B02F9">
        <w:rPr>
          <w:rFonts w:ascii="Arial" w:hAnsi="Arial" w:cs="Arial"/>
          <w:sz w:val="20"/>
          <w:szCs w:val="20"/>
          <w:lang w:val="it-IT"/>
        </w:rPr>
        <w:t xml:space="preserve">Vegetative propagation of pomegranate in different substrates. </w:t>
      </w:r>
      <w:r w:rsidRPr="002B02F9">
        <w:rPr>
          <w:rFonts w:ascii="Arial" w:hAnsi="Arial" w:cs="Arial"/>
          <w:i/>
          <w:iCs/>
          <w:sz w:val="20"/>
          <w:szCs w:val="20"/>
          <w:lang w:val="it-IT"/>
        </w:rPr>
        <w:t>Revista Verde de Agro ecologiae Desenvolvimento Sustentavel</w:t>
      </w:r>
      <w:r w:rsidRPr="002B02F9">
        <w:rPr>
          <w:rFonts w:ascii="Arial" w:hAnsi="Arial" w:cs="Arial"/>
          <w:sz w:val="20"/>
          <w:szCs w:val="20"/>
          <w:lang w:val="it-IT"/>
        </w:rPr>
        <w:t xml:space="preserve">. </w:t>
      </w:r>
      <w:r w:rsidRPr="002B02F9">
        <w:rPr>
          <w:rFonts w:ascii="Arial" w:hAnsi="Arial" w:cs="Arial"/>
          <w:sz w:val="20"/>
          <w:szCs w:val="20"/>
        </w:rPr>
        <w:t>6(4): 96-100.</w:t>
      </w:r>
    </w:p>
    <w:p w14:paraId="27787E45" w14:textId="77777777" w:rsidR="00440721" w:rsidRPr="002B02F9" w:rsidRDefault="00440721" w:rsidP="002B02F9">
      <w:pPr>
        <w:spacing w:line="240" w:lineRule="auto"/>
        <w:ind w:left="862" w:hanging="720"/>
        <w:jc w:val="both"/>
        <w:rPr>
          <w:rFonts w:ascii="Arial" w:hAnsi="Arial" w:cs="Arial"/>
          <w:sz w:val="20"/>
          <w:szCs w:val="20"/>
        </w:rPr>
      </w:pPr>
      <w:bookmarkStart w:id="3" w:name="_Hlk201349395"/>
      <w:r w:rsidRPr="002B02F9">
        <w:rPr>
          <w:rFonts w:ascii="Arial" w:hAnsi="Arial" w:cs="Arial"/>
          <w:sz w:val="20"/>
          <w:szCs w:val="20"/>
        </w:rPr>
        <w:t xml:space="preserve">Bender, D.O. and </w:t>
      </w:r>
      <w:proofErr w:type="spellStart"/>
      <w:r w:rsidRPr="002B02F9">
        <w:rPr>
          <w:rFonts w:ascii="Arial" w:hAnsi="Arial" w:cs="Arial"/>
          <w:sz w:val="20"/>
          <w:szCs w:val="20"/>
        </w:rPr>
        <w:t>Nedium</w:t>
      </w:r>
      <w:proofErr w:type="spellEnd"/>
      <w:r w:rsidRPr="002B02F9">
        <w:rPr>
          <w:rFonts w:ascii="Arial" w:hAnsi="Arial" w:cs="Arial"/>
          <w:sz w:val="20"/>
          <w:szCs w:val="20"/>
        </w:rPr>
        <w:t>, O. (2007). The effect of hazelnut husk compost and some organic and inorganic media on root growth of kiwi fruit (</w:t>
      </w:r>
      <w:r w:rsidRPr="002B02F9">
        <w:rPr>
          <w:rFonts w:ascii="Arial" w:hAnsi="Arial" w:cs="Arial"/>
          <w:i/>
          <w:iCs/>
          <w:sz w:val="20"/>
          <w:szCs w:val="20"/>
        </w:rPr>
        <w:t>Actinidia deliciosa</w:t>
      </w:r>
      <w:r w:rsidRPr="002B02F9">
        <w:rPr>
          <w:rFonts w:ascii="Arial" w:hAnsi="Arial" w:cs="Arial"/>
          <w:sz w:val="20"/>
          <w:szCs w:val="20"/>
        </w:rPr>
        <w:t xml:space="preserve">). </w:t>
      </w:r>
      <w:r w:rsidRPr="002B02F9">
        <w:rPr>
          <w:rFonts w:ascii="Arial" w:hAnsi="Arial" w:cs="Arial"/>
          <w:i/>
          <w:iCs/>
          <w:sz w:val="20"/>
          <w:szCs w:val="20"/>
        </w:rPr>
        <w:t>Journal of Agronomy</w:t>
      </w:r>
      <w:r w:rsidRPr="002B02F9">
        <w:rPr>
          <w:rFonts w:ascii="Arial" w:hAnsi="Arial" w:cs="Arial"/>
          <w:sz w:val="20"/>
          <w:szCs w:val="20"/>
        </w:rPr>
        <w:t>. 6(1): 113-118.</w:t>
      </w:r>
    </w:p>
    <w:bookmarkEnd w:id="3"/>
    <w:p w14:paraId="5490D68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Bhat, D.J., </w:t>
      </w:r>
      <w:proofErr w:type="spellStart"/>
      <w:r w:rsidRPr="002B02F9">
        <w:rPr>
          <w:rFonts w:ascii="Arial" w:hAnsi="Arial" w:cs="Arial"/>
          <w:sz w:val="20"/>
          <w:szCs w:val="20"/>
        </w:rPr>
        <w:t>Farmahan</w:t>
      </w:r>
      <w:proofErr w:type="spellEnd"/>
      <w:r w:rsidRPr="002B02F9">
        <w:rPr>
          <w:rFonts w:ascii="Arial" w:hAnsi="Arial" w:cs="Arial"/>
          <w:sz w:val="20"/>
          <w:szCs w:val="20"/>
        </w:rPr>
        <w:t xml:space="preserve">, H.L. and Sharma, M.K. (2004). Effect of chemicals and growth regulators on rooting of pomegranate cuttings. </w:t>
      </w:r>
      <w:r w:rsidRPr="002B02F9">
        <w:rPr>
          <w:rFonts w:ascii="Arial" w:hAnsi="Arial" w:cs="Arial"/>
          <w:i/>
          <w:iCs/>
          <w:sz w:val="20"/>
          <w:szCs w:val="20"/>
        </w:rPr>
        <w:t>Horticultural Journal</w:t>
      </w:r>
      <w:r w:rsidRPr="002B02F9">
        <w:rPr>
          <w:rFonts w:ascii="Arial" w:hAnsi="Arial" w:cs="Arial"/>
          <w:sz w:val="20"/>
          <w:szCs w:val="20"/>
        </w:rPr>
        <w:t>. 17(1): 41- 47.</w:t>
      </w:r>
    </w:p>
    <w:p w14:paraId="1534C4D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Gautam, N.N., Singh, K.B., Shubhendu, S.A. and Goel, V.L. (2010). Studies on clonal multiplication of guava (</w:t>
      </w:r>
      <w:r w:rsidRPr="002B02F9">
        <w:rPr>
          <w:rFonts w:ascii="Arial" w:hAnsi="Arial" w:cs="Arial"/>
          <w:i/>
          <w:iCs/>
          <w:sz w:val="20"/>
          <w:szCs w:val="20"/>
        </w:rPr>
        <w:t xml:space="preserve">Psidium guajava </w:t>
      </w:r>
      <w:r w:rsidRPr="002B02F9">
        <w:rPr>
          <w:rFonts w:ascii="Arial" w:hAnsi="Arial" w:cs="Arial"/>
          <w:sz w:val="20"/>
          <w:szCs w:val="20"/>
        </w:rPr>
        <w:t xml:space="preserve">L.) through cutting under controlled conditions. </w:t>
      </w:r>
      <w:r w:rsidRPr="002B02F9">
        <w:rPr>
          <w:rFonts w:ascii="Arial" w:hAnsi="Arial" w:cs="Arial"/>
          <w:i/>
          <w:iCs/>
          <w:sz w:val="20"/>
          <w:szCs w:val="20"/>
        </w:rPr>
        <w:t>Australian Journal of Crop Science</w:t>
      </w:r>
      <w:r w:rsidRPr="002B02F9">
        <w:rPr>
          <w:rFonts w:ascii="Arial" w:hAnsi="Arial" w:cs="Arial"/>
          <w:sz w:val="20"/>
          <w:szCs w:val="20"/>
        </w:rPr>
        <w:t>. 4(9): 666-669.</w:t>
      </w:r>
    </w:p>
    <w:p w14:paraId="247084E3"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Ghosh D, Bandyopadhyay A, Sen SK. (1988). Effect of NAA and IBA on adventitious root formation in stem cuttings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under intermittent mist. </w:t>
      </w:r>
      <w:r w:rsidRPr="002B02F9">
        <w:rPr>
          <w:rFonts w:ascii="Arial" w:hAnsi="Arial" w:cs="Arial"/>
          <w:i/>
          <w:iCs/>
          <w:sz w:val="20"/>
          <w:szCs w:val="20"/>
        </w:rPr>
        <w:t>Indian Agriculturist.</w:t>
      </w:r>
      <w:r w:rsidRPr="002B02F9">
        <w:rPr>
          <w:rFonts w:ascii="Arial" w:hAnsi="Arial" w:cs="Arial"/>
          <w:sz w:val="20"/>
          <w:szCs w:val="20"/>
        </w:rPr>
        <w:t xml:space="preserve"> 32(4):239-243.</w:t>
      </w:r>
    </w:p>
    <w:p w14:paraId="39D40452"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Hakim A, </w:t>
      </w:r>
      <w:proofErr w:type="spellStart"/>
      <w:r w:rsidRPr="002B02F9">
        <w:rPr>
          <w:rFonts w:ascii="Arial" w:hAnsi="Arial" w:cs="Arial"/>
          <w:sz w:val="20"/>
          <w:szCs w:val="20"/>
        </w:rPr>
        <w:t>Jaganath</w:t>
      </w:r>
      <w:proofErr w:type="spellEnd"/>
      <w:r w:rsidRPr="002B02F9">
        <w:rPr>
          <w:rFonts w:ascii="Arial" w:hAnsi="Arial" w:cs="Arial"/>
          <w:sz w:val="20"/>
          <w:szCs w:val="20"/>
        </w:rPr>
        <w:t xml:space="preserve"> S, </w:t>
      </w:r>
      <w:proofErr w:type="spellStart"/>
      <w:r w:rsidRPr="002B02F9">
        <w:rPr>
          <w:rFonts w:ascii="Arial" w:hAnsi="Arial" w:cs="Arial"/>
          <w:sz w:val="20"/>
          <w:szCs w:val="20"/>
        </w:rPr>
        <w:t>Honnabyraiah</w:t>
      </w:r>
      <w:proofErr w:type="spellEnd"/>
      <w:r w:rsidRPr="002B02F9">
        <w:rPr>
          <w:rFonts w:ascii="Arial" w:hAnsi="Arial" w:cs="Arial"/>
          <w:sz w:val="20"/>
          <w:szCs w:val="20"/>
        </w:rPr>
        <w:t xml:space="preserve"> M K, Mohan S K, Anil S K and Dayamani K J. (2018). Influence of biofertilizer and auxin on growth and rooting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Cuttings. </w:t>
      </w:r>
      <w:r w:rsidRPr="002B02F9">
        <w:rPr>
          <w:rFonts w:ascii="Arial" w:hAnsi="Arial" w:cs="Arial"/>
          <w:i/>
          <w:iCs/>
          <w:sz w:val="20"/>
          <w:szCs w:val="20"/>
        </w:rPr>
        <w:t xml:space="preserve">International Journal Current Microbiology Applied Sciences. </w:t>
      </w:r>
      <w:r w:rsidRPr="002B02F9">
        <w:rPr>
          <w:rFonts w:ascii="Arial" w:hAnsi="Arial" w:cs="Arial"/>
          <w:sz w:val="20"/>
          <w:szCs w:val="20"/>
        </w:rPr>
        <w:t>7: 1187-1193.</w:t>
      </w:r>
    </w:p>
    <w:p w14:paraId="6BB0298C"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Khayyat, M., Nazari, F. and Salehi, H. (2007). Effects of different pot mixtures on </w:t>
      </w:r>
      <w:proofErr w:type="spellStart"/>
      <w:r w:rsidRPr="002B02F9">
        <w:rPr>
          <w:rFonts w:ascii="Arial" w:hAnsi="Arial" w:cs="Arial"/>
          <w:sz w:val="20"/>
          <w:szCs w:val="20"/>
        </w:rPr>
        <w:t>pothos</w:t>
      </w:r>
      <w:proofErr w:type="spellEnd"/>
      <w:r w:rsidRPr="002B02F9">
        <w:rPr>
          <w:rFonts w:ascii="Arial" w:hAnsi="Arial" w:cs="Arial"/>
          <w:sz w:val="20"/>
          <w:szCs w:val="20"/>
        </w:rPr>
        <w:t xml:space="preserve"> (</w:t>
      </w:r>
      <w:proofErr w:type="spellStart"/>
      <w:r w:rsidRPr="002B02F9">
        <w:rPr>
          <w:rFonts w:ascii="Arial" w:hAnsi="Arial" w:cs="Arial"/>
          <w:i/>
          <w:iCs/>
          <w:sz w:val="20"/>
          <w:szCs w:val="20"/>
        </w:rPr>
        <w:t>Epipremnum</w:t>
      </w:r>
      <w:proofErr w:type="spellEnd"/>
      <w:r w:rsidRPr="002B02F9">
        <w:rPr>
          <w:rFonts w:ascii="Arial" w:hAnsi="Arial" w:cs="Arial"/>
          <w:i/>
          <w:iCs/>
          <w:sz w:val="20"/>
          <w:szCs w:val="20"/>
        </w:rPr>
        <w:t xml:space="preserve"> </w:t>
      </w:r>
      <w:proofErr w:type="spellStart"/>
      <w:r w:rsidRPr="002B02F9">
        <w:rPr>
          <w:rFonts w:ascii="Arial" w:hAnsi="Arial" w:cs="Arial"/>
          <w:i/>
          <w:iCs/>
          <w:sz w:val="20"/>
          <w:szCs w:val="20"/>
        </w:rPr>
        <w:t>aureum</w:t>
      </w:r>
      <w:proofErr w:type="spellEnd"/>
      <w:r w:rsidRPr="002B02F9">
        <w:rPr>
          <w:rFonts w:ascii="Arial" w:hAnsi="Arial" w:cs="Arial"/>
          <w:sz w:val="20"/>
          <w:szCs w:val="20"/>
        </w:rPr>
        <w:t xml:space="preserve"> </w:t>
      </w:r>
      <w:proofErr w:type="spellStart"/>
      <w:r w:rsidRPr="002B02F9">
        <w:rPr>
          <w:rFonts w:ascii="Arial" w:hAnsi="Arial" w:cs="Arial"/>
          <w:sz w:val="20"/>
          <w:szCs w:val="20"/>
        </w:rPr>
        <w:t>Lindl</w:t>
      </w:r>
      <w:proofErr w:type="spellEnd"/>
      <w:r w:rsidRPr="002B02F9">
        <w:rPr>
          <w:rFonts w:ascii="Arial" w:hAnsi="Arial" w:cs="Arial"/>
          <w:sz w:val="20"/>
          <w:szCs w:val="20"/>
        </w:rPr>
        <w:t xml:space="preserve">. and Andre ‘Golden </w:t>
      </w:r>
      <w:proofErr w:type="spellStart"/>
      <w:r w:rsidRPr="002B02F9">
        <w:rPr>
          <w:rFonts w:ascii="Arial" w:hAnsi="Arial" w:cs="Arial"/>
          <w:sz w:val="20"/>
          <w:szCs w:val="20"/>
        </w:rPr>
        <w:t>Pothos</w:t>
      </w:r>
      <w:proofErr w:type="spellEnd"/>
      <w:r w:rsidRPr="002B02F9">
        <w:rPr>
          <w:rFonts w:ascii="Arial" w:hAnsi="Arial" w:cs="Arial"/>
          <w:sz w:val="20"/>
          <w:szCs w:val="20"/>
        </w:rPr>
        <w:t xml:space="preserve">’) growth and development. </w:t>
      </w:r>
      <w:r w:rsidRPr="002B02F9">
        <w:rPr>
          <w:rFonts w:ascii="Arial" w:hAnsi="Arial" w:cs="Arial"/>
          <w:i/>
          <w:iCs/>
          <w:sz w:val="20"/>
          <w:szCs w:val="20"/>
        </w:rPr>
        <w:t>American Eurasian Journal of Agriculture and Environmental Sciences</w:t>
      </w:r>
      <w:r w:rsidRPr="002B02F9">
        <w:rPr>
          <w:rFonts w:ascii="Arial" w:hAnsi="Arial" w:cs="Arial"/>
          <w:sz w:val="20"/>
          <w:szCs w:val="20"/>
        </w:rPr>
        <w:t>. 2: 341-348.</w:t>
      </w:r>
    </w:p>
    <w:p w14:paraId="3A1A2685"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Kumar, </w:t>
      </w:r>
      <w:proofErr w:type="spellStart"/>
      <w:proofErr w:type="gramStart"/>
      <w:r w:rsidRPr="002B02F9">
        <w:rPr>
          <w:rFonts w:ascii="Arial" w:hAnsi="Arial" w:cs="Arial"/>
          <w:sz w:val="20"/>
          <w:szCs w:val="20"/>
        </w:rPr>
        <w:t>V.,Singh</w:t>
      </w:r>
      <w:proofErr w:type="spellEnd"/>
      <w:proofErr w:type="gramEnd"/>
      <w:r w:rsidRPr="002B02F9">
        <w:rPr>
          <w:rFonts w:ascii="Arial" w:hAnsi="Arial" w:cs="Arial"/>
          <w:sz w:val="20"/>
          <w:szCs w:val="20"/>
        </w:rPr>
        <w:t xml:space="preserve">, M.K., Kumar, M., Parkash, S., Kumar, A. and Rao, S. (2015). </w:t>
      </w:r>
      <w:r w:rsidRPr="002B02F9">
        <w:rPr>
          <w:rFonts w:ascii="Arial" w:hAnsi="Arial" w:cs="Arial"/>
          <w:sz w:val="20"/>
          <w:szCs w:val="20"/>
        </w:rPr>
        <w:t>Effect of different dose of IBA and rooting media on rooting of stem cutting of lemon (</w:t>
      </w:r>
      <w:r w:rsidRPr="002B02F9">
        <w:rPr>
          <w:rFonts w:ascii="Arial" w:hAnsi="Arial" w:cs="Arial"/>
          <w:i/>
          <w:iCs/>
          <w:sz w:val="20"/>
          <w:szCs w:val="20"/>
        </w:rPr>
        <w:t>Citrus lemon</w:t>
      </w:r>
      <w:r w:rsidRPr="002B02F9">
        <w:rPr>
          <w:rFonts w:ascii="Arial" w:hAnsi="Arial" w:cs="Arial"/>
          <w:sz w:val="20"/>
          <w:szCs w:val="20"/>
        </w:rPr>
        <w:t xml:space="preserve"> </w:t>
      </w:r>
      <w:proofErr w:type="spellStart"/>
      <w:r w:rsidRPr="002B02F9">
        <w:rPr>
          <w:rFonts w:ascii="Arial" w:hAnsi="Arial" w:cs="Arial"/>
          <w:sz w:val="20"/>
          <w:szCs w:val="20"/>
        </w:rPr>
        <w:t>burm</w:t>
      </w:r>
      <w:proofErr w:type="spellEnd"/>
      <w:r w:rsidRPr="002B02F9">
        <w:rPr>
          <w:rFonts w:ascii="Arial" w:hAnsi="Arial" w:cs="Arial"/>
          <w:sz w:val="20"/>
          <w:szCs w:val="20"/>
        </w:rPr>
        <w:t xml:space="preserve">) cv. Pant Lemon -1. </w:t>
      </w:r>
      <w:r w:rsidRPr="002B02F9">
        <w:rPr>
          <w:rFonts w:ascii="Arial" w:hAnsi="Arial" w:cs="Arial"/>
          <w:i/>
          <w:iCs/>
          <w:sz w:val="20"/>
          <w:szCs w:val="20"/>
        </w:rPr>
        <w:t xml:space="preserve">Journal of Plant Development Science. </w:t>
      </w:r>
      <w:r w:rsidRPr="002B02F9">
        <w:rPr>
          <w:rFonts w:ascii="Arial" w:hAnsi="Arial" w:cs="Arial"/>
          <w:sz w:val="20"/>
          <w:szCs w:val="20"/>
        </w:rPr>
        <w:t>7(7): 587-591.</w:t>
      </w:r>
    </w:p>
    <w:p w14:paraId="489907EF"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Mayer, N.A, Reighard, G.L. and Bridges, W. (2015). Peach Rootstock Propagation under Intermittent Mist System. </w:t>
      </w:r>
      <w:r w:rsidRPr="002B02F9">
        <w:rPr>
          <w:rFonts w:ascii="Arial" w:hAnsi="Arial" w:cs="Arial"/>
          <w:i/>
          <w:iCs/>
          <w:sz w:val="20"/>
          <w:szCs w:val="20"/>
        </w:rPr>
        <w:t xml:space="preserve">Acta </w:t>
      </w:r>
      <w:proofErr w:type="spellStart"/>
      <w:r w:rsidRPr="002B02F9">
        <w:rPr>
          <w:rFonts w:ascii="Arial" w:hAnsi="Arial" w:cs="Arial"/>
          <w:i/>
          <w:iCs/>
          <w:sz w:val="20"/>
          <w:szCs w:val="20"/>
        </w:rPr>
        <w:t>horticulturae</w:t>
      </w:r>
      <w:proofErr w:type="spellEnd"/>
      <w:r w:rsidRPr="002B02F9">
        <w:rPr>
          <w:rFonts w:ascii="Arial" w:hAnsi="Arial" w:cs="Arial"/>
          <w:sz w:val="20"/>
          <w:szCs w:val="20"/>
        </w:rPr>
        <w:t xml:space="preserve">. </w:t>
      </w:r>
      <w:r w:rsidRPr="002B02F9">
        <w:rPr>
          <w:rFonts w:ascii="Arial" w:hAnsi="Arial" w:cs="Arial"/>
          <w:i/>
          <w:iCs/>
          <w:sz w:val="20"/>
          <w:szCs w:val="20"/>
        </w:rPr>
        <w:t>Proceedings VIII International Peach Symposium</w:t>
      </w:r>
      <w:r w:rsidRPr="002B02F9">
        <w:rPr>
          <w:rFonts w:ascii="Arial" w:hAnsi="Arial" w:cs="Arial"/>
          <w:sz w:val="20"/>
          <w:szCs w:val="20"/>
        </w:rPr>
        <w:t>. Pages: 53-63.</w:t>
      </w:r>
    </w:p>
    <w:p w14:paraId="31D24A92"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Melgarejo, P. Martinez, J. Amoros, A. and Martinez, R. (2000). Study of the rooting capacity of ten pomegranate clones (</w:t>
      </w:r>
      <w:r w:rsidRPr="002B02F9">
        <w:rPr>
          <w:rFonts w:ascii="Arial" w:hAnsi="Arial" w:cs="Arial"/>
          <w:i/>
          <w:iCs/>
          <w:sz w:val="20"/>
          <w:szCs w:val="20"/>
        </w:rPr>
        <w:t xml:space="preserve">Punica granatum </w:t>
      </w:r>
      <w:r w:rsidRPr="002B02F9">
        <w:rPr>
          <w:rFonts w:ascii="Arial" w:hAnsi="Arial" w:cs="Arial"/>
          <w:sz w:val="20"/>
          <w:szCs w:val="20"/>
        </w:rPr>
        <w:t xml:space="preserve">L.). </w:t>
      </w:r>
      <w:r w:rsidRPr="002B02F9">
        <w:rPr>
          <w:rFonts w:ascii="Arial" w:hAnsi="Arial" w:cs="Arial"/>
          <w:i/>
          <w:iCs/>
          <w:sz w:val="20"/>
          <w:szCs w:val="20"/>
        </w:rPr>
        <w:t xml:space="preserve">Options </w:t>
      </w:r>
      <w:proofErr w:type="spellStart"/>
      <w:r w:rsidRPr="002B02F9">
        <w:rPr>
          <w:rFonts w:ascii="Arial" w:hAnsi="Arial" w:cs="Arial"/>
          <w:i/>
          <w:iCs/>
          <w:sz w:val="20"/>
          <w:szCs w:val="20"/>
        </w:rPr>
        <w:t>Mediterraneennes</w:t>
      </w:r>
      <w:proofErr w:type="spellEnd"/>
      <w:r w:rsidRPr="002B02F9">
        <w:rPr>
          <w:rFonts w:ascii="Arial" w:hAnsi="Arial" w:cs="Arial"/>
          <w:i/>
          <w:iCs/>
          <w:sz w:val="20"/>
          <w:szCs w:val="20"/>
        </w:rPr>
        <w:t xml:space="preserve">. Serie A, </w:t>
      </w:r>
      <w:proofErr w:type="spellStart"/>
      <w:r w:rsidRPr="002B02F9">
        <w:rPr>
          <w:rFonts w:ascii="Arial" w:hAnsi="Arial" w:cs="Arial"/>
          <w:i/>
          <w:iCs/>
          <w:sz w:val="20"/>
          <w:szCs w:val="20"/>
        </w:rPr>
        <w:t>Seminaires</w:t>
      </w:r>
      <w:proofErr w:type="spellEnd"/>
      <w:r w:rsidRPr="002B02F9">
        <w:rPr>
          <w:rFonts w:ascii="Arial" w:hAnsi="Arial" w:cs="Arial"/>
          <w:i/>
          <w:iCs/>
          <w:sz w:val="20"/>
          <w:szCs w:val="20"/>
        </w:rPr>
        <w:t xml:space="preserve"> </w:t>
      </w:r>
      <w:proofErr w:type="spellStart"/>
      <w:r w:rsidRPr="002B02F9">
        <w:rPr>
          <w:rFonts w:ascii="Arial" w:hAnsi="Arial" w:cs="Arial"/>
          <w:i/>
          <w:iCs/>
          <w:sz w:val="20"/>
          <w:szCs w:val="20"/>
        </w:rPr>
        <w:t>Mediterraneens</w:t>
      </w:r>
      <w:proofErr w:type="spellEnd"/>
      <w:r w:rsidRPr="002B02F9">
        <w:rPr>
          <w:rFonts w:ascii="Arial" w:hAnsi="Arial" w:cs="Arial"/>
          <w:i/>
          <w:iCs/>
          <w:sz w:val="20"/>
          <w:szCs w:val="20"/>
        </w:rPr>
        <w:t xml:space="preserve">. </w:t>
      </w:r>
      <w:r w:rsidRPr="002B02F9">
        <w:rPr>
          <w:rFonts w:ascii="Arial" w:hAnsi="Arial" w:cs="Arial"/>
          <w:sz w:val="20"/>
          <w:szCs w:val="20"/>
        </w:rPr>
        <w:t>42: 163-167.</w:t>
      </w:r>
    </w:p>
    <w:p w14:paraId="7F1AB09B" w14:textId="0F7F17E2" w:rsidR="00E8194C" w:rsidRPr="002B02F9" w:rsidRDefault="00E8194C"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Negi, P.S., </w:t>
      </w:r>
      <w:proofErr w:type="spellStart"/>
      <w:r w:rsidRPr="002B02F9">
        <w:rPr>
          <w:rFonts w:ascii="Arial" w:hAnsi="Arial" w:cs="Arial"/>
          <w:sz w:val="20"/>
          <w:szCs w:val="20"/>
        </w:rPr>
        <w:t>Jayaprakasha</w:t>
      </w:r>
      <w:proofErr w:type="spellEnd"/>
      <w:r w:rsidRPr="002B02F9">
        <w:rPr>
          <w:rFonts w:ascii="Arial" w:hAnsi="Arial" w:cs="Arial"/>
          <w:sz w:val="20"/>
          <w:szCs w:val="20"/>
        </w:rPr>
        <w:t xml:space="preserve">, G.K. and Jena, B.S. </w:t>
      </w:r>
      <w:r w:rsidR="00440721" w:rsidRPr="002B02F9">
        <w:rPr>
          <w:rFonts w:ascii="Arial" w:hAnsi="Arial" w:cs="Arial"/>
          <w:sz w:val="20"/>
          <w:szCs w:val="20"/>
        </w:rPr>
        <w:t>(</w:t>
      </w:r>
      <w:r w:rsidRPr="002B02F9">
        <w:rPr>
          <w:rFonts w:ascii="Arial" w:hAnsi="Arial" w:cs="Arial"/>
          <w:sz w:val="20"/>
          <w:szCs w:val="20"/>
        </w:rPr>
        <w:t>2003</w:t>
      </w:r>
      <w:r w:rsidR="00440721" w:rsidRPr="002B02F9">
        <w:rPr>
          <w:rFonts w:ascii="Arial" w:hAnsi="Arial" w:cs="Arial"/>
          <w:sz w:val="20"/>
          <w:szCs w:val="20"/>
        </w:rPr>
        <w:t>)</w:t>
      </w:r>
      <w:r w:rsidRPr="002B02F9">
        <w:rPr>
          <w:rFonts w:ascii="Arial" w:hAnsi="Arial" w:cs="Arial"/>
          <w:sz w:val="20"/>
          <w:szCs w:val="20"/>
        </w:rPr>
        <w:t xml:space="preserve">. Antioxidant and antimutagenic activities of pomegranate peel extracts. </w:t>
      </w:r>
      <w:r w:rsidRPr="002B02F9">
        <w:rPr>
          <w:rFonts w:ascii="Arial" w:hAnsi="Arial" w:cs="Arial"/>
          <w:i/>
          <w:iCs/>
          <w:sz w:val="20"/>
          <w:szCs w:val="20"/>
        </w:rPr>
        <w:t>Food Chemistry</w:t>
      </w:r>
      <w:r w:rsidRPr="002B02F9">
        <w:rPr>
          <w:rFonts w:ascii="Arial" w:hAnsi="Arial" w:cs="Arial"/>
          <w:sz w:val="20"/>
          <w:szCs w:val="20"/>
        </w:rPr>
        <w:t>. 80: 393-397</w:t>
      </w:r>
    </w:p>
    <w:p w14:paraId="205E14A3"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Parvez M, Zubair M, Saleem M, Wali K and Shah S. (2007). Effect of indole butyric acid (IBA) and planting times on the growth and rooting of peach cuttings. </w:t>
      </w:r>
      <w:r w:rsidRPr="002B02F9">
        <w:rPr>
          <w:rFonts w:ascii="Arial" w:hAnsi="Arial" w:cs="Arial"/>
          <w:i/>
          <w:iCs/>
          <w:sz w:val="20"/>
          <w:szCs w:val="20"/>
        </w:rPr>
        <w:t>Sarhad Journal of Agriculture</w:t>
      </w:r>
      <w:r w:rsidRPr="002B02F9">
        <w:rPr>
          <w:rFonts w:ascii="Arial" w:hAnsi="Arial" w:cs="Arial"/>
          <w:sz w:val="20"/>
          <w:szCs w:val="20"/>
        </w:rPr>
        <w:t>. 23(3): 587- 592.</w:t>
      </w:r>
    </w:p>
    <w:p w14:paraId="6F9C9AFE"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Purohit, A.G. and </w:t>
      </w:r>
      <w:proofErr w:type="spellStart"/>
      <w:r w:rsidRPr="002B02F9">
        <w:rPr>
          <w:rFonts w:ascii="Arial" w:hAnsi="Arial" w:cs="Arial"/>
          <w:sz w:val="20"/>
          <w:szCs w:val="20"/>
        </w:rPr>
        <w:t>Shekharappa</w:t>
      </w:r>
      <w:proofErr w:type="spellEnd"/>
      <w:r w:rsidRPr="002B02F9">
        <w:rPr>
          <w:rFonts w:ascii="Arial" w:hAnsi="Arial" w:cs="Arial"/>
          <w:sz w:val="20"/>
          <w:szCs w:val="20"/>
        </w:rPr>
        <w:t xml:space="preserve">, K.E. (1985). Effect of type of cutting and IBA on rooting of hardwood cuttings of pomegranate. </w:t>
      </w:r>
      <w:r w:rsidRPr="002B02F9">
        <w:rPr>
          <w:rFonts w:ascii="Arial" w:hAnsi="Arial" w:cs="Arial"/>
          <w:i/>
          <w:iCs/>
          <w:sz w:val="20"/>
          <w:szCs w:val="20"/>
        </w:rPr>
        <w:t>Indian Journal of Horticulture</w:t>
      </w:r>
      <w:r w:rsidRPr="002B02F9">
        <w:rPr>
          <w:rFonts w:ascii="Arial" w:hAnsi="Arial" w:cs="Arial"/>
          <w:sz w:val="20"/>
          <w:szCs w:val="20"/>
        </w:rPr>
        <w:t>. 42: 30-36.</w:t>
      </w:r>
    </w:p>
    <w:p w14:paraId="46BB3A5A"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Rajkumar., Gora, J.S., Kumar, R., Singh A., Kumar, A and Gajender. (2017). Effect of different growing media on the rooting of pomegranate (</w:t>
      </w:r>
      <w:r w:rsidRPr="002B02F9">
        <w:rPr>
          <w:rFonts w:ascii="Arial" w:hAnsi="Arial" w:cs="Arial"/>
          <w:i/>
          <w:iCs/>
          <w:sz w:val="20"/>
          <w:szCs w:val="20"/>
        </w:rPr>
        <w:t xml:space="preserve">Punica granatum </w:t>
      </w:r>
      <w:r w:rsidRPr="002B02F9">
        <w:rPr>
          <w:rFonts w:ascii="Arial" w:hAnsi="Arial" w:cs="Arial"/>
          <w:sz w:val="20"/>
          <w:szCs w:val="20"/>
        </w:rPr>
        <w:t>L.</w:t>
      </w:r>
      <w:r w:rsidRPr="002B02F9">
        <w:rPr>
          <w:rFonts w:ascii="Arial" w:hAnsi="Arial" w:cs="Arial"/>
          <w:i/>
          <w:iCs/>
          <w:sz w:val="20"/>
          <w:szCs w:val="20"/>
        </w:rPr>
        <w:t>). Journal of Applied and Natural Science.</w:t>
      </w:r>
      <w:r w:rsidRPr="002B02F9">
        <w:rPr>
          <w:rFonts w:ascii="Arial" w:hAnsi="Arial" w:cs="Arial"/>
          <w:sz w:val="20"/>
          <w:szCs w:val="20"/>
        </w:rPr>
        <w:t xml:space="preserve"> 9(2):715-719.</w:t>
      </w:r>
    </w:p>
    <w:p w14:paraId="3C54C9BC"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Rathore, D.S. (1984). Studies on the propagation of guava by stooling. </w:t>
      </w:r>
      <w:r w:rsidRPr="002B02F9">
        <w:rPr>
          <w:rFonts w:ascii="Arial" w:hAnsi="Arial" w:cs="Arial"/>
          <w:i/>
          <w:iCs/>
          <w:sz w:val="20"/>
          <w:szCs w:val="20"/>
        </w:rPr>
        <w:t>Punjab Horticultural Journal</w:t>
      </w:r>
      <w:r w:rsidRPr="002B02F9">
        <w:rPr>
          <w:rFonts w:ascii="Arial" w:hAnsi="Arial" w:cs="Arial"/>
          <w:sz w:val="20"/>
          <w:szCs w:val="20"/>
        </w:rPr>
        <w:t>. 24: 27-78.</w:t>
      </w:r>
    </w:p>
    <w:p w14:paraId="7ED3E12F"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Sarma SD, Sarma VK. (1991). Rooting pattern of hardwood and semi-hardwood cutting of wild pomegranate. </w:t>
      </w:r>
      <w:r w:rsidRPr="002B02F9">
        <w:rPr>
          <w:rFonts w:ascii="Arial" w:hAnsi="Arial" w:cs="Arial"/>
          <w:i/>
          <w:iCs/>
          <w:sz w:val="20"/>
          <w:szCs w:val="20"/>
        </w:rPr>
        <w:t>Indian Journal of Horticulture</w:t>
      </w:r>
      <w:r w:rsidRPr="002B02F9">
        <w:rPr>
          <w:rFonts w:ascii="Arial" w:hAnsi="Arial" w:cs="Arial"/>
          <w:sz w:val="20"/>
          <w:szCs w:val="20"/>
        </w:rPr>
        <w:t>. 44:183-193.</w:t>
      </w:r>
    </w:p>
    <w:p w14:paraId="2172CC66"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 xml:space="preserve">Seeram, N. P., Adams, L. S., Henning, S. M., Niu, Y., Zhang, Y., Nair, M. G., &amp; Heber, D. (2005). In vitro antiproliferative, apoptotic and antioxidant activities of punicalagin, </w:t>
      </w:r>
      <w:r w:rsidRPr="002B02F9">
        <w:rPr>
          <w:rFonts w:ascii="Arial" w:hAnsi="Arial" w:cs="Arial"/>
          <w:sz w:val="20"/>
          <w:szCs w:val="20"/>
        </w:rPr>
        <w:lastRenderedPageBreak/>
        <w:t xml:space="preserve">ellagic acid and a total pomegranate tannin extract are enhanced in combination with other polyphenols as found in pomegranate juice. </w:t>
      </w:r>
      <w:r w:rsidRPr="002B02F9">
        <w:rPr>
          <w:rFonts w:ascii="Arial" w:hAnsi="Arial" w:cs="Arial"/>
          <w:i/>
          <w:iCs/>
          <w:sz w:val="20"/>
          <w:szCs w:val="20"/>
        </w:rPr>
        <w:t>Journal of Nutritional Biochemistry.</w:t>
      </w:r>
      <w:r w:rsidRPr="002B02F9">
        <w:rPr>
          <w:rFonts w:ascii="Arial" w:hAnsi="Arial" w:cs="Arial"/>
          <w:sz w:val="20"/>
          <w:szCs w:val="20"/>
        </w:rPr>
        <w:t xml:space="preserve"> 16(6): 360–367. </w:t>
      </w:r>
    </w:p>
    <w:p w14:paraId="2E312929"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lang w:val="it-IT"/>
        </w:rPr>
        <w:t xml:space="preserve">Shrivastava, R., Nanhorya, R., &amp; Upadhyaya, J. K. (1998). </w:t>
      </w:r>
      <w:r w:rsidRPr="002B02F9">
        <w:rPr>
          <w:rFonts w:ascii="Arial" w:hAnsi="Arial" w:cs="Arial"/>
          <w:sz w:val="20"/>
          <w:szCs w:val="20"/>
        </w:rPr>
        <w:t>Selection of proper potting mixture for root trainer of eucalyptus hybrid. </w:t>
      </w:r>
      <w:r w:rsidRPr="002B02F9">
        <w:rPr>
          <w:rFonts w:ascii="Arial" w:hAnsi="Arial" w:cs="Arial"/>
          <w:i/>
          <w:iCs/>
          <w:sz w:val="20"/>
          <w:szCs w:val="20"/>
        </w:rPr>
        <w:t>Indian forester</w:t>
      </w:r>
      <w:r w:rsidRPr="002B02F9">
        <w:rPr>
          <w:rFonts w:ascii="Arial" w:hAnsi="Arial" w:cs="Arial"/>
          <w:sz w:val="20"/>
          <w:szCs w:val="20"/>
        </w:rPr>
        <w:t xml:space="preserve">. 124(7): 502-510.  </w:t>
      </w:r>
    </w:p>
    <w:p w14:paraId="1324E2BB" w14:textId="77777777" w:rsidR="00440721" w:rsidRPr="002B02F9" w:rsidRDefault="00440721" w:rsidP="002B02F9">
      <w:pPr>
        <w:spacing w:line="240" w:lineRule="auto"/>
        <w:ind w:left="862" w:hanging="720"/>
        <w:jc w:val="both"/>
        <w:rPr>
          <w:rFonts w:ascii="Arial" w:hAnsi="Arial" w:cs="Arial"/>
          <w:sz w:val="20"/>
          <w:szCs w:val="20"/>
        </w:rPr>
      </w:pPr>
      <w:proofErr w:type="spellStart"/>
      <w:r w:rsidRPr="002B02F9">
        <w:rPr>
          <w:rFonts w:ascii="Arial" w:hAnsi="Arial" w:cs="Arial"/>
          <w:sz w:val="20"/>
          <w:szCs w:val="20"/>
        </w:rPr>
        <w:t>Tanwar</w:t>
      </w:r>
      <w:proofErr w:type="spellEnd"/>
      <w:r w:rsidRPr="002B02F9">
        <w:rPr>
          <w:rFonts w:ascii="Arial" w:hAnsi="Arial" w:cs="Arial"/>
          <w:sz w:val="20"/>
          <w:szCs w:val="20"/>
        </w:rPr>
        <w:t xml:space="preserve"> D R, </w:t>
      </w:r>
      <w:proofErr w:type="spellStart"/>
      <w:r w:rsidRPr="002B02F9">
        <w:rPr>
          <w:rFonts w:ascii="Arial" w:hAnsi="Arial" w:cs="Arial"/>
          <w:sz w:val="20"/>
          <w:szCs w:val="20"/>
        </w:rPr>
        <w:t>Bairwa</w:t>
      </w:r>
      <w:proofErr w:type="spellEnd"/>
      <w:r w:rsidRPr="002B02F9">
        <w:rPr>
          <w:rFonts w:ascii="Arial" w:hAnsi="Arial" w:cs="Arial"/>
          <w:sz w:val="20"/>
          <w:szCs w:val="20"/>
        </w:rPr>
        <w:t xml:space="preserve"> H L, </w:t>
      </w:r>
      <w:proofErr w:type="spellStart"/>
      <w:r w:rsidRPr="002B02F9">
        <w:rPr>
          <w:rFonts w:ascii="Arial" w:hAnsi="Arial" w:cs="Arial"/>
          <w:sz w:val="20"/>
          <w:szCs w:val="20"/>
        </w:rPr>
        <w:t>Lakhawat</w:t>
      </w:r>
      <w:proofErr w:type="spellEnd"/>
      <w:r w:rsidRPr="002B02F9">
        <w:rPr>
          <w:rFonts w:ascii="Arial" w:hAnsi="Arial" w:cs="Arial"/>
          <w:sz w:val="20"/>
          <w:szCs w:val="20"/>
        </w:rPr>
        <w:t xml:space="preserve"> S </w:t>
      </w:r>
      <w:proofErr w:type="spellStart"/>
      <w:r w:rsidRPr="002B02F9">
        <w:rPr>
          <w:rFonts w:ascii="Arial" w:hAnsi="Arial" w:cs="Arial"/>
          <w:sz w:val="20"/>
          <w:szCs w:val="20"/>
        </w:rPr>
        <w:t>S</w:t>
      </w:r>
      <w:proofErr w:type="spellEnd"/>
      <w:r w:rsidRPr="002B02F9">
        <w:rPr>
          <w:rFonts w:ascii="Arial" w:hAnsi="Arial" w:cs="Arial"/>
          <w:sz w:val="20"/>
          <w:szCs w:val="20"/>
        </w:rPr>
        <w:t xml:space="preserve">, </w:t>
      </w:r>
      <w:proofErr w:type="spellStart"/>
      <w:r w:rsidRPr="002B02F9">
        <w:rPr>
          <w:rFonts w:ascii="Arial" w:hAnsi="Arial" w:cs="Arial"/>
          <w:sz w:val="20"/>
          <w:szCs w:val="20"/>
        </w:rPr>
        <w:t>Mahawer</w:t>
      </w:r>
      <w:proofErr w:type="spellEnd"/>
      <w:r w:rsidRPr="002B02F9">
        <w:rPr>
          <w:rFonts w:ascii="Arial" w:hAnsi="Arial" w:cs="Arial"/>
          <w:sz w:val="20"/>
          <w:szCs w:val="20"/>
        </w:rPr>
        <w:t xml:space="preserve"> L N, Jat R K and Choudhary R C. (2020). Effect of IBA and Rooting Media on Hardwood Cuttings of Pomegranate (</w:t>
      </w:r>
      <w:r w:rsidRPr="002B02F9">
        <w:rPr>
          <w:rFonts w:ascii="Arial" w:hAnsi="Arial" w:cs="Arial"/>
          <w:i/>
          <w:iCs/>
          <w:sz w:val="20"/>
          <w:szCs w:val="20"/>
        </w:rPr>
        <w:t xml:space="preserve">Punica granatum </w:t>
      </w:r>
      <w:r w:rsidRPr="002B02F9">
        <w:rPr>
          <w:rFonts w:ascii="Arial" w:hAnsi="Arial" w:cs="Arial"/>
          <w:sz w:val="20"/>
          <w:szCs w:val="20"/>
        </w:rPr>
        <w:t xml:space="preserve">L.) cv. </w:t>
      </w:r>
      <w:proofErr w:type="spellStart"/>
      <w:r w:rsidRPr="002B02F9">
        <w:rPr>
          <w:rFonts w:ascii="Arial" w:hAnsi="Arial" w:cs="Arial"/>
          <w:sz w:val="20"/>
          <w:szCs w:val="20"/>
        </w:rPr>
        <w:t>Bhagwa</w:t>
      </w:r>
      <w:proofErr w:type="spellEnd"/>
      <w:r w:rsidRPr="002B02F9">
        <w:rPr>
          <w:rFonts w:ascii="Arial" w:hAnsi="Arial" w:cs="Arial"/>
          <w:sz w:val="20"/>
          <w:szCs w:val="20"/>
        </w:rPr>
        <w:t xml:space="preserve">. </w:t>
      </w:r>
      <w:r w:rsidRPr="002B02F9">
        <w:rPr>
          <w:rFonts w:ascii="Arial" w:hAnsi="Arial" w:cs="Arial"/>
          <w:i/>
          <w:iCs/>
          <w:sz w:val="20"/>
          <w:szCs w:val="20"/>
        </w:rPr>
        <w:t xml:space="preserve">International Journal of Environment and Climate Change. </w:t>
      </w:r>
      <w:r w:rsidRPr="002B02F9">
        <w:rPr>
          <w:rFonts w:ascii="Arial" w:hAnsi="Arial" w:cs="Arial"/>
          <w:sz w:val="20"/>
          <w:szCs w:val="20"/>
        </w:rPr>
        <w:t>10: 609-617.</w:t>
      </w:r>
    </w:p>
    <w:p w14:paraId="461CBDC5" w14:textId="77777777" w:rsidR="00440721" w:rsidRPr="002B02F9" w:rsidRDefault="00440721" w:rsidP="002B02F9">
      <w:pPr>
        <w:spacing w:line="240" w:lineRule="auto"/>
        <w:ind w:left="862" w:hanging="720"/>
        <w:jc w:val="both"/>
        <w:rPr>
          <w:rFonts w:ascii="Arial" w:hAnsi="Arial" w:cs="Arial"/>
          <w:sz w:val="20"/>
          <w:szCs w:val="20"/>
        </w:rPr>
      </w:pPr>
      <w:r w:rsidRPr="002B02F9">
        <w:rPr>
          <w:rFonts w:ascii="Arial" w:hAnsi="Arial" w:cs="Arial"/>
          <w:sz w:val="20"/>
          <w:szCs w:val="20"/>
        </w:rPr>
        <w:t>Upadhyay, S.D. and Badyal, J. (2007). Effect of growth regulators on rooting of pomegranate (</w:t>
      </w:r>
      <w:r w:rsidRPr="002B02F9">
        <w:rPr>
          <w:rFonts w:ascii="Arial" w:hAnsi="Arial" w:cs="Arial"/>
          <w:i/>
          <w:iCs/>
          <w:sz w:val="20"/>
          <w:szCs w:val="20"/>
        </w:rPr>
        <w:t>Punica granatum</w:t>
      </w:r>
      <w:r w:rsidRPr="002B02F9">
        <w:rPr>
          <w:rFonts w:ascii="Arial" w:hAnsi="Arial" w:cs="Arial"/>
          <w:sz w:val="20"/>
          <w:szCs w:val="20"/>
        </w:rPr>
        <w:t xml:space="preserve"> L.) cutting. </w:t>
      </w:r>
      <w:r w:rsidRPr="002B02F9">
        <w:rPr>
          <w:rFonts w:ascii="Arial" w:hAnsi="Arial" w:cs="Arial"/>
          <w:i/>
          <w:iCs/>
          <w:sz w:val="20"/>
          <w:szCs w:val="20"/>
        </w:rPr>
        <w:t>Haryana Journal of Horticulture Science</w:t>
      </w:r>
      <w:r w:rsidRPr="002B02F9">
        <w:rPr>
          <w:rFonts w:ascii="Arial" w:hAnsi="Arial" w:cs="Arial"/>
          <w:sz w:val="20"/>
          <w:szCs w:val="20"/>
        </w:rPr>
        <w:t>. 36(1-2): 58-59.</w:t>
      </w:r>
    </w:p>
    <w:p w14:paraId="13F68FEB" w14:textId="77777777" w:rsidR="00440721" w:rsidRDefault="00440721" w:rsidP="007C7083">
      <w:pPr>
        <w:spacing w:line="360" w:lineRule="auto"/>
        <w:ind w:hanging="720"/>
        <w:jc w:val="both"/>
        <w:rPr>
          <w:rFonts w:ascii="Times New Roman" w:hAnsi="Times New Roman" w:cs="Times New Roman"/>
          <w:sz w:val="24"/>
          <w:szCs w:val="24"/>
          <w:lang w:val="it-IT"/>
        </w:rPr>
        <w:sectPr w:rsidR="00440721" w:rsidSect="00440721">
          <w:type w:val="continuous"/>
          <w:pgSz w:w="11906" w:h="16838"/>
          <w:pgMar w:top="1440" w:right="1440" w:bottom="1440" w:left="1440" w:header="709" w:footer="709" w:gutter="0"/>
          <w:cols w:num="2" w:space="708"/>
          <w:docGrid w:linePitch="360"/>
        </w:sectPr>
      </w:pPr>
    </w:p>
    <w:p w14:paraId="30A4A9EF" w14:textId="77777777" w:rsidR="007C7083" w:rsidRPr="007C7083" w:rsidRDefault="007C7083" w:rsidP="007C7083">
      <w:pPr>
        <w:spacing w:line="360" w:lineRule="auto"/>
        <w:ind w:hanging="720"/>
        <w:jc w:val="both"/>
        <w:rPr>
          <w:rFonts w:ascii="Times New Roman" w:hAnsi="Times New Roman" w:cs="Times New Roman"/>
          <w:sz w:val="24"/>
          <w:szCs w:val="24"/>
          <w:lang w:val="it-IT"/>
        </w:rPr>
      </w:pPr>
    </w:p>
    <w:p w14:paraId="15A308C7" w14:textId="77777777" w:rsidR="0051145F" w:rsidRPr="007C7083" w:rsidRDefault="0051145F" w:rsidP="0051145F">
      <w:pPr>
        <w:spacing w:line="360" w:lineRule="auto"/>
        <w:ind w:hanging="720"/>
        <w:jc w:val="both"/>
        <w:rPr>
          <w:rFonts w:ascii="Times New Roman" w:hAnsi="Times New Roman" w:cs="Times New Roman"/>
          <w:sz w:val="24"/>
          <w:szCs w:val="24"/>
          <w:lang w:val="it-IT"/>
        </w:rPr>
      </w:pPr>
    </w:p>
    <w:p w14:paraId="1C4D8723" w14:textId="77777777" w:rsidR="0051145F" w:rsidRPr="007C7083" w:rsidRDefault="0051145F" w:rsidP="003336FB">
      <w:pPr>
        <w:spacing w:line="360" w:lineRule="auto"/>
        <w:ind w:hanging="720"/>
        <w:jc w:val="both"/>
        <w:rPr>
          <w:rFonts w:ascii="Times New Roman" w:hAnsi="Times New Roman" w:cs="Times New Roman"/>
          <w:sz w:val="24"/>
          <w:szCs w:val="24"/>
          <w:lang w:val="it-IT"/>
        </w:rPr>
      </w:pPr>
    </w:p>
    <w:p w14:paraId="7D313D38" w14:textId="77777777" w:rsidR="00A91B05" w:rsidRPr="007C7083" w:rsidRDefault="00A91B05" w:rsidP="00A91B05">
      <w:pPr>
        <w:spacing w:line="360" w:lineRule="auto"/>
        <w:ind w:hanging="720"/>
        <w:jc w:val="both"/>
        <w:rPr>
          <w:rFonts w:ascii="Times New Roman" w:hAnsi="Times New Roman" w:cs="Times New Roman"/>
          <w:sz w:val="24"/>
          <w:szCs w:val="24"/>
          <w:lang w:val="it-IT"/>
        </w:rPr>
      </w:pPr>
    </w:p>
    <w:p w14:paraId="2E058395" w14:textId="77777777" w:rsidR="0020568F" w:rsidRPr="007C7083" w:rsidRDefault="0020568F" w:rsidP="005D0190">
      <w:pPr>
        <w:spacing w:line="276" w:lineRule="auto"/>
        <w:rPr>
          <w:rFonts w:ascii="Times New Roman" w:hAnsi="Times New Roman" w:cs="Times New Roman"/>
          <w:sz w:val="24"/>
          <w:szCs w:val="24"/>
          <w:lang w:val="it-IT"/>
        </w:rPr>
      </w:pPr>
    </w:p>
    <w:p w14:paraId="1F7E9D9B" w14:textId="77777777" w:rsidR="0020568F" w:rsidRPr="007C7083" w:rsidRDefault="0020568F" w:rsidP="005D0190">
      <w:pPr>
        <w:spacing w:line="276" w:lineRule="auto"/>
        <w:rPr>
          <w:rFonts w:ascii="Times New Roman" w:hAnsi="Times New Roman" w:cs="Times New Roman"/>
          <w:sz w:val="24"/>
          <w:szCs w:val="24"/>
          <w:lang w:val="it-IT"/>
        </w:rPr>
      </w:pPr>
    </w:p>
    <w:p w14:paraId="267E4EC0" w14:textId="77777777" w:rsidR="0020568F" w:rsidRPr="007C7083" w:rsidRDefault="0020568F" w:rsidP="005D0190">
      <w:pPr>
        <w:spacing w:line="276" w:lineRule="auto"/>
        <w:rPr>
          <w:rFonts w:ascii="Times New Roman" w:hAnsi="Times New Roman" w:cs="Times New Roman"/>
          <w:sz w:val="24"/>
          <w:szCs w:val="24"/>
          <w:lang w:val="it-IT"/>
        </w:rPr>
      </w:pPr>
    </w:p>
    <w:sectPr w:rsidR="0020568F" w:rsidRPr="007C7083" w:rsidSect="0044072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AFCB" w14:textId="77777777" w:rsidR="0062736A" w:rsidRDefault="0062736A" w:rsidP="005E40D5">
      <w:pPr>
        <w:spacing w:after="0" w:line="240" w:lineRule="auto"/>
      </w:pPr>
      <w:r>
        <w:separator/>
      </w:r>
    </w:p>
  </w:endnote>
  <w:endnote w:type="continuationSeparator" w:id="0">
    <w:p w14:paraId="1EAE352A" w14:textId="77777777" w:rsidR="0062736A" w:rsidRDefault="0062736A" w:rsidP="005E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4B44" w14:textId="77777777" w:rsidR="005E40D5" w:rsidRDefault="005E4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FB93" w14:textId="77777777" w:rsidR="005E40D5" w:rsidRDefault="005E4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B627" w14:textId="77777777" w:rsidR="005E40D5" w:rsidRDefault="005E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A0D4" w14:textId="77777777" w:rsidR="0062736A" w:rsidRDefault="0062736A" w:rsidP="005E40D5">
      <w:pPr>
        <w:spacing w:after="0" w:line="240" w:lineRule="auto"/>
      </w:pPr>
      <w:r>
        <w:separator/>
      </w:r>
    </w:p>
  </w:footnote>
  <w:footnote w:type="continuationSeparator" w:id="0">
    <w:p w14:paraId="22E8E53D" w14:textId="77777777" w:rsidR="0062736A" w:rsidRDefault="0062736A" w:rsidP="005E4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4DF3" w14:textId="309D9D35" w:rsidR="005E40D5" w:rsidRDefault="005E40D5">
    <w:pPr>
      <w:pStyle w:val="Header"/>
    </w:pPr>
    <w:r>
      <w:rPr>
        <w:noProof/>
      </w:rPr>
      <w:pict w14:anchorId="24962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2DD1" w14:textId="68D13478" w:rsidR="005E40D5" w:rsidRDefault="005E40D5">
    <w:pPr>
      <w:pStyle w:val="Header"/>
    </w:pPr>
    <w:r>
      <w:rPr>
        <w:noProof/>
      </w:rPr>
      <w:pict w14:anchorId="0765D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8E02" w14:textId="32F6F36E" w:rsidR="005E40D5" w:rsidRDefault="005E40D5">
    <w:pPr>
      <w:pStyle w:val="Header"/>
    </w:pPr>
    <w:r>
      <w:rPr>
        <w:noProof/>
      </w:rPr>
      <w:pict w14:anchorId="28DFF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41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2292"/>
    <w:multiLevelType w:val="multilevel"/>
    <w:tmpl w:val="06F8A55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877D62"/>
    <w:multiLevelType w:val="multilevel"/>
    <w:tmpl w:val="06926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8F78BD"/>
    <w:multiLevelType w:val="hybridMultilevel"/>
    <w:tmpl w:val="EB8CD894"/>
    <w:lvl w:ilvl="0" w:tplc="6A860A3C">
      <w:start w:val="1"/>
      <w:numFmt w:val="lowerRoman"/>
      <w:lvlText w:val="%1."/>
      <w:lvlJc w:val="left"/>
      <w:pPr>
        <w:ind w:left="1440" w:hanging="720"/>
      </w:pPr>
      <w:rPr>
        <w:rFonts w:hint="default"/>
        <w:b/>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BA2B33"/>
    <w:multiLevelType w:val="hybridMultilevel"/>
    <w:tmpl w:val="BC885FE0"/>
    <w:lvl w:ilvl="0" w:tplc="BF0EF9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D0"/>
    <w:rsid w:val="00014F8A"/>
    <w:rsid w:val="00017F60"/>
    <w:rsid w:val="000736C4"/>
    <w:rsid w:val="00094D53"/>
    <w:rsid w:val="000B07CA"/>
    <w:rsid w:val="000B1D7B"/>
    <w:rsid w:val="000C7C99"/>
    <w:rsid w:val="000F081F"/>
    <w:rsid w:val="00101EB6"/>
    <w:rsid w:val="00103211"/>
    <w:rsid w:val="001345E8"/>
    <w:rsid w:val="0015058E"/>
    <w:rsid w:val="00154464"/>
    <w:rsid w:val="00196E7C"/>
    <w:rsid w:val="0020568F"/>
    <w:rsid w:val="00232835"/>
    <w:rsid w:val="002A28A5"/>
    <w:rsid w:val="002B02F9"/>
    <w:rsid w:val="003336FB"/>
    <w:rsid w:val="00346C48"/>
    <w:rsid w:val="003E2517"/>
    <w:rsid w:val="00406DFC"/>
    <w:rsid w:val="00440721"/>
    <w:rsid w:val="004A5486"/>
    <w:rsid w:val="004D280D"/>
    <w:rsid w:val="004E761B"/>
    <w:rsid w:val="00503B74"/>
    <w:rsid w:val="0051145F"/>
    <w:rsid w:val="00550A7D"/>
    <w:rsid w:val="00553F2A"/>
    <w:rsid w:val="005D0190"/>
    <w:rsid w:val="005D6B20"/>
    <w:rsid w:val="005E40D5"/>
    <w:rsid w:val="00624139"/>
    <w:rsid w:val="0062736A"/>
    <w:rsid w:val="00710433"/>
    <w:rsid w:val="00750E42"/>
    <w:rsid w:val="00752649"/>
    <w:rsid w:val="00762C3E"/>
    <w:rsid w:val="00793325"/>
    <w:rsid w:val="007C7083"/>
    <w:rsid w:val="00824682"/>
    <w:rsid w:val="00824DFC"/>
    <w:rsid w:val="00842CD0"/>
    <w:rsid w:val="0087307C"/>
    <w:rsid w:val="00873C94"/>
    <w:rsid w:val="008C3FD8"/>
    <w:rsid w:val="008F68F9"/>
    <w:rsid w:val="00904DE7"/>
    <w:rsid w:val="00930211"/>
    <w:rsid w:val="009B5855"/>
    <w:rsid w:val="009B5EFA"/>
    <w:rsid w:val="009E049F"/>
    <w:rsid w:val="00A91B05"/>
    <w:rsid w:val="00AA56F6"/>
    <w:rsid w:val="00B4316C"/>
    <w:rsid w:val="00B55E59"/>
    <w:rsid w:val="00B71E1E"/>
    <w:rsid w:val="00B944C7"/>
    <w:rsid w:val="00BC2571"/>
    <w:rsid w:val="00BD59C8"/>
    <w:rsid w:val="00C05CF1"/>
    <w:rsid w:val="00C44A07"/>
    <w:rsid w:val="00C746B1"/>
    <w:rsid w:val="00DB31B5"/>
    <w:rsid w:val="00DC6AF0"/>
    <w:rsid w:val="00DD46C0"/>
    <w:rsid w:val="00E22367"/>
    <w:rsid w:val="00E8194C"/>
    <w:rsid w:val="00ED6452"/>
    <w:rsid w:val="00F738D8"/>
    <w:rsid w:val="00FF17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E6E2C5"/>
  <w15:chartTrackingRefBased/>
  <w15:docId w15:val="{1CE64809-7245-4737-8374-8B171FB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C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C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C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C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C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C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C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CD0"/>
    <w:rPr>
      <w:rFonts w:eastAsiaTheme="majorEastAsia" w:cstheme="majorBidi"/>
      <w:color w:val="272727" w:themeColor="text1" w:themeTint="D8"/>
    </w:rPr>
  </w:style>
  <w:style w:type="paragraph" w:styleId="Title">
    <w:name w:val="Title"/>
    <w:basedOn w:val="Normal"/>
    <w:next w:val="Normal"/>
    <w:link w:val="TitleChar"/>
    <w:uiPriority w:val="10"/>
    <w:qFormat/>
    <w:rsid w:val="00842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CD0"/>
    <w:pPr>
      <w:spacing w:before="160"/>
      <w:jc w:val="center"/>
    </w:pPr>
    <w:rPr>
      <w:i/>
      <w:iCs/>
      <w:color w:val="404040" w:themeColor="text1" w:themeTint="BF"/>
    </w:rPr>
  </w:style>
  <w:style w:type="character" w:customStyle="1" w:styleId="QuoteChar">
    <w:name w:val="Quote Char"/>
    <w:basedOn w:val="DefaultParagraphFont"/>
    <w:link w:val="Quote"/>
    <w:uiPriority w:val="29"/>
    <w:rsid w:val="00842CD0"/>
    <w:rPr>
      <w:i/>
      <w:iCs/>
      <w:color w:val="404040" w:themeColor="text1" w:themeTint="BF"/>
    </w:rPr>
  </w:style>
  <w:style w:type="paragraph" w:styleId="ListParagraph">
    <w:name w:val="List Paragraph"/>
    <w:basedOn w:val="Normal"/>
    <w:uiPriority w:val="34"/>
    <w:qFormat/>
    <w:rsid w:val="00842CD0"/>
    <w:pPr>
      <w:ind w:left="720"/>
      <w:contextualSpacing/>
    </w:pPr>
  </w:style>
  <w:style w:type="character" w:styleId="IntenseEmphasis">
    <w:name w:val="Intense Emphasis"/>
    <w:basedOn w:val="DefaultParagraphFont"/>
    <w:uiPriority w:val="21"/>
    <w:qFormat/>
    <w:rsid w:val="00842CD0"/>
    <w:rPr>
      <w:i/>
      <w:iCs/>
      <w:color w:val="2F5496" w:themeColor="accent1" w:themeShade="BF"/>
    </w:rPr>
  </w:style>
  <w:style w:type="paragraph" w:styleId="IntenseQuote">
    <w:name w:val="Intense Quote"/>
    <w:basedOn w:val="Normal"/>
    <w:next w:val="Normal"/>
    <w:link w:val="IntenseQuoteChar"/>
    <w:uiPriority w:val="30"/>
    <w:qFormat/>
    <w:rsid w:val="0084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CD0"/>
    <w:rPr>
      <w:i/>
      <w:iCs/>
      <w:color w:val="2F5496" w:themeColor="accent1" w:themeShade="BF"/>
    </w:rPr>
  </w:style>
  <w:style w:type="character" w:styleId="IntenseReference">
    <w:name w:val="Intense Reference"/>
    <w:basedOn w:val="DefaultParagraphFont"/>
    <w:uiPriority w:val="32"/>
    <w:qFormat/>
    <w:rsid w:val="00842CD0"/>
    <w:rPr>
      <w:b/>
      <w:bCs/>
      <w:smallCaps/>
      <w:color w:val="2F5496" w:themeColor="accent1" w:themeShade="BF"/>
      <w:spacing w:val="5"/>
    </w:rPr>
  </w:style>
  <w:style w:type="table" w:styleId="PlainTable2">
    <w:name w:val="Plain Table 2"/>
    <w:basedOn w:val="TableNormal"/>
    <w:uiPriority w:val="42"/>
    <w:rsid w:val="002056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0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44A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53F2A"/>
    <w:rPr>
      <w:color w:val="0563C1" w:themeColor="hyperlink"/>
      <w:u w:val="single"/>
    </w:rPr>
  </w:style>
  <w:style w:type="character" w:styleId="UnresolvedMention">
    <w:name w:val="Unresolved Mention"/>
    <w:basedOn w:val="DefaultParagraphFont"/>
    <w:uiPriority w:val="99"/>
    <w:semiHidden/>
    <w:unhideWhenUsed/>
    <w:rsid w:val="00553F2A"/>
    <w:rPr>
      <w:color w:val="605E5C"/>
      <w:shd w:val="clear" w:color="auto" w:fill="E1DFDD"/>
    </w:rPr>
  </w:style>
  <w:style w:type="paragraph" w:styleId="Header">
    <w:name w:val="header"/>
    <w:basedOn w:val="Normal"/>
    <w:link w:val="HeaderChar"/>
    <w:uiPriority w:val="99"/>
    <w:unhideWhenUsed/>
    <w:rsid w:val="005E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D5"/>
  </w:style>
  <w:style w:type="paragraph" w:styleId="Footer">
    <w:name w:val="footer"/>
    <w:basedOn w:val="Normal"/>
    <w:link w:val="FooterChar"/>
    <w:uiPriority w:val="99"/>
    <w:unhideWhenUsed/>
    <w:rsid w:val="005E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30982">
      <w:bodyDiv w:val="1"/>
      <w:marLeft w:val="0"/>
      <w:marRight w:val="0"/>
      <w:marTop w:val="0"/>
      <w:marBottom w:val="0"/>
      <w:divBdr>
        <w:top w:val="none" w:sz="0" w:space="0" w:color="auto"/>
        <w:left w:val="none" w:sz="0" w:space="0" w:color="auto"/>
        <w:bottom w:val="none" w:sz="0" w:space="0" w:color="auto"/>
        <w:right w:val="none" w:sz="0" w:space="0" w:color="auto"/>
      </w:divBdr>
    </w:div>
    <w:div w:id="260800373">
      <w:bodyDiv w:val="1"/>
      <w:marLeft w:val="0"/>
      <w:marRight w:val="0"/>
      <w:marTop w:val="0"/>
      <w:marBottom w:val="0"/>
      <w:divBdr>
        <w:top w:val="none" w:sz="0" w:space="0" w:color="auto"/>
        <w:left w:val="none" w:sz="0" w:space="0" w:color="auto"/>
        <w:bottom w:val="none" w:sz="0" w:space="0" w:color="auto"/>
        <w:right w:val="none" w:sz="0" w:space="0" w:color="auto"/>
      </w:divBdr>
    </w:div>
    <w:div w:id="413094882">
      <w:bodyDiv w:val="1"/>
      <w:marLeft w:val="0"/>
      <w:marRight w:val="0"/>
      <w:marTop w:val="0"/>
      <w:marBottom w:val="0"/>
      <w:divBdr>
        <w:top w:val="none" w:sz="0" w:space="0" w:color="auto"/>
        <w:left w:val="none" w:sz="0" w:space="0" w:color="auto"/>
        <w:bottom w:val="none" w:sz="0" w:space="0" w:color="auto"/>
        <w:right w:val="none" w:sz="0" w:space="0" w:color="auto"/>
      </w:divBdr>
    </w:div>
    <w:div w:id="450173837">
      <w:bodyDiv w:val="1"/>
      <w:marLeft w:val="0"/>
      <w:marRight w:val="0"/>
      <w:marTop w:val="0"/>
      <w:marBottom w:val="0"/>
      <w:divBdr>
        <w:top w:val="none" w:sz="0" w:space="0" w:color="auto"/>
        <w:left w:val="none" w:sz="0" w:space="0" w:color="auto"/>
        <w:bottom w:val="none" w:sz="0" w:space="0" w:color="auto"/>
        <w:right w:val="none" w:sz="0" w:space="0" w:color="auto"/>
      </w:divBdr>
    </w:div>
    <w:div w:id="455102136">
      <w:bodyDiv w:val="1"/>
      <w:marLeft w:val="0"/>
      <w:marRight w:val="0"/>
      <w:marTop w:val="0"/>
      <w:marBottom w:val="0"/>
      <w:divBdr>
        <w:top w:val="none" w:sz="0" w:space="0" w:color="auto"/>
        <w:left w:val="none" w:sz="0" w:space="0" w:color="auto"/>
        <w:bottom w:val="none" w:sz="0" w:space="0" w:color="auto"/>
        <w:right w:val="none" w:sz="0" w:space="0" w:color="auto"/>
      </w:divBdr>
    </w:div>
    <w:div w:id="483200658">
      <w:bodyDiv w:val="1"/>
      <w:marLeft w:val="0"/>
      <w:marRight w:val="0"/>
      <w:marTop w:val="0"/>
      <w:marBottom w:val="0"/>
      <w:divBdr>
        <w:top w:val="none" w:sz="0" w:space="0" w:color="auto"/>
        <w:left w:val="none" w:sz="0" w:space="0" w:color="auto"/>
        <w:bottom w:val="none" w:sz="0" w:space="0" w:color="auto"/>
        <w:right w:val="none" w:sz="0" w:space="0" w:color="auto"/>
      </w:divBdr>
    </w:div>
    <w:div w:id="495069511">
      <w:bodyDiv w:val="1"/>
      <w:marLeft w:val="0"/>
      <w:marRight w:val="0"/>
      <w:marTop w:val="0"/>
      <w:marBottom w:val="0"/>
      <w:divBdr>
        <w:top w:val="none" w:sz="0" w:space="0" w:color="auto"/>
        <w:left w:val="none" w:sz="0" w:space="0" w:color="auto"/>
        <w:bottom w:val="none" w:sz="0" w:space="0" w:color="auto"/>
        <w:right w:val="none" w:sz="0" w:space="0" w:color="auto"/>
      </w:divBdr>
    </w:div>
    <w:div w:id="543565013">
      <w:bodyDiv w:val="1"/>
      <w:marLeft w:val="0"/>
      <w:marRight w:val="0"/>
      <w:marTop w:val="0"/>
      <w:marBottom w:val="0"/>
      <w:divBdr>
        <w:top w:val="none" w:sz="0" w:space="0" w:color="auto"/>
        <w:left w:val="none" w:sz="0" w:space="0" w:color="auto"/>
        <w:bottom w:val="none" w:sz="0" w:space="0" w:color="auto"/>
        <w:right w:val="none" w:sz="0" w:space="0" w:color="auto"/>
      </w:divBdr>
    </w:div>
    <w:div w:id="710886757">
      <w:bodyDiv w:val="1"/>
      <w:marLeft w:val="0"/>
      <w:marRight w:val="0"/>
      <w:marTop w:val="0"/>
      <w:marBottom w:val="0"/>
      <w:divBdr>
        <w:top w:val="none" w:sz="0" w:space="0" w:color="auto"/>
        <w:left w:val="none" w:sz="0" w:space="0" w:color="auto"/>
        <w:bottom w:val="none" w:sz="0" w:space="0" w:color="auto"/>
        <w:right w:val="none" w:sz="0" w:space="0" w:color="auto"/>
      </w:divBdr>
    </w:div>
    <w:div w:id="846477079">
      <w:bodyDiv w:val="1"/>
      <w:marLeft w:val="0"/>
      <w:marRight w:val="0"/>
      <w:marTop w:val="0"/>
      <w:marBottom w:val="0"/>
      <w:divBdr>
        <w:top w:val="none" w:sz="0" w:space="0" w:color="auto"/>
        <w:left w:val="none" w:sz="0" w:space="0" w:color="auto"/>
        <w:bottom w:val="none" w:sz="0" w:space="0" w:color="auto"/>
        <w:right w:val="none" w:sz="0" w:space="0" w:color="auto"/>
      </w:divBdr>
    </w:div>
    <w:div w:id="877277724">
      <w:bodyDiv w:val="1"/>
      <w:marLeft w:val="0"/>
      <w:marRight w:val="0"/>
      <w:marTop w:val="0"/>
      <w:marBottom w:val="0"/>
      <w:divBdr>
        <w:top w:val="none" w:sz="0" w:space="0" w:color="auto"/>
        <w:left w:val="none" w:sz="0" w:space="0" w:color="auto"/>
        <w:bottom w:val="none" w:sz="0" w:space="0" w:color="auto"/>
        <w:right w:val="none" w:sz="0" w:space="0" w:color="auto"/>
      </w:divBdr>
    </w:div>
    <w:div w:id="890114283">
      <w:bodyDiv w:val="1"/>
      <w:marLeft w:val="0"/>
      <w:marRight w:val="0"/>
      <w:marTop w:val="0"/>
      <w:marBottom w:val="0"/>
      <w:divBdr>
        <w:top w:val="none" w:sz="0" w:space="0" w:color="auto"/>
        <w:left w:val="none" w:sz="0" w:space="0" w:color="auto"/>
        <w:bottom w:val="none" w:sz="0" w:space="0" w:color="auto"/>
        <w:right w:val="none" w:sz="0" w:space="0" w:color="auto"/>
      </w:divBdr>
    </w:div>
    <w:div w:id="919212558">
      <w:bodyDiv w:val="1"/>
      <w:marLeft w:val="0"/>
      <w:marRight w:val="0"/>
      <w:marTop w:val="0"/>
      <w:marBottom w:val="0"/>
      <w:divBdr>
        <w:top w:val="none" w:sz="0" w:space="0" w:color="auto"/>
        <w:left w:val="none" w:sz="0" w:space="0" w:color="auto"/>
        <w:bottom w:val="none" w:sz="0" w:space="0" w:color="auto"/>
        <w:right w:val="none" w:sz="0" w:space="0" w:color="auto"/>
      </w:divBdr>
    </w:div>
    <w:div w:id="920065507">
      <w:bodyDiv w:val="1"/>
      <w:marLeft w:val="0"/>
      <w:marRight w:val="0"/>
      <w:marTop w:val="0"/>
      <w:marBottom w:val="0"/>
      <w:divBdr>
        <w:top w:val="none" w:sz="0" w:space="0" w:color="auto"/>
        <w:left w:val="none" w:sz="0" w:space="0" w:color="auto"/>
        <w:bottom w:val="none" w:sz="0" w:space="0" w:color="auto"/>
        <w:right w:val="none" w:sz="0" w:space="0" w:color="auto"/>
      </w:divBdr>
    </w:div>
    <w:div w:id="963190711">
      <w:bodyDiv w:val="1"/>
      <w:marLeft w:val="0"/>
      <w:marRight w:val="0"/>
      <w:marTop w:val="0"/>
      <w:marBottom w:val="0"/>
      <w:divBdr>
        <w:top w:val="none" w:sz="0" w:space="0" w:color="auto"/>
        <w:left w:val="none" w:sz="0" w:space="0" w:color="auto"/>
        <w:bottom w:val="none" w:sz="0" w:space="0" w:color="auto"/>
        <w:right w:val="none" w:sz="0" w:space="0" w:color="auto"/>
      </w:divBdr>
    </w:div>
    <w:div w:id="996298337">
      <w:bodyDiv w:val="1"/>
      <w:marLeft w:val="0"/>
      <w:marRight w:val="0"/>
      <w:marTop w:val="0"/>
      <w:marBottom w:val="0"/>
      <w:divBdr>
        <w:top w:val="none" w:sz="0" w:space="0" w:color="auto"/>
        <w:left w:val="none" w:sz="0" w:space="0" w:color="auto"/>
        <w:bottom w:val="none" w:sz="0" w:space="0" w:color="auto"/>
        <w:right w:val="none" w:sz="0" w:space="0" w:color="auto"/>
      </w:divBdr>
    </w:div>
    <w:div w:id="1129543806">
      <w:bodyDiv w:val="1"/>
      <w:marLeft w:val="0"/>
      <w:marRight w:val="0"/>
      <w:marTop w:val="0"/>
      <w:marBottom w:val="0"/>
      <w:divBdr>
        <w:top w:val="none" w:sz="0" w:space="0" w:color="auto"/>
        <w:left w:val="none" w:sz="0" w:space="0" w:color="auto"/>
        <w:bottom w:val="none" w:sz="0" w:space="0" w:color="auto"/>
        <w:right w:val="none" w:sz="0" w:space="0" w:color="auto"/>
      </w:divBdr>
    </w:div>
    <w:div w:id="1134835212">
      <w:bodyDiv w:val="1"/>
      <w:marLeft w:val="0"/>
      <w:marRight w:val="0"/>
      <w:marTop w:val="0"/>
      <w:marBottom w:val="0"/>
      <w:divBdr>
        <w:top w:val="none" w:sz="0" w:space="0" w:color="auto"/>
        <w:left w:val="none" w:sz="0" w:space="0" w:color="auto"/>
        <w:bottom w:val="none" w:sz="0" w:space="0" w:color="auto"/>
        <w:right w:val="none" w:sz="0" w:space="0" w:color="auto"/>
      </w:divBdr>
    </w:div>
    <w:div w:id="1178497578">
      <w:bodyDiv w:val="1"/>
      <w:marLeft w:val="0"/>
      <w:marRight w:val="0"/>
      <w:marTop w:val="0"/>
      <w:marBottom w:val="0"/>
      <w:divBdr>
        <w:top w:val="none" w:sz="0" w:space="0" w:color="auto"/>
        <w:left w:val="none" w:sz="0" w:space="0" w:color="auto"/>
        <w:bottom w:val="none" w:sz="0" w:space="0" w:color="auto"/>
        <w:right w:val="none" w:sz="0" w:space="0" w:color="auto"/>
      </w:divBdr>
    </w:div>
    <w:div w:id="1278097913">
      <w:bodyDiv w:val="1"/>
      <w:marLeft w:val="0"/>
      <w:marRight w:val="0"/>
      <w:marTop w:val="0"/>
      <w:marBottom w:val="0"/>
      <w:divBdr>
        <w:top w:val="none" w:sz="0" w:space="0" w:color="auto"/>
        <w:left w:val="none" w:sz="0" w:space="0" w:color="auto"/>
        <w:bottom w:val="none" w:sz="0" w:space="0" w:color="auto"/>
        <w:right w:val="none" w:sz="0" w:space="0" w:color="auto"/>
      </w:divBdr>
    </w:div>
    <w:div w:id="1362583995">
      <w:bodyDiv w:val="1"/>
      <w:marLeft w:val="0"/>
      <w:marRight w:val="0"/>
      <w:marTop w:val="0"/>
      <w:marBottom w:val="0"/>
      <w:divBdr>
        <w:top w:val="none" w:sz="0" w:space="0" w:color="auto"/>
        <w:left w:val="none" w:sz="0" w:space="0" w:color="auto"/>
        <w:bottom w:val="none" w:sz="0" w:space="0" w:color="auto"/>
        <w:right w:val="none" w:sz="0" w:space="0" w:color="auto"/>
      </w:divBdr>
    </w:div>
    <w:div w:id="1383560941">
      <w:bodyDiv w:val="1"/>
      <w:marLeft w:val="0"/>
      <w:marRight w:val="0"/>
      <w:marTop w:val="0"/>
      <w:marBottom w:val="0"/>
      <w:divBdr>
        <w:top w:val="none" w:sz="0" w:space="0" w:color="auto"/>
        <w:left w:val="none" w:sz="0" w:space="0" w:color="auto"/>
        <w:bottom w:val="none" w:sz="0" w:space="0" w:color="auto"/>
        <w:right w:val="none" w:sz="0" w:space="0" w:color="auto"/>
      </w:divBdr>
    </w:div>
    <w:div w:id="1482499745">
      <w:bodyDiv w:val="1"/>
      <w:marLeft w:val="0"/>
      <w:marRight w:val="0"/>
      <w:marTop w:val="0"/>
      <w:marBottom w:val="0"/>
      <w:divBdr>
        <w:top w:val="none" w:sz="0" w:space="0" w:color="auto"/>
        <w:left w:val="none" w:sz="0" w:space="0" w:color="auto"/>
        <w:bottom w:val="none" w:sz="0" w:space="0" w:color="auto"/>
        <w:right w:val="none" w:sz="0" w:space="0" w:color="auto"/>
      </w:divBdr>
    </w:div>
    <w:div w:id="1510558117">
      <w:bodyDiv w:val="1"/>
      <w:marLeft w:val="0"/>
      <w:marRight w:val="0"/>
      <w:marTop w:val="0"/>
      <w:marBottom w:val="0"/>
      <w:divBdr>
        <w:top w:val="none" w:sz="0" w:space="0" w:color="auto"/>
        <w:left w:val="none" w:sz="0" w:space="0" w:color="auto"/>
        <w:bottom w:val="none" w:sz="0" w:space="0" w:color="auto"/>
        <w:right w:val="none" w:sz="0" w:space="0" w:color="auto"/>
      </w:divBdr>
    </w:div>
    <w:div w:id="1543712492">
      <w:bodyDiv w:val="1"/>
      <w:marLeft w:val="0"/>
      <w:marRight w:val="0"/>
      <w:marTop w:val="0"/>
      <w:marBottom w:val="0"/>
      <w:divBdr>
        <w:top w:val="none" w:sz="0" w:space="0" w:color="auto"/>
        <w:left w:val="none" w:sz="0" w:space="0" w:color="auto"/>
        <w:bottom w:val="none" w:sz="0" w:space="0" w:color="auto"/>
        <w:right w:val="none" w:sz="0" w:space="0" w:color="auto"/>
      </w:divBdr>
    </w:div>
    <w:div w:id="1566719259">
      <w:bodyDiv w:val="1"/>
      <w:marLeft w:val="0"/>
      <w:marRight w:val="0"/>
      <w:marTop w:val="0"/>
      <w:marBottom w:val="0"/>
      <w:divBdr>
        <w:top w:val="none" w:sz="0" w:space="0" w:color="auto"/>
        <w:left w:val="none" w:sz="0" w:space="0" w:color="auto"/>
        <w:bottom w:val="none" w:sz="0" w:space="0" w:color="auto"/>
        <w:right w:val="none" w:sz="0" w:space="0" w:color="auto"/>
      </w:divBdr>
    </w:div>
    <w:div w:id="1627656862">
      <w:bodyDiv w:val="1"/>
      <w:marLeft w:val="0"/>
      <w:marRight w:val="0"/>
      <w:marTop w:val="0"/>
      <w:marBottom w:val="0"/>
      <w:divBdr>
        <w:top w:val="none" w:sz="0" w:space="0" w:color="auto"/>
        <w:left w:val="none" w:sz="0" w:space="0" w:color="auto"/>
        <w:bottom w:val="none" w:sz="0" w:space="0" w:color="auto"/>
        <w:right w:val="none" w:sz="0" w:space="0" w:color="auto"/>
      </w:divBdr>
    </w:div>
    <w:div w:id="1662463076">
      <w:bodyDiv w:val="1"/>
      <w:marLeft w:val="0"/>
      <w:marRight w:val="0"/>
      <w:marTop w:val="0"/>
      <w:marBottom w:val="0"/>
      <w:divBdr>
        <w:top w:val="none" w:sz="0" w:space="0" w:color="auto"/>
        <w:left w:val="none" w:sz="0" w:space="0" w:color="auto"/>
        <w:bottom w:val="none" w:sz="0" w:space="0" w:color="auto"/>
        <w:right w:val="none" w:sz="0" w:space="0" w:color="auto"/>
      </w:divBdr>
    </w:div>
    <w:div w:id="1906796148">
      <w:bodyDiv w:val="1"/>
      <w:marLeft w:val="0"/>
      <w:marRight w:val="0"/>
      <w:marTop w:val="0"/>
      <w:marBottom w:val="0"/>
      <w:divBdr>
        <w:top w:val="none" w:sz="0" w:space="0" w:color="auto"/>
        <w:left w:val="none" w:sz="0" w:space="0" w:color="auto"/>
        <w:bottom w:val="none" w:sz="0" w:space="0" w:color="auto"/>
        <w:right w:val="none" w:sz="0" w:space="0" w:color="auto"/>
      </w:divBdr>
    </w:div>
    <w:div w:id="2045396575">
      <w:bodyDiv w:val="1"/>
      <w:marLeft w:val="0"/>
      <w:marRight w:val="0"/>
      <w:marTop w:val="0"/>
      <w:marBottom w:val="0"/>
      <w:divBdr>
        <w:top w:val="none" w:sz="0" w:space="0" w:color="auto"/>
        <w:left w:val="none" w:sz="0" w:space="0" w:color="auto"/>
        <w:bottom w:val="none" w:sz="0" w:space="0" w:color="auto"/>
        <w:right w:val="none" w:sz="0" w:space="0" w:color="auto"/>
      </w:divBdr>
    </w:div>
    <w:div w:id="2120832426">
      <w:bodyDiv w:val="1"/>
      <w:marLeft w:val="0"/>
      <w:marRight w:val="0"/>
      <w:marTop w:val="0"/>
      <w:marBottom w:val="0"/>
      <w:divBdr>
        <w:top w:val="none" w:sz="0" w:space="0" w:color="auto"/>
        <w:left w:val="none" w:sz="0" w:space="0" w:color="auto"/>
        <w:bottom w:val="none" w:sz="0" w:space="0" w:color="auto"/>
        <w:right w:val="none" w:sz="0" w:space="0" w:color="auto"/>
      </w:divBdr>
    </w:div>
    <w:div w:id="21374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28BC-D52B-4BD5-946C-0D48B6F3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madari ajay kumar</dc:creator>
  <cp:keywords/>
  <dc:description/>
  <cp:lastModifiedBy>SDI 1180</cp:lastModifiedBy>
  <cp:revision>46</cp:revision>
  <dcterms:created xsi:type="dcterms:W3CDTF">2025-06-19T15:17:00Z</dcterms:created>
  <dcterms:modified xsi:type="dcterms:W3CDTF">2025-07-08T12:18:00Z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d79d2ab2-265a-4c12-875a-fdfd4de19543</vt:lpwstr>
  </property>
</Properties>
</file>