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C323F" w14:textId="54F9E303" w:rsidR="00D81F2E" w:rsidRDefault="00810DBC" w:rsidP="00C424A4">
      <w:pPr>
        <w:jc w:val="center"/>
      </w:pPr>
      <w:r>
        <w:t xml:space="preserve"> </w:t>
      </w:r>
    </w:p>
    <w:p w14:paraId="19A54D74" w14:textId="37F9EDFF" w:rsidR="0013167B" w:rsidRPr="00FF3D42" w:rsidRDefault="00D7528D" w:rsidP="00C424A4">
      <w:pPr>
        <w:jc w:val="center"/>
      </w:pPr>
      <w:r>
        <w:t>Assessment of</w:t>
      </w:r>
      <w:r w:rsidR="00035EA8" w:rsidRPr="00FF3D42">
        <w:t xml:space="preserve"> </w:t>
      </w:r>
      <w:r w:rsidR="00637453">
        <w:t xml:space="preserve">Vitamin </w:t>
      </w:r>
      <w:r w:rsidR="00EB783C">
        <w:t xml:space="preserve">A and D </w:t>
      </w:r>
      <w:r w:rsidR="00637453">
        <w:t>Status in Male Patients with Prostate Disorders in Lagos,</w:t>
      </w:r>
      <w:r w:rsidR="00C424A4" w:rsidRPr="00FF3D42">
        <w:t xml:space="preserve"> </w:t>
      </w:r>
      <w:r w:rsidR="00035EA8" w:rsidRPr="00FF3D42">
        <w:t>Nigeria</w:t>
      </w:r>
      <w:r w:rsidR="00C424A4" w:rsidRPr="00FF3D42">
        <w:t>.</w:t>
      </w:r>
    </w:p>
    <w:p w14:paraId="41D3B8CD" w14:textId="77777777" w:rsidR="0048432B" w:rsidRDefault="0048432B" w:rsidP="00760CE5">
      <w:pPr>
        <w:jc w:val="both"/>
        <w:rPr>
          <w:b/>
          <w:bCs/>
        </w:rPr>
      </w:pPr>
    </w:p>
    <w:p w14:paraId="372536D0" w14:textId="77777777" w:rsidR="0048432B" w:rsidRDefault="0048432B" w:rsidP="00760CE5">
      <w:pPr>
        <w:jc w:val="both"/>
        <w:rPr>
          <w:b/>
          <w:bCs/>
        </w:rPr>
      </w:pPr>
    </w:p>
    <w:p w14:paraId="08A4D6ED" w14:textId="726566CA" w:rsidR="00760CE5" w:rsidRPr="00760CE5" w:rsidRDefault="00760CE5" w:rsidP="00760CE5">
      <w:pPr>
        <w:jc w:val="both"/>
        <w:rPr>
          <w:b/>
          <w:bCs/>
        </w:rPr>
      </w:pPr>
      <w:r w:rsidRPr="00760CE5">
        <w:rPr>
          <w:b/>
          <w:bCs/>
        </w:rPr>
        <w:t>Abstract</w:t>
      </w:r>
    </w:p>
    <w:p w14:paraId="02ADE531" w14:textId="2800EF34" w:rsidR="00EB783C" w:rsidRDefault="00A406EC" w:rsidP="00760CE5">
      <w:pPr>
        <w:jc w:val="both"/>
      </w:pPr>
      <w:r w:rsidRPr="0079033C">
        <w:rPr>
          <w:b/>
          <w:bCs/>
        </w:rPr>
        <w:t>Background</w:t>
      </w:r>
      <w:r w:rsidR="00A104D5">
        <w:rPr>
          <w:b/>
          <w:bCs/>
        </w:rPr>
        <w:t>.</w:t>
      </w:r>
      <w:r w:rsidR="0079033C">
        <w:t xml:space="preserve"> Vitamin</w:t>
      </w:r>
      <w:r w:rsidR="00760CE5">
        <w:t xml:space="preserve"> A and D are both </w:t>
      </w:r>
      <w:r w:rsidR="00637453">
        <w:t>fat-soluble</w:t>
      </w:r>
      <w:r w:rsidR="00760CE5">
        <w:t xml:space="preserve"> vitamins that are crucial for maintaining overall health and </w:t>
      </w:r>
      <w:r w:rsidR="00637453">
        <w:t>are highly indispensable, despite their minimal daily requirements</w:t>
      </w:r>
      <w:r w:rsidR="00760CE5">
        <w:t xml:space="preserve">. Their involvement in cell proliferation, differentiation, and apoptosis has </w:t>
      </w:r>
      <w:r w:rsidR="00EB783C">
        <w:t xml:space="preserve">linked them to the development of different </w:t>
      </w:r>
      <w:proofErr w:type="spellStart"/>
      <w:r w:rsidR="00EB783C">
        <w:t>tumours</w:t>
      </w:r>
      <w:proofErr w:type="spellEnd"/>
      <w:r w:rsidR="00EB783C">
        <w:t>, particularly those</w:t>
      </w:r>
      <w:r w:rsidR="00760CE5">
        <w:t xml:space="preserve"> associated with an increased risk of benign prostatic hyperplasia (BPH) and prostate cancer</w:t>
      </w:r>
      <w:r w:rsidR="00EB783C">
        <w:t>.</w:t>
      </w:r>
    </w:p>
    <w:p w14:paraId="064ADFA7" w14:textId="724F4FAC" w:rsidR="00637453" w:rsidRDefault="00EB783C" w:rsidP="00760CE5">
      <w:pPr>
        <w:jc w:val="both"/>
      </w:pPr>
      <w:r w:rsidRPr="0048432B">
        <w:rPr>
          <w:b/>
        </w:rPr>
        <w:t>Objective:</w:t>
      </w:r>
      <w:r w:rsidRPr="00EB783C">
        <w:t xml:space="preserve"> </w:t>
      </w:r>
      <w:r>
        <w:t>T</w:t>
      </w:r>
      <w:r w:rsidR="00760CE5">
        <w:t xml:space="preserve">his study </w:t>
      </w:r>
      <w:r>
        <w:t>aims</w:t>
      </w:r>
      <w:r w:rsidR="00760CE5">
        <w:t xml:space="preserve"> </w:t>
      </w:r>
      <w:r>
        <w:t>to assess</w:t>
      </w:r>
      <w:r w:rsidR="00760CE5">
        <w:t xml:space="preserve"> the levels of vitamin A and D among adult men with BPH and prostate cancers attending </w:t>
      </w:r>
      <w:r>
        <w:t xml:space="preserve">the </w:t>
      </w:r>
      <w:r w:rsidR="006147F3">
        <w:t>clinic at the</w:t>
      </w:r>
      <w:r w:rsidR="00760CE5">
        <w:t xml:space="preserve"> Lagos </w:t>
      </w:r>
      <w:r w:rsidR="006147F3">
        <w:t>University</w:t>
      </w:r>
      <w:r>
        <w:t xml:space="preserve"> Teaching Hospital</w:t>
      </w:r>
      <w:r w:rsidR="00760CE5">
        <w:t xml:space="preserve">, </w:t>
      </w:r>
      <w:r>
        <w:t>to establish</w:t>
      </w:r>
      <w:r w:rsidR="00760CE5">
        <w:t xml:space="preserve"> any form of relationship between these vitamins and the disease conditions. </w:t>
      </w:r>
    </w:p>
    <w:p w14:paraId="2BAF1084" w14:textId="73A9A3AA" w:rsidR="00637453" w:rsidRDefault="00A104D5" w:rsidP="00760CE5">
      <w:pPr>
        <w:jc w:val="both"/>
      </w:pPr>
      <w:r w:rsidRPr="00A104D5">
        <w:rPr>
          <w:b/>
          <w:bCs/>
        </w:rPr>
        <w:t>Methods.</w:t>
      </w:r>
      <w:r>
        <w:t xml:space="preserve"> A</w:t>
      </w:r>
      <w:r w:rsidR="00760CE5">
        <w:t xml:space="preserve"> total of one hundred thirty-eight consenting male subjects 50 years and above diagnosed with prostate enlargement (68) or prostate cancer (70) with PSA above 4ng/ml and attended the urology clinic as well as healthy non-prostate diseased subjects’ men (69) attending general clinic all in the Lagos University Teaching Hospital Idi-araba were recruited for the study. A </w:t>
      </w:r>
      <w:r w:rsidR="00637453">
        <w:t>5 mL venous blood sample was collected from subjects and controls</w:t>
      </w:r>
      <w:r w:rsidR="00701DE8">
        <w:t xml:space="preserve">, and the samples were </w:t>
      </w:r>
      <w:r w:rsidR="00637453">
        <w:t>dispensed into specimen containers to determine total PSA and Vitamins A and D</w:t>
      </w:r>
      <w:r w:rsidR="00760CE5">
        <w:t xml:space="preserve"> using </w:t>
      </w:r>
      <w:r w:rsidR="00637453">
        <w:t xml:space="preserve">the </w:t>
      </w:r>
      <w:r w:rsidR="00760CE5">
        <w:t xml:space="preserve">ELISA method. </w:t>
      </w:r>
      <w:r w:rsidR="001E6135">
        <w:t xml:space="preserve"> Data</w:t>
      </w:r>
      <w:r w:rsidR="00760CE5">
        <w:t xml:space="preserve"> generated were subjected to statistica</w:t>
      </w:r>
      <w:r w:rsidR="00EB783C">
        <w:t>l analysis using SPSS version 20</w:t>
      </w:r>
      <w:r w:rsidR="00760CE5">
        <w:t xml:space="preserve"> with the application of mean, student’s test and one-way ANOVA and Pearson’s correlation coefficient</w:t>
      </w:r>
      <w:r w:rsidR="00637453">
        <w:t>, adopting a p-value</w:t>
      </w:r>
      <w:r w:rsidR="00760CE5">
        <w:t xml:space="preserve"> less than 0.05 (p&lt;0.05) as statistically significant.</w:t>
      </w:r>
      <w:r w:rsidR="001E6135">
        <w:t xml:space="preserve"> </w:t>
      </w:r>
    </w:p>
    <w:p w14:paraId="497732B0" w14:textId="1E4A4EDD" w:rsidR="00637453" w:rsidRDefault="001E6135" w:rsidP="00760CE5">
      <w:pPr>
        <w:jc w:val="both"/>
      </w:pPr>
      <w:r w:rsidRPr="001E6135">
        <w:rPr>
          <w:b/>
          <w:bCs/>
        </w:rPr>
        <w:t>Results.</w:t>
      </w:r>
      <w:r w:rsidR="00760CE5">
        <w:t xml:space="preserve"> </w:t>
      </w:r>
      <w:bookmarkStart w:id="0" w:name="_Hlk199949154"/>
      <w:r w:rsidR="00760CE5">
        <w:t xml:space="preserve">Vitamin D levels among </w:t>
      </w:r>
      <w:r w:rsidR="00637453">
        <w:t>individuals in the hyperplasia and prostate cancer group were significantly higher than those in the control subjects</w:t>
      </w:r>
      <w:r w:rsidR="00DF7AE9">
        <w:t>. In contrast, vitamin</w:t>
      </w:r>
      <w:r w:rsidR="00701DE8">
        <w:t xml:space="preserve"> A levels showed</w:t>
      </w:r>
      <w:r w:rsidR="00637453">
        <w:t xml:space="preserve"> no significant difference compared to the hyperplasia and prostate cancer group</w:t>
      </w:r>
      <w:r w:rsidR="00760CE5">
        <w:t>.</w:t>
      </w:r>
      <w:bookmarkEnd w:id="0"/>
      <w:r w:rsidR="00760CE5">
        <w:t xml:space="preserve"> </w:t>
      </w:r>
      <w:r w:rsidR="00637453">
        <w:t>Additionally, a positive correlation was observed between vitamin A and D, as well as between serum total PSA and both disease conditions. However, no correlation was found between the vitamins (A and D) and serum PSA in</w:t>
      </w:r>
      <w:r w:rsidR="00760CE5">
        <w:t xml:space="preserve"> the control group. </w:t>
      </w:r>
    </w:p>
    <w:p w14:paraId="28C68A28" w14:textId="3668F659" w:rsidR="007238A6" w:rsidRDefault="001E6135" w:rsidP="00760CE5">
      <w:pPr>
        <w:jc w:val="both"/>
      </w:pPr>
      <w:r w:rsidRPr="001E6135">
        <w:rPr>
          <w:b/>
          <w:bCs/>
        </w:rPr>
        <w:t>Conclusion</w:t>
      </w:r>
      <w:r w:rsidR="00F21E6A">
        <w:t>. M</w:t>
      </w:r>
      <w:r w:rsidR="00760CE5">
        <w:t xml:space="preserve">aintaining </w:t>
      </w:r>
      <w:r w:rsidR="00637453">
        <w:t xml:space="preserve">normal serum </w:t>
      </w:r>
      <w:proofErr w:type="gramStart"/>
      <w:r w:rsidR="00F21E6A">
        <w:t>vitamin</w:t>
      </w:r>
      <w:proofErr w:type="gramEnd"/>
      <w:r w:rsidR="00637453">
        <w:t xml:space="preserve"> A and D levels among males will not only help to reduce the risk or severity of prostate cancer but also be of great benefit to prostate</w:t>
      </w:r>
      <w:r w:rsidR="00760CE5">
        <w:t xml:space="preserve"> health.</w:t>
      </w:r>
    </w:p>
    <w:p w14:paraId="7DF22DF7" w14:textId="77777777" w:rsidR="00E75573" w:rsidRDefault="00E75573">
      <w:pPr>
        <w:rPr>
          <w:b/>
          <w:bCs/>
        </w:rPr>
      </w:pPr>
      <w:r>
        <w:rPr>
          <w:b/>
          <w:bCs/>
        </w:rPr>
        <w:br w:type="page"/>
      </w:r>
    </w:p>
    <w:p w14:paraId="484F7CA3" w14:textId="0F0996FD" w:rsidR="007238A6" w:rsidRPr="00E75573" w:rsidRDefault="00E75573" w:rsidP="00C424A4">
      <w:pPr>
        <w:jc w:val="center"/>
        <w:rPr>
          <w:b/>
          <w:bCs/>
        </w:rPr>
      </w:pPr>
      <w:r>
        <w:rPr>
          <w:b/>
          <w:bCs/>
        </w:rPr>
        <w:lastRenderedPageBreak/>
        <w:t>INTRODUCTION</w:t>
      </w:r>
    </w:p>
    <w:p w14:paraId="739FBF7B" w14:textId="78D5A006" w:rsidR="00B5346B" w:rsidRPr="00DF3BF4" w:rsidRDefault="0084467E" w:rsidP="0084467E">
      <w:pPr>
        <w:jc w:val="both"/>
        <w:rPr>
          <w:vertAlign w:val="superscript"/>
        </w:rPr>
      </w:pPr>
      <w:r w:rsidRPr="00FF3D42">
        <w:t>Vitamin A</w:t>
      </w:r>
      <w:r w:rsidR="00E87040" w:rsidRPr="00FF3D42">
        <w:t xml:space="preserve"> and </w:t>
      </w:r>
      <w:r w:rsidR="00555F5B" w:rsidRPr="00FF3D42">
        <w:t xml:space="preserve">D are </w:t>
      </w:r>
      <w:r w:rsidR="00703F37" w:rsidRPr="00FF3D42">
        <w:t xml:space="preserve">both </w:t>
      </w:r>
      <w:r w:rsidR="00637453">
        <w:t>fat-soluble</w:t>
      </w:r>
      <w:r w:rsidR="00291CE0" w:rsidRPr="00FF3D42">
        <w:t xml:space="preserve"> </w:t>
      </w:r>
      <w:r w:rsidR="00CA2075" w:rsidRPr="00FF3D42">
        <w:t>vitamins that</w:t>
      </w:r>
      <w:r w:rsidR="00703F37" w:rsidRPr="00FF3D42">
        <w:t xml:space="preserve"> </w:t>
      </w:r>
      <w:r w:rsidR="00F02281" w:rsidRPr="00FF3D42">
        <w:t>are</w:t>
      </w:r>
      <w:r w:rsidR="0033035B" w:rsidRPr="00FF3D42">
        <w:t xml:space="preserve"> </w:t>
      </w:r>
      <w:r w:rsidR="00BE767C" w:rsidRPr="00FF3D42">
        <w:t xml:space="preserve">crucial </w:t>
      </w:r>
      <w:r w:rsidR="00F02281" w:rsidRPr="00FF3D42">
        <w:t>for maintaining</w:t>
      </w:r>
      <w:r w:rsidR="00BE767C" w:rsidRPr="00FF3D42">
        <w:t xml:space="preserve"> overall health</w:t>
      </w:r>
      <w:r w:rsidR="00BC4055">
        <w:t xml:space="preserve"> and </w:t>
      </w:r>
      <w:r w:rsidR="00701DE8">
        <w:t>are highly indispensable, despite their minimal daily requirements</w:t>
      </w:r>
      <w:r w:rsidR="00AA4085">
        <w:t xml:space="preserve"> </w:t>
      </w:r>
      <w:r w:rsidR="00B765C0">
        <w:fldChar w:fldCharType="begin" w:fldLock="1"/>
      </w:r>
      <w:r w:rsidR="004437E9">
        <w:instrText>ADDIN CSL_CITATION {"citationItems":[{"id":"ITEM-1","itemData":{"DOI":"10.1080/10408398.2020.1712674","ISSN":"1549-7852 (Electronic)","PMID":"32023132","abstract":"Epigenetic modifications play an important role in disease pathogenesis and  therefore are a focus of intense investigation. Epigenetic changes include DNA, RNA, and histone modifications along with expression of non-coding RNAs. Various factors such as environment, diet, and lifestyle can influence the epigenome. Dietary nutrients like vitamins can regulate both physiological and pathological processes through their direct impact on epigenome. Vitamin A acts as a major regulator of above-mentioned epigenetic mechanisms. B group vitamins including biotin, niacin, and pantothenic acid also participate in modulation of various epigenome. Further, vitamin C has shown to modulate both DNA methylation and histone modifications while few reports have also supported its role in miRNA-mediated pathways. Similarly, vitamin D also influences various epigenetic modifications of both DNA and histone by controlling the regulatory mechanisms. Despite the information that vitamins can modulate the epigenome, the detailed mechanisms of vitamin-mediated epigenetic regulations have not been explored fully and hence further detailed studies are required to decipher their role at epigenome level in both normal and disease pathogenesis. The current review summarizes the available literature on the role of vitamins as epigenetic modifier and highlights the key evidences for developing vitamins as potential epidrugs.","author":[{"dropping-particle":"","family":"Nur","given":"Suza Mohammad","non-dropping-particle":"","parse-names":false,"suffix":""},{"dropping-particle":"","family":"Rath","given":"Suvasmita","non-dropping-particle":"","parse-names":false,"suffix":""},{"dropping-particle":"","family":"Ahmad","given":"Varish","non-dropping-particle":"","parse-names":false,"suffix":""},{"dropping-particle":"","family":"Ahmad","given":"Abrar","non-dropping-particle":"","parse-names":false,"suffix":""},{"dropping-particle":"","family":"Ateeq","given":"Bushra","non-dropping-particle":"","parse-names":false,"suffix":""},{"dropping-particle":"","family":"Khan","given":"Mohammad Imran","non-dropping-particle":"","parse-names":false,"suffix":""}],"container-title":"Critical reviews in food science and nutrition","id":"ITEM-1","issue":"1","issued":{"date-parts":[["2021"]]},"language":"eng","page":"1-13","publisher-place":"United States","title":"Nutritive vitamins as epidrugs.","type":"article-journal","volume":"61"},"uris":["http://www.mendeley.com/documents/?uuid=92bb64c7-6b03-4169-ba90-188a51fbe7dc"]}],"mendeley":{"formattedCitation":"(Nur et al., 2021)","plainTextFormattedCitation":"(Nur et al., 2021)","previouslyFormattedCitation":"(Nur et al., 2021)"},"properties":{"noteIndex":0},"schema":"https://github.com/citation-style-language/schema/raw/master/csl-citation.json"}</w:instrText>
      </w:r>
      <w:r w:rsidR="00B765C0">
        <w:fldChar w:fldCharType="separate"/>
      </w:r>
      <w:r w:rsidR="004437E9" w:rsidRPr="004437E9">
        <w:rPr>
          <w:noProof/>
        </w:rPr>
        <w:t>(Nur et al., 2021)</w:t>
      </w:r>
      <w:r w:rsidR="00B765C0">
        <w:fldChar w:fldCharType="end"/>
      </w:r>
      <w:r w:rsidR="00AA4085">
        <w:t>.</w:t>
      </w:r>
      <w:r w:rsidR="008D6968" w:rsidRPr="00FF3D42">
        <w:t xml:space="preserve"> </w:t>
      </w:r>
      <w:r w:rsidR="009D549E">
        <w:rPr>
          <w:vertAlign w:val="superscript"/>
        </w:rPr>
        <w:t xml:space="preserve"> </w:t>
      </w:r>
      <w:r w:rsidR="006A3DDE">
        <w:t xml:space="preserve">While </w:t>
      </w:r>
      <w:r w:rsidRPr="00FF3D42">
        <w:t xml:space="preserve">Vitamin A is essential for maintaining healthy epithelial tissues, </w:t>
      </w:r>
      <w:r w:rsidR="00795DD4" w:rsidRPr="00FF3D42">
        <w:t>it</w:t>
      </w:r>
      <w:r w:rsidRPr="00FF3D42">
        <w:t xml:space="preserve"> has antioxidant properties that help protect </w:t>
      </w:r>
      <w:r w:rsidR="00701DE8">
        <w:t>cells</w:t>
      </w:r>
      <w:r w:rsidRPr="00FF3D42">
        <w:t xml:space="preserve"> from damage. </w:t>
      </w:r>
      <w:r w:rsidR="00795DD4">
        <w:t>Thus</w:t>
      </w:r>
      <w:r w:rsidR="00FC409D">
        <w:t xml:space="preserve">, </w:t>
      </w:r>
      <w:r w:rsidR="00DC1C9A">
        <w:t xml:space="preserve">Vitamin A and its derivatives play a role in regulating cell proliferation, differentiation, and apoptosis, which are important </w:t>
      </w:r>
      <w:r w:rsidR="008269E3">
        <w:t xml:space="preserve">steps </w:t>
      </w:r>
      <w:r w:rsidR="00656E4C">
        <w:t xml:space="preserve">in </w:t>
      </w:r>
      <w:r w:rsidR="00541399">
        <w:t xml:space="preserve">various biological </w:t>
      </w:r>
      <w:r w:rsidR="00DC1C9A">
        <w:t>processes</w:t>
      </w:r>
      <w:r w:rsidR="00541399">
        <w:t xml:space="preserve"> </w:t>
      </w:r>
      <w:r w:rsidR="00C5305F">
        <w:t xml:space="preserve">and </w:t>
      </w:r>
      <w:r w:rsidR="00DC1C9A">
        <w:t xml:space="preserve">cancer development. </w:t>
      </w:r>
      <w:r w:rsidR="00E66205" w:rsidRPr="00E66205">
        <w:t xml:space="preserve">Natural and synthetic retinoids have been </w:t>
      </w:r>
      <w:r w:rsidR="00701DE8">
        <w:t xml:space="preserve">shown to inhibit the growth and development of various </w:t>
      </w:r>
      <w:proofErr w:type="spellStart"/>
      <w:r w:rsidR="00701DE8">
        <w:t>tumours</w:t>
      </w:r>
      <w:proofErr w:type="spellEnd"/>
      <w:r w:rsidR="00701DE8">
        <w:t>, including those of the skin, breast, oral cavity, lung, liver, gastrointestinal tract, prostate, and bladder</w:t>
      </w:r>
      <w:r w:rsidR="00B5346B">
        <w:t>.</w:t>
      </w:r>
      <w:r w:rsidR="00DF3BF4">
        <w:fldChar w:fldCharType="begin" w:fldLock="1"/>
      </w:r>
      <w:r w:rsidR="005371E7">
        <w:instrText>ADDIN CSL_CITATION {"citationItems":[{"id":"ITEM-1","itemData":{"DOI":"10.3390/nu10091132","ISSN":"2072-6643 (Electronic)","PMID":"30134568","abstract":"Vitamin A (all-trans-retinol) is a fat-soluble micronutrient which together with  its natural derivatives and synthetic analogues constitutes the group of retinoids. They are involved in a wide range of physiological processes such as embryonic development, vision, immunity and cellular differentiation and proliferation. Retinoic acid (RA) is the main active form of vitamin A and multiple genes respond to RA signalling through transcriptional and non-transcriptional mechanisms. Vitamin A deficiency (VAD) is a remarkable public health problem. An adequate vitamin A intake is required in early lung development, alveolar formation, tissue maintenance and regeneration. In fact, chronic VAD has been associated with histopathological changes in the pulmonary epithelial lining that disrupt the normal lung physiology predisposing to severe tissue dysfunction and respiratory diseases. In addition, there are important alterations of the structure and composition of extracellular matrix with thickening of the alveolar basement membrane and ectopic deposition of collagen I. In this review, we show our recent findings on the modification of cell-junction proteins in VAD lungs, summarize up-to-date information related to the effects of chronic VAD in the impairment of lung physiology and pulmonary disease which represent a major global health problem and provide an overview of possible pathways involved.","author":[{"dropping-particle":"","family":"Timoneda","given":"Joaquín","non-dropping-particle":"","parse-names":false,"suffix":""},{"dropping-particle":"","family":"Rodríguez-Fernández","given":"Lucía","non-dropping-particle":"","parse-names":false,"suffix":""},{"dropping-particle":"","family":"Zaragozá","given":"Rosa","non-dropping-particle":"","parse-names":false,"suffix":""},{"dropping-particle":"","family":"Marín","given":"M Pilar","non-dropping-particle":"","parse-names":false,"suffix":""},{"dropping-particle":"","family":"Cabezuelo","given":"M Teresa","non-dropping-particle":"","parse-names":false,"suffix":""},{"dropping-particle":"","family":"Torres","given":"Luis","non-dropping-particle":"","parse-names":false,"suffix":""},{"dropping-particle":"","family":"Viña","given":"Juan R","non-dropping-particle":"","parse-names":false,"suffix":""},{"dropping-particle":"","family":"Barber","given":"Teresa","non-dropping-particle":"","parse-names":false,"suffix":""}],"container-title":"Nutrients","id":"ITEM-1","issue":"9","issued":{"date-parts":[["2018","8"]]},"language":"eng","publisher-place":"Switzerland","title":"Vitamin A Deficiency and the Lung.","type":"article-journal","volume":"10"},"uris":["http://www.mendeley.com/documents/?uuid=d78dd9e2-852d-4b78-a705-5277537dadaa"]},{"id":"ITEM-2","itemData":{"DOI":"10.1007/s10637-010-9478-3","ISSN":"1573-0646 (Electronic)","PMID":"20596747","abstract":"PURPOSE: We investigated a combination therapy with weekly paclitaxel and all  trans-retinoic acid (ATRA) for tolerability, response to treatment, time to progression and survival in previously treated patients with metastatic or recurrent breast cancer. Our rationale was based on preclinical studies demonstrating potentiation of the cytotoxic effects of taxanes and induction of differentiation by ATRA. PATIENTS AND METHODS: Seventeen patients with previously treated metastatic or recurrent breast cancer were enrolled to a regimen of all-trans retinoic acid (Vesanoid, tretinoin, Hoffman-La Roche, Inc.) 45 mg/m(2) PO daily for 4 days starting 2 days before a 1 h treatment with paclitaxel (Taxol, Bristol-Myers Squibb, Plainsboro, NJ) 80 mg/m(2) IV administered weekly for 3 weeks, repeated in 28 day cycles until disease progression or until no longer tolerated. Patients were evaluated for toxicity, response, time to progression and survival. Patients were primarily African American and Latino, representative of the population served by our Cancer Center. RESULTS: The regimen was relatively well tolerated. There were nine grade 3 and one grade 4 toxic events. We administered 162 treatment cycles with a mean of 7.5 per patient (range 1-22, median 5). Three patients had a partial response (17.6%) and ten patients had stable disease (58.8%), with an overall clinical benefit of 76.4%. Median time to progression was 6.0 months (range 1-21, mean 7.7 months). Fourteen evaluable patients had a median survival of 16 months (range 1-68 months, mean 25.2 months). CONCLUSIONS: The data suggest this is a well tolerated regimen with modest response rates but with time to progression and survival rates similar to those reported for paclitaxel alone and relatively high rates of stable disease in this sample of patients.","author":[{"dropping-particle":"","family":"Bryan","given":"Margarette","non-dropping-particle":"","parse-names":false,"suffix":""},{"dropping-particle":"","family":"Pulte","given":"E Dianne","non-dropping-particle":"","parse-names":false,"suffix":""},{"dropping-particle":"","family":"Toomey","given":"Kathleen C","non-dropping-particle":"","parse-names":false,"suffix":""},{"dropping-particle":"","family":"Pliner","given":"Lillian","non-dropping-particle":"","parse-names":false,"suffix":""},{"dropping-particle":"","family":"Pavlick","given":"Anna C","non-dropping-particle":"","parse-names":false,"suffix":""},{"dropping-particle":"","family":"Saunders","given":"Tracie","non-dropping-particle":"","parse-names":false,"suffix":""},{"dropping-particle":"","family":"Wieder","given":"Robert","non-dropping-particle":"","parse-names":false,"suffix":""}],"container-title":"Investigational new drugs","id":"ITEM-2","issue":"6","issued":{"date-parts":[["2011","12"]]},"language":"eng","page":"1482-1487","publisher-place":"United States","title":"A pilot phase II trial of all-trans retinoic acid (Vesanoid) and paclitaxel  (Taxol) in patients with recurrent or metastatic breast cancer.","type":"article-journal","volume":"29"},"uris":["http://www.mendeley.com/documents/?uuid=a42c0c79-f26a-4be8-bd47-2af285004223"]}],"mendeley":{"formattedCitation":"(Bryan et al., 2011; Timoneda et al., 2018)","plainTextFormattedCitation":"(Bryan et al., 2011; Timoneda et al., 2018)","previouslyFormattedCitation":"(Bryan et al., 2011; Timoneda et al., 2018)"},"properties":{"noteIndex":0},"schema":"https://github.com/citation-style-language/schema/raw/master/csl-citation.json"}</w:instrText>
      </w:r>
      <w:r w:rsidR="00DF3BF4">
        <w:fldChar w:fldCharType="separate"/>
      </w:r>
      <w:r w:rsidR="004437E9" w:rsidRPr="004437E9">
        <w:rPr>
          <w:noProof/>
        </w:rPr>
        <w:t>(Bryan et al., 2011; Timoneda et al., 2018)</w:t>
      </w:r>
      <w:r w:rsidR="00DF3BF4">
        <w:fldChar w:fldCharType="end"/>
      </w:r>
    </w:p>
    <w:p w14:paraId="00FA5A5B" w14:textId="16454517" w:rsidR="001113C9" w:rsidRPr="001113C9" w:rsidRDefault="0084467E" w:rsidP="00AF60D8">
      <w:pPr>
        <w:jc w:val="both"/>
        <w:rPr>
          <w:color w:val="FF0000"/>
        </w:rPr>
      </w:pPr>
      <w:r w:rsidRPr="00FF3D42">
        <w:t>Vitamin D</w:t>
      </w:r>
      <w:r w:rsidR="00701DE8">
        <w:t>, on the other hand,</w:t>
      </w:r>
      <w:r w:rsidR="00154363">
        <w:t xml:space="preserve"> </w:t>
      </w:r>
      <w:r w:rsidRPr="00FF3D42">
        <w:t xml:space="preserve">is crucial for overall </w:t>
      </w:r>
      <w:r w:rsidR="00FA2210" w:rsidRPr="00FF3D42">
        <w:t>health,</w:t>
      </w:r>
      <w:r w:rsidR="00FA2210">
        <w:t xml:space="preserve"> </w:t>
      </w:r>
      <w:r w:rsidR="002A4BAC">
        <w:t>as it has been link</w:t>
      </w:r>
      <w:r w:rsidR="00A0714C">
        <w:t>ed</w:t>
      </w:r>
      <w:r w:rsidR="002A4BAC">
        <w:t xml:space="preserve"> </w:t>
      </w:r>
      <w:r w:rsidR="006A2CFA" w:rsidRPr="00FF3D42">
        <w:t>to immunomodulatory and antiproliferative properties, which could potentially protect against prostate cancer.</w:t>
      </w:r>
      <w:r w:rsidR="001545E7" w:rsidRPr="001545E7">
        <w:t xml:space="preserve"> </w:t>
      </w:r>
      <w:r w:rsidR="00266CD8">
        <w:t xml:space="preserve">Although </w:t>
      </w:r>
      <w:r w:rsidR="001545E7" w:rsidRPr="001545E7">
        <w:t>Vitamin D helps regulate cell growth and differentiation, which can prevent the proliferation of cancerous cells in the prostate</w:t>
      </w:r>
      <w:r w:rsidR="004E72B2">
        <w:t xml:space="preserve">, </w:t>
      </w:r>
      <w:r w:rsidR="00335A79">
        <w:t xml:space="preserve">its </w:t>
      </w:r>
      <w:r w:rsidR="004367FC">
        <w:t>s</w:t>
      </w:r>
      <w:r w:rsidR="00335A79" w:rsidRPr="001545E7">
        <w:t>upplementation has</w:t>
      </w:r>
      <w:r w:rsidR="001545E7" w:rsidRPr="001545E7">
        <w:t xml:space="preserve"> been found to improve lower urinary tract symptoms and suppress the increase in prostate volume</w:t>
      </w:r>
      <w:r w:rsidR="004E72B2">
        <w:t xml:space="preserve"> hence </w:t>
      </w:r>
      <w:r w:rsidR="00335A79">
        <w:t xml:space="preserve">its </w:t>
      </w:r>
      <w:r w:rsidR="00C94C4D">
        <w:t>deficiency is associated with an increased risk of benign prostatic hyperplasia (BPH) and prostate cancer</w:t>
      </w:r>
      <w:r w:rsidR="005371E7">
        <w:t xml:space="preserve"> </w:t>
      </w:r>
      <w:r w:rsidR="005371E7">
        <w:fldChar w:fldCharType="begin" w:fldLock="1"/>
      </w:r>
      <w:r w:rsidR="005371E7">
        <w:instrText>ADDIN CSL_CITATION {"citationItems":[{"id":"ITEM-1","itemData":{"DOI":"10.1017/s0029665106005192","ISSN":"0029-6651 (Print)","PMID":"17181901","abstract":"The growth and development of the human skeleton requires an adequate supply of  many different nutritional factors. Classical nutrient deficiencies are associated with stunting (e.g. energy, protein, Zn), rickets (e.g. vitamin D) and other bone abnormalities (e.g. Cu, Zn, vitamin C). In recent years there has been interest in the role nutrition may play in bone growth at intakes above those required to prevent classical deficiencies, particularly in relation to optimising peak bone mass and minimising osteoporosis risk. There is evidence to suggest that peak bone mass and later fracture risk are influenced by the pattern of growth in childhood and by nutritional exposures in utero, in infancy and during childhood and adolescence. Of the individual nutrients, particular attention has been paid to Ca, vitamin D, protein and P. There has also been interest in several food groups, particularly dairy products, fruit and vegetables and foods contributing to acid-base balance. However, it is not possible at the present time to define dietary reference values using bone health as a criterion, and the question of what type of diet constitutes the best support for optimal bone growth and development remains open. Prudent recommendations (Department of Health, 1998; World Health Organization/Food and Agriculture Organization, 2003) are the same as those for adults, i.e. to consume a Ca intake close to the reference nutrient intake, optimise vitamin D status through adequate summer sunshine exposure (and diet supplementation where appropriate), be physically active, have a body weight in the healthy range, restrict salt intake and consume plenty of fruit and vegetables.","author":[{"dropping-particle":"","family":"Prentice","given":"Ann","non-dropping-particle":"","parse-names":false,"suffix":""},{"dropping-particle":"","family":"Schoenmakers","given":"Inez","non-dropping-particle":"","parse-names":false,"suffix":""},{"dropping-particle":"","family":"Laskey","given":"M Ann","non-dropping-particle":"","parse-names":false,"suffix":""},{"dropping-particle":"","family":"Bono","given":"Stephanie","non-dropping-particle":"de","parse-names":false,"suffix":""},{"dropping-particle":"","family":"Ginty","given":"Fiona","non-dropping-particle":"","parse-names":false,"suffix":""},{"dropping-particle":"","family":"Goldberg","given":"Gail R","non-dropping-particle":"","parse-names":false,"suffix":""}],"container-title":"The Proceedings of the Nutrition Society","id":"ITEM-1","issue":"4","issued":{"date-parts":[["2006","11"]]},"language":"eng","page":"348-360","publisher-place":"England","title":"Nutrition and bone growth and development.","type":"article-journal","volume":"65"},"uris":["http://www.mendeley.com/documents/?uuid=a4579234-4a42-4cb9-a0d8-da18d74f83da"]}],"mendeley":{"formattedCitation":"(Prentice et al., 2006)","plainTextFormattedCitation":"(Prentice et al., 2006)","previouslyFormattedCitation":"(Prentice et al., 2006)"},"properties":{"noteIndex":0},"schema":"https://github.com/citation-style-language/schema/raw/master/csl-citation.json"}</w:instrText>
      </w:r>
      <w:r w:rsidR="005371E7">
        <w:fldChar w:fldCharType="separate"/>
      </w:r>
      <w:r w:rsidR="005371E7" w:rsidRPr="005371E7">
        <w:rPr>
          <w:noProof/>
        </w:rPr>
        <w:t>(Prentice et al., 2006)</w:t>
      </w:r>
      <w:r w:rsidR="005371E7">
        <w:fldChar w:fldCharType="end"/>
      </w:r>
      <w:r w:rsidR="00C94C4D">
        <w:t xml:space="preserve">. </w:t>
      </w:r>
      <w:r w:rsidR="00645DBB">
        <w:t>Both conditions</w:t>
      </w:r>
      <w:r w:rsidR="00AF60D8">
        <w:t xml:space="preserve"> represent a significant burden of disease, particularly among men in developing countries</w:t>
      </w:r>
      <w:r w:rsidR="005371E7">
        <w:t xml:space="preserve"> </w:t>
      </w:r>
      <w:r w:rsidR="005371E7">
        <w:fldChar w:fldCharType="begin" w:fldLock="1"/>
      </w:r>
      <w:r w:rsidR="005371E7">
        <w:instrText>ADDIN CSL_CITATION {"citationItems":[{"id":"ITEM-1","itemData":{"DOI":"10.1016/S2666-7568(22)00213-6","ISSN":"2666-7568 (Electronic)","PMID":"36273485","abstract":"BACKGROUND: Benign prostatic hyperplasia is a common urological disease affecting  older men worldwide, but comprehensive data about the global, regional, and national burden of benign prostatic hyperplasia and its trends over time are scarce. As part of the Global Burden of Diseases, Injuries, and Risk Factors Study (GBD) 2019, we estimated global trends in, and prevalence of, benign prostatic hyperplasia and disability-adjusted life-years (DALYs) due to benign prostatic hyperplasia, in 21 regions and 204 countries and territories from 2000 to 2019. METHODS: This study was conducted with GBD 2019 analytical and modelling strategies. Primary prevalence data came from claims from three countries and from hospital inpatient encounters from 45 locations. A Bayesian meta-regression modelling tool, DisMod-MR version 2.1, was used to estimate the age-specific, location-specific, and year-specific prevalence of benign prostatic hyperplasia. Age-standardised prevalence was calculated by the direct method using the GBD reference population. Years lived with disability (YLDs) due to benign prostatic hyperplasia were estimated by multiplying the disability weight by the symptomatic proportion of the prevalence of benign prostatic hyperplasia. Because we did not estimate years of life lost associated with benign prostatic hyperplasia, disability-adjusted life-years (DALYs) equalled YLDs. The final estimates were compared across Socio-demographic Index (SDI) quintiles. The 95% uncertainty intervals (UIs) were estimated as the 25th and 975th of 1000 ordered draws from a bootstrap distribution. FINDINGS: Globally, there were 94·0 million (95% UI 73·2 to 118) prevalent cases of benign prostatic hyperplasia in 2019, compared with 51·1 million (43·1 to 69·3) cases in 2000. The age-standardised prevalence of benign prostatic hyperplasia was 2480 (1940 to 3090) per 100 000 people. Although the global number of prevalent cases increased by 70·5% (68·6 to 72·7) between 2000 and 2019, the global age-standardised prevalence remained stable (-0·770% [-1·56 to 0·0912]). The age-standardised prevalence in 2019 ranged from 6480 (5130 to 8080) per 100 000 in eastern Europe to 987 (732 to 1320) per 100 000 in north Africa and the Middle East. All five SDI quintiles observed an increase in the absolute DALY burden between 2000 and 2019. The most rapid increases in the absolute DALY burden were seen in the middle SDI quintile (94·7% [91·8 to 97·6]), the low-middle SDI quintile (77·3% …","container-title":"The lancet. Healthy longevity","id":"ITEM-1","issue":"11","issued":{"date-parts":[["2022","11"]]},"language":"eng","page":"e754-e776","publisher-place":"England","title":"The global, regional, and national burden of benign prostatic hyperplasia in 204  countries and territories from 2000 to 2019: a systematic analysis for the Global Burden of Disease Study 2019.","type":"article-journal","volume":"3"},"uris":["http://www.mendeley.com/documents/?uuid=7de84f06-6062-4aa5-8814-424a3cdaccb2"]}],"mendeley":{"formattedCitation":"(“The Global, Regional, and National Burden of Benign Prostatic Hyperplasia in 204  Countries and Territories from 2000 to 2019: A Systematic Analysis for the Global Burden of Disease Study 2019.,” 2022)","plainTextFormattedCitation":"(“The Global, Regional, and National Burden of Benign Prostatic Hyperplasia in 204  Countries and Territories from 2000 to 2019: A Systematic Analysis for the Global Burden of Disease Study 2019.,” 2022)","previouslyFormattedCitation":"(“The Global, Regional, and National Burden of Benign Prostatic Hyperplasia in 204  Countries and Territories from 2000 to 2019: A Systematic Analysis for the Global Burden of Disease Study 2019.,” 2022)"},"properties":{"noteIndex":0},"schema":"https://github.com/citation-style-language/schema/raw/master/csl-citation.json"}</w:instrText>
      </w:r>
      <w:r w:rsidR="005371E7">
        <w:fldChar w:fldCharType="separate"/>
      </w:r>
      <w:r w:rsidR="005371E7" w:rsidRPr="005371E7">
        <w:rPr>
          <w:noProof/>
        </w:rPr>
        <w:t>(“The Global, Regional, and National Burden of Benign Prostatic Hyperplasia in 204  Countries and Territories from 2000 to 2019: A Systematic Analysis for the Global Burden of Disease Study 2019,” 2022)</w:t>
      </w:r>
      <w:r w:rsidR="005371E7">
        <w:fldChar w:fldCharType="end"/>
      </w:r>
      <w:r w:rsidR="00AF60D8">
        <w:t>. BPH, a non-cancerous condition, affects a substantial portion of the male population, while prostate cancer</w:t>
      </w:r>
      <w:r w:rsidR="008D5313">
        <w:t xml:space="preserve">, a condition associated with uncontrolled growth of cells within the prostate gland, is also on the </w:t>
      </w:r>
      <w:r w:rsidR="00AF60D8">
        <w:t>increase</w:t>
      </w:r>
      <w:r w:rsidR="008D5313">
        <w:t>. Becoming</w:t>
      </w:r>
      <w:r w:rsidR="00AF60D8">
        <w:t xml:space="preserve"> the most common cancer among Nigerian </w:t>
      </w:r>
      <w:r w:rsidR="005371E7">
        <w:t xml:space="preserve">men </w:t>
      </w:r>
      <w:r w:rsidR="005371E7">
        <w:fldChar w:fldCharType="begin" w:fldLock="1"/>
      </w:r>
      <w:r w:rsidR="00652142">
        <w:instrText>ADDIN CSL_CITATION {"citationItems":[{"id":"ITEM-1","itemData":{"DOI":"10.1016/j.euros.2022.07.004","ISSN":"2666-1683 (Electronic)","PMID":"36353071","abstract":"BACKGROUND: The association between benign prostatic hyperplasia (BPH) and  prostate cancer (PCa) remains controversial, largely due to a detection bias in traditional observational studies. OBJECTIVE: To assess the association between BPH and PCa using inherited single nucleotide polymorphisms (SNPs). DESIGN SETTING AND PARTICIPANTS: The participants were White men from the population-based UK Biobank (UKB). OUTCOME MEASUREMENTS AND STATISTICAL ANALYSIS: The association between BPH and PCa was tested for (1) phenotypic correlation using chi-square, (2) genetic correlation (r (g)) based on genome-wide SNPs using linkage disequilibrium score regression, and (3) cross-disease genetic associations based on known risk-associated SNPs (15 for BPH and 239 for PCa), individually and cumulatively using genetic risk score (GRS). RESULTS AND LIMITATIONS: Among 214 717 White men in the UKB, 24 623 (11%) and 14 311 (6.7%) had a diagnosis of BPH and PCa, respectively. Diagnoses of these two diseases were significantly correlated (χ(2) = 1862.80, p &lt; 0.001). A significant genetic correlation was found (r (g) = 0.16; 95% confidence interval 0.03-0.28, p = 0.01). In addition, significant cross-disease genetic associations for established risk-associated SNPs were also found. Among the 250 established genome-wide association study-significant SNPs of PCa or BPH, 49 were significantly associated with the risk of the other disease at p &lt; 0.05, significantly more than expected by chance (N = 12, p &lt; 0.001; χ(2) test). Furthermore, significant cross-disease GRS associations were also found; GRS(BPH) was significantly associated with PCa risk (odds ratio [OR] = 1.26 [1.18-1.36], p &lt; 0.001), and GRS(PCa) was significantly associated with BPH risk (OR = 1.03 [1.02-1.04], p &lt; 0.001). Moreover, GRS(BPH) was significantly and inversely associated with lethal PCa risk in a PCa case-case analysis (OR = 0.58 [0.41-0.81], p = 0.002). Only White men were studied. CONCLUSIONS: BPH and PCa share common inherited genetics, which suggests that the phenotypic association of these two diseases in observational studies is not entirely caused by the detection bias. PATIENT SUMMARY: For the first time, we found that benign prostatic hyperplasia and prostate cancer are genetically related. This finding may have implications in disease etiology and risk stratification.","author":[{"dropping-particle":"","family":"Glaser","given":"Alexander","non-dropping-particle":"","parse-names":false,"suffix":""},{"dropping-particle":"","family":"Shi","given":"Zhuqing","non-dropping-particle":"","parse-names":false,"suffix":""},{"dropping-particle":"","family":"Wei","given":"Jun","non-dropping-particle":"","parse-names":false,"suffix":""},{"dropping-particle":"","family":"Lanman","given":"Nadia A","non-dropping-particle":"","parse-names":false,"suffix":""},{"dropping-particle":"","family":"Ladson-Gary","given":"Skylar","non-dropping-particle":"","parse-names":false,"suffix":""},{"dropping-particle":"","family":"Vickman","given":"Renee E","non-dropping-particle":"","parse-names":false,"suffix":""},{"dropping-particle":"","family":"Franco","given":"Omar E","non-dropping-particle":"","parse-names":false,"suffix":""},{"dropping-particle":"","family":"Crawford","given":"Susan E","non-dropping-particle":"","parse-names":false,"suffix":""},{"dropping-particle":"","family":"Lilly Zheng","given":"S","non-dropping-particle":"","parse-names":false,"suffix":""},{"dropping-particle":"","family":"Hayward","given":"Simon W","non-dropping-particle":"","parse-names":false,"suffix":""},{"dropping-particle":"","family":"Isaacs","given":"William B","non-dropping-particle":"","parse-names":false,"suffix":""},{"dropping-particle":"","family":"Helfand","given":"Brian T","non-dropping-particle":"","parse-names":false,"suffix":""},{"dropping-particle":"","family":"Xu","given":"Jianfeng","non-dropping-particle":"","parse-names":false,"suffix":""}],"container-title":"European urology open science","id":"ITEM-1","issued":{"date-parts":[["2022","9"]]},"language":"eng","page":"54-61","publisher-place":"Netherlands","title":"Shared Inherited Genetics of Benign Prostatic Hyperplasia and Prostate Cancer.","type":"article-journal","volume":"43"},"uris":["http://www.mendeley.com/documents/?uuid=584209a1-2e1d-4a0f-8b01-9ce6308571e2"]}],"mendeley":{"formattedCitation":"(Glaser et al., 2022)","plainTextFormattedCitation":"(Glaser et al., 2022)","previouslyFormattedCitation":"(Glaser et al., 2022)"},"properties":{"noteIndex":0},"schema":"https://github.com/citation-style-language/schema/raw/master/csl-citation.json"}</w:instrText>
      </w:r>
      <w:r w:rsidR="005371E7">
        <w:fldChar w:fldCharType="separate"/>
      </w:r>
      <w:r w:rsidR="005371E7" w:rsidRPr="005371E7">
        <w:rPr>
          <w:noProof/>
        </w:rPr>
        <w:t>(Glaser et al., 2022)</w:t>
      </w:r>
      <w:r w:rsidR="005371E7">
        <w:fldChar w:fldCharType="end"/>
      </w:r>
      <w:r w:rsidR="005371E7">
        <w:t>.</w:t>
      </w:r>
      <w:r w:rsidR="00AA4085">
        <w:t xml:space="preserve"> </w:t>
      </w:r>
      <w:r w:rsidR="00AF60D8">
        <w:t>Both conditions have been reported to increase significantly with age, with a high proportion of cases occurring in individuals above 50 years old</w:t>
      </w:r>
      <w:r w:rsidR="00652142">
        <w:t xml:space="preserve"> </w:t>
      </w:r>
      <w:r w:rsidR="00652142">
        <w:fldChar w:fldCharType="begin" w:fldLock="1"/>
      </w:r>
      <w:r w:rsidR="00652142">
        <w:instrText>ADDIN CSL_CITATION {"citationItems":[{"id":"ITEM-1","itemData":{"DOI":"10.1111/bju.15286","ISSN":"1464-410X (Electronic)","PMID":"33124118","abstract":"OBJECTIVES: To describe the trend in the impact of lower urinary tract symptoms  attributed to benign prostatic hyperplasia (LUTS/BPH) on a global scale using the Global Burden of Disease (GBD) database. MATERIALS AND METHODS: Using the GBD database, worldwide data aggregated from registries and health systems from 1990 to 2017 were filtered for LUTS/BPH diagnoses. Calculation of years lived with disability (YLD) were compared with other urological diseases. YLD were calculated by a standardized method using assigned disability weights. The GBD-defined sociodemographic index (SDI) was used to assess impact of LUTS/BPH by global SDI quintile. RESULTS: Global Burden of Disease data over the 1990-2017 study period were summarized and global numbers and trends noted with other urological diseases for comparison. A total of 2 427 334 YLD were attributed to BPH in 2017 alone, almost three times more than those attributed to the next highest urological disease, prostate cancer (843 227 YLD). When stratified by SDI quintile, a much lower impact of BPH was found in the bottom three quintiles, despite this subset representing 66.9% of the 2017 world population. CONCLUSIONS: Lower urinary tract symptoms attributed to benign prostatic hyperplasia exert a rapidly rising human burden far exceeding other urological diseases. As the population ages and men in a lower SDI enjoy increased life expectancy and decreased competing mortalities, a continually accelerating wave of LUTS/BPH can be forecast. These epidemiological trends have serious implications for the future allocation of resources and the global urological workforce.","author":[{"dropping-particle":"","family":"Launer","given":"Bryn M","non-dropping-particle":"","parse-names":false,"suffix":""},{"dropping-particle":"","family":"McVary","given":"Kevin T","non-dropping-particle":"","parse-names":false,"suffix":""},{"dropping-particle":"","family":"Ricke","given":"William A","non-dropping-particle":"","parse-names":false,"suffix":""},{"dropping-particle":"","family":"Lloyd","given":"Granville L","non-dropping-particle":"","parse-names":false,"suffix":""}],"container-title":"BJU international","id":"ITEM-1","issue":"6","issued":{"date-parts":[["2021","6"]]},"language":"eng","page":"722-728","publisher-place":"England","title":"The rising worldwide impact of benign prostatic hyperplasia.","type":"article-journal","volume":"127"},"uris":["http://www.mendeley.com/documents/?uuid=6d85d8f5-fbcd-4366-bb0f-4d4c73c9fc0e"]}],"mendeley":{"formattedCitation":"(Launer et al., 2021)","plainTextFormattedCitation":"(Launer et al., 2021)","previouslyFormattedCitation":"(Launer et al., 2021)"},"properties":{"noteIndex":0},"schema":"https://github.com/citation-style-language/schema/raw/master/csl-citation.json"}</w:instrText>
      </w:r>
      <w:r w:rsidR="00652142">
        <w:fldChar w:fldCharType="separate"/>
      </w:r>
      <w:r w:rsidR="00652142" w:rsidRPr="00652142">
        <w:rPr>
          <w:noProof/>
        </w:rPr>
        <w:t>(Launer et al., 2021)</w:t>
      </w:r>
      <w:r w:rsidR="00652142">
        <w:fldChar w:fldCharType="end"/>
      </w:r>
      <w:r w:rsidR="00AF60D8">
        <w:t>. BPH can lead to a variety of lower urinary tract symptoms (LUTS), impacting quality of life and daily functioning</w:t>
      </w:r>
      <w:r w:rsidR="00652142">
        <w:t xml:space="preserve"> </w:t>
      </w:r>
      <w:r w:rsidR="00652142">
        <w:fldChar w:fldCharType="begin" w:fldLock="1"/>
      </w:r>
      <w:r w:rsidR="00652142">
        <w:instrText>ADDIN CSL_CITATION {"citationItems":[{"id":"ITEM-1","itemData":{"DOI":"10.1097/JU.0000000000001298","ISSN":"1527-3792 (Electronic)","PMID":"32698710","abstract":"PURPOSE: The AUA Guideline panel provides evidence-based recommendations for the  surgical management of male lower urinary tract symptoms (LUTS) secondary to benign prostatic hyperplasia (BPH). MATERIALS AND METHODS: The Panel amended the Guideline in 2020 to reflect additional literature published through September 2019. When sufficient evidence existed, the Panel assigned the body of evidence a strength rating of A (high), B (moderate), or C (low) for support of Strong, Moderate, or Conditional Recommendations. In the absence of sufficient evidence, the Panel provided additional information as Clinical Principles and Expert Opinions (See table 1[Table: see text]). RESULTS: Amendments to these Guidelines include: 1) an amended statement (Guideline 1) to include conducting a physical examination; 2) a new statement (Guideline 6) discussing concepts of treatment failure and retreatment; 3) an amended statement (Guideline 15) with updated supporting text for prostatic urethral lift (PUL); 4) an amended statement (Guideline 16) for PUL; 5) an amended statement (Guideline 17) with updated supporting text for transurethral microwave therapy (TUMT); 6) an amended statement (Guideline 18) with updated supporting text for water vapor thermal therapy; 7) updated supporting text for water vapor thermal therapy (Guideline 19); 8) an amended statement (Guideline 21) with updated supporting text for laser enucleation; 9) an amended statement (Guideline 22) with updated supporting text for Aquablation; and 10) an amended statement (Guideline 23) with updated supporting text for Prostate Artery Embolization (PAE). CONCLUSIONS: These evidence-based updates to the AUA Guidelines further inform the surgical management of LUTS/BPH.","author":[{"dropping-particle":"","family":"Parsons","given":"J Kellogg","non-dropping-particle":"","parse-names":false,"suffix":""},{"dropping-particle":"","family":"Dahm","given":"Philipp","non-dropping-particle":"","parse-names":false,"suffix":""},{"dropping-particle":"","family":"Köhler","given":"Tobias S","non-dropping-particle":"","parse-names":false,"suffix":""},{"dropping-particle":"","family":"Lerner","given":"Lori B","non-dropping-particle":"","parse-names":false,"suffix":""},{"dropping-particle":"","family":"Wilt","given":"Timothy J","non-dropping-particle":"","parse-names":false,"suffix":""}],"container-title":"The Journal of urology","id":"ITEM-1","issue":"4","issued":{"date-parts":[["2020","10"]]},"language":"eng","page":"799-804","publisher-place":"United States","title":"Surgical Management of Lower Urinary Tract Symptoms Attributed to Benign  Prostatic Hyperplasia: AUA Guideline Amendment 2020.","type":"article-journal","volume":"204"},"uris":["http://www.mendeley.com/documents/?uuid=b8f20c62-8a0b-45ec-897b-3924a8d2bcbb"]}],"mendeley":{"formattedCitation":"(Parsons et al., 2020)","plainTextFormattedCitation":"(Parsons et al., 2020)","previouslyFormattedCitation":"(Parsons et al., 2020)"},"properties":{"noteIndex":0},"schema":"https://github.com/citation-style-language/schema/raw/master/csl-citation.json"}</w:instrText>
      </w:r>
      <w:r w:rsidR="00652142">
        <w:fldChar w:fldCharType="separate"/>
      </w:r>
      <w:r w:rsidR="00652142" w:rsidRPr="00652142">
        <w:rPr>
          <w:noProof/>
        </w:rPr>
        <w:t>(Parsons et al., 2020)</w:t>
      </w:r>
      <w:r w:rsidR="00652142">
        <w:fldChar w:fldCharType="end"/>
      </w:r>
      <w:r w:rsidR="00AF60D8">
        <w:t>.  Prostate cancer can have serious health consequences, including the development of metastatic disease</w:t>
      </w:r>
      <w:r w:rsidR="00996786">
        <w:t xml:space="preserve"> and even death</w:t>
      </w:r>
      <w:r w:rsidR="00652142">
        <w:t xml:space="preserve"> </w:t>
      </w:r>
      <w:r w:rsidR="00652142">
        <w:fldChar w:fldCharType="begin" w:fldLock="1"/>
      </w:r>
      <w:r w:rsidR="00652142">
        <w:instrText>ADDIN CSL_CITATION {"citationItems":[{"id":"ITEM-1","itemData":{"DOI":"10.3322/caac.21660","ISSN":"1542-4863 (Electronic)","PMID":"33538338","abstract":"This article provides an update on the global cancer burden using the GLOBOCAN  2020 estimates of cancer incidence and mortality produced by the International Agency for Research on Cancer. Worldwide, an estimated 19.3 million new cancer cases (18.1 million excluding nonmelanoma skin cancer) and almost 10.0 million cancer deaths (9.9 million excluding nonmelanoma skin cancer) occurred in 2020. Female breast cancer has surpassed lung cancer as the most commonly diagnosed cancer, with an estimated 2.3 million new cases (11.7%), followed by lung (11.4%), colorectal (10.0 %), prostate (7.3%), and stomach (5.6%) cancers. Lung cancer remained the leading cause of cancer death, with an estimated 1.8 million deaths (18%), followed by colorectal (9.4%), liver (8.3%), stomach (7.7%), and female breast (6.9%) cancers. Overall incidence was from 2-fold to 3-fold higher in transitioned versus transitioning countries for both sexes, whereas mortality varied &lt;2-fold for men and little for women. Death rates for female breast and cervical cancers, however, were considerably higher in transitioning versus transitioned countries (15.0 vs 12.8 per 100,000 and 12.4 vs 5.2 per 100,000, respectively). The global cancer burden is expected to be 28.4 million cases in 2040, a 47% rise from 2020, with a larger increase in transitioning (64% to 95%) versus transitioned (32% to 56%) countries due to demographic changes, although this may be further exacerbated by increasing risk factors associated with globalization and a growing economy. Efforts to build a sustainable infrastructure for the dissemination of cancer prevention measures and provision of cancer care in transitioning countries is critical for global cancer control.","author":[{"dropping-particle":"","family":"Sung","given":"Hyuna","non-dropping-particle":"","parse-names":false,"suffix":""},{"dropping-particle":"","family":"Ferlay","given":"Jacques","non-dropping-particle":"","parse-names":false,"suffix":""},{"dropping-particle":"","family":"Siegel","given":"Rebecca L","non-dropping-particle":"","parse-names":false,"suffix":""},{"dropping-particle":"","family":"Laversanne","given":"Mathieu","non-dropping-particle":"","parse-names":false,"suffix":""},{"dropping-particle":"","family":"Soerjomataram","given":"Isabelle","non-dropping-particle":"","parse-names":false,"suffix":""},{"dropping-particle":"","family":"Jemal","given":"Ahmedin","non-dropping-particle":"","parse-names":false,"suffix":""},{"dropping-particle":"","family":"Bray","given":"Freddie","non-dropping-particle":"","parse-names":false,"suffix":""}],"container-title":"CA: a cancer journal for clinicians","id":"ITEM-1","issue":"3","issued":{"date-parts":[["2021","5"]]},"language":"eng","page":"209-249","publisher-place":"United States","title":"Global Cancer Statistics 2020: GLOBOCAN Estimates of Incidence and Mortality  Worldwide for 36 Cancers in 185 Countries.","type":"article-journal","volume":"71"},"uris":["http://www.mendeley.com/documents/?uuid=697c7e3b-1802-4b93-aa5c-0ae3797c75e6"]}],"mendeley":{"formattedCitation":"(Sung et al., 2021)","plainTextFormattedCitation":"(Sung et al., 2021)","previouslyFormattedCitation":"(Sung et al., 2021)"},"properties":{"noteIndex":0},"schema":"https://github.com/citation-style-language/schema/raw/master/csl-citation.json"}</w:instrText>
      </w:r>
      <w:r w:rsidR="00652142">
        <w:fldChar w:fldCharType="separate"/>
      </w:r>
      <w:r w:rsidR="00652142" w:rsidRPr="00652142">
        <w:rPr>
          <w:noProof/>
        </w:rPr>
        <w:t>(Sung et al., 2021)</w:t>
      </w:r>
      <w:r w:rsidR="00652142">
        <w:fldChar w:fldCharType="end"/>
      </w:r>
      <w:r w:rsidR="005E3E86">
        <w:t>.</w:t>
      </w:r>
      <w:r w:rsidR="00AF60D8">
        <w:t xml:space="preserve"> Both BPH and prostate cancer pose significant health and economic burdens in Nigeria, impacting individuals, families, and the healthcare system</w:t>
      </w:r>
      <w:r w:rsidR="00652142">
        <w:t xml:space="preserve"> </w:t>
      </w:r>
      <w:r w:rsidR="00652142">
        <w:fldChar w:fldCharType="begin" w:fldLock="1"/>
      </w:r>
      <w:r w:rsidR="00652142">
        <w:instrText>ADDIN CSL_CITATION {"citationItems":[{"id":"ITEM-1","itemData":{"DOI":"10.1007/s10552-024-01917-w","ISSN":"1573-7225 (Electronic)","PMID":"39306811","abstract":"PURPOSE: Prostate cancer (PCa) is an increasing burden in Sub-Saharan Africa.  This systematic review examined the incidence, prevalence, clinical characteristics and outcomes of PCa in Nigeria. METHODS: This review followed the standard Preferred Reporting Items for Systematic Reviews and Meta-Analyses (PRISMA) 2020 guidelines. Peer-reviewed observational studies that focused on epidemiology of PCa in Nigeria, published between 1990 and 2023 and written in English were eligible. Combination of keywords was used to search PubMed, Scopus, Google scholar, AJOL and web of science databases. A piloted form by the Cochrane Public Health Group Data Extraction and Assessment Template was used to extract data from retrieved studies. Quality assessment of included studies was performed using the Newcastle-Ottawa scale for observational studies. RESULTS: Of the 1898 articles retrieved, 21 met the inclusion criteria. All included studies showed good quality. Mean age for PCa ranged from 55 to 71 years, with a higher prevalence occurring within 60-69 years. A 7.7 fold increase in PCa incidence was reported for the years 1997-2006, while an average annual increase in incidence rate of 11.95% was observed from 2009 to 2013. Hospital-based prevalence of 14%-46.4% was observed for clinically active PCa. Patients presented for diagnosis with high Gleason scores and advanced PCa. High mortality (15.6%-64.0%) occurred between 6 months and 3 years of diagnosis. CONCLUSION: Findings suggest rising incidence and high prevalence of PCa in Nigeria. Advanced PCa was most common at diagnosis and mortality was high. There is need for improved strategies and policies for early detection of PCa in Nigeria.","author":[{"dropping-particle":"","family":"Iheanacho","given":"Chinonyerem O","non-dropping-particle":"","parse-names":false,"suffix":""},{"dropping-particle":"","family":"Enechukwu","given":"Okechukwu H","non-dropping-particle":"","parse-names":false,"suffix":""}],"container-title":"Cancer causes &amp; control : CCC","id":"ITEM-1","issue":"1","issued":{"date-parts":[["2025","1"]]},"language":"eng","page":"1-12","publisher-place":"Netherlands","title":"Epidemiology of prostate cancer in Nigeria: a mixed methods systematic review.","type":"article-journal","volume":"36"},"uris":["http://www.mendeley.com/documents/?uuid=249f059f-fdb4-43cd-b36e-2d555f26e70f"]}],"mendeley":{"formattedCitation":"(Iheanacho &amp; Enechukwu, 2025)","plainTextFormattedCitation":"(Iheanacho &amp; Enechukwu, 2025)","previouslyFormattedCitation":"(Iheanacho &amp; Enechukwu, 2025)"},"properties":{"noteIndex":0},"schema":"https://github.com/citation-style-language/schema/raw/master/csl-citation.json"}</w:instrText>
      </w:r>
      <w:r w:rsidR="00652142">
        <w:fldChar w:fldCharType="separate"/>
      </w:r>
      <w:r w:rsidR="00652142" w:rsidRPr="00652142">
        <w:rPr>
          <w:noProof/>
        </w:rPr>
        <w:t>(Iheanacho &amp; Enechukwu, 2025)</w:t>
      </w:r>
      <w:r w:rsidR="00652142">
        <w:fldChar w:fldCharType="end"/>
      </w:r>
      <w:r w:rsidR="00AF60D8">
        <w:t>.</w:t>
      </w:r>
      <w:r w:rsidR="001B44F0">
        <w:rPr>
          <w:vertAlign w:val="superscript"/>
        </w:rPr>
        <w:t xml:space="preserve"> </w:t>
      </w:r>
      <w:r w:rsidR="00371CF1" w:rsidRPr="00371CF1">
        <w:t xml:space="preserve"> </w:t>
      </w:r>
      <w:r w:rsidR="004F4235">
        <w:t>B</w:t>
      </w:r>
      <w:r w:rsidR="00F72C09">
        <w:t>oth conditions</w:t>
      </w:r>
      <w:r w:rsidR="00701DE8">
        <w:t xml:space="preserve"> have been primarily</w:t>
      </w:r>
      <w:r w:rsidR="002549FB">
        <w:t xml:space="preserve"> investigated and </w:t>
      </w:r>
      <w:r w:rsidR="00701DE8">
        <w:t xml:space="preserve">screened for using </w:t>
      </w:r>
      <w:r w:rsidR="008D5313">
        <w:t>the PSA test,</w:t>
      </w:r>
      <w:r w:rsidR="00014BEE">
        <w:t xml:space="preserve"> a generally accepted biomarker </w:t>
      </w:r>
      <w:r w:rsidR="006166EA">
        <w:t xml:space="preserve">that </w:t>
      </w:r>
      <w:r w:rsidR="00701DE8">
        <w:t>indicates</w:t>
      </w:r>
      <w:r w:rsidR="00B51A10">
        <w:t xml:space="preserve"> disease conditions </w:t>
      </w:r>
      <w:r w:rsidR="00F0784F">
        <w:t xml:space="preserve"> when</w:t>
      </w:r>
      <w:r w:rsidR="00E150DD" w:rsidRPr="00E150DD">
        <w:t xml:space="preserve"> </w:t>
      </w:r>
      <w:r w:rsidR="00F0784F">
        <w:t>the</w:t>
      </w:r>
      <w:r w:rsidR="00E150DD" w:rsidRPr="00E150DD">
        <w:t xml:space="preserve"> serum PSA measurement </w:t>
      </w:r>
      <w:r w:rsidR="00F0784F">
        <w:t>is</w:t>
      </w:r>
      <w:r w:rsidR="004D3D17">
        <w:t xml:space="preserve"> more</w:t>
      </w:r>
      <w:r w:rsidR="00701DE8">
        <w:t xml:space="preserve"> than ≥4.0 ng/mL</w:t>
      </w:r>
      <w:r w:rsidR="00A67245">
        <w:t xml:space="preserve"> </w:t>
      </w:r>
      <w:r w:rsidR="00F72C09">
        <w:t xml:space="preserve">in combination </w:t>
      </w:r>
      <w:r w:rsidR="00E150DD" w:rsidRPr="00E150DD">
        <w:t>with other clinical findings, such as the results of a digital rectal exam</w:t>
      </w:r>
      <w:r w:rsidR="00652142">
        <w:t xml:space="preserve"> </w:t>
      </w:r>
      <w:r w:rsidR="00652142">
        <w:fldChar w:fldCharType="begin" w:fldLock="1"/>
      </w:r>
      <w:r w:rsidR="00652142">
        <w:instrText>ADDIN CSL_CITATION {"citationItems":[{"id":"ITEM-1","itemData":{"DOI":"10.1001/jamanetworkopen.2024.14582","ISSN":"2574-3805 (Electronic)","PMID":"38833252","abstract":"IMPORTANCE: Prostate-specific antigen (PSA) screening for prostate cancer is  controversial but may be associated with benefit for certain high-risk groups. OBJECTIVES: To evaluate associations of county-level PSA screening prevalence with prostate cancer outcomes, as well as variation by sociodemographic and clinical factors. DESIGN, SETTING, AND PARTICIPANTS: This cohort study used data from cancer registries based in 8 US states on Hispanic, non-Hispanic Black, and non-Hispanic White men aged 40 to 99 years who received a diagnosis of prostate cancer between January 1, 2000, and December 31, 2015. Participants were followed up until death or censored after 10 years or December 31, 2018, whichever end point came first. Data were analyzed between September 2023 and January 2024. EXPOSURE: County-level PSA screening prevalence was estimated using the Behavior Risk Factor Surveillance System survey data from 2004, 2006, 2008, 2010, and 2012 and weighted by population characteristics. MAIN OUTCOMES AND MEASURES: Multivariable logistic, Cox proportional hazards regression, and competing risks models were fit to estimate adjusted odds ratios (AOR) and adjusted hazard ratios (AHR) for associations of county-level PSA screening prevalence at diagnosis with advanced stage (regional or distant), as well as all-cause and prostate cancer-specific survival. RESULTS: Of 814 987 men with prostate cancer, the mean (SD) age was 67.3 (9.8) years, 7.8% were Hispanic, 12.2% were non-Hispanic Black, and 80.0% were non-Hispanic White; 17.0% had advanced disease. There were 247 570 deaths over 5 716 703 person-years of follow-up. Men in the highest compared with lowest quintile of county-level PSA screening prevalence at diagnosis had lower odds of advanced vs localized stage (AOR, 0.86; 95% CI, 0.85-0.88), lower all-cause mortality (AHR, 0.86; 95% CI, 0.85-0.87), and lower prostate cancer-specific mortality (AHR, 0.83; 95% CI, 0.81-0.85). Inverse associations between PSA screening prevalence and advanced cancer were strongest among men of Hispanic ethnicity vs other ethnicities (AOR, 0.82; 95% CI, 0.78-0.87), older vs younger men (aged ≥70 years: AOR, 0.77; 95% CI, 0.75-0.79), and those in the Northeast vs other US Census regions (AOR, 0.81; 95% CI, 0.79-0.84). Inverse associations with all-cause mortality were strongest among men of Hispanic ethnicity vs other ethnicities (AHR, 0.82; 95% CI, 0.78-0.85), younger vs older men (AHR, 0.81; 95% CI, 0.77-0.85), those with advan…","author":[{"dropping-particle":"","family":"Iyer","given":"Hari S","non-dropping-particle":"","parse-names":false,"suffix":""},{"dropping-particle":"V","family":"Stone","given":"Benjamin","non-dropping-particle":"","parse-names":false,"suffix":""},{"dropping-particle":"","family":"Roscoe","given":"Charlotte","non-dropping-particle":"","parse-names":false,"suffix":""},{"dropping-particle":"","family":"Hsieh","given":"Mei-Chin","non-dropping-particle":"","parse-names":false,"suffix":""},{"dropping-particle":"","family":"Stroup","given":"Antoinette M","non-dropping-particle":"","parse-names":false,"suffix":""},{"dropping-particle":"","family":"Wiggins","given":"Charles L","non-dropping-particle":"","parse-names":false,"suffix":""},{"dropping-particle":"","family":"Schumacher","given":"Fredrick R","non-dropping-particle":"","parse-names":false,"suffix":""},{"dropping-particle":"","family":"Gomez","given":"Scarlett L","non-dropping-particle":"","parse-names":false,"suffix":""},{"dropping-particle":"","family":"Rebbeck","given":"Timothy R","non-dropping-particle":"","parse-names":false,"suffix":""},{"dropping-particle":"","family":"Trinh","given":"Quoc-Dien","non-dropping-particle":"","parse-names":false,"suffix":""}],"container-title":"JAMA network open","id":"ITEM-1","issue":"6","issued":{"date-parts":[["2024","6"]]},"language":"eng","page":"e2414582","publisher-place":"United States","title":"Access to Prostate-Specific Antigen Testing and Mortality Among Men With Prostate  Cancer.","type":"article-journal","volume":"7"},"uris":["http://www.mendeley.com/documents/?uuid=ef960f67-606a-4311-aa72-409632ac2890"]}],"mendeley":{"formattedCitation":"(Iyer et al., 2024)","plainTextFormattedCitation":"(Iyer et al., 2024)","previouslyFormattedCitation":"(Iyer et al., 2024)"},"properties":{"noteIndex":0},"schema":"https://github.com/citation-style-language/schema/raw/master/csl-citation.json"}</w:instrText>
      </w:r>
      <w:r w:rsidR="00652142">
        <w:fldChar w:fldCharType="separate"/>
      </w:r>
      <w:r w:rsidR="00652142" w:rsidRPr="00652142">
        <w:rPr>
          <w:noProof/>
        </w:rPr>
        <w:t>(Iyer et al., 2024)</w:t>
      </w:r>
      <w:r w:rsidR="00652142">
        <w:fldChar w:fldCharType="end"/>
      </w:r>
      <w:r w:rsidR="004D3D17" w:rsidRPr="00BC058E">
        <w:t xml:space="preserve">. </w:t>
      </w:r>
      <w:bookmarkStart w:id="1" w:name="_Hlk199924122"/>
    </w:p>
    <w:bookmarkEnd w:id="1"/>
    <w:p w14:paraId="624B8398" w14:textId="7EFD799E" w:rsidR="004F0474" w:rsidRDefault="00E150DD" w:rsidP="00AF60D8">
      <w:pPr>
        <w:jc w:val="both"/>
      </w:pPr>
      <w:r w:rsidRPr="00E150DD">
        <w:t xml:space="preserve"> </w:t>
      </w:r>
      <w:r w:rsidR="00DC168E">
        <w:t>E</w:t>
      </w:r>
      <w:r w:rsidR="00E71AC4">
        <w:t>sta</w:t>
      </w:r>
      <w:r w:rsidR="00DC168E">
        <w:t xml:space="preserve">blishing </w:t>
      </w:r>
      <w:r w:rsidR="008D5313">
        <w:t>improved diagnostic and management strategies tailored to the relationship between these vitamins and the prostate</w:t>
      </w:r>
      <w:r w:rsidR="004F0474">
        <w:t xml:space="preserve"> may help to ameliorate the burden.</w:t>
      </w:r>
    </w:p>
    <w:p w14:paraId="27D5878C" w14:textId="1707BF46" w:rsidR="00C94C4D" w:rsidRPr="00FF3D42" w:rsidRDefault="00C94C4D" w:rsidP="006A2CFA">
      <w:pPr>
        <w:jc w:val="both"/>
      </w:pPr>
      <w:r>
        <w:t>Several lines of evidence suggest a potential role of vitamin D in the development of BPH. Vitamin D3</w:t>
      </w:r>
      <w:r w:rsidR="008D5313">
        <w:t>, one of the analogues of vitamin D, has been described as a potent regulator</w:t>
      </w:r>
      <w:r>
        <w:t xml:space="preserve"> of cell growth </w:t>
      </w:r>
      <w:r>
        <w:lastRenderedPageBreak/>
        <w:t>and differentiation of prostatic cells</w:t>
      </w:r>
      <w:r w:rsidR="00652142">
        <w:t xml:space="preserve"> </w:t>
      </w:r>
      <w:r w:rsidR="00652142">
        <w:fldChar w:fldCharType="begin" w:fldLock="1"/>
      </w:r>
      <w:r w:rsidR="00923C53">
        <w:instrText>ADDIN CSL_CITATION {"citationItems":[{"id":"ITEM-1","itemData":{"ISSN":"1488-5581 (Electronic)","PMID":"23930605","abstract":"INTRODUCTION: Benign prostatic hyperplasia (BPH) is a more common form of lower  urinary tract symptoms (LUTS). BPH is due to the excessive growth of both stromal and epithelial cells of the prostate. Fifty percent of men over the age of 50 will have this disease, along with the probability that 90% of men at the age of 80 will have an enlarged prostate. The prevalence of vitamin D deficiency in the male urological population may represent a connection between BPH and vitamin D. MATERIAL AND METHODS: This review is geared to provide the most relevant data on the correlation between vitamin D and BPH. A comprehensive review was conducted on all studies on the specific topic and compiled into a complete article. RESULTS: Data suggests that vitamin D has an inhibitory effect on the RhoA/ROCK pathway, along with cyclooxygenase-2 expression and prostaglandin E2 production in BPH stromal cells. Increasing intake of vitamin D from diet and supplements has shown a correlation with decreased BPH prevalence. Vitamin D analogues of up to 6000 IU/day have shown to decrease prostate volume in BPH patients. Pre-clinical trials have shown vitamin D to not only decrease BPH cell and prostate cell proliferation alone, but also when induced by known growth promoting molecules such as IL-8, Des (1-3) IGF-1, testosterone and dihydrotestosterone. Among all the studies there has not been any side effects or negative implications with increased vitamin D intake. CONCLUSION: The impact of vitamin D on prostate volume and BPH has shown promising results, thus proposing further studies on vitamin D and BPH be conducted.","author":[{"dropping-particle":"","family":"Espinosa","given":"Geovanni","non-dropping-particle":"","parse-names":false,"suffix":""},{"dropping-particle":"","family":"Esposito","given":"Ralph","non-dropping-particle":"","parse-names":false,"suffix":""},{"dropping-particle":"","family":"Kazzazi","given":"Amir","non-dropping-particle":"","parse-names":false,"suffix":""},{"dropping-particle":"","family":"Djavan","given":"Bob","non-dropping-particle":"","parse-names":false,"suffix":""}],"container-title":"The Canadian journal of urology","id":"ITEM-1","issue":"4","issued":{"date-parts":[["2013","8"]]},"language":"eng","page":"6820-6825","publisher-place":"Canada","title":"Vitamin D and benign prostatic hyperplasia -- a review.","type":"article-journal","volume":"20"},"uris":["http://www.mendeley.com/documents/?uuid=f5faf06c-e59f-415e-b044-fbce0b7bcaa2"]}],"mendeley":{"formattedCitation":"(Espinosa et al., 2013)","plainTextFormattedCitation":"(Espinosa et al., 2013)","previouslyFormattedCitation":"(Espinosa et al., 2013)"},"properties":{"noteIndex":0},"schema":"https://github.com/citation-style-language/schema/raw/master/csl-citation.json"}</w:instrText>
      </w:r>
      <w:r w:rsidR="00652142">
        <w:fldChar w:fldCharType="separate"/>
      </w:r>
      <w:r w:rsidR="00652142" w:rsidRPr="00652142">
        <w:rPr>
          <w:noProof/>
        </w:rPr>
        <w:t>(Espinosa et al., 2013)</w:t>
      </w:r>
      <w:r w:rsidR="00652142">
        <w:fldChar w:fldCharType="end"/>
      </w:r>
      <w:r w:rsidR="0082158F">
        <w:t>.</w:t>
      </w:r>
      <w:r>
        <w:t xml:space="preserve"> </w:t>
      </w:r>
      <w:r w:rsidR="00BB69D7">
        <w:t>It</w:t>
      </w:r>
      <w:r w:rsidR="006C7B9E">
        <w:t xml:space="preserve"> </w:t>
      </w:r>
      <w:r w:rsidR="00BB69D7">
        <w:t>acts by</w:t>
      </w:r>
      <w:r>
        <w:t xml:space="preserve"> bind</w:t>
      </w:r>
      <w:r w:rsidR="00B449B3">
        <w:t>ing</w:t>
      </w:r>
      <w:r>
        <w:t xml:space="preserve"> to the vitamin D receptor (VDR)</w:t>
      </w:r>
      <w:r w:rsidR="006D7EFF">
        <w:t xml:space="preserve"> of </w:t>
      </w:r>
      <w:r w:rsidR="00AA4085">
        <w:t>prostate cells</w:t>
      </w:r>
      <w:r w:rsidR="001F176B" w:rsidRPr="001F176B">
        <w:t>,</w:t>
      </w:r>
      <w:r w:rsidR="004D1673" w:rsidRPr="004D1673">
        <w:t xml:space="preserve"> a member of the nuclear receptor superfamily</w:t>
      </w:r>
      <w:r w:rsidR="008D5313">
        <w:t>,</w:t>
      </w:r>
      <w:r w:rsidR="001F176B" w:rsidRPr="001F176B">
        <w:t xml:space="preserve"> which may influence gene expression and potentially promote cell differentiation and apoptosis (programmed cell death) of abnormal cells</w:t>
      </w:r>
      <w:r>
        <w:t>.  Vitamin D metabolites inhibit the growth of normal and malignant prostate cells as demonstrated in primary cultures,</w:t>
      </w:r>
      <w:r w:rsidR="00702ACD">
        <w:t xml:space="preserve"> </w:t>
      </w:r>
      <w:r>
        <w:t>BPH, prostate cancer cell lines, xenograft models, and in vivo on rat prostate</w:t>
      </w:r>
      <w:r w:rsidR="000B3EF3">
        <w:t xml:space="preserve">. Although </w:t>
      </w:r>
      <w:r w:rsidR="002E7804">
        <w:t>r</w:t>
      </w:r>
      <w:r w:rsidR="000B3EF3" w:rsidRPr="000B3EF3">
        <w:t>elationships between diet and prostate cancer are not clearly defined, and specific recommendations to prevent the disease remain speculative</w:t>
      </w:r>
      <w:r w:rsidR="00701DE8">
        <w:t>,</w:t>
      </w:r>
      <w:r w:rsidR="000B3EF3">
        <w:t xml:space="preserve"> </w:t>
      </w:r>
      <w:r w:rsidR="003425BE">
        <w:t xml:space="preserve">as </w:t>
      </w:r>
      <w:r w:rsidR="000B3EF3">
        <w:t xml:space="preserve">it has </w:t>
      </w:r>
      <w:r w:rsidR="00CE1868">
        <w:t>been</w:t>
      </w:r>
      <w:r w:rsidR="000B3EF3">
        <w:t xml:space="preserve"> postulated </w:t>
      </w:r>
      <w:r w:rsidR="00CE1868">
        <w:t>that</w:t>
      </w:r>
      <w:r w:rsidR="005F2F92" w:rsidRPr="005F2F92">
        <w:t xml:space="preserve"> it correlates with affluent dietary patterns</w:t>
      </w:r>
      <w:r w:rsidR="00923C53">
        <w:t xml:space="preserve"> </w:t>
      </w:r>
      <w:r w:rsidR="00923C53">
        <w:fldChar w:fldCharType="begin" w:fldLock="1"/>
      </w:r>
      <w:r w:rsidR="00923C53">
        <w:instrText>ADDIN CSL_CITATION {"citationItems":[{"id":"ITEM-1","itemData":{"DOI":"10.34172/jrip.2024.34296","ISSN":"23452781","abstract":"Introduction: Prostate cancer is among the most frequent neoplasms of the male reproductive system, and its relationship with serum vitamin D level is a controversial subject. The present study intended to investigate the relationship between serum vitamin D levels and the risk of prostate carcinoma. Materials and Methods: This study is a systematic review and meta-analysis based on the PRISMA tool. The search was conducted in databases Web of Science, Cochrane, ProQuest, PubMed, and Google Scholar Search Engine until December 1, 2023. Data was analyzed using STATA 14 software. Results: There was no significant relationship between serum vitamin D levels lower than 50 nmol/L (vitamin D level &lt;50 nmol/L) and prostate cancer. In Finland, the risk of prostate carcinoma in male individuals with serum vitamin D levels lower than 50 nmol/L was 34% higher (OR: 1.34, 95% CI: 1.14, 1.54). In South Korea, on the other hand, serum vitamin D levels lower than 50 nmol/L prevented prostate cancer (OR: 0.94, 95% CI: 0.90, 0.99). There was no significant relationship between the serum vitamin D levels lower than 50 nmol/L and prostate neoplasm in men aged 60 to 69 years old (OR: 0.95, 95% CI: 0.83, 1.07), in men 50 to 59 years old. On the other hand, serum vitamin D levels lower than 50 nmol/L increased the risk of prostate tumor by 32% (OR: 1.32, 95% CI: 1.13, 1.55). Furthermore, no significant relationship was observed between serum vitamin D levels higher than 50 nmol/L (vitamin D level ≥ 50 nmol/L) and the risk of prostate cancer (OR: 1.06, 95% CI: 0.99, 1.14). Conclusion: Generally, there was no significant relationship between serum vitamin D levels and the risk of prostate carcinoma; however, the relationship in some subgroups was statistically significant. We therefore recommend conducting additional studies on this subject. Registration: This study has been compiled based on the PRISMA checklist, and its protocol was registered on the PROSPERO (ID: CRD42023491012) and Research Registry (UIN: reviewregistry1773) website.","author":[{"dropping-particle":"","family":"Ghaderi","given":"Reza","non-dropping-particle":"","parse-names":false,"suffix":""},{"dropping-particle":"","family":"Abdollahi","given":"Zahra","non-dropping-particle":"","parse-names":false,"suffix":""},{"dropping-particle":"","family":"Madani","given":"Mohammad Hamidi","non-dropping-particle":"","parse-names":false,"suffix":""},{"dropping-particle":"","family":"Doshantapeh","given":"Anna Ghorbani","non-dropping-particle":"","parse-names":false,"suffix":""},{"dropping-particle":"","family":"Moghimi","given":"Boshra","non-dropping-particle":"","parse-names":false,"suffix":""},{"dropping-particle":"","family":"Jarang","given":"Mohamad","non-dropping-particle":"","parse-names":false,"suffix":""},{"dropping-particle":"","family":"Rezaei","given":"Jalal","non-dropping-particle":"","parse-names":false,"suffix":""},{"dropping-particle":"","family":"Ghaffariyan","given":"Shahrzad","non-dropping-particle":"","parse-names":false,"suffix":""},{"dropping-particle":"","family":"Arismani","given":"Rasoul Jafari","non-dropping-particle":"","parse-names":false,"suffix":""}],"container-title":"Journal of Renal Injury Prevention","id":"ITEM-1","issue":"3","issued":{"date-parts":[["2024"]]},"title":"Association between serum vitamin D levels and prostate tumor: a systematic review and meta-analysis","type":"article-journal","volume":"13"},"uris":["http://www.mendeley.com/documents/?uuid=66aafaee-3d14-49ee-9c6a-e99ef84f293c"]}],"mendeley":{"formattedCitation":"(Ghaderi et al., 2024)","plainTextFormattedCitation":"(Ghaderi et al., 2024)","previouslyFormattedCitation":"(Ghaderi et al., 2024)"},"properties":{"noteIndex":0},"schema":"https://github.com/citation-style-language/schema/raw/master/csl-citation.json"}</w:instrText>
      </w:r>
      <w:r w:rsidR="00923C53">
        <w:fldChar w:fldCharType="separate"/>
      </w:r>
      <w:r w:rsidR="00923C53" w:rsidRPr="00923C53">
        <w:rPr>
          <w:noProof/>
        </w:rPr>
        <w:t>(Ghaderi et al., 2024)</w:t>
      </w:r>
      <w:r w:rsidR="00923C53">
        <w:fldChar w:fldCharType="end"/>
      </w:r>
      <w:r w:rsidR="005F2F92" w:rsidRPr="005F2F92">
        <w:t xml:space="preserve">.    International and intra-country correlation studies indicate associations between prostate cancer mortality and the </w:t>
      </w:r>
      <w:r w:rsidR="00923C53">
        <w:t xml:space="preserve">per capita intake of total fat </w:t>
      </w:r>
      <w:r w:rsidR="00923C53">
        <w:fldChar w:fldCharType="begin" w:fldLock="1"/>
      </w:r>
      <w:r w:rsidR="000B2E56">
        <w:instrText>ADDIN CSL_CITATION {"citationItems":[{"id":"ITEM-1","itemData":{"DOI":"10.3390/nu15122677","ISSN":"2072-6643 (Electronic)","PMID":"37375581","abstract":"PURPOSE: This study aimed to assess associations between forms of vitamin A and E  (both individually and collectively) and the risk of prostate cancer, as well as identify potential effect modifiers. METHODS: Utilizing data from the Singapore Prostate Cancer Study, a hospital-based case-control study, we measured the serum concentrations of 15 different forms of vitamins A and E in 156 prostate cancer patients and 118 control subjects, using a high-performance liquid chromatography technique. These forms included retinol, lutein, zeaxanthin, α-cryptoxanthin, β-cryptoxanthin, α-carotene, β-carotene, lycopene, ubiquinone, δ-tocopherol, γ-tocopherol, α-tocopherol, δ-tocotrienol, γ-tocotrienol, and α-tocotrienol. The odds ratio and 95% confidence interval for associations between vitamin A and E and prostate cancer risk were estimated using logistic regression models after adjustment for potential confounders. The analyses were further stratified by smoking and alcohol consumption status. The mixture effect of micronutrient groups was evaluated using weighted quantile sum regression. RESULTS: Higher concentrations of retinol, lutein, α-carotene, β-carotene, ubiquinone, α-tocopherol, δ-tocotrienol, γ-tocotrienol, and α-tocotrienol were significantly and positively associated with overall prostate cancer risk. Among ever-smokers, associations were stronger for lutein, β-cryptoxanthin and β-carotene compared with never-smokers. Among regular alcohol drinkers, associations were stronger for lutein, β-cryptoxanthin, ubiquinone, γ-tocotrienol and α-tocotrienol compared with non-regular alcohol drinkers. Retinol and α-tocotrienol contributed most to the group indices 'vitamin A and provitamin A carotenoids' and 'vitamin E', respectively. CONCLUSIONS: Several serum vitamin A and E forms were associated with prostate cancer risk, with significant effect modification by smoking and alcohol consumption status. Our findings shed light on prostate cancer etiology.","author":[{"dropping-particle":"","family":"Loh","given":"Wei Qi","non-dropping-particle":"","parse-names":false,"suffix":""},{"dropping-particle":"","family":"Yin","given":"Xin","non-dropping-particle":"","parse-names":false,"suffix":""},{"dropping-particle":"","family":"Kishida","given":"Rie","non-dropping-particle":"","parse-names":false,"suffix":""},{"dropping-particle":"","family":"Chia","given":"Sin Eng","non-dropping-particle":"","parse-names":false,"suffix":""},{"dropping-particle":"","family":"Ong","given":"Choon Nam","non-dropping-particle":"","parse-names":false,"suffix":""},{"dropping-particle":"","family":"Seow","given":"Wei Jie","non-dropping-particle":"","parse-names":false,"suffix":""}],"container-title":"Nutrients","id":"ITEM-1","issue":"12","issued":{"date-parts":[["2023","6"]]},"language":"eng","publisher-place":"Switzerland","title":"Association between Vitamin A and E Forms and Prostate Cancer Risk in the  Singapore Prostate Cancer Study.","type":"article-journal","volume":"15"},"uris":["http://www.mendeley.com/documents/?uuid=d352baaa-ff5b-4972-8c56-79c9858d2666"]}],"mendeley":{"formattedCitation":"(Loh et al., 2023)","plainTextFormattedCitation":"(Loh et al., 2023)","previouslyFormattedCitation":"(Loh et al., 2023)"},"properties":{"noteIndex":0},"schema":"https://github.com/citation-style-language/schema/raw/master/csl-citation.json"}</w:instrText>
      </w:r>
      <w:r w:rsidR="00923C53">
        <w:fldChar w:fldCharType="separate"/>
      </w:r>
      <w:r w:rsidR="000B2E56" w:rsidRPr="000B2E56">
        <w:rPr>
          <w:noProof/>
        </w:rPr>
        <w:t>(Loh et al., 2023)</w:t>
      </w:r>
      <w:r w:rsidR="00923C53">
        <w:fldChar w:fldCharType="end"/>
      </w:r>
      <w:r w:rsidR="00AA4085">
        <w:t>.</w:t>
      </w:r>
      <w:r w:rsidR="005F2F92" w:rsidRPr="005F2F92">
        <w:t xml:space="preserve"> Similarly, several analytic epidemiologic studies and case-control studies have reported associations between total fat or the consumption of high-fat foods and prostate cancer, particularly saturated fats from animal products</w:t>
      </w:r>
      <w:r w:rsidR="008D5313">
        <w:t>. As fat-soluble vitamins, such as vitamin D and A,</w:t>
      </w:r>
      <w:r w:rsidR="005F2F92" w:rsidRPr="005F2F92">
        <w:t xml:space="preserve"> </w:t>
      </w:r>
      <w:r w:rsidR="00D42DC3" w:rsidRPr="005F2F92">
        <w:t>require</w:t>
      </w:r>
      <w:r w:rsidR="005F2F92" w:rsidRPr="005F2F92">
        <w:t xml:space="preserve"> some dietary fat in the gut for absorption</w:t>
      </w:r>
      <w:r w:rsidR="001025D2">
        <w:t xml:space="preserve">. Also, </w:t>
      </w:r>
      <w:r w:rsidR="005F2F92" w:rsidRPr="005F2F92">
        <w:t xml:space="preserve">several </w:t>
      </w:r>
      <w:r w:rsidR="00D42DC3" w:rsidRPr="005F2F92">
        <w:t>epidemiological</w:t>
      </w:r>
      <w:r w:rsidR="005F2F92" w:rsidRPr="005F2F92">
        <w:t xml:space="preserve"> studies have implicated vitamin D deficiency as a risk factor for prostate cancer</w:t>
      </w:r>
      <w:r w:rsidR="000B2E56">
        <w:t xml:space="preserve"> </w:t>
      </w:r>
      <w:r w:rsidR="005F2F92" w:rsidRPr="005F2F92">
        <w:t xml:space="preserve"> </w:t>
      </w:r>
      <w:r w:rsidR="000B2E56">
        <w:fldChar w:fldCharType="begin" w:fldLock="1"/>
      </w:r>
      <w:r w:rsidR="000B2E56">
        <w:instrText>ADDIN CSL_CITATION {"citationItems":[{"id":"ITEM-1","itemData":{"DOI":"10.4103/npmj.npmj_101_24","ISSN":"1117-1936 (Print)","PMID":"39219343","abstract":"BACKGROUND: Adequate levels of calcium, phosphate and Vitamin D are essential for  bone physiology and growth, as well as preventing some common childhood illnesses. This study aimed to determine the prevalence of the deficiencies of these nutrients and factors affecting their serum levels in Nigerian children. METHODS: This was a cross-sectional study that involved 220 apparently healthy children aged 6-24 months in Ikenne Local Government Area of Ogun State, Nigeria. Serum calcium and phosphate were assayed using the calorimetric method, while Vitamin D (25-OH Vitamin D) was assayed with ELISA. RESULTS: The mean (±standard deviation [SD]) serum Vitamin D level was 55.07 ± 16.53 ng/ml, while the mean (±SD) serum calcium and phosphate were 2.27 ± 0.13 mmol/l and 1.28 ± 0.18 mmol/l, respectively. Eleven (5%) of the children had hypovitaminosis D, 23 (10.5%) had hypocalcaemia and 12 (5.5%) had hypophosphataemia. Factors found to be significantly associated with hypovitaminosis D included low consumption of milk and the use of a hijab veil, while malnutrition (both undernutrition and overnutrition) was significantly associated with hypocalcaemia. CONCLUSION: The prevalence levels of hypovitaminosis D and hypophosphataemia were low, while hypocalcaemia was more common. Low milk consumption and use of a hijab veil were risk factors for hypovitaminosis D, while malnutrition was a risk factor for hypocalcaemia. Malnourished children, especially overnourished ones, should be routinely screened for hypocalcaemia because of its high prevalence among them.","author":[{"dropping-particle":"","family":"Grace","given":"Ajayi Fisayo","non-dropping-particle":"","parse-names":false,"suffix":""},{"dropping-particle":"","family":"Olubunmi","given":"Adekoya Adesola","non-dropping-particle":"","parse-names":false,"suffix":""},{"dropping-particle":"","family":"Adetutu","given":"Ogunlesi Tinuade","non-dropping-particle":"","parse-names":false,"suffix":""},{"dropping-particle":"","family":"Kweku","given":"Renner James","non-dropping-particle":"","parse-names":false,"suffix":""},{"dropping-particle":"","family":"Olubisi","given":"Abolurin Olufunmilola","non-dropping-particle":"","parse-names":false,"suffix":""},{"dropping-particle":"","family":"Daniel","given":"Obaya Fisayo","non-dropping-particle":"","parse-names":false,"suffix":""}],"container-title":"The Nigerian postgraduate medical journal","id":"ITEM-1","issue":"3","issued":{"date-parts":[["2024","7"]]},"language":"eng","page":"213-219","publisher-place":"Nigeria","title":"Prevalence and Risk Factors of Vitamin D, Calcium and Phosphate Deficiency among  Apparently Healthy Children Aged 6-24 Months in a Semi-urban Community in Southwest, Nigeria.","type":"article-journal","volume":"31"},"uris":["http://www.mendeley.com/documents/?uuid=014a4e2d-70ac-415a-b69d-8b24f7a465d6"]},{"id":"ITEM-2","itemData":{"DOI":"10.1016/j.jnutbio.2022.109177","ISSN":"1873-4847 (Electronic)","PMID":"36223833","abstract":"Increasing evidence has demonstrated that vitamin D deficiency is associated with  prostate cancer progression, but its mechanism remains unclear. This study investigated effects of vitamin D deficiency on growth and metastasis of prostate cancer. Nude mice and Transgenic adenocarcinoma of the mouse prostate (TRAMP) mice were fed with vitamin D-deficient (VDD) diets. Prostate cancer growth was aggravated in VDD diet-fed nude mice and TRAMP mice. Invasion and metastasis of prostate cancer were exacerbated in VDD diet-fed TRAMP mice. In vitro experiments showed that calcitriol, an active vitamin D3, inhibited migration and invasion in transforming growth factor (TGF)-β1 -stimulated and -unstimulated PC-3 and DU145 cells. Mechanistically, calcitriol inhibited epithelial-mesenchymal transition (EMT) in TGF-β1 -stimulated and -unstimulated DU145 cells. Unexpectedly, calcitriol did not inhibit Smad2/3 phosphorylation in TGF-β1-stimulated DU145 cells. Instead, calcitriol downregulated expression of proliferation-, metastasis- and EMT-related genes, includes Cyclin D1, MMP7, and Zeb1, by inhibiting interaction between TCF4 and β-catenin. In addition, calcitriol promoted interaction between cytoplasmic VDR and β-catenin, reduced β-catenin phosphorylation and elevated β-catenin/E-cadherin adherens junction complex formation. We provide novel evidence that vitamin D deficiency aggravates growth and metastasis of prostate cancer possibly through promoting EMT in two β-catenin-related mechanisms.","author":[{"dropping-particle":"","family":"Zhang","given":"Zhi-Hui","non-dropping-particle":"","parse-names":false,"suffix":""},{"dropping-particle":"","family":"Liu","given":"Ming-Dong","non-dropping-particle":"","parse-names":false,"suffix":""},{"dropping-particle":"","family":"Yao","given":"Kai","non-dropping-particle":"","parse-names":false,"suffix":""},{"dropping-particle":"","family":"Xu","given":"Shen","non-dropping-particle":"","parse-names":false,"suffix":""},{"dropping-particle":"","family":"Yu","given":"De-Xin","non-dropping-particle":"","parse-names":false,"suffix":""},{"dropping-particle":"","family":"Xie","given":"Dong-Dong","non-dropping-particle":"","parse-names":false,"suffix":""},{"dropping-particle":"","family":"Xu","given":"De-Xiang","non-dropping-particle":"","parse-names":false,"suffix":""}],"container-title":"The Journal of nutritional biochemistry","id":"ITEM-2","issued":{"date-parts":[["2023","1"]]},"language":"eng","page":"109177","publisher-place":"United States","title":"Vitamin D deficiency aggravates growth and metastasis of prostate cancer through  promoting EMT in two β-catenin-related mechanisms.","type":"article-journal","volume":"111"},"uris":["http://www.mendeley.com/documents/?uuid=3dfc99bd-64e8-4df1-a497-e5daacc5362e"]}],"mendeley":{"formattedCitation":"(Grace et al., 2024; Zhang et al., 2023)","plainTextFormattedCitation":"(Grace et al., 2024; Zhang et al., 2023)","previouslyFormattedCitation":"(Grace et al., 2024; Zhang et al., 2023)"},"properties":{"noteIndex":0},"schema":"https://github.com/citation-style-language/schema/raw/master/csl-citation.json"}</w:instrText>
      </w:r>
      <w:r w:rsidR="000B2E56">
        <w:fldChar w:fldCharType="separate"/>
      </w:r>
      <w:r w:rsidR="000B2E56" w:rsidRPr="000B2E56">
        <w:rPr>
          <w:noProof/>
        </w:rPr>
        <w:t>(Grace et al., 2024; Zhang et al., 2023)</w:t>
      </w:r>
      <w:r w:rsidR="000B2E56">
        <w:fldChar w:fldCharType="end"/>
      </w:r>
    </w:p>
    <w:p w14:paraId="489639F5" w14:textId="5826C2A3" w:rsidR="001C1E3C" w:rsidRPr="00FF3D42" w:rsidRDefault="00D42DC3" w:rsidP="001C1E3C">
      <w:pPr>
        <w:jc w:val="both"/>
      </w:pPr>
      <w:r>
        <w:t xml:space="preserve"> </w:t>
      </w:r>
      <w:r w:rsidR="00F4740F">
        <w:t>A</w:t>
      </w:r>
      <w:r>
        <w:t>l</w:t>
      </w:r>
      <w:r w:rsidR="00F4740F">
        <w:t xml:space="preserve">though </w:t>
      </w:r>
      <w:r w:rsidR="00A5013B" w:rsidRPr="00FF3D42">
        <w:t>some</w:t>
      </w:r>
      <w:r w:rsidR="006A2CFA" w:rsidRPr="00FF3D42">
        <w:t xml:space="preserve"> studies</w:t>
      </w:r>
      <w:r w:rsidR="000B2E56">
        <w:t xml:space="preserve"> </w:t>
      </w:r>
      <w:r w:rsidR="000B2E56">
        <w:fldChar w:fldCharType="begin" w:fldLock="1"/>
      </w:r>
      <w:r w:rsidR="00AF4891">
        <w:instrText>ADDIN CSL_CITATION {"citationItems":[{"id":"ITEM-1","itemData":{"DOI":"10.3390/nu15122677","ISSN":"2072-6643 (Electronic)","PMID":"37375581","abstract":"PURPOSE: This study aimed to assess associations between forms of vitamin A and E  (both individually and collectively) and the risk of prostate cancer, as well as identify potential effect modifiers. METHODS: Utilizing data from the Singapore Prostate Cancer Study, a hospital-based case-control study, we measured the serum concentrations of 15 different forms of vitamins A and E in 156 prostate cancer patients and 118 control subjects, using a high-performance liquid chromatography technique. These forms included retinol, lutein, zeaxanthin, α-cryptoxanthin, β-cryptoxanthin, α-carotene, β-carotene, lycopene, ubiquinone, δ-tocopherol, γ-tocopherol, α-tocopherol, δ-tocotrienol, γ-tocotrienol, and α-tocotrienol. The odds ratio and 95% confidence interval for associations between vitamin A and E and prostate cancer risk were estimated using logistic regression models after adjustment for potential confounders. The analyses were further stratified by smoking and alcohol consumption status. The mixture effect of micronutrient groups was evaluated using weighted quantile sum regression. RESULTS: Higher concentrations of retinol, lutein, α-carotene, β-carotene, ubiquinone, α-tocopherol, δ-tocotrienol, γ-tocotrienol, and α-tocotrienol were significantly and positively associated with overall prostate cancer risk. Among ever-smokers, associations were stronger for lutein, β-cryptoxanthin and β-carotene compared with never-smokers. Among regular alcohol drinkers, associations were stronger for lutein, β-cryptoxanthin, ubiquinone, γ-tocotrienol and α-tocotrienol compared with non-regular alcohol drinkers. Retinol and α-tocotrienol contributed most to the group indices 'vitamin A and provitamin A carotenoids' and 'vitamin E', respectively. CONCLUSIONS: Several serum vitamin A and E forms were associated with prostate cancer risk, with significant effect modification by smoking and alcohol consumption status. Our findings shed light on prostate cancer etiology.","author":[{"dropping-particle":"","family":"Loh","given":"Wei Qi","non-dropping-particle":"","parse-names":false,"suffix":""},{"dropping-particle":"","family":"Yin","given":"Xin","non-dropping-particle":"","parse-names":false,"suffix":""},{"dropping-particle":"","family":"Kishida","given":"Rie","non-dropping-particle":"","parse-names":false,"suffix":""},{"dropping-particle":"","family":"Chia","given":"Sin Eng","non-dropping-particle":"","parse-names":false,"suffix":""},{"dropping-particle":"","family":"Ong","given":"Choon Nam","non-dropping-particle":"","parse-names":false,"suffix":""},{"dropping-particle":"","family":"Seow","given":"Wei Jie","non-dropping-particle":"","parse-names":false,"suffix":""}],"container-title":"Nutrients","id":"ITEM-1","issue":"12","issued":{"date-parts":[["2023","6"]]},"language":"eng","publisher-place":"Switzerland","title":"Association between Vitamin A and E Forms and Prostate Cancer Risk in the  Singapore Prostate Cancer Study.","type":"article-journal","volume":"15"},"uris":["http://www.mendeley.com/documents/?uuid=d352baaa-ff5b-4972-8c56-79c9858d2666"]},{"id":"ITEM-2","itemData":{"DOI":"10.1016/j.canep.2009.10.014","ISSN":"1877-783X (Electronic)","PMID":"19939760","abstract":"AIM: To review and summarize evidence from longitudinal studies on the  association between serum 25-hydroxyvitamin D (25(OH)D) and the risk of prostate cancer (PC). METHODS: Relevant prospective cohort studies and nested case-control studies published until July 2009 were identified by systematically searching Ovid Medline, EMBASE, and ISI Web of Knowledge databases and by cross-referencing. The following data were extracted in a standardized manner from eligible studies: first author, publication year, country, study design, characteristics of the study population, duration of follow-up, PC incidence/PC mortality according to serum vitamin D status and the respective risk ratios, and covariates adjusted for in the analysis. Due to the heterogeneity of studies in categorizing serum vitamin D levels, all results were recalculated for an increase in serum 25(OH)D by 10ng/ml. Summary odds ratios (ORs) were calculated using meta-analysis methods. RESULTS: Overall, eleven original articles were included, ten of which reported on the association between serum vitamin D levels and PC incidence and one article reported on the association with PC mortality. Meta-analysis of studies on PC incidence resulted in a summary OR (95% confidence interval, CI) of 1.03 (0.96-1.11) associated with an increase of 25(OH)D by 10ng/ml (P=0.362). No indication for heterogeneity and publication bias was found. CONCLUSIONS: According to available evidence from longitudinal studies, serum 25(OH)D is not associated with PC incidence.","author":[{"dropping-particle":"","family":"Yin","given":"Lu","non-dropping-particle":"","parse-names":false,"suffix":""},{"dropping-particle":"","family":"Raum","given":"Elke","non-dropping-particle":"","parse-names":false,"suffix":""},{"dropping-particle":"","family":"Haug","given":"Ulrike","non-dropping-particle":"","parse-names":false,"suffix":""},{"dropping-particle":"","family":"Arndt","given":"Volker","non-dropping-particle":"","parse-names":false,"suffix":""},{"dropping-particle":"","family":"Brenner","given":"Hermann","non-dropping-particle":"","parse-names":false,"suffix":""}],"container-title":"Cancer epidemiology","id":"ITEM-2","issue":"6","issued":{"date-parts":[["2009","12"]]},"language":"eng","page":"435-445","publisher-place":"Netherlands","title":"Meta-analysis of longitudinal studies: Serum vitamin D and prostate cancer risk.","type":"article-journal","volume":"33"},"uris":["http://www.mendeley.com/documents/?uuid=dcf57d57-14fa-4270-b575-3bc74e8dd823"]},{"id":"ITEM-3","itemData":{"DOI":"10.3390/nu15122722","ISSN":"2072-6643 (Electronic)","PMID":"37375626","abstract":"It is a well-established fact that inadequate Vitamin D (Vit-D) levels have  negative effects on the development and progression of malignant diseases, particularly cancer. The purpose of this paper was to elucidate the effects of Vit-D intake and serum 25-hydroxyvitamin-D (25(OH)D) levels on cancer incidence and mortality, the current evidence in this field, and the biases of this evidence, using the meta-meta-analysis method. Meta-analyses focusing on Vit-D intake, serum 25(OH)D levels, and cancer risk/mortality were identified. A structured computer literature search was undertaken in PubMed/Medline, Web of Science (WoS), and Scopus electronic databases using predetermined keyword combinations. Primary and secondary meta-meta-analyses were carried out, combining odds ratios (ORs), risk ratios (RRs), and hazard ratios (HRs) for outcomes reported in selected meta-analyses. A total of 35 eligible meta-analyses (59 reports yielded from these studies) assessing the association between Vit-D and cancer incidence and/or mortality were included in this study. In the pooled analysis, higher Vit-D intake and serum 25(OH)D levels were associated with lower cancer risk (OR = 0.93, 95% confidence interval (CI): 0.90-0.96, p &lt; 0.001; OR = 0.80, 95% CI: 0.72-0.89, p &lt; 0.001, respectively) and cancer-related mortality (RR = 0.89, 95% CI: 0.86-0.93, p &lt; 0.001; RR = 0.67, 95% CI: 0.58-0.78, p &lt; 0.001, respectively). When meta-analyses whose primary reports included only randomized controlled trials were pooled, there was no significant association between Vit-D intake and cancer risk (OR = 0.99, 95% CI: 0.97-1.01, p = 0.320). In subgroup analysis, Vit-D consumption was associated with a significant decrease in colorectal and lung cancer incidence (OR = 0.89, 95% CI: 0.83-0.96, p = 0.002; OR = 0.88, 95% CI: 0.83-0.94, p &lt; 0.001, respectively). Taken together, both Vit-D intake and higher 25(OH)D levels may provide remarkable benefits in terms of cancer incidence and mortality; however, careful evaluation according to cancer types is critically important and recommended.","author":[{"dropping-particle":"","family":"Arayici","given":"Mehmet Emin","non-dropping-particle":"","parse-names":false,"suffix":""},{"dropping-particle":"","family":"Basbinar","given":"Yasemin","non-dropping-particle":"","parse-names":false,"suffix":""},{"dropping-particle":"","family":"Ellidokuz","given":"Hulya","non-dropping-particle":"","parse-names":false,"suffix":""}],"container-title":"Nutrients","id":"ITEM-3","issue":"12","issued":{"date-parts":[["2023","6"]]},"language":"eng","publisher-place":"Switzerland","title":"Vitamin D Intake, Serum 25-Hydroxyvitamin-D (25(OH)D) Levels, and Cancer Risk: A  Comprehensive Meta-Meta-Analysis Including Meta-Analyses of Randomized Controlled Trials and Observational Epidemiological Studies.","type":"article-journal","volume":"15"},"uris":["http://www.mendeley.com/documents/?uuid=e15d7c76-fa46-4360-a7d7-d0c1e00500d7"]}],"mendeley":{"formattedCitation":"(Arayici et al., 2023; Loh et al., 2023; Yin et al., 2009)","plainTextFormattedCitation":"(Arayici et al., 2023; Loh et al., 2023; Yin et al., 2009)","previouslyFormattedCitation":"(Arayici et al., 2023; Loh et al., 2023; Yin et al., 2009)"},"properties":{"noteIndex":0},"schema":"https://github.com/citation-style-language/schema/raw/master/csl-citation.json"}</w:instrText>
      </w:r>
      <w:r w:rsidR="000B2E56">
        <w:fldChar w:fldCharType="separate"/>
      </w:r>
      <w:r w:rsidR="000B2E56" w:rsidRPr="000B2E56">
        <w:rPr>
          <w:noProof/>
        </w:rPr>
        <w:t>(Arayici et al., 2023; Loh et al., 2023; Yin et al., 2009)</w:t>
      </w:r>
      <w:r w:rsidR="000B2E56">
        <w:fldChar w:fldCharType="end"/>
      </w:r>
      <w:r w:rsidR="006A2CFA" w:rsidRPr="00FF3D42">
        <w:t xml:space="preserve"> have shown a link between vitamin D levels and prostate cancer,</w:t>
      </w:r>
      <w:r w:rsidR="00F4740F">
        <w:t xml:space="preserve"> </w:t>
      </w:r>
      <w:r w:rsidR="00EB3D9B">
        <w:t xml:space="preserve">understanding the link will </w:t>
      </w:r>
      <w:r w:rsidR="007A0045">
        <w:t>significantly</w:t>
      </w:r>
      <w:r w:rsidR="00EB3D9B">
        <w:t xml:space="preserve"> impact the </w:t>
      </w:r>
      <w:r w:rsidR="009322AC">
        <w:t>diagnosis and management of these conditions</w:t>
      </w:r>
      <w:r w:rsidR="00DA20C2">
        <w:t xml:space="preserve"> esp</w:t>
      </w:r>
      <w:r w:rsidR="00E02D41">
        <w:t xml:space="preserve">ecially in our setting </w:t>
      </w:r>
      <w:r w:rsidR="00BC553B">
        <w:t xml:space="preserve">where most of these studies were </w:t>
      </w:r>
      <w:r w:rsidR="005963C1">
        <w:t>scarce</w:t>
      </w:r>
      <w:r w:rsidR="009322AC">
        <w:t xml:space="preserve"> </w:t>
      </w:r>
      <w:r w:rsidR="000B2E56">
        <w:t>hence this study</w:t>
      </w:r>
      <w:r w:rsidR="009322AC">
        <w:t xml:space="preserve"> aim</w:t>
      </w:r>
      <w:r w:rsidR="000B2E56">
        <w:t>s</w:t>
      </w:r>
      <w:r w:rsidR="009322AC">
        <w:t xml:space="preserve"> at assessing the levels of vitamin A and D amon</w:t>
      </w:r>
      <w:r w:rsidR="004E77A1">
        <w:t xml:space="preserve">g adult men with </w:t>
      </w:r>
      <w:r w:rsidR="004305D7">
        <w:t xml:space="preserve">BPH and </w:t>
      </w:r>
      <w:r w:rsidR="001A5503">
        <w:t>prostate</w:t>
      </w:r>
      <w:r w:rsidR="004305D7">
        <w:t xml:space="preserve"> cancers </w:t>
      </w:r>
      <w:r w:rsidR="007C2F1C">
        <w:t xml:space="preserve">attending clinic in </w:t>
      </w:r>
      <w:r w:rsidR="00A74A8D">
        <w:t>Lagos</w:t>
      </w:r>
      <w:r w:rsidR="008265C7">
        <w:t xml:space="preserve"> state teaching </w:t>
      </w:r>
      <w:r w:rsidR="00A74A8D">
        <w:t xml:space="preserve">hospital, </w:t>
      </w:r>
      <w:r w:rsidR="004D2FD1">
        <w:t xml:space="preserve">with a view of establishing any form of </w:t>
      </w:r>
      <w:r w:rsidR="00382571">
        <w:t xml:space="preserve">relationship between these vitamins and the </w:t>
      </w:r>
      <w:r w:rsidR="00324B7D">
        <w:t>disease conditions.</w:t>
      </w:r>
      <w:r w:rsidR="006A2CFA" w:rsidRPr="00FF3D42">
        <w:t xml:space="preserve"> </w:t>
      </w:r>
    </w:p>
    <w:p w14:paraId="2179097C" w14:textId="1BDEDAD9" w:rsidR="00C04FF3" w:rsidRPr="00174567" w:rsidRDefault="00C04FF3" w:rsidP="00324B7D">
      <w:pPr>
        <w:spacing w:after="240" w:line="240" w:lineRule="auto"/>
        <w:jc w:val="both"/>
        <w:rPr>
          <w:b/>
          <w:color w:val="000000"/>
        </w:rPr>
      </w:pPr>
      <w:bookmarkStart w:id="2" w:name="_Hlk196831756"/>
      <w:r w:rsidRPr="00174567">
        <w:rPr>
          <w:b/>
          <w:color w:val="000000"/>
        </w:rPr>
        <w:t>HUMAN SUBJECTS</w:t>
      </w:r>
    </w:p>
    <w:p w14:paraId="0B27AA3B" w14:textId="141D73F7" w:rsidR="006A0E84" w:rsidRDefault="005D33F7" w:rsidP="00324B7D">
      <w:pPr>
        <w:spacing w:after="240" w:line="240" w:lineRule="auto"/>
        <w:jc w:val="both"/>
        <w:rPr>
          <w:b/>
          <w:color w:val="000000"/>
        </w:rPr>
      </w:pPr>
      <w:r>
        <w:rPr>
          <w:color w:val="000000"/>
        </w:rPr>
        <w:t xml:space="preserve">A total of </w:t>
      </w:r>
      <w:r w:rsidR="00C04FF3">
        <w:rPr>
          <w:color w:val="000000"/>
        </w:rPr>
        <w:t xml:space="preserve">one hundred thirty-eight </w:t>
      </w:r>
      <w:r w:rsidR="00964C25">
        <w:rPr>
          <w:color w:val="000000"/>
        </w:rPr>
        <w:t xml:space="preserve">consenting </w:t>
      </w:r>
      <w:r w:rsidR="00C04FF3">
        <w:rPr>
          <w:color w:val="000000"/>
        </w:rPr>
        <w:t>male subjects</w:t>
      </w:r>
      <w:r w:rsidR="00121369">
        <w:rPr>
          <w:color w:val="000000"/>
        </w:rPr>
        <w:t>, 50 years and above, who have been diagnosed with prostate enlargement or prostate cancer with PSA above 4ng/ml and attended the urology clinic in the Lagos University Teaching Hospital, Idi-Araba,</w:t>
      </w:r>
      <w:r w:rsidR="002200B8">
        <w:rPr>
          <w:color w:val="000000"/>
        </w:rPr>
        <w:t xml:space="preserve"> were recruited for the </w:t>
      </w:r>
      <w:r w:rsidR="00964C25">
        <w:rPr>
          <w:color w:val="000000"/>
        </w:rPr>
        <w:t>study</w:t>
      </w:r>
      <w:r w:rsidR="00C04FF3" w:rsidRPr="005361F9">
        <w:rPr>
          <w:color w:val="000000"/>
        </w:rPr>
        <w:t xml:space="preserve">.  </w:t>
      </w:r>
      <w:r w:rsidR="00171EF6">
        <w:rPr>
          <w:color w:val="000000"/>
        </w:rPr>
        <w:t xml:space="preserve"> Of which </w:t>
      </w:r>
      <w:r w:rsidR="00C04FF3" w:rsidRPr="005361F9">
        <w:rPr>
          <w:color w:val="000000"/>
        </w:rPr>
        <w:t xml:space="preserve">70 male subjects were diagnosed </w:t>
      </w:r>
      <w:r w:rsidR="00C04FF3">
        <w:rPr>
          <w:color w:val="000000"/>
        </w:rPr>
        <w:t xml:space="preserve">with prostate cancer, while 68 patients </w:t>
      </w:r>
      <w:r w:rsidR="00121369">
        <w:rPr>
          <w:color w:val="000000"/>
        </w:rPr>
        <w:t>had</w:t>
      </w:r>
      <w:r w:rsidR="00C04FF3">
        <w:rPr>
          <w:color w:val="000000"/>
        </w:rPr>
        <w:t xml:space="preserve"> BPH</w:t>
      </w:r>
      <w:r w:rsidR="00171EF6">
        <w:rPr>
          <w:color w:val="000000"/>
        </w:rPr>
        <w:t xml:space="preserve">. </w:t>
      </w:r>
      <w:r w:rsidR="00C04FF3" w:rsidRPr="005361F9">
        <w:rPr>
          <w:color w:val="000000"/>
        </w:rPr>
        <w:t xml:space="preserve"> </w:t>
      </w:r>
      <w:r w:rsidR="00171EF6">
        <w:rPr>
          <w:color w:val="000000"/>
        </w:rPr>
        <w:t xml:space="preserve">Another </w:t>
      </w:r>
      <w:r w:rsidR="00171EF6" w:rsidRPr="005361F9">
        <w:rPr>
          <w:color w:val="000000"/>
        </w:rPr>
        <w:t>69</w:t>
      </w:r>
      <w:r w:rsidR="00C04FF3" w:rsidRPr="005361F9">
        <w:rPr>
          <w:color w:val="000000"/>
        </w:rPr>
        <w:t xml:space="preserve"> non-prostate diseased subjects within the same age group above were matched as negative controls.</w:t>
      </w:r>
    </w:p>
    <w:p w14:paraId="12CC237D" w14:textId="1D66C887" w:rsidR="00C04FF3" w:rsidRPr="00174567" w:rsidRDefault="00C04FF3" w:rsidP="00324B7D">
      <w:pPr>
        <w:spacing w:after="240" w:line="240" w:lineRule="auto"/>
        <w:jc w:val="both"/>
        <w:rPr>
          <w:b/>
          <w:color w:val="000000"/>
        </w:rPr>
      </w:pPr>
      <w:r w:rsidRPr="00174567">
        <w:rPr>
          <w:b/>
          <w:color w:val="000000"/>
        </w:rPr>
        <w:t>SAMPLE SIZE DETERMINATION</w:t>
      </w:r>
    </w:p>
    <w:p w14:paraId="6852F02D" w14:textId="418BE754" w:rsidR="00BD2F47" w:rsidRPr="00EB182F" w:rsidRDefault="00C04FF3" w:rsidP="00324B7D">
      <w:pPr>
        <w:spacing w:after="240" w:line="240" w:lineRule="auto"/>
        <w:jc w:val="both"/>
        <w:rPr>
          <w:color w:val="000000"/>
        </w:rPr>
      </w:pPr>
      <w:r w:rsidRPr="005361F9">
        <w:rPr>
          <w:color w:val="000000"/>
        </w:rPr>
        <w:t xml:space="preserve">Sample size determination was </w:t>
      </w:r>
      <w:r w:rsidR="008D5313">
        <w:rPr>
          <w:color w:val="000000"/>
        </w:rPr>
        <w:t xml:space="preserve">based on a local prevalence rate of 7.9% among men aged </w:t>
      </w:r>
      <w:r w:rsidRPr="005361F9">
        <w:rPr>
          <w:color w:val="000000"/>
        </w:rPr>
        <w:t xml:space="preserve">50 years and older.  </w:t>
      </w:r>
      <w:r w:rsidR="008D5313">
        <w:rPr>
          <w:color w:val="000000"/>
        </w:rPr>
        <w:t xml:space="preserve">The </w:t>
      </w:r>
      <w:r>
        <w:t xml:space="preserve">Armitage &amp; Berry </w:t>
      </w:r>
      <w:r w:rsidRPr="005361F9">
        <w:t xml:space="preserve">technique was used to calculate the sample size and significance at 5% level </w:t>
      </w:r>
      <w:bookmarkStart w:id="3" w:name="_Hlk199237801"/>
      <w:r w:rsidR="00AF4891">
        <w:fldChar w:fldCharType="begin" w:fldLock="1"/>
      </w:r>
      <w:r w:rsidR="00AF4891">
        <w:instrText>ADDIN CSL_CITATION {"citationItems":[{"id":"ITEM-1","itemData":{"DOI":"10.1002/9780470773666.refs","ISSN":"9780632052578","author":[{"dropping-particle":"","family":"Armitage","given":"P","non-dropping-particle":"","parse-names":false,"suffix":""},{"dropping-particle":"","family":"Berry","given":"G","non-dropping-particle":"","parse-names":false,"suffix":""},{"dropping-particle":"","family":"Matthews","given":"J N S","non-dropping-particle":"","parse-names":false,"suffix":""}],"id":"ITEM-1","issued":{"date-parts":[["2008","2","1"]]},"page":"760-783","title":"Statistical Methods in Medical Research, Fourth Edition","type":"article-journal"},"uris":["http://www.mendeley.com/documents/?uuid=e60a4b07-f221-4a2f-8fac-bd755856f056"]}],"mendeley":{"formattedCitation":"(Armitage et al., 2008)","plainTextFormattedCitation":"(Armitage et al., 2008)","previouslyFormattedCitation":"(Armitage et al., 2008)"},"properties":{"noteIndex":0},"schema":"https://github.com/citation-style-language/schema/raw/master/csl-citation.json"}</w:instrText>
      </w:r>
      <w:r w:rsidR="00AF4891">
        <w:fldChar w:fldCharType="separate"/>
      </w:r>
      <w:r w:rsidR="00AF4891" w:rsidRPr="00AF4891">
        <w:rPr>
          <w:noProof/>
        </w:rPr>
        <w:t>(Armitage et al., 2008)</w:t>
      </w:r>
      <w:r w:rsidR="00AF4891">
        <w:fldChar w:fldCharType="end"/>
      </w:r>
      <w:r w:rsidRPr="005361F9">
        <w:t xml:space="preserve"> </w:t>
      </w:r>
      <w:bookmarkEnd w:id="3"/>
    </w:p>
    <w:p w14:paraId="1BE998B8" w14:textId="77777777" w:rsidR="00B43FB8" w:rsidRDefault="00C04FF3" w:rsidP="00B43FB8">
      <w:pPr>
        <w:spacing w:after="240" w:line="240" w:lineRule="auto"/>
        <w:jc w:val="both"/>
        <w:rPr>
          <w:b/>
          <w:color w:val="000000"/>
        </w:rPr>
      </w:pPr>
      <w:r w:rsidRPr="00174567">
        <w:rPr>
          <w:b/>
          <w:color w:val="000000"/>
        </w:rPr>
        <w:t>EXCLUSION CRITERIA</w:t>
      </w:r>
    </w:p>
    <w:p w14:paraId="696C06BD" w14:textId="77777777" w:rsidR="00B43FB8" w:rsidRPr="006B28AE" w:rsidRDefault="00C04FF3" w:rsidP="00846281">
      <w:pPr>
        <w:pStyle w:val="ListParagraph"/>
        <w:numPr>
          <w:ilvl w:val="0"/>
          <w:numId w:val="7"/>
        </w:numPr>
        <w:spacing w:after="0" w:line="240" w:lineRule="auto"/>
        <w:jc w:val="both"/>
        <w:rPr>
          <w:b/>
          <w:color w:val="000000"/>
        </w:rPr>
      </w:pPr>
      <w:r w:rsidRPr="006B28AE">
        <w:rPr>
          <w:color w:val="000000"/>
        </w:rPr>
        <w:t>All male subjects below 50 years of age.</w:t>
      </w:r>
    </w:p>
    <w:p w14:paraId="6F5A90C0" w14:textId="77777777" w:rsidR="00846281" w:rsidRDefault="00860030" w:rsidP="00846281">
      <w:pPr>
        <w:pStyle w:val="ListParagraph"/>
        <w:numPr>
          <w:ilvl w:val="0"/>
          <w:numId w:val="7"/>
        </w:numPr>
        <w:spacing w:after="0" w:line="240" w:lineRule="auto"/>
        <w:jc w:val="both"/>
        <w:rPr>
          <w:color w:val="000000"/>
        </w:rPr>
      </w:pPr>
      <w:r w:rsidRPr="006B28AE">
        <w:rPr>
          <w:color w:val="000000"/>
        </w:rPr>
        <w:lastRenderedPageBreak/>
        <w:t>Chronic</w:t>
      </w:r>
      <w:r w:rsidR="00C04FF3" w:rsidRPr="006B28AE">
        <w:rPr>
          <w:color w:val="000000"/>
        </w:rPr>
        <w:t xml:space="preserve"> renal failure resulting in tubular loss of calcium and </w:t>
      </w:r>
      <w:r w:rsidR="00324B7D" w:rsidRPr="006B28AE">
        <w:rPr>
          <w:color w:val="000000"/>
        </w:rPr>
        <w:t>non-formation</w:t>
      </w:r>
      <w:r w:rsidR="00C04FF3" w:rsidRPr="006B28AE">
        <w:rPr>
          <w:color w:val="000000"/>
        </w:rPr>
        <w:t xml:space="preserve"> of active vitamin D.</w:t>
      </w:r>
    </w:p>
    <w:p w14:paraId="1F3DE345" w14:textId="77777777" w:rsidR="00846281" w:rsidRDefault="00C73787" w:rsidP="00846281">
      <w:pPr>
        <w:pStyle w:val="ListParagraph"/>
        <w:numPr>
          <w:ilvl w:val="0"/>
          <w:numId w:val="7"/>
        </w:numPr>
        <w:spacing w:after="0" w:line="240" w:lineRule="auto"/>
        <w:jc w:val="both"/>
        <w:rPr>
          <w:color w:val="000000"/>
        </w:rPr>
      </w:pPr>
      <w:r w:rsidRPr="00846281">
        <w:rPr>
          <w:color w:val="000000"/>
        </w:rPr>
        <w:t>Hyperthyroidism/thyrotoxicosis</w:t>
      </w:r>
      <w:r w:rsidR="00C04FF3" w:rsidRPr="00846281">
        <w:rPr>
          <w:color w:val="000000"/>
        </w:rPr>
        <w:t xml:space="preserve"> </w:t>
      </w:r>
    </w:p>
    <w:p w14:paraId="5DD50514" w14:textId="77777777" w:rsidR="00846281" w:rsidRDefault="00860030" w:rsidP="00846281">
      <w:pPr>
        <w:pStyle w:val="ListParagraph"/>
        <w:numPr>
          <w:ilvl w:val="0"/>
          <w:numId w:val="7"/>
        </w:numPr>
        <w:spacing w:after="0" w:line="240" w:lineRule="auto"/>
        <w:jc w:val="both"/>
        <w:rPr>
          <w:color w:val="000000"/>
        </w:rPr>
      </w:pPr>
      <w:r w:rsidRPr="00846281">
        <w:rPr>
          <w:color w:val="000000"/>
        </w:rPr>
        <w:t>All</w:t>
      </w:r>
      <w:r w:rsidR="00C04FF3" w:rsidRPr="00846281">
        <w:rPr>
          <w:color w:val="000000"/>
        </w:rPr>
        <w:t xml:space="preserve"> subjects who </w:t>
      </w:r>
      <w:r w:rsidR="00B067D5" w:rsidRPr="00846281">
        <w:rPr>
          <w:color w:val="000000"/>
        </w:rPr>
        <w:t>had</w:t>
      </w:r>
      <w:r w:rsidR="00C04FF3" w:rsidRPr="00846281">
        <w:rPr>
          <w:color w:val="000000"/>
        </w:rPr>
        <w:t xml:space="preserve"> had their prostate gland examination before sample collection through Direct Rectal Examination (</w:t>
      </w:r>
      <w:smartTag w:uri="urn:schemas-microsoft-com:office:smarttags" w:element="stockticker">
        <w:r w:rsidR="00C04FF3" w:rsidRPr="00846281">
          <w:rPr>
            <w:color w:val="000000"/>
          </w:rPr>
          <w:t>DRE</w:t>
        </w:r>
      </w:smartTag>
      <w:r w:rsidR="00C04FF3" w:rsidRPr="00846281">
        <w:rPr>
          <w:color w:val="000000"/>
        </w:rPr>
        <w:t xml:space="preserve">) were excluded. </w:t>
      </w:r>
    </w:p>
    <w:p w14:paraId="6FDBB35A" w14:textId="7E6AAF53" w:rsidR="001A1294" w:rsidRPr="00846281" w:rsidRDefault="004A6CB9" w:rsidP="00846281">
      <w:pPr>
        <w:pStyle w:val="ListParagraph"/>
        <w:numPr>
          <w:ilvl w:val="0"/>
          <w:numId w:val="7"/>
        </w:numPr>
        <w:spacing w:after="0" w:line="240" w:lineRule="auto"/>
        <w:jc w:val="both"/>
        <w:rPr>
          <w:color w:val="000000"/>
        </w:rPr>
      </w:pPr>
      <w:r w:rsidRPr="00846281">
        <w:rPr>
          <w:color w:val="000000"/>
        </w:rPr>
        <w:t>All subjects on any form of vitamin</w:t>
      </w:r>
      <w:r w:rsidR="0066500A" w:rsidRPr="00846281">
        <w:rPr>
          <w:color w:val="000000"/>
        </w:rPr>
        <w:t xml:space="preserve"> A and D </w:t>
      </w:r>
      <w:r w:rsidR="00B067D5" w:rsidRPr="00846281">
        <w:rPr>
          <w:color w:val="000000"/>
        </w:rPr>
        <w:t>supplementation</w:t>
      </w:r>
      <w:r w:rsidR="0066500A" w:rsidRPr="00846281">
        <w:rPr>
          <w:color w:val="000000"/>
        </w:rPr>
        <w:t xml:space="preserve"> or treatment</w:t>
      </w:r>
      <w:r w:rsidR="00B067D5" w:rsidRPr="00846281">
        <w:rPr>
          <w:color w:val="000000"/>
        </w:rPr>
        <w:t>.</w:t>
      </w:r>
    </w:p>
    <w:p w14:paraId="4D4060DB" w14:textId="77777777" w:rsidR="001A1294" w:rsidRDefault="00C04FF3" w:rsidP="001A1294">
      <w:pPr>
        <w:spacing w:after="0" w:line="240" w:lineRule="auto"/>
        <w:jc w:val="both"/>
        <w:rPr>
          <w:color w:val="000000"/>
        </w:rPr>
      </w:pPr>
      <w:r w:rsidRPr="001A1294">
        <w:rPr>
          <w:b/>
          <w:color w:val="000000"/>
        </w:rPr>
        <w:t xml:space="preserve">INCLUSION </w:t>
      </w:r>
      <w:r w:rsidR="001A1294" w:rsidRPr="001A1294">
        <w:rPr>
          <w:b/>
          <w:color w:val="000000"/>
        </w:rPr>
        <w:t>Criteria</w:t>
      </w:r>
      <w:r w:rsidR="001A1294" w:rsidRPr="001A1294">
        <w:rPr>
          <w:color w:val="000000"/>
        </w:rPr>
        <w:t xml:space="preserve"> </w:t>
      </w:r>
    </w:p>
    <w:p w14:paraId="1D6A34B2" w14:textId="281BB6B6" w:rsidR="00B06EC5" w:rsidRDefault="001A1294" w:rsidP="00AE6B5C">
      <w:pPr>
        <w:spacing w:after="0" w:line="240" w:lineRule="auto"/>
        <w:jc w:val="both"/>
        <w:rPr>
          <w:color w:val="000000"/>
        </w:rPr>
      </w:pPr>
      <w:r w:rsidRPr="001A1294">
        <w:rPr>
          <w:color w:val="000000"/>
        </w:rPr>
        <w:t>All</w:t>
      </w:r>
      <w:r w:rsidR="00C04FF3" w:rsidRPr="001A1294">
        <w:rPr>
          <w:color w:val="000000"/>
        </w:rPr>
        <w:t xml:space="preserve"> male subjects 50 years and above diagnosed </w:t>
      </w:r>
      <w:r w:rsidR="00C73787">
        <w:rPr>
          <w:color w:val="000000"/>
        </w:rPr>
        <w:t>with</w:t>
      </w:r>
      <w:r w:rsidR="00C04FF3" w:rsidRPr="001A1294">
        <w:rPr>
          <w:color w:val="000000"/>
        </w:rPr>
        <w:t xml:space="preserve"> prostate cancer or BPH</w:t>
      </w:r>
      <w:r w:rsidR="00C73787">
        <w:rPr>
          <w:color w:val="000000"/>
        </w:rPr>
        <w:t>.</w:t>
      </w:r>
    </w:p>
    <w:p w14:paraId="06773730" w14:textId="77777777" w:rsidR="00952384" w:rsidRPr="00AE6B5C" w:rsidRDefault="00952384" w:rsidP="00AE6B5C">
      <w:pPr>
        <w:spacing w:after="0" w:line="240" w:lineRule="auto"/>
        <w:jc w:val="both"/>
        <w:rPr>
          <w:color w:val="000000"/>
        </w:rPr>
      </w:pPr>
    </w:p>
    <w:p w14:paraId="0DAC6348" w14:textId="6831214F" w:rsidR="00C04FF3" w:rsidRPr="00275CD4" w:rsidRDefault="00C04FF3" w:rsidP="00275CD4">
      <w:pPr>
        <w:spacing w:after="240" w:line="240" w:lineRule="auto"/>
        <w:jc w:val="both"/>
        <w:rPr>
          <w:color w:val="000000"/>
        </w:rPr>
      </w:pPr>
      <w:r w:rsidRPr="00174567">
        <w:rPr>
          <w:b/>
          <w:color w:val="000000"/>
        </w:rPr>
        <w:t xml:space="preserve">SAMPLE COLLECTION </w:t>
      </w:r>
      <w:r w:rsidR="00B06EC5">
        <w:rPr>
          <w:b/>
          <w:color w:val="000000"/>
        </w:rPr>
        <w:t>AND M</w:t>
      </w:r>
      <w:r w:rsidR="008E4B59">
        <w:rPr>
          <w:b/>
          <w:color w:val="000000"/>
        </w:rPr>
        <w:t>ETHODS.</w:t>
      </w:r>
    </w:p>
    <w:p w14:paraId="4FB01FAF" w14:textId="0099241B" w:rsidR="00087505" w:rsidRPr="00087505" w:rsidRDefault="00C04FF3" w:rsidP="00654098">
      <w:pPr>
        <w:spacing w:after="240" w:line="240" w:lineRule="auto"/>
        <w:jc w:val="both"/>
        <w:rPr>
          <w:color w:val="000000"/>
        </w:rPr>
      </w:pPr>
      <w:r>
        <w:rPr>
          <w:color w:val="000000"/>
        </w:rPr>
        <w:t xml:space="preserve">A </w:t>
      </w:r>
      <w:r w:rsidR="00C73787">
        <w:rPr>
          <w:color w:val="000000"/>
        </w:rPr>
        <w:t>5 mL venous blood sample was collected from subjects and controls</w:t>
      </w:r>
      <w:r w:rsidR="00701DE8">
        <w:rPr>
          <w:color w:val="000000"/>
        </w:rPr>
        <w:t xml:space="preserve">, and the samples were </w:t>
      </w:r>
      <w:r w:rsidR="00C73787">
        <w:rPr>
          <w:color w:val="000000"/>
        </w:rPr>
        <w:t>dispensed into specimen containers to determine total PSA and Vitamins A and D</w:t>
      </w:r>
      <w:r>
        <w:rPr>
          <w:color w:val="000000"/>
        </w:rPr>
        <w:t xml:space="preserve"> using </w:t>
      </w:r>
      <w:r w:rsidR="00C73787">
        <w:rPr>
          <w:color w:val="000000"/>
        </w:rPr>
        <w:t xml:space="preserve">the </w:t>
      </w:r>
      <w:r>
        <w:rPr>
          <w:color w:val="000000"/>
        </w:rPr>
        <w:t>ELISA method.</w:t>
      </w:r>
      <w:r w:rsidR="0065234E" w:rsidRPr="0065234E">
        <w:t xml:space="preserve"> </w:t>
      </w:r>
      <w:r w:rsidR="0065234E" w:rsidRPr="0065234E">
        <w:rPr>
          <w:color w:val="000000"/>
        </w:rPr>
        <w:t>Samples were allowed to retract and spun at 3000 rpm for 5 minutes.  The supernatant plasma was separated and stored at -20</w:t>
      </w:r>
      <w:r w:rsidR="00C73787">
        <w:rPr>
          <w:color w:val="000000"/>
        </w:rPr>
        <w:t>°C for batch analysis</w:t>
      </w:r>
      <w:r w:rsidR="0065234E" w:rsidRPr="0065234E">
        <w:rPr>
          <w:color w:val="000000"/>
        </w:rPr>
        <w:t>.</w:t>
      </w:r>
      <w:r>
        <w:rPr>
          <w:color w:val="000000"/>
        </w:rPr>
        <w:t xml:space="preserve"> </w:t>
      </w:r>
      <w:r w:rsidR="00EA2989">
        <w:rPr>
          <w:color w:val="000000"/>
        </w:rPr>
        <w:t xml:space="preserve">Total </w:t>
      </w:r>
      <w:r w:rsidR="003971B9" w:rsidRPr="003971B9">
        <w:rPr>
          <w:color w:val="000000"/>
        </w:rPr>
        <w:t>PSA</w:t>
      </w:r>
      <w:r w:rsidR="00EA2989">
        <w:rPr>
          <w:color w:val="000000"/>
        </w:rPr>
        <w:t>,</w:t>
      </w:r>
      <w:r w:rsidR="00EA2989" w:rsidRPr="00EA2989">
        <w:t xml:space="preserve"> </w:t>
      </w:r>
      <w:r w:rsidR="00EA2989" w:rsidRPr="00EA2989">
        <w:rPr>
          <w:color w:val="000000"/>
        </w:rPr>
        <w:t>Vitamins A and D</w:t>
      </w:r>
      <w:r w:rsidR="003971B9" w:rsidRPr="003971B9">
        <w:rPr>
          <w:color w:val="000000"/>
        </w:rPr>
        <w:t xml:space="preserve"> were determined using </w:t>
      </w:r>
      <w:r w:rsidR="00C73787">
        <w:rPr>
          <w:color w:val="000000"/>
        </w:rPr>
        <w:t xml:space="preserve">the ELISA method with </w:t>
      </w:r>
      <w:proofErr w:type="spellStart"/>
      <w:r w:rsidR="00C73787" w:rsidRPr="009D544B">
        <w:rPr>
          <w:color w:val="000000"/>
        </w:rPr>
        <w:t>Elab</w:t>
      </w:r>
      <w:proofErr w:type="spellEnd"/>
      <w:r w:rsidR="00C73787">
        <w:rPr>
          <w:color w:val="000000"/>
        </w:rPr>
        <w:t xml:space="preserve"> Science products on an </w:t>
      </w:r>
      <w:r w:rsidR="008B1E18">
        <w:rPr>
          <w:color w:val="000000"/>
        </w:rPr>
        <w:t>ELI</w:t>
      </w:r>
      <w:r w:rsidR="009D0C73">
        <w:rPr>
          <w:color w:val="000000"/>
        </w:rPr>
        <w:t>S</w:t>
      </w:r>
      <w:r w:rsidR="008B1E18">
        <w:rPr>
          <w:color w:val="000000"/>
        </w:rPr>
        <w:t>A machine</w:t>
      </w:r>
      <w:r w:rsidR="00056C7B">
        <w:rPr>
          <w:color w:val="000000"/>
        </w:rPr>
        <w:t xml:space="preserve"> under standard con</w:t>
      </w:r>
      <w:r w:rsidR="003E5F80">
        <w:rPr>
          <w:color w:val="000000"/>
        </w:rPr>
        <w:t>ditions.</w:t>
      </w:r>
      <w:r w:rsidR="000A7FD2">
        <w:rPr>
          <w:color w:val="000000"/>
        </w:rPr>
        <w:t xml:space="preserve"> </w:t>
      </w:r>
      <w:r w:rsidR="00C73787">
        <w:rPr>
          <w:color w:val="000000"/>
        </w:rPr>
        <w:t>The data generated were subjected to statistica</w:t>
      </w:r>
      <w:r w:rsidR="00DF7AE9">
        <w:rPr>
          <w:color w:val="000000"/>
        </w:rPr>
        <w:t>l analysis using SPSS version 20</w:t>
      </w:r>
      <w:r w:rsidR="00C73787">
        <w:rPr>
          <w:color w:val="000000"/>
        </w:rPr>
        <w:t>, with differences in the mean values between groups compared using the Student’s t-test</w:t>
      </w:r>
      <w:r w:rsidR="00654098" w:rsidRPr="00654098">
        <w:rPr>
          <w:color w:val="000000"/>
        </w:rPr>
        <w:t xml:space="preserve"> and one-way ANOVA</w:t>
      </w:r>
      <w:r w:rsidR="00A81155">
        <w:rPr>
          <w:color w:val="000000"/>
        </w:rPr>
        <w:t>. T</w:t>
      </w:r>
      <w:r w:rsidR="00654098" w:rsidRPr="00654098">
        <w:rPr>
          <w:color w:val="000000"/>
        </w:rPr>
        <w:t xml:space="preserve">he probability level was </w:t>
      </w:r>
      <w:r w:rsidR="00C73787">
        <w:rPr>
          <w:color w:val="000000"/>
        </w:rPr>
        <w:t xml:space="preserve">set at a 5% significance level (p &lt; </w:t>
      </w:r>
      <w:r w:rsidR="00654098" w:rsidRPr="00654098">
        <w:rPr>
          <w:color w:val="000000"/>
        </w:rPr>
        <w:t>0.05).</w:t>
      </w:r>
      <w:r w:rsidR="00072A98">
        <w:rPr>
          <w:color w:val="000000"/>
        </w:rPr>
        <w:t xml:space="preserve"> </w:t>
      </w:r>
      <w:r w:rsidR="00654098" w:rsidRPr="00654098">
        <w:rPr>
          <w:color w:val="000000"/>
        </w:rPr>
        <w:t xml:space="preserve">The </w:t>
      </w:r>
      <w:r w:rsidR="00963875">
        <w:rPr>
          <w:color w:val="000000"/>
        </w:rPr>
        <w:t>serum vitamin A and D</w:t>
      </w:r>
      <w:r w:rsidR="00391C66">
        <w:rPr>
          <w:color w:val="000000"/>
        </w:rPr>
        <w:t xml:space="preserve"> levels for those with </w:t>
      </w:r>
      <w:r w:rsidR="00016260">
        <w:rPr>
          <w:color w:val="000000"/>
        </w:rPr>
        <w:t xml:space="preserve">CAP and BPH </w:t>
      </w:r>
      <w:r w:rsidR="00315003">
        <w:rPr>
          <w:color w:val="000000"/>
        </w:rPr>
        <w:t xml:space="preserve">and </w:t>
      </w:r>
      <w:r w:rsidR="002923E8">
        <w:rPr>
          <w:color w:val="000000"/>
        </w:rPr>
        <w:t xml:space="preserve">those without </w:t>
      </w:r>
      <w:r w:rsidR="00654098" w:rsidRPr="00654098">
        <w:rPr>
          <w:color w:val="000000"/>
        </w:rPr>
        <w:t>were expressed as Pearson’s correlation coefficient ‘r’ at 5% significance.</w:t>
      </w:r>
    </w:p>
    <w:bookmarkEnd w:id="2"/>
    <w:p w14:paraId="5A5ECB5A" w14:textId="5DFF66FB" w:rsidR="00341DAE" w:rsidRDefault="00341DAE" w:rsidP="00341DAE">
      <w:pPr>
        <w:spacing w:after="240" w:line="480" w:lineRule="auto"/>
        <w:jc w:val="both"/>
        <w:rPr>
          <w:b/>
        </w:rPr>
      </w:pPr>
      <w:r>
        <w:rPr>
          <w:b/>
        </w:rPr>
        <w:t xml:space="preserve">ESTIMATION OF </w:t>
      </w:r>
      <w:r w:rsidRPr="00323770">
        <w:rPr>
          <w:b/>
        </w:rPr>
        <w:t xml:space="preserve">TOTAL </w:t>
      </w:r>
      <w:r>
        <w:rPr>
          <w:b/>
        </w:rPr>
        <w:t>PSA</w:t>
      </w:r>
    </w:p>
    <w:p w14:paraId="4D90D235" w14:textId="77777777" w:rsidR="00341DAE" w:rsidRPr="005361F9" w:rsidRDefault="00341DAE" w:rsidP="00341DAE">
      <w:pPr>
        <w:spacing w:after="240" w:line="480" w:lineRule="auto"/>
        <w:jc w:val="both"/>
      </w:pPr>
      <w:r w:rsidRPr="005361F9">
        <w:t xml:space="preserve">Principle </w:t>
      </w:r>
    </w:p>
    <w:p w14:paraId="47DD14F1" w14:textId="0887A305" w:rsidR="00341DAE" w:rsidRPr="005361F9" w:rsidRDefault="00341DAE" w:rsidP="00341DAE">
      <w:pPr>
        <w:spacing w:after="240" w:line="360" w:lineRule="auto"/>
        <w:jc w:val="both"/>
      </w:pPr>
      <w:r w:rsidRPr="005361F9">
        <w:t xml:space="preserve">In this method, </w:t>
      </w:r>
      <w:r w:rsidR="00B83600">
        <w:t>the PSA calibrator, patient specimen or control was first added to a streptavidin-coated</w:t>
      </w:r>
      <w:r w:rsidRPr="005361F9">
        <w:t xml:space="preserve"> well. Biotinylated monoclonal and </w:t>
      </w:r>
      <w:r w:rsidR="00B83600">
        <w:t xml:space="preserve">enzyme-labelled antibodies (directed against distinct and different epitopes of PSA) were added, and the reactants were </w:t>
      </w:r>
      <w:r w:rsidRPr="005361F9">
        <w:t xml:space="preserve">mixed. </w:t>
      </w:r>
      <w:r w:rsidR="00B83600">
        <w:t>The reaction between the various PSA antibodies and native PSA forms a sandwich complex that binds to the streptavidin-coated</w:t>
      </w:r>
      <w:r w:rsidRPr="005361F9">
        <w:t xml:space="preserve"> well. After the completion of the required incubation period, the enzyme-</w:t>
      </w:r>
      <w:r>
        <w:t xml:space="preserve">PSA </w:t>
      </w:r>
      <w:r w:rsidR="00B83600">
        <w:t>antibody-bound conjugate was separated from the unbound enzyme-PSA conjugate</w:t>
      </w:r>
      <w:r w:rsidRPr="005361F9">
        <w:t xml:space="preserve"> by aspiration or decantation.</w:t>
      </w:r>
    </w:p>
    <w:p w14:paraId="2A1EA1B9" w14:textId="350FD7B5" w:rsidR="00341DAE" w:rsidRPr="00AA4085" w:rsidRDefault="00341DAE" w:rsidP="00AA4085">
      <w:pPr>
        <w:spacing w:after="240" w:line="360" w:lineRule="auto"/>
        <w:jc w:val="both"/>
      </w:pPr>
      <w:r w:rsidRPr="005361F9">
        <w:t>The activity of the enzyme prese</w:t>
      </w:r>
      <w:r>
        <w:t>nt on the surface of the well was</w:t>
      </w:r>
      <w:r w:rsidRPr="005361F9">
        <w:t xml:space="preserve"> </w:t>
      </w:r>
      <w:r w:rsidR="00B83600">
        <w:t>quantified</w:t>
      </w:r>
      <w:r w:rsidRPr="005361F9">
        <w:t xml:space="preserve"> by reaction with a suitable substrate to produce </w:t>
      </w:r>
      <w:proofErr w:type="spellStart"/>
      <w:r w:rsidRPr="005361F9">
        <w:t>colour</w:t>
      </w:r>
      <w:proofErr w:type="spellEnd"/>
      <w:r w:rsidRPr="005361F9">
        <w:t xml:space="preserve">. The </w:t>
      </w:r>
      <w:r w:rsidR="00B83600">
        <w:t xml:space="preserve">use of several serum references with known prostate-specific antigen (PSA) levels allowed the construction of a dose-response curve relating activity </w:t>
      </w:r>
      <w:r w:rsidR="00B83600">
        <w:lastRenderedPageBreak/>
        <w:t>to</w:t>
      </w:r>
      <w:r w:rsidRPr="005361F9">
        <w:t xml:space="preserve"> concentration. </w:t>
      </w:r>
      <w:r>
        <w:t>In</w:t>
      </w:r>
      <w:r w:rsidRPr="005361F9">
        <w:t xml:space="preserve"> comparison to the </w:t>
      </w:r>
      <w:r>
        <w:t>dose-response</w:t>
      </w:r>
      <w:r w:rsidRPr="005361F9">
        <w:t xml:space="preserve"> curve, </w:t>
      </w:r>
      <w:r w:rsidR="00B83600">
        <w:t>the activity of an unknown specimen can</w:t>
      </w:r>
      <w:r w:rsidRPr="005361F9">
        <w:t xml:space="preserve"> be correlated with </w:t>
      </w:r>
      <w:r>
        <w:t>PSA</w:t>
      </w:r>
      <w:r w:rsidRPr="005361F9">
        <w:t xml:space="preserve"> c</w:t>
      </w:r>
      <w:r w:rsidR="00AF4891">
        <w:t xml:space="preserve">oncentration </w:t>
      </w:r>
      <w:r w:rsidR="00AF4891">
        <w:fldChar w:fldCharType="begin" w:fldLock="1"/>
      </w:r>
      <w:r w:rsidR="00AF4891">
        <w:instrText>ADDIN CSL_CITATION {"citationItems":[{"id":"ITEM-1","itemData":{"DOI":"10.1007/s10552-024-01917-w","ISSN":"1573-7225 (Electronic)","PMID":"39306811","abstract":"PURPOSE: Prostate cancer (PCa) is an increasing burden in Sub-Saharan Africa.  This systematic review examined the incidence, prevalence, clinical characteristics and outcomes of PCa in Nigeria. METHODS: This review followed the standard Preferred Reporting Items for Systematic Reviews and Meta-Analyses (PRISMA) 2020 guidelines. Peer-reviewed observational studies that focused on epidemiology of PCa in Nigeria, published between 1990 and 2023 and written in English were eligible. Combination of keywords was used to search PubMed, Scopus, Google scholar, AJOL and web of science databases. A piloted form by the Cochrane Public Health Group Data Extraction and Assessment Template was used to extract data from retrieved studies. Quality assessment of included studies was performed using the Newcastle-Ottawa scale for observational studies. RESULTS: Of the 1898 articles retrieved, 21 met the inclusion criteria. All included studies showed good quality. Mean age for PCa ranged from 55 to 71 years, with a higher prevalence occurring within 60-69 years. A 7.7 fold increase in PCa incidence was reported for the years 1997-2006, while an average annual increase in incidence rate of 11.95% was observed from 2009 to 2013. Hospital-based prevalence of 14%-46.4% was observed for clinically active PCa. Patients presented for diagnosis with high Gleason scores and advanced PCa. High mortality (15.6%-64.0%) occurred between 6 months and 3 years of diagnosis. CONCLUSION: Findings suggest rising incidence and high prevalence of PCa in Nigeria. Advanced PCa was most common at diagnosis and mortality was high. There is need for improved strategies and policies for early detection of PCa in Nigeria.","author":[{"dropping-particle":"","family":"Iheanacho","given":"Chinonyerem O","non-dropping-particle":"","parse-names":false,"suffix":""},{"dropping-particle":"","family":"Enechukwu","given":"Okechukwu H","non-dropping-particle":"","parse-names":false,"suffix":""}],"container-title":"Cancer causes &amp; control : CCC","id":"ITEM-1","issue":"1","issued":{"date-parts":[["2025","1"]]},"language":"eng","page":"1-12","publisher-place":"Netherlands","title":"Epidemiology of prostate cancer in Nigeria: a mixed methods systematic review.","type":"article-journal","volume":"36"},"uris":["http://www.mendeley.com/documents/?uuid=249f059f-fdb4-43cd-b36e-2d555f26e70f"]},{"id":"ITEM-2","itemData":{"DOI":"10.1001/jamanetworkopen.2024.14582","ISSN":"2574-3805 (Electronic)","PMID":"38833252","abstract":"IMPORTANCE: Prostate-specific antigen (PSA) screening for prostate cancer is  controversial but may be associated with benefit for certain high-risk groups. OBJECTIVES: To evaluate associations of county-level PSA screening prevalence with prostate cancer outcomes, as well as variation by sociodemographic and clinical factors. DESIGN, SETTING, AND PARTICIPANTS: This cohort study used data from cancer registries based in 8 US states on Hispanic, non-Hispanic Black, and non-Hispanic White men aged 40 to 99 years who received a diagnosis of prostate cancer between January 1, 2000, and December 31, 2015. Participants were followed up until death or censored after 10 years or December 31, 2018, whichever end point came first. Data were analyzed between September 2023 and January 2024. EXPOSURE: County-level PSA screening prevalence was estimated using the Behavior Risk Factor Surveillance System survey data from 2004, 2006, 2008, 2010, and 2012 and weighted by population characteristics. MAIN OUTCOMES AND MEASURES: Multivariable logistic, Cox proportional hazards regression, and competing risks models were fit to estimate adjusted odds ratios (AOR) and adjusted hazard ratios (AHR) for associations of county-level PSA screening prevalence at diagnosis with advanced stage (regional or distant), as well as all-cause and prostate cancer-specific survival. RESULTS: Of 814 987 men with prostate cancer, the mean (SD) age was 67.3 (9.8) years, 7.8% were Hispanic, 12.2% were non-Hispanic Black, and 80.0% were non-Hispanic White; 17.0% had advanced disease. There were 247 570 deaths over 5 716 703 person-years of follow-up. Men in the highest compared with lowest quintile of county-level PSA screening prevalence at diagnosis had lower odds of advanced vs localized stage (AOR, 0.86; 95% CI, 0.85-0.88), lower all-cause mortality (AHR, 0.86; 95% CI, 0.85-0.87), and lower prostate cancer-specific mortality (AHR, 0.83; 95% CI, 0.81-0.85). Inverse associations between PSA screening prevalence and advanced cancer were strongest among men of Hispanic ethnicity vs other ethnicities (AOR, 0.82; 95% CI, 0.78-0.87), older vs younger men (aged ≥70 years: AOR, 0.77; 95% CI, 0.75-0.79), and those in the Northeast vs other US Census regions (AOR, 0.81; 95% CI, 0.79-0.84). Inverse associations with all-cause mortality were strongest among men of Hispanic ethnicity vs other ethnicities (AHR, 0.82; 95% CI, 0.78-0.85), younger vs older men (AHR, 0.81; 95% CI, 0.77-0.85), those with advan…","author":[{"dropping-particle":"","family":"Iyer","given":"Hari S","non-dropping-particle":"","parse-names":false,"suffix":""},{"dropping-particle":"V","family":"Stone","given":"Benjamin","non-dropping-particle":"","parse-names":false,"suffix":""},{"dropping-particle":"","family":"Roscoe","given":"Charlotte","non-dropping-particle":"","parse-names":false,"suffix":""},{"dropping-particle":"","family":"Hsieh","given":"Mei-Chin","non-dropping-particle":"","parse-names":false,"suffix":""},{"dropping-particle":"","family":"Stroup","given":"Antoinette M","non-dropping-particle":"","parse-names":false,"suffix":""},{"dropping-particle":"","family":"Wiggins","given":"Charles L","non-dropping-particle":"","parse-names":false,"suffix":""},{"dropping-particle":"","family":"Schumacher","given":"Fredrick R","non-dropping-particle":"","parse-names":false,"suffix":""},{"dropping-particle":"","family":"Gomez","given":"Scarlett L","non-dropping-particle":"","parse-names":false,"suffix":""},{"dropping-particle":"","family":"Rebbeck","given":"Timothy R","non-dropping-particle":"","parse-names":false,"suffix":""},{"dropping-particle":"","family":"Trinh","given":"Quoc-Dien","non-dropping-particle":"","parse-names":false,"suffix":""}],"container-title":"JAMA network open","id":"ITEM-2","issue":"6","issued":{"date-parts":[["2024","6"]]},"language":"eng","page":"e2414582","publisher-place":"United States","title":"Access to Prostate-Specific Antigen Testing and Mortality Among Men With Prostate  Cancer.","type":"article-journal","volume":"7"},"uris":["http://www.mendeley.com/documents/?uuid=ef960f67-606a-4311-aa72-409632ac2890"]}],"mendeley":{"formattedCitation":"(Iheanacho &amp; Enechukwu, 2025; Iyer et al., 2024)","plainTextFormattedCitation":"(Iheanacho &amp; Enechukwu, 2025; Iyer et al., 2024)","previouslyFormattedCitation":"(Iheanacho &amp; Enechukwu, 2025; Iyer et al., 2024)"},"properties":{"noteIndex":0},"schema":"https://github.com/citation-style-language/schema/raw/master/csl-citation.json"}</w:instrText>
      </w:r>
      <w:r w:rsidR="00AF4891">
        <w:fldChar w:fldCharType="separate"/>
      </w:r>
      <w:r w:rsidR="00AF4891" w:rsidRPr="00AF4891">
        <w:rPr>
          <w:noProof/>
        </w:rPr>
        <w:t>(Iheanacho &amp; Enechukwu, 2025; Iyer et al., 2024)</w:t>
      </w:r>
      <w:r w:rsidR="00AF4891">
        <w:fldChar w:fldCharType="end"/>
      </w:r>
    </w:p>
    <w:p w14:paraId="542EF40C" w14:textId="77777777" w:rsidR="001113C9" w:rsidRDefault="001113C9" w:rsidP="00C04FF3">
      <w:pPr>
        <w:spacing w:line="480" w:lineRule="auto"/>
        <w:jc w:val="both"/>
      </w:pPr>
    </w:p>
    <w:p w14:paraId="6F0E8A07" w14:textId="445D1116" w:rsidR="001113C9" w:rsidRDefault="00B83600" w:rsidP="00C04FF3">
      <w:pPr>
        <w:spacing w:line="480" w:lineRule="auto"/>
        <w:jc w:val="both"/>
      </w:pPr>
      <w:r>
        <w:t>ESTIMATION OF VITAMIN</w:t>
      </w:r>
      <w:r w:rsidR="000970DE">
        <w:t xml:space="preserve"> A</w:t>
      </w:r>
    </w:p>
    <w:p w14:paraId="416A2640" w14:textId="77777777" w:rsidR="000970DE" w:rsidRPr="005361F9" w:rsidRDefault="000970DE" w:rsidP="000970DE">
      <w:pPr>
        <w:spacing w:after="120" w:line="480" w:lineRule="auto"/>
        <w:jc w:val="both"/>
        <w:rPr>
          <w:b/>
        </w:rPr>
      </w:pPr>
      <w:r w:rsidRPr="005361F9">
        <w:rPr>
          <w:b/>
        </w:rPr>
        <w:t>Test Principle</w:t>
      </w:r>
    </w:p>
    <w:p w14:paraId="204A3101" w14:textId="356AB528" w:rsidR="000970DE" w:rsidRPr="005361F9" w:rsidRDefault="000970DE" w:rsidP="000970DE">
      <w:pPr>
        <w:spacing w:after="120" w:line="480" w:lineRule="auto"/>
        <w:jc w:val="both"/>
      </w:pPr>
      <w:r>
        <w:t xml:space="preserve">This ELISA kit </w:t>
      </w:r>
      <w:r w:rsidR="00B83600">
        <w:t>employs a competitive ELISA</w:t>
      </w:r>
      <w:r w:rsidRPr="005361F9">
        <w:t xml:space="preserve"> method. The microtiter plate provided in this kit has been pre-coated with VA. During the reaction, VA in</w:t>
      </w:r>
      <w:r>
        <w:t xml:space="preserve"> the sample or standard competed</w:t>
      </w:r>
      <w:r w:rsidRPr="005361F9">
        <w:t xml:space="preserve"> with a fixed amount of VA on the </w:t>
      </w:r>
      <w:r w:rsidR="00B83600">
        <w:t>solid-phase supporter for sites on the Biotinylated Detection Antibody</w:t>
      </w:r>
      <w:r w:rsidRPr="005361F9">
        <w:t xml:space="preserve"> specific to VA. Excess conjugate and unbound </w:t>
      </w:r>
      <w:r>
        <w:t>samples</w:t>
      </w:r>
      <w:r w:rsidRPr="005361F9">
        <w:t xml:space="preserve"> or </w:t>
      </w:r>
      <w:r w:rsidR="00B83600">
        <w:t>standards</w:t>
      </w:r>
      <w:r>
        <w:t xml:space="preserve"> were</w:t>
      </w:r>
      <w:r w:rsidRPr="005361F9">
        <w:t xml:space="preserve"> washed from the plate, and Avidin conjugated to</w:t>
      </w:r>
      <w:r>
        <w:t xml:space="preserve"> Horseradish Peroxidase (HRP) was</w:t>
      </w:r>
      <w:r w:rsidRPr="005361F9">
        <w:t xml:space="preserve"> added to each microplate well and incubated. </w:t>
      </w:r>
      <w:r>
        <w:t>Then, a TMB substrate solution was</w:t>
      </w:r>
      <w:r w:rsidRPr="005361F9">
        <w:t xml:space="preserve"> added to each well. </w:t>
      </w:r>
      <w:r>
        <w:t>The enzyme-substrate reaction was</w:t>
      </w:r>
      <w:r w:rsidRPr="005361F9">
        <w:t xml:space="preserve"> terminated by </w:t>
      </w:r>
      <w:r>
        <w:t>adding</w:t>
      </w:r>
      <w:r w:rsidRPr="005361F9">
        <w:t xml:space="preserve"> a sulphuric acid </w:t>
      </w:r>
      <w:r>
        <w:t xml:space="preserve">solution, and the </w:t>
      </w:r>
      <w:proofErr w:type="spellStart"/>
      <w:r>
        <w:t>colour</w:t>
      </w:r>
      <w:proofErr w:type="spellEnd"/>
      <w:r>
        <w:t xml:space="preserve"> change was</w:t>
      </w:r>
      <w:r w:rsidRPr="005361F9">
        <w:t xml:space="preserve"> measured spectrophotometrically at a wavelength of </w:t>
      </w:r>
      <w:r w:rsidR="00B83600">
        <w:t>450 nm + 2 nm</w:t>
      </w:r>
      <w:r w:rsidRPr="005361F9">
        <w:t xml:space="preserve">. </w:t>
      </w:r>
      <w:r w:rsidR="00B83600">
        <w:t>The</w:t>
      </w:r>
      <w:r w:rsidRPr="005361F9">
        <w:t xml:space="preserve"> conce</w:t>
      </w:r>
      <w:r>
        <w:t>ntration of VA in the samples was</w:t>
      </w:r>
      <w:r w:rsidRPr="005361F9">
        <w:t xml:space="preserve"> then determined by comparing the OD of the samples to the standard cu</w:t>
      </w:r>
      <w:r w:rsidR="00AF4891">
        <w:t xml:space="preserve">rve </w:t>
      </w:r>
      <w:r w:rsidR="00AF4891">
        <w:fldChar w:fldCharType="begin" w:fldLock="1"/>
      </w:r>
      <w:r w:rsidR="00AF4891">
        <w:instrText>ADDIN CSL_CITATION {"citationItems":[{"id":"ITEM-1","itemData":{"DOI":"10.3390/analytica5010004","ISSN":"26734532","abstract":"The accurate assessment of vitamin A in animal feed and tissues is vital for safeguarding animal well-being and ensuring high-quality nutritional feed. However, challenges in achieving precise results persist, necessitating a comprehensive understanding of the influencing factors. This review delves into the historical progression of analytical techniques, from colorimetric assays and spectrophotometry to advanced chromatographic methods and non-destructive spectroscopic approaches. Factors influencing analytical precision are scrutinized, encompassing sample preparation, storage conditions, interfering substances, and human errors. The crucial role of quality control and standardized protocols in ensuring the reproducibility and reliability of results is emphasized. Moreover, this review highlights the need for tailored analytical approaches to account for the complexities of sample matrices and the significance of cutting-edge technologies, including on-site analysis and data science integration, in enhancing analytical precision. By acknowledging the challenges and prospects in vitamin A analysis, this paper provides insights for optimizing analytical methodologies and promoting animal welfare and product safety.","author":[{"dropping-particle":"","family":"Shastak","given":"Yauheni","non-dropping-particle":"","parse-names":false,"suffix":""},{"dropping-particle":"","family":"Pelletier","given":"Wolf","non-dropping-particle":"","parse-names":false,"suffix":""},{"dropping-particle":"","family":"Kuntz","given":"Andrea","non-dropping-particle":"","parse-names":false,"suffix":""}],"container-title":"Analytica","id":"ITEM-1","issue":"1","issued":{"date-parts":[["2024"]]},"page":"54-73","title":"Insights into Analytical Precision: Understanding the Factors Influencing Accurate Vitamin A Determination in Various Samples","type":"article-journal","volume":"5"},"uris":["http://www.mendeley.com/documents/?uuid=6fa3a893-f7a4-4415-8c29-f5087fc7113d"]}],"mendeley":{"formattedCitation":"(Shastak et al., 2024)","plainTextFormattedCitation":"(Shastak et al., 2024)","previouslyFormattedCitation":"(Shastak et al., 2024)"},"properties":{"noteIndex":0},"schema":"https://github.com/citation-style-language/schema/raw/master/csl-citation.json"}</w:instrText>
      </w:r>
      <w:r w:rsidR="00AF4891">
        <w:fldChar w:fldCharType="separate"/>
      </w:r>
      <w:r w:rsidR="00AF4891" w:rsidRPr="00AF4891">
        <w:rPr>
          <w:noProof/>
        </w:rPr>
        <w:t>(Shastak et al., 2024)</w:t>
      </w:r>
      <w:r w:rsidR="00AF4891">
        <w:fldChar w:fldCharType="end"/>
      </w:r>
    </w:p>
    <w:p w14:paraId="00EC6A08" w14:textId="77777777" w:rsidR="00AF4891" w:rsidRDefault="00AF4891" w:rsidP="00C04FF3">
      <w:pPr>
        <w:spacing w:line="480" w:lineRule="auto"/>
        <w:jc w:val="both"/>
      </w:pPr>
    </w:p>
    <w:p w14:paraId="786E7ACE" w14:textId="5DAE407A" w:rsidR="000970DE" w:rsidRDefault="00B83600" w:rsidP="00C04FF3">
      <w:pPr>
        <w:spacing w:line="480" w:lineRule="auto"/>
        <w:jc w:val="both"/>
      </w:pPr>
      <w:r>
        <w:t>ESTIMATION</w:t>
      </w:r>
      <w:r w:rsidR="000970DE">
        <w:t xml:space="preserve"> OF VITAMIN D3</w:t>
      </w:r>
    </w:p>
    <w:p w14:paraId="72CF49A1" w14:textId="77777777" w:rsidR="000970DE" w:rsidRPr="005361F9" w:rsidRDefault="000970DE" w:rsidP="000970DE">
      <w:pPr>
        <w:spacing w:after="120" w:line="480" w:lineRule="auto"/>
        <w:jc w:val="both"/>
        <w:rPr>
          <w:b/>
        </w:rPr>
      </w:pPr>
      <w:r w:rsidRPr="005361F9">
        <w:rPr>
          <w:b/>
        </w:rPr>
        <w:t xml:space="preserve">Test principle  </w:t>
      </w:r>
    </w:p>
    <w:p w14:paraId="24F1FEF9" w14:textId="6F099C36" w:rsidR="000970DE" w:rsidRDefault="000970DE" w:rsidP="000970DE">
      <w:pPr>
        <w:spacing w:line="480" w:lineRule="auto"/>
        <w:jc w:val="both"/>
      </w:pPr>
      <w:r>
        <w:t xml:space="preserve">This ELISA kit </w:t>
      </w:r>
      <w:r w:rsidR="00B83600">
        <w:t xml:space="preserve">employs a competitive ELISA </w:t>
      </w:r>
      <w:r w:rsidRPr="005361F9">
        <w:t xml:space="preserve">method. The microtiter plate provided in this kit has been pre-coated with DHVD3. During the reaction, DHVD3 in the sample or standard competes with a fixed amount </w:t>
      </w:r>
      <w:r w:rsidR="00B83600">
        <w:t xml:space="preserve">of </w:t>
      </w:r>
      <w:r w:rsidRPr="005361F9">
        <w:t xml:space="preserve">DHVD3 on the </w:t>
      </w:r>
      <w:r w:rsidR="00B83600">
        <w:t xml:space="preserve">solid-phase supporter for sites on the Biotinylated </w:t>
      </w:r>
      <w:r w:rsidR="00B83600">
        <w:lastRenderedPageBreak/>
        <w:t>Detection Antibody</w:t>
      </w:r>
      <w:r w:rsidRPr="005361F9">
        <w:t xml:space="preserve"> specific to DHVD3. Excess conjugate and unbound </w:t>
      </w:r>
      <w:r>
        <w:t xml:space="preserve">samples or </w:t>
      </w:r>
      <w:r w:rsidR="00B83600">
        <w:t>standards</w:t>
      </w:r>
      <w:r>
        <w:t xml:space="preserve"> were</w:t>
      </w:r>
      <w:r w:rsidRPr="005361F9">
        <w:t xml:space="preserve"> washed from the plate, and Avidin conjugated to</w:t>
      </w:r>
      <w:r>
        <w:t xml:space="preserve"> Horseradish Peroxidase (HRP) was</w:t>
      </w:r>
      <w:r w:rsidRPr="005361F9">
        <w:t xml:space="preserve"> added to each microplate well and incubated. </w:t>
      </w:r>
      <w:r>
        <w:t>Then, a TMB substrate solution was</w:t>
      </w:r>
      <w:r w:rsidRPr="005361F9">
        <w:t xml:space="preserve"> added to each well. </w:t>
      </w:r>
      <w:r>
        <w:t>The enzyme-substrate reaction was</w:t>
      </w:r>
      <w:r w:rsidRPr="005361F9">
        <w:t xml:space="preserve"> terminated by </w:t>
      </w:r>
      <w:r>
        <w:t>adding</w:t>
      </w:r>
      <w:r w:rsidRPr="005361F9">
        <w:t xml:space="preserve"> a </w:t>
      </w:r>
      <w:r w:rsidR="00B83600">
        <w:t xml:space="preserve">sulfuric acid solution, and the </w:t>
      </w:r>
      <w:proofErr w:type="spellStart"/>
      <w:r w:rsidR="00B83600">
        <w:t>colour</w:t>
      </w:r>
      <w:proofErr w:type="spellEnd"/>
      <w:r w:rsidR="00B83600">
        <w:t xml:space="preserve"> change was measured spectrophotometrically at a wavelength of 450 nm ± 2 </w:t>
      </w:r>
      <w:r w:rsidRPr="005361F9">
        <w:t>nm. The concentr</w:t>
      </w:r>
      <w:r>
        <w:t>ation of DHVD3 in the samples was</w:t>
      </w:r>
      <w:r w:rsidRPr="005361F9">
        <w:t xml:space="preserve"> then determined by comparing the OD of th</w:t>
      </w:r>
      <w:r w:rsidR="00AF4891">
        <w:t xml:space="preserve">e samples to the standard curve </w:t>
      </w:r>
      <w:r w:rsidR="00AF4891">
        <w:fldChar w:fldCharType="begin" w:fldLock="1"/>
      </w:r>
      <w:r w:rsidR="001F0016">
        <w:instrText>ADDIN CSL_CITATION {"citationItems":[{"id":"ITEM-1","itemData":{"author":[{"dropping-particle":"","family":"Abd","given":"Mena","non-dropping-particle":"","parse-names":false,"suffix":""},{"dropping-particle":"","family":"Habeeb","given":"Israa","non-dropping-particle":"","parse-names":false,"suffix":""}],"id":"ITEM-1","issued":{"date-parts":[["2023","12","13"]]},"page":"42-45","title":"Comparison between two techniques HPLC, ELISA in the estimation of level of vitamin D in plasma","type":"article-journal","volume":"2"},"uris":["http://www.mendeley.com/documents/?uuid=e98601cd-d935-42b3-8fcd-1dc22d3a7f49"]}],"mendeley":{"formattedCitation":"(Abd &amp; Habeeb, 2023)","plainTextFormattedCitation":"(Abd &amp; Habeeb, 2023)","previouslyFormattedCitation":"(Abd &amp; Habeeb, 2023)"},"properties":{"noteIndex":0},"schema":"https://github.com/citation-style-language/schema/raw/master/csl-citation.json"}</w:instrText>
      </w:r>
      <w:r w:rsidR="00AF4891">
        <w:fldChar w:fldCharType="separate"/>
      </w:r>
      <w:r w:rsidR="00AF4891" w:rsidRPr="00AF4891">
        <w:rPr>
          <w:noProof/>
        </w:rPr>
        <w:t>(Abd &amp; Habeeb, 2023)</w:t>
      </w:r>
      <w:r w:rsidR="00AF4891">
        <w:fldChar w:fldCharType="end"/>
      </w:r>
    </w:p>
    <w:p w14:paraId="67445F22" w14:textId="77777777" w:rsidR="001113C9" w:rsidRDefault="001113C9" w:rsidP="00C04FF3">
      <w:pPr>
        <w:spacing w:line="480" w:lineRule="auto"/>
        <w:jc w:val="both"/>
      </w:pPr>
    </w:p>
    <w:p w14:paraId="03071B94" w14:textId="77777777" w:rsidR="00893342" w:rsidRDefault="00893342" w:rsidP="00C04FF3">
      <w:pPr>
        <w:spacing w:line="480" w:lineRule="auto"/>
        <w:jc w:val="both"/>
      </w:pPr>
    </w:p>
    <w:p w14:paraId="0BA13B9B" w14:textId="77777777" w:rsidR="001113C9" w:rsidRDefault="001113C9" w:rsidP="00C04FF3">
      <w:pPr>
        <w:spacing w:line="480" w:lineRule="auto"/>
        <w:jc w:val="both"/>
      </w:pPr>
    </w:p>
    <w:p w14:paraId="2B797BFE" w14:textId="77777777" w:rsidR="00763470" w:rsidRDefault="00763470">
      <w:r>
        <w:br w:type="page"/>
      </w:r>
    </w:p>
    <w:p w14:paraId="05C0A589" w14:textId="185261AA" w:rsidR="00C438ED" w:rsidRDefault="008E4B59" w:rsidP="00C04FF3">
      <w:pPr>
        <w:spacing w:line="480" w:lineRule="auto"/>
        <w:jc w:val="both"/>
      </w:pPr>
      <w:r>
        <w:lastRenderedPageBreak/>
        <w:t>RESULTS</w:t>
      </w:r>
    </w:p>
    <w:p w14:paraId="4D182C15" w14:textId="4463CA75" w:rsidR="00050AAA" w:rsidRDefault="00CB7174" w:rsidP="00CB7174">
      <w:pPr>
        <w:spacing w:line="480" w:lineRule="auto"/>
        <w:jc w:val="both"/>
        <w:rPr>
          <w:b/>
          <w:color w:val="000000"/>
        </w:rPr>
      </w:pPr>
      <w:r>
        <w:rPr>
          <w:b/>
          <w:color w:val="000000"/>
        </w:rPr>
        <w:t xml:space="preserve">Table </w:t>
      </w:r>
      <w:r w:rsidR="00C83A8E">
        <w:rPr>
          <w:b/>
          <w:color w:val="000000"/>
        </w:rPr>
        <w:t>1</w:t>
      </w:r>
      <w:r>
        <w:rPr>
          <w:b/>
          <w:color w:val="000000"/>
        </w:rPr>
        <w:t xml:space="preserve">: Concentrations of vitamins </w:t>
      </w:r>
      <w:r w:rsidR="00C83A8E">
        <w:rPr>
          <w:b/>
          <w:color w:val="000000"/>
        </w:rPr>
        <w:t xml:space="preserve">A </w:t>
      </w:r>
      <w:r w:rsidR="002315B1">
        <w:rPr>
          <w:b/>
          <w:color w:val="000000"/>
        </w:rPr>
        <w:t>and D</w:t>
      </w:r>
      <w:r>
        <w:rPr>
          <w:b/>
          <w:color w:val="000000"/>
        </w:rPr>
        <w:t xml:space="preserve"> in CAP, BPH and Control subjects.</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703"/>
        <w:gridCol w:w="1551"/>
        <w:gridCol w:w="1547"/>
        <w:gridCol w:w="1552"/>
        <w:gridCol w:w="1499"/>
        <w:gridCol w:w="1508"/>
      </w:tblGrid>
      <w:tr w:rsidR="001C1D95" w:rsidRPr="001C1D95" w14:paraId="095552EF" w14:textId="77777777" w:rsidTr="001C1D95">
        <w:tc>
          <w:tcPr>
            <w:tcW w:w="1703" w:type="dxa"/>
            <w:tcBorders>
              <w:top w:val="single" w:sz="4" w:space="0" w:color="auto"/>
              <w:bottom w:val="single" w:sz="4" w:space="0" w:color="auto"/>
            </w:tcBorders>
          </w:tcPr>
          <w:p w14:paraId="512BDA7E" w14:textId="62746CA6" w:rsidR="00050AAA" w:rsidRPr="001C1D95" w:rsidRDefault="00050AAA" w:rsidP="00CB7174">
            <w:pPr>
              <w:spacing w:line="480" w:lineRule="auto"/>
              <w:jc w:val="both"/>
              <w:rPr>
                <w:color w:val="000000"/>
                <w:sz w:val="22"/>
                <w:szCs w:val="22"/>
              </w:rPr>
            </w:pPr>
            <w:r w:rsidRPr="001C1D95">
              <w:rPr>
                <w:rFonts w:eastAsia="Calibri"/>
                <w:color w:val="000000"/>
                <w:sz w:val="22"/>
                <w:szCs w:val="22"/>
                <w:lang w:val="pt-BR"/>
              </w:rPr>
              <w:t>Parameter</w:t>
            </w:r>
          </w:p>
        </w:tc>
        <w:tc>
          <w:tcPr>
            <w:tcW w:w="1551" w:type="dxa"/>
            <w:tcBorders>
              <w:top w:val="single" w:sz="4" w:space="0" w:color="auto"/>
              <w:bottom w:val="single" w:sz="4" w:space="0" w:color="auto"/>
            </w:tcBorders>
          </w:tcPr>
          <w:p w14:paraId="426D57F9" w14:textId="77777777" w:rsidR="00050AAA" w:rsidRPr="001C1D95" w:rsidRDefault="006F4E31" w:rsidP="00CB7174">
            <w:pPr>
              <w:spacing w:line="480" w:lineRule="auto"/>
              <w:jc w:val="both"/>
              <w:rPr>
                <w:color w:val="000000"/>
                <w:sz w:val="22"/>
                <w:szCs w:val="22"/>
              </w:rPr>
            </w:pPr>
            <w:r w:rsidRPr="001C1D95">
              <w:rPr>
                <w:color w:val="000000"/>
                <w:sz w:val="22"/>
                <w:szCs w:val="22"/>
              </w:rPr>
              <w:t>CAP</w:t>
            </w:r>
          </w:p>
          <w:p w14:paraId="1A6A05E4" w14:textId="41F5052B" w:rsidR="006F4E31" w:rsidRPr="001C1D95" w:rsidRDefault="006F4E31" w:rsidP="00CB7174">
            <w:pPr>
              <w:spacing w:line="480" w:lineRule="auto"/>
              <w:jc w:val="both"/>
              <w:rPr>
                <w:color w:val="000000"/>
                <w:sz w:val="22"/>
                <w:szCs w:val="22"/>
              </w:rPr>
            </w:pPr>
            <w:r w:rsidRPr="001C1D95">
              <w:rPr>
                <w:color w:val="000000"/>
                <w:sz w:val="22"/>
                <w:szCs w:val="22"/>
              </w:rPr>
              <w:t>n=70</w:t>
            </w:r>
          </w:p>
        </w:tc>
        <w:tc>
          <w:tcPr>
            <w:tcW w:w="1547" w:type="dxa"/>
            <w:tcBorders>
              <w:top w:val="single" w:sz="4" w:space="0" w:color="auto"/>
              <w:bottom w:val="single" w:sz="4" w:space="0" w:color="auto"/>
            </w:tcBorders>
          </w:tcPr>
          <w:p w14:paraId="3E199818" w14:textId="77777777" w:rsidR="00050AAA" w:rsidRPr="001C1D95" w:rsidRDefault="006F4E31" w:rsidP="00CB7174">
            <w:pPr>
              <w:spacing w:line="480" w:lineRule="auto"/>
              <w:jc w:val="both"/>
              <w:rPr>
                <w:color w:val="000000"/>
                <w:sz w:val="22"/>
                <w:szCs w:val="22"/>
              </w:rPr>
            </w:pPr>
            <w:r w:rsidRPr="001C1D95">
              <w:rPr>
                <w:color w:val="000000"/>
                <w:sz w:val="22"/>
                <w:szCs w:val="22"/>
              </w:rPr>
              <w:t>BPH</w:t>
            </w:r>
          </w:p>
          <w:p w14:paraId="7070C7CE" w14:textId="51A30BF4" w:rsidR="006F4E31" w:rsidRPr="001C1D95" w:rsidRDefault="006F4E31" w:rsidP="00CB7174">
            <w:pPr>
              <w:spacing w:line="480" w:lineRule="auto"/>
              <w:jc w:val="both"/>
              <w:rPr>
                <w:color w:val="000000"/>
                <w:sz w:val="22"/>
                <w:szCs w:val="22"/>
              </w:rPr>
            </w:pPr>
            <w:r w:rsidRPr="001C1D95">
              <w:rPr>
                <w:color w:val="000000"/>
                <w:sz w:val="22"/>
                <w:szCs w:val="22"/>
              </w:rPr>
              <w:t>n=68</w:t>
            </w:r>
          </w:p>
        </w:tc>
        <w:tc>
          <w:tcPr>
            <w:tcW w:w="1552" w:type="dxa"/>
            <w:tcBorders>
              <w:top w:val="single" w:sz="4" w:space="0" w:color="auto"/>
              <w:bottom w:val="single" w:sz="4" w:space="0" w:color="auto"/>
            </w:tcBorders>
          </w:tcPr>
          <w:p w14:paraId="502F9AF1" w14:textId="77777777" w:rsidR="00050AAA" w:rsidRPr="001C1D95" w:rsidRDefault="006F4E31" w:rsidP="00CB7174">
            <w:pPr>
              <w:spacing w:line="480" w:lineRule="auto"/>
              <w:jc w:val="both"/>
              <w:rPr>
                <w:color w:val="000000"/>
                <w:sz w:val="22"/>
                <w:szCs w:val="22"/>
              </w:rPr>
            </w:pPr>
            <w:r w:rsidRPr="001C1D95">
              <w:rPr>
                <w:color w:val="000000"/>
                <w:sz w:val="22"/>
                <w:szCs w:val="22"/>
              </w:rPr>
              <w:t>Control</w:t>
            </w:r>
          </w:p>
          <w:p w14:paraId="31AE0AB8" w14:textId="323D8FED" w:rsidR="00DB223A" w:rsidRPr="001C1D95" w:rsidRDefault="00977801" w:rsidP="00CB7174">
            <w:pPr>
              <w:spacing w:line="480" w:lineRule="auto"/>
              <w:jc w:val="both"/>
              <w:rPr>
                <w:color w:val="000000"/>
                <w:sz w:val="22"/>
                <w:szCs w:val="22"/>
              </w:rPr>
            </w:pPr>
            <w:r w:rsidRPr="001C1D95">
              <w:rPr>
                <w:color w:val="000000"/>
                <w:sz w:val="22"/>
                <w:szCs w:val="22"/>
              </w:rPr>
              <w:t>n=69</w:t>
            </w:r>
          </w:p>
        </w:tc>
        <w:tc>
          <w:tcPr>
            <w:tcW w:w="1499" w:type="dxa"/>
            <w:tcBorders>
              <w:top w:val="single" w:sz="4" w:space="0" w:color="auto"/>
              <w:bottom w:val="single" w:sz="4" w:space="0" w:color="auto"/>
            </w:tcBorders>
          </w:tcPr>
          <w:p w14:paraId="47965E47" w14:textId="5F1A42E3" w:rsidR="00050AAA" w:rsidRPr="001C1D95" w:rsidRDefault="00977801" w:rsidP="00CB7174">
            <w:pPr>
              <w:spacing w:line="480" w:lineRule="auto"/>
              <w:jc w:val="both"/>
              <w:rPr>
                <w:color w:val="000000"/>
                <w:sz w:val="22"/>
                <w:szCs w:val="22"/>
              </w:rPr>
            </w:pPr>
            <w:r w:rsidRPr="001C1D95">
              <w:rPr>
                <w:color w:val="000000"/>
                <w:sz w:val="22"/>
                <w:szCs w:val="22"/>
              </w:rPr>
              <w:t>f</w:t>
            </w:r>
          </w:p>
          <w:p w14:paraId="7CDE096F" w14:textId="1E47A6C2" w:rsidR="00977801" w:rsidRPr="001C1D95" w:rsidRDefault="00977801" w:rsidP="00CB7174">
            <w:pPr>
              <w:spacing w:line="480" w:lineRule="auto"/>
              <w:jc w:val="both"/>
              <w:rPr>
                <w:color w:val="000000"/>
                <w:sz w:val="22"/>
                <w:szCs w:val="22"/>
              </w:rPr>
            </w:pPr>
            <w:r w:rsidRPr="001C1D95">
              <w:rPr>
                <w:color w:val="000000"/>
                <w:sz w:val="22"/>
                <w:szCs w:val="22"/>
              </w:rPr>
              <w:t>value</w:t>
            </w:r>
          </w:p>
        </w:tc>
        <w:tc>
          <w:tcPr>
            <w:tcW w:w="1508" w:type="dxa"/>
            <w:tcBorders>
              <w:top w:val="single" w:sz="4" w:space="0" w:color="auto"/>
              <w:bottom w:val="single" w:sz="4" w:space="0" w:color="auto"/>
            </w:tcBorders>
          </w:tcPr>
          <w:p w14:paraId="68986708" w14:textId="05602DC1" w:rsidR="00050AAA" w:rsidRPr="001C1D95" w:rsidRDefault="00DE098C" w:rsidP="00CB7174">
            <w:pPr>
              <w:spacing w:line="480" w:lineRule="auto"/>
              <w:jc w:val="both"/>
              <w:rPr>
                <w:color w:val="000000"/>
                <w:sz w:val="22"/>
                <w:szCs w:val="22"/>
              </w:rPr>
            </w:pPr>
            <w:r w:rsidRPr="001C1D95">
              <w:rPr>
                <w:color w:val="000000"/>
                <w:sz w:val="22"/>
                <w:szCs w:val="22"/>
              </w:rPr>
              <w:t>p</w:t>
            </w:r>
          </w:p>
          <w:p w14:paraId="6D1CEA4C" w14:textId="3A613858" w:rsidR="00DE098C" w:rsidRPr="001C1D95" w:rsidRDefault="00DE098C" w:rsidP="00CB7174">
            <w:pPr>
              <w:spacing w:line="480" w:lineRule="auto"/>
              <w:jc w:val="both"/>
              <w:rPr>
                <w:color w:val="000000"/>
                <w:sz w:val="22"/>
                <w:szCs w:val="22"/>
              </w:rPr>
            </w:pPr>
            <w:r w:rsidRPr="001C1D95">
              <w:rPr>
                <w:color w:val="000000"/>
                <w:sz w:val="22"/>
                <w:szCs w:val="22"/>
              </w:rPr>
              <w:t>value</w:t>
            </w:r>
          </w:p>
        </w:tc>
      </w:tr>
      <w:tr w:rsidR="001C1D95" w:rsidRPr="001C1D95" w14:paraId="48033F27" w14:textId="77777777" w:rsidTr="001C1D95">
        <w:tc>
          <w:tcPr>
            <w:tcW w:w="1703" w:type="dxa"/>
            <w:tcBorders>
              <w:top w:val="single" w:sz="4" w:space="0" w:color="auto"/>
              <w:bottom w:val="nil"/>
            </w:tcBorders>
          </w:tcPr>
          <w:p w14:paraId="295B4EE7" w14:textId="6AC160EE" w:rsidR="00050AAA" w:rsidRPr="001C1D95" w:rsidRDefault="00DE098C" w:rsidP="00CB7174">
            <w:pPr>
              <w:spacing w:line="480" w:lineRule="auto"/>
              <w:jc w:val="both"/>
              <w:rPr>
                <w:b/>
                <w:color w:val="000000"/>
                <w:sz w:val="22"/>
                <w:szCs w:val="22"/>
              </w:rPr>
            </w:pPr>
            <w:r w:rsidRPr="001C1D95">
              <w:rPr>
                <w:rFonts w:eastAsia="Calibri"/>
                <w:color w:val="000000"/>
                <w:sz w:val="22"/>
                <w:szCs w:val="22"/>
                <w:lang w:val="pt-BR"/>
              </w:rPr>
              <w:t xml:space="preserve">Vit. A </w:t>
            </w:r>
            <w:r w:rsidRPr="001C1D95">
              <w:rPr>
                <w:rFonts w:eastAsia="Calibri"/>
                <w:sz w:val="22"/>
                <w:szCs w:val="22"/>
              </w:rPr>
              <w:t>(µmol/l)</w:t>
            </w:r>
          </w:p>
        </w:tc>
        <w:tc>
          <w:tcPr>
            <w:tcW w:w="1551" w:type="dxa"/>
            <w:tcBorders>
              <w:top w:val="single" w:sz="4" w:space="0" w:color="auto"/>
              <w:bottom w:val="nil"/>
            </w:tcBorders>
          </w:tcPr>
          <w:p w14:paraId="2EEEB09C" w14:textId="5E035FAF" w:rsidR="00050AAA" w:rsidRPr="001C1D95" w:rsidRDefault="00CF5C6E" w:rsidP="00CB7174">
            <w:pPr>
              <w:spacing w:line="480" w:lineRule="auto"/>
              <w:jc w:val="both"/>
              <w:rPr>
                <w:b/>
                <w:color w:val="000000"/>
                <w:sz w:val="22"/>
                <w:szCs w:val="22"/>
              </w:rPr>
            </w:pPr>
            <w:r w:rsidRPr="001C1D95">
              <w:rPr>
                <w:rFonts w:eastAsia="Calibri"/>
                <w:color w:val="000000"/>
                <w:sz w:val="22"/>
                <w:szCs w:val="22"/>
                <w:lang w:val="pt-BR"/>
              </w:rPr>
              <w:t>3.65</w:t>
            </w:r>
            <w:r w:rsidRPr="001C1D95">
              <w:rPr>
                <w:rFonts w:eastAsia="Calibri"/>
                <w:sz w:val="22"/>
                <w:szCs w:val="22"/>
                <w:lang w:val="pt-BR"/>
              </w:rPr>
              <w:t>±2.84</w:t>
            </w:r>
          </w:p>
        </w:tc>
        <w:tc>
          <w:tcPr>
            <w:tcW w:w="1547" w:type="dxa"/>
            <w:tcBorders>
              <w:top w:val="single" w:sz="4" w:space="0" w:color="auto"/>
              <w:bottom w:val="nil"/>
            </w:tcBorders>
          </w:tcPr>
          <w:p w14:paraId="15FA2F76" w14:textId="3D27198E" w:rsidR="00050AAA" w:rsidRPr="001C1D95" w:rsidRDefault="00CF5C6E" w:rsidP="00CB7174">
            <w:pPr>
              <w:spacing w:line="480" w:lineRule="auto"/>
              <w:jc w:val="both"/>
              <w:rPr>
                <w:b/>
                <w:color w:val="000000"/>
                <w:sz w:val="22"/>
                <w:szCs w:val="22"/>
              </w:rPr>
            </w:pPr>
            <w:r w:rsidRPr="001C1D95">
              <w:rPr>
                <w:rFonts w:eastAsia="Calibri"/>
                <w:sz w:val="22"/>
                <w:szCs w:val="22"/>
                <w:lang w:val="pt-BR"/>
              </w:rPr>
              <w:t>2.52±2.29</w:t>
            </w:r>
          </w:p>
        </w:tc>
        <w:tc>
          <w:tcPr>
            <w:tcW w:w="1552" w:type="dxa"/>
            <w:tcBorders>
              <w:top w:val="single" w:sz="4" w:space="0" w:color="auto"/>
              <w:bottom w:val="nil"/>
            </w:tcBorders>
          </w:tcPr>
          <w:p w14:paraId="39FB6CBA" w14:textId="31A8724E" w:rsidR="00050AAA" w:rsidRPr="001C1D95" w:rsidRDefault="00CF5C6E" w:rsidP="00CB7174">
            <w:pPr>
              <w:spacing w:line="480" w:lineRule="auto"/>
              <w:jc w:val="both"/>
              <w:rPr>
                <w:b/>
                <w:color w:val="000000"/>
                <w:sz w:val="22"/>
                <w:szCs w:val="22"/>
              </w:rPr>
            </w:pPr>
            <w:r w:rsidRPr="001C1D95">
              <w:rPr>
                <w:rFonts w:eastAsia="Calibri"/>
                <w:sz w:val="22"/>
                <w:szCs w:val="22"/>
                <w:lang w:val="pt-BR"/>
              </w:rPr>
              <w:t>3.10±3.11</w:t>
            </w:r>
          </w:p>
        </w:tc>
        <w:tc>
          <w:tcPr>
            <w:tcW w:w="1499" w:type="dxa"/>
            <w:tcBorders>
              <w:top w:val="single" w:sz="4" w:space="0" w:color="auto"/>
              <w:bottom w:val="nil"/>
            </w:tcBorders>
          </w:tcPr>
          <w:p w14:paraId="7D86F182" w14:textId="39609FC5" w:rsidR="00050AAA" w:rsidRPr="001C1D95" w:rsidRDefault="00CF5C6E" w:rsidP="00CB7174">
            <w:pPr>
              <w:spacing w:line="480" w:lineRule="auto"/>
              <w:jc w:val="both"/>
              <w:rPr>
                <w:b/>
                <w:color w:val="000000"/>
                <w:sz w:val="22"/>
                <w:szCs w:val="22"/>
              </w:rPr>
            </w:pPr>
            <w:r w:rsidRPr="001C1D95">
              <w:rPr>
                <w:rFonts w:eastAsia="Calibri"/>
                <w:sz w:val="22"/>
                <w:szCs w:val="22"/>
                <w:lang w:val="pt-BR"/>
              </w:rPr>
              <w:t>0.53</w:t>
            </w:r>
          </w:p>
        </w:tc>
        <w:tc>
          <w:tcPr>
            <w:tcW w:w="1508" w:type="dxa"/>
            <w:tcBorders>
              <w:top w:val="single" w:sz="4" w:space="0" w:color="auto"/>
              <w:bottom w:val="nil"/>
            </w:tcBorders>
          </w:tcPr>
          <w:p w14:paraId="3CEC158B" w14:textId="3A74A113" w:rsidR="00050AAA" w:rsidRPr="001C1D95" w:rsidRDefault="00CF5C6E" w:rsidP="00CB7174">
            <w:pPr>
              <w:spacing w:line="480" w:lineRule="auto"/>
              <w:jc w:val="both"/>
              <w:rPr>
                <w:b/>
                <w:color w:val="000000"/>
                <w:sz w:val="22"/>
                <w:szCs w:val="22"/>
              </w:rPr>
            </w:pPr>
            <w:r w:rsidRPr="001C1D95">
              <w:rPr>
                <w:rFonts w:eastAsia="Calibri"/>
                <w:sz w:val="22"/>
                <w:szCs w:val="22"/>
                <w:lang w:val="pt-BR"/>
              </w:rPr>
              <w:t>0.596</w:t>
            </w:r>
          </w:p>
        </w:tc>
      </w:tr>
      <w:tr w:rsidR="001C1D95" w:rsidRPr="001C1D95" w14:paraId="51BDBBF6" w14:textId="77777777" w:rsidTr="009F1753">
        <w:tc>
          <w:tcPr>
            <w:tcW w:w="1703" w:type="dxa"/>
            <w:tcBorders>
              <w:top w:val="nil"/>
              <w:bottom w:val="nil"/>
            </w:tcBorders>
          </w:tcPr>
          <w:p w14:paraId="3F9A83D9" w14:textId="55C5423F" w:rsidR="00050AAA" w:rsidRPr="001C1D95" w:rsidRDefault="00CF5C6E" w:rsidP="00CB7174">
            <w:pPr>
              <w:spacing w:line="480" w:lineRule="auto"/>
              <w:jc w:val="both"/>
              <w:rPr>
                <w:bCs/>
                <w:color w:val="000000"/>
                <w:sz w:val="22"/>
                <w:szCs w:val="22"/>
              </w:rPr>
            </w:pPr>
            <w:r w:rsidRPr="001C1D95">
              <w:rPr>
                <w:bCs/>
                <w:color w:val="000000"/>
                <w:sz w:val="22"/>
                <w:szCs w:val="22"/>
              </w:rPr>
              <w:t>Vit. D3 (</w:t>
            </w:r>
            <w:proofErr w:type="spellStart"/>
            <w:r w:rsidRPr="001C1D95">
              <w:rPr>
                <w:bCs/>
                <w:color w:val="000000"/>
                <w:sz w:val="22"/>
                <w:szCs w:val="22"/>
              </w:rPr>
              <w:t>pmol</w:t>
            </w:r>
            <w:proofErr w:type="spellEnd"/>
            <w:r w:rsidRPr="001C1D95">
              <w:rPr>
                <w:bCs/>
                <w:color w:val="000000"/>
                <w:sz w:val="22"/>
                <w:szCs w:val="22"/>
              </w:rPr>
              <w:t>/l)</w:t>
            </w:r>
          </w:p>
        </w:tc>
        <w:tc>
          <w:tcPr>
            <w:tcW w:w="1551" w:type="dxa"/>
            <w:tcBorders>
              <w:top w:val="nil"/>
              <w:bottom w:val="nil"/>
            </w:tcBorders>
          </w:tcPr>
          <w:p w14:paraId="25C0FD04" w14:textId="24FF56D7" w:rsidR="00050AAA" w:rsidRPr="001C1D95" w:rsidRDefault="00CF5C6E" w:rsidP="00CB7174">
            <w:pPr>
              <w:spacing w:line="480" w:lineRule="auto"/>
              <w:jc w:val="both"/>
              <w:rPr>
                <w:b/>
                <w:color w:val="000000"/>
                <w:sz w:val="22"/>
                <w:szCs w:val="22"/>
              </w:rPr>
            </w:pPr>
            <w:r w:rsidRPr="001C1D95">
              <w:rPr>
                <w:rFonts w:eastAsia="Calibri"/>
                <w:sz w:val="22"/>
                <w:szCs w:val="22"/>
                <w:lang w:val="pt-BR"/>
              </w:rPr>
              <w:t>85.10±</w:t>
            </w:r>
            <w:r w:rsidRPr="001C1D95">
              <w:rPr>
                <w:rFonts w:eastAsia="Calibri"/>
                <w:color w:val="000000"/>
                <w:sz w:val="22"/>
                <w:szCs w:val="22"/>
                <w:lang w:val="pt-BR"/>
              </w:rPr>
              <w:t>31.93</w:t>
            </w:r>
            <w:r w:rsidRPr="001C1D95">
              <w:rPr>
                <w:rFonts w:eastAsia="Calibri"/>
                <w:color w:val="000000"/>
                <w:sz w:val="22"/>
                <w:szCs w:val="22"/>
                <w:vertAlign w:val="superscript"/>
                <w:lang w:val="pt-BR"/>
              </w:rPr>
              <w:t>b</w:t>
            </w:r>
          </w:p>
        </w:tc>
        <w:tc>
          <w:tcPr>
            <w:tcW w:w="1547" w:type="dxa"/>
            <w:tcBorders>
              <w:top w:val="nil"/>
              <w:bottom w:val="nil"/>
            </w:tcBorders>
          </w:tcPr>
          <w:p w14:paraId="77B74C7B" w14:textId="498E52E2" w:rsidR="00050AAA" w:rsidRPr="001C1D95" w:rsidRDefault="00CF5C6E" w:rsidP="00CB7174">
            <w:pPr>
              <w:spacing w:line="480" w:lineRule="auto"/>
              <w:jc w:val="both"/>
              <w:rPr>
                <w:b/>
                <w:color w:val="000000"/>
                <w:sz w:val="22"/>
                <w:szCs w:val="22"/>
              </w:rPr>
            </w:pPr>
            <w:r w:rsidRPr="001C1D95">
              <w:rPr>
                <w:rFonts w:eastAsia="Calibri"/>
                <w:color w:val="000000"/>
                <w:sz w:val="22"/>
                <w:szCs w:val="22"/>
                <w:lang w:val="pt-BR"/>
              </w:rPr>
              <w:t>72.00</w:t>
            </w:r>
            <w:r w:rsidRPr="001C1D95">
              <w:rPr>
                <w:rFonts w:eastAsia="Calibri"/>
                <w:sz w:val="22"/>
                <w:szCs w:val="22"/>
                <w:lang w:val="pt-BR"/>
              </w:rPr>
              <w:t>±14.68</w:t>
            </w:r>
            <w:r w:rsidRPr="001C1D95">
              <w:rPr>
                <w:rFonts w:eastAsia="Calibri"/>
                <w:color w:val="000000"/>
                <w:sz w:val="22"/>
                <w:szCs w:val="22"/>
                <w:vertAlign w:val="superscript"/>
                <w:lang w:val="pt-BR"/>
              </w:rPr>
              <w:t xml:space="preserve"> b</w:t>
            </w:r>
          </w:p>
        </w:tc>
        <w:tc>
          <w:tcPr>
            <w:tcW w:w="1552" w:type="dxa"/>
            <w:tcBorders>
              <w:top w:val="nil"/>
              <w:bottom w:val="nil"/>
            </w:tcBorders>
          </w:tcPr>
          <w:p w14:paraId="4DFDF635" w14:textId="7ADDD221" w:rsidR="00050AAA" w:rsidRPr="001C1D95" w:rsidRDefault="00CF5C6E" w:rsidP="00CB7174">
            <w:pPr>
              <w:spacing w:line="480" w:lineRule="auto"/>
              <w:jc w:val="both"/>
              <w:rPr>
                <w:b/>
                <w:color w:val="000000"/>
                <w:sz w:val="22"/>
                <w:szCs w:val="22"/>
              </w:rPr>
            </w:pPr>
            <w:r w:rsidRPr="001C1D95">
              <w:rPr>
                <w:rFonts w:eastAsia="Calibri"/>
                <w:sz w:val="22"/>
                <w:szCs w:val="22"/>
                <w:lang w:val="pt-BR"/>
              </w:rPr>
              <w:t>65.43±14.75</w:t>
            </w:r>
            <w:r w:rsidRPr="001C1D95">
              <w:rPr>
                <w:rFonts w:eastAsia="Calibri"/>
                <w:sz w:val="22"/>
                <w:szCs w:val="22"/>
                <w:vertAlign w:val="superscript"/>
                <w:lang w:val="pt-BR"/>
              </w:rPr>
              <w:t>a</w:t>
            </w:r>
          </w:p>
        </w:tc>
        <w:tc>
          <w:tcPr>
            <w:tcW w:w="1499" w:type="dxa"/>
            <w:tcBorders>
              <w:top w:val="nil"/>
              <w:bottom w:val="nil"/>
            </w:tcBorders>
          </w:tcPr>
          <w:p w14:paraId="22DB1BE8" w14:textId="3703972B" w:rsidR="00050AAA" w:rsidRPr="001C1D95" w:rsidRDefault="00CF5C6E" w:rsidP="00CB7174">
            <w:pPr>
              <w:spacing w:line="480" w:lineRule="auto"/>
              <w:jc w:val="both"/>
              <w:rPr>
                <w:bCs/>
                <w:color w:val="000000"/>
                <w:sz w:val="22"/>
                <w:szCs w:val="22"/>
              </w:rPr>
            </w:pPr>
            <w:r w:rsidRPr="001C1D95">
              <w:rPr>
                <w:bCs/>
                <w:color w:val="000000"/>
                <w:sz w:val="22"/>
                <w:szCs w:val="22"/>
              </w:rPr>
              <w:t>3.76</w:t>
            </w:r>
          </w:p>
        </w:tc>
        <w:tc>
          <w:tcPr>
            <w:tcW w:w="1508" w:type="dxa"/>
            <w:tcBorders>
              <w:top w:val="nil"/>
              <w:bottom w:val="nil"/>
            </w:tcBorders>
          </w:tcPr>
          <w:p w14:paraId="4ACA6627" w14:textId="659A8F4D" w:rsidR="00050AAA" w:rsidRPr="001C1D95" w:rsidRDefault="00CF5C6E" w:rsidP="00CF5C6E">
            <w:pPr>
              <w:spacing w:after="200" w:line="276" w:lineRule="auto"/>
              <w:rPr>
                <w:b/>
                <w:color w:val="000000"/>
                <w:sz w:val="22"/>
                <w:szCs w:val="22"/>
              </w:rPr>
            </w:pPr>
            <w:r w:rsidRPr="001C1D95">
              <w:rPr>
                <w:rFonts w:eastAsia="Calibri"/>
                <w:sz w:val="22"/>
                <w:szCs w:val="22"/>
                <w:lang w:val="pt-BR"/>
              </w:rPr>
              <w:t>0.029</w:t>
            </w:r>
            <w:r w:rsidRPr="001C1D95">
              <w:rPr>
                <w:rFonts w:eastAsia="Calibri"/>
                <w:color w:val="000000"/>
                <w:sz w:val="22"/>
                <w:szCs w:val="22"/>
              </w:rPr>
              <w:t>*</w:t>
            </w:r>
          </w:p>
        </w:tc>
      </w:tr>
      <w:tr w:rsidR="00325F58" w:rsidRPr="001C1D95" w14:paraId="0CFE3128" w14:textId="77777777" w:rsidTr="009F1753">
        <w:tc>
          <w:tcPr>
            <w:tcW w:w="1703" w:type="dxa"/>
            <w:tcBorders>
              <w:top w:val="nil"/>
              <w:bottom w:val="nil"/>
            </w:tcBorders>
          </w:tcPr>
          <w:p w14:paraId="0036141A" w14:textId="5186F410" w:rsidR="00325F58" w:rsidRPr="001C1D95" w:rsidRDefault="00701DE8" w:rsidP="00CB7174">
            <w:pPr>
              <w:spacing w:line="480" w:lineRule="auto"/>
              <w:jc w:val="both"/>
              <w:rPr>
                <w:bCs/>
                <w:color w:val="000000"/>
                <w:sz w:val="22"/>
                <w:szCs w:val="22"/>
              </w:rPr>
            </w:pPr>
            <w:r>
              <w:rPr>
                <w:bCs/>
                <w:color w:val="000000"/>
                <w:sz w:val="22"/>
                <w:szCs w:val="22"/>
              </w:rPr>
              <w:t xml:space="preserve">Total </w:t>
            </w:r>
            <w:r w:rsidR="00325F58" w:rsidRPr="00325F58">
              <w:rPr>
                <w:bCs/>
                <w:color w:val="000000"/>
                <w:sz w:val="22"/>
                <w:szCs w:val="22"/>
              </w:rPr>
              <w:t>PSA (µg/l)</w:t>
            </w:r>
          </w:p>
        </w:tc>
        <w:tc>
          <w:tcPr>
            <w:tcW w:w="1551" w:type="dxa"/>
            <w:tcBorders>
              <w:top w:val="nil"/>
              <w:bottom w:val="nil"/>
            </w:tcBorders>
          </w:tcPr>
          <w:p w14:paraId="35ADD4C2" w14:textId="62E951E1" w:rsidR="00325F58" w:rsidRPr="001C1D95" w:rsidRDefault="00325F58" w:rsidP="00CB7174">
            <w:pPr>
              <w:spacing w:line="480" w:lineRule="auto"/>
              <w:jc w:val="both"/>
              <w:rPr>
                <w:rFonts w:eastAsia="Calibri"/>
                <w:sz w:val="22"/>
                <w:szCs w:val="22"/>
                <w:lang w:val="pt-BR"/>
              </w:rPr>
            </w:pPr>
            <w:r w:rsidRPr="00325F58">
              <w:rPr>
                <w:rFonts w:eastAsia="Calibri"/>
                <w:sz w:val="22"/>
                <w:szCs w:val="22"/>
                <w:lang w:val="pt-BR"/>
              </w:rPr>
              <w:t>59.42±55.36f</w:t>
            </w:r>
            <w:r w:rsidRPr="00325F58">
              <w:rPr>
                <w:rFonts w:eastAsia="Calibri"/>
                <w:sz w:val="22"/>
                <w:szCs w:val="22"/>
                <w:lang w:val="pt-BR"/>
              </w:rPr>
              <w:tab/>
            </w:r>
          </w:p>
        </w:tc>
        <w:tc>
          <w:tcPr>
            <w:tcW w:w="1547" w:type="dxa"/>
            <w:tcBorders>
              <w:top w:val="nil"/>
              <w:bottom w:val="nil"/>
            </w:tcBorders>
          </w:tcPr>
          <w:p w14:paraId="68C7E07F" w14:textId="0B317EE7" w:rsidR="00325F58" w:rsidRPr="001C1D95" w:rsidRDefault="006C10F3" w:rsidP="00CB7174">
            <w:pPr>
              <w:spacing w:line="480" w:lineRule="auto"/>
              <w:jc w:val="both"/>
              <w:rPr>
                <w:rFonts w:eastAsia="Calibri"/>
                <w:color w:val="000000"/>
                <w:sz w:val="22"/>
                <w:szCs w:val="22"/>
                <w:lang w:val="pt-BR"/>
              </w:rPr>
            </w:pPr>
            <w:r w:rsidRPr="006C10F3">
              <w:rPr>
                <w:rFonts w:eastAsia="Calibri"/>
                <w:color w:val="000000"/>
                <w:sz w:val="22"/>
                <w:szCs w:val="22"/>
                <w:lang w:val="pt-BR"/>
              </w:rPr>
              <w:t>15.13±9.49g</w:t>
            </w:r>
          </w:p>
        </w:tc>
        <w:tc>
          <w:tcPr>
            <w:tcW w:w="1552" w:type="dxa"/>
            <w:tcBorders>
              <w:top w:val="nil"/>
              <w:bottom w:val="nil"/>
            </w:tcBorders>
          </w:tcPr>
          <w:p w14:paraId="56FC69C3" w14:textId="651B4855" w:rsidR="00325F58" w:rsidRPr="001C1D95" w:rsidRDefault="006C10F3" w:rsidP="00CB7174">
            <w:pPr>
              <w:spacing w:line="480" w:lineRule="auto"/>
              <w:jc w:val="both"/>
              <w:rPr>
                <w:rFonts w:eastAsia="Calibri"/>
                <w:sz w:val="22"/>
                <w:szCs w:val="22"/>
                <w:lang w:val="pt-BR"/>
              </w:rPr>
            </w:pPr>
            <w:r w:rsidRPr="006C10F3">
              <w:rPr>
                <w:rFonts w:eastAsia="Calibri"/>
                <w:sz w:val="22"/>
                <w:szCs w:val="22"/>
                <w:lang w:val="pt-BR"/>
              </w:rPr>
              <w:t xml:space="preserve">1.22±0.68a        </w:t>
            </w:r>
          </w:p>
        </w:tc>
        <w:tc>
          <w:tcPr>
            <w:tcW w:w="1499" w:type="dxa"/>
            <w:tcBorders>
              <w:top w:val="nil"/>
              <w:bottom w:val="nil"/>
            </w:tcBorders>
          </w:tcPr>
          <w:p w14:paraId="2C7240D2" w14:textId="4267FAB1" w:rsidR="00325F58" w:rsidRPr="001C1D95" w:rsidRDefault="006C10F3" w:rsidP="00CB7174">
            <w:pPr>
              <w:spacing w:line="480" w:lineRule="auto"/>
              <w:jc w:val="both"/>
              <w:rPr>
                <w:bCs/>
                <w:color w:val="000000"/>
                <w:sz w:val="22"/>
                <w:szCs w:val="22"/>
              </w:rPr>
            </w:pPr>
            <w:r w:rsidRPr="006C10F3">
              <w:rPr>
                <w:bCs/>
                <w:color w:val="000000"/>
                <w:sz w:val="22"/>
                <w:szCs w:val="22"/>
              </w:rPr>
              <w:t>13.54</w:t>
            </w:r>
          </w:p>
        </w:tc>
        <w:tc>
          <w:tcPr>
            <w:tcW w:w="1508" w:type="dxa"/>
            <w:tcBorders>
              <w:top w:val="nil"/>
              <w:bottom w:val="nil"/>
            </w:tcBorders>
          </w:tcPr>
          <w:p w14:paraId="362D901B" w14:textId="28204979" w:rsidR="00325F58" w:rsidRPr="001C1D95" w:rsidRDefault="00BD716D" w:rsidP="00CF5C6E">
            <w:pPr>
              <w:spacing w:after="200" w:line="276" w:lineRule="auto"/>
              <w:rPr>
                <w:rFonts w:eastAsia="Calibri"/>
                <w:sz w:val="22"/>
                <w:szCs w:val="22"/>
                <w:lang w:val="pt-BR"/>
              </w:rPr>
            </w:pPr>
            <w:r w:rsidRPr="00BD716D">
              <w:rPr>
                <w:rFonts w:eastAsia="Calibri"/>
                <w:sz w:val="22"/>
                <w:szCs w:val="22"/>
                <w:lang w:val="pt-BR"/>
              </w:rPr>
              <w:t>0.000**</w:t>
            </w:r>
          </w:p>
        </w:tc>
      </w:tr>
      <w:tr w:rsidR="008B3DB7" w:rsidRPr="001C1D95" w14:paraId="5A1A6FDD" w14:textId="77777777" w:rsidTr="00812C13">
        <w:tc>
          <w:tcPr>
            <w:tcW w:w="1703" w:type="dxa"/>
            <w:tcBorders>
              <w:top w:val="nil"/>
              <w:bottom w:val="single" w:sz="4" w:space="0" w:color="auto"/>
            </w:tcBorders>
          </w:tcPr>
          <w:p w14:paraId="778E90AA" w14:textId="77777777" w:rsidR="008B3DB7" w:rsidRPr="00325F58" w:rsidRDefault="008B3DB7" w:rsidP="00CB7174">
            <w:pPr>
              <w:spacing w:line="480" w:lineRule="auto"/>
              <w:jc w:val="both"/>
              <w:rPr>
                <w:bCs/>
                <w:color w:val="000000"/>
                <w:sz w:val="22"/>
                <w:szCs w:val="22"/>
              </w:rPr>
            </w:pPr>
          </w:p>
        </w:tc>
        <w:tc>
          <w:tcPr>
            <w:tcW w:w="1551" w:type="dxa"/>
            <w:tcBorders>
              <w:top w:val="nil"/>
              <w:bottom w:val="single" w:sz="4" w:space="0" w:color="auto"/>
            </w:tcBorders>
          </w:tcPr>
          <w:p w14:paraId="3350CADC" w14:textId="77777777" w:rsidR="008B3DB7" w:rsidRPr="00325F58" w:rsidRDefault="008B3DB7" w:rsidP="00CB7174">
            <w:pPr>
              <w:spacing w:line="480" w:lineRule="auto"/>
              <w:jc w:val="both"/>
              <w:rPr>
                <w:rFonts w:eastAsia="Calibri"/>
                <w:sz w:val="22"/>
                <w:szCs w:val="22"/>
                <w:lang w:val="pt-BR"/>
              </w:rPr>
            </w:pPr>
          </w:p>
        </w:tc>
        <w:tc>
          <w:tcPr>
            <w:tcW w:w="1547" w:type="dxa"/>
            <w:tcBorders>
              <w:top w:val="nil"/>
              <w:bottom w:val="single" w:sz="4" w:space="0" w:color="auto"/>
            </w:tcBorders>
          </w:tcPr>
          <w:p w14:paraId="3D833290" w14:textId="77777777" w:rsidR="008B3DB7" w:rsidRPr="006C10F3" w:rsidRDefault="008B3DB7" w:rsidP="00CB7174">
            <w:pPr>
              <w:spacing w:line="480" w:lineRule="auto"/>
              <w:jc w:val="both"/>
              <w:rPr>
                <w:rFonts w:eastAsia="Calibri"/>
                <w:color w:val="000000"/>
                <w:sz w:val="22"/>
                <w:szCs w:val="22"/>
                <w:lang w:val="pt-BR"/>
              </w:rPr>
            </w:pPr>
          </w:p>
        </w:tc>
        <w:tc>
          <w:tcPr>
            <w:tcW w:w="1552" w:type="dxa"/>
            <w:tcBorders>
              <w:top w:val="nil"/>
              <w:bottom w:val="single" w:sz="4" w:space="0" w:color="auto"/>
            </w:tcBorders>
          </w:tcPr>
          <w:p w14:paraId="6D379394" w14:textId="77777777" w:rsidR="008B3DB7" w:rsidRPr="006C10F3" w:rsidRDefault="008B3DB7" w:rsidP="00CB7174">
            <w:pPr>
              <w:spacing w:line="480" w:lineRule="auto"/>
              <w:jc w:val="both"/>
              <w:rPr>
                <w:rFonts w:eastAsia="Calibri"/>
                <w:sz w:val="22"/>
                <w:szCs w:val="22"/>
                <w:lang w:val="pt-BR"/>
              </w:rPr>
            </w:pPr>
          </w:p>
        </w:tc>
        <w:tc>
          <w:tcPr>
            <w:tcW w:w="1499" w:type="dxa"/>
            <w:tcBorders>
              <w:top w:val="nil"/>
              <w:bottom w:val="single" w:sz="4" w:space="0" w:color="auto"/>
            </w:tcBorders>
          </w:tcPr>
          <w:p w14:paraId="082589BC" w14:textId="77777777" w:rsidR="008B3DB7" w:rsidRPr="006C10F3" w:rsidRDefault="008B3DB7" w:rsidP="00CB7174">
            <w:pPr>
              <w:spacing w:line="480" w:lineRule="auto"/>
              <w:jc w:val="both"/>
              <w:rPr>
                <w:bCs/>
                <w:color w:val="000000"/>
                <w:sz w:val="22"/>
                <w:szCs w:val="22"/>
              </w:rPr>
            </w:pPr>
          </w:p>
        </w:tc>
        <w:tc>
          <w:tcPr>
            <w:tcW w:w="1508" w:type="dxa"/>
            <w:tcBorders>
              <w:top w:val="nil"/>
              <w:bottom w:val="single" w:sz="4" w:space="0" w:color="auto"/>
            </w:tcBorders>
          </w:tcPr>
          <w:p w14:paraId="2321933E" w14:textId="77777777" w:rsidR="008B3DB7" w:rsidRPr="00BD716D" w:rsidRDefault="008B3DB7" w:rsidP="00CF5C6E">
            <w:pPr>
              <w:spacing w:after="200" w:line="276" w:lineRule="auto"/>
              <w:rPr>
                <w:rFonts w:eastAsia="Calibri"/>
                <w:sz w:val="22"/>
                <w:szCs w:val="22"/>
                <w:lang w:val="pt-BR"/>
              </w:rPr>
            </w:pPr>
          </w:p>
        </w:tc>
      </w:tr>
    </w:tbl>
    <w:p w14:paraId="46E96084" w14:textId="79AF6512" w:rsidR="001C1D95" w:rsidRPr="00F54AFF" w:rsidRDefault="003F18FD" w:rsidP="001C1D95">
      <w:pPr>
        <w:spacing w:after="200"/>
        <w:contextualSpacing/>
        <w:rPr>
          <w:rFonts w:eastAsia="Calibri"/>
          <w:color w:val="000000"/>
          <w:lang w:val="pt-BR"/>
        </w:rPr>
      </w:pPr>
      <w:r w:rsidRPr="003F18FD">
        <w:rPr>
          <w:bCs/>
          <w:color w:val="000000"/>
          <w:sz w:val="22"/>
          <w:szCs w:val="22"/>
        </w:rPr>
        <w:tab/>
      </w:r>
      <w:r w:rsidRPr="003F18FD">
        <w:rPr>
          <w:bCs/>
          <w:color w:val="000000"/>
          <w:sz w:val="22"/>
          <w:szCs w:val="22"/>
        </w:rPr>
        <w:tab/>
      </w:r>
      <w:r w:rsidRPr="003F18FD">
        <w:rPr>
          <w:bCs/>
          <w:color w:val="000000"/>
          <w:sz w:val="22"/>
          <w:szCs w:val="22"/>
        </w:rPr>
        <w:tab/>
      </w:r>
      <w:r w:rsidRPr="003F18FD">
        <w:rPr>
          <w:bCs/>
          <w:color w:val="000000"/>
          <w:sz w:val="22"/>
          <w:szCs w:val="22"/>
        </w:rPr>
        <w:tab/>
      </w:r>
    </w:p>
    <w:p w14:paraId="0228707D" w14:textId="77777777" w:rsidR="001C1D95" w:rsidRPr="00F54AFF" w:rsidRDefault="001C1D95" w:rsidP="001C1D95">
      <w:pPr>
        <w:spacing w:after="200"/>
        <w:contextualSpacing/>
        <w:rPr>
          <w:rFonts w:eastAsia="Calibri"/>
          <w:color w:val="000000"/>
        </w:rPr>
      </w:pPr>
      <w:r w:rsidRPr="00F54AFF">
        <w:rPr>
          <w:rFonts w:eastAsia="Calibri"/>
          <w:color w:val="000000"/>
          <w:lang w:val="pt-BR"/>
        </w:rPr>
        <w:t>Alphabets in superscripts denote significant difference at</w:t>
      </w:r>
      <w:r w:rsidRPr="00F54AFF">
        <w:rPr>
          <w:rFonts w:eastAsia="Calibri"/>
          <w:color w:val="000000"/>
        </w:rPr>
        <w:t xml:space="preserve"> p &lt; 0.05</w:t>
      </w:r>
    </w:p>
    <w:p w14:paraId="3B60C785" w14:textId="72B45DCD" w:rsidR="001C1D95" w:rsidRPr="00F54AFF" w:rsidRDefault="001C1D95" w:rsidP="001C1D95">
      <w:pPr>
        <w:spacing w:after="200"/>
        <w:contextualSpacing/>
        <w:rPr>
          <w:rFonts w:eastAsia="Calibri"/>
          <w:color w:val="000000"/>
        </w:rPr>
      </w:pPr>
      <w:r w:rsidRPr="00F54AFF">
        <w:rPr>
          <w:rFonts w:eastAsia="Calibri"/>
        </w:rPr>
        <w:t xml:space="preserve">** denotes </w:t>
      </w:r>
      <w:r>
        <w:rPr>
          <w:rFonts w:eastAsia="Calibri"/>
        </w:rPr>
        <w:t xml:space="preserve">a </w:t>
      </w:r>
      <w:r w:rsidRPr="00F54AFF">
        <w:rPr>
          <w:rFonts w:eastAsia="Calibri"/>
        </w:rPr>
        <w:t xml:space="preserve">significant difference at p </w:t>
      </w:r>
      <w:r w:rsidRPr="00F54AFF">
        <w:rPr>
          <w:rFonts w:eastAsia="Calibri"/>
          <w:color w:val="000000"/>
        </w:rPr>
        <w:t>&lt; 0.01</w:t>
      </w:r>
      <w:r w:rsidR="0081291A">
        <w:rPr>
          <w:rFonts w:eastAsia="Calibri"/>
          <w:color w:val="000000"/>
        </w:rPr>
        <w:t xml:space="preserve"> </w:t>
      </w:r>
      <w:r w:rsidRPr="00F54AFF">
        <w:rPr>
          <w:rFonts w:eastAsia="Calibri"/>
          <w:color w:val="000000"/>
        </w:rPr>
        <w:t xml:space="preserve">* denotes </w:t>
      </w:r>
      <w:r>
        <w:rPr>
          <w:rFonts w:eastAsia="Calibri"/>
          <w:color w:val="000000"/>
        </w:rPr>
        <w:t xml:space="preserve">a </w:t>
      </w:r>
      <w:r w:rsidRPr="00F54AFF">
        <w:rPr>
          <w:rFonts w:eastAsia="Calibri"/>
          <w:color w:val="000000"/>
        </w:rPr>
        <w:t>significant difference at p &lt; 0.05</w:t>
      </w:r>
    </w:p>
    <w:p w14:paraId="079C2C3B" w14:textId="77777777" w:rsidR="00F2279C" w:rsidRDefault="001C1D95" w:rsidP="00F2279C">
      <w:pPr>
        <w:spacing w:after="200"/>
        <w:contextualSpacing/>
        <w:rPr>
          <w:rFonts w:eastAsia="Calibri"/>
          <w:color w:val="000000"/>
        </w:rPr>
      </w:pPr>
      <w:r w:rsidRPr="00F54AFF">
        <w:rPr>
          <w:rFonts w:eastAsia="Calibri"/>
          <w:color w:val="000000"/>
        </w:rPr>
        <w:t xml:space="preserve">CAP = cancer of the </w:t>
      </w:r>
      <w:r w:rsidR="0081291A" w:rsidRPr="00F54AFF">
        <w:rPr>
          <w:rFonts w:eastAsia="Calibri"/>
          <w:color w:val="000000"/>
        </w:rPr>
        <w:t>prostate.</w:t>
      </w:r>
      <w:r w:rsidR="0081291A">
        <w:rPr>
          <w:rFonts w:eastAsia="Calibri"/>
          <w:color w:val="000000"/>
        </w:rPr>
        <w:t xml:space="preserve"> </w:t>
      </w:r>
      <w:r w:rsidRPr="00F54AFF">
        <w:rPr>
          <w:rFonts w:eastAsia="Calibri"/>
          <w:color w:val="000000"/>
        </w:rPr>
        <w:t>BPH = benign prostate hyperplasia</w:t>
      </w:r>
    </w:p>
    <w:p w14:paraId="407F3476" w14:textId="77777777" w:rsidR="00F2279C" w:rsidRDefault="00F2279C" w:rsidP="00F2279C">
      <w:pPr>
        <w:spacing w:after="200"/>
        <w:contextualSpacing/>
        <w:rPr>
          <w:rFonts w:eastAsia="Calibri"/>
          <w:color w:val="000000"/>
        </w:rPr>
      </w:pPr>
    </w:p>
    <w:p w14:paraId="778080A9" w14:textId="586B87D7" w:rsidR="00C438ED" w:rsidRPr="00F2279C" w:rsidRDefault="0081291A" w:rsidP="00F2279C">
      <w:pPr>
        <w:spacing w:after="200"/>
        <w:contextualSpacing/>
        <w:rPr>
          <w:rFonts w:eastAsia="Calibri"/>
          <w:color w:val="000000"/>
        </w:rPr>
      </w:pPr>
      <w:r w:rsidRPr="0081291A">
        <w:t xml:space="preserve">Vitamin D levels among </w:t>
      </w:r>
      <w:r w:rsidR="00701DE8">
        <w:t>individuals in the hyperplasia and prostate cancer group were significantly higher than those in the control subjects</w:t>
      </w:r>
      <w:r w:rsidR="00AA4085">
        <w:t>. In contrast, vitamin A levels showed</w:t>
      </w:r>
      <w:r w:rsidR="00701DE8">
        <w:t xml:space="preserve"> no significant difference compared to the hyperplasia and prostate cancer group</w:t>
      </w:r>
      <w:r w:rsidRPr="0081291A">
        <w:t>.</w:t>
      </w:r>
    </w:p>
    <w:p w14:paraId="55C02F03" w14:textId="77777777" w:rsidR="001113C9" w:rsidRDefault="001113C9" w:rsidP="00A46276">
      <w:pPr>
        <w:spacing w:line="480" w:lineRule="auto"/>
        <w:jc w:val="both"/>
      </w:pPr>
    </w:p>
    <w:p w14:paraId="1AB94597" w14:textId="77777777" w:rsidR="001113C9" w:rsidRDefault="001113C9" w:rsidP="00A46276">
      <w:pPr>
        <w:spacing w:line="480" w:lineRule="auto"/>
        <w:jc w:val="both"/>
      </w:pPr>
    </w:p>
    <w:p w14:paraId="365F1950" w14:textId="77777777" w:rsidR="001113C9" w:rsidRDefault="001113C9" w:rsidP="00A46276">
      <w:pPr>
        <w:spacing w:line="480" w:lineRule="auto"/>
        <w:jc w:val="both"/>
      </w:pPr>
    </w:p>
    <w:p w14:paraId="55BED86B" w14:textId="77777777" w:rsidR="00F2279C" w:rsidRDefault="00F2279C" w:rsidP="00A46276">
      <w:pPr>
        <w:spacing w:line="480" w:lineRule="auto"/>
        <w:jc w:val="both"/>
      </w:pPr>
    </w:p>
    <w:p w14:paraId="1F3401C6" w14:textId="77777777" w:rsidR="00F2279C" w:rsidRDefault="00F2279C" w:rsidP="00A46276">
      <w:pPr>
        <w:spacing w:line="480" w:lineRule="auto"/>
        <w:jc w:val="both"/>
      </w:pPr>
    </w:p>
    <w:p w14:paraId="3FB4C7E5" w14:textId="77777777" w:rsidR="001113C9" w:rsidRDefault="001113C9" w:rsidP="00A46276">
      <w:pPr>
        <w:spacing w:line="480" w:lineRule="auto"/>
        <w:jc w:val="both"/>
      </w:pPr>
    </w:p>
    <w:p w14:paraId="7D71E40B" w14:textId="262C2B69" w:rsidR="00EE2373" w:rsidRPr="00EE2373" w:rsidRDefault="00EE2373" w:rsidP="00EE2373">
      <w:pPr>
        <w:spacing w:line="480" w:lineRule="auto"/>
        <w:jc w:val="both"/>
        <w:rPr>
          <w:rFonts w:ascii="Times New Roman" w:eastAsia="Times New Roman" w:hAnsi="Times New Roman" w:cs="Times New Roman"/>
          <w:color w:val="000000"/>
          <w:kern w:val="0"/>
          <w14:ligatures w14:val="none"/>
        </w:rPr>
      </w:pPr>
      <w:bookmarkStart w:id="4" w:name="_Hlk199167579"/>
      <w:r w:rsidRPr="00EE2373">
        <w:rPr>
          <w:rFonts w:ascii="Times New Roman" w:eastAsia="Times New Roman" w:hAnsi="Times New Roman" w:cs="Times New Roman"/>
          <w:b/>
          <w:color w:val="000000"/>
          <w:kern w:val="0"/>
          <w14:ligatures w14:val="none"/>
        </w:rPr>
        <w:lastRenderedPageBreak/>
        <w:t xml:space="preserve">TABLE </w:t>
      </w:r>
      <w:r w:rsidR="006D5359">
        <w:rPr>
          <w:rFonts w:ascii="Times New Roman" w:eastAsia="Times New Roman" w:hAnsi="Times New Roman" w:cs="Times New Roman"/>
          <w:b/>
          <w:color w:val="000000"/>
          <w:kern w:val="0"/>
          <w14:ligatures w14:val="none"/>
        </w:rPr>
        <w:t>2</w:t>
      </w:r>
      <w:r w:rsidRPr="00EE2373">
        <w:rPr>
          <w:rFonts w:ascii="Times New Roman" w:eastAsia="Times New Roman" w:hAnsi="Times New Roman" w:cs="Times New Roman"/>
          <w:b/>
          <w:color w:val="000000"/>
          <w:kern w:val="0"/>
          <w14:ligatures w14:val="none"/>
        </w:rPr>
        <w:t xml:space="preserve">: </w:t>
      </w:r>
      <w:r w:rsidR="00701DE8">
        <w:rPr>
          <w:rFonts w:ascii="Times New Roman" w:eastAsia="Times New Roman" w:hAnsi="Times New Roman" w:cs="Times New Roman"/>
          <w:color w:val="000000"/>
          <w:kern w:val="0"/>
          <w14:ligatures w14:val="none"/>
        </w:rPr>
        <w:t>Correlation</w:t>
      </w:r>
      <w:r w:rsidRPr="00EE2373">
        <w:rPr>
          <w:rFonts w:ascii="Times New Roman" w:eastAsia="Times New Roman" w:hAnsi="Times New Roman" w:cs="Times New Roman"/>
          <w:color w:val="000000"/>
          <w:kern w:val="0"/>
          <w14:ligatures w14:val="none"/>
        </w:rPr>
        <w:t xml:space="preserve"> of </w:t>
      </w:r>
      <w:r w:rsidR="005636C4">
        <w:rPr>
          <w:rFonts w:ascii="Times New Roman" w:eastAsia="Times New Roman" w:hAnsi="Times New Roman" w:cs="Times New Roman"/>
          <w:color w:val="000000"/>
          <w:kern w:val="0"/>
          <w14:ligatures w14:val="none"/>
        </w:rPr>
        <w:t>Vitamin A and D with</w:t>
      </w:r>
      <w:r w:rsidRPr="00EE2373">
        <w:rPr>
          <w:rFonts w:ascii="Times New Roman" w:eastAsia="Times New Roman" w:hAnsi="Times New Roman" w:cs="Times New Roman"/>
          <w:color w:val="000000"/>
          <w:kern w:val="0"/>
          <w14:ligatures w14:val="none"/>
        </w:rPr>
        <w:t xml:space="preserve"> </w:t>
      </w:r>
      <w:r w:rsidR="002F5369" w:rsidRPr="00EE2373">
        <w:rPr>
          <w:rFonts w:ascii="Times New Roman" w:eastAsia="Times New Roman" w:hAnsi="Times New Roman" w:cs="Times New Roman"/>
          <w:color w:val="000000"/>
          <w:kern w:val="0"/>
          <w14:ligatures w14:val="none"/>
        </w:rPr>
        <w:t>total PSA</w:t>
      </w:r>
      <w:r w:rsidR="00614777">
        <w:rPr>
          <w:rFonts w:ascii="Times New Roman" w:eastAsia="Times New Roman" w:hAnsi="Times New Roman" w:cs="Times New Roman"/>
          <w:color w:val="000000"/>
          <w:kern w:val="0"/>
          <w14:ligatures w14:val="none"/>
        </w:rPr>
        <w:t xml:space="preserve"> among the</w:t>
      </w:r>
      <w:r w:rsidRPr="00EE2373">
        <w:rPr>
          <w:rFonts w:ascii="Times New Roman" w:eastAsia="Times New Roman" w:hAnsi="Times New Roman" w:cs="Times New Roman"/>
          <w:color w:val="000000"/>
          <w:kern w:val="0"/>
          <w14:ligatures w14:val="none"/>
        </w:rPr>
        <w:t xml:space="preserve"> CA</w:t>
      </w:r>
      <w:r w:rsidR="00614777">
        <w:rPr>
          <w:rFonts w:ascii="Times New Roman" w:eastAsia="Times New Roman" w:hAnsi="Times New Roman" w:cs="Times New Roman"/>
          <w:color w:val="000000"/>
          <w:kern w:val="0"/>
          <w14:ligatures w14:val="none"/>
        </w:rPr>
        <w:t>P, BPH a</w:t>
      </w:r>
      <w:r w:rsidR="006D5359">
        <w:rPr>
          <w:rFonts w:ascii="Times New Roman" w:eastAsia="Times New Roman" w:hAnsi="Times New Roman" w:cs="Times New Roman"/>
          <w:color w:val="000000"/>
          <w:kern w:val="0"/>
          <w14:ligatures w14:val="none"/>
        </w:rPr>
        <w:t xml:space="preserve">nd control </w:t>
      </w:r>
      <w:r w:rsidR="00701DE8">
        <w:rPr>
          <w:rFonts w:ascii="Times New Roman" w:eastAsia="Times New Roman" w:hAnsi="Times New Roman" w:cs="Times New Roman"/>
          <w:color w:val="000000"/>
          <w:kern w:val="0"/>
          <w14:ligatures w14:val="none"/>
        </w:rPr>
        <w:t>groups</w:t>
      </w:r>
    </w:p>
    <w:p w14:paraId="15466D77" w14:textId="17AEED73" w:rsidR="00EE2373" w:rsidRPr="00EE2373" w:rsidRDefault="00EE2373" w:rsidP="00EE2373">
      <w:pPr>
        <w:spacing w:after="0" w:line="240" w:lineRule="auto"/>
        <w:jc w:val="both"/>
        <w:rPr>
          <w:rFonts w:ascii="Times New Roman" w:eastAsia="Times New Roman" w:hAnsi="Times New Roman" w:cs="Times New Roman"/>
          <w:kern w:val="0"/>
          <w14:ligatures w14:val="none"/>
        </w:rPr>
      </w:pPr>
      <w:r w:rsidRPr="00EE2373">
        <w:rPr>
          <w:rFonts w:ascii="Times New Roman" w:eastAsia="Times New Roman" w:hAnsi="Times New Roman" w:cs="Times New Roman"/>
          <w:noProof/>
          <w:kern w:val="0"/>
          <w14:ligatures w14:val="none"/>
        </w:rPr>
        <mc:AlternateContent>
          <mc:Choice Requires="wps">
            <w:drawing>
              <wp:anchor distT="0" distB="0" distL="114300" distR="114300" simplePos="0" relativeHeight="251660288" behindDoc="0" locked="0" layoutInCell="1" allowOverlap="1" wp14:anchorId="77788A45" wp14:editId="03F6372A">
                <wp:simplePos x="0" y="0"/>
                <wp:positionH relativeFrom="column">
                  <wp:posOffset>0</wp:posOffset>
                </wp:positionH>
                <wp:positionV relativeFrom="paragraph">
                  <wp:posOffset>138430</wp:posOffset>
                </wp:positionV>
                <wp:extent cx="6515100" cy="0"/>
                <wp:effectExtent l="9525" t="5080" r="9525" b="13970"/>
                <wp:wrapNone/>
                <wp:docPr id="162298141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6E75125"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pt" to="51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"/>
            </w:pict>
          </mc:Fallback>
        </mc:AlternateContent>
      </w:r>
    </w:p>
    <w:p w14:paraId="49E21E42" w14:textId="77777777" w:rsidR="00EE2373" w:rsidRPr="00EE2373" w:rsidRDefault="00EE2373" w:rsidP="00EE2373">
      <w:pPr>
        <w:spacing w:after="0" w:line="240" w:lineRule="auto"/>
        <w:jc w:val="both"/>
        <w:rPr>
          <w:rFonts w:ascii="Times New Roman" w:eastAsia="Times New Roman" w:hAnsi="Times New Roman" w:cs="Times New Roman"/>
          <w:kern w:val="0"/>
          <w14:ligatures w14:val="none"/>
        </w:rPr>
      </w:pPr>
      <w:r w:rsidRPr="00EE2373">
        <w:rPr>
          <w:rFonts w:ascii="Times New Roman" w:eastAsia="Times New Roman" w:hAnsi="Times New Roman" w:cs="Times New Roman"/>
          <w:kern w:val="0"/>
          <w14:ligatures w14:val="none"/>
        </w:rPr>
        <w:t>Parameter</w:t>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t>N</w:t>
      </w:r>
      <w:r w:rsidRPr="00EE2373">
        <w:rPr>
          <w:rFonts w:ascii="Times New Roman" w:eastAsia="Times New Roman" w:hAnsi="Times New Roman" w:cs="Times New Roman"/>
          <w:kern w:val="0"/>
          <w14:ligatures w14:val="none"/>
        </w:rPr>
        <w:tab/>
        <w:t xml:space="preserve">    Disease          </w:t>
      </w:r>
      <w:proofErr w:type="gramStart"/>
      <w:r w:rsidRPr="00EE2373">
        <w:rPr>
          <w:rFonts w:ascii="Times New Roman" w:eastAsia="Times New Roman" w:hAnsi="Times New Roman" w:cs="Times New Roman"/>
          <w:kern w:val="0"/>
          <w14:ligatures w14:val="none"/>
        </w:rPr>
        <w:tab/>
        <w:t xml:space="preserve">  r</w:t>
      </w:r>
      <w:proofErr w:type="gramEnd"/>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t xml:space="preserve">     P </w:t>
      </w:r>
    </w:p>
    <w:p w14:paraId="02AFB461" w14:textId="5B4FB6DA" w:rsidR="00EE2373" w:rsidRPr="00EE2373" w:rsidRDefault="00EE2373" w:rsidP="00EE2373">
      <w:pPr>
        <w:spacing w:after="0" w:line="240" w:lineRule="auto"/>
        <w:jc w:val="both"/>
        <w:rPr>
          <w:rFonts w:ascii="Times New Roman" w:eastAsia="Times New Roman" w:hAnsi="Times New Roman" w:cs="Times New Roman"/>
          <w:kern w:val="0"/>
          <w14:ligatures w14:val="none"/>
        </w:rPr>
      </w:pP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t xml:space="preserve">    </w:t>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00242001">
        <w:rPr>
          <w:rFonts w:ascii="Times New Roman" w:eastAsia="Times New Roman" w:hAnsi="Times New Roman" w:cs="Times New Roman"/>
          <w:kern w:val="0"/>
          <w14:ligatures w14:val="none"/>
        </w:rPr>
        <w:t xml:space="preserve">              </w:t>
      </w:r>
      <w:r w:rsidRPr="00EE2373">
        <w:rPr>
          <w:rFonts w:ascii="Times New Roman" w:eastAsia="Times New Roman" w:hAnsi="Times New Roman" w:cs="Times New Roman"/>
          <w:kern w:val="0"/>
          <w14:ligatures w14:val="none"/>
        </w:rPr>
        <w:t>Value</w:t>
      </w:r>
    </w:p>
    <w:p w14:paraId="29A79E05" w14:textId="4A13E9F4" w:rsidR="00EE2373" w:rsidRPr="00EE2373" w:rsidRDefault="00EE2373" w:rsidP="00EE2373">
      <w:pPr>
        <w:spacing w:after="0" w:line="240" w:lineRule="auto"/>
        <w:jc w:val="both"/>
        <w:rPr>
          <w:rFonts w:ascii="Times New Roman" w:eastAsia="Times New Roman" w:hAnsi="Times New Roman" w:cs="Times New Roman"/>
          <w:kern w:val="0"/>
          <w14:ligatures w14:val="none"/>
        </w:rPr>
      </w:pPr>
      <w:r w:rsidRPr="00EE2373">
        <w:rPr>
          <w:rFonts w:ascii="Times New Roman" w:eastAsia="Times New Roman" w:hAnsi="Times New Roman" w:cs="Times New Roman"/>
          <w:noProof/>
          <w:kern w:val="0"/>
          <w14:ligatures w14:val="none"/>
        </w:rPr>
        <mc:AlternateContent>
          <mc:Choice Requires="wps">
            <w:drawing>
              <wp:anchor distT="0" distB="0" distL="114300" distR="114300" simplePos="0" relativeHeight="251659264" behindDoc="0" locked="0" layoutInCell="1" allowOverlap="1" wp14:anchorId="665D79DE" wp14:editId="66183771">
                <wp:simplePos x="0" y="0"/>
                <wp:positionH relativeFrom="column">
                  <wp:posOffset>0</wp:posOffset>
                </wp:positionH>
                <wp:positionV relativeFrom="paragraph">
                  <wp:posOffset>27940</wp:posOffset>
                </wp:positionV>
                <wp:extent cx="6515100" cy="0"/>
                <wp:effectExtent l="9525" t="8890" r="9525" b="10160"/>
                <wp:wrapNone/>
                <wp:docPr id="211694650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D0A5338"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51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"/>
            </w:pict>
          </mc:Fallback>
        </mc:AlternateContent>
      </w:r>
    </w:p>
    <w:p w14:paraId="1E65E2D0" w14:textId="217A5C2E" w:rsidR="00EE2373" w:rsidRPr="00EE2373" w:rsidRDefault="00AD20CA" w:rsidP="00EE2373">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Vitamin A</w:t>
      </w:r>
      <w:r w:rsidR="00EE2373" w:rsidRPr="00EE2373">
        <w:rPr>
          <w:rFonts w:ascii="Times New Roman" w:eastAsia="Times New Roman" w:hAnsi="Times New Roman" w:cs="Times New Roman"/>
          <w:kern w:val="0"/>
          <w14:ligatures w14:val="none"/>
        </w:rPr>
        <w:t xml:space="preserve"> vs Total </w:t>
      </w:r>
      <w:r>
        <w:rPr>
          <w:rFonts w:ascii="Times New Roman" w:eastAsia="Times New Roman" w:hAnsi="Times New Roman" w:cs="Times New Roman"/>
          <w:kern w:val="0"/>
          <w14:ligatures w14:val="none"/>
        </w:rPr>
        <w:t>PSA</w:t>
      </w:r>
      <w:r w:rsidR="00EE2373" w:rsidRPr="00EE2373">
        <w:rPr>
          <w:rFonts w:ascii="Times New Roman" w:eastAsia="Times New Roman" w:hAnsi="Times New Roman" w:cs="Times New Roman"/>
          <w:kern w:val="0"/>
          <w14:ligatures w14:val="none"/>
        </w:rPr>
        <w:tab/>
        <w:t xml:space="preserve">           70</w:t>
      </w:r>
      <w:r w:rsidR="00FD78FE">
        <w:rPr>
          <w:rFonts w:ascii="Times New Roman" w:eastAsia="Times New Roman" w:hAnsi="Times New Roman" w:cs="Times New Roman"/>
          <w:kern w:val="0"/>
          <w14:ligatures w14:val="none"/>
        </w:rPr>
        <w:t xml:space="preserve">      </w:t>
      </w:r>
      <w:r w:rsidR="00EE2373" w:rsidRPr="00EE2373">
        <w:rPr>
          <w:rFonts w:ascii="Times New Roman" w:eastAsia="Times New Roman" w:hAnsi="Times New Roman" w:cs="Times New Roman"/>
          <w:kern w:val="0"/>
          <w14:ligatures w14:val="none"/>
        </w:rPr>
        <w:t xml:space="preserve">  </w:t>
      </w:r>
      <w:r w:rsidR="00701DE8">
        <w:rPr>
          <w:rFonts w:ascii="Times New Roman" w:eastAsia="Times New Roman" w:hAnsi="Times New Roman" w:cs="Times New Roman"/>
          <w:kern w:val="0"/>
          <w14:ligatures w14:val="none"/>
        </w:rPr>
        <w:t>CAP</w:t>
      </w:r>
      <w:r w:rsidR="00701DE8">
        <w:rPr>
          <w:rFonts w:ascii="Times New Roman" w:eastAsia="Times New Roman" w:hAnsi="Times New Roman" w:cs="Times New Roman"/>
          <w:kern w:val="0"/>
          <w14:ligatures w14:val="none"/>
        </w:rPr>
        <w:tab/>
      </w:r>
      <w:r w:rsidR="00701DE8">
        <w:rPr>
          <w:rFonts w:ascii="Times New Roman" w:eastAsia="Times New Roman" w:hAnsi="Times New Roman" w:cs="Times New Roman"/>
          <w:kern w:val="0"/>
          <w14:ligatures w14:val="none"/>
        </w:rPr>
        <w:tab/>
      </w:r>
      <w:r w:rsidR="00701DE8">
        <w:rPr>
          <w:rFonts w:ascii="Times New Roman" w:eastAsia="Times New Roman" w:hAnsi="Times New Roman" w:cs="Times New Roman"/>
          <w:kern w:val="0"/>
          <w14:ligatures w14:val="none"/>
        </w:rPr>
        <w:tab/>
      </w:r>
      <w:r w:rsidR="00F76A72">
        <w:rPr>
          <w:rFonts w:ascii="Times New Roman" w:eastAsia="Times New Roman" w:hAnsi="Times New Roman" w:cs="Times New Roman"/>
          <w:kern w:val="0"/>
          <w14:ligatures w14:val="none"/>
        </w:rPr>
        <w:t>0.596               0.041</w:t>
      </w:r>
      <w:r w:rsidR="00EE2373" w:rsidRPr="00EE2373">
        <w:rPr>
          <w:rFonts w:ascii="Times New Roman" w:eastAsia="Times New Roman" w:hAnsi="Times New Roman" w:cs="Times New Roman"/>
          <w:kern w:val="0"/>
          <w14:ligatures w14:val="none"/>
        </w:rPr>
        <w:tab/>
      </w:r>
      <w:r w:rsidR="00EE2373" w:rsidRPr="00EE2373">
        <w:rPr>
          <w:rFonts w:ascii="Times New Roman" w:eastAsia="Times New Roman" w:hAnsi="Times New Roman" w:cs="Times New Roman"/>
          <w:kern w:val="0"/>
          <w14:ligatures w14:val="none"/>
        </w:rPr>
        <w:tab/>
      </w:r>
    </w:p>
    <w:p w14:paraId="45BB0A7F" w14:textId="77777777" w:rsidR="00EE2373" w:rsidRPr="00EE2373" w:rsidRDefault="00EE2373" w:rsidP="00EE2373">
      <w:pPr>
        <w:spacing w:after="0" w:line="240" w:lineRule="auto"/>
        <w:jc w:val="both"/>
        <w:rPr>
          <w:rFonts w:ascii="Times New Roman" w:eastAsia="Times New Roman" w:hAnsi="Times New Roman" w:cs="Times New Roman"/>
          <w:kern w:val="0"/>
          <w14:ligatures w14:val="none"/>
        </w:rPr>
      </w:pPr>
    </w:p>
    <w:p w14:paraId="338E882C" w14:textId="7D10BB41" w:rsidR="00EE2373" w:rsidRPr="00EE2373" w:rsidRDefault="00766CF5" w:rsidP="00EE2373">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Vitamin D</w:t>
      </w:r>
      <w:r w:rsidR="00EE2373" w:rsidRPr="00EE2373">
        <w:rPr>
          <w:rFonts w:ascii="Times New Roman" w:eastAsia="Times New Roman" w:hAnsi="Times New Roman" w:cs="Times New Roman"/>
          <w:kern w:val="0"/>
          <w14:ligatures w14:val="none"/>
        </w:rPr>
        <w:t xml:space="preserve"> vs </w:t>
      </w:r>
      <w:r w:rsidR="0048206C">
        <w:rPr>
          <w:rFonts w:ascii="Times New Roman" w:eastAsia="Times New Roman" w:hAnsi="Times New Roman" w:cs="Times New Roman"/>
          <w:kern w:val="0"/>
          <w14:ligatures w14:val="none"/>
        </w:rPr>
        <w:t>Total PSA</w:t>
      </w:r>
      <w:r w:rsidR="00EE2373" w:rsidRPr="00EE2373">
        <w:rPr>
          <w:rFonts w:ascii="Times New Roman" w:eastAsia="Times New Roman" w:hAnsi="Times New Roman" w:cs="Times New Roman"/>
          <w:kern w:val="0"/>
          <w14:ligatures w14:val="none"/>
        </w:rPr>
        <w:tab/>
        <w:t xml:space="preserve"> </w:t>
      </w:r>
      <w:r w:rsidR="0048206C">
        <w:rPr>
          <w:rFonts w:ascii="Times New Roman" w:eastAsia="Times New Roman" w:hAnsi="Times New Roman" w:cs="Times New Roman"/>
          <w:kern w:val="0"/>
          <w14:ligatures w14:val="none"/>
        </w:rPr>
        <w:t xml:space="preserve">           </w:t>
      </w:r>
      <w:r w:rsidR="00826F25">
        <w:rPr>
          <w:rFonts w:ascii="Times New Roman" w:eastAsia="Times New Roman" w:hAnsi="Times New Roman" w:cs="Times New Roman"/>
          <w:kern w:val="0"/>
          <w14:ligatures w14:val="none"/>
        </w:rPr>
        <w:t xml:space="preserve">70 </w:t>
      </w:r>
      <w:r w:rsidR="0048206C">
        <w:rPr>
          <w:rFonts w:ascii="Times New Roman" w:eastAsia="Times New Roman" w:hAnsi="Times New Roman" w:cs="Times New Roman"/>
          <w:kern w:val="0"/>
          <w14:ligatures w14:val="none"/>
        </w:rPr>
        <w:t xml:space="preserve">       </w:t>
      </w:r>
      <w:r w:rsidR="00EE2373" w:rsidRPr="00EE2373">
        <w:rPr>
          <w:rFonts w:ascii="Times New Roman" w:eastAsia="Times New Roman" w:hAnsi="Times New Roman" w:cs="Times New Roman"/>
          <w:kern w:val="0"/>
          <w14:ligatures w14:val="none"/>
        </w:rPr>
        <w:t>CAP</w:t>
      </w:r>
      <w:r w:rsidR="00EE2373" w:rsidRPr="00EE2373">
        <w:rPr>
          <w:rFonts w:ascii="Times New Roman" w:eastAsia="Times New Roman" w:hAnsi="Times New Roman" w:cs="Times New Roman"/>
          <w:kern w:val="0"/>
          <w14:ligatures w14:val="none"/>
        </w:rPr>
        <w:tab/>
      </w:r>
      <w:r w:rsidR="00EE2373" w:rsidRPr="00EE2373">
        <w:rPr>
          <w:rFonts w:ascii="Times New Roman" w:eastAsia="Times New Roman" w:hAnsi="Times New Roman" w:cs="Times New Roman"/>
          <w:kern w:val="0"/>
          <w14:ligatures w14:val="none"/>
        </w:rPr>
        <w:tab/>
      </w:r>
      <w:r w:rsidR="00EE2373" w:rsidRPr="00EE2373">
        <w:rPr>
          <w:rFonts w:ascii="Times New Roman" w:eastAsia="Times New Roman" w:hAnsi="Times New Roman" w:cs="Times New Roman"/>
          <w:kern w:val="0"/>
          <w14:ligatures w14:val="none"/>
        </w:rPr>
        <w:tab/>
      </w:r>
      <w:r w:rsidR="00CB3624">
        <w:rPr>
          <w:rFonts w:ascii="Times New Roman" w:eastAsia="Times New Roman" w:hAnsi="Times New Roman" w:cs="Times New Roman"/>
          <w:kern w:val="0"/>
          <w14:ligatures w14:val="none"/>
        </w:rPr>
        <w:t>0.8</w:t>
      </w:r>
      <w:r w:rsidR="00A27DCE">
        <w:rPr>
          <w:rFonts w:ascii="Times New Roman" w:eastAsia="Times New Roman" w:hAnsi="Times New Roman" w:cs="Times New Roman"/>
          <w:kern w:val="0"/>
          <w14:ligatures w14:val="none"/>
        </w:rPr>
        <w:t>20</w:t>
      </w:r>
      <w:r w:rsidR="00323179" w:rsidRPr="00323179">
        <w:rPr>
          <w:rFonts w:ascii="Times New Roman" w:eastAsia="Times New Roman" w:hAnsi="Times New Roman" w:cs="Times New Roman"/>
          <w:kern w:val="0"/>
          <w14:ligatures w14:val="none"/>
        </w:rPr>
        <w:t>**</w:t>
      </w:r>
      <w:r w:rsidR="00EE2373" w:rsidRPr="00EE2373">
        <w:rPr>
          <w:rFonts w:ascii="Times New Roman" w:eastAsia="Times New Roman" w:hAnsi="Times New Roman" w:cs="Times New Roman"/>
          <w:kern w:val="0"/>
          <w14:ligatures w14:val="none"/>
        </w:rPr>
        <w:tab/>
        <w:t>0.</w:t>
      </w:r>
      <w:r w:rsidR="00A27DCE">
        <w:rPr>
          <w:rFonts w:ascii="Times New Roman" w:eastAsia="Times New Roman" w:hAnsi="Times New Roman" w:cs="Times New Roman"/>
          <w:kern w:val="0"/>
          <w14:ligatures w14:val="none"/>
        </w:rPr>
        <w:t>03</w:t>
      </w:r>
      <w:r w:rsidR="00EE2373" w:rsidRPr="00EE2373">
        <w:rPr>
          <w:rFonts w:ascii="Times New Roman" w:eastAsia="Times New Roman" w:hAnsi="Times New Roman" w:cs="Times New Roman"/>
          <w:kern w:val="0"/>
          <w14:ligatures w14:val="none"/>
        </w:rPr>
        <w:t>0</w:t>
      </w:r>
    </w:p>
    <w:p w14:paraId="7E0AD83F" w14:textId="77777777" w:rsidR="00EE2373" w:rsidRPr="00EE2373" w:rsidRDefault="00EE2373" w:rsidP="00EE2373">
      <w:pPr>
        <w:spacing w:after="0" w:line="240" w:lineRule="auto"/>
        <w:jc w:val="both"/>
        <w:rPr>
          <w:rFonts w:ascii="Times New Roman" w:eastAsia="Times New Roman" w:hAnsi="Times New Roman" w:cs="Times New Roman"/>
          <w:kern w:val="0"/>
          <w14:ligatures w14:val="none"/>
        </w:rPr>
      </w:pPr>
    </w:p>
    <w:p w14:paraId="0116E80B" w14:textId="1EDD4737" w:rsidR="00EE2373" w:rsidRPr="00EE2373" w:rsidRDefault="002D4421" w:rsidP="00EE2373">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Vitamin A</w:t>
      </w:r>
      <w:r w:rsidR="00EE2373" w:rsidRPr="00EE2373">
        <w:rPr>
          <w:rFonts w:ascii="Times New Roman" w:eastAsia="Times New Roman" w:hAnsi="Times New Roman" w:cs="Times New Roman"/>
          <w:kern w:val="0"/>
          <w14:ligatures w14:val="none"/>
        </w:rPr>
        <w:t xml:space="preserve"> vs Total PSA</w:t>
      </w:r>
      <w:r w:rsidR="00EE2373" w:rsidRPr="00EE2373">
        <w:rPr>
          <w:rFonts w:ascii="Times New Roman" w:eastAsia="Times New Roman" w:hAnsi="Times New Roman" w:cs="Times New Roman"/>
          <w:kern w:val="0"/>
          <w14:ligatures w14:val="none"/>
        </w:rPr>
        <w:tab/>
      </w:r>
      <w:r w:rsidR="00EE2373" w:rsidRPr="00EE2373">
        <w:rPr>
          <w:rFonts w:ascii="Times New Roman" w:eastAsia="Times New Roman" w:hAnsi="Times New Roman" w:cs="Times New Roman"/>
          <w:kern w:val="0"/>
          <w14:ligatures w14:val="none"/>
        </w:rPr>
        <w:tab/>
      </w:r>
      <w:r w:rsidR="00FD78FE">
        <w:rPr>
          <w:rFonts w:ascii="Times New Roman" w:eastAsia="Times New Roman" w:hAnsi="Times New Roman" w:cs="Times New Roman"/>
          <w:kern w:val="0"/>
          <w14:ligatures w14:val="none"/>
        </w:rPr>
        <w:t>68</w:t>
      </w:r>
      <w:r w:rsidR="00FD78FE" w:rsidRPr="00EE2373">
        <w:rPr>
          <w:rFonts w:ascii="Times New Roman" w:eastAsia="Times New Roman" w:hAnsi="Times New Roman" w:cs="Times New Roman"/>
          <w:kern w:val="0"/>
          <w14:ligatures w14:val="none"/>
        </w:rPr>
        <w:tab/>
        <w:t xml:space="preserve"> BPH</w:t>
      </w:r>
      <w:r w:rsidR="00EE2373" w:rsidRPr="00EE2373">
        <w:rPr>
          <w:rFonts w:ascii="Times New Roman" w:eastAsia="Times New Roman" w:hAnsi="Times New Roman" w:cs="Times New Roman"/>
          <w:kern w:val="0"/>
          <w14:ligatures w14:val="none"/>
        </w:rPr>
        <w:tab/>
      </w:r>
      <w:r w:rsidR="00EE2373" w:rsidRPr="00EE2373">
        <w:rPr>
          <w:rFonts w:ascii="Times New Roman" w:eastAsia="Times New Roman" w:hAnsi="Times New Roman" w:cs="Times New Roman"/>
          <w:kern w:val="0"/>
          <w14:ligatures w14:val="none"/>
        </w:rPr>
        <w:tab/>
      </w:r>
      <w:r w:rsidR="00EE2373" w:rsidRPr="00EE2373">
        <w:rPr>
          <w:rFonts w:ascii="Times New Roman" w:eastAsia="Times New Roman" w:hAnsi="Times New Roman" w:cs="Times New Roman"/>
          <w:kern w:val="0"/>
          <w14:ligatures w14:val="none"/>
        </w:rPr>
        <w:tab/>
      </w:r>
      <w:r w:rsidR="00F573A3" w:rsidRPr="00F573A3">
        <w:rPr>
          <w:rFonts w:ascii="Times New Roman" w:eastAsia="Times New Roman" w:hAnsi="Times New Roman" w:cs="Times New Roman"/>
          <w:kern w:val="0"/>
          <w14:ligatures w14:val="none"/>
        </w:rPr>
        <w:t>0.397*</w:t>
      </w:r>
      <w:r w:rsidR="00EE2373" w:rsidRPr="00EE2373">
        <w:rPr>
          <w:rFonts w:ascii="Times New Roman" w:eastAsia="Times New Roman" w:hAnsi="Times New Roman" w:cs="Times New Roman"/>
          <w:kern w:val="0"/>
          <w14:ligatures w14:val="none"/>
        </w:rPr>
        <w:tab/>
      </w:r>
      <w:r w:rsidR="00E0766A">
        <w:rPr>
          <w:rFonts w:ascii="Times New Roman" w:eastAsia="Times New Roman" w:hAnsi="Times New Roman" w:cs="Times New Roman"/>
          <w:kern w:val="0"/>
          <w14:ligatures w14:val="none"/>
        </w:rPr>
        <w:t xml:space="preserve">            </w:t>
      </w:r>
      <w:r w:rsidR="00EE2373" w:rsidRPr="00EE2373">
        <w:rPr>
          <w:rFonts w:ascii="Times New Roman" w:eastAsia="Times New Roman" w:hAnsi="Times New Roman" w:cs="Times New Roman"/>
          <w:kern w:val="0"/>
          <w14:ligatures w14:val="none"/>
        </w:rPr>
        <w:t>0.0</w:t>
      </w:r>
      <w:r w:rsidR="00F50630">
        <w:rPr>
          <w:rFonts w:ascii="Times New Roman" w:eastAsia="Times New Roman" w:hAnsi="Times New Roman" w:cs="Times New Roman"/>
          <w:kern w:val="0"/>
          <w14:ligatures w14:val="none"/>
        </w:rPr>
        <w:t>2</w:t>
      </w:r>
      <w:r w:rsidR="00EE2373" w:rsidRPr="00EE2373">
        <w:rPr>
          <w:rFonts w:ascii="Times New Roman" w:eastAsia="Times New Roman" w:hAnsi="Times New Roman" w:cs="Times New Roman"/>
          <w:kern w:val="0"/>
          <w14:ligatures w14:val="none"/>
        </w:rPr>
        <w:t>0</w:t>
      </w:r>
    </w:p>
    <w:p w14:paraId="66D0AAE9" w14:textId="77777777" w:rsidR="00EE2373" w:rsidRPr="00EE2373" w:rsidRDefault="00EE2373" w:rsidP="00EE2373">
      <w:pPr>
        <w:spacing w:after="0" w:line="240" w:lineRule="auto"/>
        <w:jc w:val="both"/>
        <w:rPr>
          <w:rFonts w:ascii="Times New Roman" w:eastAsia="Times New Roman" w:hAnsi="Times New Roman" w:cs="Times New Roman"/>
          <w:kern w:val="0"/>
          <w14:ligatures w14:val="none"/>
        </w:rPr>
      </w:pP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r w:rsidRPr="00EE2373">
        <w:rPr>
          <w:rFonts w:ascii="Times New Roman" w:eastAsia="Times New Roman" w:hAnsi="Times New Roman" w:cs="Times New Roman"/>
          <w:kern w:val="0"/>
          <w14:ligatures w14:val="none"/>
        </w:rPr>
        <w:tab/>
      </w:r>
    </w:p>
    <w:p w14:paraId="6E39A055" w14:textId="236D7AB9" w:rsidR="00EE2373" w:rsidRDefault="002711CB" w:rsidP="00EE2373">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Vitamin </w:t>
      </w:r>
      <w:r w:rsidR="00BB564B">
        <w:rPr>
          <w:rFonts w:ascii="Times New Roman" w:eastAsia="Times New Roman" w:hAnsi="Times New Roman" w:cs="Times New Roman"/>
          <w:kern w:val="0"/>
          <w14:ligatures w14:val="none"/>
        </w:rPr>
        <w:t>D</w:t>
      </w:r>
      <w:r w:rsidR="00EE2373" w:rsidRPr="00EE2373">
        <w:rPr>
          <w:rFonts w:ascii="Times New Roman" w:eastAsia="Times New Roman" w:hAnsi="Times New Roman" w:cs="Times New Roman"/>
          <w:kern w:val="0"/>
          <w14:ligatures w14:val="none"/>
        </w:rPr>
        <w:t xml:space="preserve"> vs </w:t>
      </w:r>
      <w:r>
        <w:rPr>
          <w:rFonts w:ascii="Times New Roman" w:eastAsia="Times New Roman" w:hAnsi="Times New Roman" w:cs="Times New Roman"/>
          <w:kern w:val="0"/>
          <w14:ligatures w14:val="none"/>
        </w:rPr>
        <w:t xml:space="preserve">Total </w:t>
      </w:r>
      <w:r w:rsidR="00EE2373" w:rsidRPr="00EE2373">
        <w:rPr>
          <w:rFonts w:ascii="Times New Roman" w:eastAsia="Times New Roman" w:hAnsi="Times New Roman" w:cs="Times New Roman"/>
          <w:kern w:val="0"/>
          <w14:ligatures w14:val="none"/>
        </w:rPr>
        <w:t>PSA</w:t>
      </w:r>
      <w:r w:rsidR="00EE2373" w:rsidRPr="00EE2373">
        <w:rPr>
          <w:rFonts w:ascii="Times New Roman" w:eastAsia="Times New Roman" w:hAnsi="Times New Roman" w:cs="Times New Roman"/>
          <w:kern w:val="0"/>
          <w14:ligatures w14:val="none"/>
        </w:rPr>
        <w:tab/>
      </w:r>
      <w:r w:rsidR="00EE2373" w:rsidRPr="00EE2373">
        <w:rPr>
          <w:rFonts w:ascii="Times New Roman" w:eastAsia="Times New Roman" w:hAnsi="Times New Roman" w:cs="Times New Roman"/>
          <w:kern w:val="0"/>
          <w14:ligatures w14:val="none"/>
        </w:rPr>
        <w:tab/>
      </w:r>
      <w:r w:rsidR="00FD78FE">
        <w:rPr>
          <w:rFonts w:ascii="Times New Roman" w:eastAsia="Times New Roman" w:hAnsi="Times New Roman" w:cs="Times New Roman"/>
          <w:kern w:val="0"/>
          <w14:ligatures w14:val="none"/>
        </w:rPr>
        <w:t>68</w:t>
      </w:r>
      <w:r w:rsidR="00EE2373" w:rsidRPr="00EE2373">
        <w:rPr>
          <w:rFonts w:ascii="Times New Roman" w:eastAsia="Times New Roman" w:hAnsi="Times New Roman" w:cs="Times New Roman"/>
          <w:kern w:val="0"/>
          <w14:ligatures w14:val="none"/>
        </w:rPr>
        <w:tab/>
        <w:t xml:space="preserve"> </w:t>
      </w:r>
      <w:r w:rsidR="00A4356B">
        <w:rPr>
          <w:rFonts w:ascii="Times New Roman" w:eastAsia="Times New Roman" w:hAnsi="Times New Roman" w:cs="Times New Roman"/>
          <w:kern w:val="0"/>
          <w14:ligatures w14:val="none"/>
        </w:rPr>
        <w:t>BPH</w:t>
      </w:r>
      <w:r w:rsidR="00EE2373" w:rsidRPr="00EE2373">
        <w:rPr>
          <w:rFonts w:ascii="Times New Roman" w:eastAsia="Times New Roman" w:hAnsi="Times New Roman" w:cs="Times New Roman"/>
          <w:kern w:val="0"/>
          <w14:ligatures w14:val="none"/>
        </w:rPr>
        <w:tab/>
      </w:r>
      <w:r w:rsidR="00EE2373" w:rsidRPr="00EE2373">
        <w:rPr>
          <w:rFonts w:ascii="Times New Roman" w:eastAsia="Times New Roman" w:hAnsi="Times New Roman" w:cs="Times New Roman"/>
          <w:kern w:val="0"/>
          <w14:ligatures w14:val="none"/>
        </w:rPr>
        <w:tab/>
      </w:r>
      <w:r w:rsidR="00EE2373" w:rsidRPr="00EE2373">
        <w:rPr>
          <w:rFonts w:ascii="Times New Roman" w:eastAsia="Times New Roman" w:hAnsi="Times New Roman" w:cs="Times New Roman"/>
          <w:kern w:val="0"/>
          <w14:ligatures w14:val="none"/>
        </w:rPr>
        <w:tab/>
      </w:r>
      <w:r w:rsidR="00F573A3" w:rsidRPr="00F573A3">
        <w:rPr>
          <w:rFonts w:ascii="Times New Roman" w:eastAsia="Times New Roman" w:hAnsi="Times New Roman" w:cs="Times New Roman"/>
          <w:kern w:val="0"/>
          <w14:ligatures w14:val="none"/>
        </w:rPr>
        <w:t>0.681**</w:t>
      </w:r>
      <w:r w:rsidR="00EE2373" w:rsidRPr="00EE2373">
        <w:rPr>
          <w:rFonts w:ascii="Times New Roman" w:eastAsia="Times New Roman" w:hAnsi="Times New Roman" w:cs="Times New Roman"/>
          <w:kern w:val="0"/>
          <w14:ligatures w14:val="none"/>
        </w:rPr>
        <w:tab/>
        <w:t>0.0</w:t>
      </w:r>
      <w:r w:rsidR="00F50630">
        <w:rPr>
          <w:rFonts w:ascii="Times New Roman" w:eastAsia="Times New Roman" w:hAnsi="Times New Roman" w:cs="Times New Roman"/>
          <w:kern w:val="0"/>
          <w14:ligatures w14:val="none"/>
        </w:rPr>
        <w:t>0</w:t>
      </w:r>
      <w:r w:rsidR="00EE2373" w:rsidRPr="00EE2373">
        <w:rPr>
          <w:rFonts w:ascii="Times New Roman" w:eastAsia="Times New Roman" w:hAnsi="Times New Roman" w:cs="Times New Roman"/>
          <w:kern w:val="0"/>
          <w14:ligatures w14:val="none"/>
        </w:rPr>
        <w:t>0</w:t>
      </w:r>
    </w:p>
    <w:p w14:paraId="284DCAC5" w14:textId="57BBF230" w:rsidR="00A4356B" w:rsidRDefault="00A4356B" w:rsidP="00EE2373">
      <w:pPr>
        <w:spacing w:after="0" w:line="240" w:lineRule="auto"/>
        <w:jc w:val="both"/>
        <w:rPr>
          <w:rFonts w:ascii="Times New Roman" w:eastAsia="Times New Roman" w:hAnsi="Times New Roman" w:cs="Times New Roman"/>
          <w:kern w:val="0"/>
          <w14:ligatures w14:val="none"/>
        </w:rPr>
      </w:pPr>
    </w:p>
    <w:p w14:paraId="1EF7228D" w14:textId="6E2F09E1" w:rsidR="00976B88" w:rsidRDefault="004135B7" w:rsidP="00EE2373">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V</w:t>
      </w:r>
      <w:r w:rsidR="00A7562E">
        <w:rPr>
          <w:rFonts w:ascii="Times New Roman" w:eastAsia="Times New Roman" w:hAnsi="Times New Roman" w:cs="Times New Roman"/>
          <w:kern w:val="0"/>
          <w14:ligatures w14:val="none"/>
        </w:rPr>
        <w:t xml:space="preserve">itamin A vs Total </w:t>
      </w:r>
      <w:r w:rsidR="00FC465D">
        <w:rPr>
          <w:rFonts w:ascii="Times New Roman" w:eastAsia="Times New Roman" w:hAnsi="Times New Roman" w:cs="Times New Roman"/>
          <w:kern w:val="0"/>
          <w14:ligatures w14:val="none"/>
        </w:rPr>
        <w:t xml:space="preserve">PSA                     </w:t>
      </w:r>
      <w:r w:rsidR="0091279B">
        <w:rPr>
          <w:rFonts w:ascii="Times New Roman" w:eastAsia="Times New Roman" w:hAnsi="Times New Roman" w:cs="Times New Roman"/>
          <w:kern w:val="0"/>
          <w14:ligatures w14:val="none"/>
        </w:rPr>
        <w:t>69</w:t>
      </w:r>
      <w:r w:rsidR="00FC465D">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Control</w:t>
      </w:r>
      <w:r w:rsidR="00700CEE">
        <w:rPr>
          <w:rFonts w:ascii="Times New Roman" w:eastAsia="Times New Roman" w:hAnsi="Times New Roman" w:cs="Times New Roman"/>
          <w:kern w:val="0"/>
          <w14:ligatures w14:val="none"/>
        </w:rPr>
        <w:t xml:space="preserve">               </w:t>
      </w:r>
      <w:r w:rsidR="00F50630">
        <w:rPr>
          <w:rFonts w:ascii="Times New Roman" w:eastAsia="Times New Roman" w:hAnsi="Times New Roman" w:cs="Times New Roman"/>
          <w:kern w:val="0"/>
          <w14:ligatures w14:val="none"/>
        </w:rPr>
        <w:t xml:space="preserve">   </w:t>
      </w:r>
      <w:r w:rsidR="00700CEE">
        <w:rPr>
          <w:rFonts w:ascii="Times New Roman" w:eastAsia="Times New Roman" w:hAnsi="Times New Roman" w:cs="Times New Roman"/>
          <w:kern w:val="0"/>
          <w14:ligatures w14:val="none"/>
        </w:rPr>
        <w:t xml:space="preserve">  </w:t>
      </w:r>
      <w:r w:rsidR="00701DE8">
        <w:rPr>
          <w:rFonts w:ascii="Times New Roman" w:eastAsia="Times New Roman" w:hAnsi="Times New Roman" w:cs="Times New Roman"/>
          <w:kern w:val="0"/>
          <w14:ligatures w14:val="none"/>
        </w:rPr>
        <w:tab/>
      </w:r>
      <w:r w:rsidR="00700CEE" w:rsidRPr="00700CEE">
        <w:rPr>
          <w:rFonts w:ascii="Times New Roman" w:eastAsia="Times New Roman" w:hAnsi="Times New Roman" w:cs="Times New Roman"/>
          <w:kern w:val="0"/>
          <w14:ligatures w14:val="none"/>
        </w:rPr>
        <w:t>0.172</w:t>
      </w:r>
      <w:r w:rsidR="00700CEE" w:rsidRPr="00700CEE">
        <w:rPr>
          <w:rFonts w:ascii="Times New Roman" w:eastAsia="Times New Roman" w:hAnsi="Times New Roman" w:cs="Times New Roman"/>
          <w:kern w:val="0"/>
          <w14:ligatures w14:val="none"/>
        </w:rPr>
        <w:tab/>
      </w:r>
      <w:r w:rsidR="00700CEE" w:rsidRPr="00700CEE">
        <w:rPr>
          <w:rFonts w:ascii="Times New Roman" w:eastAsia="Times New Roman" w:hAnsi="Times New Roman" w:cs="Times New Roman"/>
          <w:kern w:val="0"/>
          <w14:ligatures w14:val="none"/>
        </w:rPr>
        <w:tab/>
        <w:t>0.331</w:t>
      </w:r>
    </w:p>
    <w:p w14:paraId="511C494D" w14:textId="1D9AED48" w:rsidR="002E5A0B" w:rsidRPr="00EE2373" w:rsidRDefault="003B3FAF" w:rsidP="00EE2373">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Vitamin </w:t>
      </w:r>
      <w:r w:rsidR="00766E14">
        <w:rPr>
          <w:rFonts w:ascii="Times New Roman" w:eastAsia="Times New Roman" w:hAnsi="Times New Roman" w:cs="Times New Roman"/>
          <w:kern w:val="0"/>
          <w14:ligatures w14:val="none"/>
        </w:rPr>
        <w:t>D</w:t>
      </w:r>
      <w:r>
        <w:rPr>
          <w:rFonts w:ascii="Times New Roman" w:eastAsia="Times New Roman" w:hAnsi="Times New Roman" w:cs="Times New Roman"/>
          <w:kern w:val="0"/>
          <w14:ligatures w14:val="none"/>
        </w:rPr>
        <w:t xml:space="preserve"> </w:t>
      </w:r>
      <w:r w:rsidR="00E42BD9">
        <w:rPr>
          <w:rFonts w:ascii="Times New Roman" w:eastAsia="Times New Roman" w:hAnsi="Times New Roman" w:cs="Times New Roman"/>
          <w:kern w:val="0"/>
          <w14:ligatures w14:val="none"/>
        </w:rPr>
        <w:t>vs Total</w:t>
      </w:r>
      <w:r w:rsidR="00766E14">
        <w:rPr>
          <w:rFonts w:ascii="Times New Roman" w:eastAsia="Times New Roman" w:hAnsi="Times New Roman" w:cs="Times New Roman"/>
          <w:kern w:val="0"/>
          <w14:ligatures w14:val="none"/>
        </w:rPr>
        <w:t xml:space="preserve"> PSA                 </w:t>
      </w:r>
      <w:r w:rsidR="00E42BD9">
        <w:rPr>
          <w:rFonts w:ascii="Times New Roman" w:eastAsia="Times New Roman" w:hAnsi="Times New Roman" w:cs="Times New Roman"/>
          <w:kern w:val="0"/>
          <w14:ligatures w14:val="none"/>
        </w:rPr>
        <w:t xml:space="preserve"> </w:t>
      </w:r>
      <w:r w:rsidR="00766E14">
        <w:rPr>
          <w:rFonts w:ascii="Times New Roman" w:eastAsia="Times New Roman" w:hAnsi="Times New Roman" w:cs="Times New Roman"/>
          <w:kern w:val="0"/>
          <w14:ligatures w14:val="none"/>
        </w:rPr>
        <w:t xml:space="preserve">   </w:t>
      </w:r>
      <w:r w:rsidR="00FD78FE">
        <w:rPr>
          <w:rFonts w:ascii="Times New Roman" w:eastAsia="Times New Roman" w:hAnsi="Times New Roman" w:cs="Times New Roman"/>
          <w:kern w:val="0"/>
          <w14:ligatures w14:val="none"/>
        </w:rPr>
        <w:t>69</w:t>
      </w:r>
      <w:r w:rsidR="00766E14">
        <w:rPr>
          <w:rFonts w:ascii="Times New Roman" w:eastAsia="Times New Roman" w:hAnsi="Times New Roman" w:cs="Times New Roman"/>
          <w:kern w:val="0"/>
          <w14:ligatures w14:val="none"/>
        </w:rPr>
        <w:t xml:space="preserve">       Control</w:t>
      </w:r>
      <w:r w:rsidR="00700CEE">
        <w:rPr>
          <w:rFonts w:ascii="Times New Roman" w:eastAsia="Times New Roman" w:hAnsi="Times New Roman" w:cs="Times New Roman"/>
          <w:kern w:val="0"/>
          <w14:ligatures w14:val="none"/>
        </w:rPr>
        <w:t xml:space="preserve">                   </w:t>
      </w:r>
      <w:r w:rsidR="00701DE8">
        <w:rPr>
          <w:rFonts w:ascii="Times New Roman" w:eastAsia="Times New Roman" w:hAnsi="Times New Roman" w:cs="Times New Roman"/>
          <w:kern w:val="0"/>
          <w14:ligatures w14:val="none"/>
        </w:rPr>
        <w:tab/>
      </w:r>
      <w:r w:rsidR="00700CEE">
        <w:rPr>
          <w:rFonts w:ascii="Times New Roman" w:eastAsia="Times New Roman" w:hAnsi="Times New Roman" w:cs="Times New Roman"/>
          <w:kern w:val="0"/>
          <w14:ligatures w14:val="none"/>
        </w:rPr>
        <w:t xml:space="preserve"> </w:t>
      </w:r>
      <w:r w:rsidR="00700CEE" w:rsidRPr="00700CEE">
        <w:rPr>
          <w:rFonts w:ascii="Times New Roman" w:eastAsia="Times New Roman" w:hAnsi="Times New Roman" w:cs="Times New Roman"/>
          <w:kern w:val="0"/>
          <w14:ligatures w14:val="none"/>
        </w:rPr>
        <w:t>0.162</w:t>
      </w:r>
      <w:r w:rsidR="00700CEE" w:rsidRPr="00700CEE">
        <w:rPr>
          <w:rFonts w:ascii="Times New Roman" w:eastAsia="Times New Roman" w:hAnsi="Times New Roman" w:cs="Times New Roman"/>
          <w:kern w:val="0"/>
          <w14:ligatures w14:val="none"/>
        </w:rPr>
        <w:tab/>
      </w:r>
      <w:r w:rsidR="00700CEE" w:rsidRPr="00700CEE">
        <w:rPr>
          <w:rFonts w:ascii="Times New Roman" w:eastAsia="Times New Roman" w:hAnsi="Times New Roman" w:cs="Times New Roman"/>
          <w:kern w:val="0"/>
          <w14:ligatures w14:val="none"/>
        </w:rPr>
        <w:tab/>
        <w:t>0.360</w:t>
      </w:r>
    </w:p>
    <w:p w14:paraId="4CD4E271" w14:textId="09A46BE7" w:rsidR="000933A6" w:rsidRPr="00C90ACD" w:rsidRDefault="00EE2373" w:rsidP="00C90ACD">
      <w:pPr>
        <w:spacing w:after="0" w:line="240" w:lineRule="auto"/>
        <w:jc w:val="both"/>
        <w:rPr>
          <w:rFonts w:ascii="Times New Roman" w:eastAsia="Times New Roman" w:hAnsi="Times New Roman" w:cs="Times New Roman"/>
          <w:kern w:val="0"/>
          <w14:ligatures w14:val="none"/>
        </w:rPr>
      </w:pPr>
      <w:r w:rsidRPr="00EE2373">
        <w:rPr>
          <w:rFonts w:ascii="Times New Roman" w:eastAsia="Times New Roman" w:hAnsi="Times New Roman" w:cs="Times New Roman"/>
          <w:noProof/>
          <w:kern w:val="0"/>
          <w14:ligatures w14:val="none"/>
        </w:rPr>
        <mc:AlternateContent>
          <mc:Choice Requires="wps">
            <w:drawing>
              <wp:anchor distT="0" distB="0" distL="114300" distR="114300" simplePos="0" relativeHeight="251661312" behindDoc="0" locked="0" layoutInCell="1" allowOverlap="1" wp14:anchorId="2B191CC8" wp14:editId="7AF08102">
                <wp:simplePos x="0" y="0"/>
                <wp:positionH relativeFrom="column">
                  <wp:posOffset>0</wp:posOffset>
                </wp:positionH>
                <wp:positionV relativeFrom="paragraph">
                  <wp:posOffset>14605</wp:posOffset>
                </wp:positionV>
                <wp:extent cx="6515100" cy="0"/>
                <wp:effectExtent l="9525" t="5080" r="9525" b="13970"/>
                <wp:wrapNone/>
                <wp:docPr id="30557243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A38E2B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51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"/>
            </w:pict>
          </mc:Fallback>
        </mc:AlternateContent>
      </w:r>
    </w:p>
    <w:p w14:paraId="065CFE54" w14:textId="77777777" w:rsidR="00893342" w:rsidRDefault="00893342" w:rsidP="00893342">
      <w:pPr>
        <w:spacing w:after="0"/>
        <w:jc w:val="both"/>
      </w:pPr>
    </w:p>
    <w:p w14:paraId="68A7CA4C" w14:textId="38B80322" w:rsidR="00893342" w:rsidRDefault="00E16148" w:rsidP="00893342">
      <w:pPr>
        <w:spacing w:after="0"/>
        <w:jc w:val="both"/>
      </w:pPr>
      <w:r w:rsidRPr="005361F9">
        <w:t>** Correlation is</w:t>
      </w:r>
      <w:r>
        <w:t xml:space="preserve"> significant at the level of 0.0</w:t>
      </w:r>
      <w:r w:rsidRPr="005361F9">
        <w:t>1 (2-tailed)</w:t>
      </w:r>
    </w:p>
    <w:p w14:paraId="3CFC90B2" w14:textId="37162C21" w:rsidR="00E16148" w:rsidRDefault="00E16148" w:rsidP="00893342">
      <w:pPr>
        <w:spacing w:after="0"/>
        <w:jc w:val="both"/>
      </w:pPr>
      <w:r w:rsidRPr="005361F9">
        <w:t>* Correlation is significant at the level of 0.05 (2-tailed)</w:t>
      </w:r>
    </w:p>
    <w:p w14:paraId="4047DF92" w14:textId="77777777" w:rsidR="00E16148" w:rsidRPr="005361F9" w:rsidRDefault="00E16148" w:rsidP="00893342">
      <w:pPr>
        <w:spacing w:after="0"/>
        <w:jc w:val="both"/>
      </w:pPr>
      <w:r>
        <w:t xml:space="preserve">r = </w:t>
      </w:r>
      <w:r w:rsidRPr="005361F9">
        <w:rPr>
          <w:color w:val="000000"/>
        </w:rPr>
        <w:t>Pearson’s correlation</w:t>
      </w:r>
      <w:r>
        <w:rPr>
          <w:color w:val="000000"/>
        </w:rPr>
        <w:t xml:space="preserve"> coefficient</w:t>
      </w:r>
    </w:p>
    <w:p w14:paraId="062041EF" w14:textId="06241970" w:rsidR="00E16148" w:rsidRDefault="00E16148" w:rsidP="00893342">
      <w:pPr>
        <w:spacing w:after="0"/>
        <w:jc w:val="both"/>
        <w:rPr>
          <w:color w:val="000000"/>
          <w:lang w:val="pt-BR"/>
        </w:rPr>
      </w:pPr>
      <w:r>
        <w:rPr>
          <w:color w:val="000000"/>
          <w:lang w:val="pt-BR"/>
        </w:rPr>
        <w:t>BPH: Benign prostate hyperplasia, CAP: Cancer of the prostate.PSA: Prostate-specific antigen.</w:t>
      </w:r>
    </w:p>
    <w:p w14:paraId="6C4B38F5" w14:textId="77777777" w:rsidR="0008306C" w:rsidRDefault="0008306C" w:rsidP="00893342">
      <w:pPr>
        <w:spacing w:after="0"/>
        <w:jc w:val="both"/>
        <w:rPr>
          <w:color w:val="000000"/>
          <w:lang w:val="pt-BR"/>
        </w:rPr>
      </w:pPr>
    </w:p>
    <w:p w14:paraId="3128DEDE" w14:textId="31724EC3" w:rsidR="0008306C" w:rsidRPr="004909AE" w:rsidRDefault="0008306C" w:rsidP="00893342">
      <w:pPr>
        <w:spacing w:after="0"/>
        <w:jc w:val="both"/>
        <w:rPr>
          <w:color w:val="000000"/>
          <w:lang w:val="pt-BR"/>
        </w:rPr>
      </w:pPr>
      <w:r w:rsidRPr="0008306C">
        <w:rPr>
          <w:color w:val="000000"/>
          <w:lang w:val="pt-BR"/>
        </w:rPr>
        <w:t>There was a positive correlation between vitamin A and D, and serum total PSA with both disease conditions</w:t>
      </w:r>
      <w:r w:rsidR="00701DE8">
        <w:rPr>
          <w:color w:val="000000"/>
          <w:lang w:val="pt-BR"/>
        </w:rPr>
        <w:t>,</w:t>
      </w:r>
      <w:r w:rsidRPr="0008306C">
        <w:rPr>
          <w:color w:val="000000"/>
          <w:lang w:val="pt-BR"/>
        </w:rPr>
        <w:t xml:space="preserve"> but no correlation was seen between the vitamins (A and D) and serum PSA among the control group.</w:t>
      </w:r>
    </w:p>
    <w:p w14:paraId="21D6EE98" w14:textId="77777777" w:rsidR="00E41B40" w:rsidRDefault="00E41B40" w:rsidP="00A46276">
      <w:pPr>
        <w:spacing w:line="480" w:lineRule="auto"/>
        <w:jc w:val="both"/>
      </w:pPr>
    </w:p>
    <w:p w14:paraId="0155FE15" w14:textId="77777777" w:rsidR="00E41B40" w:rsidRDefault="00E41B40" w:rsidP="00A46276">
      <w:pPr>
        <w:spacing w:line="480" w:lineRule="auto"/>
        <w:jc w:val="both"/>
      </w:pPr>
    </w:p>
    <w:bookmarkEnd w:id="4"/>
    <w:p w14:paraId="3E5057A2" w14:textId="77777777" w:rsidR="001113C9" w:rsidRDefault="001113C9" w:rsidP="00B5730E"/>
    <w:p w14:paraId="533FDF57" w14:textId="77777777" w:rsidR="008F5CD7" w:rsidRDefault="008F5CD7" w:rsidP="00B5730E"/>
    <w:p w14:paraId="1E319342" w14:textId="77777777" w:rsidR="00F50630" w:rsidRDefault="00F50630" w:rsidP="00B5730E"/>
    <w:p w14:paraId="0F4B1877" w14:textId="77777777" w:rsidR="00763470" w:rsidRDefault="00763470">
      <w:r>
        <w:br w:type="page"/>
      </w:r>
    </w:p>
    <w:p w14:paraId="2DD0DD7E" w14:textId="040001A0" w:rsidR="00720AA6" w:rsidRPr="00763470" w:rsidRDefault="00720AA6" w:rsidP="00763470">
      <w:pPr>
        <w:spacing w:line="276" w:lineRule="auto"/>
        <w:jc w:val="center"/>
        <w:rPr>
          <w:b/>
          <w:bCs/>
        </w:rPr>
      </w:pPr>
      <w:r w:rsidRPr="00763470">
        <w:rPr>
          <w:b/>
          <w:bCs/>
        </w:rPr>
        <w:lastRenderedPageBreak/>
        <w:t>Discussion</w:t>
      </w:r>
    </w:p>
    <w:p w14:paraId="485F0ECD" w14:textId="7C316A55" w:rsidR="00643D0A" w:rsidRDefault="005C43FC" w:rsidP="00AB61EC">
      <w:pPr>
        <w:spacing w:line="276" w:lineRule="auto"/>
        <w:jc w:val="both"/>
      </w:pPr>
      <w:r w:rsidRPr="005361F9">
        <w:t xml:space="preserve">In this study, </w:t>
      </w:r>
      <w:r w:rsidR="00701DE8">
        <w:t>a random sample of 68 BPH, 70 CAP, and 69 controls was analyzed for vitamins A and D. The results showed significant differences between groups and within groups in the analysis of variance,</w:t>
      </w:r>
      <w:r w:rsidRPr="005361F9">
        <w:t xml:space="preserve"> P &lt; 0.05. </w:t>
      </w:r>
      <w:r w:rsidR="008E4B59">
        <w:t>A</w:t>
      </w:r>
      <w:r w:rsidR="00F943AC">
        <w:t xml:space="preserve">lthough </w:t>
      </w:r>
      <w:r w:rsidR="008E4B59">
        <w:t>the</w:t>
      </w:r>
      <w:r w:rsidR="00C0477B">
        <w:t xml:space="preserve"> mean serum concentration </w:t>
      </w:r>
      <w:r w:rsidR="00701DE8">
        <w:t xml:space="preserve">of vitamin A in the prostate cancer group was higher than that of the BPH and </w:t>
      </w:r>
      <w:r w:rsidR="00723EE6">
        <w:t>control groups</w:t>
      </w:r>
      <w:r w:rsidR="00935C20">
        <w:t xml:space="preserve">, </w:t>
      </w:r>
      <w:r w:rsidR="00AE269B">
        <w:t>t</w:t>
      </w:r>
      <w:r w:rsidR="00935C20" w:rsidRPr="00935C20">
        <w:t>he increase in vitamin A in prostate cancer patients was not statistically significant</w:t>
      </w:r>
      <w:r w:rsidR="00723EE6">
        <w:t>.</w:t>
      </w:r>
      <w:r w:rsidR="00AB61EC" w:rsidRPr="00AB61EC">
        <w:t xml:space="preserve"> </w:t>
      </w:r>
      <w:bookmarkStart w:id="5" w:name="_Hlk199946138"/>
      <w:r w:rsidR="00F50630">
        <w:t>Thus,</w:t>
      </w:r>
      <w:r w:rsidR="005A420E">
        <w:t xml:space="preserve"> </w:t>
      </w:r>
      <w:r w:rsidR="005A420E" w:rsidRPr="005A420E">
        <w:t>Vitamin A levels in control subjects show no significant difference from those in hyperplasia and prostate cancer.</w:t>
      </w:r>
      <w:bookmarkEnd w:id="5"/>
      <w:r w:rsidR="005A420E" w:rsidRPr="005A420E">
        <w:t xml:space="preserve">  </w:t>
      </w:r>
      <w:r w:rsidR="00AB61EC">
        <w:t xml:space="preserve">P value = 0.596.  </w:t>
      </w:r>
      <w:r w:rsidR="005A420E">
        <w:t>This</w:t>
      </w:r>
      <w:r w:rsidR="000A3528">
        <w:t xml:space="preserve"> may be because </w:t>
      </w:r>
      <w:r w:rsidR="00AB61EC">
        <w:t xml:space="preserve">Vitamin A influences cell growth and </w:t>
      </w:r>
      <w:r w:rsidR="00CD165E">
        <w:t>apoptosis</w:t>
      </w:r>
      <w:r w:rsidR="00701DE8">
        <w:t>,</w:t>
      </w:r>
      <w:r w:rsidR="00CD165E">
        <w:t xml:space="preserve"> which</w:t>
      </w:r>
      <w:r w:rsidR="000A3528">
        <w:t xml:space="preserve"> </w:t>
      </w:r>
      <w:r w:rsidR="00AB61EC">
        <w:t>is more of a protective mechanism</w:t>
      </w:r>
      <w:r w:rsidR="003E2933">
        <w:t>,</w:t>
      </w:r>
      <w:r w:rsidR="00CD165E">
        <w:t xml:space="preserve"> as seen in </w:t>
      </w:r>
      <w:r w:rsidR="005A420E">
        <w:t>a prospective</w:t>
      </w:r>
      <w:r w:rsidR="001F0016">
        <w:t xml:space="preserve"> study</w:t>
      </w:r>
      <w:r w:rsidR="00AB61EC">
        <w:t xml:space="preserve"> </w:t>
      </w:r>
      <w:r w:rsidR="003E2933">
        <w:t>that</w:t>
      </w:r>
      <w:r w:rsidR="0048438A">
        <w:t xml:space="preserve"> </w:t>
      </w:r>
      <w:r w:rsidR="00AB61EC">
        <w:t>found a protective effect of beta-carotene</w:t>
      </w:r>
      <w:r w:rsidR="001F0016">
        <w:t xml:space="preserve"> </w:t>
      </w:r>
      <w:r w:rsidR="001F0016">
        <w:fldChar w:fldCharType="begin" w:fldLock="1"/>
      </w:r>
      <w:r w:rsidR="001F0016">
        <w:instrText>ADDIN CSL_CITATION {"citationItems":[{"id":"ITEM-1","itemData":{"DOI":"10.1093/jnci/djj050","ISSN":"1460-2105 (Electronic)","PMID":"16478743","abstract":"BACKGROUND: Vitamin E, beta-carotene, and vitamin C are micronutrient  antioxidants that protect cells from oxidative damage involved in prostate carcinogenesis. In separate trials, supplemental vitamin E was associated with a decreased risk of prostate cancer among smokers and supplemental beta-carotene was associated with a decreased risk of prostate cancer among men with low baseline plasma beta-carotene levels. METHODS: We evaluated the association between intake of these micronutrient antioxidants from foods and supplements and the risk of prostate cancer among men in the screening arm of the Prostate, Lung, Colorectal, and Ovarian Cancer Screening Trial. At baseline, trial participants completed a 137-item food frequency questionnaire that included detailed questions on 12 individual supplements. Cox proportional hazards models were used to estimate relative risks (RRs) and 95% confidence intervals (CIs). All statistical tests were two-sided. RESULTS: We identified 1338 cases of prostate cancer among 29 361 men during up to 8 years of follow-up. Overall, there was no association between prostate cancer risk and dietary or supplemental intake of vitamin E, beta-carotene, or vitamin C. However, among current and recent (i.e., within the previous 10 years) smokers, decreasing risks of advanced prostate cancer (i.e., Gleason score &gt; or = 7 or stage III or IV) were associated with increasing dose (RR for &gt; 400 IU/day versus none = 0.29, 95% CI = 0.12 to 0.68; Ptrend = .01) and duration (RR for &gt; or = 10 years of use versus none = 0.30, 95% CI = 0.09 to 0.96; Ptrend = .01) of supplemental vitamin E use. Supplemental beta-carotene intake at a dose level of at least 2000 microg/day was associated with decreased prostate cancer risk in men with low (below the median of 4129 microg/day) dietary beta-carotene intake (RR = 0.52, 95% CI = 0.33 to 0.81). Among smokers, the age-adjusted rate of advanced prostate cancer was 492 per 100,000 person-years in those who did not take supplemental vitamin E, 153 per 100,000 person-years in those who took more than 400 IU/day of supplemental vitamin E, and 157 per 100,000 person-years in those who took supplemental vitamin E for 10 or more years. Among men with low dietary beta-carotene intake, the age-adjusted rate of prostate cancer was 1122 per 100,000 person-years in those who did not take supplemental beta-carotene, and 623 per 100,000 person-years in those who took at least 2000 microg/day of supplemental beta-caro…","author":[{"dropping-particle":"","family":"Kirsh","given":"Victoria A","non-dropping-particle":"","parse-names":false,"suffix":""},{"dropping-particle":"","family":"Hayes","given":"Richard B","non-dropping-particle":"","parse-names":false,"suffix":""},{"dropping-particle":"","family":"Mayne","given":"Susan T","non-dropping-particle":"","parse-names":false,"suffix":""},{"dropping-particle":"","family":"Chatterjee","given":"Nilanjan","non-dropping-particle":"","parse-names":false,"suffix":""},{"dropping-particle":"","family":"Subar","given":"Amy F","non-dropping-particle":"","parse-names":false,"suffix":""},{"dropping-particle":"","family":"Dixon","given":"L Beth","non-dropping-particle":"","parse-names":false,"suffix":""},{"dropping-particle":"","family":"Albanes","given":"Demetrius","non-dropping-particle":"","parse-names":false,"suffix":""},{"dropping-particle":"","family":"Andriole","given":"Gerald L","non-dropping-particle":"","parse-names":false,"suffix":""},{"dropping-particle":"","family":"Urban","given":"Donald A","non-dropping-particle":"","parse-names":false,"suffix":""},{"dropping-particle":"","family":"Peters","given":"Ulrike","non-dropping-particle":"","parse-names":false,"suffix":""}],"container-title":"Journal of the National Cancer Institute","id":"ITEM-1","issue":"4","issued":{"date-parts":[["2006","2"]]},"language":"eng","page":"245-254","publisher-place":"United States","title":"Supplemental and dietary vitamin E, beta-carotene, and vitamin C intakes and  prostate cancer risk.","type":"article-journal","volume":"98"},"uris":["http://www.mendeley.com/documents/?uuid=0985630d-2f6b-4094-9362-9c729191c837"]}],"mendeley":{"formattedCitation":"(Kirsh et al., 2006)","plainTextFormattedCitation":"(Kirsh et al., 2006)","previouslyFormattedCitation":"(Kirsh et al., 2006)"},"properties":{"noteIndex":0},"schema":"https://github.com/citation-style-language/schema/raw/master/csl-citation.json"}</w:instrText>
      </w:r>
      <w:r w:rsidR="001F0016">
        <w:fldChar w:fldCharType="separate"/>
      </w:r>
      <w:r w:rsidR="001F0016" w:rsidRPr="001F0016">
        <w:rPr>
          <w:noProof/>
        </w:rPr>
        <w:t>(Kirsh et al., 2006)</w:t>
      </w:r>
      <w:r w:rsidR="001F0016">
        <w:fldChar w:fldCharType="end"/>
      </w:r>
      <w:r w:rsidR="005A420E">
        <w:t xml:space="preserve">. </w:t>
      </w:r>
      <w:r w:rsidR="00927F30">
        <w:t>This finding</w:t>
      </w:r>
      <w:r w:rsidR="00FA7492">
        <w:t xml:space="preserve"> did not </w:t>
      </w:r>
      <w:r w:rsidR="00927F30">
        <w:t>agree</w:t>
      </w:r>
      <w:r w:rsidR="001F0016">
        <w:t xml:space="preserve"> with </w:t>
      </w:r>
      <w:r w:rsidR="001F0016">
        <w:fldChar w:fldCharType="begin" w:fldLock="1"/>
      </w:r>
      <w:r w:rsidR="001F0016">
        <w:instrText>ADDIN CSL_CITATION {"citationItems":[{"id":"ITEM-1","itemData":{"DOI":"10.3390/nu15122677","ISSN":"2072-6643 (Electronic)","PMID":"37375581","abstract":"PURPOSE: This study aimed to assess associations between forms of vitamin A and E  (both individually and collectively) and the risk of prostate cancer, as well as identify potential effect modifiers. METHODS: Utilizing data from the Singapore Prostate Cancer Study, a hospital-based case-control study, we measured the serum concentrations of 15 different forms of vitamins A and E in 156 prostate cancer patients and 118 control subjects, using a high-performance liquid chromatography technique. These forms included retinol, lutein, zeaxanthin, α-cryptoxanthin, β-cryptoxanthin, α-carotene, β-carotene, lycopene, ubiquinone, δ-tocopherol, γ-tocopherol, α-tocopherol, δ-tocotrienol, γ-tocotrienol, and α-tocotrienol. The odds ratio and 95% confidence interval for associations between vitamin A and E and prostate cancer risk were estimated using logistic regression models after adjustment for potential confounders. The analyses were further stratified by smoking and alcohol consumption status. The mixture effect of micronutrient groups was evaluated using weighted quantile sum regression. RESULTS: Higher concentrations of retinol, lutein, α-carotene, β-carotene, ubiquinone, α-tocopherol, δ-tocotrienol, γ-tocotrienol, and α-tocotrienol were significantly and positively associated with overall prostate cancer risk. Among ever-smokers, associations were stronger for lutein, β-cryptoxanthin and β-carotene compared with never-smokers. Among regular alcohol drinkers, associations were stronger for lutein, β-cryptoxanthin, ubiquinone, γ-tocotrienol and α-tocotrienol compared with non-regular alcohol drinkers. Retinol and α-tocotrienol contributed most to the group indices 'vitamin A and provitamin A carotenoids' and 'vitamin E', respectively. CONCLUSIONS: Several serum vitamin A and E forms were associated with prostate cancer risk, with significant effect modification by smoking and alcohol consumption status. Our findings shed light on prostate cancer etiology.","author":[{"dropping-particle":"","family":"Loh","given":"Wei Qi","non-dropping-particle":"","parse-names":false,"suffix":""},{"dropping-particle":"","family":"Yin","given":"Xin","non-dropping-particle":"","parse-names":false,"suffix":""},{"dropping-particle":"","family":"Kishida","given":"Rie","non-dropping-particle":"","parse-names":false,"suffix":""},{"dropping-particle":"","family":"Chia","given":"Sin Eng","non-dropping-particle":"","parse-names":false,"suffix":""},{"dropping-particle":"","family":"Ong","given":"Choon Nam","non-dropping-particle":"","parse-names":false,"suffix":""},{"dropping-particle":"","family":"Seow","given":"Wei Jie","non-dropping-particle":"","parse-names":false,"suffix":""}],"container-title":"Nutrients","id":"ITEM-1","issue":"12","issued":{"date-parts":[["2023","6"]]},"language":"eng","publisher-place":"Switzerland","title":"Association between Vitamin A and E Forms and Prostate Cancer Risk in the  Singapore Prostate Cancer Study.","type":"article-journal","volume":"15"},"uris":["http://www.mendeley.com/documents/?uuid=d352baaa-ff5b-4972-8c56-79c9858d2666"]}],"mendeley":{"formattedCitation":"(Loh et al., 2023)","plainTextFormattedCitation":"(Loh et al., 2023)","previouslyFormattedCitation":"(Loh et al., 2023)"},"properties":{"noteIndex":0},"schema":"https://github.com/citation-style-language/schema/raw/master/csl-citation.json"}</w:instrText>
      </w:r>
      <w:r w:rsidR="001F0016">
        <w:fldChar w:fldCharType="separate"/>
      </w:r>
      <w:r w:rsidR="001F0016" w:rsidRPr="001F0016">
        <w:rPr>
          <w:noProof/>
        </w:rPr>
        <w:t>(Loh et al., 2023)</w:t>
      </w:r>
      <w:r w:rsidR="001F0016">
        <w:fldChar w:fldCharType="end"/>
      </w:r>
      <w:r w:rsidR="00FA7492">
        <w:t xml:space="preserve"> and</w:t>
      </w:r>
      <w:r w:rsidR="001F0016">
        <w:rPr>
          <w:vertAlign w:val="superscript"/>
        </w:rPr>
        <w:t xml:space="preserve"> </w:t>
      </w:r>
      <w:r w:rsidR="001F0016">
        <w:rPr>
          <w:vertAlign w:val="superscript"/>
        </w:rPr>
        <w:fldChar w:fldCharType="begin" w:fldLock="1"/>
      </w:r>
      <w:r w:rsidR="001F0016">
        <w:rPr>
          <w:vertAlign w:val="superscript"/>
        </w:rPr>
        <w:instrText>ADDIN CSL_CITATION {"citationItems":[{"id":"ITEM-1","itemData":{"DOI":"10.15850/amj.v6n1.1597","author":[{"dropping-particle":"","family":"Aghawegbehe","given":"Bhaguetai","non-dropping-particle":"","parse-names":false,"suffix":""},{"dropping-particle":"","family":"Atere","given":"Adedeji","non-dropping-particle":"","parse-names":false,"suffix":""},{"dropping-particle":"","family":"Akinbo","given":"David","non-dropping-particle":"","parse-names":false,"suffix":""},{"dropping-particle":"","family":"Ajani","given":"Faith","non-dropping-particle":"","parse-names":false,"suffix":""},{"dropping-particle":"","family":"Erhunmwunse","given":"Raphael","non-dropping-particle":"","parse-names":false,"suffix":""},{"dropping-particle":"","family":"Atere","given":"A","non-dropping-particle":"","parse-names":false,"suffix":""}],"container-title":"Althea Medical Journal","id":"ITEM-1","issued":{"date-parts":[["2019","3","1"]]},"title":"Serum Trace Elements and Antioxidant Vitamins among Male Patients with Prostate Disorders in the Delta Region of Nigeria","type":"article-journal","volume":"6"},"uris":["http://www.mendeley.com/documents/?uuid=d821228a-b03d-4976-b04b-33f773cb11fa"]}],"mendeley":{"formattedCitation":"(Aghawegbehe et al., 2019)","plainTextFormattedCitation":"(Aghawegbehe et al., 2019)","previouslyFormattedCitation":"(Aghawegbehe et al., 2019)"},"properties":{"noteIndex":0},"schema":"https://github.com/citation-style-language/schema/raw/master/csl-citation.json"}</w:instrText>
      </w:r>
      <w:r w:rsidR="001F0016">
        <w:rPr>
          <w:vertAlign w:val="superscript"/>
        </w:rPr>
        <w:fldChar w:fldCharType="separate"/>
      </w:r>
      <w:r w:rsidR="001F0016" w:rsidRPr="001F0016">
        <w:rPr>
          <w:noProof/>
        </w:rPr>
        <w:t>(Aghawegbehe et al., 2019)</w:t>
      </w:r>
      <w:r w:rsidR="001F0016">
        <w:rPr>
          <w:vertAlign w:val="superscript"/>
        </w:rPr>
        <w:fldChar w:fldCharType="end"/>
      </w:r>
      <w:r w:rsidR="00FA7492" w:rsidRPr="00FA7492">
        <w:t xml:space="preserve"> </w:t>
      </w:r>
      <w:r w:rsidR="00FA7492">
        <w:t xml:space="preserve">who reported a significantly higher </w:t>
      </w:r>
      <w:r w:rsidR="00927F30">
        <w:t>concentration</w:t>
      </w:r>
      <w:r w:rsidR="00FA7492">
        <w:t xml:space="preserve"> of vitamin A as compared to controls. This difference </w:t>
      </w:r>
      <w:r w:rsidR="003E2933">
        <w:t xml:space="preserve">may be because our study did not assay for the various forms of vitamin A, unlike Loh et al. (2023), who assessed all forms of Vitamin A, and </w:t>
      </w:r>
      <w:proofErr w:type="spellStart"/>
      <w:r w:rsidR="003E2933">
        <w:t>Aghawegbehe</w:t>
      </w:r>
      <w:proofErr w:type="spellEnd"/>
      <w:r w:rsidR="003E2933">
        <w:t xml:space="preserve"> et al. (2019),</w:t>
      </w:r>
      <w:r w:rsidR="000C393C">
        <w:t xml:space="preserve"> </w:t>
      </w:r>
      <w:r w:rsidR="00701DE8">
        <w:t>who studied</w:t>
      </w:r>
      <w:r w:rsidR="00ED4F09">
        <w:t xml:space="preserve"> a population without exclusion</w:t>
      </w:r>
      <w:r w:rsidR="00497C78">
        <w:t xml:space="preserve"> of Vitamin A </w:t>
      </w:r>
      <w:r w:rsidR="00701DE8">
        <w:t>supplementation. This factor</w:t>
      </w:r>
      <w:r w:rsidR="00497C78">
        <w:t xml:space="preserve"> would have caused an increase in the concentration of the vitamin</w:t>
      </w:r>
      <w:r w:rsidR="00D3750A">
        <w:t>.</w:t>
      </w:r>
      <w:r w:rsidR="00643D0A" w:rsidRPr="00643D0A">
        <w:t xml:space="preserve"> </w:t>
      </w:r>
    </w:p>
    <w:p w14:paraId="59E5A90F" w14:textId="7EB0C831" w:rsidR="0067678F" w:rsidRDefault="002D22CC" w:rsidP="0085494E">
      <w:pPr>
        <w:spacing w:line="276" w:lineRule="auto"/>
        <w:jc w:val="both"/>
      </w:pPr>
      <w:r>
        <w:t>Vitamin D</w:t>
      </w:r>
      <w:r w:rsidR="00701DE8">
        <w:t>, on the other hand, was found to be significantly higher in concentrations among the prostate</w:t>
      </w:r>
      <w:r w:rsidR="00E6194B">
        <w:t xml:space="preserve"> cancer populations when compared to the </w:t>
      </w:r>
      <w:r w:rsidR="0067678F">
        <w:t>controls.</w:t>
      </w:r>
      <w:r w:rsidR="0067678F" w:rsidRPr="0067678F">
        <w:t xml:space="preserve"> P = 0.029.  This</w:t>
      </w:r>
      <w:r w:rsidR="00125141">
        <w:t xml:space="preserve"> was also the </w:t>
      </w:r>
      <w:r w:rsidR="001F0016">
        <w:t xml:space="preserve">finding of </w:t>
      </w:r>
      <w:r w:rsidR="001F0016">
        <w:fldChar w:fldCharType="begin" w:fldLock="1"/>
      </w:r>
      <w:r w:rsidR="00737FC3">
        <w:instrText>ADDIN CSL_CITATION {"citationItems":[{"id":"ITEM-1","itemData":{"DOI":"10.1056/NEJMra070553","ISSN":"1533-4406 (Electronic)","PMID":"17634462","author":[{"dropping-particle":"","family":"Holick","given":"Michael F","non-dropping-particle":"","parse-names":false,"suffix":""}],"container-title":"The New England journal of medicine","id":"ITEM-1","issue":"3","issued":{"date-parts":[["2007","7"]]},"language":"eng","page":"266-281","publisher-place":"United States","title":"Vitamin D deficiency.","type":"article-journal","volume":"357"},"uris":["http://www.mendeley.com/documents/?uuid=e0da4ac5-f93f-42e8-8f62-7ac87a756c66"]}],"mendeley":{"formattedCitation":"(Holick, 2007)","plainTextFormattedCitation":"(Holick, 2007)","previouslyFormattedCitation":"(Holick, 2007)"},"properties":{"noteIndex":0},"schema":"https://github.com/citation-style-language/schema/raw/master/csl-citation.json"}</w:instrText>
      </w:r>
      <w:r w:rsidR="001F0016">
        <w:fldChar w:fldCharType="separate"/>
      </w:r>
      <w:r w:rsidR="001F0016" w:rsidRPr="001F0016">
        <w:rPr>
          <w:noProof/>
        </w:rPr>
        <w:t>(Holick, 2007)</w:t>
      </w:r>
      <w:r w:rsidR="001F0016">
        <w:fldChar w:fldCharType="end"/>
      </w:r>
      <w:r w:rsidR="003E2933">
        <w:t>,</w:t>
      </w:r>
      <w:r w:rsidR="00701DE8">
        <w:t xml:space="preserve"> who attributed it to the defensive mechanism that is mounted by the immune system in prostate cancer patients,</w:t>
      </w:r>
      <w:r w:rsidR="00095FE2">
        <w:t xml:space="preserve"> with the</w:t>
      </w:r>
      <w:r w:rsidR="0067678F" w:rsidRPr="0067678F">
        <w:t xml:space="preserve"> involve</w:t>
      </w:r>
      <w:r w:rsidR="00C57BCC">
        <w:t>ment of vitamin D</w:t>
      </w:r>
      <w:r w:rsidR="0067678F" w:rsidRPr="0067678F">
        <w:t xml:space="preserve"> in a wide variety of biological processes and its </w:t>
      </w:r>
      <w:r w:rsidR="00C57BCC" w:rsidRPr="0067678F">
        <w:t>activity mediated</w:t>
      </w:r>
      <w:r w:rsidR="0067678F" w:rsidRPr="0067678F">
        <w:t xml:space="preserve"> by VDR.  </w:t>
      </w:r>
    </w:p>
    <w:p w14:paraId="4F997F01" w14:textId="20C656C7" w:rsidR="00A53DE9" w:rsidRPr="0057422F" w:rsidRDefault="006B1973" w:rsidP="00DC79FC">
      <w:pPr>
        <w:spacing w:line="276" w:lineRule="auto"/>
        <w:jc w:val="both"/>
      </w:pPr>
      <w:r>
        <w:t>To establish a relationship between these vitamins (A and D) and the disease conditions (CAP and BPH), we sought a correlation between Vitamin A and D and total PSA, which served as an indicator of disease condition in the CAP, BPH,</w:t>
      </w:r>
      <w:r w:rsidR="00513433" w:rsidRPr="00513433">
        <w:t xml:space="preserve"> and control group</w:t>
      </w:r>
      <w:r w:rsidR="00486996">
        <w:t>s.</w:t>
      </w:r>
      <w:r w:rsidR="00D501B3">
        <w:t xml:space="preserve"> </w:t>
      </w:r>
      <w:r w:rsidR="003E2933">
        <w:t xml:space="preserve">A positive correlation was observed </w:t>
      </w:r>
      <w:r w:rsidR="00A4613E" w:rsidRPr="00A4613E">
        <w:t xml:space="preserve">between vitamin A and </w:t>
      </w:r>
      <w:r w:rsidR="00AE7A0E" w:rsidRPr="00A4613E">
        <w:t xml:space="preserve">D, </w:t>
      </w:r>
      <w:r w:rsidR="006B2483">
        <w:t>as well as serum total PSA, in both disease conditions. However, no correlation was observed between the vitamins (A and D) and serum PSA in</w:t>
      </w:r>
      <w:r w:rsidR="00FF0AB5">
        <w:t xml:space="preserve"> the control </w:t>
      </w:r>
      <w:r w:rsidR="00A544A2">
        <w:t>group.</w:t>
      </w:r>
      <w:r w:rsidR="007A6E43">
        <w:t xml:space="preserve"> </w:t>
      </w:r>
      <w:r w:rsidR="00A4613E" w:rsidRPr="00A4613E">
        <w:t>Th</w:t>
      </w:r>
      <w:r w:rsidR="00A4613E">
        <w:t>is</w:t>
      </w:r>
      <w:r w:rsidR="00A4613E" w:rsidRPr="00A4613E">
        <w:t xml:space="preserve"> </w:t>
      </w:r>
      <w:r w:rsidR="00DC79FC" w:rsidRPr="00A4613E">
        <w:t>indicates</w:t>
      </w:r>
      <w:r w:rsidR="00A4613E" w:rsidRPr="00A4613E">
        <w:t xml:space="preserve"> a positive linear relationship between the mean and standard deviation for both vitamins</w:t>
      </w:r>
      <w:r w:rsidR="00AE7A0E">
        <w:t xml:space="preserve"> and the disease</w:t>
      </w:r>
      <w:r w:rsidR="007B25C8">
        <w:t xml:space="preserve"> conditions.</w:t>
      </w:r>
      <w:r w:rsidR="00A4613E" w:rsidRPr="00A4613E">
        <w:t xml:space="preserve"> </w:t>
      </w:r>
      <w:r w:rsidR="00DC79FC" w:rsidRPr="00A4613E">
        <w:t>Specifically,</w:t>
      </w:r>
      <w:r w:rsidR="00DC79FC">
        <w:t xml:space="preserve"> it </w:t>
      </w:r>
      <w:r w:rsidR="00A4613E" w:rsidRPr="00A4613E">
        <w:t>showed that vitamin A increased as vitamin D</w:t>
      </w:r>
      <w:r>
        <w:t xml:space="preserve"> increased in both the CAP and BPH populations</w:t>
      </w:r>
      <w:r w:rsidR="00EF4918">
        <w:rPr>
          <w:color w:val="FF0000"/>
        </w:rPr>
        <w:t>.</w:t>
      </w:r>
      <w:r w:rsidR="00D950CB">
        <w:rPr>
          <w:color w:val="FF0000"/>
        </w:rPr>
        <w:t xml:space="preserve"> </w:t>
      </w:r>
      <w:r w:rsidR="00D950CB" w:rsidRPr="0057422F">
        <w:t>Th</w:t>
      </w:r>
      <w:r w:rsidR="00737FC3">
        <w:t xml:space="preserve">is </w:t>
      </w:r>
      <w:bookmarkStart w:id="6" w:name="_Hlk199507076"/>
      <w:r w:rsidR="003E2933">
        <w:t xml:space="preserve">finding aligns with the results of a research study on the association between serum vitamin A and E levels and prostate cancer risk </w:t>
      </w:r>
      <w:r w:rsidR="00737FC3">
        <w:fldChar w:fldCharType="begin" w:fldLock="1"/>
      </w:r>
      <w:r w:rsidR="00737FC3">
        <w:instrText>ADDIN CSL_CITATION {"citationItems":[{"id":"ITEM-1","itemData":{"DOI":"10.3390/nu15122677","ISSN":"2072-6643 (Electronic)","PMID":"37375581","abstract":"PURPOSE: This study aimed to assess associations between forms of vitamin A and E  (both individually and collectively) and the risk of prostate cancer, as well as identify potential effect modifiers. METHODS: Utilizing data from the Singapore Prostate Cancer Study, a hospital-based case-control study, we measured the serum concentrations of 15 different forms of vitamins A and E in 156 prostate cancer patients and 118 control subjects, using a high-performance liquid chromatography technique. These forms included retinol, lutein, zeaxanthin, α-cryptoxanthin, β-cryptoxanthin, α-carotene, β-carotene, lycopene, ubiquinone, δ-tocopherol, γ-tocopherol, α-tocopherol, δ-tocotrienol, γ-tocotrienol, and α-tocotrienol. The odds ratio and 95% confidence interval for associations between vitamin A and E and prostate cancer risk were estimated using logistic regression models after adjustment for potential confounders. The analyses were further stratified by smoking and alcohol consumption status. The mixture effect of micronutrient groups was evaluated using weighted quantile sum regression. RESULTS: Higher concentrations of retinol, lutein, α-carotene, β-carotene, ubiquinone, α-tocopherol, δ-tocotrienol, γ-tocotrienol, and α-tocotrienol were significantly and positively associated with overall prostate cancer risk. Among ever-smokers, associations were stronger for lutein, β-cryptoxanthin and β-carotene compared with never-smokers. Among regular alcohol drinkers, associations were stronger for lutein, β-cryptoxanthin, ubiquinone, γ-tocotrienol and α-tocotrienol compared with non-regular alcohol drinkers. Retinol and α-tocotrienol contributed most to the group indices 'vitamin A and provitamin A carotenoids' and 'vitamin E', respectively. CONCLUSIONS: Several serum vitamin A and E forms were associated with prostate cancer risk, with significant effect modification by smoking and alcohol consumption status. Our findings shed light on prostate cancer etiology.","author":[{"dropping-particle":"","family":"Loh","given":"Wei Qi","non-dropping-particle":"","parse-names":false,"suffix":""},{"dropping-particle":"","family":"Yin","given":"Xin","non-dropping-particle":"","parse-names":false,"suffix":""},{"dropping-particle":"","family":"Kishida","given":"Rie","non-dropping-particle":"","parse-names":false,"suffix":""},{"dropping-particle":"","family":"Chia","given":"Sin Eng","non-dropping-particle":"","parse-names":false,"suffix":""},{"dropping-particle":"","family":"Ong","given":"Choon Nam","non-dropping-particle":"","parse-names":false,"suffix":""},{"dropping-particle":"","family":"Seow","given":"Wei Jie","non-dropping-particle":"","parse-names":false,"suffix":""}],"container-title":"Nutrients","id":"ITEM-1","issue":"12","issued":{"date-parts":[["2023","6"]]},"language":"eng","publisher-place":"Switzerland","title":"Association between Vitamin A and E Forms and Prostate Cancer Risk in the  Singapore Prostate Cancer Study.","type":"article-journal","volume":"15"},"uris":["http://www.mendeley.com/documents/?uuid=d352baaa-ff5b-4972-8c56-79c9858d2666"]}],"mendeley":{"formattedCitation":"(Loh et al., 2023)","plainTextFormattedCitation":"(Loh et al., 2023)","previouslyFormattedCitation":"(Loh et al., 2023)"},"properties":{"noteIndex":0},"schema":"https://github.com/citation-style-language/schema/raw/master/csl-citation.json"}</w:instrText>
      </w:r>
      <w:r w:rsidR="00737FC3">
        <w:fldChar w:fldCharType="separate"/>
      </w:r>
      <w:r w:rsidR="00737FC3" w:rsidRPr="00737FC3">
        <w:rPr>
          <w:noProof/>
        </w:rPr>
        <w:t>(Loh et al., 2023)</w:t>
      </w:r>
      <w:r w:rsidR="00737FC3">
        <w:fldChar w:fldCharType="end"/>
      </w:r>
      <w:r w:rsidR="00A53DE9" w:rsidRPr="0057422F">
        <w:t>.</w:t>
      </w:r>
      <w:r w:rsidR="001F2B5D" w:rsidRPr="0057422F">
        <w:t xml:space="preserve">  Although the relationship </w:t>
      </w:r>
      <w:r w:rsidR="003F3DE4" w:rsidRPr="0057422F">
        <w:t>exists</w:t>
      </w:r>
      <w:r w:rsidR="001F2B5D" w:rsidRPr="0057422F">
        <w:t xml:space="preserve"> </w:t>
      </w:r>
      <w:r>
        <w:t>between the two vitamins in our study, we observed that vitamin D had a stronger relationship (r = 0.82 and 0.681, respectively) than Vitamin A (r = 0.596 and 0.397,</w:t>
      </w:r>
      <w:r w:rsidR="00BE13C7" w:rsidRPr="0057422F">
        <w:t xml:space="preserve"> respectively) </w:t>
      </w:r>
      <w:r w:rsidR="00C25D4D" w:rsidRPr="0057422F">
        <w:t xml:space="preserve">for both CAP and </w:t>
      </w:r>
      <w:r w:rsidR="001B2FEF" w:rsidRPr="0057422F">
        <w:t>BPH.</w:t>
      </w:r>
    </w:p>
    <w:bookmarkEnd w:id="6"/>
    <w:p w14:paraId="0C4A0624" w14:textId="7C9D4FE4" w:rsidR="00BB792B" w:rsidRDefault="000044FF" w:rsidP="0085494E">
      <w:pPr>
        <w:spacing w:line="276" w:lineRule="auto"/>
        <w:jc w:val="both"/>
        <w:rPr>
          <w:lang w:val="en"/>
        </w:rPr>
      </w:pPr>
      <w:r>
        <w:rPr>
          <w:lang w:val="en"/>
        </w:rPr>
        <w:t xml:space="preserve">Various school of </w:t>
      </w:r>
      <w:r w:rsidR="006B1973">
        <w:rPr>
          <w:lang w:val="en"/>
        </w:rPr>
        <w:t>thought</w:t>
      </w:r>
      <w:r>
        <w:rPr>
          <w:lang w:val="en"/>
        </w:rPr>
        <w:t xml:space="preserve"> </w:t>
      </w:r>
      <w:r w:rsidR="00326155">
        <w:rPr>
          <w:lang w:val="en"/>
        </w:rPr>
        <w:t xml:space="preserve">surrounds the association of vitamin D with </w:t>
      </w:r>
      <w:r w:rsidR="008C090C" w:rsidRPr="008C090C">
        <w:rPr>
          <w:lang w:val="en"/>
        </w:rPr>
        <w:t>CAP and BPH</w:t>
      </w:r>
      <w:r w:rsidR="00B3481D">
        <w:t xml:space="preserve">. </w:t>
      </w:r>
      <w:r w:rsidR="005F5404">
        <w:rPr>
          <w:lang w:val="en"/>
        </w:rPr>
        <w:t xml:space="preserve"> </w:t>
      </w:r>
      <w:r w:rsidR="00BF6F73" w:rsidRPr="00BF6F73">
        <w:rPr>
          <w:lang w:val="en"/>
        </w:rPr>
        <w:t>While some research</w:t>
      </w:r>
      <w:r w:rsidR="00612F15">
        <w:rPr>
          <w:lang w:val="en"/>
        </w:rPr>
        <w:t>ers</w:t>
      </w:r>
      <w:r w:rsidR="00737FC3">
        <w:rPr>
          <w:lang w:val="en"/>
        </w:rPr>
        <w:t xml:space="preserve"> </w:t>
      </w:r>
      <w:r w:rsidR="00737FC3">
        <w:rPr>
          <w:lang w:val="en"/>
        </w:rPr>
        <w:fldChar w:fldCharType="begin" w:fldLock="1"/>
      </w:r>
      <w:r w:rsidR="00BC5F60">
        <w:rPr>
          <w:lang w:val="en"/>
        </w:rPr>
        <w:instrText>ADDIN CSL_CITATION {"citationItems":[{"id":"ITEM-1","itemData":{"DOI":"10.1016/j.jnutbio.2022.109177","ISSN":"1873-4847 (Electronic)","PMID":"36223833","abstract":"Increasing evidence has demonstrated that vitamin D deficiency is associated with  prostate cancer progression, but its mechanism remains unclear. This study investigated effects of vitamin D deficiency on growth and metastasis of prostate cancer. Nude mice and Transgenic adenocarcinoma of the mouse prostate (TRAMP) mice were fed with vitamin D-deficient (VDD) diets. Prostate cancer growth was aggravated in VDD diet-fed nude mice and TRAMP mice. Invasion and metastasis of prostate cancer were exacerbated in VDD diet-fed TRAMP mice. In vitro experiments showed that calcitriol, an active vitamin D3, inhibited migration and invasion in transforming growth factor (TGF)-β1 -stimulated and -unstimulated PC-3 and DU145 cells. Mechanistically, calcitriol inhibited epithelial-mesenchymal transition (EMT) in TGF-β1 -stimulated and -unstimulated DU145 cells. Unexpectedly, calcitriol did not inhibit Smad2/3 phosphorylation in TGF-β1-stimulated DU145 cells. Instead, calcitriol downregulated expression of proliferation-, metastasis- and EMT-related genes, includes Cyclin D1, MMP7, and Zeb1, by inhibiting interaction between TCF4 and β-catenin. In addition, calcitriol promoted interaction between cytoplasmic VDR and β-catenin, reduced β-catenin phosphorylation and elevated β-catenin/E-cadherin adherens junction complex formation. We provide novel evidence that vitamin D deficiency aggravates growth and metastasis of prostate cancer possibly through promoting EMT in two β-catenin-related mechanisms.","author":[{"dropping-particle":"","family":"Zhang","given":"Zhi-Hui","non-dropping-particle":"","parse-names":false,"suffix":""},{"dropping-particle":"","family":"Liu","given":"Ming-Dong","non-dropping-particle":"","parse-names":false,"suffix":""},{"dropping-particle":"","family":"Yao","given":"Kai","non-dropping-particle":"","parse-names":false,"suffix":""},{"dropping-particle":"","family":"Xu","given":"Shen","non-dropping-particle":"","parse-names":false,"suffix":""},{"dropping-particle":"","family":"Yu","given":"De-Xin","non-dropping-particle":"","parse-names":false,"suffix":""},{"dropping-particle":"","family":"Xie","given":"Dong-Dong","non-dropping-particle":"","parse-names":false,"suffix":""},{"dropping-particle":"","family":"Xu","given":"De-Xiang","non-dropping-particle":"","parse-names":false,"suffix":""}],"container-title":"The Journal of nutritional biochemistry","id":"ITEM-1","issued":{"date-parts":[["2023","1"]]},"language":"eng","page":"109177","publisher-place":"United States","title":"Vitamin D deficiency aggravates growth and metastasis of prostate cancer through  promoting EMT in two β-catenin-related mechanisms.","type":"article-journal","volume":"111"},"uris":["http://www.mendeley.com/documents/?uuid=3dfc99bd-64e8-4df1-a497-e5daacc5362e"]},{"id":"ITEM-2","itemData":{"DOI":"10.1016/j.canep.2009.10.014","ISSN":"1877-783X (Electronic)","PMID":"19939760","abstract":"AIM: To review and summarize evidence from longitudinal studies on the  association between serum 25-hydroxyvitamin D (25(OH)D) and the risk of prostate cancer (PC). METHODS: Relevant prospective cohort studies and nested case-control studies published until July 2009 were identified by systematically searching Ovid Medline, EMBASE, and ISI Web of Knowledge databases and by cross-referencing. The following data were extracted in a standardized manner from eligible studies: first author, publication year, country, study design, characteristics of the study population, duration of follow-up, PC incidence/PC mortality according to serum vitamin D status and the respective risk ratios, and covariates adjusted for in the analysis. Due to the heterogeneity of studies in categorizing serum vitamin D levels, all results were recalculated for an increase in serum 25(OH)D by 10ng/ml. Summary odds ratios (ORs) were calculated using meta-analysis methods. RESULTS: Overall, eleven original articles were included, ten of which reported on the association between serum vitamin D levels and PC incidence and one article reported on the association with PC mortality. Meta-analysis of studies on PC incidence resulted in a summary OR (95% confidence interval, CI) of 1.03 (0.96-1.11) associated with an increase of 25(OH)D by 10ng/ml (P=0.362). No indication for heterogeneity and publication bias was found. CONCLUSIONS: According to available evidence from longitudinal studies, serum 25(OH)D is not associated with PC incidence.","author":[{"dropping-particle":"","family":"Yin","given":"Lu","non-dropping-particle":"","parse-names":false,"suffix":""},{"dropping-particle":"","family":"Raum","given":"Elke","non-dropping-particle":"","parse-names":false,"suffix":""},{"dropping-particle":"","family":"Haug","given":"Ulrike","non-dropping-particle":"","parse-names":false,"suffix":""},{"dropping-particle":"","family":"Arndt","given":"Volker","non-dropping-particle":"","parse-names":false,"suffix":""},{"dropping-particle":"","family":"Brenner","given":"Hermann","non-dropping-particle":"","parse-names":false,"suffix":""}],"container-title":"Cancer epidemiology","id":"ITEM-2","issue":"6","issued":{"date-parts":[["2009","12"]]},"language":"eng","page":"435-445","publisher-place":"Netherlands","title":"Meta-analysis of longitudinal studies: Serum vitamin D and prostate cancer risk.","type":"article-journal","volume":"33"},"uris":["http://www.mendeley.com/documents/?uuid=dcf57d57-14fa-4270-b575-3bc74e8dd823"]},{"id":"ITEM-3","itemData":{"DOI":"10.3390/nu15122722","ISSN":"2072-6643 (Electronic)","PMID":"37375626","abstract":"It is a well-established fact that inadequate Vitamin D (Vit-D) levels have  negative effects on the development and progression of malignant diseases, particularly cancer. The purpose of this paper was to elucidate the effects of Vit-D intake and serum 25-hydroxyvitamin-D (25(OH)D) levels on cancer incidence and mortality, the current evidence in this field, and the biases of this evidence, using the meta-meta-analysis method. Meta-analyses focusing on Vit-D intake, serum 25(OH)D levels, and cancer risk/mortality were identified. A structured computer literature search was undertaken in PubMed/Medline, Web of Science (WoS), and Scopus electronic databases using predetermined keyword combinations. Primary and secondary meta-meta-analyses were carried out, combining odds ratios (ORs), risk ratios (RRs), and hazard ratios (HRs) for outcomes reported in selected meta-analyses. A total of 35 eligible meta-analyses (59 reports yielded from these studies) assessing the association between Vit-D and cancer incidence and/or mortality were included in this study. In the pooled analysis, higher Vit-D intake and serum 25(OH)D levels were associated with lower cancer risk (OR = 0.93, 95% confidence interval (CI): 0.90-0.96, p &lt; 0.001; OR = 0.80, 95% CI: 0.72-0.89, p &lt; 0.001, respectively) and cancer-related mortality (RR = 0.89, 95% CI: 0.86-0.93, p &lt; 0.001; RR = 0.67, 95% CI: 0.58-0.78, p &lt; 0.001, respectively). When meta-analyses whose primary reports included only randomized controlled trials were pooled, there was no significant association between Vit-D intake and cancer risk (OR = 0.99, 95% CI: 0.97-1.01, p = 0.320). In subgroup analysis, Vit-D consumption was associated with a significant decrease in colorectal and lung cancer incidence (OR = 0.89, 95% CI: 0.83-0.96, p = 0.002; OR = 0.88, 95% CI: 0.83-0.94, p &lt; 0.001, respectively). Taken together, both Vit-D intake and higher 25(OH)D levels may provide remarkable benefits in terms of cancer incidence and mortality; however, careful evaluation according to cancer types is critically important and recommended.","author":[{"dropping-particle":"","family":"Arayici","given":"Mehmet Emin","non-dropping-particle":"","parse-names":false,"suffix":""},{"dropping-particle":"","family":"Basbinar","given":"Yasemin","non-dropping-particle":"","parse-names":false,"suffix":""},{"dropping-particle":"","family":"Ellidokuz","given":"Hulya","non-dropping-particle":"","parse-names":false,"suffix":""}],"container-title":"Nutrients","id":"ITEM-3","issue":"12","issued":{"date-parts":[["2023","6"]]},"language":"eng","publisher-place":"Switzerland","title":"Vitamin D Intake, Serum 25-Hydroxyvitamin-D (25(OH)D) Levels, and Cancer Risk: A  Comprehensive Meta-Meta-Analysis Including Meta-Analyses of Randomized Controlled Trials and Observational Epidemiological Studies.","type":"article-journal","volume":"15"},"uris":["http://www.mendeley.com/documents/?uuid=e15d7c76-fa46-4360-a7d7-d0c1e00500d7"]}],"mendeley":{"formattedCitation":"(Arayici et al., 2023; Yin et al., 2009; Zhang et al., 2023)","plainTextFormattedCitation":"(Arayici et al., 2023; Yin et al., 2009; Zhang et al., 2023)","previouslyFormattedCitation":"(Arayici et al., 2023; Yin et al., 2009; Zhang et al., 2023)"},"properties":{"noteIndex":0},"schema":"https://github.com/citation-style-language/schema/raw/master/csl-citation.json"}</w:instrText>
      </w:r>
      <w:r w:rsidR="00737FC3">
        <w:rPr>
          <w:lang w:val="en"/>
        </w:rPr>
        <w:fldChar w:fldCharType="separate"/>
      </w:r>
      <w:r w:rsidR="00737FC3" w:rsidRPr="00737FC3">
        <w:rPr>
          <w:noProof/>
          <w:lang w:val="en"/>
        </w:rPr>
        <w:t>(Arayici et al., 2023; Yin et al., 2009; Zhang et al., 2023)</w:t>
      </w:r>
      <w:r w:rsidR="00737FC3">
        <w:rPr>
          <w:lang w:val="en"/>
        </w:rPr>
        <w:fldChar w:fldCharType="end"/>
      </w:r>
      <w:r w:rsidR="00BF6F73" w:rsidRPr="00BF6F73">
        <w:rPr>
          <w:lang w:val="en"/>
        </w:rPr>
        <w:t xml:space="preserve"> indicate</w:t>
      </w:r>
      <w:r w:rsidR="00B92182">
        <w:rPr>
          <w:lang w:val="en"/>
        </w:rPr>
        <w:t>d</w:t>
      </w:r>
      <w:r w:rsidR="00A161EE">
        <w:rPr>
          <w:lang w:val="en"/>
        </w:rPr>
        <w:t xml:space="preserve"> a positive relationship </w:t>
      </w:r>
      <w:r w:rsidR="00D1739C">
        <w:rPr>
          <w:lang w:val="en"/>
        </w:rPr>
        <w:t xml:space="preserve">between vitamin D and </w:t>
      </w:r>
      <w:r w:rsidR="00123B9A">
        <w:rPr>
          <w:lang w:val="en"/>
        </w:rPr>
        <w:t>CAP</w:t>
      </w:r>
      <w:r w:rsidR="006B1973">
        <w:rPr>
          <w:lang w:val="en"/>
        </w:rPr>
        <w:t>, suggesting that high serum levels of vitamin D are associated with a lower</w:t>
      </w:r>
      <w:r w:rsidR="00C81603">
        <w:rPr>
          <w:lang w:val="en"/>
        </w:rPr>
        <w:t xml:space="preserve"> risk of CAP </w:t>
      </w:r>
      <w:r w:rsidR="008F0773">
        <w:rPr>
          <w:lang w:val="en"/>
        </w:rPr>
        <w:t>and disease severity</w:t>
      </w:r>
      <w:r w:rsidR="00EE77CE">
        <w:rPr>
          <w:lang w:val="en"/>
        </w:rPr>
        <w:t>.</w:t>
      </w:r>
      <w:r w:rsidR="00EE77CE" w:rsidRPr="00EE77CE">
        <w:t xml:space="preserve"> </w:t>
      </w:r>
      <w:r w:rsidR="00EE77CE" w:rsidRPr="00EE77CE">
        <w:rPr>
          <w:lang w:val="en"/>
        </w:rPr>
        <w:t xml:space="preserve">Vitamin D exerts potent antiproliferative </w:t>
      </w:r>
      <w:r w:rsidR="00EE77CE" w:rsidRPr="00EE77CE">
        <w:rPr>
          <w:lang w:val="en"/>
        </w:rPr>
        <w:lastRenderedPageBreak/>
        <w:t xml:space="preserve">effects on </w:t>
      </w:r>
      <w:r w:rsidR="003E2933">
        <w:rPr>
          <w:lang w:val="en"/>
        </w:rPr>
        <w:t>both normal and cancer cells; therefore, it may slow the growth rate of prostate cells in both benign and malignant</w:t>
      </w:r>
      <w:r w:rsidR="00EE77CE" w:rsidRPr="00EE77CE">
        <w:rPr>
          <w:lang w:val="en"/>
        </w:rPr>
        <w:t xml:space="preserve"> cell models</w:t>
      </w:r>
      <w:r w:rsidR="00BC5F60">
        <w:rPr>
          <w:lang w:val="en"/>
        </w:rPr>
        <w:t xml:space="preserve"> </w:t>
      </w:r>
      <w:r w:rsidR="00BC5F60">
        <w:rPr>
          <w:lang w:val="en"/>
        </w:rPr>
        <w:fldChar w:fldCharType="begin" w:fldLock="1"/>
      </w:r>
      <w:r w:rsidR="00BC5F60">
        <w:rPr>
          <w:lang w:val="en"/>
        </w:rPr>
        <w:instrText>ADDIN CSL_CITATION {"citationItems":[{"id":"ITEM-1","itemData":{"DOI":"10.1056/NEJMra070553","ISSN":"1533-4406 (Electronic)","PMID":"17634462","author":[{"dropping-particle":"","family":"Holick","given":"Michael F","non-dropping-particle":"","parse-names":false,"suffix":""}],"container-title":"The New England journal of medicine","id":"ITEM-1","issue":"3","issued":{"date-parts":[["2007","7"]]},"language":"eng","page":"266-281","publisher-place":"United States","title":"Vitamin D deficiency.","type":"article-journal","volume":"357"},"uris":["http://www.mendeley.com/documents/?uuid=e0da4ac5-f93f-42e8-8f62-7ac87a756c66"]}],"mendeley":{"formattedCitation":"(Holick, 2007)","plainTextFormattedCitation":"(Holick, 2007)","previouslyFormattedCitation":"(Holick, 2007)"},"properties":{"noteIndex":0},"schema":"https://github.com/citation-style-language/schema/raw/master/csl-citation.json"}</w:instrText>
      </w:r>
      <w:r w:rsidR="00BC5F60">
        <w:rPr>
          <w:lang w:val="en"/>
        </w:rPr>
        <w:fldChar w:fldCharType="separate"/>
      </w:r>
      <w:r w:rsidR="00BC5F60" w:rsidRPr="00BC5F60">
        <w:rPr>
          <w:noProof/>
          <w:lang w:val="en"/>
        </w:rPr>
        <w:t>(Holick, 2007)</w:t>
      </w:r>
      <w:r w:rsidR="00BC5F60">
        <w:rPr>
          <w:lang w:val="en"/>
        </w:rPr>
        <w:fldChar w:fldCharType="end"/>
      </w:r>
      <w:r w:rsidR="00BC5F60">
        <w:rPr>
          <w:lang w:val="en"/>
        </w:rPr>
        <w:t>.</w:t>
      </w:r>
      <w:r w:rsidR="00737FC3">
        <w:rPr>
          <w:lang w:val="en"/>
        </w:rPr>
        <w:t xml:space="preserve"> </w:t>
      </w:r>
      <w:r w:rsidR="00BC5F60">
        <w:rPr>
          <w:lang w:val="en"/>
        </w:rPr>
        <w:t xml:space="preserve">Other </w:t>
      </w:r>
      <w:r w:rsidR="0006721F">
        <w:rPr>
          <w:lang w:val="en"/>
        </w:rPr>
        <w:t>studies, in contrast</w:t>
      </w:r>
      <w:r w:rsidR="00BC5F60">
        <w:rPr>
          <w:lang w:val="en"/>
        </w:rPr>
        <w:t xml:space="preserve">, </w:t>
      </w:r>
      <w:r w:rsidR="00BF6F73" w:rsidRPr="00BF6F73">
        <w:rPr>
          <w:lang w:val="en"/>
        </w:rPr>
        <w:t>suggest</w:t>
      </w:r>
      <w:r w:rsidR="00BC5F60">
        <w:rPr>
          <w:lang w:val="en"/>
        </w:rPr>
        <w:t>ed</w:t>
      </w:r>
      <w:r w:rsidR="005F5404">
        <w:rPr>
          <w:lang w:val="en"/>
        </w:rPr>
        <w:t xml:space="preserve"> that </w:t>
      </w:r>
      <w:r w:rsidR="005553B4" w:rsidRPr="005553B4">
        <w:rPr>
          <w:lang w:val="en"/>
        </w:rPr>
        <w:t>hypovitaminosis D is associated with a higher risk of death from prostate cancer</w:t>
      </w:r>
      <w:r w:rsidR="00BC5F60">
        <w:rPr>
          <w:lang w:val="en"/>
        </w:rPr>
        <w:t xml:space="preserve"> </w:t>
      </w:r>
      <w:r w:rsidR="00BC5F60">
        <w:rPr>
          <w:lang w:val="en"/>
        </w:rPr>
        <w:fldChar w:fldCharType="begin" w:fldLock="1"/>
      </w:r>
      <w:r w:rsidR="00BC5F60">
        <w:rPr>
          <w:lang w:val="en"/>
        </w:rPr>
        <w:instrText>ADDIN CSL_CITATION {"citationItems":[{"id":"ITEM-1","itemData":{"DOI":"10.1038/sj.bjc.6604865","ISSN":"1532-1827 (Electronic)","PMID":"19156140","abstract":"Based on observations that for certain cancers, mortality varies according to sun  exposure, vitamin D has been proposed to influence on disease progression. This study aims to investigate whether serum levels of 25(OH)D are associated with prognosis in patients with prostate cancer. In total, 160 patients with a serum sample in the JANUS serum bank were included. For 123 patients a pre-treatment serum sample was taken, whereas 37 of the patients had received hormone therapy prior to the blood collection. The serum level of 25(OH)D was classified as low (&lt;50 nmol l(-1)), medium (50-80 nmol l(-1)) or high (&gt;80 nmol l(-1)). A Cox proportional hazard regression model was used to assess the association between serum 25(OH)D and cancer mortality. During follow-up, 61 deaths occurred, of whom 52 died of prostate cancer. The median time of follow-up was 44.0 months (range, 1.2-154.6). Serum 25(OH)D at medium or high levels were significantly related to better prognosis (RR 0.33; 95% CI 0.14-0.77, RR 0.16; 95% CI 0.05-0.43) compared with the low level. Analysis restricted to patients receiving hormone therapy gave a stronger association. The serum level of 25(OH)D may be involved in disease progression and is a potential marker of prognosis in patients with prostate cancer.","author":[{"dropping-particle":"","family":"Tretli","given":"S","non-dropping-particle":"","parse-names":false,"suffix":""},{"dropping-particle":"","family":"Hernes","given":"E","non-dropping-particle":"","parse-names":false,"suffix":""},{"dropping-particle":"","family":"Berg","given":"J P","non-dropping-particle":"","parse-names":false,"suffix":""},{"dropping-particle":"","family":"Hestvik","given":"U E","non-dropping-particle":"","parse-names":false,"suffix":""},{"dropping-particle":"","family":"Robsahm","given":"T E","non-dropping-particle":"","parse-names":false,"suffix":""}],"container-title":"British journal of cancer","id":"ITEM-1","issue":"3","issued":{"date-parts":[["2009","2"]]},"language":"eng","page":"450-454","publisher-place":"England","title":"Association between serum 25(OH)D and death from prostate cancer.","type":"article-journal","volume":"100"},"uris":["http://www.mendeley.com/documents/?uuid=1cca15c6-5c3d-4321-966f-e800c30170aa"]}],"mendeley":{"formattedCitation":"(Tretli et al., 2009)","plainTextFormattedCitation":"(Tretli et al., 2009)","previouslyFormattedCitation":"(Tretli et al., 2009)"},"properties":{"noteIndex":0},"schema":"https://github.com/citation-style-language/schema/raw/master/csl-citation.json"}</w:instrText>
      </w:r>
      <w:r w:rsidR="00BC5F60">
        <w:rPr>
          <w:lang w:val="en"/>
        </w:rPr>
        <w:fldChar w:fldCharType="separate"/>
      </w:r>
      <w:r w:rsidR="00BC5F60" w:rsidRPr="00BC5F60">
        <w:rPr>
          <w:noProof/>
          <w:lang w:val="en"/>
        </w:rPr>
        <w:t>(Tretli et al., 2009)</w:t>
      </w:r>
      <w:r w:rsidR="00BC5F60">
        <w:rPr>
          <w:lang w:val="en"/>
        </w:rPr>
        <w:fldChar w:fldCharType="end"/>
      </w:r>
      <w:r w:rsidR="00CA72EA">
        <w:rPr>
          <w:lang w:val="en"/>
        </w:rPr>
        <w:t>.</w:t>
      </w:r>
      <w:r w:rsidR="00B0027D">
        <w:rPr>
          <w:lang w:val="en"/>
        </w:rPr>
        <w:t xml:space="preserve"> </w:t>
      </w:r>
      <w:r w:rsidR="003F3DE4">
        <w:rPr>
          <w:lang w:val="en"/>
        </w:rPr>
        <w:t>However,</w:t>
      </w:r>
      <w:r w:rsidR="00B0027D">
        <w:rPr>
          <w:lang w:val="en"/>
        </w:rPr>
        <w:t xml:space="preserve"> the</w:t>
      </w:r>
      <w:r w:rsidR="003F3DE4">
        <w:rPr>
          <w:lang w:val="en"/>
        </w:rPr>
        <w:t xml:space="preserve"> </w:t>
      </w:r>
      <w:r w:rsidR="00CA72EA" w:rsidRPr="00CA72EA">
        <w:rPr>
          <w:lang w:val="en"/>
        </w:rPr>
        <w:t xml:space="preserve">correlation </w:t>
      </w:r>
      <w:r w:rsidR="003F3DE4" w:rsidRPr="00CA72EA">
        <w:rPr>
          <w:lang w:val="en"/>
        </w:rPr>
        <w:t>coefficient reported</w:t>
      </w:r>
      <w:r w:rsidR="00624DF9">
        <w:rPr>
          <w:lang w:val="en"/>
        </w:rPr>
        <w:t xml:space="preserve"> in our study </w:t>
      </w:r>
      <w:r w:rsidR="00CA72EA" w:rsidRPr="00CA72EA">
        <w:rPr>
          <w:lang w:val="en"/>
        </w:rPr>
        <w:t>indicate</w:t>
      </w:r>
      <w:r w:rsidR="00624DF9">
        <w:rPr>
          <w:lang w:val="en"/>
        </w:rPr>
        <w:t>d</w:t>
      </w:r>
      <w:r w:rsidR="00CA72EA" w:rsidRPr="00CA72EA">
        <w:rPr>
          <w:lang w:val="en"/>
        </w:rPr>
        <w:t xml:space="preserve"> a strong positive relationship</w:t>
      </w:r>
      <w:r w:rsidR="00624DF9">
        <w:rPr>
          <w:lang w:val="en"/>
        </w:rPr>
        <w:t xml:space="preserve"> between vitamin D</w:t>
      </w:r>
      <w:r w:rsidR="006D0B25">
        <w:rPr>
          <w:lang w:val="en"/>
        </w:rPr>
        <w:t xml:space="preserve"> and CAP</w:t>
      </w:r>
      <w:r w:rsidR="00600114">
        <w:rPr>
          <w:lang w:val="en"/>
        </w:rPr>
        <w:t xml:space="preserve">. This </w:t>
      </w:r>
      <w:r w:rsidR="003F3DE4">
        <w:rPr>
          <w:lang w:val="en"/>
        </w:rPr>
        <w:t>agrees</w:t>
      </w:r>
      <w:r w:rsidR="00BC5F60">
        <w:rPr>
          <w:lang w:val="en"/>
        </w:rPr>
        <w:t xml:space="preserve"> with </w:t>
      </w:r>
      <w:r w:rsidR="00BC5F60">
        <w:rPr>
          <w:lang w:val="en"/>
        </w:rPr>
        <w:fldChar w:fldCharType="begin" w:fldLock="1"/>
      </w:r>
      <w:r w:rsidR="00BC5F60">
        <w:rPr>
          <w:lang w:val="en"/>
        </w:rPr>
        <w:instrText>ADDIN CSL_CITATION {"citationItems":[{"id":"ITEM-1","itemData":{"DOI":"10.4103/aja.aja_14_18","ISSN":"1745-7262 (Electronic)","PMID":"29667615","abstract":"Signaling through the vitamin D receptor has been shown to be biologically active  and important in a number of preclinical studies in prostate and other cancers. Epidemiologic data also indicate that vitamin D signaling may be important in the cause and prognosis of prostate and other cancers. These data indicate that perturbation of vitamin D signaling may be a target for the prevention and treatment of prostate cancer. Large studies of vitamin D supplementation will be required to determine whether these observations can be translated into prevention strategies. This paper reviews the available data in the use of vitamin D compounds in the treatment of prostate cancer. Clinical data are limited which support the use of vitamin D compounds in the management of men with prostate cancer. However, clinical trials guided by existing preclinical data are limited.","author":[{"dropping-particle":"","family":"Trump","given":"Donald L","non-dropping-particle":"","parse-names":false,"suffix":""},{"dropping-particle":"","family":"Aragon-Ching","given":"Jeanny B","non-dropping-particle":"","parse-names":false,"suffix":""}],"container-title":"Asian journal of andrology","id":"ITEM-1","issue":"3","issued":{"date-parts":[["2018"]]},"language":"eng","page":"244-252","publisher-place":"China","title":"Vitamin D in prostate cancer.","type":"article-journal","volume":"20"},"uris":["http://www.mendeley.com/documents/?uuid=189a71a9-e522-4b27-9b8b-03fddb02f04d"]}],"mendeley":{"formattedCitation":"(Trump &amp; Aragon-Ching, 2018)","plainTextFormattedCitation":"(Trump &amp; Aragon-Ching, 2018)","previouslyFormattedCitation":"(Trump &amp; Aragon-Ching, 2018)"},"properties":{"noteIndex":0},"schema":"https://github.com/citation-style-language/schema/raw/master/csl-citation.json"}</w:instrText>
      </w:r>
      <w:r w:rsidR="00BC5F60">
        <w:rPr>
          <w:lang w:val="en"/>
        </w:rPr>
        <w:fldChar w:fldCharType="separate"/>
      </w:r>
      <w:r w:rsidR="00BC5F60" w:rsidRPr="00BC5F60">
        <w:rPr>
          <w:noProof/>
          <w:lang w:val="en"/>
        </w:rPr>
        <w:t>(Trump &amp; Aragon-Ching, 2018)</w:t>
      </w:r>
      <w:r w:rsidR="00BC5F60">
        <w:rPr>
          <w:lang w:val="en"/>
        </w:rPr>
        <w:fldChar w:fldCharType="end"/>
      </w:r>
      <w:r w:rsidR="00BB792B" w:rsidRPr="00BB792B">
        <w:rPr>
          <w:lang w:val="en"/>
        </w:rPr>
        <w:t xml:space="preserve"> </w:t>
      </w:r>
      <w:r w:rsidR="00D1330C">
        <w:rPr>
          <w:lang w:val="en"/>
        </w:rPr>
        <w:t xml:space="preserve"> and</w:t>
      </w:r>
      <w:r w:rsidR="00BC5F60">
        <w:rPr>
          <w:lang w:val="en"/>
        </w:rPr>
        <w:t xml:space="preserve"> </w:t>
      </w:r>
      <w:r w:rsidR="00BC5F60">
        <w:rPr>
          <w:lang w:val="en"/>
        </w:rPr>
        <w:fldChar w:fldCharType="begin" w:fldLock="1"/>
      </w:r>
      <w:r w:rsidR="00BC5F60">
        <w:rPr>
          <w:lang w:val="en"/>
        </w:rPr>
        <w:instrText>ADDIN CSL_CITATION {"citationItems":[{"id":"ITEM-1","itemData":{"DOI":"10.1056/NEJMra070553","ISSN":"1533-4406 (Electronic)","PMID":"17634462","author":[{"dropping-particle":"","family":"Holick","given":"Michael F","non-dropping-particle":"","parse-names":false,"suffix":""}],"container-title":"The New England journal of medicine","id":"ITEM-1","issue":"3","issued":{"date-parts":[["2007","7"]]},"language":"eng","page":"266-281","publisher-place":"United States","title":"Vitamin D deficiency.","type":"article-journal","volume":"357"},"uris":["http://www.mendeley.com/documents/?uuid=e0da4ac5-f93f-42e8-8f62-7ac87a756c66"]}],"mendeley":{"formattedCitation":"(Holick, 2007)","plainTextFormattedCitation":"(Holick, 2007)"},"properties":{"noteIndex":0},"schema":"https://github.com/citation-style-language/schema/raw/master/csl-citation.json"}</w:instrText>
      </w:r>
      <w:r w:rsidR="00BC5F60">
        <w:rPr>
          <w:lang w:val="en"/>
        </w:rPr>
        <w:fldChar w:fldCharType="separate"/>
      </w:r>
      <w:r w:rsidR="00BC5F60" w:rsidRPr="00BC5F60">
        <w:rPr>
          <w:noProof/>
          <w:lang w:val="en"/>
        </w:rPr>
        <w:t>(Holick, 2007)</w:t>
      </w:r>
      <w:r w:rsidR="00BC5F60">
        <w:rPr>
          <w:lang w:val="en"/>
        </w:rPr>
        <w:fldChar w:fldCharType="end"/>
      </w:r>
      <w:r w:rsidR="003E2933">
        <w:rPr>
          <w:lang w:val="en"/>
        </w:rPr>
        <w:t>,</w:t>
      </w:r>
      <w:r w:rsidR="00BC7EDA">
        <w:rPr>
          <w:lang w:val="en"/>
        </w:rPr>
        <w:t xml:space="preserve"> </w:t>
      </w:r>
      <w:r w:rsidR="003F3DE4">
        <w:rPr>
          <w:lang w:val="en"/>
        </w:rPr>
        <w:t>who s</w:t>
      </w:r>
      <w:r w:rsidR="00BB792B" w:rsidRPr="00BB792B">
        <w:rPr>
          <w:lang w:val="en"/>
        </w:rPr>
        <w:t>uggest</w:t>
      </w:r>
      <w:r w:rsidR="003F3DE4">
        <w:rPr>
          <w:lang w:val="en"/>
        </w:rPr>
        <w:t>ed</w:t>
      </w:r>
      <w:r w:rsidR="00BB792B" w:rsidRPr="00BB792B">
        <w:rPr>
          <w:lang w:val="en"/>
        </w:rPr>
        <w:t xml:space="preserve"> that adequate vitamin D levels could reduce the risk or severity of prostate cancer.</w:t>
      </w:r>
    </w:p>
    <w:p w14:paraId="54DE18D2" w14:textId="30E9A9ED" w:rsidR="001F2AD7" w:rsidRPr="005757C9" w:rsidRDefault="00D1330C" w:rsidP="00310637">
      <w:pPr>
        <w:spacing w:line="276" w:lineRule="auto"/>
        <w:jc w:val="both"/>
        <w:rPr>
          <w:lang w:val="en"/>
        </w:rPr>
      </w:pPr>
      <w:r>
        <w:rPr>
          <w:lang w:val="en"/>
        </w:rPr>
        <w:t>Despite t</w:t>
      </w:r>
      <w:r w:rsidR="00250B53">
        <w:rPr>
          <w:lang w:val="en"/>
        </w:rPr>
        <w:t xml:space="preserve">he inability to </w:t>
      </w:r>
      <w:r>
        <w:rPr>
          <w:lang w:val="en"/>
        </w:rPr>
        <w:t>classify</w:t>
      </w:r>
      <w:r w:rsidR="00250B53">
        <w:rPr>
          <w:lang w:val="en"/>
        </w:rPr>
        <w:t xml:space="preserve"> the study population </w:t>
      </w:r>
      <w:r w:rsidR="00E55F05">
        <w:rPr>
          <w:lang w:val="en"/>
        </w:rPr>
        <w:t>according to disease severity</w:t>
      </w:r>
      <w:r>
        <w:rPr>
          <w:lang w:val="en"/>
        </w:rPr>
        <w:t xml:space="preserve"> which i</w:t>
      </w:r>
      <w:r w:rsidR="00A93C51">
        <w:rPr>
          <w:lang w:val="en"/>
        </w:rPr>
        <w:t xml:space="preserve">s one of the </w:t>
      </w:r>
      <w:r w:rsidR="006B1973">
        <w:rPr>
          <w:lang w:val="en"/>
        </w:rPr>
        <w:t>significant</w:t>
      </w:r>
      <w:r w:rsidR="005757C9">
        <w:rPr>
          <w:lang w:val="en"/>
        </w:rPr>
        <w:t xml:space="preserve"> limitations</w:t>
      </w:r>
      <w:r w:rsidR="00E55F05">
        <w:rPr>
          <w:lang w:val="en"/>
        </w:rPr>
        <w:t xml:space="preserve"> to our study</w:t>
      </w:r>
      <w:r w:rsidR="00AE617D">
        <w:rPr>
          <w:lang w:val="en"/>
        </w:rPr>
        <w:t xml:space="preserve"> as most of the participants may be more severe and </w:t>
      </w:r>
      <w:r w:rsidR="00D47C25">
        <w:rPr>
          <w:lang w:val="en"/>
        </w:rPr>
        <w:t>may influence the relationship established</w:t>
      </w:r>
      <w:r w:rsidR="00A93C51">
        <w:rPr>
          <w:lang w:val="en"/>
        </w:rPr>
        <w:t xml:space="preserve">, we </w:t>
      </w:r>
      <w:r w:rsidR="00AC51DE" w:rsidRPr="00AC51DE">
        <w:rPr>
          <w:lang w:val="en"/>
        </w:rPr>
        <w:t>conclude that maintaining a normal serum vitamin A and D levels among males will be beneficial to the prostrate health</w:t>
      </w:r>
      <w:r w:rsidR="00482716">
        <w:rPr>
          <w:lang w:val="en"/>
        </w:rPr>
        <w:t xml:space="preserve"> as we recommen</w:t>
      </w:r>
      <w:r w:rsidR="00134307">
        <w:rPr>
          <w:lang w:val="en"/>
        </w:rPr>
        <w:t>d more specific study in that regards in future</w:t>
      </w:r>
      <w:r w:rsidR="00AC51DE">
        <w:rPr>
          <w:lang w:val="en"/>
        </w:rPr>
        <w:t>.</w:t>
      </w:r>
      <w:r w:rsidR="00134307">
        <w:rPr>
          <w:lang w:val="en"/>
        </w:rPr>
        <w:t xml:space="preserve"> We also could </w:t>
      </w:r>
      <w:r w:rsidR="0008306C">
        <w:rPr>
          <w:lang w:val="en"/>
        </w:rPr>
        <w:t>not assay for the various forms of the vitamins</w:t>
      </w:r>
      <w:r w:rsidR="006B1973">
        <w:rPr>
          <w:lang w:val="en"/>
        </w:rPr>
        <w:t>,</w:t>
      </w:r>
      <w:r w:rsidR="0008306C">
        <w:rPr>
          <w:lang w:val="en"/>
        </w:rPr>
        <w:t xml:space="preserve"> which would have added more specificity to the association established.</w:t>
      </w:r>
    </w:p>
    <w:p w14:paraId="352DA1C6" w14:textId="357E99C6" w:rsidR="00814608" w:rsidRDefault="005C43FC" w:rsidP="00310637">
      <w:pPr>
        <w:spacing w:line="276" w:lineRule="auto"/>
        <w:jc w:val="both"/>
        <w:rPr>
          <w:b/>
        </w:rPr>
      </w:pPr>
      <w:r w:rsidRPr="005361F9">
        <w:rPr>
          <w:b/>
        </w:rPr>
        <w:t>CONCLUSION</w:t>
      </w:r>
    </w:p>
    <w:p w14:paraId="2ABEA9BC" w14:textId="3B3477A7" w:rsidR="004800A3" w:rsidRDefault="000D05A4" w:rsidP="00310637">
      <w:pPr>
        <w:spacing w:line="276" w:lineRule="auto"/>
        <w:jc w:val="both"/>
        <w:rPr>
          <w:bCs/>
        </w:rPr>
      </w:pPr>
      <w:r>
        <w:rPr>
          <w:bCs/>
        </w:rPr>
        <w:t xml:space="preserve">Although </w:t>
      </w:r>
      <w:r w:rsidR="009D05AF">
        <w:rPr>
          <w:bCs/>
        </w:rPr>
        <w:t>the Serum</w:t>
      </w:r>
      <w:r w:rsidR="00E109BC">
        <w:rPr>
          <w:bCs/>
        </w:rPr>
        <w:t xml:space="preserve"> values of </w:t>
      </w:r>
      <w:r w:rsidR="00E90D2B">
        <w:rPr>
          <w:bCs/>
        </w:rPr>
        <w:t xml:space="preserve">both </w:t>
      </w:r>
      <w:r w:rsidR="00731D5F">
        <w:rPr>
          <w:bCs/>
        </w:rPr>
        <w:t xml:space="preserve">vitamins A and D were higher </w:t>
      </w:r>
      <w:r w:rsidR="00E24BC9">
        <w:rPr>
          <w:bCs/>
        </w:rPr>
        <w:t xml:space="preserve">among the patients with </w:t>
      </w:r>
      <w:r w:rsidR="005757C9">
        <w:rPr>
          <w:bCs/>
        </w:rPr>
        <w:t>CAP</w:t>
      </w:r>
      <w:r w:rsidR="0005025C">
        <w:rPr>
          <w:bCs/>
        </w:rPr>
        <w:t xml:space="preserve"> and BPH</w:t>
      </w:r>
      <w:r w:rsidR="006B1973">
        <w:rPr>
          <w:bCs/>
        </w:rPr>
        <w:t xml:space="preserve">, as well as the normal range, when compared to the </w:t>
      </w:r>
      <w:r w:rsidR="0005025C">
        <w:rPr>
          <w:bCs/>
        </w:rPr>
        <w:t>control</w:t>
      </w:r>
      <w:r w:rsidR="00A2323F">
        <w:rPr>
          <w:bCs/>
        </w:rPr>
        <w:t xml:space="preserve"> population</w:t>
      </w:r>
      <w:r w:rsidR="00E90D2B">
        <w:rPr>
          <w:bCs/>
        </w:rPr>
        <w:t xml:space="preserve">, vitamin D was significantly </w:t>
      </w:r>
      <w:r w:rsidR="00ED58BA">
        <w:rPr>
          <w:bCs/>
        </w:rPr>
        <w:t>higher</w:t>
      </w:r>
      <w:r w:rsidR="0005025C">
        <w:rPr>
          <w:bCs/>
        </w:rPr>
        <w:t xml:space="preserve">. </w:t>
      </w:r>
      <w:r w:rsidR="006B1973">
        <w:rPr>
          <w:bCs/>
        </w:rPr>
        <w:t>We detected significant positive associations of serum vitamin A and D concentrations with prostate cancer and benign prostatic hyperplasia populations</w:t>
      </w:r>
      <w:r w:rsidR="007E0D89" w:rsidRPr="007E0D89">
        <w:rPr>
          <w:bCs/>
        </w:rPr>
        <w:t>.</w:t>
      </w:r>
    </w:p>
    <w:p w14:paraId="3ACE93E8" w14:textId="172F4769" w:rsidR="005C43FC" w:rsidRDefault="003C626A" w:rsidP="00310637">
      <w:pPr>
        <w:spacing w:line="276" w:lineRule="auto"/>
        <w:jc w:val="both"/>
        <w:rPr>
          <w:color w:val="000000"/>
        </w:rPr>
      </w:pPr>
      <w:r w:rsidRPr="005F6EAB">
        <w:rPr>
          <w:bCs/>
        </w:rPr>
        <w:t xml:space="preserve">We can conclude that </w:t>
      </w:r>
      <w:r w:rsidR="00A31B41">
        <w:rPr>
          <w:bCs/>
        </w:rPr>
        <w:t xml:space="preserve">maintaining </w:t>
      </w:r>
      <w:r w:rsidR="006B1973">
        <w:rPr>
          <w:bCs/>
        </w:rPr>
        <w:t>normal serum vitamin A and D levels among males will not only help to reduce the risk or severity of prostate cancer but also be of great benefit to prostate</w:t>
      </w:r>
      <w:r w:rsidR="00A31B41">
        <w:rPr>
          <w:bCs/>
        </w:rPr>
        <w:t xml:space="preserve"> </w:t>
      </w:r>
      <w:r w:rsidR="00814608">
        <w:rPr>
          <w:bCs/>
        </w:rPr>
        <w:t>health.</w:t>
      </w:r>
      <w:r w:rsidR="00814608" w:rsidRPr="00A05F6C">
        <w:rPr>
          <w:color w:val="000000"/>
        </w:rPr>
        <w:t xml:space="preserve"> </w:t>
      </w:r>
    </w:p>
    <w:p w14:paraId="07817041" w14:textId="77777777" w:rsidR="00F60ACB" w:rsidRDefault="00F60ACB" w:rsidP="00310637">
      <w:pPr>
        <w:spacing w:line="276" w:lineRule="auto"/>
        <w:jc w:val="both"/>
        <w:rPr>
          <w:color w:val="000000"/>
        </w:rPr>
      </w:pPr>
    </w:p>
    <w:p w14:paraId="3C9695D4" w14:textId="77777777" w:rsidR="007E7A50" w:rsidRDefault="007E7A50" w:rsidP="007E7A50">
      <w:pPr>
        <w:spacing w:after="240" w:line="240" w:lineRule="auto"/>
        <w:jc w:val="both"/>
        <w:rPr>
          <w:b/>
        </w:rPr>
      </w:pPr>
      <w:r w:rsidRPr="008C3E6A">
        <w:rPr>
          <w:b/>
        </w:rPr>
        <w:t>ETHICAL APPROVAL.</w:t>
      </w:r>
    </w:p>
    <w:p w14:paraId="77FEB49D" w14:textId="77777777" w:rsidR="007E7A50" w:rsidRPr="006531B8" w:rsidRDefault="007E7A50" w:rsidP="007E7A50">
      <w:pPr>
        <w:spacing w:after="240" w:line="240" w:lineRule="auto"/>
        <w:jc w:val="both"/>
        <w:rPr>
          <w:b/>
        </w:rPr>
      </w:pPr>
      <w:r>
        <w:t xml:space="preserve">Lagos University Teaching Hospital Idi-Araba's ethics committee approved this study after a detailed explanation of the research was provided in our application with </w:t>
      </w:r>
      <w:r w:rsidRPr="007A0045">
        <w:rPr>
          <w:b/>
        </w:rPr>
        <w:t>No:</w:t>
      </w:r>
      <w:r>
        <w:t xml:space="preserve"> </w:t>
      </w:r>
      <w:r w:rsidRPr="007A0045">
        <w:rPr>
          <w:b/>
        </w:rPr>
        <w:t>REF.NO.ADM/DCST/221</w:t>
      </w:r>
      <w:r>
        <w:t>. We also obtained informed consent from the participating patients and subjects after thoroughly explaining the research to them</w:t>
      </w:r>
      <w:r w:rsidRPr="005361F9">
        <w:t>.</w:t>
      </w:r>
    </w:p>
    <w:p w14:paraId="58196E24" w14:textId="77777777" w:rsidR="00B74E1B" w:rsidRDefault="00B74E1B" w:rsidP="00310637">
      <w:pPr>
        <w:spacing w:line="276" w:lineRule="auto"/>
        <w:jc w:val="both"/>
        <w:rPr>
          <w:color w:val="000000"/>
        </w:rPr>
      </w:pPr>
      <w:bookmarkStart w:id="7" w:name="_GoBack"/>
      <w:bookmarkEnd w:id="7"/>
    </w:p>
    <w:p w14:paraId="2DE9623D" w14:textId="53F731AC" w:rsidR="00B74E1B" w:rsidRDefault="00B765C0" w:rsidP="00310637">
      <w:pPr>
        <w:spacing w:line="276" w:lineRule="auto"/>
        <w:jc w:val="both"/>
        <w:rPr>
          <w:color w:val="000000"/>
        </w:rPr>
      </w:pPr>
      <w:r>
        <w:rPr>
          <w:color w:val="000000"/>
        </w:rPr>
        <w:t>REFERENCES</w:t>
      </w:r>
    </w:p>
    <w:p w14:paraId="22E02827" w14:textId="74A7146E" w:rsidR="00BC5F60" w:rsidRPr="00BC5F60" w:rsidRDefault="00B765C0" w:rsidP="00BC5F60">
      <w:pPr>
        <w:widowControl w:val="0"/>
        <w:autoSpaceDE w:val="0"/>
        <w:autoSpaceDN w:val="0"/>
        <w:adjustRightInd w:val="0"/>
        <w:spacing w:line="240" w:lineRule="auto"/>
        <w:ind w:left="480" w:hanging="480"/>
        <w:rPr>
          <w:rFonts w:ascii="Aptos" w:hAnsi="Aptos" w:cs="Times New Roman"/>
          <w:noProof/>
        </w:rPr>
      </w:pPr>
      <w:r>
        <w:rPr>
          <w:color w:val="000000"/>
        </w:rPr>
        <w:fldChar w:fldCharType="begin" w:fldLock="1"/>
      </w:r>
      <w:r>
        <w:rPr>
          <w:color w:val="000000"/>
        </w:rPr>
        <w:instrText xml:space="preserve">ADDIN Mendeley Bibliography CSL_BIBLIOGRAPHY </w:instrText>
      </w:r>
      <w:r>
        <w:rPr>
          <w:color w:val="000000"/>
        </w:rPr>
        <w:fldChar w:fldCharType="separate"/>
      </w:r>
      <w:r w:rsidR="00BC5F60" w:rsidRPr="00BC5F60">
        <w:rPr>
          <w:rFonts w:ascii="Aptos" w:hAnsi="Aptos" w:cs="Times New Roman"/>
          <w:noProof/>
        </w:rPr>
        <w:t xml:space="preserve">Abd, M., &amp; Habeeb, I. (2023). </w:t>
      </w:r>
      <w:r w:rsidR="00BC5F60" w:rsidRPr="00BC5F60">
        <w:rPr>
          <w:rFonts w:ascii="Aptos" w:hAnsi="Aptos" w:cs="Times New Roman"/>
          <w:i/>
          <w:iCs/>
          <w:noProof/>
        </w:rPr>
        <w:t>Comparison between two techniques</w:t>
      </w:r>
      <w:r w:rsidR="003E2933">
        <w:rPr>
          <w:rFonts w:ascii="Aptos" w:hAnsi="Aptos" w:cs="Times New Roman"/>
          <w:i/>
          <w:iCs/>
          <w:noProof/>
        </w:rPr>
        <w:t xml:space="preserve">, HPLC and ELISA, in the estimation of the </w:t>
      </w:r>
      <w:r w:rsidR="00BC5F60" w:rsidRPr="00BC5F60">
        <w:rPr>
          <w:rFonts w:ascii="Aptos" w:hAnsi="Aptos" w:cs="Times New Roman"/>
          <w:i/>
          <w:iCs/>
          <w:noProof/>
        </w:rPr>
        <w:t>level of vitamin D in plasma</w:t>
      </w:r>
      <w:r w:rsidR="00BC5F60" w:rsidRPr="00BC5F60">
        <w:rPr>
          <w:rFonts w:ascii="Aptos" w:hAnsi="Aptos" w:cs="Times New Roman"/>
          <w:noProof/>
        </w:rPr>
        <w:t xml:space="preserve">. </w:t>
      </w:r>
      <w:r w:rsidR="00BC5F60" w:rsidRPr="00BC5F60">
        <w:rPr>
          <w:rFonts w:ascii="Aptos" w:hAnsi="Aptos" w:cs="Times New Roman"/>
          <w:i/>
          <w:iCs/>
          <w:noProof/>
        </w:rPr>
        <w:t>2</w:t>
      </w:r>
      <w:r w:rsidR="00BC5F60" w:rsidRPr="00BC5F60">
        <w:rPr>
          <w:rFonts w:ascii="Aptos" w:hAnsi="Aptos" w:cs="Times New Roman"/>
          <w:noProof/>
        </w:rPr>
        <w:t>, 42–45.</w:t>
      </w:r>
    </w:p>
    <w:p w14:paraId="0C7123C2"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Aghawegbehe, B., Atere, A., Akinbo, D., Ajani, F., Erhunmwunse, R., &amp; Atere, A. (2019). Serum Trace Elements and Antioxidant Vitamins among Male Patients with Prostate Disorders in the Delta Region of Nigeria. </w:t>
      </w:r>
      <w:r w:rsidRPr="00BC5F60">
        <w:rPr>
          <w:rFonts w:ascii="Aptos" w:hAnsi="Aptos" w:cs="Times New Roman"/>
          <w:i/>
          <w:iCs/>
          <w:noProof/>
        </w:rPr>
        <w:t>Althea Medical Journal</w:t>
      </w:r>
      <w:r w:rsidRPr="00BC5F60">
        <w:rPr>
          <w:rFonts w:ascii="Aptos" w:hAnsi="Aptos" w:cs="Times New Roman"/>
          <w:noProof/>
        </w:rPr>
        <w:t xml:space="preserve">, </w:t>
      </w:r>
      <w:r w:rsidRPr="00BC5F60">
        <w:rPr>
          <w:rFonts w:ascii="Aptos" w:hAnsi="Aptos" w:cs="Times New Roman"/>
          <w:i/>
          <w:iCs/>
          <w:noProof/>
        </w:rPr>
        <w:t>6</w:t>
      </w:r>
      <w:r w:rsidRPr="00BC5F60">
        <w:rPr>
          <w:rFonts w:ascii="Aptos" w:hAnsi="Aptos" w:cs="Times New Roman"/>
          <w:noProof/>
        </w:rPr>
        <w:t xml:space="preserve">. </w:t>
      </w:r>
      <w:r w:rsidRPr="00BC5F60">
        <w:rPr>
          <w:rFonts w:ascii="Aptos" w:hAnsi="Aptos" w:cs="Times New Roman"/>
          <w:noProof/>
        </w:rPr>
        <w:lastRenderedPageBreak/>
        <w:t>https://doi.org/10.15850/amj.v6n1.1597</w:t>
      </w:r>
    </w:p>
    <w:p w14:paraId="6B7576CE"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Arayici, M. E., Basbinar, Y., &amp; Ellidokuz, H. (2023). Vitamin D Intake, Serum 25-Hydroxyvitamin-D (25(OH)D) Levels, and Cancer Risk: A  Comprehensive Meta-Meta-Analysis Including Meta-Analyses of Randomized Controlled Trials and Observational Epidemiological Studies. </w:t>
      </w:r>
      <w:r w:rsidRPr="00BC5F60">
        <w:rPr>
          <w:rFonts w:ascii="Aptos" w:hAnsi="Aptos" w:cs="Times New Roman"/>
          <w:i/>
          <w:iCs/>
          <w:noProof/>
        </w:rPr>
        <w:t>Nutrients</w:t>
      </w:r>
      <w:r w:rsidRPr="00BC5F60">
        <w:rPr>
          <w:rFonts w:ascii="Aptos" w:hAnsi="Aptos" w:cs="Times New Roman"/>
          <w:noProof/>
        </w:rPr>
        <w:t xml:space="preserve">, </w:t>
      </w:r>
      <w:r w:rsidRPr="00BC5F60">
        <w:rPr>
          <w:rFonts w:ascii="Aptos" w:hAnsi="Aptos" w:cs="Times New Roman"/>
          <w:i/>
          <w:iCs/>
          <w:noProof/>
        </w:rPr>
        <w:t>15</w:t>
      </w:r>
      <w:r w:rsidRPr="00BC5F60">
        <w:rPr>
          <w:rFonts w:ascii="Aptos" w:hAnsi="Aptos" w:cs="Times New Roman"/>
          <w:noProof/>
        </w:rPr>
        <w:t>(12). https://doi.org/10.3390/nu15122722</w:t>
      </w:r>
    </w:p>
    <w:p w14:paraId="145BB8EC"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Armitage, P., Berry, G., &amp; Matthews, J. N. S. (2008). </w:t>
      </w:r>
      <w:r w:rsidRPr="00BC5F60">
        <w:rPr>
          <w:rFonts w:ascii="Aptos" w:hAnsi="Aptos" w:cs="Times New Roman"/>
          <w:i/>
          <w:iCs/>
          <w:noProof/>
        </w:rPr>
        <w:t>Statistical Methods in Medical Research, Fourth Edition</w:t>
      </w:r>
      <w:r w:rsidRPr="00BC5F60">
        <w:rPr>
          <w:rFonts w:ascii="Aptos" w:hAnsi="Aptos" w:cs="Times New Roman"/>
          <w:noProof/>
        </w:rPr>
        <w:t>. 760–783. https://doi.org/10.1002/9780470773666.refs</w:t>
      </w:r>
    </w:p>
    <w:p w14:paraId="1DD1E16C"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Bryan, M., Pulte, E. D., Toomey, K. C., Pliner, L., Pavlick, A. C., Saunders, T., &amp; Wieder, R. (2011). A pilot phase II trial of all-trans retinoic acid (Vesanoid) and paclitaxel  (Taxol) in patients with recurrent or metastatic breast cancer. </w:t>
      </w:r>
      <w:r w:rsidRPr="00BC5F60">
        <w:rPr>
          <w:rFonts w:ascii="Aptos" w:hAnsi="Aptos" w:cs="Times New Roman"/>
          <w:i/>
          <w:iCs/>
          <w:noProof/>
        </w:rPr>
        <w:t>Investigational New Drugs</w:t>
      </w:r>
      <w:r w:rsidRPr="00BC5F60">
        <w:rPr>
          <w:rFonts w:ascii="Aptos" w:hAnsi="Aptos" w:cs="Times New Roman"/>
          <w:noProof/>
        </w:rPr>
        <w:t xml:space="preserve">, </w:t>
      </w:r>
      <w:r w:rsidRPr="00BC5F60">
        <w:rPr>
          <w:rFonts w:ascii="Aptos" w:hAnsi="Aptos" w:cs="Times New Roman"/>
          <w:i/>
          <w:iCs/>
          <w:noProof/>
        </w:rPr>
        <w:t>29</w:t>
      </w:r>
      <w:r w:rsidRPr="00BC5F60">
        <w:rPr>
          <w:rFonts w:ascii="Aptos" w:hAnsi="Aptos" w:cs="Times New Roman"/>
          <w:noProof/>
        </w:rPr>
        <w:t>(6), 1482–1487. https://doi.org/10.1007/s10637-010-9478-3</w:t>
      </w:r>
    </w:p>
    <w:p w14:paraId="17C19BBE"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Espinosa, G., Esposito, R., Kazzazi, A., &amp; Djavan, B. (2013). Vitamin D and benign prostatic hyperplasia -- a review. </w:t>
      </w:r>
      <w:r w:rsidRPr="00BC5F60">
        <w:rPr>
          <w:rFonts w:ascii="Aptos" w:hAnsi="Aptos" w:cs="Times New Roman"/>
          <w:i/>
          <w:iCs/>
          <w:noProof/>
        </w:rPr>
        <w:t>The Canadian Journal of Urology</w:t>
      </w:r>
      <w:r w:rsidRPr="00BC5F60">
        <w:rPr>
          <w:rFonts w:ascii="Aptos" w:hAnsi="Aptos" w:cs="Times New Roman"/>
          <w:noProof/>
        </w:rPr>
        <w:t xml:space="preserve">, </w:t>
      </w:r>
      <w:r w:rsidRPr="00BC5F60">
        <w:rPr>
          <w:rFonts w:ascii="Aptos" w:hAnsi="Aptos" w:cs="Times New Roman"/>
          <w:i/>
          <w:iCs/>
          <w:noProof/>
        </w:rPr>
        <w:t>20</w:t>
      </w:r>
      <w:r w:rsidRPr="00BC5F60">
        <w:rPr>
          <w:rFonts w:ascii="Aptos" w:hAnsi="Aptos" w:cs="Times New Roman"/>
          <w:noProof/>
        </w:rPr>
        <w:t>(4), 6820–6825.</w:t>
      </w:r>
    </w:p>
    <w:p w14:paraId="798081A4"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Ghaderi, R., Abdollahi, Z., Madani, M. H., Doshantapeh, A. G., Moghimi, B., Jarang, M., Rezaei, J., Ghaffariyan, S., &amp; Arismani, R. J. (2024). Association between serum vitamin D levels and prostate tumor: a systematic review and meta-analysis. </w:t>
      </w:r>
      <w:r w:rsidRPr="00BC5F60">
        <w:rPr>
          <w:rFonts w:ascii="Aptos" w:hAnsi="Aptos" w:cs="Times New Roman"/>
          <w:i/>
          <w:iCs/>
          <w:noProof/>
        </w:rPr>
        <w:t>Journal of Renal Injury Prevention</w:t>
      </w:r>
      <w:r w:rsidRPr="00BC5F60">
        <w:rPr>
          <w:rFonts w:ascii="Aptos" w:hAnsi="Aptos" w:cs="Times New Roman"/>
          <w:noProof/>
        </w:rPr>
        <w:t xml:space="preserve">, </w:t>
      </w:r>
      <w:r w:rsidRPr="00BC5F60">
        <w:rPr>
          <w:rFonts w:ascii="Aptos" w:hAnsi="Aptos" w:cs="Times New Roman"/>
          <w:i/>
          <w:iCs/>
          <w:noProof/>
        </w:rPr>
        <w:t>13</w:t>
      </w:r>
      <w:r w:rsidRPr="00BC5F60">
        <w:rPr>
          <w:rFonts w:ascii="Aptos" w:hAnsi="Aptos" w:cs="Times New Roman"/>
          <w:noProof/>
        </w:rPr>
        <w:t>(3). https://doi.org/10.34172/jrip.2024.34296</w:t>
      </w:r>
    </w:p>
    <w:p w14:paraId="51FA6491"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Glaser, A., Shi, Z., Wei, J., Lanman, N. A., Ladson-Gary, S., Vickman, R. E., Franco, O. E., Crawford, S. E., Lilly Zheng, S., Hayward, S. W., Isaacs, W. B., Helfand, B. T., &amp; Xu, J. (2022). Shared Inherited Genetics of Benign Prostatic Hyperplasia and Prostate Cancer. </w:t>
      </w:r>
      <w:r w:rsidRPr="00BC5F60">
        <w:rPr>
          <w:rFonts w:ascii="Aptos" w:hAnsi="Aptos" w:cs="Times New Roman"/>
          <w:i/>
          <w:iCs/>
          <w:noProof/>
        </w:rPr>
        <w:t>European Urology Open Science</w:t>
      </w:r>
      <w:r w:rsidRPr="00BC5F60">
        <w:rPr>
          <w:rFonts w:ascii="Aptos" w:hAnsi="Aptos" w:cs="Times New Roman"/>
          <w:noProof/>
        </w:rPr>
        <w:t xml:space="preserve">, </w:t>
      </w:r>
      <w:r w:rsidRPr="00BC5F60">
        <w:rPr>
          <w:rFonts w:ascii="Aptos" w:hAnsi="Aptos" w:cs="Times New Roman"/>
          <w:i/>
          <w:iCs/>
          <w:noProof/>
        </w:rPr>
        <w:t>43</w:t>
      </w:r>
      <w:r w:rsidRPr="00BC5F60">
        <w:rPr>
          <w:rFonts w:ascii="Aptos" w:hAnsi="Aptos" w:cs="Times New Roman"/>
          <w:noProof/>
        </w:rPr>
        <w:t>, 54–61. https://doi.org/10.1016/j.euros.2022.07.004</w:t>
      </w:r>
    </w:p>
    <w:p w14:paraId="0DF0EF69"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Grace, A. F., Olubunmi, A. A., Adetutu, O. T., Kweku, R. J., Olubisi, A. O., &amp; Daniel, O. F. (2024). Prevalence and Risk Factors of Vitamin D, Calcium and Phosphate Deficiency among  Apparently Healthy Children Aged 6-24 Months in a Semi-urban Community in Southwest, Nigeria. </w:t>
      </w:r>
      <w:r w:rsidRPr="00BC5F60">
        <w:rPr>
          <w:rFonts w:ascii="Aptos" w:hAnsi="Aptos" w:cs="Times New Roman"/>
          <w:i/>
          <w:iCs/>
          <w:noProof/>
        </w:rPr>
        <w:t>The Nigerian Postgraduate Medical Journal</w:t>
      </w:r>
      <w:r w:rsidRPr="00BC5F60">
        <w:rPr>
          <w:rFonts w:ascii="Aptos" w:hAnsi="Aptos" w:cs="Times New Roman"/>
          <w:noProof/>
        </w:rPr>
        <w:t xml:space="preserve">, </w:t>
      </w:r>
      <w:r w:rsidRPr="00BC5F60">
        <w:rPr>
          <w:rFonts w:ascii="Aptos" w:hAnsi="Aptos" w:cs="Times New Roman"/>
          <w:i/>
          <w:iCs/>
          <w:noProof/>
        </w:rPr>
        <w:t>31</w:t>
      </w:r>
      <w:r w:rsidRPr="00BC5F60">
        <w:rPr>
          <w:rFonts w:ascii="Aptos" w:hAnsi="Aptos" w:cs="Times New Roman"/>
          <w:noProof/>
        </w:rPr>
        <w:t>(3), 213–219. https://doi.org/10.4103/npmj.npmj_101_24</w:t>
      </w:r>
    </w:p>
    <w:p w14:paraId="6F1D55B9"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Holick, M. F. (2007). Vitamin D deficiency. </w:t>
      </w:r>
      <w:r w:rsidRPr="00BC5F60">
        <w:rPr>
          <w:rFonts w:ascii="Aptos" w:hAnsi="Aptos" w:cs="Times New Roman"/>
          <w:i/>
          <w:iCs/>
          <w:noProof/>
        </w:rPr>
        <w:t>The New England Journal of Medicine</w:t>
      </w:r>
      <w:r w:rsidRPr="00BC5F60">
        <w:rPr>
          <w:rFonts w:ascii="Aptos" w:hAnsi="Aptos" w:cs="Times New Roman"/>
          <w:noProof/>
        </w:rPr>
        <w:t xml:space="preserve">, </w:t>
      </w:r>
      <w:r w:rsidRPr="00BC5F60">
        <w:rPr>
          <w:rFonts w:ascii="Aptos" w:hAnsi="Aptos" w:cs="Times New Roman"/>
          <w:i/>
          <w:iCs/>
          <w:noProof/>
        </w:rPr>
        <w:t>357</w:t>
      </w:r>
      <w:r w:rsidRPr="00BC5F60">
        <w:rPr>
          <w:rFonts w:ascii="Aptos" w:hAnsi="Aptos" w:cs="Times New Roman"/>
          <w:noProof/>
        </w:rPr>
        <w:t>(3), 266–281. https://doi.org/10.1056/NEJMra070553</w:t>
      </w:r>
    </w:p>
    <w:p w14:paraId="536E9E74"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Iheanacho, C. O., &amp; Enechukwu, O. H. (2025). Epidemiology of prostate cancer in Nigeria: a mixed methods systematic review. </w:t>
      </w:r>
      <w:r w:rsidRPr="00BC5F60">
        <w:rPr>
          <w:rFonts w:ascii="Aptos" w:hAnsi="Aptos" w:cs="Times New Roman"/>
          <w:i/>
          <w:iCs/>
          <w:noProof/>
        </w:rPr>
        <w:t>Cancer Causes &amp; Control : CCC</w:t>
      </w:r>
      <w:r w:rsidRPr="00BC5F60">
        <w:rPr>
          <w:rFonts w:ascii="Aptos" w:hAnsi="Aptos" w:cs="Times New Roman"/>
          <w:noProof/>
        </w:rPr>
        <w:t xml:space="preserve">, </w:t>
      </w:r>
      <w:r w:rsidRPr="00BC5F60">
        <w:rPr>
          <w:rFonts w:ascii="Aptos" w:hAnsi="Aptos" w:cs="Times New Roman"/>
          <w:i/>
          <w:iCs/>
          <w:noProof/>
        </w:rPr>
        <w:t>36</w:t>
      </w:r>
      <w:r w:rsidRPr="00BC5F60">
        <w:rPr>
          <w:rFonts w:ascii="Aptos" w:hAnsi="Aptos" w:cs="Times New Roman"/>
          <w:noProof/>
        </w:rPr>
        <w:t>(1), 1–12. https://doi.org/10.1007/s10552-024-01917-w</w:t>
      </w:r>
    </w:p>
    <w:p w14:paraId="55C1B8E8"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Iyer, H. S., Stone, B. V, Roscoe, C., Hsieh, M.-C., Stroup, A. M., Wiggins, C. L., Schumacher, F. R., Gomez, S. L., Rebbeck, T. R., &amp; Trinh, Q.-D. (2024). Access to Prostate-Specific Antigen Testing and Mortality Among Men With Prostate  Cancer. </w:t>
      </w:r>
      <w:r w:rsidRPr="00BC5F60">
        <w:rPr>
          <w:rFonts w:ascii="Aptos" w:hAnsi="Aptos" w:cs="Times New Roman"/>
          <w:i/>
          <w:iCs/>
          <w:noProof/>
        </w:rPr>
        <w:t>JAMA Network Open</w:t>
      </w:r>
      <w:r w:rsidRPr="00BC5F60">
        <w:rPr>
          <w:rFonts w:ascii="Aptos" w:hAnsi="Aptos" w:cs="Times New Roman"/>
          <w:noProof/>
        </w:rPr>
        <w:t xml:space="preserve">, </w:t>
      </w:r>
      <w:r w:rsidRPr="00BC5F60">
        <w:rPr>
          <w:rFonts w:ascii="Aptos" w:hAnsi="Aptos" w:cs="Times New Roman"/>
          <w:i/>
          <w:iCs/>
          <w:noProof/>
        </w:rPr>
        <w:t>7</w:t>
      </w:r>
      <w:r w:rsidRPr="00BC5F60">
        <w:rPr>
          <w:rFonts w:ascii="Aptos" w:hAnsi="Aptos" w:cs="Times New Roman"/>
          <w:noProof/>
        </w:rPr>
        <w:t>(6), e2414582. https://doi.org/10.1001/jamanetworkopen.2024.14582</w:t>
      </w:r>
    </w:p>
    <w:p w14:paraId="03DF8449"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Kirsh, V. A., Hayes, R. B., Mayne, S. T., Chatterjee, N., Subar, A. F., Dixon, L. B., Albanes, D., Andriole, G. L., Urban, D. A., &amp; Peters, U. (2006). Supplemental and dietary vitamin E, beta-carotene, and vitamin C intakes and  prostate cancer risk. </w:t>
      </w:r>
      <w:r w:rsidRPr="00BC5F60">
        <w:rPr>
          <w:rFonts w:ascii="Aptos" w:hAnsi="Aptos" w:cs="Times New Roman"/>
          <w:i/>
          <w:iCs/>
          <w:noProof/>
        </w:rPr>
        <w:t xml:space="preserve">Journal of the National Cancer </w:t>
      </w:r>
      <w:r w:rsidRPr="00BC5F60">
        <w:rPr>
          <w:rFonts w:ascii="Aptos" w:hAnsi="Aptos" w:cs="Times New Roman"/>
          <w:i/>
          <w:iCs/>
          <w:noProof/>
        </w:rPr>
        <w:lastRenderedPageBreak/>
        <w:t>Institute</w:t>
      </w:r>
      <w:r w:rsidRPr="00BC5F60">
        <w:rPr>
          <w:rFonts w:ascii="Aptos" w:hAnsi="Aptos" w:cs="Times New Roman"/>
          <w:noProof/>
        </w:rPr>
        <w:t xml:space="preserve">, </w:t>
      </w:r>
      <w:r w:rsidRPr="00BC5F60">
        <w:rPr>
          <w:rFonts w:ascii="Aptos" w:hAnsi="Aptos" w:cs="Times New Roman"/>
          <w:i/>
          <w:iCs/>
          <w:noProof/>
        </w:rPr>
        <w:t>98</w:t>
      </w:r>
      <w:r w:rsidRPr="00BC5F60">
        <w:rPr>
          <w:rFonts w:ascii="Aptos" w:hAnsi="Aptos" w:cs="Times New Roman"/>
          <w:noProof/>
        </w:rPr>
        <w:t>(4), 245–254. https://doi.org/10.1093/jnci/djj050</w:t>
      </w:r>
    </w:p>
    <w:p w14:paraId="30E29C7E"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Launer, B. M., McVary, K. T., Ricke, W. A., &amp; Lloyd, G. L. (2021). The rising worldwide impact of benign prostatic hyperplasia. </w:t>
      </w:r>
      <w:r w:rsidRPr="00BC5F60">
        <w:rPr>
          <w:rFonts w:ascii="Aptos" w:hAnsi="Aptos" w:cs="Times New Roman"/>
          <w:i/>
          <w:iCs/>
          <w:noProof/>
        </w:rPr>
        <w:t>BJU International</w:t>
      </w:r>
      <w:r w:rsidRPr="00BC5F60">
        <w:rPr>
          <w:rFonts w:ascii="Aptos" w:hAnsi="Aptos" w:cs="Times New Roman"/>
          <w:noProof/>
        </w:rPr>
        <w:t xml:space="preserve">, </w:t>
      </w:r>
      <w:r w:rsidRPr="00BC5F60">
        <w:rPr>
          <w:rFonts w:ascii="Aptos" w:hAnsi="Aptos" w:cs="Times New Roman"/>
          <w:i/>
          <w:iCs/>
          <w:noProof/>
        </w:rPr>
        <w:t>127</w:t>
      </w:r>
      <w:r w:rsidRPr="00BC5F60">
        <w:rPr>
          <w:rFonts w:ascii="Aptos" w:hAnsi="Aptos" w:cs="Times New Roman"/>
          <w:noProof/>
        </w:rPr>
        <w:t>(6), 722–728. https://doi.org/10.1111/bju.15286</w:t>
      </w:r>
    </w:p>
    <w:p w14:paraId="009A5B8E"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Loh, W. Q., Yin, X., Kishida, R., Chia, S. E., Ong, C. N., &amp; Seow, W. J. (2023). Association between Vitamin A and E Forms and Prostate Cancer Risk in the  Singapore Prostate Cancer Study. </w:t>
      </w:r>
      <w:r w:rsidRPr="00BC5F60">
        <w:rPr>
          <w:rFonts w:ascii="Aptos" w:hAnsi="Aptos" w:cs="Times New Roman"/>
          <w:i/>
          <w:iCs/>
          <w:noProof/>
        </w:rPr>
        <w:t>Nutrients</w:t>
      </w:r>
      <w:r w:rsidRPr="00BC5F60">
        <w:rPr>
          <w:rFonts w:ascii="Aptos" w:hAnsi="Aptos" w:cs="Times New Roman"/>
          <w:noProof/>
        </w:rPr>
        <w:t xml:space="preserve">, </w:t>
      </w:r>
      <w:r w:rsidRPr="00BC5F60">
        <w:rPr>
          <w:rFonts w:ascii="Aptos" w:hAnsi="Aptos" w:cs="Times New Roman"/>
          <w:i/>
          <w:iCs/>
          <w:noProof/>
        </w:rPr>
        <w:t>15</w:t>
      </w:r>
      <w:r w:rsidRPr="00BC5F60">
        <w:rPr>
          <w:rFonts w:ascii="Aptos" w:hAnsi="Aptos" w:cs="Times New Roman"/>
          <w:noProof/>
        </w:rPr>
        <w:t>(12). https://doi.org/10.3390/nu15122677</w:t>
      </w:r>
    </w:p>
    <w:p w14:paraId="3CB6F887"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Nur, S. M., Rath, S., Ahmad, V., Ahmad, A., Ateeq, B., &amp; Khan, M. I. (2021). Nutritive vitamins as epidrugs. </w:t>
      </w:r>
      <w:r w:rsidRPr="00BC5F60">
        <w:rPr>
          <w:rFonts w:ascii="Aptos" w:hAnsi="Aptos" w:cs="Times New Roman"/>
          <w:i/>
          <w:iCs/>
          <w:noProof/>
        </w:rPr>
        <w:t>Critical Reviews in Food Science and Nutrition</w:t>
      </w:r>
      <w:r w:rsidRPr="00BC5F60">
        <w:rPr>
          <w:rFonts w:ascii="Aptos" w:hAnsi="Aptos" w:cs="Times New Roman"/>
          <w:noProof/>
        </w:rPr>
        <w:t xml:space="preserve">, </w:t>
      </w:r>
      <w:r w:rsidRPr="00BC5F60">
        <w:rPr>
          <w:rFonts w:ascii="Aptos" w:hAnsi="Aptos" w:cs="Times New Roman"/>
          <w:i/>
          <w:iCs/>
          <w:noProof/>
        </w:rPr>
        <w:t>61</w:t>
      </w:r>
      <w:r w:rsidRPr="00BC5F60">
        <w:rPr>
          <w:rFonts w:ascii="Aptos" w:hAnsi="Aptos" w:cs="Times New Roman"/>
          <w:noProof/>
        </w:rPr>
        <w:t>(1), 1–13. https://doi.org/10.1080/10408398.2020.1712674</w:t>
      </w:r>
    </w:p>
    <w:p w14:paraId="526937BF"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Parsons, J. K., Dahm, P., Köhler, T. S., Lerner, L. B., &amp; Wilt, T. J. (2020). Surgical Management of Lower Urinary Tract Symptoms Attributed to Benign  Prostatic Hyperplasia: AUA Guideline Amendment 2020. </w:t>
      </w:r>
      <w:r w:rsidRPr="00BC5F60">
        <w:rPr>
          <w:rFonts w:ascii="Aptos" w:hAnsi="Aptos" w:cs="Times New Roman"/>
          <w:i/>
          <w:iCs/>
          <w:noProof/>
        </w:rPr>
        <w:t>The Journal of Urology</w:t>
      </w:r>
      <w:r w:rsidRPr="00BC5F60">
        <w:rPr>
          <w:rFonts w:ascii="Aptos" w:hAnsi="Aptos" w:cs="Times New Roman"/>
          <w:noProof/>
        </w:rPr>
        <w:t xml:space="preserve">, </w:t>
      </w:r>
      <w:r w:rsidRPr="00BC5F60">
        <w:rPr>
          <w:rFonts w:ascii="Aptos" w:hAnsi="Aptos" w:cs="Times New Roman"/>
          <w:i/>
          <w:iCs/>
          <w:noProof/>
        </w:rPr>
        <w:t>204</w:t>
      </w:r>
      <w:r w:rsidRPr="00BC5F60">
        <w:rPr>
          <w:rFonts w:ascii="Aptos" w:hAnsi="Aptos" w:cs="Times New Roman"/>
          <w:noProof/>
        </w:rPr>
        <w:t>(4), 799–804. https://doi.org/10.1097/JU.0000000000001298</w:t>
      </w:r>
    </w:p>
    <w:p w14:paraId="298C847D"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Prentice, A., Schoenmakers, I., Laskey, M. A., de Bono, S., Ginty, F., &amp; Goldberg, G. R. (2006). Nutrition and bone growth and development. </w:t>
      </w:r>
      <w:r w:rsidRPr="00BC5F60">
        <w:rPr>
          <w:rFonts w:ascii="Aptos" w:hAnsi="Aptos" w:cs="Times New Roman"/>
          <w:i/>
          <w:iCs/>
          <w:noProof/>
        </w:rPr>
        <w:t>The Proceedings of the Nutrition Society</w:t>
      </w:r>
      <w:r w:rsidRPr="00BC5F60">
        <w:rPr>
          <w:rFonts w:ascii="Aptos" w:hAnsi="Aptos" w:cs="Times New Roman"/>
          <w:noProof/>
        </w:rPr>
        <w:t xml:space="preserve">, </w:t>
      </w:r>
      <w:r w:rsidRPr="00BC5F60">
        <w:rPr>
          <w:rFonts w:ascii="Aptos" w:hAnsi="Aptos" w:cs="Times New Roman"/>
          <w:i/>
          <w:iCs/>
          <w:noProof/>
        </w:rPr>
        <w:t>65</w:t>
      </w:r>
      <w:r w:rsidRPr="00BC5F60">
        <w:rPr>
          <w:rFonts w:ascii="Aptos" w:hAnsi="Aptos" w:cs="Times New Roman"/>
          <w:noProof/>
        </w:rPr>
        <w:t>(4), 348–360. https://doi.org/10.1017/s0029665106005192</w:t>
      </w:r>
    </w:p>
    <w:p w14:paraId="0EC36AAF"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Shastak, Y., Pelletier, W., &amp; Kuntz, A. (2024). Insights into Analytical Precision: Understanding the Factors Influencing Accurate Vitamin A Determination in Various Samples. </w:t>
      </w:r>
      <w:r w:rsidRPr="00BC5F60">
        <w:rPr>
          <w:rFonts w:ascii="Aptos" w:hAnsi="Aptos" w:cs="Times New Roman"/>
          <w:i/>
          <w:iCs/>
          <w:noProof/>
        </w:rPr>
        <w:t>Analytica</w:t>
      </w:r>
      <w:r w:rsidRPr="00BC5F60">
        <w:rPr>
          <w:rFonts w:ascii="Aptos" w:hAnsi="Aptos" w:cs="Times New Roman"/>
          <w:noProof/>
        </w:rPr>
        <w:t xml:space="preserve">, </w:t>
      </w:r>
      <w:r w:rsidRPr="00BC5F60">
        <w:rPr>
          <w:rFonts w:ascii="Aptos" w:hAnsi="Aptos" w:cs="Times New Roman"/>
          <w:i/>
          <w:iCs/>
          <w:noProof/>
        </w:rPr>
        <w:t>5</w:t>
      </w:r>
      <w:r w:rsidRPr="00BC5F60">
        <w:rPr>
          <w:rFonts w:ascii="Aptos" w:hAnsi="Aptos" w:cs="Times New Roman"/>
          <w:noProof/>
        </w:rPr>
        <w:t>(1), 54–73. https://doi.org/10.3390/analytica5010004</w:t>
      </w:r>
    </w:p>
    <w:p w14:paraId="79E062AF"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Sung, H., Ferlay, J., Siegel, R. L., Laversanne, M., Soerjomataram, I., Jemal, A., &amp; Bray, F. (2021). Global Cancer Statistics 2020: GLOBOCAN Estimates of Incidence and Mortality  Worldwide for 36 Cancers in 185 Countries. </w:t>
      </w:r>
      <w:r w:rsidRPr="00BC5F60">
        <w:rPr>
          <w:rFonts w:ascii="Aptos" w:hAnsi="Aptos" w:cs="Times New Roman"/>
          <w:i/>
          <w:iCs/>
          <w:noProof/>
        </w:rPr>
        <w:t>CA: A Cancer Journal for Clinicians</w:t>
      </w:r>
      <w:r w:rsidRPr="00BC5F60">
        <w:rPr>
          <w:rFonts w:ascii="Aptos" w:hAnsi="Aptos" w:cs="Times New Roman"/>
          <w:noProof/>
        </w:rPr>
        <w:t xml:space="preserve">, </w:t>
      </w:r>
      <w:r w:rsidRPr="00BC5F60">
        <w:rPr>
          <w:rFonts w:ascii="Aptos" w:hAnsi="Aptos" w:cs="Times New Roman"/>
          <w:i/>
          <w:iCs/>
          <w:noProof/>
        </w:rPr>
        <w:t>71</w:t>
      </w:r>
      <w:r w:rsidRPr="00BC5F60">
        <w:rPr>
          <w:rFonts w:ascii="Aptos" w:hAnsi="Aptos" w:cs="Times New Roman"/>
          <w:noProof/>
        </w:rPr>
        <w:t>(3), 209–249. https://doi.org/10.3322/caac.21660</w:t>
      </w:r>
    </w:p>
    <w:p w14:paraId="3036CCBC"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The global, regional, and national burden of benign prostatic hyperplasia in 204  countries and territories from 2000 to 2019: a systematic analysis for the Global Burden of Disease Study 2019. (2022). </w:t>
      </w:r>
      <w:r w:rsidRPr="00BC5F60">
        <w:rPr>
          <w:rFonts w:ascii="Aptos" w:hAnsi="Aptos" w:cs="Times New Roman"/>
          <w:i/>
          <w:iCs/>
          <w:noProof/>
        </w:rPr>
        <w:t>The Lancet. Healthy Longevity</w:t>
      </w:r>
      <w:r w:rsidRPr="00BC5F60">
        <w:rPr>
          <w:rFonts w:ascii="Aptos" w:hAnsi="Aptos" w:cs="Times New Roman"/>
          <w:noProof/>
        </w:rPr>
        <w:t xml:space="preserve">, </w:t>
      </w:r>
      <w:r w:rsidRPr="00BC5F60">
        <w:rPr>
          <w:rFonts w:ascii="Aptos" w:hAnsi="Aptos" w:cs="Times New Roman"/>
          <w:i/>
          <w:iCs/>
          <w:noProof/>
        </w:rPr>
        <w:t>3</w:t>
      </w:r>
      <w:r w:rsidRPr="00BC5F60">
        <w:rPr>
          <w:rFonts w:ascii="Aptos" w:hAnsi="Aptos" w:cs="Times New Roman"/>
          <w:noProof/>
        </w:rPr>
        <w:t>(11), e754–e776. https://doi.org/10.1016/S2666-7568(22)00213-6</w:t>
      </w:r>
    </w:p>
    <w:p w14:paraId="41591732"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Timoneda, J., Rodríguez-Fernández, L., Zaragozá, R., Marín, M. P., Cabezuelo, M. T., Torres, L., Viña, J. R., &amp; Barber, T. (2018). Vitamin A Deficiency and the Lung. </w:t>
      </w:r>
      <w:r w:rsidRPr="00BC5F60">
        <w:rPr>
          <w:rFonts w:ascii="Aptos" w:hAnsi="Aptos" w:cs="Times New Roman"/>
          <w:i/>
          <w:iCs/>
          <w:noProof/>
        </w:rPr>
        <w:t>Nutrients</w:t>
      </w:r>
      <w:r w:rsidRPr="00BC5F60">
        <w:rPr>
          <w:rFonts w:ascii="Aptos" w:hAnsi="Aptos" w:cs="Times New Roman"/>
          <w:noProof/>
        </w:rPr>
        <w:t xml:space="preserve">, </w:t>
      </w:r>
      <w:r w:rsidRPr="00BC5F60">
        <w:rPr>
          <w:rFonts w:ascii="Aptos" w:hAnsi="Aptos" w:cs="Times New Roman"/>
          <w:i/>
          <w:iCs/>
          <w:noProof/>
        </w:rPr>
        <w:t>10</w:t>
      </w:r>
      <w:r w:rsidRPr="00BC5F60">
        <w:rPr>
          <w:rFonts w:ascii="Aptos" w:hAnsi="Aptos" w:cs="Times New Roman"/>
          <w:noProof/>
        </w:rPr>
        <w:t>(9). https://doi.org/10.3390/nu10091132</w:t>
      </w:r>
    </w:p>
    <w:p w14:paraId="11DBBD45"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Tretli, S., Hernes, E., Berg, J. P., Hestvik, U. E., &amp; Robsahm, T. E. (2009). Association between serum 25(OH)D and death from prostate cancer. </w:t>
      </w:r>
      <w:r w:rsidRPr="00BC5F60">
        <w:rPr>
          <w:rFonts w:ascii="Aptos" w:hAnsi="Aptos" w:cs="Times New Roman"/>
          <w:i/>
          <w:iCs/>
          <w:noProof/>
        </w:rPr>
        <w:t>British Journal of Cancer</w:t>
      </w:r>
      <w:r w:rsidRPr="00BC5F60">
        <w:rPr>
          <w:rFonts w:ascii="Aptos" w:hAnsi="Aptos" w:cs="Times New Roman"/>
          <w:noProof/>
        </w:rPr>
        <w:t xml:space="preserve">, </w:t>
      </w:r>
      <w:r w:rsidRPr="00BC5F60">
        <w:rPr>
          <w:rFonts w:ascii="Aptos" w:hAnsi="Aptos" w:cs="Times New Roman"/>
          <w:i/>
          <w:iCs/>
          <w:noProof/>
        </w:rPr>
        <w:t>100</w:t>
      </w:r>
      <w:r w:rsidRPr="00BC5F60">
        <w:rPr>
          <w:rFonts w:ascii="Aptos" w:hAnsi="Aptos" w:cs="Times New Roman"/>
          <w:noProof/>
        </w:rPr>
        <w:t>(3), 450–454. https://doi.org/10.1038/sj.bjc.6604865</w:t>
      </w:r>
    </w:p>
    <w:p w14:paraId="35F8CD52"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Trump, D. L., &amp; Aragon-Ching, J. B. (2018). Vitamin D in prostate cancer. </w:t>
      </w:r>
      <w:r w:rsidRPr="00BC5F60">
        <w:rPr>
          <w:rFonts w:ascii="Aptos" w:hAnsi="Aptos" w:cs="Times New Roman"/>
          <w:i/>
          <w:iCs/>
          <w:noProof/>
        </w:rPr>
        <w:t>Asian Journal of Andrology</w:t>
      </w:r>
      <w:r w:rsidRPr="00BC5F60">
        <w:rPr>
          <w:rFonts w:ascii="Aptos" w:hAnsi="Aptos" w:cs="Times New Roman"/>
          <w:noProof/>
        </w:rPr>
        <w:t xml:space="preserve">, </w:t>
      </w:r>
      <w:r w:rsidRPr="00BC5F60">
        <w:rPr>
          <w:rFonts w:ascii="Aptos" w:hAnsi="Aptos" w:cs="Times New Roman"/>
          <w:i/>
          <w:iCs/>
          <w:noProof/>
        </w:rPr>
        <w:t>20</w:t>
      </w:r>
      <w:r w:rsidRPr="00BC5F60">
        <w:rPr>
          <w:rFonts w:ascii="Aptos" w:hAnsi="Aptos" w:cs="Times New Roman"/>
          <w:noProof/>
        </w:rPr>
        <w:t>(3), 244–252. https://doi.org/10.4103/aja.aja_14_18</w:t>
      </w:r>
    </w:p>
    <w:p w14:paraId="24E980AF" w14:textId="77777777" w:rsidR="00BC5F60" w:rsidRPr="00BC5F60" w:rsidRDefault="00BC5F60" w:rsidP="00BC5F60">
      <w:pPr>
        <w:widowControl w:val="0"/>
        <w:autoSpaceDE w:val="0"/>
        <w:autoSpaceDN w:val="0"/>
        <w:adjustRightInd w:val="0"/>
        <w:spacing w:line="240" w:lineRule="auto"/>
        <w:ind w:left="480" w:hanging="480"/>
        <w:rPr>
          <w:rFonts w:ascii="Aptos" w:hAnsi="Aptos" w:cs="Times New Roman"/>
          <w:noProof/>
        </w:rPr>
      </w:pPr>
      <w:r w:rsidRPr="00BC5F60">
        <w:rPr>
          <w:rFonts w:ascii="Aptos" w:hAnsi="Aptos" w:cs="Times New Roman"/>
          <w:noProof/>
        </w:rPr>
        <w:t xml:space="preserve">Yin, L., Raum, E., Haug, U., Arndt, V., &amp; Brenner, H. (2009). Meta-analysis of longitudinal studies: </w:t>
      </w:r>
      <w:r w:rsidRPr="00BC5F60">
        <w:rPr>
          <w:rFonts w:ascii="Aptos" w:hAnsi="Aptos" w:cs="Times New Roman"/>
          <w:noProof/>
        </w:rPr>
        <w:lastRenderedPageBreak/>
        <w:t xml:space="preserve">Serum vitamin D and prostate cancer risk. </w:t>
      </w:r>
      <w:r w:rsidRPr="00BC5F60">
        <w:rPr>
          <w:rFonts w:ascii="Aptos" w:hAnsi="Aptos" w:cs="Times New Roman"/>
          <w:i/>
          <w:iCs/>
          <w:noProof/>
        </w:rPr>
        <w:t>Cancer Epidemiology</w:t>
      </w:r>
      <w:r w:rsidRPr="00BC5F60">
        <w:rPr>
          <w:rFonts w:ascii="Aptos" w:hAnsi="Aptos" w:cs="Times New Roman"/>
          <w:noProof/>
        </w:rPr>
        <w:t xml:space="preserve">, </w:t>
      </w:r>
      <w:r w:rsidRPr="00BC5F60">
        <w:rPr>
          <w:rFonts w:ascii="Aptos" w:hAnsi="Aptos" w:cs="Times New Roman"/>
          <w:i/>
          <w:iCs/>
          <w:noProof/>
        </w:rPr>
        <w:t>33</w:t>
      </w:r>
      <w:r w:rsidRPr="00BC5F60">
        <w:rPr>
          <w:rFonts w:ascii="Aptos" w:hAnsi="Aptos" w:cs="Times New Roman"/>
          <w:noProof/>
        </w:rPr>
        <w:t>(6), 435–445. https://doi.org/10.1016/j.canep.2009.10.014</w:t>
      </w:r>
    </w:p>
    <w:p w14:paraId="2CFA6E66" w14:textId="77777777" w:rsidR="00BC5F60" w:rsidRPr="00BC5F60" w:rsidRDefault="00BC5F60" w:rsidP="00BC5F60">
      <w:pPr>
        <w:widowControl w:val="0"/>
        <w:autoSpaceDE w:val="0"/>
        <w:autoSpaceDN w:val="0"/>
        <w:adjustRightInd w:val="0"/>
        <w:spacing w:line="240" w:lineRule="auto"/>
        <w:ind w:left="480" w:hanging="480"/>
        <w:rPr>
          <w:rFonts w:ascii="Aptos" w:hAnsi="Aptos"/>
          <w:noProof/>
        </w:rPr>
      </w:pPr>
      <w:r w:rsidRPr="00BC5F60">
        <w:rPr>
          <w:rFonts w:ascii="Aptos" w:hAnsi="Aptos" w:cs="Times New Roman"/>
          <w:noProof/>
        </w:rPr>
        <w:t xml:space="preserve">Zhang, Z.-H., Liu, M.-D., Yao, K., Xu, S., Yu, D.-X., Xie, D.-D., &amp; Xu, D.-X. (2023). Vitamin D deficiency aggravates growth and metastasis of prostate cancer through  promoting EMT in two β-catenin-related mechanisms. </w:t>
      </w:r>
      <w:r w:rsidRPr="00BC5F60">
        <w:rPr>
          <w:rFonts w:ascii="Aptos" w:hAnsi="Aptos" w:cs="Times New Roman"/>
          <w:i/>
          <w:iCs/>
          <w:noProof/>
        </w:rPr>
        <w:t>The Journal of Nutritional Biochemistry</w:t>
      </w:r>
      <w:r w:rsidRPr="00BC5F60">
        <w:rPr>
          <w:rFonts w:ascii="Aptos" w:hAnsi="Aptos" w:cs="Times New Roman"/>
          <w:noProof/>
        </w:rPr>
        <w:t xml:space="preserve">, </w:t>
      </w:r>
      <w:r w:rsidRPr="00BC5F60">
        <w:rPr>
          <w:rFonts w:ascii="Aptos" w:hAnsi="Aptos" w:cs="Times New Roman"/>
          <w:i/>
          <w:iCs/>
          <w:noProof/>
        </w:rPr>
        <w:t>111</w:t>
      </w:r>
      <w:r w:rsidRPr="00BC5F60">
        <w:rPr>
          <w:rFonts w:ascii="Aptos" w:hAnsi="Aptos" w:cs="Times New Roman"/>
          <w:noProof/>
        </w:rPr>
        <w:t>, 109177. https://doi.org/10.1016/j.jnutbio.2022.109177</w:t>
      </w:r>
    </w:p>
    <w:p w14:paraId="4D396EE5" w14:textId="6871D4E4" w:rsidR="00B765C0" w:rsidRDefault="00B765C0" w:rsidP="00310637">
      <w:pPr>
        <w:spacing w:line="276" w:lineRule="auto"/>
        <w:jc w:val="both"/>
        <w:rPr>
          <w:color w:val="000000"/>
        </w:rPr>
      </w:pPr>
      <w:r>
        <w:rPr>
          <w:color w:val="000000"/>
        </w:rPr>
        <w:fldChar w:fldCharType="end"/>
      </w:r>
    </w:p>
    <w:p w14:paraId="2A118F4F" w14:textId="77777777" w:rsidR="00B74E1B" w:rsidRDefault="00B74E1B" w:rsidP="00310637">
      <w:pPr>
        <w:spacing w:line="276" w:lineRule="auto"/>
        <w:jc w:val="both"/>
        <w:rPr>
          <w:color w:val="000000"/>
        </w:rPr>
      </w:pPr>
    </w:p>
    <w:p w14:paraId="4845E877" w14:textId="77777777" w:rsidR="00B74E1B" w:rsidRDefault="00B74E1B" w:rsidP="00310637">
      <w:pPr>
        <w:spacing w:line="276" w:lineRule="auto"/>
        <w:jc w:val="both"/>
        <w:rPr>
          <w:color w:val="000000"/>
        </w:rPr>
      </w:pPr>
    </w:p>
    <w:p w14:paraId="77BEAF2C" w14:textId="77777777" w:rsidR="00B74E1B" w:rsidRDefault="00B74E1B" w:rsidP="00310637">
      <w:pPr>
        <w:spacing w:line="276" w:lineRule="auto"/>
        <w:jc w:val="both"/>
        <w:rPr>
          <w:color w:val="000000"/>
        </w:rPr>
      </w:pPr>
    </w:p>
    <w:p w14:paraId="10CBD610" w14:textId="0BB708F1" w:rsidR="00035EA8" w:rsidRDefault="00072212" w:rsidP="008C160A">
      <w:pPr>
        <w:rPr>
          <w:lang w:val="en"/>
        </w:rPr>
      </w:pPr>
      <w:r>
        <w:rPr>
          <w:color w:val="000000"/>
        </w:rPr>
        <w:br w:type="page"/>
      </w:r>
      <w:r w:rsidR="008C160A">
        <w:rPr>
          <w:color w:val="000000"/>
        </w:rPr>
        <w:lastRenderedPageBreak/>
        <w:t xml:space="preserve"> </w:t>
      </w:r>
    </w:p>
    <w:p w14:paraId="02843861" w14:textId="77777777" w:rsidR="00035EA8" w:rsidRDefault="00035EA8" w:rsidP="00035EA8">
      <w:pPr>
        <w:spacing w:line="480" w:lineRule="auto"/>
        <w:rPr>
          <w:lang w:val="en"/>
        </w:rPr>
      </w:pPr>
    </w:p>
    <w:p w14:paraId="5FC0AF45" w14:textId="77777777" w:rsidR="00035EA8" w:rsidRDefault="00035EA8" w:rsidP="00035EA8">
      <w:pPr>
        <w:spacing w:line="480" w:lineRule="auto"/>
        <w:rPr>
          <w:lang w:val="en"/>
        </w:rPr>
      </w:pPr>
    </w:p>
    <w:p w14:paraId="696B5113" w14:textId="77777777" w:rsidR="00035EA8" w:rsidRDefault="00035EA8" w:rsidP="00035EA8">
      <w:pPr>
        <w:spacing w:line="480" w:lineRule="auto"/>
        <w:rPr>
          <w:lang w:val="en"/>
        </w:rPr>
      </w:pPr>
    </w:p>
    <w:p w14:paraId="34CE3CE2" w14:textId="77777777" w:rsidR="00035EA8" w:rsidRDefault="00035EA8" w:rsidP="00035EA8">
      <w:pPr>
        <w:spacing w:line="480" w:lineRule="auto"/>
        <w:rPr>
          <w:lang w:val="en"/>
        </w:rPr>
      </w:pPr>
    </w:p>
    <w:p w14:paraId="66AF04AB" w14:textId="77777777" w:rsidR="00035EA8" w:rsidRDefault="00035EA8" w:rsidP="00035EA8">
      <w:pPr>
        <w:spacing w:line="480" w:lineRule="auto"/>
        <w:rPr>
          <w:lang w:val="en"/>
        </w:rPr>
      </w:pPr>
    </w:p>
    <w:p w14:paraId="0384D9BF" w14:textId="77777777" w:rsidR="00035EA8" w:rsidRPr="001C029A" w:rsidRDefault="00035EA8" w:rsidP="00035EA8">
      <w:pPr>
        <w:spacing w:line="480" w:lineRule="auto"/>
      </w:pPr>
    </w:p>
    <w:p w14:paraId="13FEF2DC" w14:textId="77777777" w:rsidR="00035EA8" w:rsidRDefault="00035EA8" w:rsidP="00035EA8"/>
    <w:sectPr w:rsidR="00035EA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924E7" w14:textId="77777777" w:rsidR="002B658C" w:rsidRDefault="002B658C" w:rsidP="00493350">
      <w:pPr>
        <w:spacing w:after="0" w:line="240" w:lineRule="auto"/>
      </w:pPr>
      <w:r>
        <w:separator/>
      </w:r>
    </w:p>
  </w:endnote>
  <w:endnote w:type="continuationSeparator" w:id="0">
    <w:p w14:paraId="1E56C3CD" w14:textId="77777777" w:rsidR="002B658C" w:rsidRDefault="002B658C" w:rsidP="0049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D5C81" w14:textId="77777777" w:rsidR="00C92B90" w:rsidRDefault="00C92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65010"/>
      <w:docPartObj>
        <w:docPartGallery w:val="Page Numbers (Bottom of Page)"/>
        <w:docPartUnique/>
      </w:docPartObj>
    </w:sdtPr>
    <w:sdtEndPr>
      <w:rPr>
        <w:noProof/>
      </w:rPr>
    </w:sdtEndPr>
    <w:sdtContent>
      <w:p w14:paraId="2867B846" w14:textId="7CCC6742" w:rsidR="00493350" w:rsidRDefault="00493350">
        <w:pPr>
          <w:pStyle w:val="Footer"/>
          <w:jc w:val="right"/>
        </w:pPr>
        <w:r>
          <w:fldChar w:fldCharType="begin"/>
        </w:r>
        <w:r>
          <w:instrText xml:space="preserve"> PAGE   \* MERGEFORMAT </w:instrText>
        </w:r>
        <w:r>
          <w:fldChar w:fldCharType="separate"/>
        </w:r>
        <w:r w:rsidR="00FB0ECC">
          <w:rPr>
            <w:noProof/>
          </w:rPr>
          <w:t>16</w:t>
        </w:r>
        <w:r>
          <w:rPr>
            <w:noProof/>
          </w:rPr>
          <w:fldChar w:fldCharType="end"/>
        </w:r>
      </w:p>
    </w:sdtContent>
  </w:sdt>
  <w:p w14:paraId="4787F1AA" w14:textId="77777777" w:rsidR="00493350" w:rsidRDefault="004933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4ECA8" w14:textId="77777777" w:rsidR="00C92B90" w:rsidRDefault="00C92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5D527" w14:textId="77777777" w:rsidR="002B658C" w:rsidRDefault="002B658C" w:rsidP="00493350">
      <w:pPr>
        <w:spacing w:after="0" w:line="240" w:lineRule="auto"/>
      </w:pPr>
      <w:r>
        <w:separator/>
      </w:r>
    </w:p>
  </w:footnote>
  <w:footnote w:type="continuationSeparator" w:id="0">
    <w:p w14:paraId="1AEF47AC" w14:textId="77777777" w:rsidR="002B658C" w:rsidRDefault="002B658C" w:rsidP="00493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797D2" w14:textId="56E21B46" w:rsidR="00C92B90" w:rsidRDefault="00C92B90">
    <w:pPr>
      <w:pStyle w:val="Header"/>
    </w:pPr>
    <w:r>
      <w:rPr>
        <w:noProof/>
      </w:rPr>
      <w:pict w14:anchorId="4F1E42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46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856E6" w14:textId="5CA507A2" w:rsidR="00C92B90" w:rsidRDefault="00C92B90">
    <w:pPr>
      <w:pStyle w:val="Header"/>
    </w:pPr>
    <w:r>
      <w:rPr>
        <w:noProof/>
      </w:rPr>
      <w:pict w14:anchorId="2F153B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47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2419B" w14:textId="6ACC5279" w:rsidR="00C92B90" w:rsidRDefault="00C92B90">
    <w:pPr>
      <w:pStyle w:val="Header"/>
    </w:pPr>
    <w:r>
      <w:rPr>
        <w:noProof/>
      </w:rPr>
      <w:pict w14:anchorId="38AD4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46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0AD"/>
    <w:multiLevelType w:val="multilevel"/>
    <w:tmpl w:val="5880C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B3635"/>
    <w:multiLevelType w:val="multilevel"/>
    <w:tmpl w:val="8A9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20BE6"/>
    <w:multiLevelType w:val="hybridMultilevel"/>
    <w:tmpl w:val="77B00EAC"/>
    <w:lvl w:ilvl="0" w:tplc="84485216">
      <w:start w:val="1"/>
      <w:numFmt w:val="decimal"/>
      <w:lvlText w:val="%1."/>
      <w:lvlJc w:val="left"/>
      <w:pPr>
        <w:ind w:left="720" w:hanging="360"/>
      </w:pPr>
      <w:rPr>
        <w:rFonts w:ascii="Segoe UI" w:hAnsi="Segoe UI" w:cs="Segoe UI"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80784"/>
    <w:multiLevelType w:val="hybridMultilevel"/>
    <w:tmpl w:val="EEC6AB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15637"/>
    <w:multiLevelType w:val="hybridMultilevel"/>
    <w:tmpl w:val="01DEF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2232637"/>
    <w:multiLevelType w:val="multilevel"/>
    <w:tmpl w:val="7744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654D28"/>
    <w:multiLevelType w:val="multilevel"/>
    <w:tmpl w:val="53FC3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763BEF"/>
    <w:multiLevelType w:val="multilevel"/>
    <w:tmpl w:val="5880C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3"/>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EA8"/>
    <w:rsid w:val="000007B6"/>
    <w:rsid w:val="00002243"/>
    <w:rsid w:val="0000303E"/>
    <w:rsid w:val="000044FF"/>
    <w:rsid w:val="00013801"/>
    <w:rsid w:val="00014BEE"/>
    <w:rsid w:val="00016260"/>
    <w:rsid w:val="00024858"/>
    <w:rsid w:val="000309C3"/>
    <w:rsid w:val="000353BB"/>
    <w:rsid w:val="00035EA8"/>
    <w:rsid w:val="000417BD"/>
    <w:rsid w:val="00047825"/>
    <w:rsid w:val="0005025C"/>
    <w:rsid w:val="00050AAA"/>
    <w:rsid w:val="00056C7B"/>
    <w:rsid w:val="00061FBF"/>
    <w:rsid w:val="0006721F"/>
    <w:rsid w:val="000672A7"/>
    <w:rsid w:val="00071725"/>
    <w:rsid w:val="00072212"/>
    <w:rsid w:val="00072A98"/>
    <w:rsid w:val="00080138"/>
    <w:rsid w:val="0008306C"/>
    <w:rsid w:val="00083C92"/>
    <w:rsid w:val="00084622"/>
    <w:rsid w:val="00085171"/>
    <w:rsid w:val="00086B83"/>
    <w:rsid w:val="00087505"/>
    <w:rsid w:val="000933A6"/>
    <w:rsid w:val="0009446F"/>
    <w:rsid w:val="00095FE2"/>
    <w:rsid w:val="000970DE"/>
    <w:rsid w:val="000A3528"/>
    <w:rsid w:val="000A7FD2"/>
    <w:rsid w:val="000B2E56"/>
    <w:rsid w:val="000B3EF3"/>
    <w:rsid w:val="000C1A78"/>
    <w:rsid w:val="000C1AE7"/>
    <w:rsid w:val="000C2692"/>
    <w:rsid w:val="000C35F9"/>
    <w:rsid w:val="000C393C"/>
    <w:rsid w:val="000C50CF"/>
    <w:rsid w:val="000D05A4"/>
    <w:rsid w:val="000D55D0"/>
    <w:rsid w:val="000E1BC7"/>
    <w:rsid w:val="000F0EBC"/>
    <w:rsid w:val="000F1A35"/>
    <w:rsid w:val="000F2ADC"/>
    <w:rsid w:val="000F60E0"/>
    <w:rsid w:val="000F7FD2"/>
    <w:rsid w:val="001025D2"/>
    <w:rsid w:val="001033B4"/>
    <w:rsid w:val="00107423"/>
    <w:rsid w:val="0010771D"/>
    <w:rsid w:val="00111395"/>
    <w:rsid w:val="001113C9"/>
    <w:rsid w:val="001162C7"/>
    <w:rsid w:val="00120FE7"/>
    <w:rsid w:val="00121369"/>
    <w:rsid w:val="00123B9A"/>
    <w:rsid w:val="00125141"/>
    <w:rsid w:val="0013167B"/>
    <w:rsid w:val="00134307"/>
    <w:rsid w:val="0014307C"/>
    <w:rsid w:val="00153F0D"/>
    <w:rsid w:val="00154363"/>
    <w:rsid w:val="001545E7"/>
    <w:rsid w:val="00155362"/>
    <w:rsid w:val="0015686A"/>
    <w:rsid w:val="001626B0"/>
    <w:rsid w:val="00164840"/>
    <w:rsid w:val="00166EA0"/>
    <w:rsid w:val="00171EF6"/>
    <w:rsid w:val="001829DD"/>
    <w:rsid w:val="00183280"/>
    <w:rsid w:val="00183780"/>
    <w:rsid w:val="00195B26"/>
    <w:rsid w:val="001A1294"/>
    <w:rsid w:val="001A29C8"/>
    <w:rsid w:val="001A50F4"/>
    <w:rsid w:val="001A5503"/>
    <w:rsid w:val="001A5EFD"/>
    <w:rsid w:val="001B2FEF"/>
    <w:rsid w:val="001B44F0"/>
    <w:rsid w:val="001B4809"/>
    <w:rsid w:val="001C1D95"/>
    <w:rsid w:val="001C1E3C"/>
    <w:rsid w:val="001C7489"/>
    <w:rsid w:val="001D349B"/>
    <w:rsid w:val="001D5A48"/>
    <w:rsid w:val="001D63AA"/>
    <w:rsid w:val="001E603B"/>
    <w:rsid w:val="001E6135"/>
    <w:rsid w:val="001F0016"/>
    <w:rsid w:val="001F176B"/>
    <w:rsid w:val="001F2AD7"/>
    <w:rsid w:val="001F2B5D"/>
    <w:rsid w:val="00206662"/>
    <w:rsid w:val="0021557E"/>
    <w:rsid w:val="002200B8"/>
    <w:rsid w:val="00226760"/>
    <w:rsid w:val="00230828"/>
    <w:rsid w:val="002315B1"/>
    <w:rsid w:val="00233761"/>
    <w:rsid w:val="00236CDF"/>
    <w:rsid w:val="00242001"/>
    <w:rsid w:val="00242A8B"/>
    <w:rsid w:val="00242F66"/>
    <w:rsid w:val="00245016"/>
    <w:rsid w:val="00245D47"/>
    <w:rsid w:val="00250B53"/>
    <w:rsid w:val="002511B0"/>
    <w:rsid w:val="00252F2A"/>
    <w:rsid w:val="002549FB"/>
    <w:rsid w:val="002579A2"/>
    <w:rsid w:val="0026026A"/>
    <w:rsid w:val="00260CCE"/>
    <w:rsid w:val="00261BC3"/>
    <w:rsid w:val="002632AD"/>
    <w:rsid w:val="00266CD8"/>
    <w:rsid w:val="002711CB"/>
    <w:rsid w:val="00272B90"/>
    <w:rsid w:val="00275CD4"/>
    <w:rsid w:val="002814EA"/>
    <w:rsid w:val="00283E76"/>
    <w:rsid w:val="00291CE0"/>
    <w:rsid w:val="002923E8"/>
    <w:rsid w:val="00292799"/>
    <w:rsid w:val="002A4BAC"/>
    <w:rsid w:val="002B658C"/>
    <w:rsid w:val="002B7A64"/>
    <w:rsid w:val="002C01EE"/>
    <w:rsid w:val="002C6F68"/>
    <w:rsid w:val="002D22CC"/>
    <w:rsid w:val="002D3498"/>
    <w:rsid w:val="002D4421"/>
    <w:rsid w:val="002D6DDC"/>
    <w:rsid w:val="002E1C00"/>
    <w:rsid w:val="002E291F"/>
    <w:rsid w:val="002E5A0B"/>
    <w:rsid w:val="002E7804"/>
    <w:rsid w:val="002F2066"/>
    <w:rsid w:val="002F32FD"/>
    <w:rsid w:val="002F5369"/>
    <w:rsid w:val="00303629"/>
    <w:rsid w:val="003036FB"/>
    <w:rsid w:val="00303A5B"/>
    <w:rsid w:val="00310637"/>
    <w:rsid w:val="003117D3"/>
    <w:rsid w:val="00315003"/>
    <w:rsid w:val="00315927"/>
    <w:rsid w:val="00316D3D"/>
    <w:rsid w:val="00317AE0"/>
    <w:rsid w:val="00323179"/>
    <w:rsid w:val="00324B7D"/>
    <w:rsid w:val="00325F58"/>
    <w:rsid w:val="00326155"/>
    <w:rsid w:val="0033035B"/>
    <w:rsid w:val="00335A79"/>
    <w:rsid w:val="00337A86"/>
    <w:rsid w:val="00341DAE"/>
    <w:rsid w:val="003425BE"/>
    <w:rsid w:val="00345A36"/>
    <w:rsid w:val="003471BC"/>
    <w:rsid w:val="00347BAA"/>
    <w:rsid w:val="0035743F"/>
    <w:rsid w:val="003609CE"/>
    <w:rsid w:val="00361601"/>
    <w:rsid w:val="00361CA2"/>
    <w:rsid w:val="00363302"/>
    <w:rsid w:val="003638CB"/>
    <w:rsid w:val="00371CF1"/>
    <w:rsid w:val="00376A7E"/>
    <w:rsid w:val="00380C8A"/>
    <w:rsid w:val="00381A1F"/>
    <w:rsid w:val="00382571"/>
    <w:rsid w:val="00382F74"/>
    <w:rsid w:val="00383BCA"/>
    <w:rsid w:val="00391C66"/>
    <w:rsid w:val="00392399"/>
    <w:rsid w:val="003971B9"/>
    <w:rsid w:val="003B3FAF"/>
    <w:rsid w:val="003B73BB"/>
    <w:rsid w:val="003B7454"/>
    <w:rsid w:val="003B79BA"/>
    <w:rsid w:val="003C09D3"/>
    <w:rsid w:val="003C3EF6"/>
    <w:rsid w:val="003C626A"/>
    <w:rsid w:val="003E2933"/>
    <w:rsid w:val="003E4BC2"/>
    <w:rsid w:val="003E4C51"/>
    <w:rsid w:val="003E4CAB"/>
    <w:rsid w:val="003E5F80"/>
    <w:rsid w:val="003F18FD"/>
    <w:rsid w:val="003F2F26"/>
    <w:rsid w:val="003F3DE4"/>
    <w:rsid w:val="003F58CC"/>
    <w:rsid w:val="003F67AC"/>
    <w:rsid w:val="0040499D"/>
    <w:rsid w:val="00405E23"/>
    <w:rsid w:val="0040619C"/>
    <w:rsid w:val="00407869"/>
    <w:rsid w:val="00407E66"/>
    <w:rsid w:val="004135B7"/>
    <w:rsid w:val="00413B8E"/>
    <w:rsid w:val="00422B9E"/>
    <w:rsid w:val="004236E2"/>
    <w:rsid w:val="00424536"/>
    <w:rsid w:val="004247A6"/>
    <w:rsid w:val="004305D7"/>
    <w:rsid w:val="0043067E"/>
    <w:rsid w:val="00434B5E"/>
    <w:rsid w:val="004367FC"/>
    <w:rsid w:val="00436D39"/>
    <w:rsid w:val="00437D57"/>
    <w:rsid w:val="004437E9"/>
    <w:rsid w:val="00446417"/>
    <w:rsid w:val="004665B1"/>
    <w:rsid w:val="00467BAE"/>
    <w:rsid w:val="00477040"/>
    <w:rsid w:val="004800A3"/>
    <w:rsid w:val="0048206C"/>
    <w:rsid w:val="00482716"/>
    <w:rsid w:val="0048432B"/>
    <w:rsid w:val="0048438A"/>
    <w:rsid w:val="00486996"/>
    <w:rsid w:val="00493350"/>
    <w:rsid w:val="004945AA"/>
    <w:rsid w:val="004956F1"/>
    <w:rsid w:val="00495E2B"/>
    <w:rsid w:val="00497C78"/>
    <w:rsid w:val="004A09A8"/>
    <w:rsid w:val="004A5AC2"/>
    <w:rsid w:val="004A6CB9"/>
    <w:rsid w:val="004B4095"/>
    <w:rsid w:val="004B6163"/>
    <w:rsid w:val="004B63FA"/>
    <w:rsid w:val="004C0EE2"/>
    <w:rsid w:val="004C46A0"/>
    <w:rsid w:val="004C4A43"/>
    <w:rsid w:val="004C686D"/>
    <w:rsid w:val="004D03E2"/>
    <w:rsid w:val="004D116A"/>
    <w:rsid w:val="004D1673"/>
    <w:rsid w:val="004D1CFC"/>
    <w:rsid w:val="004D2FD1"/>
    <w:rsid w:val="004D3D17"/>
    <w:rsid w:val="004E079C"/>
    <w:rsid w:val="004E5D4E"/>
    <w:rsid w:val="004E72B2"/>
    <w:rsid w:val="004E77A1"/>
    <w:rsid w:val="004F0474"/>
    <w:rsid w:val="004F4235"/>
    <w:rsid w:val="004F719A"/>
    <w:rsid w:val="00506365"/>
    <w:rsid w:val="0051298A"/>
    <w:rsid w:val="00513433"/>
    <w:rsid w:val="00514743"/>
    <w:rsid w:val="00516DF6"/>
    <w:rsid w:val="0051708A"/>
    <w:rsid w:val="00533AB8"/>
    <w:rsid w:val="005371E7"/>
    <w:rsid w:val="00537FD4"/>
    <w:rsid w:val="00541399"/>
    <w:rsid w:val="005418BC"/>
    <w:rsid w:val="005517C6"/>
    <w:rsid w:val="005553B4"/>
    <w:rsid w:val="00555F5B"/>
    <w:rsid w:val="005566E2"/>
    <w:rsid w:val="00560B67"/>
    <w:rsid w:val="005628BA"/>
    <w:rsid w:val="005636C4"/>
    <w:rsid w:val="00571A0C"/>
    <w:rsid w:val="00572019"/>
    <w:rsid w:val="0057239C"/>
    <w:rsid w:val="0057422F"/>
    <w:rsid w:val="005757C9"/>
    <w:rsid w:val="00580125"/>
    <w:rsid w:val="00580B9F"/>
    <w:rsid w:val="00582FB5"/>
    <w:rsid w:val="0058307E"/>
    <w:rsid w:val="00590D80"/>
    <w:rsid w:val="00591F7D"/>
    <w:rsid w:val="005963C1"/>
    <w:rsid w:val="00597F81"/>
    <w:rsid w:val="005A420E"/>
    <w:rsid w:val="005A42D6"/>
    <w:rsid w:val="005B3B8B"/>
    <w:rsid w:val="005C0EB8"/>
    <w:rsid w:val="005C3637"/>
    <w:rsid w:val="005C3DB2"/>
    <w:rsid w:val="005C43FC"/>
    <w:rsid w:val="005C5556"/>
    <w:rsid w:val="005D2F81"/>
    <w:rsid w:val="005D33F7"/>
    <w:rsid w:val="005D7616"/>
    <w:rsid w:val="005E3E86"/>
    <w:rsid w:val="005E6342"/>
    <w:rsid w:val="005E7F53"/>
    <w:rsid w:val="005F1EAA"/>
    <w:rsid w:val="005F2D3F"/>
    <w:rsid w:val="005F2F92"/>
    <w:rsid w:val="005F533F"/>
    <w:rsid w:val="005F5404"/>
    <w:rsid w:val="005F6EAB"/>
    <w:rsid w:val="00600114"/>
    <w:rsid w:val="00612F15"/>
    <w:rsid w:val="00614777"/>
    <w:rsid w:val="006147F3"/>
    <w:rsid w:val="006166EA"/>
    <w:rsid w:val="0061686A"/>
    <w:rsid w:val="00617374"/>
    <w:rsid w:val="00624DF9"/>
    <w:rsid w:val="00637453"/>
    <w:rsid w:val="00643D0A"/>
    <w:rsid w:val="00645DBB"/>
    <w:rsid w:val="00652142"/>
    <w:rsid w:val="0065234E"/>
    <w:rsid w:val="006531B8"/>
    <w:rsid w:val="00654098"/>
    <w:rsid w:val="0065487D"/>
    <w:rsid w:val="00656E4C"/>
    <w:rsid w:val="00657612"/>
    <w:rsid w:val="0066500A"/>
    <w:rsid w:val="0067678F"/>
    <w:rsid w:val="0067684E"/>
    <w:rsid w:val="00684906"/>
    <w:rsid w:val="006869D0"/>
    <w:rsid w:val="00687DB9"/>
    <w:rsid w:val="00695EED"/>
    <w:rsid w:val="006A0E84"/>
    <w:rsid w:val="006A1186"/>
    <w:rsid w:val="006A2CFA"/>
    <w:rsid w:val="006A3B81"/>
    <w:rsid w:val="006A3DDE"/>
    <w:rsid w:val="006A4498"/>
    <w:rsid w:val="006A5150"/>
    <w:rsid w:val="006A5830"/>
    <w:rsid w:val="006A75D3"/>
    <w:rsid w:val="006B1973"/>
    <w:rsid w:val="006B2483"/>
    <w:rsid w:val="006B28AE"/>
    <w:rsid w:val="006C10F3"/>
    <w:rsid w:val="006C5BFF"/>
    <w:rsid w:val="006C7B9E"/>
    <w:rsid w:val="006D0B25"/>
    <w:rsid w:val="006D15C1"/>
    <w:rsid w:val="006D2C5D"/>
    <w:rsid w:val="006D5359"/>
    <w:rsid w:val="006D6685"/>
    <w:rsid w:val="006D7EFF"/>
    <w:rsid w:val="006E3D19"/>
    <w:rsid w:val="006E40C7"/>
    <w:rsid w:val="006E70F6"/>
    <w:rsid w:val="006E7411"/>
    <w:rsid w:val="006E760A"/>
    <w:rsid w:val="006F3815"/>
    <w:rsid w:val="006F4E31"/>
    <w:rsid w:val="00700CEE"/>
    <w:rsid w:val="00701DE8"/>
    <w:rsid w:val="00702ACD"/>
    <w:rsid w:val="00703F37"/>
    <w:rsid w:val="0071372E"/>
    <w:rsid w:val="00714FEA"/>
    <w:rsid w:val="00720AA6"/>
    <w:rsid w:val="00722EE1"/>
    <w:rsid w:val="007238A6"/>
    <w:rsid w:val="00723EE6"/>
    <w:rsid w:val="00725FAC"/>
    <w:rsid w:val="007262C1"/>
    <w:rsid w:val="00731D5F"/>
    <w:rsid w:val="00735042"/>
    <w:rsid w:val="007350D7"/>
    <w:rsid w:val="00736A36"/>
    <w:rsid w:val="00737FC3"/>
    <w:rsid w:val="007439C7"/>
    <w:rsid w:val="00754E48"/>
    <w:rsid w:val="00760CE5"/>
    <w:rsid w:val="00761F72"/>
    <w:rsid w:val="00763470"/>
    <w:rsid w:val="00764052"/>
    <w:rsid w:val="007665D8"/>
    <w:rsid w:val="00766CF5"/>
    <w:rsid w:val="00766E14"/>
    <w:rsid w:val="00782A13"/>
    <w:rsid w:val="00782E4E"/>
    <w:rsid w:val="00787A8C"/>
    <w:rsid w:val="0079033C"/>
    <w:rsid w:val="00791594"/>
    <w:rsid w:val="007918E8"/>
    <w:rsid w:val="00795DD4"/>
    <w:rsid w:val="007A0045"/>
    <w:rsid w:val="007A4828"/>
    <w:rsid w:val="007A5499"/>
    <w:rsid w:val="007A6E43"/>
    <w:rsid w:val="007A7AE3"/>
    <w:rsid w:val="007B25C8"/>
    <w:rsid w:val="007C1471"/>
    <w:rsid w:val="007C2F1C"/>
    <w:rsid w:val="007D5E33"/>
    <w:rsid w:val="007E03D0"/>
    <w:rsid w:val="007E0D89"/>
    <w:rsid w:val="007E51FD"/>
    <w:rsid w:val="007E7427"/>
    <w:rsid w:val="007E7A50"/>
    <w:rsid w:val="007F21F9"/>
    <w:rsid w:val="007F53CD"/>
    <w:rsid w:val="00802F00"/>
    <w:rsid w:val="00803916"/>
    <w:rsid w:val="00804894"/>
    <w:rsid w:val="00810DBC"/>
    <w:rsid w:val="0081291A"/>
    <w:rsid w:val="00812C13"/>
    <w:rsid w:val="008135F6"/>
    <w:rsid w:val="008142CC"/>
    <w:rsid w:val="00814608"/>
    <w:rsid w:val="0082158F"/>
    <w:rsid w:val="008247AB"/>
    <w:rsid w:val="008265C7"/>
    <w:rsid w:val="0082663E"/>
    <w:rsid w:val="008269E3"/>
    <w:rsid w:val="00826F25"/>
    <w:rsid w:val="0082705F"/>
    <w:rsid w:val="008301EC"/>
    <w:rsid w:val="00837DF6"/>
    <w:rsid w:val="00840EF1"/>
    <w:rsid w:val="0084467E"/>
    <w:rsid w:val="00846281"/>
    <w:rsid w:val="00851581"/>
    <w:rsid w:val="00851674"/>
    <w:rsid w:val="00853A66"/>
    <w:rsid w:val="0085494E"/>
    <w:rsid w:val="00860030"/>
    <w:rsid w:val="008619CB"/>
    <w:rsid w:val="00862FB7"/>
    <w:rsid w:val="00870AAE"/>
    <w:rsid w:val="008719CD"/>
    <w:rsid w:val="008770A0"/>
    <w:rsid w:val="00882152"/>
    <w:rsid w:val="008861ED"/>
    <w:rsid w:val="00886928"/>
    <w:rsid w:val="0089071E"/>
    <w:rsid w:val="0089158F"/>
    <w:rsid w:val="00893342"/>
    <w:rsid w:val="008A011A"/>
    <w:rsid w:val="008A1EAA"/>
    <w:rsid w:val="008A2B53"/>
    <w:rsid w:val="008B1776"/>
    <w:rsid w:val="008B1E18"/>
    <w:rsid w:val="008B3DB7"/>
    <w:rsid w:val="008B64BC"/>
    <w:rsid w:val="008C090C"/>
    <w:rsid w:val="008C160A"/>
    <w:rsid w:val="008C5C5E"/>
    <w:rsid w:val="008D13D8"/>
    <w:rsid w:val="008D199F"/>
    <w:rsid w:val="008D2074"/>
    <w:rsid w:val="008D5313"/>
    <w:rsid w:val="008D6968"/>
    <w:rsid w:val="008E4B59"/>
    <w:rsid w:val="008E605B"/>
    <w:rsid w:val="008F0773"/>
    <w:rsid w:val="008F4959"/>
    <w:rsid w:val="008F5CD7"/>
    <w:rsid w:val="0090475F"/>
    <w:rsid w:val="00904A62"/>
    <w:rsid w:val="0091279B"/>
    <w:rsid w:val="0091499C"/>
    <w:rsid w:val="00915F0F"/>
    <w:rsid w:val="00923C53"/>
    <w:rsid w:val="00927149"/>
    <w:rsid w:val="00927F30"/>
    <w:rsid w:val="009322AC"/>
    <w:rsid w:val="009328D9"/>
    <w:rsid w:val="009349CA"/>
    <w:rsid w:val="00934EB6"/>
    <w:rsid w:val="00935C20"/>
    <w:rsid w:val="009404A5"/>
    <w:rsid w:val="00940FA4"/>
    <w:rsid w:val="0094280E"/>
    <w:rsid w:val="00952384"/>
    <w:rsid w:val="00952727"/>
    <w:rsid w:val="00954A9D"/>
    <w:rsid w:val="009574E1"/>
    <w:rsid w:val="00963875"/>
    <w:rsid w:val="00964C25"/>
    <w:rsid w:val="0096630B"/>
    <w:rsid w:val="00976B88"/>
    <w:rsid w:val="00977801"/>
    <w:rsid w:val="00991D27"/>
    <w:rsid w:val="00993150"/>
    <w:rsid w:val="00996786"/>
    <w:rsid w:val="009A0334"/>
    <w:rsid w:val="009A7958"/>
    <w:rsid w:val="009B2DD5"/>
    <w:rsid w:val="009C09DF"/>
    <w:rsid w:val="009C154D"/>
    <w:rsid w:val="009D05AF"/>
    <w:rsid w:val="009D0C73"/>
    <w:rsid w:val="009D544B"/>
    <w:rsid w:val="009D549E"/>
    <w:rsid w:val="009D6CEA"/>
    <w:rsid w:val="009E09C0"/>
    <w:rsid w:val="009E63F6"/>
    <w:rsid w:val="009E6E59"/>
    <w:rsid w:val="009F1753"/>
    <w:rsid w:val="00A02C07"/>
    <w:rsid w:val="00A05F6C"/>
    <w:rsid w:val="00A0714C"/>
    <w:rsid w:val="00A104D5"/>
    <w:rsid w:val="00A161EE"/>
    <w:rsid w:val="00A2193E"/>
    <w:rsid w:val="00A21E32"/>
    <w:rsid w:val="00A221B9"/>
    <w:rsid w:val="00A2323F"/>
    <w:rsid w:val="00A27DCE"/>
    <w:rsid w:val="00A31005"/>
    <w:rsid w:val="00A31B41"/>
    <w:rsid w:val="00A373D8"/>
    <w:rsid w:val="00A406EC"/>
    <w:rsid w:val="00A4183D"/>
    <w:rsid w:val="00A4356B"/>
    <w:rsid w:val="00A4613E"/>
    <w:rsid w:val="00A46276"/>
    <w:rsid w:val="00A4668A"/>
    <w:rsid w:val="00A5013B"/>
    <w:rsid w:val="00A53DE9"/>
    <w:rsid w:val="00A544A2"/>
    <w:rsid w:val="00A651BE"/>
    <w:rsid w:val="00A6648C"/>
    <w:rsid w:val="00A66894"/>
    <w:rsid w:val="00A67245"/>
    <w:rsid w:val="00A73393"/>
    <w:rsid w:val="00A74A8D"/>
    <w:rsid w:val="00A7562E"/>
    <w:rsid w:val="00A77893"/>
    <w:rsid w:val="00A778EC"/>
    <w:rsid w:val="00A81155"/>
    <w:rsid w:val="00A83C05"/>
    <w:rsid w:val="00A86D98"/>
    <w:rsid w:val="00A90206"/>
    <w:rsid w:val="00A93C51"/>
    <w:rsid w:val="00A9410A"/>
    <w:rsid w:val="00A95644"/>
    <w:rsid w:val="00A95C0D"/>
    <w:rsid w:val="00A9737B"/>
    <w:rsid w:val="00A97FC8"/>
    <w:rsid w:val="00AA2818"/>
    <w:rsid w:val="00AA4085"/>
    <w:rsid w:val="00AA462E"/>
    <w:rsid w:val="00AA4860"/>
    <w:rsid w:val="00AB0D80"/>
    <w:rsid w:val="00AB31D9"/>
    <w:rsid w:val="00AB3E22"/>
    <w:rsid w:val="00AB61EC"/>
    <w:rsid w:val="00AB6DE9"/>
    <w:rsid w:val="00AB6EA4"/>
    <w:rsid w:val="00AC2802"/>
    <w:rsid w:val="00AC350A"/>
    <w:rsid w:val="00AC51DE"/>
    <w:rsid w:val="00AD20CA"/>
    <w:rsid w:val="00AE122E"/>
    <w:rsid w:val="00AE269B"/>
    <w:rsid w:val="00AE4F22"/>
    <w:rsid w:val="00AE617D"/>
    <w:rsid w:val="00AE6B5C"/>
    <w:rsid w:val="00AE7A0E"/>
    <w:rsid w:val="00AF06CA"/>
    <w:rsid w:val="00AF1BCD"/>
    <w:rsid w:val="00AF4891"/>
    <w:rsid w:val="00AF60D8"/>
    <w:rsid w:val="00B0027D"/>
    <w:rsid w:val="00B0176F"/>
    <w:rsid w:val="00B067D5"/>
    <w:rsid w:val="00B06EC5"/>
    <w:rsid w:val="00B225E0"/>
    <w:rsid w:val="00B249E9"/>
    <w:rsid w:val="00B25841"/>
    <w:rsid w:val="00B3481D"/>
    <w:rsid w:val="00B41C44"/>
    <w:rsid w:val="00B430EF"/>
    <w:rsid w:val="00B43FB8"/>
    <w:rsid w:val="00B449B3"/>
    <w:rsid w:val="00B4727F"/>
    <w:rsid w:val="00B475F6"/>
    <w:rsid w:val="00B51A10"/>
    <w:rsid w:val="00B5346B"/>
    <w:rsid w:val="00B5730E"/>
    <w:rsid w:val="00B61E20"/>
    <w:rsid w:val="00B62CCD"/>
    <w:rsid w:val="00B74E1B"/>
    <w:rsid w:val="00B765C0"/>
    <w:rsid w:val="00B8106B"/>
    <w:rsid w:val="00B815F0"/>
    <w:rsid w:val="00B83600"/>
    <w:rsid w:val="00B8465C"/>
    <w:rsid w:val="00B92182"/>
    <w:rsid w:val="00B922EE"/>
    <w:rsid w:val="00BA47B2"/>
    <w:rsid w:val="00BB1AD5"/>
    <w:rsid w:val="00BB564B"/>
    <w:rsid w:val="00BB69D7"/>
    <w:rsid w:val="00BB792B"/>
    <w:rsid w:val="00BC058E"/>
    <w:rsid w:val="00BC0C02"/>
    <w:rsid w:val="00BC1914"/>
    <w:rsid w:val="00BC4055"/>
    <w:rsid w:val="00BC49B7"/>
    <w:rsid w:val="00BC533F"/>
    <w:rsid w:val="00BC553B"/>
    <w:rsid w:val="00BC5E39"/>
    <w:rsid w:val="00BC5F60"/>
    <w:rsid w:val="00BC7EDA"/>
    <w:rsid w:val="00BD2F47"/>
    <w:rsid w:val="00BD716D"/>
    <w:rsid w:val="00BD79D0"/>
    <w:rsid w:val="00BE13C7"/>
    <w:rsid w:val="00BE6785"/>
    <w:rsid w:val="00BE767C"/>
    <w:rsid w:val="00BF2C70"/>
    <w:rsid w:val="00BF6F73"/>
    <w:rsid w:val="00C0477B"/>
    <w:rsid w:val="00C04FF3"/>
    <w:rsid w:val="00C11EB6"/>
    <w:rsid w:val="00C22B53"/>
    <w:rsid w:val="00C25D4D"/>
    <w:rsid w:val="00C31BB1"/>
    <w:rsid w:val="00C424A4"/>
    <w:rsid w:val="00C42C32"/>
    <w:rsid w:val="00C438ED"/>
    <w:rsid w:val="00C45574"/>
    <w:rsid w:val="00C5305F"/>
    <w:rsid w:val="00C53EFB"/>
    <w:rsid w:val="00C56929"/>
    <w:rsid w:val="00C57BCC"/>
    <w:rsid w:val="00C629A2"/>
    <w:rsid w:val="00C63014"/>
    <w:rsid w:val="00C70103"/>
    <w:rsid w:val="00C73787"/>
    <w:rsid w:val="00C806D1"/>
    <w:rsid w:val="00C81603"/>
    <w:rsid w:val="00C83A8E"/>
    <w:rsid w:val="00C86189"/>
    <w:rsid w:val="00C90ACD"/>
    <w:rsid w:val="00C92B90"/>
    <w:rsid w:val="00C94C4D"/>
    <w:rsid w:val="00C94FB5"/>
    <w:rsid w:val="00CA1454"/>
    <w:rsid w:val="00CA2068"/>
    <w:rsid w:val="00CA2075"/>
    <w:rsid w:val="00CA2F8D"/>
    <w:rsid w:val="00CA59CB"/>
    <w:rsid w:val="00CA72EA"/>
    <w:rsid w:val="00CB0961"/>
    <w:rsid w:val="00CB200F"/>
    <w:rsid w:val="00CB2C1D"/>
    <w:rsid w:val="00CB2DDD"/>
    <w:rsid w:val="00CB3624"/>
    <w:rsid w:val="00CB3A52"/>
    <w:rsid w:val="00CB7174"/>
    <w:rsid w:val="00CD0E59"/>
    <w:rsid w:val="00CD165E"/>
    <w:rsid w:val="00CD53D7"/>
    <w:rsid w:val="00CD57B3"/>
    <w:rsid w:val="00CE1868"/>
    <w:rsid w:val="00CE294C"/>
    <w:rsid w:val="00CF3434"/>
    <w:rsid w:val="00CF5C6E"/>
    <w:rsid w:val="00D1330C"/>
    <w:rsid w:val="00D13F0D"/>
    <w:rsid w:val="00D1531C"/>
    <w:rsid w:val="00D1739C"/>
    <w:rsid w:val="00D173BD"/>
    <w:rsid w:val="00D20AEF"/>
    <w:rsid w:val="00D3566C"/>
    <w:rsid w:val="00D3750A"/>
    <w:rsid w:val="00D42277"/>
    <w:rsid w:val="00D42DC3"/>
    <w:rsid w:val="00D47C25"/>
    <w:rsid w:val="00D501B3"/>
    <w:rsid w:val="00D5027C"/>
    <w:rsid w:val="00D50B59"/>
    <w:rsid w:val="00D528E8"/>
    <w:rsid w:val="00D5626E"/>
    <w:rsid w:val="00D600A3"/>
    <w:rsid w:val="00D65724"/>
    <w:rsid w:val="00D7060A"/>
    <w:rsid w:val="00D7528D"/>
    <w:rsid w:val="00D7605E"/>
    <w:rsid w:val="00D81859"/>
    <w:rsid w:val="00D81F2E"/>
    <w:rsid w:val="00D85B9F"/>
    <w:rsid w:val="00D942BC"/>
    <w:rsid w:val="00D950CB"/>
    <w:rsid w:val="00D955E9"/>
    <w:rsid w:val="00D957C8"/>
    <w:rsid w:val="00D97D40"/>
    <w:rsid w:val="00DA20C2"/>
    <w:rsid w:val="00DA21BF"/>
    <w:rsid w:val="00DA26D7"/>
    <w:rsid w:val="00DB08C4"/>
    <w:rsid w:val="00DB223A"/>
    <w:rsid w:val="00DB34C5"/>
    <w:rsid w:val="00DB5424"/>
    <w:rsid w:val="00DB77E7"/>
    <w:rsid w:val="00DC09A9"/>
    <w:rsid w:val="00DC1567"/>
    <w:rsid w:val="00DC168E"/>
    <w:rsid w:val="00DC1C9A"/>
    <w:rsid w:val="00DC3FBF"/>
    <w:rsid w:val="00DC79FC"/>
    <w:rsid w:val="00DE098C"/>
    <w:rsid w:val="00DE4BFD"/>
    <w:rsid w:val="00DF2073"/>
    <w:rsid w:val="00DF3BF4"/>
    <w:rsid w:val="00DF7AE9"/>
    <w:rsid w:val="00E02D41"/>
    <w:rsid w:val="00E0766A"/>
    <w:rsid w:val="00E109BC"/>
    <w:rsid w:val="00E13D10"/>
    <w:rsid w:val="00E150DD"/>
    <w:rsid w:val="00E16148"/>
    <w:rsid w:val="00E17ECF"/>
    <w:rsid w:val="00E2051B"/>
    <w:rsid w:val="00E24059"/>
    <w:rsid w:val="00E24BC9"/>
    <w:rsid w:val="00E27C8B"/>
    <w:rsid w:val="00E33995"/>
    <w:rsid w:val="00E3506D"/>
    <w:rsid w:val="00E40979"/>
    <w:rsid w:val="00E41B40"/>
    <w:rsid w:val="00E42BD9"/>
    <w:rsid w:val="00E51A4C"/>
    <w:rsid w:val="00E5337E"/>
    <w:rsid w:val="00E54FD8"/>
    <w:rsid w:val="00E55F05"/>
    <w:rsid w:val="00E57AB5"/>
    <w:rsid w:val="00E6194B"/>
    <w:rsid w:val="00E650C9"/>
    <w:rsid w:val="00E6516B"/>
    <w:rsid w:val="00E66205"/>
    <w:rsid w:val="00E66E32"/>
    <w:rsid w:val="00E71AC4"/>
    <w:rsid w:val="00E75573"/>
    <w:rsid w:val="00E75AD0"/>
    <w:rsid w:val="00E87040"/>
    <w:rsid w:val="00E90D2B"/>
    <w:rsid w:val="00E93CED"/>
    <w:rsid w:val="00E9719A"/>
    <w:rsid w:val="00EA0FD7"/>
    <w:rsid w:val="00EA2989"/>
    <w:rsid w:val="00EB182F"/>
    <w:rsid w:val="00EB3D9B"/>
    <w:rsid w:val="00EB783C"/>
    <w:rsid w:val="00EC1508"/>
    <w:rsid w:val="00EC3952"/>
    <w:rsid w:val="00EC7D93"/>
    <w:rsid w:val="00ED4F09"/>
    <w:rsid w:val="00ED58BA"/>
    <w:rsid w:val="00EE2373"/>
    <w:rsid w:val="00EE77CE"/>
    <w:rsid w:val="00EF14B3"/>
    <w:rsid w:val="00EF4918"/>
    <w:rsid w:val="00EF55CA"/>
    <w:rsid w:val="00F02281"/>
    <w:rsid w:val="00F0784F"/>
    <w:rsid w:val="00F11C1D"/>
    <w:rsid w:val="00F11FFA"/>
    <w:rsid w:val="00F21E6A"/>
    <w:rsid w:val="00F2279C"/>
    <w:rsid w:val="00F2294E"/>
    <w:rsid w:val="00F32852"/>
    <w:rsid w:val="00F33439"/>
    <w:rsid w:val="00F33BAD"/>
    <w:rsid w:val="00F436E4"/>
    <w:rsid w:val="00F473CE"/>
    <w:rsid w:val="00F4740F"/>
    <w:rsid w:val="00F50630"/>
    <w:rsid w:val="00F547D8"/>
    <w:rsid w:val="00F573A3"/>
    <w:rsid w:val="00F60295"/>
    <w:rsid w:val="00F60ACB"/>
    <w:rsid w:val="00F60CB7"/>
    <w:rsid w:val="00F65092"/>
    <w:rsid w:val="00F65AFA"/>
    <w:rsid w:val="00F725EA"/>
    <w:rsid w:val="00F72B5E"/>
    <w:rsid w:val="00F72C09"/>
    <w:rsid w:val="00F741A1"/>
    <w:rsid w:val="00F74AF0"/>
    <w:rsid w:val="00F75450"/>
    <w:rsid w:val="00F76A72"/>
    <w:rsid w:val="00F76D0F"/>
    <w:rsid w:val="00F85BFF"/>
    <w:rsid w:val="00F87A75"/>
    <w:rsid w:val="00F942DD"/>
    <w:rsid w:val="00F943AC"/>
    <w:rsid w:val="00F94D2B"/>
    <w:rsid w:val="00FA2210"/>
    <w:rsid w:val="00FA7492"/>
    <w:rsid w:val="00FB0ECC"/>
    <w:rsid w:val="00FB2CA7"/>
    <w:rsid w:val="00FB4250"/>
    <w:rsid w:val="00FC398F"/>
    <w:rsid w:val="00FC409D"/>
    <w:rsid w:val="00FC465D"/>
    <w:rsid w:val="00FC6340"/>
    <w:rsid w:val="00FD282E"/>
    <w:rsid w:val="00FD41B0"/>
    <w:rsid w:val="00FD78FE"/>
    <w:rsid w:val="00FE179B"/>
    <w:rsid w:val="00FE2210"/>
    <w:rsid w:val="00FE3750"/>
    <w:rsid w:val="00FE3884"/>
    <w:rsid w:val="00FF0AB5"/>
    <w:rsid w:val="00FF3D42"/>
    <w:rsid w:val="00FF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2"/>
    <o:shapelayout v:ext="edit">
      <o:idmap v:ext="edit" data="1"/>
    </o:shapelayout>
  </w:shapeDefaults>
  <w:decimalSymbol w:val="."/>
  <w:listSeparator w:val=","/>
  <w14:docId w14:val="778CED04"/>
  <w15:chartTrackingRefBased/>
  <w15:docId w15:val="{67DED47F-F68C-4E3A-A6D6-467575E8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5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5E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E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5E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5E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5E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5E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5E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5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5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5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5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5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EA8"/>
    <w:rPr>
      <w:rFonts w:eastAsiaTheme="majorEastAsia" w:cstheme="majorBidi"/>
      <w:color w:val="272727" w:themeColor="text1" w:themeTint="D8"/>
    </w:rPr>
  </w:style>
  <w:style w:type="paragraph" w:styleId="Title">
    <w:name w:val="Title"/>
    <w:basedOn w:val="Normal"/>
    <w:next w:val="Normal"/>
    <w:link w:val="TitleChar"/>
    <w:uiPriority w:val="10"/>
    <w:qFormat/>
    <w:rsid w:val="00035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E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EA8"/>
    <w:pPr>
      <w:spacing w:before="160"/>
      <w:jc w:val="center"/>
    </w:pPr>
    <w:rPr>
      <w:i/>
      <w:iCs/>
      <w:color w:val="404040" w:themeColor="text1" w:themeTint="BF"/>
    </w:rPr>
  </w:style>
  <w:style w:type="character" w:customStyle="1" w:styleId="QuoteChar">
    <w:name w:val="Quote Char"/>
    <w:basedOn w:val="DefaultParagraphFont"/>
    <w:link w:val="Quote"/>
    <w:uiPriority w:val="29"/>
    <w:rsid w:val="00035EA8"/>
    <w:rPr>
      <w:i/>
      <w:iCs/>
      <w:color w:val="404040" w:themeColor="text1" w:themeTint="BF"/>
    </w:rPr>
  </w:style>
  <w:style w:type="paragraph" w:styleId="ListParagraph">
    <w:name w:val="List Paragraph"/>
    <w:basedOn w:val="Normal"/>
    <w:uiPriority w:val="34"/>
    <w:qFormat/>
    <w:rsid w:val="00035EA8"/>
    <w:pPr>
      <w:ind w:left="720"/>
      <w:contextualSpacing/>
    </w:pPr>
  </w:style>
  <w:style w:type="character" w:styleId="IntenseEmphasis">
    <w:name w:val="Intense Emphasis"/>
    <w:basedOn w:val="DefaultParagraphFont"/>
    <w:uiPriority w:val="21"/>
    <w:qFormat/>
    <w:rsid w:val="00035EA8"/>
    <w:rPr>
      <w:i/>
      <w:iCs/>
      <w:color w:val="0F4761" w:themeColor="accent1" w:themeShade="BF"/>
    </w:rPr>
  </w:style>
  <w:style w:type="paragraph" w:styleId="IntenseQuote">
    <w:name w:val="Intense Quote"/>
    <w:basedOn w:val="Normal"/>
    <w:next w:val="Normal"/>
    <w:link w:val="IntenseQuoteChar"/>
    <w:uiPriority w:val="30"/>
    <w:qFormat/>
    <w:rsid w:val="00035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5EA8"/>
    <w:rPr>
      <w:i/>
      <w:iCs/>
      <w:color w:val="0F4761" w:themeColor="accent1" w:themeShade="BF"/>
    </w:rPr>
  </w:style>
  <w:style w:type="character" w:styleId="IntenseReference">
    <w:name w:val="Intense Reference"/>
    <w:basedOn w:val="DefaultParagraphFont"/>
    <w:uiPriority w:val="32"/>
    <w:qFormat/>
    <w:rsid w:val="00035EA8"/>
    <w:rPr>
      <w:b/>
      <w:bCs/>
      <w:smallCaps/>
      <w:color w:val="0F4761" w:themeColor="accent1" w:themeShade="BF"/>
      <w:spacing w:val="5"/>
    </w:rPr>
  </w:style>
  <w:style w:type="character" w:styleId="Emphasis">
    <w:name w:val="Emphasis"/>
    <w:uiPriority w:val="20"/>
    <w:qFormat/>
    <w:rsid w:val="00035EA8"/>
    <w:rPr>
      <w:i/>
      <w:iCs/>
    </w:rPr>
  </w:style>
  <w:style w:type="paragraph" w:customStyle="1" w:styleId="NormalWeb1">
    <w:name w:val="Normal (Web)1"/>
    <w:basedOn w:val="Normal"/>
    <w:rsid w:val="00035EA8"/>
    <w:pPr>
      <w:spacing w:before="225" w:after="225" w:line="240" w:lineRule="auto"/>
    </w:pPr>
    <w:rPr>
      <w:rFonts w:ascii="Times New Roman" w:eastAsia="Times New Roman" w:hAnsi="Times New Roman" w:cs="Times New Roman"/>
      <w:kern w:val="0"/>
      <w14:ligatures w14:val="none"/>
    </w:rPr>
  </w:style>
  <w:style w:type="character" w:customStyle="1" w:styleId="citationbook">
    <w:name w:val="citation book"/>
    <w:basedOn w:val="DefaultParagraphFont"/>
    <w:rsid w:val="00035EA8"/>
  </w:style>
  <w:style w:type="character" w:customStyle="1" w:styleId="element-citation">
    <w:name w:val="element-citation"/>
    <w:basedOn w:val="DefaultParagraphFont"/>
    <w:rsid w:val="00035EA8"/>
  </w:style>
  <w:style w:type="paragraph" w:customStyle="1" w:styleId="p">
    <w:name w:val="p"/>
    <w:basedOn w:val="Normal"/>
    <w:rsid w:val="00C04FF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link w:val="NormalWebChar"/>
    <w:rsid w:val="005C43FC"/>
    <w:pPr>
      <w:spacing w:before="100" w:beforeAutospacing="1" w:after="100" w:afterAutospacing="1" w:line="240" w:lineRule="auto"/>
    </w:pPr>
    <w:rPr>
      <w:rFonts w:ascii="Arial Unicode MS" w:eastAsia="Arial Unicode MS" w:hAnsi="Arial Unicode MS" w:cs="Arial Unicode MS"/>
      <w:kern w:val="0"/>
      <w14:ligatures w14:val="none"/>
    </w:rPr>
  </w:style>
  <w:style w:type="character" w:customStyle="1" w:styleId="NormalWebChar">
    <w:name w:val="Normal (Web) Char"/>
    <w:link w:val="NormalWeb"/>
    <w:rsid w:val="005C43FC"/>
    <w:rPr>
      <w:rFonts w:ascii="Arial Unicode MS" w:eastAsia="Arial Unicode MS" w:hAnsi="Arial Unicode MS" w:cs="Arial Unicode MS"/>
      <w:kern w:val="0"/>
      <w14:ligatures w14:val="none"/>
    </w:rPr>
  </w:style>
  <w:style w:type="table" w:styleId="TableGrid">
    <w:name w:val="Table Grid"/>
    <w:basedOn w:val="TableNormal"/>
    <w:uiPriority w:val="39"/>
    <w:rsid w:val="00050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F5C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436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436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436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436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4D1CFC"/>
    <w:rPr>
      <w:color w:val="0000FF"/>
      <w:u w:val="single"/>
    </w:rPr>
  </w:style>
  <w:style w:type="character" w:customStyle="1" w:styleId="UnresolvedMention1">
    <w:name w:val="Unresolved Mention1"/>
    <w:basedOn w:val="DefaultParagraphFont"/>
    <w:uiPriority w:val="99"/>
    <w:semiHidden/>
    <w:unhideWhenUsed/>
    <w:rsid w:val="00086B83"/>
    <w:rPr>
      <w:color w:val="605E5C"/>
      <w:shd w:val="clear" w:color="auto" w:fill="E1DFDD"/>
    </w:rPr>
  </w:style>
  <w:style w:type="paragraph" w:styleId="Header">
    <w:name w:val="header"/>
    <w:basedOn w:val="Normal"/>
    <w:link w:val="HeaderChar"/>
    <w:uiPriority w:val="99"/>
    <w:unhideWhenUsed/>
    <w:rsid w:val="00493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350"/>
  </w:style>
  <w:style w:type="paragraph" w:styleId="Footer">
    <w:name w:val="footer"/>
    <w:basedOn w:val="Normal"/>
    <w:link w:val="FooterChar"/>
    <w:uiPriority w:val="99"/>
    <w:unhideWhenUsed/>
    <w:rsid w:val="00493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350"/>
  </w:style>
  <w:style w:type="character" w:styleId="UnresolvedMention">
    <w:name w:val="Unresolved Mention"/>
    <w:basedOn w:val="DefaultParagraphFont"/>
    <w:uiPriority w:val="99"/>
    <w:semiHidden/>
    <w:unhideWhenUsed/>
    <w:rsid w:val="00514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09603">
      <w:bodyDiv w:val="1"/>
      <w:marLeft w:val="0"/>
      <w:marRight w:val="0"/>
      <w:marTop w:val="0"/>
      <w:marBottom w:val="0"/>
      <w:divBdr>
        <w:top w:val="none" w:sz="0" w:space="0" w:color="auto"/>
        <w:left w:val="none" w:sz="0" w:space="0" w:color="auto"/>
        <w:bottom w:val="none" w:sz="0" w:space="0" w:color="auto"/>
        <w:right w:val="none" w:sz="0" w:space="0" w:color="auto"/>
      </w:divBdr>
    </w:div>
    <w:div w:id="174543147">
      <w:bodyDiv w:val="1"/>
      <w:marLeft w:val="0"/>
      <w:marRight w:val="0"/>
      <w:marTop w:val="0"/>
      <w:marBottom w:val="0"/>
      <w:divBdr>
        <w:top w:val="none" w:sz="0" w:space="0" w:color="auto"/>
        <w:left w:val="none" w:sz="0" w:space="0" w:color="auto"/>
        <w:bottom w:val="none" w:sz="0" w:space="0" w:color="auto"/>
        <w:right w:val="none" w:sz="0" w:space="0" w:color="auto"/>
      </w:divBdr>
    </w:div>
    <w:div w:id="536088467">
      <w:bodyDiv w:val="1"/>
      <w:marLeft w:val="0"/>
      <w:marRight w:val="0"/>
      <w:marTop w:val="0"/>
      <w:marBottom w:val="0"/>
      <w:divBdr>
        <w:top w:val="none" w:sz="0" w:space="0" w:color="auto"/>
        <w:left w:val="none" w:sz="0" w:space="0" w:color="auto"/>
        <w:bottom w:val="none" w:sz="0" w:space="0" w:color="auto"/>
        <w:right w:val="none" w:sz="0" w:space="0" w:color="auto"/>
      </w:divBdr>
    </w:div>
    <w:div w:id="800198222">
      <w:bodyDiv w:val="1"/>
      <w:marLeft w:val="0"/>
      <w:marRight w:val="0"/>
      <w:marTop w:val="0"/>
      <w:marBottom w:val="0"/>
      <w:divBdr>
        <w:top w:val="none" w:sz="0" w:space="0" w:color="auto"/>
        <w:left w:val="none" w:sz="0" w:space="0" w:color="auto"/>
        <w:bottom w:val="none" w:sz="0" w:space="0" w:color="auto"/>
        <w:right w:val="none" w:sz="0" w:space="0" w:color="auto"/>
      </w:divBdr>
    </w:div>
    <w:div w:id="913004720">
      <w:bodyDiv w:val="1"/>
      <w:marLeft w:val="0"/>
      <w:marRight w:val="0"/>
      <w:marTop w:val="0"/>
      <w:marBottom w:val="0"/>
      <w:divBdr>
        <w:top w:val="none" w:sz="0" w:space="0" w:color="auto"/>
        <w:left w:val="none" w:sz="0" w:space="0" w:color="auto"/>
        <w:bottom w:val="none" w:sz="0" w:space="0" w:color="auto"/>
        <w:right w:val="none" w:sz="0" w:space="0" w:color="auto"/>
      </w:divBdr>
    </w:div>
    <w:div w:id="1370911872">
      <w:bodyDiv w:val="1"/>
      <w:marLeft w:val="0"/>
      <w:marRight w:val="0"/>
      <w:marTop w:val="0"/>
      <w:marBottom w:val="0"/>
      <w:divBdr>
        <w:top w:val="none" w:sz="0" w:space="0" w:color="auto"/>
        <w:left w:val="none" w:sz="0" w:space="0" w:color="auto"/>
        <w:bottom w:val="none" w:sz="0" w:space="0" w:color="auto"/>
        <w:right w:val="none" w:sz="0" w:space="0" w:color="auto"/>
      </w:divBdr>
    </w:div>
    <w:div w:id="1384911219">
      <w:bodyDiv w:val="1"/>
      <w:marLeft w:val="0"/>
      <w:marRight w:val="0"/>
      <w:marTop w:val="0"/>
      <w:marBottom w:val="0"/>
      <w:divBdr>
        <w:top w:val="none" w:sz="0" w:space="0" w:color="auto"/>
        <w:left w:val="none" w:sz="0" w:space="0" w:color="auto"/>
        <w:bottom w:val="none" w:sz="0" w:space="0" w:color="auto"/>
        <w:right w:val="none" w:sz="0" w:space="0" w:color="auto"/>
      </w:divBdr>
    </w:div>
    <w:div w:id="1444769752">
      <w:bodyDiv w:val="1"/>
      <w:marLeft w:val="0"/>
      <w:marRight w:val="0"/>
      <w:marTop w:val="0"/>
      <w:marBottom w:val="0"/>
      <w:divBdr>
        <w:top w:val="none" w:sz="0" w:space="0" w:color="auto"/>
        <w:left w:val="none" w:sz="0" w:space="0" w:color="auto"/>
        <w:bottom w:val="none" w:sz="0" w:space="0" w:color="auto"/>
        <w:right w:val="none" w:sz="0" w:space="0" w:color="auto"/>
      </w:divBdr>
    </w:div>
    <w:div w:id="1600485708">
      <w:bodyDiv w:val="1"/>
      <w:marLeft w:val="0"/>
      <w:marRight w:val="0"/>
      <w:marTop w:val="0"/>
      <w:marBottom w:val="0"/>
      <w:divBdr>
        <w:top w:val="none" w:sz="0" w:space="0" w:color="auto"/>
        <w:left w:val="none" w:sz="0" w:space="0" w:color="auto"/>
        <w:bottom w:val="none" w:sz="0" w:space="0" w:color="auto"/>
        <w:right w:val="none" w:sz="0" w:space="0" w:color="auto"/>
      </w:divBdr>
    </w:div>
    <w:div w:id="1893811656">
      <w:bodyDiv w:val="1"/>
      <w:marLeft w:val="0"/>
      <w:marRight w:val="0"/>
      <w:marTop w:val="0"/>
      <w:marBottom w:val="0"/>
      <w:divBdr>
        <w:top w:val="none" w:sz="0" w:space="0" w:color="auto"/>
        <w:left w:val="none" w:sz="0" w:space="0" w:color="auto"/>
        <w:bottom w:val="none" w:sz="0" w:space="0" w:color="auto"/>
        <w:right w:val="none" w:sz="0" w:space="0" w:color="auto"/>
      </w:divBdr>
      <w:divsChild>
        <w:div w:id="1710841927">
          <w:marLeft w:val="0"/>
          <w:marRight w:val="0"/>
          <w:marTop w:val="360"/>
          <w:marBottom w:val="80"/>
          <w:divBdr>
            <w:top w:val="none" w:sz="0" w:space="0" w:color="auto"/>
            <w:left w:val="none" w:sz="0" w:space="0" w:color="auto"/>
            <w:bottom w:val="none" w:sz="0" w:space="0" w:color="auto"/>
            <w:right w:val="none" w:sz="0" w:space="0" w:color="auto"/>
          </w:divBdr>
        </w:div>
        <w:div w:id="622614442">
          <w:marLeft w:val="0"/>
          <w:marRight w:val="0"/>
          <w:marTop w:val="360"/>
          <w:marBottom w:val="80"/>
          <w:divBdr>
            <w:top w:val="none" w:sz="0" w:space="0" w:color="auto"/>
            <w:left w:val="none" w:sz="0" w:space="0" w:color="auto"/>
            <w:bottom w:val="none" w:sz="0" w:space="0" w:color="auto"/>
            <w:right w:val="none" w:sz="0" w:space="0" w:color="auto"/>
          </w:divBdr>
        </w:div>
        <w:div w:id="623004950">
          <w:marLeft w:val="0"/>
          <w:marRight w:val="0"/>
          <w:marTop w:val="360"/>
          <w:marBottom w:val="80"/>
          <w:divBdr>
            <w:top w:val="none" w:sz="0" w:space="0" w:color="auto"/>
            <w:left w:val="none" w:sz="0" w:space="0" w:color="auto"/>
            <w:bottom w:val="none" w:sz="0" w:space="0" w:color="auto"/>
            <w:right w:val="none" w:sz="0" w:space="0" w:color="auto"/>
          </w:divBdr>
        </w:div>
        <w:div w:id="1886485905">
          <w:marLeft w:val="0"/>
          <w:marRight w:val="0"/>
          <w:marTop w:val="360"/>
          <w:marBottom w:val="80"/>
          <w:divBdr>
            <w:top w:val="none" w:sz="0" w:space="0" w:color="auto"/>
            <w:left w:val="none" w:sz="0" w:space="0" w:color="auto"/>
            <w:bottom w:val="none" w:sz="0" w:space="0" w:color="auto"/>
            <w:right w:val="none" w:sz="0" w:space="0" w:color="auto"/>
          </w:divBdr>
        </w:div>
        <w:div w:id="1116213108">
          <w:marLeft w:val="0"/>
          <w:marRight w:val="0"/>
          <w:marTop w:val="360"/>
          <w:marBottom w:val="80"/>
          <w:divBdr>
            <w:top w:val="none" w:sz="0" w:space="0" w:color="auto"/>
            <w:left w:val="none" w:sz="0" w:space="0" w:color="auto"/>
            <w:bottom w:val="none" w:sz="0" w:space="0" w:color="auto"/>
            <w:right w:val="none" w:sz="0" w:space="0" w:color="auto"/>
          </w:divBdr>
        </w:div>
        <w:div w:id="1476221878">
          <w:marLeft w:val="0"/>
          <w:marRight w:val="0"/>
          <w:marTop w:val="360"/>
          <w:marBottom w:val="80"/>
          <w:divBdr>
            <w:top w:val="none" w:sz="0" w:space="0" w:color="auto"/>
            <w:left w:val="none" w:sz="0" w:space="0" w:color="auto"/>
            <w:bottom w:val="none" w:sz="0" w:space="0" w:color="auto"/>
            <w:right w:val="none" w:sz="0" w:space="0" w:color="auto"/>
          </w:divBdr>
        </w:div>
        <w:div w:id="2085566206">
          <w:marLeft w:val="0"/>
          <w:marRight w:val="0"/>
          <w:marTop w:val="360"/>
          <w:marBottom w:val="80"/>
          <w:divBdr>
            <w:top w:val="none" w:sz="0" w:space="0" w:color="auto"/>
            <w:left w:val="none" w:sz="0" w:space="0" w:color="auto"/>
            <w:bottom w:val="none" w:sz="0" w:space="0" w:color="auto"/>
            <w:right w:val="none" w:sz="0" w:space="0" w:color="auto"/>
          </w:divBdr>
        </w:div>
        <w:div w:id="920675731">
          <w:marLeft w:val="0"/>
          <w:marRight w:val="0"/>
          <w:marTop w:val="0"/>
          <w:marBottom w:val="160"/>
          <w:divBdr>
            <w:top w:val="none" w:sz="0" w:space="0" w:color="auto"/>
            <w:left w:val="none" w:sz="0" w:space="0" w:color="auto"/>
            <w:bottom w:val="none" w:sz="0" w:space="0" w:color="auto"/>
            <w:right w:val="none" w:sz="0" w:space="0" w:color="auto"/>
          </w:divBdr>
        </w:div>
      </w:divsChild>
    </w:div>
    <w:div w:id="1954821049">
      <w:bodyDiv w:val="1"/>
      <w:marLeft w:val="0"/>
      <w:marRight w:val="0"/>
      <w:marTop w:val="0"/>
      <w:marBottom w:val="0"/>
      <w:divBdr>
        <w:top w:val="none" w:sz="0" w:space="0" w:color="auto"/>
        <w:left w:val="none" w:sz="0" w:space="0" w:color="auto"/>
        <w:bottom w:val="none" w:sz="0" w:space="0" w:color="auto"/>
        <w:right w:val="none" w:sz="0" w:space="0" w:color="auto"/>
      </w:divBdr>
      <w:divsChild>
        <w:div w:id="865942489">
          <w:marLeft w:val="0"/>
          <w:marRight w:val="0"/>
          <w:marTop w:val="360"/>
          <w:marBottom w:val="80"/>
          <w:divBdr>
            <w:top w:val="none" w:sz="0" w:space="0" w:color="auto"/>
            <w:left w:val="none" w:sz="0" w:space="0" w:color="auto"/>
            <w:bottom w:val="none" w:sz="0" w:space="0" w:color="auto"/>
            <w:right w:val="none" w:sz="0" w:space="0" w:color="auto"/>
          </w:divBdr>
        </w:div>
        <w:div w:id="2144500922">
          <w:marLeft w:val="0"/>
          <w:marRight w:val="0"/>
          <w:marTop w:val="360"/>
          <w:marBottom w:val="80"/>
          <w:divBdr>
            <w:top w:val="none" w:sz="0" w:space="0" w:color="auto"/>
            <w:left w:val="none" w:sz="0" w:space="0" w:color="auto"/>
            <w:bottom w:val="none" w:sz="0" w:space="0" w:color="auto"/>
            <w:right w:val="none" w:sz="0" w:space="0" w:color="auto"/>
          </w:divBdr>
        </w:div>
        <w:div w:id="116947055">
          <w:marLeft w:val="0"/>
          <w:marRight w:val="0"/>
          <w:marTop w:val="360"/>
          <w:marBottom w:val="80"/>
          <w:divBdr>
            <w:top w:val="none" w:sz="0" w:space="0" w:color="auto"/>
            <w:left w:val="none" w:sz="0" w:space="0" w:color="auto"/>
            <w:bottom w:val="none" w:sz="0" w:space="0" w:color="auto"/>
            <w:right w:val="none" w:sz="0" w:space="0" w:color="auto"/>
          </w:divBdr>
        </w:div>
        <w:div w:id="1761558367">
          <w:marLeft w:val="0"/>
          <w:marRight w:val="0"/>
          <w:marTop w:val="360"/>
          <w:marBottom w:val="80"/>
          <w:divBdr>
            <w:top w:val="none" w:sz="0" w:space="0" w:color="auto"/>
            <w:left w:val="none" w:sz="0" w:space="0" w:color="auto"/>
            <w:bottom w:val="none" w:sz="0" w:space="0" w:color="auto"/>
            <w:right w:val="none" w:sz="0" w:space="0" w:color="auto"/>
          </w:divBdr>
        </w:div>
        <w:div w:id="1058432548">
          <w:marLeft w:val="0"/>
          <w:marRight w:val="0"/>
          <w:marTop w:val="360"/>
          <w:marBottom w:val="80"/>
          <w:divBdr>
            <w:top w:val="none" w:sz="0" w:space="0" w:color="auto"/>
            <w:left w:val="none" w:sz="0" w:space="0" w:color="auto"/>
            <w:bottom w:val="none" w:sz="0" w:space="0" w:color="auto"/>
            <w:right w:val="none" w:sz="0" w:space="0" w:color="auto"/>
          </w:divBdr>
        </w:div>
        <w:div w:id="411512113">
          <w:marLeft w:val="0"/>
          <w:marRight w:val="0"/>
          <w:marTop w:val="360"/>
          <w:marBottom w:val="80"/>
          <w:divBdr>
            <w:top w:val="none" w:sz="0" w:space="0" w:color="auto"/>
            <w:left w:val="none" w:sz="0" w:space="0" w:color="auto"/>
            <w:bottom w:val="none" w:sz="0" w:space="0" w:color="auto"/>
            <w:right w:val="none" w:sz="0" w:space="0" w:color="auto"/>
          </w:divBdr>
        </w:div>
        <w:div w:id="1265579330">
          <w:marLeft w:val="0"/>
          <w:marRight w:val="0"/>
          <w:marTop w:val="360"/>
          <w:marBottom w:val="80"/>
          <w:divBdr>
            <w:top w:val="none" w:sz="0" w:space="0" w:color="auto"/>
            <w:left w:val="none" w:sz="0" w:space="0" w:color="auto"/>
            <w:bottom w:val="none" w:sz="0" w:space="0" w:color="auto"/>
            <w:right w:val="none" w:sz="0" w:space="0" w:color="auto"/>
          </w:divBdr>
        </w:div>
        <w:div w:id="98416562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06B0AEE-5EC3-4EE7-A642-B61182095B81}">
  <ds:schemaRefs>
    <ds:schemaRef ds:uri="http://schemas.openxmlformats.org/officeDocument/2006/bibliography"/>
  </ds:schemaRefs>
</ds:datastoreItem>
</file>

<file path=docMetadata/LabelInfo.xml><?xml version="1.0" encoding="utf-8"?>
<clbl:labelList xmlns:clbl="http://schemas.microsoft.com/office/2020/mipLabelMetadata">
  <clbl:label id="{6e4db608-ddec-4a44-8ad7-7d5a79b7448e}" enabled="1" method="Standard" siteId="{fd799da1-bfc1-4234-a91c-72b3a1cb9e26}" removed="0"/>
</clbl:labelList>
</file>

<file path=docProps/app.xml><?xml version="1.0" encoding="utf-8"?>
<Properties xmlns="http://schemas.openxmlformats.org/officeDocument/2006/extended-properties" xmlns:vt="http://schemas.openxmlformats.org/officeDocument/2006/docPropsVTypes">
  <Template>Normal</Template>
  <TotalTime>16</TotalTime>
  <Pages>14</Pages>
  <Words>19731</Words>
  <Characters>112470</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131938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Ohwo, Ufuoma [Deepdrill Oilfield Services]</dc:creator>
  <cp:keywords/>
  <dc:description/>
  <cp:lastModifiedBy>SDI 1180</cp:lastModifiedBy>
  <cp:revision>7</cp:revision>
  <dcterms:created xsi:type="dcterms:W3CDTF">2025-07-10T17:19:00Z</dcterms:created>
  <dcterms:modified xsi:type="dcterms:W3CDTF">2025-07-11T09:33:00Z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e7637c67-b085-4a43-91cc-36c430a5591a</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cccce271-7dd1-3059-84fe-b8fbeaa9ff09</vt:lpwstr>
  </property>
  <property fmtid="{D5CDD505-2E9C-101B-9397-08002B2CF9AE}" pid="25" name="Mendeley Citation Style_1">
    <vt:lpwstr>http://www.zotero.org/styles/apa</vt:lpwstr>
  </property>
</Properties>
</file>