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1077" w14:textId="77777777" w:rsidR="00C0207E" w:rsidRPr="00C0207E" w:rsidRDefault="00C0207E" w:rsidP="00C0207E">
      <w:pPr>
        <w:spacing w:line="360" w:lineRule="auto"/>
        <w:rPr>
          <w:rFonts w:ascii="Times New Roman" w:hAnsi="Times New Roman" w:cs="Times New Roman"/>
          <w:b/>
          <w:bCs/>
          <w:i/>
          <w:iCs/>
          <w:sz w:val="24"/>
          <w:szCs w:val="24"/>
          <w:u w:val="single"/>
          <w:lang w:val="en-US"/>
        </w:rPr>
      </w:pPr>
      <w:bookmarkStart w:id="0" w:name="_Hlk191812180"/>
      <w:r w:rsidRPr="00C0207E">
        <w:rPr>
          <w:rFonts w:ascii="Times New Roman" w:hAnsi="Times New Roman" w:cs="Times New Roman"/>
          <w:b/>
          <w:bCs/>
          <w:i/>
          <w:iCs/>
          <w:sz w:val="24"/>
          <w:szCs w:val="24"/>
          <w:u w:val="single"/>
          <w:lang w:val="en-US"/>
        </w:rPr>
        <w:t>Review Article</w:t>
      </w:r>
    </w:p>
    <w:p w14:paraId="12DAD97D" w14:textId="0963C768" w:rsidR="0035583F" w:rsidRDefault="000E76AA">
      <w:pPr>
        <w:spacing w:line="360" w:lineRule="auto"/>
        <w:rPr>
          <w:rFonts w:ascii="Times New Roman" w:hAnsi="Times New Roman" w:cs="Times New Roman"/>
          <w:b/>
          <w:bCs/>
          <w:sz w:val="24"/>
          <w:szCs w:val="24"/>
        </w:rPr>
      </w:pPr>
      <w:r>
        <w:rPr>
          <w:rFonts w:ascii="Times New Roman" w:hAnsi="Times New Roman" w:cs="Times New Roman"/>
          <w:b/>
          <w:bCs/>
          <w:sz w:val="24"/>
          <w:szCs w:val="24"/>
        </w:rPr>
        <w:t>Role of CT scan and MRI in Cancer Diagnosis</w:t>
      </w:r>
      <w:bookmarkEnd w:id="0"/>
      <w:r>
        <w:rPr>
          <w:rFonts w:ascii="Times New Roman" w:hAnsi="Times New Roman" w:cs="Times New Roman"/>
          <w:b/>
          <w:bCs/>
          <w:sz w:val="24"/>
          <w:szCs w:val="24"/>
        </w:rPr>
        <w:t>: A Comparative Review of Imaging Modalities for Precision Medicine</w:t>
      </w:r>
    </w:p>
    <w:p w14:paraId="4BABECF5" w14:textId="77777777" w:rsidR="004061FE" w:rsidRDefault="004061FE">
      <w:pPr>
        <w:spacing w:line="360" w:lineRule="auto"/>
        <w:rPr>
          <w:rFonts w:ascii="Times New Roman" w:hAnsi="Times New Roman" w:cs="Times New Roman"/>
          <w:b/>
          <w:bCs/>
          <w:sz w:val="24"/>
          <w:szCs w:val="24"/>
        </w:rPr>
      </w:pPr>
    </w:p>
    <w:p w14:paraId="0BCB0EEC" w14:textId="3F91F50B" w:rsidR="0035583F" w:rsidRDefault="00FB043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08081AA0" w14:textId="77777777" w:rsidR="0035583F" w:rsidRDefault="00FB0430">
      <w:pPr>
        <w:spacing w:line="360" w:lineRule="auto"/>
        <w:jc w:val="both"/>
        <w:rPr>
          <w:rFonts w:ascii="Times New Roman" w:hAnsi="Times New Roman" w:cs="Times New Roman"/>
          <w:sz w:val="24"/>
          <w:szCs w:val="24"/>
        </w:rPr>
      </w:pPr>
      <w:r>
        <w:rPr>
          <w:rFonts w:ascii="Times New Roman" w:hAnsi="Times New Roman" w:cs="Times New Roman"/>
          <w:sz w:val="24"/>
          <w:szCs w:val="24"/>
        </w:rPr>
        <w:t>Cancer is one of the most lethal diseases in the current scenario all over the world. Early detection may lead to better treatment and recovery. Imaging modalities such as</w:t>
      </w:r>
      <w:r>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4"/>
        </w:rPr>
        <w:t xml:space="preserve">Magnetic resonance imaging (MRI) </w:t>
      </w:r>
      <w:r>
        <w:rPr>
          <w:rFonts w:ascii="Times New Roman" w:hAnsi="Times New Roman" w:cs="Times New Roman"/>
          <w:sz w:val="24"/>
          <w:szCs w:val="24"/>
        </w:rPr>
        <w:t>and Computed tomography (CT) are two modern diagnostic imaging techniques that are helpful in tumor diagnosis.</w:t>
      </w:r>
      <w:r>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4"/>
        </w:rPr>
        <w:t xml:space="preserve">The method of cancer diagnosis using CT or MRI, can provide precise information about the lesion's location, size, shape, and structural changes </w:t>
      </w:r>
      <w:r>
        <w:rPr>
          <w:rFonts w:ascii="Times New Roman" w:hAnsi="Times New Roman" w:cs="Times New Roman"/>
          <w:sz w:val="24"/>
          <w:szCs w:val="24"/>
        </w:rPr>
        <w:t>in the surrounding tissues. Cancer staging is precisely done on positron emission tomography (PET) but the staging of cancer is possible through CT scan and MRI up to some extent, which is helpful before starting any treatment. It provides adequate treatme</w:t>
      </w:r>
      <w:r>
        <w:rPr>
          <w:rFonts w:ascii="Times New Roman" w:hAnsi="Times New Roman" w:cs="Times New Roman"/>
          <w:sz w:val="24"/>
          <w:szCs w:val="24"/>
        </w:rPr>
        <w:t>nt depending on location, size, and type of tumor. CT scan is generally preferred is the diagnosis of abdominal and calcified lesions, while MRI is better for peripheral and central nervous system (CNS) lesions.</w:t>
      </w:r>
      <w:r>
        <w:rPr>
          <w:rFonts w:ascii="Times New Roman" w:hAnsi="Times New Roman" w:cs="Times New Roman"/>
          <w:b/>
          <w:bCs/>
          <w:sz w:val="24"/>
          <w:szCs w:val="24"/>
        </w:rPr>
        <w:t xml:space="preserve"> </w:t>
      </w:r>
      <w:r>
        <w:rPr>
          <w:rFonts w:ascii="Times New Roman" w:hAnsi="Times New Roman" w:cs="Times New Roman"/>
          <w:sz w:val="24"/>
          <w:szCs w:val="24"/>
        </w:rPr>
        <w:t xml:space="preserve">Precision in cancer diagnosis increases the </w:t>
      </w:r>
      <w:r>
        <w:rPr>
          <w:rFonts w:ascii="Times New Roman" w:hAnsi="Times New Roman" w:cs="Times New Roman"/>
          <w:sz w:val="24"/>
          <w:szCs w:val="24"/>
        </w:rPr>
        <w:t>probability of opting and executing a successful treatment. Recent advances such as dual-energy computed tomography (DECT), magnetic resonance spectroscopy (MRS), Positron emission tomography-computed tomography (PET-CT), and Positron emission tomography-m</w:t>
      </w:r>
      <w:r>
        <w:rPr>
          <w:rFonts w:ascii="Times New Roman" w:hAnsi="Times New Roman" w:cs="Times New Roman"/>
          <w:sz w:val="24"/>
          <w:szCs w:val="24"/>
        </w:rPr>
        <w:t>agnetic resonance imaging (PET-MRI) have increased the precision of cancer diagnosis. It increases image acquisition resolution, allowing for even more accurate and precise diagnosis and prognosis. Also, the qualitative interpretation of cancer imaging mig</w:t>
      </w:r>
      <w:r>
        <w:rPr>
          <w:rFonts w:ascii="Times New Roman" w:hAnsi="Times New Roman" w:cs="Times New Roman"/>
          <w:sz w:val="24"/>
          <w:szCs w:val="24"/>
        </w:rPr>
        <w:t>ht be greatly enhanced by the integration of artificial intelligence (AI) in radio imaging techniques.</w:t>
      </w:r>
    </w:p>
    <w:p w14:paraId="39F22A04" w14:textId="77777777" w:rsidR="0035583F" w:rsidRDefault="00FB043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 xml:space="preserve">Cancer diagnosis, Computed Tomography, Magnetic Resonance Imaging, Precision medicine </w:t>
      </w:r>
    </w:p>
    <w:p w14:paraId="1A42B6A5" w14:textId="77777777" w:rsidR="0035583F" w:rsidRDefault="0035583F">
      <w:pPr>
        <w:spacing w:line="360" w:lineRule="auto"/>
        <w:jc w:val="both"/>
        <w:rPr>
          <w:rFonts w:ascii="Times New Roman" w:hAnsi="Times New Roman" w:cs="Times New Roman"/>
          <w:sz w:val="24"/>
          <w:szCs w:val="24"/>
        </w:rPr>
      </w:pPr>
    </w:p>
    <w:p w14:paraId="0C658D98" w14:textId="77777777" w:rsidR="0035583F" w:rsidRDefault="0035583F">
      <w:pPr>
        <w:spacing w:line="360" w:lineRule="auto"/>
        <w:jc w:val="both"/>
        <w:rPr>
          <w:rFonts w:ascii="Times New Roman" w:hAnsi="Times New Roman" w:cs="Times New Roman"/>
          <w:sz w:val="24"/>
          <w:szCs w:val="24"/>
        </w:rPr>
      </w:pPr>
    </w:p>
    <w:p w14:paraId="2EF5B5CB" w14:textId="77777777" w:rsidR="0035583F" w:rsidRDefault="0035583F">
      <w:pPr>
        <w:spacing w:line="360" w:lineRule="auto"/>
        <w:jc w:val="both"/>
        <w:rPr>
          <w:rFonts w:ascii="Times New Roman" w:hAnsi="Times New Roman" w:cs="Times New Roman"/>
          <w:sz w:val="24"/>
          <w:szCs w:val="24"/>
        </w:rPr>
      </w:pPr>
    </w:p>
    <w:p w14:paraId="234C01B8" w14:textId="77777777" w:rsidR="0035583F" w:rsidRDefault="0035583F">
      <w:pPr>
        <w:spacing w:line="360" w:lineRule="auto"/>
        <w:jc w:val="both"/>
        <w:rPr>
          <w:rFonts w:ascii="Times New Roman" w:hAnsi="Times New Roman" w:cs="Times New Roman"/>
          <w:sz w:val="24"/>
          <w:szCs w:val="24"/>
        </w:rPr>
      </w:pPr>
    </w:p>
    <w:p w14:paraId="35EAA292" w14:textId="77777777" w:rsidR="0035583F" w:rsidRDefault="0035583F">
      <w:pPr>
        <w:spacing w:line="360" w:lineRule="auto"/>
        <w:jc w:val="both"/>
        <w:rPr>
          <w:rFonts w:ascii="Times New Roman" w:hAnsi="Times New Roman" w:cs="Times New Roman"/>
          <w:sz w:val="24"/>
          <w:szCs w:val="24"/>
        </w:rPr>
      </w:pPr>
    </w:p>
    <w:p w14:paraId="056B93C2" w14:textId="77777777" w:rsidR="0035583F" w:rsidRDefault="0035583F">
      <w:pPr>
        <w:spacing w:line="360" w:lineRule="auto"/>
        <w:jc w:val="both"/>
        <w:rPr>
          <w:rFonts w:ascii="Times New Roman" w:hAnsi="Times New Roman" w:cs="Times New Roman"/>
          <w:sz w:val="24"/>
          <w:szCs w:val="24"/>
        </w:rPr>
      </w:pPr>
    </w:p>
    <w:p w14:paraId="0D9138F5" w14:textId="77777777" w:rsidR="0035583F" w:rsidRDefault="0035583F">
      <w:pPr>
        <w:spacing w:line="360" w:lineRule="auto"/>
        <w:jc w:val="both"/>
        <w:rPr>
          <w:rFonts w:ascii="Times New Roman" w:hAnsi="Times New Roman" w:cs="Times New Roman"/>
          <w:sz w:val="24"/>
          <w:szCs w:val="24"/>
        </w:rPr>
      </w:pPr>
    </w:p>
    <w:p w14:paraId="1A48AA04" w14:textId="3B7E31FD" w:rsidR="009B07E8"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1. Introduction</w:t>
      </w:r>
    </w:p>
    <w:p w14:paraId="6A7992CC" w14:textId="629CC856" w:rsidR="009B07E8" w:rsidRDefault="00FB0430" w:rsidP="009B07E8">
      <w:pPr>
        <w:pStyle w:val="ListParagraph"/>
        <w:spacing w:line="360" w:lineRule="auto"/>
        <w:ind w:left="0"/>
        <w:jc w:val="both"/>
        <w:rPr>
          <w:rFonts w:ascii="Times New Roman" w:hAnsi="Times New Roman" w:cs="Times New Roman"/>
          <w:b/>
          <w:bCs/>
          <w:sz w:val="24"/>
          <w:szCs w:val="24"/>
        </w:rPr>
      </w:pPr>
      <w:r w:rsidRPr="009B07E8">
        <w:rPr>
          <w:rFonts w:ascii="Times New Roman" w:eastAsia="Times New Roman" w:hAnsi="Times New Roman" w:cs="Times New Roman"/>
          <w:kern w:val="0"/>
          <w:sz w:val="24"/>
          <w:szCs w:val="24"/>
          <w:lang w:eastAsia="en-IN"/>
          <w14:ligatures w14:val="none"/>
        </w:rPr>
        <w:t xml:space="preserve">In 2022 approximately 1.4 lakh cases of cancer have been reported in India </w:t>
      </w:r>
      <w:r w:rsidRPr="009B07E8">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{"citationID":"DOfCffVp","properties":{"formattedCitation":"(Sathishkumar et al., 2022)","plainCitation":"(Sathishkumar et al., 2022)","noteIndex":0},"citationItems":[{"id":"7QoY0TNi/3bAWvdCM","uris":["http://zotero.org/users/16274399/items/RNDB9B7U"],"itemData":{"id":33,"type":"article-journal","abstract":"Background &amp; objectives:\nInformation on recent cancer statistics is important for planning, monitoring and evaluating cancer control activities. This article aims to provide an update on the cancer incidence estimates in India by sex, age groups and anatomical sites for the year 2022.\n\nMethods:\nThe National Cancer Registry Programme Report 2020, reported the cancer incidence from 28 Population-Based Cancer Registries (PBCRs) for the years 2012-2016. This was used as the basis to calculate cancer estimates in India. Information pertaining to the population at risk was extracted from the Census of India (2001 and 2011) for the estimation of age–sex stratified population. PBCRs were categorised into the respective State and regions of the country to understand the epidemiology of cancer. The age-specific incidence rate for each specific anatomical site of cancer was applied to the estimated population to derive the number of cancer cases in India for 2022.\n\nResults:\nThe estimated number of incident cases of cancer in India for the year 2022 was found to be 14,61,427 (crude rate:100.4 per 100,000). In India, one in nine people are likely to develop cancer in his/her lifetime. Lung and breast cancers were the leading sites of cancer in males and females, respectively. Among the childhood (0-14 yr) cancers, lymphoid leukaemia (boys: 29.2% and girls: 24.2%) was the leading site. The incidence of cancer cases is estimated to increase by 12.8 per cent in 2025 as compared to 2020.\n\nInterpretation &amp; conclusions:\nThe cancer incidence is continuing to increase in India. The new estimates will be helpful in planning cancer prevention and control activities through the intervention of early detection, risk reduction and management.","container-title":"The Indian Journal of Medical Research","DOI":"10.4103/ijmr.ijmr_1821_22","ISSN":"0971-5916","issue":"4-5","journalAbbreviation":"Indian J Med Res","note":"PMID: 36510887\nPMCID: PMC10231735","page":"598-607","source":"PubMed Central","title":"Cancer incidence estimates for 2022 &amp; projection for 2025: Result from National Cancer Registry Programme, India","title-short":"Cancer incidence estimates for 2022 &amp; projection for 2025","volume":"156","author":[{"family":"Sathishkumar","given":"Krishnan"},{"family":"Chaturvedi","given":"Meesha"},{"family":"Das","given":"Priyanka"},{"family":"Stephen","given":"S."},{"family":"Mathur","given":"Prashant"}],"issued":{"date-parts":[["2022"]]}}}],"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(Sathishkumar et al., 2022)</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xml:space="preserve">. 23 major cancers became the causes of about 12.85 million deaths </w:t>
      </w:r>
      <w:r w:rsidRPr="009B07E8">
        <w:rPr>
          <w:rFonts w:ascii="Times New Roman" w:eastAsia="Times New Roman" w:hAnsi="Times New Roman" w:cs="Times New Roman"/>
          <w:kern w:val="0"/>
          <w:sz w:val="24"/>
          <w:szCs w:val="24"/>
          <w:lang w:eastAsia="en-IN"/>
          <w14:ligatures w14:val="none"/>
        </w:rPr>
        <w:t xml:space="preserve">between 2000 and 2019 in India </w:t>
      </w:r>
      <w:r w:rsidRPr="009B07E8">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{"citationID":"eW8YOY7d","properties":{"formattedCitation":"(Shaji et al., 2023)","plainCitation":"(Shaji et al., 2023)","noteIndex":0},"citationItems":[{"id":"7QoY0TNi/MwjvQ2EU","uris":["http://zotero.org/users/16274399/items/RWS3KYTQ"],"itemData":{"id":36,"type":"article-journal","abstract":"PurposeCancer mortality trends have not been documented across the population of India. We, therefore, analyzed the overall and individual cancer mortality trends for 23 major cancers between 2000 and 2019 on the basis of Global Health Observatory (GHO) database.Materials and MethodsThis study examined cancer mortality trends for 23 major cancer sites on the basis of 12.85 million cancer deaths obtained from the GHO of the WHO between 2000 and 2019. A joinpoint regression model was used to analyze the long-term trends of cancer mortality. Annual percentage change (APC) and average APC were estimated for various cancer sites.ResultsBetween 2000 and 2019, 12.85 million deaths occurred in India from 23 major cancers. The most common lethal cancers were mouth and oropharyngeal (15.6%), stomach (10.6%), lung (9.6%), breast (9%), and colorectal (8%) cancers. The mortality trend decreased by 0.19% annually among men and increased nonsignificantly by 0.25% among women; an increase of 0.02% was observed among combined sexes. Increasing mortality trends were seen among cancers of the lung, breast, colorectum, lymphoma, multiple myeloma, gallbladder, pancreas, kidney, and mesothelioma between 2000 and 2019. The highest annual increase in mortality was observed in pancreatic cancer among both sexes: 2.7%, 2.1% among men, and 3.7% in women. The cancers of the stomach, esophagus, leukemia, larynx, and melanoma showed a declining cancer mortality trend irrespective of sex.ConclusionA multifaceted strategy is required to tackle the rising cancer mortality rates in India; the best long-term strategy could be implementing awareness on cancer symptoms among the population as well as cancer prevention policies with improved health infrastructure and specifically dedicated human resources.","container-title":"JCO Global Oncology","DOI":"10.1200/GO.22.00405","issue":"9","journalAbbreviation":"JCO Glob Oncol","note":"publisher: Wolters Kluwer","page":"e2200405","source":"ascopubs.org (Atypon)","title":"Analysis of the Mortality Trends of 23 Major Cancers in the Indian Population Between 2000 and 2019: A Joinpoint Regression Analysis","title-short":"Analysis of the Mortality Trends of 23 Major Cancers in the Indian Population Between 2000 and 2019","author":[{"family":"Shaji","given":"Ajil"},{"family":"Keechilat","given":"Pavithran"},{"family":"DK","given":"Vijaykumar"},{"family":"Sauvaget","given":"Catherine"}],"issued":{"date-parts":[["2023",3]]}}}],"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(Shaji et al., 2023)</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xml:space="preserve">. The stage of cancer at the time of diagnosis has a significant impact on the patient's chances of better recovery therefore early detection is very crucial </w:t>
      </w:r>
      <w:r w:rsidRPr="009B07E8">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{"citationID":"uHGoWrg6","properties":{"formattedCitation":"(Bhat et al., 2024; Neal et al., 2015)","plainCitation":"(Bhat et al., 2024; Neal et al., 2015)","noteIndex":0},"citationItems":[{"id":"7QoY0TNi/1X4CK9Dv","uris":["http://zotero.org/users/16274399/items/RUCMPT82"],"itemData":{"id":40,"type":"article-journal","abstract":"It is unclear whether more timely cancer diagnosis brings favourable outcomes, with much of the previous evidence, in some cancers, being equivocal. We set out to determine whether there is an association between time to diagnosis, treatment and clinical outcomes, across all cancers for symptomatic presentations.","container-title":"British Journal of Cancer","DOI":"10.1038/bjc.2015.48","ISSN":"1532-1827","issue":"1","journalAbbreviation":"Br J Cancer","language":"en","license":"2015 The Author(s)","note":"publisher: Nature Publishing Group","page":"S92-S107","source":"www.nature.com","title":"Is increased time to diagnosis and treatment in symptomatic cancer associated with poorer outcomes? Systematic review","title-short":"Is increased time to diagnosis and treatment in symptomatic cancer associated with poorer outcomes?","volume":"112","author":[{"family":"Neal","given":"R. D."},{"family":"Tharmanathan","given":"P."},{"family":"France","given":"B."},{"family":"Din","given":"N. U."},{"family":"Cotton","given":"S."},{"family":"Fallon-Ferguson","given":"J."},{"family":"Hamilton","given":"W."},{"family":"Hendry","given":"A."},{"family":"Hendry","given":"M."},{"family":"Lewis","given":"R."},{"family":"Macleod","given":"U."},{"family":"Mitchell","given":"E. D."},{"family":"Pickett","given":"M."},{"family":"Rai","given":"T."},{"family":"Shaw","given":"K."},{"family":"Stuart","given":"N."},{"family":"Tørring","given":"M. L."},{"family":"Wilkinson","given":"C."},{"family":"Williams","given":"B."},{"family":"Williams","given":"N."},{"family":"Emery","given":"J."}],"issued":{"date-parts":[["2015",3]]}}},{"id":1244,"uris":["http://zotero.org/users/15401920/items/2TLFGQSP"],"itemData":{"id":1244,"type":"article-journal","container-title":"Asian Journal of Research in Biochemistry","DOI":"10.9734/ajrb/2024/v14i4300","ISSN":"2582-0516","issue":"4","language":"en","page":"111-125","source":"journalajrb.com","title":"Cancer Initiation and Progression: A Comprehensive Review of Carcinogenic Substances, Anti-Cancer Therapies, and Regulatory Frameworks","title-short":"Cancer Initiation and Progression","volume":"14","author":[{"family":"Bhat","given":"Aadil Shafi"},{"family":"Ahmed","given":"Mizna"},{"family":"Abbas","given":"Kashif"},{"family":"Mustafa","given":"Mohd"},{"family":"Alam","given":"Mudassir"},{"family":"Salem","given":"Mansour A. S."},{"family":"Islam","given":"Sidra"},{"family":"Tantry","given":"Irfan Qadir"},{"family":"Singh","given":"Yogendra"},{"family":"Fatima","given":"Muizzah"},{"family":"Usmani","given":"Nazura"},{"family":"Faraz","given":"Mohd"},{"family":"Afeef","given":"Mohammad"},{"family":"Habib","given":"Safia"}],"issued":{"date-parts":[["2024",6,22]]}}}],"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(Bhat et al., 2024; Neal et al., 2015)</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xml:space="preserve">. Early cancer detection depends on several factors, including screening the at-risk population, </w:t>
      </w:r>
      <w:r w:rsidR="0046447B" w:rsidRPr="009B07E8">
        <w:rPr>
          <w:rFonts w:ascii="Times New Roman" w:eastAsia="Times New Roman" w:hAnsi="Times New Roman" w:cs="Times New Roman"/>
          <w:kern w:val="0"/>
          <w:sz w:val="24"/>
          <w:szCs w:val="24"/>
          <w:lang w:eastAsia="en-IN"/>
          <w14:ligatures w14:val="none"/>
        </w:rPr>
        <w:t>patients,</w:t>
      </w:r>
      <w:r w:rsidRPr="009B07E8">
        <w:rPr>
          <w:rFonts w:ascii="Times New Roman" w:eastAsia="Times New Roman" w:hAnsi="Times New Roman" w:cs="Times New Roman"/>
          <w:kern w:val="0"/>
          <w:sz w:val="24"/>
          <w:szCs w:val="24"/>
          <w:lang w:eastAsia="en-IN"/>
          <w14:ligatures w14:val="none"/>
        </w:rPr>
        <w:t xml:space="preserve"> </w:t>
      </w:r>
      <w:r w:rsidR="0046447B" w:rsidRPr="009B07E8">
        <w:rPr>
          <w:rFonts w:ascii="Times New Roman" w:eastAsia="Times New Roman" w:hAnsi="Times New Roman" w:cs="Times New Roman"/>
          <w:kern w:val="0"/>
          <w:sz w:val="24"/>
          <w:szCs w:val="24"/>
          <w:lang w:eastAsia="en-IN"/>
          <w14:ligatures w14:val="none"/>
        </w:rPr>
        <w:t xml:space="preserve">and </w:t>
      </w:r>
      <w:r w:rsidRPr="009B07E8">
        <w:rPr>
          <w:rFonts w:ascii="Times New Roman" w:eastAsia="Times New Roman" w:hAnsi="Times New Roman" w:cs="Times New Roman"/>
          <w:kern w:val="0"/>
          <w:sz w:val="24"/>
          <w:szCs w:val="24"/>
          <w:lang w:eastAsia="en-IN"/>
          <w14:ligatures w14:val="none"/>
        </w:rPr>
        <w:t xml:space="preserve">healthcare </w:t>
      </w:r>
      <w:r w:rsidR="0046447B" w:rsidRPr="009B07E8">
        <w:rPr>
          <w:rFonts w:ascii="Times New Roman" w:eastAsia="Times New Roman" w:hAnsi="Times New Roman" w:cs="Times New Roman"/>
          <w:kern w:val="0"/>
          <w:sz w:val="24"/>
          <w:szCs w:val="24"/>
          <w:lang w:eastAsia="en-IN"/>
          <w14:ligatures w14:val="none"/>
        </w:rPr>
        <w:t>providers</w:t>
      </w:r>
      <w:r w:rsidR="001963F9" w:rsidRPr="009B07E8">
        <w:rPr>
          <w:rFonts w:ascii="Times New Roman" w:eastAsia="Times New Roman" w:hAnsi="Times New Roman" w:cs="Times New Roman"/>
          <w:kern w:val="0"/>
          <w:sz w:val="24"/>
          <w:szCs w:val="24"/>
          <w:lang w:eastAsia="en-IN"/>
          <w14:ligatures w14:val="none"/>
        </w:rPr>
        <w:t>,</w:t>
      </w:r>
      <w:r w:rsidRPr="009B07E8">
        <w:rPr>
          <w:rFonts w:ascii="Times New Roman" w:eastAsia="Times New Roman" w:hAnsi="Times New Roman" w:cs="Times New Roman"/>
          <w:kern w:val="0"/>
          <w:sz w:val="24"/>
          <w:szCs w:val="24"/>
          <w:lang w:eastAsia="en-IN"/>
          <w14:ligatures w14:val="none"/>
        </w:rPr>
        <w:t xml:space="preserve"> </w:t>
      </w:r>
      <w:r w:rsidR="0046447B" w:rsidRPr="009B07E8">
        <w:rPr>
          <w:rFonts w:ascii="Times New Roman" w:eastAsia="Times New Roman" w:hAnsi="Times New Roman" w:cs="Times New Roman"/>
          <w:kern w:val="0"/>
          <w:sz w:val="24"/>
          <w:szCs w:val="24"/>
          <w:lang w:eastAsia="en-IN"/>
          <w14:ligatures w14:val="none"/>
        </w:rPr>
        <w:t xml:space="preserve">and the </w:t>
      </w:r>
      <w:r w:rsidRPr="009B07E8">
        <w:rPr>
          <w:rFonts w:ascii="Times New Roman" w:eastAsia="Times New Roman" w:hAnsi="Times New Roman" w:cs="Times New Roman"/>
          <w:kern w:val="0"/>
          <w:sz w:val="24"/>
          <w:szCs w:val="24"/>
          <w:lang w:eastAsia="en-IN"/>
          <w14:ligatures w14:val="none"/>
        </w:rPr>
        <w:t>ability to spot warning signs</w:t>
      </w:r>
      <w:r w:rsidR="00A52A8E">
        <w:rPr>
          <w:rFonts w:ascii="Times New Roman" w:eastAsia="Times New Roman" w:hAnsi="Times New Roman" w:cs="Times New Roman"/>
          <w:kern w:val="0"/>
          <w:sz w:val="24"/>
          <w:szCs w:val="24"/>
          <w:lang w:eastAsia="en-IN"/>
          <w14:ligatures w14:val="none"/>
        </w:rPr>
        <w:t xml:space="preserve"> </w:t>
      </w:r>
      <w:r w:rsidR="00A52A8E">
        <w:rPr>
          <w:rFonts w:ascii="Times New Roman" w:eastAsia="Times New Roman" w:hAnsi="Times New Roman" w:cs="Times New Roman"/>
          <w:kern w:val="0"/>
          <w:sz w:val="24"/>
          <w:szCs w:val="24"/>
          <w:lang w:eastAsia="en-IN"/>
          <w14:ligatures w14:val="none"/>
        </w:rPr>
        <w:fldChar w:fldCharType="begin"/>
      </w:r>
      <w:r w:rsidR="00A52A8E">
        <w:rPr>
          <w:rFonts w:ascii="Times New Roman" w:eastAsia="Times New Roman" w:hAnsi="Times New Roman" w:cs="Times New Roman"/>
          <w:kern w:val="0"/>
          <w:sz w:val="24"/>
          <w:szCs w:val="24"/>
          <w:lang w:eastAsia="en-IN"/>
          <w14:ligatures w14:val="none"/>
        </w:rPr>
        <w:instrText xml:space="preserve"> ADDIN ZOTERO_ITEM CSL_CITATION {"citationID":"KH4Ro092","properties":{"formattedCitation":"(Bhat et al., 2024; Zameer et al., 2025)","plainCitation":"(Bhat et al., 2024; Zameer et al., 2025)","noteIndex":0},"citationItems":[{"id":1244,"uris":["http://zotero.org/users/15401920/items/2TLFGQSP"],"itemData":{"id":1244,"type":"article-journal","container-title":"Asian Journal of Research in Biochemistry","DOI":"10.9734/ajrb/2024/v14i4300","ISSN":"2582-0516","issue":"4","language":"en","page":"111-125","source":"journalajrb.com","title":"Cancer Initiation and Progression: A Comprehensive Review of Carcinogenic Substances, Anti-Cancer Therapies, and Regulatory Frameworks","title-short":"Cancer Initiation and Progression","volume":"14","author":[{"family":"Bhat","given":"Aadil Shafi"},{"family":"Ahmed","given":"Mizna"},{"family":"Abbas","given":"Kashif"},{"family":"Mustafa","given":"Mohd"},{"family":"Alam","given":"Mudassir"},{"family":"Salem","given":"Mansour A. S."},{"family":"Islam","given":"Sidra"},{"family":"Tantry","given":"Irfan Qadir"},{"family":"Singh","given":"Yogendra"},{"family":"Fatima","given":"Muizzah"},{"family":"Usmani","given":"Nazura"},{"family":"Faraz","given":"Mohd"},{"family":"Afeef","given":"Mohammad"},{"family":"Habib","given":"Safia"}],"issued":{"date-parts":[["2024",6,22]]}}},{"id":1172,"uris":["http://zotero.org/users/15401920/items/4L8UQD2M"],"itemData":{"id":1172,"type":"article-journal","container-title":"Biotechnology Journal International","DOI":"10.9734/bji/2025/v29i2769","ISSN":"2456-7051","issue":"2","language":"en","page":"27-36","source":"journalbji.com","title":"Apoptosis Mechanisms: Role of Anti-apoptotic Proteins, Cancer Hallmarks and Tumor Microenvironment in Cancer Cell Survival","title-short":"Apoptosis Mechanisms","volume":"29","author":[{"family":"Zameer","given":"Saqib"},{"family":"Akram","given":"Zeeshan"},{"family":"Daniyal","given":"Areeb"},{"family":"Fatima","given":"Urooj"},{"family":"Faraz","given":"Mohd"},{"family":"Anwar","given":"Zarrin"},{"family":"Khatoon","given":"Sheeba"},{"family":"Habib","given":"Safia"},{"family":"Mustafa","given":"Mohd"}],"issued":{"date-parts":[["2025",3,20]]}}}],"schema":"https://github.com/citation-style-language/schema/raw/master/csl-citation.json"} </w:instrText>
      </w:r>
      <w:r w:rsidR="00A52A8E">
        <w:rPr>
          <w:rFonts w:ascii="Times New Roman" w:eastAsia="Times New Roman" w:hAnsi="Times New Roman" w:cs="Times New Roman"/>
          <w:kern w:val="0"/>
          <w:sz w:val="24"/>
          <w:szCs w:val="24"/>
          <w:lang w:eastAsia="en-IN"/>
          <w14:ligatures w14:val="none"/>
        </w:rPr>
        <w:fldChar w:fldCharType="separate"/>
      </w:r>
      <w:r w:rsidR="00A52A8E" w:rsidRPr="00A52A8E">
        <w:rPr>
          <w:rFonts w:ascii="Times New Roman" w:hAnsi="Times New Roman" w:cs="Times New Roman"/>
          <w:sz w:val="24"/>
        </w:rPr>
        <w:t>(Bhat et al., 2024; Zameer et al., 2025)</w:t>
      </w:r>
      <w:r w:rsidR="00A52A8E">
        <w:rPr>
          <w:rFonts w:ascii="Times New Roman" w:eastAsia="Times New Roman" w:hAnsi="Times New Roman" w:cs="Times New Roman"/>
          <w:kern w:val="0"/>
          <w:sz w:val="24"/>
          <w:szCs w:val="24"/>
          <w:lang w:eastAsia="en-IN"/>
          <w14:ligatures w14:val="none"/>
        </w:rPr>
        <w:fldChar w:fldCharType="end"/>
      </w:r>
      <w:r w:rsidR="001963F9" w:rsidRPr="009B07E8">
        <w:rPr>
          <w:rFonts w:ascii="Times New Roman" w:eastAsia="Times New Roman" w:hAnsi="Times New Roman" w:cs="Times New Roman"/>
          <w:kern w:val="0"/>
          <w:sz w:val="24"/>
          <w:szCs w:val="24"/>
          <w:lang w:eastAsia="en-IN"/>
          <w14:ligatures w14:val="none"/>
        </w:rPr>
        <w:t>.</w:t>
      </w:r>
      <w:r w:rsidRPr="009B07E8">
        <w:rPr>
          <w:rFonts w:ascii="Times New Roman" w:eastAsia="Times New Roman" w:hAnsi="Times New Roman" w:cs="Times New Roman"/>
          <w:kern w:val="0"/>
          <w:sz w:val="24"/>
          <w:szCs w:val="24"/>
          <w:lang w:eastAsia="en-IN"/>
          <w14:ligatures w14:val="none"/>
        </w:rPr>
        <w:t xml:space="preserve"> </w:t>
      </w:r>
      <w:r w:rsidR="00203ED4" w:rsidRPr="009B07E8">
        <w:rPr>
          <w:rFonts w:ascii="Times New Roman" w:eastAsia="Times New Roman" w:hAnsi="Times New Roman" w:cs="Times New Roman"/>
          <w:kern w:val="0"/>
          <w:sz w:val="24"/>
          <w:szCs w:val="24"/>
          <w:lang w:eastAsia="en-IN"/>
          <w14:ligatures w14:val="none"/>
        </w:rPr>
        <w:t>T</w:t>
      </w:r>
      <w:r w:rsidRPr="009B07E8">
        <w:rPr>
          <w:rFonts w:ascii="Times New Roman" w:eastAsia="Times New Roman" w:hAnsi="Times New Roman" w:cs="Times New Roman"/>
          <w:kern w:val="0"/>
          <w:sz w:val="24"/>
          <w:szCs w:val="24"/>
          <w:lang w:eastAsia="en-IN"/>
          <w14:ligatures w14:val="none"/>
        </w:rPr>
        <w:t>he application</w:t>
      </w:r>
      <w:r w:rsidR="0046447B" w:rsidRPr="009B07E8">
        <w:rPr>
          <w:rFonts w:ascii="Times New Roman" w:eastAsia="Times New Roman" w:hAnsi="Times New Roman" w:cs="Times New Roman"/>
          <w:kern w:val="0"/>
          <w:sz w:val="24"/>
          <w:szCs w:val="24"/>
          <w:lang w:eastAsia="en-IN"/>
          <w14:ligatures w14:val="none"/>
        </w:rPr>
        <w:t>s</w:t>
      </w:r>
      <w:r w:rsidRPr="009B07E8">
        <w:rPr>
          <w:rFonts w:ascii="Times New Roman" w:eastAsia="Times New Roman" w:hAnsi="Times New Roman" w:cs="Times New Roman"/>
          <w:kern w:val="0"/>
          <w:sz w:val="24"/>
          <w:szCs w:val="24"/>
          <w:lang w:eastAsia="en-IN"/>
          <w14:ligatures w14:val="none"/>
        </w:rPr>
        <w:t xml:space="preserve"> of diagnostic techniques</w:t>
      </w:r>
      <w:r w:rsidR="00203ED4" w:rsidRPr="009B07E8">
        <w:rPr>
          <w:rFonts w:ascii="Times New Roman" w:eastAsia="Times New Roman" w:hAnsi="Times New Roman" w:cs="Times New Roman"/>
          <w:kern w:val="0"/>
          <w:sz w:val="24"/>
          <w:szCs w:val="24"/>
          <w:lang w:eastAsia="en-IN"/>
          <w14:ligatures w14:val="none"/>
        </w:rPr>
        <w:t xml:space="preserve"> are</w:t>
      </w:r>
      <w:r w:rsidRPr="009B07E8">
        <w:rPr>
          <w:rFonts w:ascii="Times New Roman" w:eastAsia="Times New Roman" w:hAnsi="Times New Roman" w:cs="Times New Roman"/>
          <w:kern w:val="0"/>
          <w:sz w:val="24"/>
          <w:szCs w:val="24"/>
          <w:lang w:eastAsia="en-IN"/>
          <w14:ligatures w14:val="none"/>
        </w:rPr>
        <w:t xml:space="preserve"> to distinguish cancer from other conditions and accurately identify the </w:t>
      </w:r>
      <w:proofErr w:type="spellStart"/>
      <w:r w:rsidRPr="009B07E8">
        <w:rPr>
          <w:rFonts w:ascii="Times New Roman" w:eastAsia="Times New Roman" w:hAnsi="Times New Roman" w:cs="Times New Roman"/>
          <w:kern w:val="0"/>
          <w:sz w:val="24"/>
          <w:szCs w:val="24"/>
          <w:lang w:eastAsia="en-IN"/>
          <w14:ligatures w14:val="none"/>
        </w:rPr>
        <w:t>tumor’s</w:t>
      </w:r>
      <w:proofErr w:type="spellEnd"/>
      <w:r w:rsidRPr="009B07E8">
        <w:rPr>
          <w:rFonts w:ascii="Times New Roman" w:eastAsia="Times New Roman" w:hAnsi="Times New Roman" w:cs="Times New Roman"/>
          <w:kern w:val="0"/>
          <w:sz w:val="24"/>
          <w:szCs w:val="24"/>
          <w:lang w:eastAsia="en-IN"/>
          <w14:ligatures w14:val="none"/>
        </w:rPr>
        <w:t xml:space="preserve"> location and extent </w:t>
      </w:r>
      <w:r w:rsidRPr="009B07E8">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{"citationID":"e5PKNfsY","properties":{"formattedCitation":"(Loud &amp; Murphy, 2017)","plainCitation":"(Loud &amp; Murphy, 2017)","noteIndex":0},"citationItems":[{"id":"7QoY0TNi/JCdTw6f9","uris":["http://zotero.org/users/16274399/items/AQQK4E7U"],"itemData":{"id":42,"type":"article-journal","abstract":"Objective\nTo review the trends in and principles of cancer screening and early detection.\n\nData Sources\nJournal articles, United States Preventive Services Task Force (U SPSTF) publications, professional organization position statements, evidence-based summaries\n\nConclusion\nCancer screening has contributed to decreasing the morbidity and mortality of cancer. Efforts to improve the selection of candidates for cancer screening, to understand the biological basis of carcinogenesis, and the development of new technologies for cancer screening will allow for improvements in the cancer screening over time.\n\nImplications for Nursing Practice\nNurses are well-positioned to lead the implementation of cancer screening recommendations in the 21st Century through their practice, research, educational efforts and advocacy.","container-title":"Seminars in oncology nursing","DOI":"10.1016/j.soncn.2017.02.002","ISSN":"0749-2081","issue":"2","journalAbbreviation":"Semin Oncol Nurs","note":"PMID: 28343835\nPMCID: PMC5467686","page":"121-128","source":"PubMed Central","title":"Cancer screening and early detection in the 21st century","volume":"33","author":[{"family":"Loud","given":"Jennifer"},{"family":"Murphy","given":"Jeanne"}],"issued":{"date-parts":[["2017",5]]}}}],"schema":"https://github.com/citation-style-language/schema/raw/master/csl-citation.json"} </w:instrText>
      </w:r>
      <w:r w:rsidRPr="009B07E8">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(Loud &amp; Murphy, 2017)</w:t>
      </w:r>
      <w:r w:rsidRPr="009B07E8">
        <w:rPr>
          <w:rFonts w:ascii="Times New Roman" w:eastAsia="Times New Roman" w:hAnsi="Times New Roman" w:cs="Times New Roman"/>
          <w:kern w:val="0"/>
          <w:sz w:val="24"/>
          <w:szCs w:val="24"/>
          <w:lang w:eastAsia="en-IN"/>
          <w14:ligatures w14:val="none"/>
        </w:rPr>
        <w:fldChar w:fldCharType="end"/>
      </w:r>
      <w:r w:rsidRPr="009B07E8">
        <w:rPr>
          <w:rFonts w:ascii="Times New Roman" w:eastAsia="Times New Roman" w:hAnsi="Times New Roman" w:cs="Times New Roman"/>
          <w:kern w:val="0"/>
          <w:sz w:val="24"/>
          <w:szCs w:val="24"/>
          <w:lang w:eastAsia="en-IN"/>
          <w14:ligatures w14:val="none"/>
        </w:rPr>
        <w:t xml:space="preserve">. </w:t>
      </w:r>
      <w:r w:rsidRPr="009B07E8">
        <w:rPr>
          <w:rFonts w:ascii="Times New Roman" w:hAnsi="Times New Roman" w:cs="Times New Roman"/>
          <w:sz w:val="24"/>
          <w:szCs w:val="24"/>
        </w:rPr>
        <w:t xml:space="preserve">The first approach using CT or MRI can give very detailed information on the location, size, shape, and structural alterations of the lesion in the surrounding tissues </w:t>
      </w:r>
      <w:r w:rsidRPr="009B07E8">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{"citationID":"19AxqZli","properties":{"formattedCitation":"(De Witte &amp; Mari\\uc0\\u235{}n, 2013)","plainCitation":"(De Witte &amp; Mariën, 2013)","noteIndex":0},"citationItems":[{"id":"7QoY0TNi/xMxwaip8","uris":["http://zotero.org/users/16274399/items/2G3P295H"],"itemData":{"id":45,"type":"article-journal","abstract":"Objectives\nIntraoperative direct electrical stimulation (DES) is increasingly used in patients operated on for tumours in critical language areas. Although a positive impact of DES on postoperative linguistic outcome is generally advocated, the literature is only scantily documented with information about the linguistic methods applied in awake surgery. This article critically reviews the neurolinguistic procedures currently used in awake studies.\nMethods\nBased on an extensive review of the literature, an overview is given of the language mapping techniques applied in brain tumour surgery. Studies investigating linguistic testing and outcome in awake surgery were analysed. Information about the timing of the assessment(s), the linguistic tasks, the linguistic stimuli and the indication for awake surgery was also discussed.\nResults\nIntraoperative DES remains the ‘gold standard’ for language mapping, but pre- and postoperative non-invasive mapping methods are important adjuncts. In the pre- and postoperative phase, standardised linguistic test batteries are generally used to assess language function. In the intraoperative phase, only naming and number counting are commonly applied. Most often no detailed information about the linguistic stimuli is provided and no standardised protocols measuring different linguistic levels have been described.\nConclusions\nAwake surgery with DES is a useful tool for preserving linguistic functions in patients undergoing surgery in critical brain regions. However, no studies exist that apply a well-balanced and standardised linguistic protocol to reliably identify the critical language zones. The availability of a standardised linguistic protocol might substantially increase intraoperative comfort and might improve outcome and quality of life.","container-title":"Clinical Neurology and Neurosurgery","DOI":"10.1016/j.clineuro.2012.09.015","ISSN":"0303-8467","issue":"2","journalAbbreviation":"Clinical Neurology and Neurosurgery","page":"127-145","source":"ScienceDirect","title":"The neurolinguistic approach to awake surgery reviewed","volume":"115","author":[{"family":"De Witte","given":"Elke"},{"family":"Mariën","given":"Peter"}],"issued":{"date-parts":[["2013",2,1]]}}}],"schema":"https://github.com/citation-style-language/schema/raw/master/csl-citation.json"} </w:instrText>
      </w:r>
      <w:r w:rsidRPr="009B07E8">
        <w:rPr>
          <w:rFonts w:ascii="Times New Roman" w:hAnsi="Times New Roman" w:cs="Times New Roman"/>
          <w:sz w:val="24"/>
          <w:szCs w:val="24"/>
        </w:rPr>
        <w:fldChar w:fldCharType="separate"/>
      </w:r>
      <w:r w:rsidR="00A45358" w:rsidRPr="00A45358">
        <w:rPr>
          <w:rFonts w:ascii="Times New Roman" w:hAnsi="Times New Roman" w:cs="Times New Roman"/>
          <w:kern w:val="0"/>
          <w:sz w:val="24"/>
          <w:szCs w:val="24"/>
        </w:rPr>
        <w:t>(De Witte &amp; Mariën, 2013)</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Modalities such as CT and MRI imaging are used for the detection and staging of cancers, which is an important aspect befor</w:t>
      </w:r>
      <w:r w:rsidRPr="009B07E8">
        <w:rPr>
          <w:rFonts w:ascii="Times New Roman" w:hAnsi="Times New Roman" w:cs="Times New Roman"/>
          <w:sz w:val="24"/>
          <w:szCs w:val="24"/>
        </w:rPr>
        <w:t xml:space="preserve">e starting the treatment of cancer. Another technique is MRS, which helps to </w:t>
      </w:r>
      <w:proofErr w:type="spellStart"/>
      <w:r w:rsidR="0046447B" w:rsidRPr="009B07E8">
        <w:rPr>
          <w:rFonts w:ascii="Times New Roman" w:hAnsi="Times New Roman" w:cs="Times New Roman"/>
          <w:sz w:val="24"/>
          <w:szCs w:val="24"/>
        </w:rPr>
        <w:t>analyze</w:t>
      </w:r>
      <w:proofErr w:type="spellEnd"/>
      <w:r w:rsidRPr="009B07E8">
        <w:rPr>
          <w:rFonts w:ascii="Times New Roman" w:hAnsi="Times New Roman" w:cs="Times New Roman"/>
          <w:sz w:val="24"/>
          <w:szCs w:val="24"/>
        </w:rPr>
        <w:t xml:space="preserve"> the chemical composition of any tumor </w:t>
      </w:r>
      <w:r w:rsidRPr="009B07E8">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{"citationID":"uX81rUUo","properties":{"formattedCitation":"(Glunde et al., 2011)","plainCitation":"(Glunde et al., 2011)","noteIndex":0},"citationItems":[{"id":"7QoY0TNi/Bll5LrC5","uris":["http://zotero.org/users/16274399/items/EMELUAU8"],"itemData":{"id":49,"type":"article-journal","abstract":"Magnetic resonance spectroscopy (MRS) and spectroscopic imaging (MRSI) are valuable tools to detect metabolic changes in tumors. The currently emerging era of molecular medicine, which is shaped by molecularly targeted anticancer therapies combined with molecular imaging of the effects of such therapies, requires powerful imaging technologies that are able to detect molecular information. MRS and MRSI (MRS/I) are such technologies that are able to detect metabolites arising from glucose and choline metabolism in noninvasive in vivo settings and at higher resolution in tissue samples. The roles that MRS/I plays in diagnosing different types of cancer as well as in early monitoring of tumor response to traditional chemotherapies are reviewed. Emerging roles of MRS/I in the development and detection of novel targeted anticancer therapies that target oncogenic signaling pathways or targets in choline or glucose metabolism are discussed.","container-title":"NMR in biomedicine","DOI":"10.1002/nbm.1751","ISSN":"0952-3480","issue":"6","journalAbbreviation":"NMR Biomed","note":"PMID: 21793073\nPMCID: PMC3146026","page":"673-690","source":"PubMed Central","title":"Magnetic Resonance Spectroscopy and Imaging Guidance in Molecular Medicine: Targeting and Monitoring of Choline and Glucose Metabolism in Cancer","title-short":"Magnetic Resonance Spectroscopy and Imaging Guidance in Molecular Medicine","volume":"24","author":[{"family":"Glunde","given":"Kristine"},{"family":"Jiang","given":"Lu"},{"family":"Moestue","given":"Siver A."},{"family":"Gribbestad","given":"Ingrid S."}],"issued":{"date-parts":[["2011",7]]}}}],"schema":"https://github.com/citation-style-language/schema/raw/master/csl-citation.json"} </w:instrText>
      </w:r>
      <w:r w:rsidRPr="009B07E8">
        <w:rPr>
          <w:rFonts w:ascii="Times New Roman" w:hAnsi="Times New Roman" w:cs="Times New Roman"/>
          <w:sz w:val="24"/>
          <w:szCs w:val="24"/>
        </w:rPr>
        <w:fldChar w:fldCharType="separate"/>
      </w:r>
      <w:r w:rsidR="00A45358" w:rsidRPr="00A45358">
        <w:rPr>
          <w:rFonts w:ascii="Times New Roman" w:hAnsi="Times New Roman" w:cs="Times New Roman"/>
          <w:sz w:val="24"/>
        </w:rPr>
        <w:t>(Glunde et al., 2011)</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It is based </w:t>
      </w:r>
      <w:r w:rsidR="00592082" w:rsidRPr="009B07E8">
        <w:rPr>
          <w:rFonts w:ascii="Times New Roman" w:hAnsi="Times New Roman" w:cs="Times New Roman"/>
          <w:sz w:val="24"/>
          <w:szCs w:val="24"/>
        </w:rPr>
        <w:t xml:space="preserve">on </w:t>
      </w:r>
      <w:r w:rsidR="0046447B" w:rsidRPr="009B07E8">
        <w:rPr>
          <w:rFonts w:ascii="Times New Roman" w:hAnsi="Times New Roman" w:cs="Times New Roman"/>
          <w:sz w:val="24"/>
          <w:szCs w:val="24"/>
        </w:rPr>
        <w:t xml:space="preserve">the </w:t>
      </w:r>
      <w:r w:rsidRPr="009B07E8">
        <w:rPr>
          <w:rFonts w:ascii="Times New Roman" w:hAnsi="Times New Roman" w:cs="Times New Roman"/>
          <w:sz w:val="24"/>
          <w:szCs w:val="24"/>
        </w:rPr>
        <w:t>MRI principle and is used for patients whose biopsy is a life-threatening challenge</w:t>
      </w:r>
      <w:r w:rsidR="00592082" w:rsidRPr="009B07E8">
        <w:rPr>
          <w:rFonts w:ascii="Times New Roman" w:hAnsi="Times New Roman" w:cs="Times New Roman"/>
          <w:sz w:val="24"/>
          <w:szCs w:val="24"/>
        </w:rPr>
        <w:t>,</w:t>
      </w:r>
      <w:r w:rsidRPr="009B07E8">
        <w:rPr>
          <w:rFonts w:ascii="Times New Roman" w:hAnsi="Times New Roman" w:cs="Times New Roman"/>
          <w:sz w:val="24"/>
          <w:szCs w:val="24"/>
        </w:rPr>
        <w:t xml:space="preserve"> such as a CNS tumor. CT or MRI-guided biopsy of the specific tumor is recommended to get cells for further closer analysis. </w:t>
      </w:r>
      <w:r w:rsidRPr="009B07E8">
        <w:rPr>
          <w:rFonts w:ascii="Times New Roman" w:hAnsi="Times New Roman" w:cs="Times New Roman"/>
          <w:sz w:val="24"/>
          <w:szCs w:val="24"/>
        </w:rPr>
        <w:t xml:space="preserve">An incorrect biopsy may lead to misdiagnosis and wrong treatment </w:t>
      </w:r>
      <w:r w:rsidRPr="009B07E8">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{"citationID":"shX3DyVd","properties":{"formattedCitation":"(Guedes et al., 2024)","plainCitation":"(Guedes et al., 2024)","noteIndex":0},"citationItems":[{"id":"7QoY0TNi/oR22O3lZ","uris":["http://zotero.org/users/16274399/items/HZI28KRY"],"itemData":{"id":52,"type":"article-journal","abstract":"OBJECTIVE: Biopsies of peripheral nerve tumors (PNTs) are often used to plan an efficient treatment strategy. However, performing a biopsy is controversial when the mass is likely to be a benign PNT (BPNT). The aim of this study was to evaluate the side effects of biopsies in patients with potential PNTs.\nMETHODS: A retrospective and cross-sectional study was conducted on 24 patients who underwent biopsy of a mass of unknown origin potentially originating from a peripheral nerve (MUOPON), performed in nonspecialty services, and who were later referred to the authors' service for resection of their lesion between January 2005 and December 2022. The patients were evaluated for pain score, presence of a motor or sensory deficit, biopsy diagnosis, and definitive histopathological postsurgical diagnosis.\nRESULTS: The location of the tumor was supraclavicular in 7 (29.2%) patients, in the axillary region in 3 (12.5%), in the upper limb in 7 (29.2%), and in the lower limb in 7 (29.2%). Twenty-one (87.5%) patients were evaluated by MRI before biopsy, and 3 (12.5%) underwent ultrasound. One patient did not have an examination before the procedure. Based on the biopsy findings, 12 (50%) analyses had an inconclusive histopathological result. The preexisting pain worsened, as measured 1 week after biopsy, in all patients and had remained unchanged at the first evaluation by the authors (median 3 months, range 2-4 months). In 1 case, the open biopsy had to be interrupted because the patient experienced excruciating pain. Four (16.7%) patients developed motor deficits. Subsequent surgery was hampered by scar formation and intratumoral hemorrhage in 5 (20.8%) patients. The initial diagnosis obtained by biopsy differed from the final histopathological diagnosis in all patients, of whom 21 (87.5%) had BPNTs, 2 (8.3%) malignant peripheral nerve sheath tumors, and 1 (4.2%) an ancient schwannoma.\nCONCLUSIONS: Biopsies of PNTs are controversial and may result in misdiagnosis, neuropathic pain, or neurological deficit due to axonal damage, and they may also hinder microsurgical resection when if performed when not indicated. Indications for biopsy of an MUOPON must be carefully considered, especially if BPNT is a possible diagnosis.","container-title":"Journal of Neurosurgery","DOI":"10.3171/2023.5.JNS23385","ISSN":"1933-0693","issue":"2","journalAbbreviation":"J Neurosurg","language":"eng","note":"PMID: 37877976","page":"480-488","source":"PubMed","title":"When biopsy goes wrong: a case series of misdiagnoses and complications from biopsies of masses of unknown origin potentially originating from a peripheral nerve","title-short":"When biopsy goes wrong","volume":"140","author":[{"family":"Guedes","given":"Fernando"},{"family":"Henriques","given":"Vinícius M."},{"family":"Torrão","given":"Francisco L."},{"family":"Haikal","given":"Neder P."},{"family":"Sanches","given":"Gabriel E."},{"family":"Barbosa","given":"Daniel A. N."},{"family":"Marsicano","given":"Felipe G."},{"family":"Rosa","given":"Livia A. N."},{"family":"Siquara","given":"Ana C."},{"family":"Malessy","given":"Martijn J. A."}],"issued":{"date-parts":[["2024",2,1]]}}}],"schema":"https://github.com/citation-style-language/schema/raw/master/csl-citation.json"} </w:instrText>
      </w:r>
      <w:r w:rsidRPr="009B07E8">
        <w:rPr>
          <w:rFonts w:ascii="Times New Roman" w:hAnsi="Times New Roman" w:cs="Times New Roman"/>
          <w:sz w:val="24"/>
          <w:szCs w:val="24"/>
        </w:rPr>
        <w:fldChar w:fldCharType="separate"/>
      </w:r>
      <w:r w:rsidR="00A45358" w:rsidRPr="00A45358">
        <w:rPr>
          <w:rFonts w:ascii="Times New Roman" w:hAnsi="Times New Roman" w:cs="Times New Roman"/>
          <w:sz w:val="24"/>
        </w:rPr>
        <w:t>(Guedes et al., 2024)</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MRI, CT scan, and Ultrasonography modalities are frequently used for biopsy guidance. Guidance ensures the correct biopsy and also reduces the risks of</w:t>
      </w:r>
      <w:r w:rsidR="00F002D7" w:rsidRPr="009B07E8">
        <w:rPr>
          <w:rFonts w:ascii="Times New Roman" w:hAnsi="Times New Roman" w:cs="Times New Roman"/>
          <w:sz w:val="24"/>
          <w:szCs w:val="24"/>
        </w:rPr>
        <w:t xml:space="preserve"> complications</w:t>
      </w:r>
      <w:r w:rsidRPr="009B07E8">
        <w:rPr>
          <w:rFonts w:ascii="Times New Roman" w:hAnsi="Times New Roman" w:cs="Times New Roman"/>
          <w:sz w:val="24"/>
          <w:szCs w:val="24"/>
        </w:rPr>
        <w:t xml:space="preserve">. CT scan is specifically utilized in lung biopsies to ensure accuracy throughout the process and to prevent pneumothorax and is also used in bone biopsy </w:t>
      </w:r>
      <w:r w:rsidRPr="009B07E8">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{"citationID":"WhCTsJiS","properties":{"formattedCitation":"(Rindy &amp; Chambers, 2025)","plainCitation":"(Rindy &amp; Chambers, 2025)","noteIndex":0},"citationItems":[{"id":"7QoY0TNi/UHmDbPmt","uris":["http://zotero.org/users/16274399/items/X7BAD75U"],"itemData":{"id":54,"type":"chapter","abstract":"Bone marrow aspiration and biopsies are often performed both in the inpatient and outpatient settings for the diagnosis of a multitude of hematologic disorders. Both the palpation-guided and computed tomography-guided (CT-guided) approaches are commonly utilized for performing this procedure. Both procedural methods have a high degree of accuracy and a low complication rate. The proper procedural steps in performing a bone marrow aspiration and biopsy will be explained as well as the roles of the interprofessional care team in managing patients who undergo this procedure. The steps involved in performing a bone marrow aspiration and biopsy, as well as the required personnel and materials, should be thoroughly understood prior to performing the procedure in order to avoid inadequate sampling or adverse patient outcomes. Additionally, the healthcare professional’s better understanding of the indications, perioperative management, and complications of this procedure can improve both patient experience and better diagnostic accuracy.","call-number":"NBK559232","container-title":"StatPearls","event-place":"Treasure Island (FL)","language":"eng","license":"Copyright © 2025, StatPearls Publishing LLC.","note":"PMID: 32644658","publisher":"StatPearls Publishing","publisher-place":"Treasure Island (FL)","source":"PubMed","title":"Bone Marrow Aspiration and Biopsy","URL":"http://www.ncbi.nlm.nih.gov/books/NBK559232/","author":[{"family":"Rindy","given":"Lucas J."},{"family":"Chambers","given":"Aaron R."}],"accessed":{"date-parts":[["2025",1,31]]},"issued":{"date-parts":[["2025"]]}}}],"schema":"https://github.com/citation-style-language/schema/raw/master/csl-citation.json"} </w:instrText>
      </w:r>
      <w:r w:rsidRPr="009B07E8">
        <w:rPr>
          <w:rFonts w:ascii="Times New Roman" w:hAnsi="Times New Roman" w:cs="Times New Roman"/>
          <w:sz w:val="24"/>
          <w:szCs w:val="24"/>
        </w:rPr>
        <w:fldChar w:fldCharType="separate"/>
      </w:r>
      <w:r w:rsidR="00A45358" w:rsidRPr="00A45358">
        <w:rPr>
          <w:rFonts w:ascii="Times New Roman" w:hAnsi="Times New Roman" w:cs="Times New Roman"/>
          <w:sz w:val="24"/>
        </w:rPr>
        <w:t>(Rindy &amp; Chambers, 2025)</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The application of technology like CT scans and MRI at the point-of-care to guide clinical trea</w:t>
      </w:r>
      <w:r w:rsidRPr="009B07E8">
        <w:rPr>
          <w:rFonts w:ascii="Times New Roman" w:hAnsi="Times New Roman" w:cs="Times New Roman"/>
          <w:sz w:val="24"/>
          <w:szCs w:val="24"/>
        </w:rPr>
        <w:t xml:space="preserve">tment choices is the foundation of precision medicine in cancer care </w:t>
      </w:r>
      <w:r w:rsidRPr="009B07E8">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{"citationID":"ROUlSbJQ","properties":{"formattedCitation":"(Ghasemi et al., 2016)","plainCitation":"(Ghasemi et al., 2016)","noteIndex":0},"citationItems":[{"id":"7QoY0TNi/lhFsiGIj","uris":["http://zotero.org/users/16274399/items/YDFMKXU7"],"itemData":{"id":57,"type":"article-journal","abstract":"This paper presents a review of the importance and role of precision medicine and molecular imaging technologies in cancer diagnosis with therapeutics and diagnostics purposes. Precision medicine is progressively becoming a hot topic in all disciplines related to biomedical investigation and has the capacity to become the paradigm for clinical practice. The future of medicine lies in early diagnosis and individually appropriate treatments, a concept that has been named precision medicine, i.e. delivering the right treatment to the right patient at the right time. Molecular imaging is quickly being recognized as a tool with the potential to ameliorate every aspect of cancer treatment. On the other hand, emerging high-throughput technologies such as omics techniques and systems approaches have generated a paradigm shift for biological systems in advanced life science research. In this review, we describe the precision medicine, difference between precision medicine and personalized medicine, precision medicine initiative, systems biology/medicine approaches (such as genomics, radiogenomics, transcriptomics, proteomics, and metabolomics), P4 medicine, relationship between systems biology/medicine approaches and precision medicine, and molecular imaging modalities and their utility in cancer treatment and diagnosis. Accordingly, the precision medicine and molecular imaging will enable us to accelerate and improve cancer management in future medicine.","container-title":"American Journal of Nuclear Medicine and Molecular Imaging","ISSN":"2160-8407","issue":"6","journalAbbreviation":"Am J Nucl Med Mol Imaging","note":"PMID: 28078184\nPMCID: PMC5218860","page":"310-327","source":"PubMed Central","title":"Precision medicine and molecular imaging: new targeted approaches toward cancer therapeutic and diagnosis","title-short":"Precision medicine and molecular imaging","volume":"6","author":[{"family":"Ghasemi","given":"Mojtaba"},{"family":"Nabipour","given":"Iraj"},{"family":"Omrani","given":"Abdolmajid"},{"family":"Alipour","given":"Zeinab"},{"family":"Assadi","given":"Majid"}],"issued":{"date-parts":[["2016",11,30]]}}}],"schema":"https://github.com/citation-style-language/schema/raw/master/csl-citation.json"} </w:instrText>
      </w:r>
      <w:r w:rsidRPr="009B07E8">
        <w:rPr>
          <w:rFonts w:ascii="Times New Roman" w:hAnsi="Times New Roman" w:cs="Times New Roman"/>
          <w:sz w:val="24"/>
          <w:szCs w:val="24"/>
        </w:rPr>
        <w:fldChar w:fldCharType="separate"/>
      </w:r>
      <w:r w:rsidR="00A45358" w:rsidRPr="00A45358">
        <w:rPr>
          <w:rFonts w:ascii="Times New Roman" w:hAnsi="Times New Roman" w:cs="Times New Roman"/>
          <w:sz w:val="24"/>
        </w:rPr>
        <w:t>(Ghasemi et al., 2016)</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This makes it possible to forecast customized therapies that are best suited for certain patients with greater accuracy and efficiency </w:t>
      </w:r>
      <w:r w:rsidRPr="009B07E8">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{"citationID":"bKxzjWwc","properties":{"formattedCitation":"(Ho et al., 2020)","plainCitation":"(Ho et al., 2020)","noteIndex":0},"citationItems":[{"id":"7QoY0TNi/bzy6NwF3","uris":["http://zotero.org/users/16274399/items/9LQHD8G3"],"itemData":{"id":60,"type":"article-journal","abstract":"Individualizing patient treatment is a core objective of the medical field. Reaching this objective has been elusive owing to the complex set of factors contributing to both disease and health; many factors—from genes to proteins—remain unknown in their role in human physiology. Accurately diagnosing, monitoring, and treating disorders requires advances in biomarker discovery, the subsequent development of accurate signatures that correspond with dynamic disease states, as well as therapeutic interventions that can be continuously optimized and modulated for dose and drug selection. This work highlights key breakthroughs in the development of enabling technologies that further the goal of personalized and precision medicine, and remaining challenges that, when addressed, may forge unprecedented capabilities in realizing truly individualized patient care.","container-title":"Trends in biotechnology","DOI":"10.1016/j.tibtech.2019.12.021","ISSN":"0167-7799","issue":"5","journalAbbreviation":"Trends Biotechnol","note":"PMID: 31980301\nPMCID: PMC7924935","page":"497-518","source":"PubMed Central","title":"Enabling technologies for personalized and precision medicine","volume":"38","author":[{"family":"Ho","given":"Dean"},{"family":"Quake","given":"Stephen R."},{"family":"McCabe","given":"Edward R.B."},{"family":"Chng","given":"Wee Joo"},{"family":"Chow","given":"Edward K."},{"family":"Ding","given":"Xianting"},{"family":"Gelb","given":"Bruce D."},{"family":"Ginsburg","given":"Geoffrey S."},{"family":"Hassenstab","given":"Jason"},{"family":"Ho","given":"Chih-Ming"},{"family":"Mobley","given":"William C."},{"family":"Nolan","given":"Garry P."},{"family":"Rosen","given":"Steven T."},{"family":"Tan","given":"Patrick"},{"family":"Yen","given":"Yun"},{"family":"Zarrinpar","given":"Ali"}],"issued":{"date-parts":[["2020",5]]}}}],"schema":"https://github.com/citation-style-language/schema/raw/master/csl-citation.json"} </w:instrText>
      </w:r>
      <w:r w:rsidRPr="009B07E8">
        <w:rPr>
          <w:rFonts w:ascii="Times New Roman" w:hAnsi="Times New Roman" w:cs="Times New Roman"/>
          <w:sz w:val="24"/>
          <w:szCs w:val="24"/>
        </w:rPr>
        <w:fldChar w:fldCharType="separate"/>
      </w:r>
      <w:r w:rsidR="00A45358" w:rsidRPr="00A45358">
        <w:rPr>
          <w:rFonts w:ascii="Times New Roman" w:hAnsi="Times New Roman" w:cs="Times New Roman"/>
          <w:sz w:val="24"/>
        </w:rPr>
        <w:t>(Ho et al., 2020)</w:t>
      </w:r>
      <w:r w:rsidRPr="009B07E8">
        <w:rPr>
          <w:rFonts w:ascii="Times New Roman" w:hAnsi="Times New Roman" w:cs="Times New Roman"/>
          <w:sz w:val="24"/>
          <w:szCs w:val="24"/>
        </w:rPr>
        <w:fldChar w:fldCharType="end"/>
      </w:r>
      <w:r w:rsidRPr="009B07E8">
        <w:rPr>
          <w:rFonts w:ascii="Times New Roman" w:hAnsi="Times New Roman" w:cs="Times New Roman"/>
          <w:sz w:val="24"/>
          <w:szCs w:val="24"/>
        </w:rPr>
        <w:t xml:space="preserve">. </w:t>
      </w:r>
    </w:p>
    <w:p w14:paraId="39ED79B3" w14:textId="77777777" w:rsidR="009B07E8" w:rsidRDefault="009B07E8" w:rsidP="009B07E8">
      <w:pPr>
        <w:pStyle w:val="ListParagraph"/>
        <w:spacing w:line="360" w:lineRule="auto"/>
        <w:ind w:left="0"/>
        <w:jc w:val="both"/>
        <w:rPr>
          <w:rFonts w:ascii="Times New Roman" w:hAnsi="Times New Roman" w:cs="Times New Roman"/>
          <w:b/>
          <w:bCs/>
          <w:sz w:val="24"/>
          <w:szCs w:val="24"/>
        </w:rPr>
      </w:pPr>
    </w:p>
    <w:p w14:paraId="0AF91FE8" w14:textId="138FD6F7"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2. CT scan in cancer diagnosis</w:t>
      </w:r>
    </w:p>
    <w:p w14:paraId="2963488A" w14:textId="2D2562E3" w:rsidR="0046447B" w:rsidRPr="008668A9" w:rsidRDefault="00FB0430" w:rsidP="008668A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CT scan refers to a modality that uses a beam of X-ray to scan a patient. The X-ray tube rotates circularly (360°) around the patient to produce a detailed cross-sectional image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{"citationID":"j2ckE9Xr","properties":{"formattedCitation":"(Patel &amp; De Jesus, 2025a)","plainCitation":"(Patel &amp; De Jesus, 2025a)","noteIndex":0},"citationItems":[{"id":"7QoY0TNi/7mAtpEnd","uris":["http://zotero.org/users/16274399/items/AE3AGVIM"],"itemData":{"id":69,"type":"chapter","abstract":"A computed tomography (CT) scan, commonly referred to as a CT, is a radiological imaging study. The machine was developed by physicist Allan MacLeod Cormack and electrical engineer Godfrey Hounsfield. Their development awarded them the Nobel Prize in Physiology or Medicine in 1979. The first scanners were installed in 1974. Since then, technological advances and math have allowed single images to be computed into two-dimensional informative images. The CT scan is essentially an x-ray study, where a series of rays are rotated around a specified body part, and computer-generated cross-sectional images are produced. The advantage of these tomographic images compared to conventional x-rays is that they contain detailed information about a specified area in cross-section, eliminating the superimposition of images, which provides a tremendous advantage over plain films. CT scans provide excellent clinicopathological correlation for a suspected illness.  CT scan augments the physician's ability to diagnose a patient's illness accurately. Low-dose CT scans are proving useful in preventative medicine and cancer screening. The study was initially called a CAT scan representing computer axial tomography, where the table moved after each axial image was obtained. In a spiral or helical scan, the table moves continuously as the x-ray source and detectors rotate. This reduces the duration of the study significantly to provide quick results in emergent situations. It rapidly substituted cerebral angiography for detecting head trauma injuries and brain masses in a fast and extremely reliable way. A radiologic technician acquires CT scans, which are interpreted and reported by a trained radiologist.","call-number":"NBK567796","container-title":"StatPearls","event-place":"Treasure Island (FL)","language":"eng","license":"Copyright © 2025, StatPearls Publishing LLC.","note":"PMID: 33620865","publisher":"StatPearls Publishing","publisher-place":"Treasure Island (FL)","source":"PubMed","title":"CT Scan","URL":"http://www.ncbi.nlm.nih.gov/books/NBK567796/","author":[{"family":"Patel","given":"Paula R."},{"family":"De Jesus","given":"Orlando"}],"accessed":{"date-parts":[["2025",1,31]]},"issued":{"date-parts":[["2025"]]}}}],"schema":"https://github.com/citation-style-language/schema/raw/master/csl-citation.json"}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(Patel &amp; De Jesus, 2025a)</w:t>
      </w:r>
      <w:r>
        <w:rPr>
          <w:rFonts w:ascii="Times New Roman" w:hAnsi="Times New Roman" w:cs="Times New Roman"/>
          <w:sz w:val="24"/>
          <w:szCs w:val="24"/>
        </w:rPr>
        <w:fldChar w:fldCharType="end"/>
      </w:r>
      <w:r>
        <w:rPr>
          <w:rFonts w:ascii="Times New Roman" w:hAnsi="Times New Roman" w:cs="Times New Roman"/>
          <w:sz w:val="24"/>
          <w:szCs w:val="24"/>
        </w:rPr>
        <w:t>. Tomography means sectional imaging</w:t>
      </w:r>
      <w:r w:rsidR="005F0524">
        <w:rPr>
          <w:rFonts w:ascii="Times New Roman" w:hAnsi="Times New Roman" w:cs="Times New Roman"/>
          <w:sz w:val="24"/>
          <w:szCs w:val="24"/>
        </w:rPr>
        <w:t xml:space="preserve">, </w:t>
      </w:r>
      <w:r>
        <w:rPr>
          <w:rFonts w:ascii="Times New Roman" w:hAnsi="Times New Roman" w:cs="Times New Roman"/>
          <w:sz w:val="24"/>
          <w:szCs w:val="24"/>
        </w:rPr>
        <w:t xml:space="preserve">this sectional image is stacked over one </w:t>
      </w:r>
      <w:r>
        <w:rPr>
          <w:rFonts w:ascii="Times New Roman" w:hAnsi="Times New Roman" w:cs="Times New Roman"/>
          <w:sz w:val="24"/>
          <w:szCs w:val="24"/>
        </w:rPr>
        <w:lastRenderedPageBreak/>
        <w:t xml:space="preserve">another and can be reconstructed into 3D images using various techniques, </w:t>
      </w:r>
      <w:r w:rsidR="009C1CDD">
        <w:rPr>
          <w:rFonts w:ascii="Times New Roman" w:hAnsi="Times New Roman" w:cs="Times New Roman"/>
          <w:sz w:val="24"/>
          <w:szCs w:val="24"/>
        </w:rPr>
        <w:t xml:space="preserve">such as </w:t>
      </w:r>
      <w:r>
        <w:rPr>
          <w:rFonts w:ascii="Times New Roman" w:hAnsi="Times New Roman" w:cs="Times New Roman"/>
          <w:sz w:val="24"/>
          <w:szCs w:val="24"/>
        </w:rPr>
        <w:t xml:space="preserve">Shaded </w:t>
      </w:r>
      <w:r w:rsidR="009C1CDD">
        <w:rPr>
          <w:rFonts w:ascii="Times New Roman" w:hAnsi="Times New Roman" w:cs="Times New Roman"/>
          <w:sz w:val="24"/>
          <w:szCs w:val="24"/>
        </w:rPr>
        <w:t>S</w:t>
      </w:r>
      <w:r>
        <w:rPr>
          <w:rFonts w:ascii="Times New Roman" w:hAnsi="Times New Roman" w:cs="Times New Roman"/>
          <w:sz w:val="24"/>
          <w:szCs w:val="24"/>
        </w:rPr>
        <w:t xml:space="preserve">urface </w:t>
      </w:r>
      <w:r w:rsidR="009C1CDD">
        <w:rPr>
          <w:rFonts w:ascii="Times New Roman" w:hAnsi="Times New Roman" w:cs="Times New Roman"/>
          <w:sz w:val="24"/>
          <w:szCs w:val="24"/>
        </w:rPr>
        <w:t>D</w:t>
      </w:r>
      <w:r>
        <w:rPr>
          <w:rFonts w:ascii="Times New Roman" w:hAnsi="Times New Roman" w:cs="Times New Roman"/>
          <w:sz w:val="24"/>
          <w:szCs w:val="24"/>
        </w:rPr>
        <w:t>isplay (SSD)  Volume Renderin</w:t>
      </w:r>
      <w:r>
        <w:rPr>
          <w:rFonts w:ascii="Times New Roman" w:hAnsi="Times New Roman" w:cs="Times New Roman"/>
          <w:sz w:val="24"/>
          <w:szCs w:val="24"/>
        </w:rPr>
        <w:t xml:space="preserve">g </w:t>
      </w:r>
      <w:r w:rsidR="00892D6C">
        <w:rPr>
          <w:rFonts w:ascii="Times New Roman" w:hAnsi="Times New Roman" w:cs="Times New Roman"/>
          <w:sz w:val="24"/>
          <w:szCs w:val="24"/>
        </w:rPr>
        <w:t>T</w:t>
      </w:r>
      <w:r>
        <w:rPr>
          <w:rFonts w:ascii="Times New Roman" w:hAnsi="Times New Roman" w:cs="Times New Roman"/>
          <w:sz w:val="24"/>
          <w:szCs w:val="24"/>
        </w:rPr>
        <w:t xml:space="preserve">echnique (VRT), and Maximum Intensity Projection (MIP)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{"citationID":"64YxOdX8","properties":{"formattedCitation":"(Hermena &amp; Young, 2025)","plainCitation":"(Hermena &amp; Young, 2025)","noteIndex":0},"citationItems":[{"id":"7QoY0TNi/bQalj3FG","uris":["http://zotero.org/users/16274399/items/G373T295"],"itemData":{"id":66,"type":"chapter","abstract":"In 1972, electrical engineer Sir Godfrey Hounsfield invented the first computed tomography (CT) scanner. Around the same time, physicist Allan McLeod Cormack developed a similar system, and Hounsfield and Cormack shared the Nobel Prize in Physiology or Medicine in 1979. CT has since become an imaging modality widely used in medicine.","call-number":"NBK574548","container-title":"StatPearls","event-place":"Treasure Island (FL)","language":"eng","license":"Copyright © 2025, StatPearls Publishing LLC.","note":"PMID: 34662062","publisher":"StatPearls Publishing","publisher-place":"Treasure Island (FL)","source":"PubMed","title":"CT-scan Image Production Procedures","URL":"http://www.ncbi.nlm.nih.gov/books/NBK574548/","author":[{"family":"Hermena","given":"Shady"},{"family":"Young","given":"Michael"}],"accessed":{"date-parts":[["2025",1,31]]},"issued":{"date-parts":[["2025"]]}}}],"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(Hermena &amp; Young, 2025)</w:t>
      </w:r>
      <w:r>
        <w:rPr>
          <w:rFonts w:ascii="Times New Roman" w:hAnsi="Times New Roman" w:cs="Times New Roman"/>
          <w:sz w:val="24"/>
          <w:szCs w:val="24"/>
        </w:rPr>
        <w:fldChar w:fldCharType="end"/>
      </w:r>
      <w:r>
        <w:rPr>
          <w:rFonts w:ascii="Times New Roman" w:hAnsi="Times New Roman" w:cs="Times New Roman"/>
          <w:sz w:val="24"/>
          <w:szCs w:val="24"/>
        </w:rPr>
        <w:t>. After the completion of the reconstruction of all the slices, the CT scan image helps in the identification of basic structures (liver, spleen, ki</w:t>
      </w:r>
      <w:r>
        <w:rPr>
          <w:rFonts w:ascii="Times New Roman" w:hAnsi="Times New Roman" w:cs="Times New Roman"/>
          <w:sz w:val="24"/>
          <w:szCs w:val="24"/>
        </w:rPr>
        <w:t xml:space="preserve">dney, etc.) as well as tumor and other abnormalities. CT scan is a fast modality and used as an emergency or fast diagnosis modality in some cases like stroke, hemorrhage, and trauma, since early diagnosis of these cases may be lifesaving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{"citationID":"uidOtY7o","properties":{"formattedCitation":"(Patel &amp; De Jesus, 2025b)","plainCitation":"(Patel &amp; De Jesus, 2025b)","noteIndex":0},"citationItems":[{"id":"7QoY0TNi/Io9uYg7O","uris":["http://zotero.org/users/16274399/items/X6J8X5ZE"],"itemData":{"id":72,"type":"chapter","abstract":"A computed tomography (CT) scan, commonly referred to as a CT, is a radiological imaging study. The machine was developed by physicist Allan MacLeod Cormack and electrical engineer Godfrey Hounsfield. Their development awarded them the Nobel Prize in Physiology or Medicine in 1979. The first scanners were installed in 1974. Since then, technological advances and math have allowed single images to be computed into two-dimensional informative images. The CT scan is essentially an x-ray study, where a series of rays are rotated around a specified body part, and computer-generated cross-sectional images are produced. The advantage of these tomographic images compared to conventional x-rays is that they contain detailed information about a specified area in cross-section, eliminating the superimposition of images, which provides a tremendous advantage over plain films. CT scans provide excellent clinicopathological correlation for a suspected illness.  CT scan augments the physician's ability to diagnose a patient's illness accurately. Low-dose CT scans are proving useful in preventative medicine and cancer screening. The study was initially called a CAT scan representing computer axial tomography, where the table moved after each axial image was obtained. In a spiral or helical scan, the table moves continuously as the x-ray source and detectors rotate. This reduces the duration of the study significantly to provide quick results in emergent situations. It rapidly substituted cerebral angiography for detecting head trauma injuries and brain masses in a fast and extremely reliable way. A radiologic technician acquires CT scans, which are interpreted and reported by a trained radiologist.","call-number":"NBK567796","container-title":"StatPearls","event-place":"Treasure Island (FL)","language":"eng","license":"Copyright © 2025, StatPearls Publishing LLC.","note":"PMID: 33620865","publisher":"StatPearls Publishing","publisher-place":"Treasure Island (FL)","source":"PubMed","title":"CT Scan","URL":"http://www.ncbi.nlm.nih.gov/books/NBK567796/","author":[{"family":"Patel","given":"Paula R."},{"family":"De Jesus","given":"Orlando"}],"accessed":{"date-parts":[["2025",2,1]]},"issued":{"date-parts":[["2025"]]}}}],"schema":"https://github.com/citation-style-language/schema/raw/master/csl-citation.json"}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(Patel &amp; De Jesus, 2025b)</w:t>
      </w:r>
      <w:r>
        <w:rPr>
          <w:rFonts w:ascii="Times New Roman" w:hAnsi="Times New Roman" w:cs="Times New Roman"/>
          <w:sz w:val="24"/>
          <w:szCs w:val="24"/>
        </w:rPr>
        <w:fldChar w:fldCharType="end"/>
      </w:r>
      <w:r>
        <w:rPr>
          <w:rFonts w:ascii="Times New Roman" w:hAnsi="Times New Roman" w:cs="Times New Roman"/>
          <w:sz w:val="24"/>
          <w:szCs w:val="24"/>
        </w:rPr>
        <w:t xml:space="preserve">. A CT scan can quickly rule out either an ischemic or </w:t>
      </w:r>
      <w:proofErr w:type="spellStart"/>
      <w:r>
        <w:rPr>
          <w:rFonts w:ascii="Times New Roman" w:hAnsi="Times New Roman" w:cs="Times New Roman"/>
          <w:sz w:val="24"/>
          <w:szCs w:val="24"/>
        </w:rPr>
        <w:t>hemorrhagic</w:t>
      </w:r>
      <w:proofErr w:type="spellEnd"/>
      <w:r>
        <w:rPr>
          <w:rFonts w:ascii="Times New Roman" w:hAnsi="Times New Roman" w:cs="Times New Roman"/>
          <w:sz w:val="24"/>
          <w:szCs w:val="24"/>
        </w:rPr>
        <w:t xml:space="preserve"> stroke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{"citationID":"nTtuXifU","properties":{"formattedCitation":"(Campbell &amp; Khatri, 2020)","plainCitation":"(Campbell &amp; Khatri, 2020)","noteIndex":0},"citationItems":[{"id":"7QoY0TNi/xzU0qyMM","uris":["http://zotero.org/users/16274399/items/6K9HPCDJ"],"itemData":{"id":75,"type":"article-journal","abstract":"Stroke is a major cause of death and disability globally. Diagnosis depends on clinical features and brain imaging to differentiate between ischaemic stroke and intracerebral haemorrhage. Non-contrast CT can exclude haemorrhage, but the addition of CT perfusion imaging and angiography allows a positive diagnosis of ischaemic stroke versus mimics and can identify a large vessel occlusion target for endovascular thrombectomy. Management of ischaemic stroke has greatly advanced, with rapid reperfusion by use of intravenous thrombolysis and endovascular thrombectomy shown to reduce disability. These therapies can now be applied in selected patients who present late to medical care if there is imaging evidence of salvageable brain tissue. Both haemostatic agents and surgical interventions are investigational for intracerebral haemorrhage. Prevention of recurrent stroke requires an understanding of the mechanism of stroke to target interventions, such as carotid endarterectomy, anticoagulation for atrial fibrillation, and patent foramen ovale closure. However, interventions such as lowering blood pressure, smoking cessation, and lifestyle optimisation are common to all stroke subtypes.","container-title":"The Lancet","DOI":"10.1016/S0140-6736(20)31179-X","ISSN":"0140-6736","issue":"10244","journalAbbreviation":"The Lancet","page":"129-142","source":"ScienceDirect","title":"Stroke","volume":"396","author":[{"family":"Campbell","given":"Bruce C V"},{"family":"Khatri","given":"Pooja"}],"issued":{"date-parts":[["2020",7,11]]}}}],"schema":"https://github.com/citation-style-language/schema/raw/master/csl-citation.json"}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(Campbell &amp; Khatri, 2020)</w:t>
      </w:r>
      <w:r>
        <w:rPr>
          <w:rFonts w:ascii="Times New Roman" w:hAnsi="Times New Roman" w:cs="Times New Roman"/>
          <w:sz w:val="24"/>
          <w:szCs w:val="24"/>
        </w:rPr>
        <w:fldChar w:fldCharType="end"/>
      </w:r>
      <w:r>
        <w:rPr>
          <w:rFonts w:ascii="Times New Roman" w:hAnsi="Times New Roman" w:cs="Times New Roman"/>
          <w:sz w:val="24"/>
          <w:szCs w:val="24"/>
        </w:rPr>
        <w:t xml:space="preserve">. Additionally, CT imaging is used as a screening tool for detecting abdominal tumors or lesions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{"citationID":"c9dA3ob5","properties":{"formattedCitation":"(D.-W. Kim et al., 2011)","plainCitation":"(D.-W. Kim et al., 2011)","noteIndex":0},"citationItems":[{"id":"7QoY0TNi/5FNyg7E7","uris":["http://zotero.org/users/16274399/items/7N4AZNVL"],"itemData":{"id":77,"type":"article-journal","abstract":"The purpose of this study was to evaluate the value of fluorodeoxyglucose positron emission tomography/computed tomography (FDG PET/CT) for detecting the recurrence of gastric cancer. We performed a retrospective review of 139 consecutive patients who underwent PET/CT and contrast-enhanced abdominal CT (CECT) for surveillance of gastric cancer after curative resection. Recurrence of gastric cancer was validated by histopathologic examination for local recurrence or serial imaging study follow-up with at least 1 yr interval for recurrence of distant metastasis form. Twenty-eight patients (20.1%) were confirmed as recurrence. On the patient based analysis, there was no statistically significant difference in the sensitivity, specificity and accuracy of PET/CT (53.6%, 84.7%, and 78.4%, respectively) and those of CECT (64.3%, 86.5%, and 82.0%, respectively) for detecting tumor recurrence except in detection of peritoneal carcinomatosis. Among 36 recurrent lesions, 8 lesions (22.2%) were detected only on PET/CT, and 10 lesions (27.8%) only on CECT. PET/CT had detected secondary malignancy in 8 patients. PET/CT is as accurate as CECT in detection of gastric cancer recurrence after curative resection, excepting detection of peritoneal carcinomatosis. Moreover, additional PET/CT on CECT could improve detection rate of tumor recurrence and provide other critical information such as unexpected secondary malignancy.","container-title":"Journal of Korean Medical Science","DOI":"10.3346/jkms.2011.26.7.875","ISSN":"1011-8934","issue":"7","journalAbbreviation":"J Korean Med Sci","note":"PMID: 21738339\nPMCID: PMC3124716","page":"875-880","source":"PubMed Central","title":"Detecting the Recurrence of Gastric Cancer after Curative Resection: Comparison of FDG PET/CT and Contrast-Enhanced Abdominal CT","title-short":"Detecting the Recurrence of Gastric Cancer after Curative Resection","volume":"26","author":[{"family":"Kim","given":"Dae-Weung"},{"family":"Park","given":"Soon-Ah"},{"family":"Kim","given":"Chang Guhn"}],"issued":{"date-parts":[["2011",7]]}}}],"schema":"https://github.com/citation-style-language/schema/raw/master/csl-citation.json"}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(D.-W. Kim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Barium </w:t>
      </w:r>
      <w:proofErr w:type="spellStart"/>
      <w:r>
        <w:rPr>
          <w:rFonts w:ascii="Times New Roman" w:hAnsi="Times New Roman" w:cs="Times New Roman"/>
          <w:sz w:val="24"/>
          <w:szCs w:val="24"/>
        </w:rPr>
        <w:t>sulfate</w:t>
      </w:r>
      <w:proofErr w:type="spellEnd"/>
      <w:r>
        <w:rPr>
          <w:rFonts w:ascii="Times New Roman" w:hAnsi="Times New Roman" w:cs="Times New Roman"/>
          <w:sz w:val="24"/>
          <w:szCs w:val="24"/>
        </w:rPr>
        <w:t xml:space="preserve"> (BaSO</w:t>
      </w:r>
      <w:r>
        <w:rPr>
          <w:rFonts w:ascii="Times New Roman" w:hAnsi="Times New Roman" w:cs="Times New Roman"/>
          <w:sz w:val="24"/>
          <w:szCs w:val="24"/>
          <w:vertAlign w:val="subscript"/>
        </w:rPr>
        <w:t>4</w:t>
      </w:r>
      <w:r>
        <w:rPr>
          <w:rFonts w:ascii="Times New Roman" w:hAnsi="Times New Roman" w:cs="Times New Roman"/>
          <w:sz w:val="24"/>
          <w:szCs w:val="24"/>
        </w:rPr>
        <w:t>) and Iodine compounds are use</w:t>
      </w:r>
      <w:r>
        <w:rPr>
          <w:rFonts w:ascii="Times New Roman" w:hAnsi="Times New Roman" w:cs="Times New Roman"/>
          <w:sz w:val="24"/>
          <w:szCs w:val="24"/>
        </w:rPr>
        <w:t xml:space="preserve">d as contrast agents in CT scans due to their high radiopacity. Contrast-enhanced CT (CECT) is a technique in which a contrast agent is administered intravenously (IV) to visualize the vessels, organs, other tissues, and pathologies (tumors) more clearly. </w:t>
      </w:r>
      <w:r>
        <w:rPr>
          <w:rFonts w:ascii="Times New Roman" w:hAnsi="Times New Roman" w:cs="Times New Roman"/>
          <w:sz w:val="24"/>
          <w:szCs w:val="24"/>
        </w:rPr>
        <w:t xml:space="preserve">The enhancement pattern of a tumor helps to rule out the tumor between benign and malignant and also determines the type of tumor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{"citationID":"bc2Z6Zjg","properties":{"formattedCitation":"(Millet et al., 2011)","plainCitation":"(Millet et al., 2011)","noteIndex":0},"citationItems":[{"id":"7QoY0TNi/OVACp00Y","uris":["http://zotero.org/users/16274399/items/S5ZVKHEC"],"itemData":{"id":80,"type":"article-journal","container-title":"American Journal of Roentgenology","DOI":"10.2214/AJR.10.6276","ISSN":"0361-803X, 1546-3141","issue":"4","journalAbbreviation":"American Journal of Roentgenology","language":"en","page":"887-896","source":"DOI.org (Crossref)","title":"Characterization of Small Solid Renal Lesions: Can Benign and Malignant Tumors Be Differentiated With CT?","title-short":"Characterization of Small Solid Renal Lesions","volume":"197","author":[{"family":"Millet","given":"Ingrid"},{"family":"Doyon","given":"Fernanda Curros"},{"family":"Hoa","given":"Denis"},{"family":"Thuret","given":"Rodolphe"},{"family":"Merigeaud","given":"Samuel"},{"family":"Serre","given":"Isabelle"},{"family":"Taourel","given":"Patrice"}],"issued":{"date-parts":[["2011",10]]}}}],"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(Millet et al., 2011)</w:t>
      </w:r>
      <w:r>
        <w:rPr>
          <w:rFonts w:ascii="Times New Roman" w:hAnsi="Times New Roman" w:cs="Times New Roman"/>
          <w:sz w:val="24"/>
          <w:szCs w:val="24"/>
        </w:rPr>
        <w:fldChar w:fldCharType="end"/>
      </w:r>
      <w:r>
        <w:rPr>
          <w:rFonts w:ascii="Times New Roman" w:hAnsi="Times New Roman" w:cs="Times New Roman"/>
          <w:sz w:val="24"/>
          <w:szCs w:val="24"/>
        </w:rPr>
        <w:t>. The organs including the stomach, liver, kidneys, spleen, and bowel are well differentiated and visible on CT scans</w:t>
      </w:r>
      <w:r w:rsidR="001E6801">
        <w:rPr>
          <w:rFonts w:ascii="Times New Roman" w:hAnsi="Times New Roman" w:cs="Times New Roman"/>
          <w:sz w:val="24"/>
          <w:szCs w:val="24"/>
        </w:rPr>
        <w:t>.</w:t>
      </w:r>
      <w:r>
        <w:rPr>
          <w:rFonts w:ascii="Times New Roman" w:hAnsi="Times New Roman" w:cs="Times New Roman"/>
          <w:sz w:val="24"/>
          <w:szCs w:val="24"/>
        </w:rPr>
        <w:t xml:space="preserve"> </w:t>
      </w:r>
      <w:r w:rsidR="001E6801">
        <w:rPr>
          <w:rFonts w:ascii="Times New Roman" w:hAnsi="Times New Roman" w:cs="Times New Roman"/>
          <w:sz w:val="24"/>
          <w:szCs w:val="24"/>
        </w:rPr>
        <w:t xml:space="preserve"> CT imaging can </w:t>
      </w:r>
      <w:r>
        <w:rPr>
          <w:rFonts w:ascii="Times New Roman" w:hAnsi="Times New Roman" w:cs="Times New Roman"/>
          <w:sz w:val="24"/>
          <w:szCs w:val="24"/>
        </w:rPr>
        <w:t>determine the location, size, and type of cancer. The whole abdomen can be sca</w:t>
      </w:r>
      <w:r>
        <w:rPr>
          <w:rFonts w:ascii="Times New Roman" w:hAnsi="Times New Roman" w:cs="Times New Roman"/>
          <w:sz w:val="24"/>
          <w:szCs w:val="24"/>
        </w:rPr>
        <w:t xml:space="preserve">nned within a few seconds via CT scan modality and that’s the reason it is quite suitable for multiphase abdominal scanning such as triple phase abdomen scan and angiography. Some cases including </w:t>
      </w:r>
      <w:proofErr w:type="spellStart"/>
      <w:r>
        <w:rPr>
          <w:rFonts w:ascii="Times New Roman" w:hAnsi="Times New Roman" w:cs="Times New Roman"/>
          <w:sz w:val="24"/>
          <w:szCs w:val="24"/>
        </w:rPr>
        <w:t>hemangioma</w:t>
      </w:r>
      <w:proofErr w:type="spellEnd"/>
      <w:r>
        <w:rPr>
          <w:rFonts w:ascii="Times New Roman" w:hAnsi="Times New Roman" w:cs="Times New Roman"/>
          <w:sz w:val="24"/>
          <w:szCs w:val="24"/>
        </w:rPr>
        <w:t xml:space="preserve"> and hepatic cell carcinoma (HCC) cannot be diagno</w:t>
      </w:r>
      <w:r>
        <w:rPr>
          <w:rFonts w:ascii="Times New Roman" w:hAnsi="Times New Roman" w:cs="Times New Roman"/>
          <w:sz w:val="24"/>
          <w:szCs w:val="24"/>
        </w:rPr>
        <w:t xml:space="preserve">sed clearly without multiphase scanning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{"citationID":"o0fvZ5TF","properties":{"formattedCitation":"(Bialecki &amp; Di Bisceglie, 2005)","plainCitation":"(Bialecki &amp; Di Bisceglie, 2005)","noteIndex":0},"citationItems":[{"id":"7QoY0TNi/NR6OeK3E","uris":["http://zotero.org/users/16274399/items/A9ADSFXX"],"itemData":{"id":88,"type":"article-journal","abstract":"Hepatocellular carcinoma (HCC) is responsible for a large proportion of cancer deaths worldwide. HCC is frequently diagnosed after the development of clinical deterioration at which time survival is measured in months. Long‐term survival requires detection of small tumors, often present in asymptomatic individuals, which may be more amenable to invasive therapeutic options. Surveillance of high‐risk individuals for HCC is commonly performed using the serum marker alfa‐fetoprotein (AFP) often in combination with ultrasonography. Various other serologic markers are currently being tested to help improve surveillance accuracy. Diagnosis of HCC often requires more sophisticated imaging modalities such as CT scan and MRI, which have multiphasic contrast enhancement capabilities. Serum AFP used alone can be helpful if levels are markedly elevated, which occurs in fewer than half of cases at time of diagnosis. Confirmation by liver biopsy can be performed under circumstances when the diagnosis of HCC remains unclear.","container-title":"HPB","DOI":"10.1080/13651820410024049","ISSN":"1365-182X","issue":"1","journalAbbreviation":"HPB","page":"26-34","source":"ScienceDirect","title":"Diagnosis of hepatocellular carcinoma","volume":"7","author":[{"family":"Bialecki","given":"Eldad S."},{"family":"Di Bisceglie","given":"Adrian M."}],"issued":{"date-parts":[["2005",3,1]]}}}],"schema":"https://github.com/citation-style-language/schema/raw/master/csl-citation.json"}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(Bialecki &amp; Di Bisceglie, 2005)</w:t>
      </w:r>
      <w:r>
        <w:rPr>
          <w:rFonts w:ascii="Times New Roman" w:hAnsi="Times New Roman" w:cs="Times New Roman"/>
          <w:sz w:val="24"/>
          <w:szCs w:val="24"/>
        </w:rPr>
        <w:fldChar w:fldCharType="end"/>
      </w:r>
      <w:r>
        <w:rPr>
          <w:rFonts w:ascii="Times New Roman" w:hAnsi="Times New Roman" w:cs="Times New Roman"/>
          <w:sz w:val="24"/>
          <w:szCs w:val="24"/>
        </w:rPr>
        <w:t>. CT scan is appreciable in detecting early-stage cancer. Additionally, a CT scan can reveal metastases (Mets) in other organs including the liver or</w:t>
      </w:r>
      <w:r>
        <w:rPr>
          <w:rFonts w:ascii="Times New Roman" w:hAnsi="Times New Roman" w:cs="Times New Roman"/>
          <w:sz w:val="24"/>
          <w:szCs w:val="24"/>
        </w:rPr>
        <w:t xml:space="preserve"> lymph nodes that surround the original tumor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{"citationID":"zgR5ZuJd","properties":{"formattedCitation":"(Raj et al., --)","plainCitation":"(Raj et al., --)","noteIndex":0},"citationItems":[{"id":"7QoY0TNi/vqlIOr1b","uris":["http://zotero.org/users/16274399/items/MYSGUMH6"],"itemData":{"id":92,"type":"article-journal","abstract":"Objective This work aimed to study the distribution of lymph nodal metastatic pattern in carcinoma gallbladder with multidetector computed tomography (CT). Materials and Methods A retrospective observational study was conducted including 80 patients with carcinoma gallbladder who underwent triple-phase CT angiography or single-phase contrast-enhanced CT scan of the abdomen between January 2019 and November 2019. Results In our study, 75 (93.7%) out of 80 cases showed metastasis to lymph nodes, with distribution as follows: periportal (69), peripancreatic (62), and aortocaval (47). The most common involved combination included all three lymph nodal groups (periportal, peripancreatic, and aortocaval), involving 40 (50%) cases. The combination of only periportal and peripancreatic lymph nodes was seen in 17 (21%) cases. Isolated periportal lymph nodes were seen in eight cases (10%) cases. The combination of only periportal and aortocaval lymph nodes was seen in four (5%) cases. Isolated peripancreatic lymph nodes were seen in three (3.7%) cases. The combination of periportal and aortocaval was seen in four (5%) cases followed by peripancreatic and aortocaval lymph nodes that was seen in two (2.5%) cases. Isolated aortocaval lymph nodes were seen in one (1.2%) case. Conclusion Periportal lymph nodes were the single most commonly involved station followed by peripancreatic and aortocaval lymph nodes. The combination of periportal, peripancreatic, and aortocaval lymph nodes was seen most commonly. The second most commonly involved combination was found to be periportal and peripancreatic lymph nodes followed by isolated periportal lymph nodes.","container-title":"Asian Journal of Oncology","DOI":"10.1055/s-0040-1714306","ISSN":"2454-6798","issue":"01","journalAbbreviation":"Asian Journal of Oncology","language":"en","note":"publisher: Thieme Medical and Scientific Publishers Pvt. Ltd.","page":"22-27","source":"asjo.in","title":"Lymph Nodal Metastatic Pattern in Carcinoma Gallbladder with Multidetector Computed Tomography: An Institutional Experience","title-short":"Lymph Nodal Metastatic Pattern in Carcinoma Gallbladder with Multidetector Computed Tomography","volume":"07","author":[{"family":"Raj","given":"Gaurav"},{"family":"Singh","given":"Bhanupriya"},{"family":"Raj","given":"Richa"},{"family":"Singh","given":"Ragini"}],"issued":{"literal":"--"}}}],"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(Raj et al., --)</w:t>
      </w:r>
      <w:r>
        <w:rPr>
          <w:rFonts w:ascii="Times New Roman" w:hAnsi="Times New Roman" w:cs="Times New Roman"/>
          <w:sz w:val="24"/>
          <w:szCs w:val="24"/>
        </w:rPr>
        <w:fldChar w:fldCharType="end"/>
      </w:r>
      <w:r>
        <w:rPr>
          <w:rFonts w:ascii="Times New Roman" w:hAnsi="Times New Roman" w:cs="Times New Roman"/>
          <w:sz w:val="24"/>
          <w:szCs w:val="24"/>
        </w:rPr>
        <w:t xml:space="preserve">. The information obtained about size, location, invasion, and type of tumor are very precise, CT scans can be very helpful in staging cancer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{"citationID":"3wD2FXG9","properties":{"formattedCitation":"(Prasad et al., 2014)","plainCitation":"(Prasad et al., 2014)","noteIndex":0},"citationItems":[{"id":"7QoY0TNi/h9ntKVmP","uris":["http://zotero.org/users/16274399/items/VBWNBC7E"],"itemData":{"id":94,"type":"article-journal","abstract":"Background &amp; objectives:\nStaging of cervical carcinoma is done clinically using International Federation of Obstetrics and Gynecology (FIGO) guidelines. It is based on physical examination findings and also includes results of biopsy, endoscopy and conventional radiological tests like chest radiograph, intravenous urography and barium enema. These conventional radiological investigations have largely been replaced by computed tomography (CT) and magnetic resonance imaging (MRI) at present. FIGO staging system does not consider CT and MRI mandatory; however, use of these modalities are encouraged. This prospective study was conducted to determine the role of CT in staging work up in women diagnosed with cervical carcinoma.\n\nMethods:\nFifty three women diagnosed with cervical carcinoma were evaluated with contrast enhanced CT scan of abdomen and pelvis. CT scan images were especially evaluated to determine tumour size, invasion of parmetrium, pelvic walls, rectum, urinary bladder and ureters, pelvic or retroperitoneal lymphadenopathy and distant metastases. CT findings were associated with clinical findings and staging, including findings from cystoscopy and sigmoidoscopy.\n\nResults:\nThere was a poor agreement between clinical and CT staging of cervical carcinoma. Primary tumour was demonstrated on CT in 36 (70%) of 53 patients. CT underestimated the parametrial, vaginal and pelvic wall invasion when compared with physical examination. CT overestimated the urinary bladder and rectal invasion when compared with cysto-sigmoidoscopy, however, CT had 100 per cent negative predictive value (NPV) to exclude bladder and rectal involvement. CT detection of lymph node enlargement and lung metastases influenced the management.\n\nInterpretation &amp; conclusions:\nOur findings show that CT scan does not reliably correlate with clinical FIGO staging of cervical cancer. However, it can detect urinary obstruction as well as nodal or distant metastases and thus improves the clinical FIGO staging","container-title":"The Indian Journal of Medical Research","ISSN":"0971-5916","issue":"5","journalAbbreviation":"Indian J Med Res","note":"PMID: 25027081\nPMCID: PMC4140036","page":"714-719","source":"PubMed Central","title":"Role of computed tomography (CT) scan in staging of cervical carcinoma","volume":"139","author":[{"family":"Prasad","given":"T.V."},{"family":"Thulkar","given":"S."},{"family":"Hari","given":"S."},{"family":"Sharma","given":"D.N."},{"family":"Kumar","given":"S."}],"issued":{"date-parts":[["2014",5]]}}}],"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(Prasad et al., 2014)</w:t>
      </w:r>
      <w:r>
        <w:rPr>
          <w:rFonts w:ascii="Times New Roman" w:hAnsi="Times New Roman" w:cs="Times New Roman"/>
          <w:sz w:val="24"/>
          <w:szCs w:val="24"/>
        </w:rPr>
        <w:fldChar w:fldCharType="end"/>
      </w:r>
      <w:r>
        <w:rPr>
          <w:rFonts w:ascii="Times New Roman" w:hAnsi="Times New Roman" w:cs="Times New Roman"/>
          <w:sz w:val="24"/>
          <w:szCs w:val="24"/>
        </w:rPr>
        <w:t>. The tumor can be staged easily following the TNM (Tumor-lymph node and metastasis) system. It visualizes the size of the tumor, lymph nodes around the primary tumor, and metastasis. Cancer s</w:t>
      </w:r>
      <w:r>
        <w:rPr>
          <w:rFonts w:ascii="Times New Roman" w:hAnsi="Times New Roman" w:cs="Times New Roman"/>
          <w:sz w:val="24"/>
          <w:szCs w:val="24"/>
        </w:rPr>
        <w:t xml:space="preserve">taging using the TNM system is summarised in </w:t>
      </w:r>
      <w:r>
        <w:rPr>
          <w:rFonts w:ascii="Times New Roman" w:hAnsi="Times New Roman" w:cs="Times New Roman"/>
          <w:b/>
          <w:bCs/>
          <w:sz w:val="24"/>
          <w:szCs w:val="24"/>
        </w:rPr>
        <w:t>Fig</w:t>
      </w:r>
      <w:r w:rsidR="00A45358">
        <w:rPr>
          <w:rFonts w:ascii="Times New Roman" w:hAnsi="Times New Roman" w:cs="Times New Roman"/>
          <w:b/>
          <w:bCs/>
          <w:sz w:val="24"/>
          <w:szCs w:val="24"/>
        </w:rPr>
        <w:t>.</w:t>
      </w:r>
      <w:r>
        <w:rPr>
          <w:rFonts w:ascii="Times New Roman" w:hAnsi="Times New Roman" w:cs="Times New Roman"/>
          <w:b/>
          <w:bCs/>
          <w:sz w:val="24"/>
          <w:szCs w:val="24"/>
        </w:rPr>
        <w:t xml:space="preserve"> 1</w:t>
      </w:r>
      <w:r>
        <w:rPr>
          <w:rFonts w:ascii="Times New Roman" w:hAnsi="Times New Roman" w:cs="Times New Roman"/>
          <w:sz w:val="24"/>
          <w:szCs w:val="24"/>
        </w:rPr>
        <w:t xml:space="preserve">. One of the major issues with CT imaging is the repeated use of ionizing radiation which is harmful to the body.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{"citationID":"Gj4cGpIZ","properties":{"formattedCitation":"(Brower &amp; Rehani, 2021)","plainCitation":"(Brower &amp; Rehani, 2021)","noteIndex":0},"citationItems":[{"id":"7QoY0TNi/XQezKEBK","uris":["http://zotero.org/users/16274399/items/D2ANZJP8"],"itemData":{"id":97,"type":"article-journal","abstract":"Millions of patients benefit from medical imaging every single day. However, we have entered an unprecedented era in imaging practices wherein 1 out of 125 patients can be exposed to effective dose &gt;50 mSv from a single CT exam and 3 out of 10,000 patients undergoing CT exams could potentially receive cumulative effective doses &gt; 100 mSv in a single day. Recurrent imaging with CT, fluoroscopically guided interventions, and hybrid imaging modalities such as positron emission tomography/computed tomography (PET/CT) is more prevalent today than ever before. Presently, we do not know the cumulative doses that patients may be receiving across all imaging modalities combined. Furthermore, patients with diseases with longer life expectancies are being exposed to high doses of radiation enabling radiation effects to manifest over a longer time period. The emphasis in the past on improving justification of imaging and optimization of technique and practice has proved useful. While that must continue, the current situation requires imaging device manufacturers to urgently develop imaging technologies that are safer for patients as high doses have been observed in patients where imaging has been justified through clinical decision-support and optimized by keeping doses below the national benchmark doses. There is a need to have a critical look at the fundamental principles of radiation protection as cumulative doses are likely to increase in the coming years.","container-title":"The British Journal of Radiology","DOI":"10.1259/bjr.20210389","ISSN":"0007-1285","issue":"1126","journalAbbreviation":"Br J Radiol","note":"PMID: 34161140\nPMCID: PMC9328055","page":"20210389","source":"PubMed Central","title":"Radiation risk issues in recurrent imaging","volume":"94","author":[{"family":"Brower","given":"Charles"},{"family":"Rehani","given":"Madan M"}],"issued":{"date-parts":[["2021",10,1]]}}}],"schema":"https://github.com/citation-style-language/schema/raw/master/csl-citation.json"}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(Brower &amp; Rehani, 2021)</w:t>
      </w:r>
      <w:r>
        <w:rPr>
          <w:rFonts w:ascii="Times New Roman" w:hAnsi="Times New Roman" w:cs="Times New Roman"/>
          <w:sz w:val="24"/>
          <w:szCs w:val="24"/>
        </w:rPr>
        <w:fldChar w:fldCharType="end"/>
      </w:r>
      <w:r>
        <w:rPr>
          <w:rFonts w:ascii="Times New Roman" w:hAnsi="Times New Roman" w:cs="Times New Roman"/>
          <w:sz w:val="24"/>
          <w:szCs w:val="24"/>
        </w:rPr>
        <w:t>. It is also quite possible that so</w:t>
      </w:r>
      <w:r>
        <w:rPr>
          <w:rFonts w:ascii="Times New Roman" w:hAnsi="Times New Roman" w:cs="Times New Roman"/>
          <w:sz w:val="24"/>
          <w:szCs w:val="24"/>
        </w:rPr>
        <w:t>me abnormalities cannot be seen on CT scans because sometimes it does not differentiate between adjacent tissues and thus further modalities are required to confirm the diagnosis.</w:t>
      </w:r>
    </w:p>
    <w:p w14:paraId="69098102" w14:textId="77777777" w:rsidR="0046447B" w:rsidRDefault="0046447B" w:rsidP="0046447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14:ligatures w14:val="none"/>
        </w:rPr>
        <w:lastRenderedPageBreak/>
        <w:drawing>
          <wp:inline distT="0" distB="0" distL="0" distR="0" wp14:anchorId="2FD91FBF" wp14:editId="78DC98DB">
            <wp:extent cx="5574030" cy="2571750"/>
            <wp:effectExtent l="0" t="0" r="7620" b="0"/>
            <wp:docPr id="190469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9266" name="Picture 1904699266"/>
                    <pic:cNvPicPr/>
                  </pic:nvPicPr>
                  <pic:blipFill rotWithShape="1">
                    <a:blip r:embed="rId8">
                      <a:extLst>
                        <a:ext uri="{28A0092B-C50C-407E-A947-70E740481C1C}">
                          <a14:useLocalDpi xmlns:a14="http://schemas.microsoft.com/office/drawing/2010/main" val="0"/>
                        </a:ext>
                      </a:extLst>
                    </a:blip>
                    <a:srcRect t="5110" b="13941"/>
                    <a:stretch/>
                  </pic:blipFill>
                  <pic:spPr bwMode="auto">
                    <a:xfrm>
                      <a:off x="0" y="0"/>
                      <a:ext cx="5611316" cy="2588953"/>
                    </a:xfrm>
                    <a:prstGeom prst="rect">
                      <a:avLst/>
                    </a:prstGeom>
                    <a:ln>
                      <a:noFill/>
                    </a:ln>
                    <a:extLst>
                      <a:ext uri="{53640926-AAD7-44D8-BBD7-CCE9431645EC}">
                        <a14:shadowObscured xmlns:a14="http://schemas.microsoft.com/office/drawing/2010/main"/>
                      </a:ext>
                    </a:extLst>
                  </pic:spPr>
                </pic:pic>
              </a:graphicData>
            </a:graphic>
          </wp:inline>
        </w:drawing>
      </w:r>
    </w:p>
    <w:p w14:paraId="0DA662EA" w14:textId="5540D867" w:rsidR="009B07E8" w:rsidRDefault="0046447B" w:rsidP="009B07E8">
      <w:pPr>
        <w:pStyle w:val="ListParagraph"/>
        <w:spacing w:line="360" w:lineRule="auto"/>
        <w:ind w:left="0"/>
        <w:jc w:val="both"/>
        <w:rPr>
          <w:rFonts w:ascii="Times New Roman" w:hAnsi="Times New Roman" w:cs="Times New Roman"/>
          <w:sz w:val="24"/>
          <w:szCs w:val="24"/>
        </w:rPr>
      </w:pPr>
      <w:r w:rsidRPr="009B07E8">
        <w:rPr>
          <w:rFonts w:ascii="Times New Roman" w:hAnsi="Times New Roman" w:cs="Times New Roman"/>
          <w:b/>
          <w:bCs/>
          <w:sz w:val="24"/>
          <w:szCs w:val="24"/>
        </w:rPr>
        <w:t>Fig</w:t>
      </w:r>
      <w:r w:rsidR="00A45358">
        <w:rPr>
          <w:rFonts w:ascii="Times New Roman" w:hAnsi="Times New Roman" w:cs="Times New Roman"/>
          <w:b/>
          <w:bCs/>
          <w:sz w:val="24"/>
          <w:szCs w:val="24"/>
        </w:rPr>
        <w:t>.</w:t>
      </w:r>
      <w:r w:rsidRPr="009B07E8">
        <w:rPr>
          <w:rFonts w:ascii="Times New Roman" w:hAnsi="Times New Roman" w:cs="Times New Roman"/>
          <w:b/>
          <w:bCs/>
          <w:sz w:val="24"/>
          <w:szCs w:val="24"/>
        </w:rPr>
        <w:t xml:space="preserve"> 1</w:t>
      </w:r>
      <w:r w:rsidR="009B07E8" w:rsidRPr="009B07E8">
        <w:rPr>
          <w:rFonts w:ascii="Times New Roman" w:hAnsi="Times New Roman" w:cs="Times New Roman"/>
          <w:b/>
          <w:bCs/>
          <w:sz w:val="24"/>
          <w:szCs w:val="24"/>
        </w:rPr>
        <w:t>.</w:t>
      </w:r>
      <w:r w:rsidRPr="009B07E8">
        <w:rPr>
          <w:rFonts w:ascii="Times New Roman" w:hAnsi="Times New Roman" w:cs="Times New Roman"/>
          <w:sz w:val="24"/>
          <w:szCs w:val="24"/>
        </w:rPr>
        <w:t xml:space="preserve"> Showing TNM system used in cancer staging. T (Tumor) is graded from T0 to T4 depending on the size of the tumor, N (Nodes) is graded from N0 to N3 depending on lymph node involvement, and M (Metastasis) is graded from M1 to M2 depending on the absence and presence of metastasis</w:t>
      </w:r>
      <w:r w:rsidRPr="006A3DD4">
        <w:rPr>
          <w:rFonts w:ascii="Times New Roman" w:hAnsi="Times New Roman" w:cs="Times New Roman"/>
          <w:sz w:val="20"/>
          <w:szCs w:val="20"/>
        </w:rPr>
        <w:t xml:space="preserve">. </w:t>
      </w:r>
    </w:p>
    <w:p w14:paraId="21FFDDCF" w14:textId="77777777" w:rsidR="009B07E8" w:rsidRDefault="009B07E8" w:rsidP="009B07E8">
      <w:pPr>
        <w:pStyle w:val="ListParagraph"/>
        <w:spacing w:line="360" w:lineRule="auto"/>
        <w:ind w:left="0"/>
        <w:jc w:val="both"/>
        <w:rPr>
          <w:rFonts w:ascii="Times New Roman" w:hAnsi="Times New Roman" w:cs="Times New Roman"/>
          <w:sz w:val="24"/>
          <w:szCs w:val="24"/>
        </w:rPr>
      </w:pPr>
    </w:p>
    <w:p w14:paraId="600B003E" w14:textId="14F5CFC6" w:rsidR="0046447B" w:rsidRPr="009B07E8" w:rsidRDefault="009B07E8" w:rsidP="009B07E8">
      <w:pPr>
        <w:pStyle w:val="ListParagraph"/>
        <w:spacing w:line="360" w:lineRule="auto"/>
        <w:ind w:left="0"/>
        <w:jc w:val="both"/>
        <w:rPr>
          <w:rFonts w:ascii="Times New Roman" w:hAnsi="Times New Roman" w:cs="Times New Roman"/>
          <w:sz w:val="24"/>
          <w:szCs w:val="24"/>
        </w:rPr>
      </w:pPr>
      <w:r w:rsidRPr="009B07E8">
        <w:rPr>
          <w:rFonts w:ascii="Times New Roman" w:hAnsi="Times New Roman" w:cs="Times New Roman"/>
          <w:b/>
          <w:bCs/>
          <w:sz w:val="24"/>
          <w:szCs w:val="24"/>
        </w:rPr>
        <w:t>3.</w:t>
      </w:r>
      <w:r>
        <w:rPr>
          <w:rFonts w:ascii="Times New Roman" w:hAnsi="Times New Roman" w:cs="Times New Roman"/>
          <w:sz w:val="24"/>
          <w:szCs w:val="24"/>
        </w:rPr>
        <w:t xml:space="preserve"> </w:t>
      </w:r>
      <w:r w:rsidR="0046447B">
        <w:rPr>
          <w:rFonts w:ascii="Times New Roman" w:hAnsi="Times New Roman" w:cs="Times New Roman"/>
          <w:b/>
          <w:bCs/>
          <w:sz w:val="24"/>
          <w:szCs w:val="24"/>
        </w:rPr>
        <w:t xml:space="preserve">MRI in cancer diagnosis </w:t>
      </w:r>
    </w:p>
    <w:p w14:paraId="60FEE241" w14:textId="315EED08" w:rsidR="0035583F" w:rsidRDefault="0046447B">
      <w:pPr>
        <w:pStyle w:val="ListParagraph"/>
        <w:spacing w:line="360" w:lineRule="auto"/>
        <w:ind w:left="0"/>
        <w:jc w:val="both"/>
        <w:rPr>
          <w:rFonts w:ascii="Times New Roman" w:hAnsi="Times New Roman" w:cs="Times New Roman"/>
          <w:kern w:val="0"/>
          <w:sz w:val="24"/>
          <w:szCs w:val="24"/>
        </w:rPr>
      </w:pPr>
      <w:r>
        <w:rPr>
          <w:rFonts w:ascii="Times New Roman" w:hAnsi="Times New Roman" w:cs="Times New Roman"/>
          <w:kern w:val="0"/>
          <w:sz w:val="24"/>
          <w:szCs w:val="24"/>
        </w:rPr>
        <w:t xml:space="preserve">MRI is another important imaging modality used in radiodiagnosis. MRI works on the nuclear magnetic resonance (NMR) phenomenon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{"citationID":"WiLWbe0l","properties":{"formattedCitation":"(Kaunitz, 2018)","plainCitation":"(Kaunitz, 2018)","noteIndex":0},"citationItems":[{"id":"7QoY0TNi/wXP8mhEY","uris":["http://zotero.org/users/16274399/items/32B6IS5U"],"itemData":{"id":100,"type":"article-journal","container-title":"Digestive diseases and sciences","DOI":"10.1007/s10620-018-4992-9","ISSN":"0163-2116","issue":"5","journalAbbreviation":"Dig Dis Sci","note":"PMID: 29497905\nPMCID: PMC5988242","page":"1100-1101","source":"PubMed Central","title":"Magnetic Resonance Imaging: The Nuclear Option","title-short":"Magnetic Resonance Imaging","volume":"63","author":[{"family":"Kaunitz","given":"Jonathan D."}],"issued":{"date-parts":[["2018",5]]}}}],"schema":"https://github.com/citation-style-language/schema/raw/master/csl-citation.json"}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(Kaunitz, 2018)</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NMR was first described by Bloch and Purcell in 1945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{"citationID":"HukntmLF","properties":{"formattedCitation":"(Shampo et al., 2012)","plainCitation":"(Shampo et al., 2012)","noteIndex":0},"citationItems":[{"id":"7QoY0TNi/etyCPP8Y","uris":["http://zotero.org/users/16274399/items/5QCKZEQS"],"itemData":{"id":103,"type":"article-journal","container-title":"Mayo Clinic Proceedings","DOI":"10.1016/j.mayocp.2012.01.023","ISSN":"0025-6196","issue":"12","journalAbbreviation":"Mayo Clin Proc","note":"PMID: 23218094\nPMCID: PMC3547585","page":"e109","source":"PubMed Central","title":"Richard Ernst—Nobel Prize for Nuclear Magnetic Resonance Spectroscopy","volume":"87","author":[{"family":"Shampo","given":"Marc A."},{"family":"Kyle","given":"Robert A."},{"family":"Steensma","given":"David P."}],"issued":{"date-parts":[["2012",12]]}}}],"schema":"https://github.com/citation-style-language/schema/raw/master/csl-citation.json"}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(Shampo et al., 2012)</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MRI acquires images through </w:t>
      </w:r>
      <w:r w:rsidR="00AC3AD9">
        <w:rPr>
          <w:rFonts w:ascii="Times New Roman" w:hAnsi="Times New Roman" w:cs="Times New Roman"/>
          <w:kern w:val="0"/>
          <w:sz w:val="24"/>
          <w:szCs w:val="24"/>
        </w:rPr>
        <w:t xml:space="preserve">a </w:t>
      </w:r>
      <w:r>
        <w:rPr>
          <w:rFonts w:ascii="Times New Roman" w:hAnsi="Times New Roman" w:cs="Times New Roman"/>
          <w:kern w:val="0"/>
          <w:sz w:val="24"/>
          <w:szCs w:val="24"/>
        </w:rPr>
        <w:t xml:space="preserve">radiofrequency (RF) pulse in the presence of a strong magnetic field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{"citationID":"4nmw79hx","properties":{"formattedCitation":"(Hore, 2017)","plainCitation":"(Hore, 2017)","noteIndex":0},"citationItems":[{"id":"7QoY0TNi/EIpvfcex","uris":["http://zotero.org/users/16274399/items/MX94DU3E"],"itemData":{"id":106,"type":"chapter","abstract":"The basic theory behind NMR spectroscopy is described. The various NMR parameters that can be obtained from NMR spectra are explained, including the chemical shift, spin-spin coupling, and relaxation. Some explanation of the theory of how NMR is detected is also presented.","container-title":"Encyclopedia of Spectroscopy and Spectrometry (Third Edition)","event-place":"Oxford","ISBN":"978-0-12-803224-4","note":"DOI: 10.1016/B978-0-12-803224-4.00230-2","page":"187-194","publisher":"Academic Press","publisher-place":"Oxford","source":"ScienceDirect","title":"NMR Principles","URL":"https://www.sciencedirect.com/science/article/pii/B9780128032244002302","author":[{"family":"Hore","given":"P. J."}],"editor":[{"family":"Lindon","given":"John C."},{"family":"Tranter","given":"George E."},{"family":"Koppenaal","given":"David W."}],"accessed":{"date-parts":[["2025",2,2]]},"issued":{"date-parts":[["2017",1,1]]}}}],"schema":"https://github.com/citation-style-language/schema/raw/master/csl-citation.json"}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(Hore, 2017)</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When an RF pulse is given to the patient in the presence of a strong magnetic field, it disturbs the alignment of protons by passing the energy of the RF pulse to the protons present in tissues by resonance (transfer of energy from one body to another when they both are at same energy level). Protons in the tissue aligned themselves in parallel and anti-parallel directions. When the RF pulse switches off the protons get back to the equilibrium position and release energy in the form of signals (raw data) for image formation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{"citationID":"p77nTGFf","properties":{"formattedCitation":"(Pai et al., 2025)","plainCitation":"(Pai et al., 2025)","noteIndex":0},"citationItems":[{"id":"7QoY0TNi/bBzYFnhN","uris":["http://zotero.org/users/16274399/items/ZZC8W7PK"],"itemData":{"id":217,"type":"chapter","abstract":"Knowledge of the principle of MRI acquisition is vital for an adequate interpretation of MRI images. MRI system has two systems, i.e., the control center is usually located in the adjacent room and the MRI machine within which the patient lies. Components of the MRI machine include- a set of Primary magnets, three gradient coils, shim coils, and an integrated radiofrequency(RF) coil. Due to extensive use of the Radiofrequency waves (RF waves), the MRI machine is incorporated within a special copper-lined room called a Faraday shield to keep the potential electromagnetic noise out. The strength of the magnetic field is measured in Tesla (T). Clinical MRI is usually performed at 1.5-3 Tesla (1.5-3T).","call-number":"NBK564320","container-title":"StatPearls","event-place":"Treasure Island (FL)","language":"eng","license":"Copyright © 2025, StatPearls Publishing LLC.","note":"PMID: 33231990","publisher":"StatPearls Publishing","publisher-place":"Treasure Island (FL)","source":"PubMed","title":"Magnetic Resonance Imaging Physics","URL":"http://www.ncbi.nlm.nih.gov/books/NBK564320/","author":[{"family":"Pai","given":"Aparna"},{"family":"Shetty","given":"Rohil"},{"family":"Hodis","given":"Brendan"},{"family":"Chowdhury","given":"Yuvraj S."}],"accessed":{"date-parts":[["2025",2,3]]},"issued":{"date-parts":[["2025"]]}}}],"schema":"https://github.com/citation-style-language/schema/raw/master/csl-citation.json"}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(Pai et al., 2025)</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Raw data is converted into a meaningful image using Fourier transformation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{"citationID":"FwGsH0Uk","properties":{"formattedCitation":"(Aibinu et al., 2008)","plainCitation":"(Aibinu et al., 2008)","noteIndex":0},"citationItems":[{"id":"7QoY0TNi/Jt9Bf2h2","uris":["http://zotero.org/users/16274399/items/Y2YZVJQ5"],"itemData":{"id":214,"type":"article-journal","abstract":"The use of Inverse Discrete Fourier Transform (IDFT) implemented in the form of Inverse Fourier Transform (IFFT) is one of the standard method of reconstructing Magnetic Resonance Imaging (MRI) from uniformly sampled K-space data. In this tutorial, three of the major problems associated with the use of IFFT in MRI reconstruction are highlighted. The tutorial also gives brief introduction to MRI physics; MRI system from instrumentation point of view; K-space signal and the process of IDFT and IFFT for One and two dimensional (1D and 2D) data.","container-title":"World Academy of Science Engineering and Technology","journalAbbreviation":"World Academy of Science Engineering and Technology","source":"ResearchGate","title":"MRI Reconstruction Using Discrete Fourier Transform: A tutorial","title-short":"MRI Reconstruction Using Discrete Fourier Transform","volume":"42","author":[{"family":"Aibinu","given":"Abiodun"},{"family":"Salami","given":"Momoh"},{"family":"Shafie","given":"A.A."},{"family":"Najeeb","given":"Athaur"}],"issued":{"date-parts":[["2008",1,1]]}}}],"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(Aibinu et al., 2008)</w:t>
      </w:r>
      <w:r>
        <w:rPr>
          <w:rFonts w:ascii="Times New Roman" w:hAnsi="Times New Roman" w:cs="Times New Roman"/>
          <w:kern w:val="0"/>
          <w:sz w:val="24"/>
          <w:szCs w:val="24"/>
        </w:rPr>
        <w:fldChar w:fldCharType="end"/>
      </w:r>
      <w:r>
        <w:rPr>
          <w:rFonts w:ascii="Times New Roman" w:hAnsi="Times New Roman" w:cs="Times New Roman"/>
          <w:kern w:val="0"/>
          <w:sz w:val="24"/>
          <w:szCs w:val="24"/>
        </w:rPr>
        <w:t>. MRI shows better tissue contrast and spatial resolution than CT scans. MRI has been proven a better modality in cases of cervix cancer, bladder cancer, CNS cancer, and extremity masses (</w:t>
      </w:r>
      <w:proofErr w:type="spellStart"/>
      <w:r>
        <w:rPr>
          <w:rFonts w:ascii="Times New Roman" w:hAnsi="Times New Roman" w:cs="Times New Roman"/>
          <w:kern w:val="0"/>
          <w:sz w:val="24"/>
          <w:szCs w:val="24"/>
        </w:rPr>
        <w:t>eg</w:t>
      </w:r>
      <w:proofErr w:type="spellEnd"/>
      <w:r>
        <w:rPr>
          <w:rFonts w:ascii="Times New Roman" w:hAnsi="Times New Roman" w:cs="Times New Roman"/>
          <w:kern w:val="0"/>
          <w:sz w:val="24"/>
          <w:szCs w:val="24"/>
        </w:rPr>
        <w:t xml:space="preserve">; sarcoma)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{"citationID":"OTcv8ISE","properties":{"formattedCitation":"(Alemu et al., 2023; Re et al., 2023; Wasa et al., 2010)","plainCitation":"(Alemu et al., 2023; Re et al., 2023; Wasa et al., 2010)","noteIndex":0},"citationItems":[{"id":"7QoY0TNi/c2TwSryk","uris":["http://zotero.org/users/16274399/items/R5XIC7CN"],"itemData":{"id":108,"type":"article-journal","abstract":"Cervical cancer is the fourth most common cancer in women, and it is divided into 2 main histological types: squamous cell carcinoma and adenocarcinoma. Extension of disease as well as the presence of metastases define the prognosis of patients. Accurate tumor staging at diagnosis is essential for adequate planning for treatment. There are several classifications of cervical cancer, and the most used are FIGO and TNM, which help classify the patient and guide the treatment. Imaging has a pivotal role in classifying patients, and MRI plays a decision-maker role both for diagnosis and for treatment planning. In this paper we highlight the role of MRI, alongside guidelines classification, in patients with different stages of cervical tumors.","collection-title":"Oncologic Imaging","container-title":"Seminars in Ultrasound, CT and MRI","DOI":"10.1053/j.sult.2023.03.010","ISSN":"0887-2171","issue":"3","journalAbbreviation":"Seminars in Ultrasound, CT and MRI","page":"228-237","source":"ScienceDirect","title":"Role of MRI in the Assessment of Cervical Cancer","volume":"44","author":[{"family":"Re","given":"Giuseppe Lo"},{"family":"Cucinella","given":"Giuseppe"},{"family":"Zaccaria","given":"Giulia"},{"family":"Crapanzano","given":"Agata"},{"family":"Salerno","given":"Sergio"},{"family":"Pinto","given":"Antonio"},{"family":"Casto","given":"Antonio Lo"},{"family":"Chiantera","given":"Vito"}],"issued":{"date-parts":[["2023",6,1]]}}},{"id":"7QoY0TNi/yHZF1EDe","uris":["http://zotero.org/users/16274399/items/DK8A46KP"],"itemData":{"id":110,"type":"article-journal","abstract":"Brain cancer is one of the most fatal types of disease, which is caused by an abnormally growing mass of defective brain tissue. Generally, brain cancer can be divided into benign and malignant, however, based on the World Health Organization, it can also be divided into grade I, II, III, and IV tumors. Magnetic Resonance Imaging (MRI) has become a crucial tool in the diagnosis and treatment of brain tumors. However, accurately classifying brain tumor images from MRI scans remains a challenging task due to the complexity and heterogeneity of tumor characteristics. This paper presents a Support Vector Machine (SVM) based classification method for brain tumor classification. The proposed method comprises steps such as noise reduction, segmentation, and feature extraction which were employed using the median filter or wavelet transform, Otsu's thresholding, and Gray-Level Co-occurrence Matrix, respectively. Finally, classifications were performed using a Support Vector Machine which achieved a 99.9 % accuracy using a dataset of 24 MRI images comprising 13 Malignant and 11 Benign brain tumors for training and 16 images for testing. When compared to previous approaches, the study's findings show a considerable improvement in the ability to classify images of brain tumors.","container-title":"Scientific African","DOI":"10.1016/j.sciaf.2023.e01963","ISSN":"2468-2276","journalAbbreviation":"Scientific African","page":"e01963","source":"ScienceDirect","title":"Magnetic resonance imaging-based brain tumor image classification performance enhancement","volume":"22","author":[{"family":"Alemu","given":"Belayneh Sisay"},{"family":"Feisso","given":"Sultan"},{"family":"Mohammed","given":"Endris Abdu"},{"family":"Salau","given":"Ayodeji Olalekan"}],"issued":{"date-parts":[["2023",11,1]]}}},{"id":"7QoY0TNi/DmyrGGZ2","uris":["http://zotero.org/users/16274399/items/PKIEHUC4"],"itemData":{"id":112,"type":"article-journal","abstract":"OBJECTIVE. The objective of this study was to identify the MRI criteria that best differentiate malignant peripheral nerve sheath tumors from benign neurofibromas.MATERIALS AND METHODS. We retrospectively analyzed MR images obtained for 41 histologically diagnosed cases of malignant peripheral nerve sheath tumor and 20 cases of neurofibroma that had been treated at four tertiary institutions. Twenty of the patients with malignant peripheral nerve sheath tumors and 14 patients with neurofibromas developed the disease in association with neurofibromatosis 1. The MR images were evaluated with regard to tumor size, signal intensity, heterogeneity of T1- and T2-weighted MR images, enhancement pattern, definition of margins, presence of perilesional edemalike zone, and presence of intratumoral cystic lesions.RESULTS. Significant differences between malignant peripheral nerve sheath tumors and neurofibromas were noted for the largest dimension of the mass, peripheral enhancement pattern, perilesional edemalike zone, and intratumoral cystic lesion. In cases associated with neurofibromatosis 1, heterogenicity on T1-weighted images was also significant in differentiating neurofibroma from malignant peripheral nerve sheath tumor. The presence of two or more of the four features suggestive of malignancy indicated malignant peripheral nerve sheath tumor with a sensitivity of 61% and a specificity of 90%.CONCLUSION. The MR features described in this study are useful for distinguishing malignant peripheral nerve sheath tumors from neurofibromas. If a tumor has two or more of the four statistically significant features, it can be considered to be highly suspicious of malignancy and should be subjected to a biopsy for early diagnosis.","container-title":"American Journal of Roentgenology","DOI":"10.2214/AJR.09.2724","ISSN":"0361-803X","issue":"6","note":"publisher: American Roentgen Ray Society","page":"1568-1574","source":"ajronline.org (Atypon)","title":"MRI Features in the Differentiation of Malignant Peripheral Nerve Sheath Tumors and Neurofibromas","volume":"194","author":[{"family":"Wasa","given":"Junji"},{"family":"Nishida","given":"Yoshihiro"},{"family":"Tsukushi","given":"Satoshi"},{"family":"Shido","given":"Yoji"},{"family":"Sugiura","given":"Hideshi"},{"family":"Nakashima","given":"Hiroatsu"},{"family":"Ishiguro","given":"Naoki"}],"issued":{"date-parts":[["2010",6]]}}}],"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(Alemu et al., 2023; Re et al., 2023; Wasa et al., 2010)</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MRI ensures breast cancer diagnosis after breast ultrasonography and even adds more detailed information in the final diagnosis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{"citationID":"p2bGAx8A","properties":{"formattedCitation":"(Gilbert &amp; Pinker-Domenig, 2019)","plainCitation":"(Gilbert &amp; Pinker-Domenig, 2019)","noteIndex":0},"citationItems":[{"id":"7QoY0TNi/wt9OKDtM","uris":["http://zotero.org/users/16274399/items/W2YLI4BH"],"itemData":{"id":114,"type":"chapter","abstract":"Breast cancer is the most cause of female cancer deaths in the western world, with early detection of cancer being pivotal for an improved prognosis and survival. Imaging plays a pivotal role in breast cancer detection and staging and helps guiding treatment decisions. Imaging modalities for diagnosis and staging of breast cancer comprise mammography, digital breast tomosynthesis (DBT), ultrasound, contrast-enhanced mammography (CEM), and magnetic resonance imaging (MRI). Mammography is the mainstay of breast cancer screening and diagnosis. Mammography, together with ultrasound and MRI, is used to detect and characterize lesions found at screening and to evaluate symptomatic women. In patients with breast cancer, mammography, often in conjunction with specialized views, can determine lesion size and location and assess the surrounding tissue and lymph nodes. DBT is a three-dimensional (3D) imaging method with the potential to overcome the main limitation of standard two-dimensional mammography, a masking effect due to overlapping fibroglandular breast tissue, improving diagnostic accuracy in breast cancer, particularly in dense breasts. CEM allows both a morphologic evaluation comparable to routine digital mammography and through contrast agent application a simultaneous assessment of tumor neovascularity as an indicator of malignancy similar to MRI. Data indicate that CEM has an improved sensitivity and increases the specificity compared with mammography. Breast US is widely used to confirm a diagnosis of cancer, to look for additional disease in the breast, for image-guided breast biopsy and localization, assessment of the axilla, and as a second-look tool in patients with abnormalities found on MRI. MRI of the breast is the most sensitive modality for breast cancer detection. MRI of the breast is used for the assessment of disease extent and detection of additional lesion and seems to be more useful than mammography when staging multifocal and multicentric disease or when DCIS is present. This chapters will provide an overview of when and how to use mammography, DBT, ultrasound, CEM, and MRI for diagnosis and staging of breast cancer.","call-number":"NBK553859","collection-title":"IDKD Springer Series","container-title":"Diseases of the Chest, Breast, Heart and Vessels 2019-2022: Diagnostic and Interventional Imaging","event-place":"Cham (CH)","ISBN":"978-3-030-11148-9","language":"eng","license":"Copyright 2019, The Author(s).","note":"PMID: 32096932","publisher":"Springer","publisher-place":"Cham (CH)","source":"PubMed","title":"Diagnosis and Staging of Breast Cancer: When and How to Use Mammography, Tomosynthesis, Ultrasound, Contrast-Enhanced Mammography, and Magnetic Resonance Imaging","title-short":"Diagnosis and Staging of Breast Cancer","URL":"http://www.ncbi.nlm.nih.gov/books/NBK553859/","author":[{"family":"Gilbert","given":"Fiona J."},{"family":"Pinker-Domenig","given":"Katja"}],"editor":[{"family":"Hodler","given":"Juerg"},{"family":"Kubik-Huch","given":"Rahel A."},{"family":"Schulthess","given":"Gustav K.","non-dropping-particle":"von"}],"accessed":{"date-parts":[["2025",2,2]]},"issued":{"date-parts":[["2019"]]}}}],"schema":"https://github.com/citation-style-language/schema/raw/master/csl-citation.json"}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(Gilbert &amp; Pinker-Domenig, 2019)</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Diffusion Weighted Imaging (DWI) is an important sequence in the diagnosis of any tumor, which is based on Brownian movement (random motion of particles)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{"citationID":"EvPf5Myu","properties":{"formattedCitation":"(Baliyan et al., 2016)","plainCitation":"(Baliyan et al., 2016)","noteIndex":0},"citationItems":[{"id":"7QoY0TNi/THiIE0G0","uris":["http://zotero.org/users/16274399/items/4RNPRYYT"],"itemData":{"id":117,"type":"article-journal","abstract":"Diffusion weighted imaging (DWI) is a method of signal contrast generation based on the differences in Brownian motion. DWI is a method to evaluate the molecular function and micro-architecture of the human body. DWI signal contrast can be quantified by apparent diffusion coefficient maps and it acts as a tool for treatment response evaluation and assessment of disease progression. Ability to detect and quantify the anisotropy of diffusion leads to a new paradigm called diffusion tensor imaging (DTI). DTI is a tool for assessment of the organs with highly organised fibre structure. DWI forms an integral part of modern state-of-art magnetic resonance imaging and is indispensable in neuroimaging and oncology. DWI is a field that has been undergoing rapid technical evolution and its applications are increasing every day. This review article provides insights in to the evolution of DWI as a new imaging paradigm and provides a summary of current role of DWI in various disease processes.","container-title":"World Journal of Radiology","DOI":"10.4329/wjr.v8.i9.785","ISSN":"1949-8470","issue":"9","journalAbbreviation":"World J Radiol","note":"PMID: 27721941\nPMCID: PMC5039674","page":"785-798","source":"PubMed Central","title":"Diffusion weighted imaging: Technique and applications","title-short":"Diffusion weighted imaging","volume":"8","author":[{"family":"Baliyan","given":"Vinit"},{"family":"Das","given":"Chandan J"},{"family":"Sharma","given":"Raju"},{"family":"Gupta","given":"Arun Kumar"}],"issued":{"date-parts":[["2016",9,28]]}}}],"schema":"https://github.com/citation-style-language/schema/raw/master/csl-citation.json"}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(Baliyan et al., 2016)</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It gives an </w:t>
      </w:r>
      <w:r>
        <w:rPr>
          <w:rFonts w:ascii="Times New Roman" w:hAnsi="Times New Roman" w:cs="Times New Roman"/>
          <w:kern w:val="0"/>
          <w:sz w:val="24"/>
          <w:szCs w:val="24"/>
        </w:rPr>
        <w:lastRenderedPageBreak/>
        <w:t xml:space="preserve">estimation of proton movement within any tissue or pathology, such as a tumor. It provides detailed information about cellularity and cell membrane integrity, which reflects the function of tumor cells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{"citationID":"cvLZd0gd","properties":{"formattedCitation":"(Messina et al., 2020)","plainCitation":"(Messina et al., 2020)","noteIndex":0},"citationItems":[{"id":"7QoY0TNi/uNkEzlwe","uris":["http://zotero.org/users/16274399/items/PQRFNTLZ"],"itemData":{"id":120,"type":"article-journal","abstract":"To date, diffusion weighted imaging (DWI) is included in routine magnetic resonance imaging (MRI) protocols for several cancers. The real additive role of DWI lies in the “functional” information obtained by probing the free diffusivity of water molecules into intra and inter-cellular spaces that in tumors mainly depend on cellularity. Although DWI has not gained much space in some oncologic scenarios, this non-invasive tool is routinely used in clinical practice and still remains a hot research topic: it has been tested in almost all cancers to differentiate malignant from benign lesions, to distinguish different malignant histotypes or tumor grades, to predict and/or assess treatment responses, and to identify residual or recurrent tumors in follow-up examinations. In this review, we provide an up-to-date overview on the application of DWI in oncology.","container-title":"Cancers","DOI":"10.3390/cancers12061493","ISSN":"2072-6694","issue":"6","journalAbbreviation":"Cancers (Basel)","note":"PMID: 32521645\nPMCID: PMC7352852","page":"1493","source":"PubMed Central","title":"Diffusion-Weighted Imaging in Oncology: An Update","title-short":"Diffusion-Weighted Imaging in Oncology","volume":"12","author":[{"family":"Messina","given":"Carmelo"},{"family":"Bignone","given":"Rodolfo"},{"family":"Bruno","given":"Alberto"},{"family":"Bruno","given":"Antonio"},{"family":"Bruno","given":"Federico"},{"family":"Calandri","given":"Marco"},{"family":"Caruso","given":"Damiano"},{"family":"Coppolino","given":"Pietro"},{"family":"De Robertis","given":"Riccardo"},{"family":"Gentili","given":"Francesco"},{"family":"Grazzini","given":"Irene"},{"family":"Natella","given":"Raffaele"},{"family":"Scalise","given":"Paola"},{"family":"Barile","given":"Antonio"},{"family":"Grassi","given":"Roberto"},{"family":"Albano","given":"Domenico"}],"issued":{"date-parts":[["2020",6,8]]}}}],"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(Messina et al., 2020)</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It can differentiate a malignant tumor and a benign tumor and also estimate the </w:t>
      </w:r>
      <w:proofErr w:type="spellStart"/>
      <w:r>
        <w:rPr>
          <w:rFonts w:ascii="Times New Roman" w:hAnsi="Times New Roman" w:cs="Times New Roman"/>
          <w:kern w:val="0"/>
          <w:sz w:val="24"/>
          <w:szCs w:val="24"/>
        </w:rPr>
        <w:t>tumor's</w:t>
      </w:r>
      <w:proofErr w:type="spellEnd"/>
      <w:r>
        <w:rPr>
          <w:rFonts w:ascii="Times New Roman" w:hAnsi="Times New Roman" w:cs="Times New Roman"/>
          <w:kern w:val="0"/>
          <w:sz w:val="24"/>
          <w:szCs w:val="24"/>
        </w:rPr>
        <w:t xml:space="preserve"> grade, and offer a therapy response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{"citationID":"Jm4zMdGs","properties":{"formattedCitation":"(Messina et al., 2020)","plainCitation":"(Messina et al., 2020)","noteIndex":0},"citationItems":[{"id":"7QoY0TNi/uNkEzlwe","uris":["http://zotero.org/users/16274399/items/PQRFNTLZ"],"itemData":{"id":120,"type":"article-journal","abstract":"To date, diffusion weighted imaging (DWI) is included in routine magnetic resonance imaging (MRI) protocols for several cancers. The real additive role of DWI lies in the “functional” information obtained by probing the free diffusivity of water molecules into intra and inter-cellular spaces that in tumors mainly depend on cellularity. Although DWI has not gained much space in some oncologic scenarios, this non-invasive tool is routinely used in clinical practice and still remains a hot research topic: it has been tested in almost all cancers to differentiate malignant from benign lesions, to distinguish different malignant histotypes or tumor grades, to predict and/or assess treatment responses, and to identify residual or recurrent tumors in follow-up examinations. In this review, we provide an up-to-date overview on the application of DWI in oncology.","container-title":"Cancers","DOI":"10.3390/cancers12061493","ISSN":"2072-6694","issue":"6","journalAbbreviation":"Cancers (Basel)","note":"PMID: 32521645\nPMCID: PMC7352852","page":"1493","source":"PubMed Central","title":"Diffusion-Weighted Imaging in Oncology: An Update","title-short":"Diffusion-Weighted Imaging in Oncology","volume":"12","author":[{"family":"Messina","given":"Carmelo"},{"family":"Bignone","given":"Rodolfo"},{"family":"Bruno","given":"Alberto"},{"family":"Bruno","given":"Antonio"},{"family":"Bruno","given":"Federico"},{"family":"Calandri","given":"Marco"},{"family":"Caruso","given":"Damiano"},{"family":"Coppolino","given":"Pietro"},{"family":"De Robertis","given":"Riccardo"},{"family":"Gentili","given":"Francesco"},{"family":"Grazzini","given":"Irene"},{"family":"Natella","given":"Raffaele"},{"family":"Scalise","given":"Paola"},{"family":"Barile","given":"Antonio"},{"family":"Grassi","given":"Roberto"},{"family":"Albano","given":"Domenico"}],"issued":{"date-parts":[["2020",6,8]]}}}],"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(Messina et al., 2020)</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Apart from this, for contrast-enhanced MRI (CEMRI), a gadolinium-based contrast agent is used to observe the enhancement pattern within the tumor, which further helps in the characterization of the tumor </w:t>
      </w:r>
      <w:r>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{"citationID":"C7dMHW44","properties":{"formattedCitation":"(Gruber et al., 2017)","plainCitation":"(Gruber et al., 2017)","noteIndex":0},"citationItems":[{"id":"7QoY0TNi/TcNQNVAO","uris":["http://zotero.org/users/16274399/items/WQA5WSZR"],"itemData":{"id":123,"type":"article-journal","abstract":"OBJECTIVE. The purpose of this study was to assess and compare contrast-enhanced ultrasound and MRI patterns in the diagnosis of soft-tissue masses.MATERIALS AND METHODS. Two hundred fifty-five consecutively registered patients with histologically confirmed soft-tissue masses were included in this retrospective study. The diagnostic properties of four predefined contrast enhancement (CE) patterns were assessed, and logistic regression analysis was performed to determine the correlation between diagnosis and CE pattern, lesion size, and patient age and sex. The influence of lesion size on the occurrence of inhomogeneous CE patterns in malignancies was also determined.RESULTS. Homogeneous CE patterns were highly specific for benignity, and inhomogeneous CE was moderately specific for malignancy in both ultrasound and MRI. A combination of homogeneous and inhomogeneous CE patterns led to 88.3% and 88.7% sensitivity, 66.7% and 59.7% specificity, 73.4% and 68.2% correct classification, 54.6% and 47.8% positive predictive value, 92.6% and 92.7% negative predictive value, 2.65 and 2.20 positive likelihood ratio, and 0.18 and 0.19 negative likelihood ratio for contrast-enhanced ultrasound and contrast-enhanced MRI. Cases with homogeneous CE in either ultrasound or MRI also were predominantly benign. The occurrence of inhomogeneous CE in malignant lesions increased with size.CONCLUSION. CE patterns in ultrasound and MRI offer additional information about the differentiation of an unknown soft-tissue mass. The results of this study showed that homogeneous or absent CE was specific for benign differentiation and that heterogeneous CE was linked to malignancy. The routine analysis of CE patterns should increase diagnostic reliability in unclear soft-tissue masses.","container-title":"American Journal of Roentgenology","DOI":"10.2214/AJR.16.16859","ISSN":"0361-803X","issue":"2","note":"publisher: American Roentgen Ray Society","page":"393-401","source":"ajronline.org (Atypon)","title":"Soft-Tissue Tumor Contrast Enhancement Patterns: Diagnostic Value and Comparison Between Ultrasound and MRI","title-short":"Soft-Tissue Tumor Contrast Enhancement Patterns","volume":"208","author":[{"family":"Gruber","given":"Leonhard"},{"family":"Loizides","given":"Alexander"},{"family":"Luger","given":"Anna K."},{"family":"Glodny","given":"Bernhard"},{"family":"Moser","given":"Patrizia"},{"family":"Henninger","given":"Benjamin"},{"family":"Gruber","given":"Hannes"}],"issued":{"date-parts":[["2017",2]]}}}],"schema":"https://github.com/citation-style-language/schema/raw/master/csl-citation.json"} </w:instrText>
      </w:r>
      <w:r>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(Gruber et al., 2017)</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Similar to a CT scan, the TNM method can be used in MRI for cancer staging.  </w:t>
      </w:r>
      <w:r w:rsidR="00FC5182">
        <w:rPr>
          <w:rFonts w:ascii="Times New Roman" w:hAnsi="Times New Roman" w:cs="Times New Roman"/>
          <w:kern w:val="0"/>
          <w:sz w:val="24"/>
          <w:szCs w:val="24"/>
        </w:rPr>
        <w:t>T</w:t>
      </w:r>
      <w:r>
        <w:rPr>
          <w:rFonts w:ascii="Times New Roman" w:hAnsi="Times New Roman" w:cs="Times New Roman"/>
          <w:kern w:val="0"/>
          <w:sz w:val="24"/>
          <w:szCs w:val="24"/>
        </w:rPr>
        <w:t xml:space="preserve">he stages </w:t>
      </w:r>
      <w:r w:rsidR="00FC5182">
        <w:rPr>
          <w:rFonts w:ascii="Times New Roman" w:hAnsi="Times New Roman" w:cs="Times New Roman"/>
          <w:kern w:val="0"/>
          <w:sz w:val="24"/>
          <w:szCs w:val="24"/>
        </w:rPr>
        <w:t>can be</w:t>
      </w:r>
      <w:r>
        <w:rPr>
          <w:rFonts w:ascii="Times New Roman" w:hAnsi="Times New Roman" w:cs="Times New Roman"/>
          <w:kern w:val="0"/>
          <w:sz w:val="24"/>
          <w:szCs w:val="24"/>
        </w:rPr>
        <w:t xml:space="preserve"> classified as the first, second, third, and fourth</w:t>
      </w:r>
      <w:r w:rsidR="00FC5182">
        <w:rPr>
          <w:rFonts w:ascii="Times New Roman" w:hAnsi="Times New Roman" w:cs="Times New Roman"/>
          <w:kern w:val="0"/>
          <w:sz w:val="24"/>
          <w:szCs w:val="24"/>
        </w:rPr>
        <w:t xml:space="preserve"> using TNM classification, as explained in </w:t>
      </w:r>
      <w:r w:rsidR="00FC5182">
        <w:rPr>
          <w:rFonts w:ascii="Times New Roman" w:hAnsi="Times New Roman" w:cs="Times New Roman"/>
          <w:b/>
          <w:bCs/>
          <w:kern w:val="0"/>
          <w:sz w:val="24"/>
          <w:szCs w:val="24"/>
        </w:rPr>
        <w:t>Fig</w:t>
      </w:r>
      <w:r w:rsidR="00A45358">
        <w:rPr>
          <w:rFonts w:ascii="Times New Roman" w:hAnsi="Times New Roman" w:cs="Times New Roman"/>
          <w:b/>
          <w:bCs/>
          <w:kern w:val="0"/>
          <w:sz w:val="24"/>
          <w:szCs w:val="24"/>
        </w:rPr>
        <w:t>.</w:t>
      </w:r>
      <w:r w:rsidR="00FC5182">
        <w:rPr>
          <w:rFonts w:ascii="Times New Roman" w:hAnsi="Times New Roman" w:cs="Times New Roman"/>
          <w:b/>
          <w:bCs/>
          <w:kern w:val="0"/>
          <w:sz w:val="24"/>
          <w:szCs w:val="24"/>
        </w:rPr>
        <w:t xml:space="preserve"> 2</w:t>
      </w:r>
      <w:r w:rsidR="00FC5182" w:rsidRPr="00FC5182">
        <w:rPr>
          <w:rFonts w:ascii="Times New Roman" w:hAnsi="Times New Roman" w:cs="Times New Roman"/>
          <w:kern w:val="0"/>
          <w:sz w:val="24"/>
          <w:szCs w:val="24"/>
        </w:rPr>
        <w:t>.</w:t>
      </w:r>
      <w:r w:rsidR="00AC3AD9">
        <w:rPr>
          <w:rFonts w:ascii="Times New Roman" w:hAnsi="Times New Roman" w:cs="Times New Roman"/>
          <w:kern w:val="0"/>
          <w:sz w:val="24"/>
          <w:szCs w:val="24"/>
        </w:rPr>
        <w:t xml:space="preserve"> One of the major advantages of MRI is that it has better tissue resolution than any other modality </w:t>
      </w:r>
      <w:r w:rsidR="00AC3AD9">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{"citationID":"VPxAstpt","properties":{"formattedCitation":"(Thakur et al., 2023)","plainCitation":"(Thakur et al., 2023)","noteIndex":0},"citationItems":[{"id":"7QoY0TNi/qmWwUaDP","uris":["http://zotero.org/users/16274399/items/WZDNVXEE"],"itemData":{"id":125,"type":"chapter","abstract":"Medical image analysis involves correct interpretation of image data for the proper diagnosis to decide further course of treatment. There are different medical imaging modalities, such as magnetic resonance imaging, computed tomography, ultrasound, positron emission tomography, etc. Each imaging modality is used for the diagnosis of a particular disease according to its features. The image denoising is an important step of the medical image pre-processing part for accurate interpretation of image data. There are different image denoising techniques, such as transform domain-based, fuzzy logic-based, spatial domain-based, optimization-based, and machine learning-based methods. Out of these techniques, machine learning-based convolutional neural networks (CNNs) are widely being used for image denoising applications. The auto extraction of image features by the convolutional operation is the core functionality of CNNs. Moreover, CNN's design is appropriate for image data, and the concept of weight sharing reduces computational complexity as well. This chapter gives an overview of various medical image modalities and corresponding denoising CNN architectures. It has been observed that denoising CNN (DnCNN) Gaussian denoiser is the benchmark model for the design of medical imaging denoisers. The basic design unit is convolution, batch normalization, and rectified linear units. The 3D-parallel RicianNet for Rician Noise removal in MRI, two-stage residual CNN, and complex CNN medical image denoiser for CT images, mixed attention-based residual U-Net for speckle removal in ultrasound, and unsupervised learning with image priors for PET images have outperformed other state-of-the-art methods.","collection-title":"Hybrid Computational Intelligence for Pattern Analysis","container-title":"Digital Image Enhancement and Reconstruction","ISBN":"978-0-323-98370-9","note":"DOI: 10.1016/B978-0-32-398370-9.00012-3","page":"115-138","publisher":"Academic Press","source":"ScienceDirect","title":"Chapter 5 - Medical image denoising using convolutional neural networks","URL":"https://www.sciencedirect.com/science/article/pii/B9780323983709000123","author":[{"family":"Thakur","given":"Rini Smita"},{"family":"Chatterjee","given":"Shubhojeet"},{"family":"Yadav","given":"Ram Narayan"},{"family":"Gupta","given":"Lalita"}],"editor":[{"family":"Rajput","given":"Shyam Singh"},{"family":"Khan","given":"Nafis Uddin"},{"family":"Singh","given":"Amit Kumar"},{"family":"Arya","given":"Karm Veer"}],"accessed":{"date-parts":[["2025",2,2]]},"issued":{"date-parts":[["2023",1,1]]}}}],"schema":"https://github.com/citation-style-language/schema/raw/master/csl-citation.json"} </w:instrText>
      </w:r>
      <w:r w:rsidR="00AC3AD9">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(Thakur et al., 2023)</w:t>
      </w:r>
      <w:r w:rsidR="00AC3AD9">
        <w:rPr>
          <w:rFonts w:ascii="Times New Roman" w:hAnsi="Times New Roman" w:cs="Times New Roman"/>
          <w:kern w:val="0"/>
          <w:sz w:val="24"/>
          <w:szCs w:val="24"/>
        </w:rPr>
        <w:fldChar w:fldCharType="end"/>
      </w:r>
      <w:r w:rsidR="00AC3AD9">
        <w:rPr>
          <w:rFonts w:ascii="Times New Roman" w:hAnsi="Times New Roman" w:cs="Times New Roman"/>
          <w:kern w:val="0"/>
          <w:sz w:val="24"/>
          <w:szCs w:val="24"/>
        </w:rPr>
        <w:t xml:space="preserve">. It provides better soft tissue resolution in small field of view (FOV) area scanning, which is not possible in CT imaging. As above mentioned  MRI uses a magnetic field and radiofrequency waves for image acquisition, there is no risk of radiation hazards and scans can be repeated as many times as required for follow-up </w:t>
      </w:r>
      <w:r w:rsidR="00AC3AD9">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{"citationID":"xRFRv6B0","properties":{"formattedCitation":"(Thakur et al., 2023)","plainCitation":"(Thakur et al., 2023)","noteIndex":0},"citationItems":[{"id":"7QoY0TNi/qmWwUaDP","uris":["http://zotero.org/users/16274399/items/WZDNVXEE"],"itemData":{"id":125,"type":"chapter","abstract":"Medical image analysis involves correct interpretation of image data for the proper diagnosis to decide further course of treatment. There are different medical imaging modalities, such as magnetic resonance imaging, computed tomography, ultrasound, positron emission tomography, etc. Each imaging modality is used for the diagnosis of a particular disease according to its features. The image denoising is an important step of the medical image pre-processing part for accurate interpretation of image data. There are different image denoising techniques, such as transform domain-based, fuzzy logic-based, spatial domain-based, optimization-based, and machine learning-based methods. Out of these techniques, machine learning-based convolutional neural networks (CNNs) are widely being used for image denoising applications. The auto extraction of image features by the convolutional operation is the core functionality of CNNs. Moreover, CNN's design is appropriate for image data, and the concept of weight sharing reduces computational complexity as well. This chapter gives an overview of various medical image modalities and corresponding denoising CNN architectures. It has been observed that denoising CNN (DnCNN) Gaussian denoiser is the benchmark model for the design of medical imaging denoisers. The basic design unit is convolution, batch normalization, and rectified linear units. The 3D-parallel RicianNet for Rician Noise removal in MRI, two-stage residual CNN, and complex CNN medical image denoiser for CT images, mixed attention-based residual U-Net for speckle removal in ultrasound, and unsupervised learning with image priors for PET images have outperformed other state-of-the-art methods.","collection-title":"Hybrid Computational Intelligence for Pattern Analysis","container-title":"Digital Image Enhancement and Reconstruction","ISBN":"978-0-323-98370-9","note":"DOI: 10.1016/B978-0-32-398370-9.00012-3","page":"115-138","publisher":"Academic Press","source":"ScienceDirect","title":"Chapter 5 - Medical image denoising using convolutional neural networks","URL":"https://www.sciencedirect.com/science/article/pii/B9780323983709000123","author":[{"family":"Thakur","given":"Rini Smita"},{"family":"Chatterjee","given":"Shubhojeet"},{"family":"Yadav","given":"Ram Narayan"},{"family":"Gupta","given":"Lalita"}],"editor":[{"family":"Rajput","given":"Shyam Singh"},{"family":"Khan","given":"Nafis Uddin"},{"family":"Singh","given":"Amit Kumar"},{"family":"Arya","given":"Karm Veer"}],"accessed":{"date-parts":[["2025",2,2]]},"issued":{"date-parts":[["2023",1,1]]}}}],"schema":"https://github.com/citation-style-language/schema/raw/master/csl-citation.json"} </w:instrText>
      </w:r>
      <w:r w:rsidR="00AC3AD9">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(Thakur et al., 2023)</w:t>
      </w:r>
      <w:r w:rsidR="00AC3AD9">
        <w:rPr>
          <w:rFonts w:ascii="Times New Roman" w:hAnsi="Times New Roman" w:cs="Times New Roman"/>
          <w:kern w:val="0"/>
          <w:sz w:val="24"/>
          <w:szCs w:val="24"/>
        </w:rPr>
        <w:fldChar w:fldCharType="end"/>
      </w:r>
      <w:r w:rsidR="00AC3AD9">
        <w:rPr>
          <w:rFonts w:ascii="Times New Roman" w:hAnsi="Times New Roman" w:cs="Times New Roman"/>
          <w:kern w:val="0"/>
          <w:sz w:val="24"/>
          <w:szCs w:val="24"/>
        </w:rPr>
        <w:t xml:space="preserve">. Monitoring ongoing treatment through follow-up scans is crucial for the patient to minimize treatment side effects and inhibit the recurrence of the tumor. Despite all of the benefits, the cost and accessibility of the MRI modality make it difficult to utilize. MRI artifacts also play a significant role in making it challenging </w:t>
      </w:r>
      <w:r w:rsidR="00AC3AD9">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{"citationID":"Zd20hrTz","properties":{"formattedCitation":"(Krupa &amp; Bekiesi\\uc0\\u324{}ska-Figatowska, 2015)","plainCitation":"(Krupa &amp; Bekiesińska-Figatowska, 2015)","noteIndex":0},"citationItems":[{"id":"7QoY0TNi/WVRsHE0V","uris":["http://zotero.org/users/16274399/items/WII89HXU"],"itemData":{"id":127,"type":"article-journal","abstract":"Artifacts in magnetic resonance imaging and foreign bodies within the patient’s body may be confused with a pathology or may reduce the quality of examinations. Radiologists are frequently not informed about the medical history of patients and face postoperative/other images they are not familiar with. A gallery of such images was presented in this manuscript. A truncation artifact in the spinal cord could be misinterpreted as a syrinx. Motion artifacts caused by breathing, cardiac movement, CSF pulsation/blood flow create a ghost artifact which can be reduced by patient immobilization, or cardiac/respiratory gating. Aliasing artifacts can be eliminated by increasing the field of view. An artificially hyperintense signal on FLAIR images can result from magnetic susceptibility artifacts, CSF/vascular pulsation, motion, but can also be found in patients undergoing MRI examinations while receiving supplemental oxygen. Metallic and other foreign bodies which may be found on and in patients’ bodies are the main group of artifacts and these are the focus of this study: e.g. make-up, tattoos, hairbands, clothes, endovascular embolization, prostheses, surgical clips, intraorbital and other medical implants, etc. Knowledge of different types of artifacts and their origin, and of possible foreign bodies is necessary to eliminate them or to reduce their negative influence on MR images by adjusting acquisition parameters. It is also necessary to take them into consideration when interpreting the images. Some proposals of reducing artifacts have been mentioned. Describing in detail the procedures to avoid or limit the artifacts would go beyond the scope of this paper but technical ways to reduce them can be found in the cited literature.","container-title":"Polish Journal of Radiology","DOI":"10.12659/PJR.892628","ISSN":"1733-134X","journalAbbreviation":"Pol J Radiol","note":"PMID: 25745524\nPMCID: PMC4340093","page":"93-106","source":"PubMed Central","title":"Artifacts in Magnetic Resonance Imaging","volume":"80","author":[{"family":"Krupa","given":"Katarzyna"},{"family":"Bekiesińska-Figatowska","given":"Monika"}],"issued":{"date-parts":[["2015",2,23]]}}}],"schema":"https://github.com/citation-style-language/schema/raw/master/csl-citation.json"} </w:instrText>
      </w:r>
      <w:r w:rsidR="00AC3AD9">
        <w:rPr>
          <w:rFonts w:ascii="Times New Roman" w:hAnsi="Times New Roman" w:cs="Times New Roman"/>
          <w:kern w:val="0"/>
          <w:sz w:val="24"/>
          <w:szCs w:val="24"/>
        </w:rPr>
        <w:fldChar w:fldCharType="separate"/>
      </w:r>
      <w:r w:rsidR="00A45358" w:rsidRPr="00A45358">
        <w:rPr>
          <w:rFonts w:ascii="Times New Roman" w:hAnsi="Times New Roman" w:cs="Times New Roman"/>
          <w:kern w:val="0"/>
          <w:sz w:val="24"/>
          <w:szCs w:val="24"/>
        </w:rPr>
        <w:t>(Krupa &amp; Bekiesińska-Figatowska, 2015)</w:t>
      </w:r>
      <w:r w:rsidR="00AC3AD9">
        <w:rPr>
          <w:rFonts w:ascii="Times New Roman" w:hAnsi="Times New Roman" w:cs="Times New Roman"/>
          <w:kern w:val="0"/>
          <w:sz w:val="24"/>
          <w:szCs w:val="24"/>
        </w:rPr>
        <w:fldChar w:fldCharType="end"/>
      </w:r>
      <w:r w:rsidR="00AC3AD9">
        <w:rPr>
          <w:rFonts w:ascii="Times New Roman" w:hAnsi="Times New Roman" w:cs="Times New Roman"/>
          <w:kern w:val="0"/>
          <w:sz w:val="24"/>
          <w:szCs w:val="24"/>
        </w:rPr>
        <w:t>.</w:t>
      </w:r>
      <w:r w:rsidR="00A45358">
        <w:rPr>
          <w:rFonts w:ascii="Times New Roman" w:hAnsi="Times New Roman" w:cs="Times New Roman"/>
          <w:kern w:val="0"/>
          <w:sz w:val="24"/>
          <w:szCs w:val="24"/>
        </w:rPr>
        <w:t xml:space="preserve"> </w:t>
      </w:r>
      <w:r w:rsidR="00A45358" w:rsidRPr="00A45358">
        <w:rPr>
          <w:rFonts w:ascii="Times New Roman" w:hAnsi="Times New Roman" w:cs="Times New Roman"/>
          <w:kern w:val="0"/>
          <w:sz w:val="24"/>
          <w:szCs w:val="24"/>
        </w:rPr>
        <w:t xml:space="preserve">fMRI with Arterial Spin </w:t>
      </w:r>
      <w:proofErr w:type="spellStart"/>
      <w:r w:rsidR="00A45358" w:rsidRPr="00A45358">
        <w:rPr>
          <w:rFonts w:ascii="Times New Roman" w:hAnsi="Times New Roman" w:cs="Times New Roman"/>
          <w:kern w:val="0"/>
          <w:sz w:val="24"/>
          <w:szCs w:val="24"/>
        </w:rPr>
        <w:t>Labeling</w:t>
      </w:r>
      <w:proofErr w:type="spellEnd"/>
      <w:r w:rsidR="00A45358" w:rsidRPr="00A45358">
        <w:rPr>
          <w:rFonts w:ascii="Times New Roman" w:hAnsi="Times New Roman" w:cs="Times New Roman"/>
          <w:kern w:val="0"/>
          <w:sz w:val="24"/>
          <w:szCs w:val="24"/>
        </w:rPr>
        <w:t xml:space="preserve"> (ASL) can assess cerebral blood flow (CBF) in narcoleptic patients, giving insights into regional brain dysfunction</w:t>
      </w:r>
      <w:r w:rsidR="00A45358">
        <w:rPr>
          <w:rFonts w:ascii="Times New Roman" w:hAnsi="Times New Roman" w:cs="Times New Roman"/>
          <w:kern w:val="0"/>
          <w:sz w:val="24"/>
          <w:szCs w:val="24"/>
        </w:rPr>
        <w:t xml:space="preserve"> </w:t>
      </w:r>
      <w:r w:rsidR="00A45358">
        <w:rPr>
          <w:rFonts w:ascii="Times New Roman" w:hAnsi="Times New Roman" w:cs="Times New Roman"/>
          <w:kern w:val="0"/>
          <w:sz w:val="24"/>
          <w:szCs w:val="24"/>
        </w:rPr>
        <w:fldChar w:fldCharType="begin"/>
      </w:r>
      <w:r w:rsidR="00A45358">
        <w:rPr>
          <w:rFonts w:ascii="Times New Roman" w:hAnsi="Times New Roman" w:cs="Times New Roman"/>
          <w:kern w:val="0"/>
          <w:sz w:val="24"/>
          <w:szCs w:val="24"/>
        </w:rPr>
        <w:instrText xml:space="preserve"> ADDIN ZOTERO_ITEM CSL_CITATION {"citationID":"tQQg0yNq","properties":{"formattedCitation":"(Akram et al., 2025; Yadav et al., 2025)","plainCitation":"(Akram et al., 2025; Yadav et al., 2025)","noteIndex":0},"citationItems":[{"id":1411,"uris":["http://zotero.org/users/15401920/items/YXEPADVD"],"itemData":{"id":1411,"type":"article-journal","container-title":"Journal of Cancer and Tumor International","DOI":"10.9734/jcti/2025/v15i3301","ISSN":"2454-7360","issue":"3","language":"en","page":"43-60","source":"journaljcti.com","title":"Clinical Significance of CT and MR Perfusion Imaging in Cancer Diagnosis: Techniques, Parameters, and Diagnostic Implications","title-short":"Clinical Significance of CT and MR Perfusion Imaging in Cancer Diagnosis","volume":"15","author":[{"family":"Akram","given":"Zeeshan"},{"family":"Faraz","given":"Mohd"},{"family":"Nigar","given":"Afshan"},{"family":"Parveen","given":"Rushda"},{"family":"Khan","given":"Nimra"},{"family":"Anwer","given":"Md Rashid"},{"family":"Farooqui","given":"Adeeba"},{"family":"Zameer","given":"Saqib"}],"issued":{"date-parts":[["2025",6,28]]}}},{"id":1335,"uris":["http://zotero.org/users/15401920/items/WR6UWQPL"],"itemData":{"id":1335,"type":"article-journal","container-title":"International Journal of Biochemistry Research &amp; Review","DOI":"10.9734/ijbcrr/2025/v34i1951","ISSN":"2231-086X","issue":"1","language":"en","page":"76-102","source":"journalijbcrr.com","title":"In Silico Screening of Rauwolfia Serpentina Phytochemicals as Orexin Receptor-2 Agonists for the Management of Narcolepsy","volume":"34","author":[{"family":"Yadav","given":"Pawan"},{"family":"Azram","given":"Mohammad"},{"family":"Faraz","given":"Mohd"},{"family":"Nadeem","given":""},{"family":"Abbas","given":"Kashif"},{"family":"Mustafa","given":"Mohd"},{"family":"Alam","given":"Mudassir"},{"family":"Khan","given":"Sarfaraz"}],"issued":{"date-parts":[["2025",2,3]]}}}],"schema":"https://github.com/citation-style-language/schema/raw/master/csl-citation.json"} </w:instrText>
      </w:r>
      <w:r w:rsidR="00A45358">
        <w:rPr>
          <w:rFonts w:ascii="Times New Roman" w:hAnsi="Times New Roman" w:cs="Times New Roman"/>
          <w:kern w:val="0"/>
          <w:sz w:val="24"/>
          <w:szCs w:val="24"/>
        </w:rPr>
        <w:fldChar w:fldCharType="separate"/>
      </w:r>
      <w:r w:rsidR="00A45358" w:rsidRPr="00A45358">
        <w:rPr>
          <w:rFonts w:ascii="Times New Roman" w:hAnsi="Times New Roman" w:cs="Times New Roman"/>
          <w:sz w:val="24"/>
        </w:rPr>
        <w:t>(Akram et al., 2025; Yadav et al., 2025)</w:t>
      </w:r>
      <w:r w:rsidR="00A45358">
        <w:rPr>
          <w:rFonts w:ascii="Times New Roman" w:hAnsi="Times New Roman" w:cs="Times New Roman"/>
          <w:kern w:val="0"/>
          <w:sz w:val="24"/>
          <w:szCs w:val="24"/>
        </w:rPr>
        <w:fldChar w:fldCharType="end"/>
      </w:r>
      <w:r w:rsidR="00A45358">
        <w:rPr>
          <w:rFonts w:ascii="Times New Roman" w:hAnsi="Times New Roman" w:cs="Times New Roman"/>
          <w:kern w:val="0"/>
          <w:sz w:val="24"/>
          <w:szCs w:val="24"/>
        </w:rPr>
        <w:t>.</w:t>
      </w:r>
    </w:p>
    <w:p w14:paraId="2D3AC250" w14:textId="77777777" w:rsidR="0035583F" w:rsidRDefault="00FB0430">
      <w:pPr>
        <w:pStyle w:val="ListParagraph"/>
        <w:spacing w:line="360" w:lineRule="auto"/>
        <w:ind w:left="0"/>
        <w:jc w:val="both"/>
        <w:rPr>
          <w:rFonts w:ascii="Times New Roman" w:hAnsi="Times New Roman" w:cs="Times New Roman"/>
          <w:kern w:val="0"/>
          <w:sz w:val="24"/>
          <w:szCs w:val="24"/>
        </w:rPr>
      </w:pPr>
      <w:r>
        <w:rPr>
          <w:rFonts w:ascii="Times New Roman" w:hAnsi="Times New Roman" w:cs="Times New Roman"/>
          <w:b/>
          <w:bCs/>
          <w:noProof/>
          <w:sz w:val="24"/>
          <w:szCs w:val="24"/>
        </w:rPr>
        <w:drawing>
          <wp:inline distT="0" distB="0" distL="0" distR="0" wp14:anchorId="494049FD" wp14:editId="7CA0801C">
            <wp:extent cx="5731510" cy="3209925"/>
            <wp:effectExtent l="57150" t="19050" r="59690" b="104775"/>
            <wp:docPr id="414777484" name="Picture 4" descr="A diagram of a cancer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77484" name="Picture 4" descr="A diagram of a cancer patien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l="5318" r="1050" b="6830"/>
                    <a:stretch>
                      <a:fillRect/>
                    </a:stretch>
                  </pic:blipFill>
                  <pic:spPr>
                    <a:xfrm>
                      <a:off x="0" y="0"/>
                      <a:ext cx="5731510" cy="321009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23D43B7" w14:textId="4E612699" w:rsidR="0035583F" w:rsidRPr="009B07E8" w:rsidRDefault="00FB0430" w:rsidP="008B76E5">
      <w:pPr>
        <w:pStyle w:val="ListParagraph"/>
        <w:spacing w:line="240" w:lineRule="auto"/>
        <w:ind w:left="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B76E5">
        <w:rPr>
          <w:rFonts w:ascii="Times New Roman" w:hAnsi="Times New Roman" w:cs="Times New Roman"/>
          <w:b/>
          <w:bCs/>
          <w:sz w:val="20"/>
          <w:szCs w:val="20"/>
        </w:rPr>
        <w:t xml:space="preserve">  </w:t>
      </w:r>
      <w:r w:rsidR="006A3DD4" w:rsidRPr="009B07E8">
        <w:rPr>
          <w:rFonts w:ascii="Times New Roman" w:hAnsi="Times New Roman" w:cs="Times New Roman"/>
          <w:b/>
          <w:bCs/>
          <w:sz w:val="24"/>
          <w:szCs w:val="24"/>
        </w:rPr>
        <w:t>Fig</w:t>
      </w:r>
      <w:r w:rsidR="00A45358">
        <w:rPr>
          <w:rFonts w:ascii="Times New Roman" w:hAnsi="Times New Roman" w:cs="Times New Roman"/>
          <w:b/>
          <w:bCs/>
          <w:sz w:val="24"/>
          <w:szCs w:val="24"/>
        </w:rPr>
        <w:t>.</w:t>
      </w:r>
      <w:r w:rsidRPr="009B07E8">
        <w:rPr>
          <w:rFonts w:ascii="Times New Roman" w:hAnsi="Times New Roman" w:cs="Times New Roman"/>
          <w:b/>
          <w:bCs/>
          <w:sz w:val="24"/>
          <w:szCs w:val="24"/>
        </w:rPr>
        <w:t xml:space="preserve"> 2</w:t>
      </w:r>
      <w:r w:rsidR="009B07E8" w:rsidRPr="009B07E8">
        <w:rPr>
          <w:rFonts w:ascii="Times New Roman" w:hAnsi="Times New Roman" w:cs="Times New Roman"/>
          <w:b/>
          <w:bCs/>
          <w:sz w:val="24"/>
          <w:szCs w:val="24"/>
        </w:rPr>
        <w:t xml:space="preserve">. </w:t>
      </w:r>
      <w:r w:rsidRPr="009B07E8">
        <w:rPr>
          <w:rFonts w:ascii="Times New Roman" w:hAnsi="Times New Roman" w:cs="Times New Roman"/>
          <w:sz w:val="24"/>
          <w:szCs w:val="24"/>
        </w:rPr>
        <w:t xml:space="preserve">Depicts the classification of different stages of cancer using the TNM method. </w:t>
      </w:r>
    </w:p>
    <w:p w14:paraId="52DE1AAD" w14:textId="77777777" w:rsidR="00E67D45" w:rsidRPr="009B07E8" w:rsidRDefault="00E67D45" w:rsidP="008B76E5">
      <w:pPr>
        <w:pStyle w:val="ListParagraph"/>
        <w:spacing w:line="240" w:lineRule="auto"/>
        <w:ind w:left="0"/>
        <w:jc w:val="both"/>
        <w:rPr>
          <w:rFonts w:ascii="Times New Roman" w:hAnsi="Times New Roman" w:cs="Times New Roman"/>
          <w:sz w:val="24"/>
          <w:szCs w:val="24"/>
        </w:rPr>
      </w:pPr>
    </w:p>
    <w:p w14:paraId="4682246D" w14:textId="77777777" w:rsidR="0035583F" w:rsidRDefault="0035583F">
      <w:pPr>
        <w:pStyle w:val="ListParagraph"/>
        <w:spacing w:line="360" w:lineRule="auto"/>
        <w:ind w:left="0"/>
        <w:jc w:val="both"/>
        <w:rPr>
          <w:rFonts w:ascii="Times New Roman" w:hAnsi="Times New Roman" w:cs="Times New Roman"/>
          <w:b/>
          <w:bCs/>
          <w:sz w:val="16"/>
          <w:szCs w:val="16"/>
        </w:rPr>
      </w:pPr>
    </w:p>
    <w:p w14:paraId="09BC3B59" w14:textId="585657CC"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4. Advances in CT scan and MRI technologies for cancer detection </w:t>
      </w:r>
    </w:p>
    <w:p w14:paraId="55361A66" w14:textId="5E455E33" w:rsidR="004061FE" w:rsidRDefault="00FB043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Advances in CT scan and MRI technologies provide superior safety, dependability, and high resolution for the diagnosis, treatment, and management of complicated patients of cancer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{"citationID":"rmYf466L","properties":{"formattedCitation":"(Hussain et al., 2022)","plainCitation":"(Hussain et al., 2022)","noteIndex":0},"citationItems":[{"id":"7QoY0TNi/OaLYRBUx","uris":["http://zotero.org/users/16274399/items/JWCDGT3K"],"itemData":{"id":140,"type":"article-journal","abstract":"Medical imaging is the process of visual representation of different tissues and organs of the human body to monitor the normal and abnormal anatomy and physiology of the body. There are many medical imaging techniques used for this purpose such as X-ray, computed tomography (CT), positron emission tomography (PET), magnetic resonance imaging (MRI), single-photon emission computed tomography (SPECT), digital mammography, and diagnostic sonography. These advanced medical imaging techniques have many applications in the diagnosis of myocardial diseases, cancer of different tissues, neurological disorders, congenital heart disease, abdominal illnesses, complex bone fractures, and other serious medical conditions. There are benefits as well as some risks to every imaging technique. There are some steps for minimizing the radiation exposure risks from imaging techniques. Advance medical imaging modalities such as PET/CT hybrid, three-dimensional ultrasound computed tomography (3D USCT), and simultaneous PET/MRI give high resolution, better reliability, and safety to diagnose, treat, and manage complex patient abnormalities. These techniques ensure the production of new accurate imaging tools with improving resolution, sensitivity, and specificity. In the future, with mounting innovations and advancements in technology systems, the medical diagnostic field will become a field of regular measurement of various complex diseases and will provide healthcare solutions.","container-title":"BioMed Research International","DOI":"10.1155/2022/5164970","ISSN":"2314-6141","issue":"1","language":"en","license":"Copyright © 2022 Shah Hussain et al.","note":"_eprint: https://onlinelibrary.wiley.com/doi/pdf/10.1155/2022/5164970","page":"5164970","source":"Wiley Online Library","title":"Modern Diagnostic Imaging Technique Applications and Risk Factors in the Medical Field: A Review","title-short":"Modern Diagnostic Imaging Technique Applications and Risk Factors in the Medical Field","volume":"2022","author":[{"family":"Hussain","given":"Shah"},{"family":"Mubeen","given":"Iqra"},{"family":"Ullah","given":"Niamat"},{"family":"Shah","given":"Syed Shahab Ud Din"},{"family":"Khan","given":"Bakhtawar Abduljalil"},{"family":"Zahoor","given":"Muhammad"},{"family":"Ullah","given":"Riaz"},{"family":"Khan","given":"Farhat Ali"},{"family":"Sultan","given":"Mujeeb A."}],"issued":{"date-parts":[["2022"]]}}}],"schema":"https://github.com/citation-style-language/schema/raw/master/csl-citation.json"}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(Hussain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DECT, CT Perfusion, single photon emission computed tomography-CT (SPECT-CT), and PET-CT are some advances in CT scan technology. DWI, MRS, Magnetic Resonance Perfusion (MR Perfusion), and PET-MRI are some advances </w:t>
      </w:r>
      <w:r>
        <w:rPr>
          <w:rFonts w:ascii="Times New Roman" w:hAnsi="Times New Roman" w:cs="Times New Roman"/>
          <w:sz w:val="24"/>
          <w:szCs w:val="24"/>
        </w:rPr>
        <w:t>in MRI.</w:t>
      </w:r>
      <w:r>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4"/>
        </w:rPr>
        <w:t xml:space="preserve">These techniques facilitate the development of novel, accurate imaging devices with improved sensitivity, resolution, and specificity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{"citationID":"4WarUKVc","properties":{"formattedCitation":"(Hussain et al., 2022)","plainCitation":"(Hussain et al., 2022)","noteIndex":0},"citationItems":[{"id":"7QoY0TNi/OaLYRBUx","uris":["http://zotero.org/users/16274399/items/JWCDGT3K"],"itemData":{"id":140,"type":"article-journal","abstract":"Medical imaging is the process of visual representation of different tissues and organs of the human body to monitor the normal and abnormal anatomy and physiology of the body. There are many medical imaging techniques used for this purpose such as X-ray, computed tomography (CT), positron emission tomography (PET), magnetic resonance imaging (MRI), single-photon emission computed tomography (SPECT), digital mammography, and diagnostic sonography. These advanced medical imaging techniques have many applications in the diagnosis of myocardial diseases, cancer of different tissues, neurological disorders, congenital heart disease, abdominal illnesses, complex bone fractures, and other serious medical conditions. There are benefits as well as some risks to every imaging technique. There are some steps for minimizing the radiation exposure risks from imaging techniques. Advance medical imaging modalities such as PET/CT hybrid, three-dimensional ultrasound computed tomography (3D USCT), and simultaneous PET/MRI give high resolution, better reliability, and safety to diagnose, treat, and manage complex patient abnormalities. These techniques ensure the production of new accurate imaging tools with improving resolution, sensitivity, and specificity. In the future, with mounting innovations and advancements in technology systems, the medical diagnostic field will become a field of regular measurement of various complex diseases and will provide healthcare solutions.","container-title":"BioMed Research International","DOI":"10.1155/2022/5164970","ISSN":"2314-6141","issue":"1","language":"en","license":"Copyright © 2022 Shah Hussain et al.","note":"_eprint: https://onlinelibrary.wiley.com/doi/pdf/10.1155/2022/5164970","page":"5164970","source":"Wiley Online Library","title":"Modern Diagnostic Imaging Technique Applications and Risk Factors in the Medical Field: A Review","title-short":"Modern Diagnostic Imaging Technique Applications and Risk Factors in the Medical Field","volume":"2022","author":[{"family":"Hussain","given":"Shah"},{"family":"Mubeen","given":"Iqra"},{"family":"Ullah","given":"Niamat"},{"family":"Shah","given":"Syed Shahab Ud Din"},{"family":"Khan","given":"Bakhtawar Abduljalil"},{"family":"Zahoor","given":"Muhammad"},{"family":"Ullah","given":"Riaz"},{"family":"Khan","given":"Farhat Ali"},{"family":"Sultan","given":"Mujeeb A."}],"issued":{"date-parts":[["2022"]]}},"label":"page"}],"schema":"https://github.com/citation-style-language/schema/raw/master/csl-citation.json"}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(Hussain et al., 2022)</w:t>
      </w:r>
      <w:r>
        <w:rPr>
          <w:rFonts w:ascii="Times New Roman" w:hAnsi="Times New Roman" w:cs="Times New Roman"/>
          <w:sz w:val="24"/>
          <w:szCs w:val="24"/>
        </w:rPr>
        <w:fldChar w:fldCharType="end"/>
      </w:r>
      <w:r>
        <w:rPr>
          <w:rFonts w:ascii="Times New Roman" w:hAnsi="Times New Roman" w:cs="Times New Roman"/>
          <w:sz w:val="24"/>
          <w:szCs w:val="24"/>
        </w:rPr>
        <w:t>. DECT uses two different X-ray energies to acquir</w:t>
      </w:r>
      <w:r>
        <w:rPr>
          <w:rFonts w:ascii="Times New Roman" w:hAnsi="Times New Roman" w:cs="Times New Roman"/>
          <w:sz w:val="24"/>
          <w:szCs w:val="24"/>
        </w:rPr>
        <w:t xml:space="preserve">e images simultaneously (lower energy of 80 kV and higher energy of 120 kV) at different angles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{"citationID":"xOKTEpZR","properties":{"formattedCitation":"(Forghani et al., 2017)","plainCitation":"(Forghani et al., 2017)","noteIndex":0},"citationItems":[{"id":"7QoY0TNi/YiDiJGfN","uris":["http://zotero.org/users/16274399/items/ERMM352C"],"itemData":{"id":143,"type":"article-journal","collection-title":"Dual Energy CT: Applications in Head and Neck and Neurologic Imaging","container-title":"Neuroimaging Clinics of North America","DOI":"10.1016/j.nic.2017.03.002","ISSN":"1052-5149","issue":"3","journalAbbreviation":"Neuroimaging Clinics of North America","page":"371-384","source":"ScienceDirect","title":"Dual-Energy Computed Tomography: Physical Principles, Approaches to Scanning, Usage, and Implementation: Part 1","title-short":"Dual-Energy Computed Tomography","volume":"27","author":[{"family":"Forghani","given":"Reza"},{"family":"De Man","given":"Bruno"},{"family":"Gupta","given":"Rajiv"}],"issued":{"date-parts":[["2017",8,1]]}}}],"schema":"https://github.com/citation-style-language/schema/raw/master/csl-citation.json"}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(Forghani et al., 2017)</w:t>
      </w:r>
      <w:r>
        <w:rPr>
          <w:rFonts w:ascii="Times New Roman" w:hAnsi="Times New Roman" w:cs="Times New Roman"/>
          <w:sz w:val="24"/>
          <w:szCs w:val="24"/>
        </w:rPr>
        <w:fldChar w:fldCharType="end"/>
      </w:r>
      <w:r>
        <w:rPr>
          <w:rFonts w:ascii="Times New Roman" w:hAnsi="Times New Roman" w:cs="Times New Roman"/>
          <w:sz w:val="24"/>
          <w:szCs w:val="24"/>
        </w:rPr>
        <w:t>. The use of dual-energy beam settings enhances tissue contrast, thus providing mor</w:t>
      </w:r>
      <w:r>
        <w:rPr>
          <w:rFonts w:ascii="Times New Roman" w:hAnsi="Times New Roman" w:cs="Times New Roman"/>
          <w:sz w:val="24"/>
          <w:szCs w:val="24"/>
        </w:rPr>
        <w:t xml:space="preserve">e accurate and reliable tumor characterization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{"citationID":"XhV3Y1Ek","properties":{"formattedCitation":"(Foti et al., 2024)","plainCitation":"(Foti et al., 2024)","noteIndex":0},"citationItems":[{"id":"7QoY0TNi/zfAhKOLP","uris":["http://zotero.org/users/16274399/items/UI8MWQ3K"],"itemData":{"id":147,"type":"article-journal","abstract":"Dual-energy CT (DECT) is an innovative technology that is increasingly widespread in clinical practice. DECT allows for tissue characterization beyond that of conventional CT as imaging is performed using different energy spectra that can help differentiate tissues based on their specific attenuation properties at different X-ray energies. The most employed post-processing applications of DECT include virtual monoenergetic images (VMIs), iodine density maps, virtual non-contrast images (VNC), and virtual non-calcium (VNCa) for bone marrow edema (BME) detection. The diverse array of images obtained through DECT acquisitions offers numerous benefits, including enhanced lesion detection and characterization, precise determination of material composition, decreased iodine dose, and reduced artifacts. These versatile applications play an increasingly significant role in tumor assessment and oncologic imaging, encompassing the diagnosis of primary tumors, local and metastatic staging, post-therapy evaluation, and complication management. This article provides a comprehensive review of the principal applications and post-processing techniques of DECT, with a specific focus on its utility in managing oncologic patients.","container-title":"Tomography","DOI":"10.3390/tomography10030024","ISSN":"2379-139X","issue":"3","language":"en","license":"http://creativecommons.org/licenses/by/3.0/","note":"number: 3\npublisher: Multidisciplinary Digital Publishing Institute","page":"299-319","source":"www.mdpi.com","title":"Dual-Energy CT in Oncologic Imaging","volume":"10","author":[{"family":"Foti","given":"Giovanni"},{"family":"Ascenti","given":"Giorgio"},{"family":"Agostini","given":"Andrea"},{"family":"Longo","given":"Chiara"},{"family":"Lombardo","given":"Fabio"},{"family":"Inno","given":"Alessandro"},{"family":"Modena","given":"Alessandra"},{"family":"Gori","given":"Stefania"}],"issued":{"date-parts":[["2024",3]]}}}],"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(Foti et al., 2024)</w:t>
      </w:r>
      <w:r>
        <w:rPr>
          <w:rFonts w:ascii="Times New Roman" w:hAnsi="Times New Roman" w:cs="Times New Roman"/>
          <w:sz w:val="24"/>
          <w:szCs w:val="24"/>
        </w:rPr>
        <w:fldChar w:fldCharType="end"/>
      </w:r>
      <w:r>
        <w:rPr>
          <w:rFonts w:ascii="Times New Roman" w:hAnsi="Times New Roman" w:cs="Times New Roman"/>
          <w:sz w:val="24"/>
          <w:szCs w:val="24"/>
        </w:rPr>
        <w:t>. Additionally, this program can identify and eliminate chemical compounds such as metals, calcium, and iodine-based on their atomic num</w:t>
      </w:r>
      <w:r>
        <w:rPr>
          <w:rFonts w:ascii="Times New Roman" w:hAnsi="Times New Roman" w:cs="Times New Roman"/>
          <w:sz w:val="24"/>
          <w:szCs w:val="24"/>
        </w:rPr>
        <w:t xml:space="preserve">ber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{"citationID":"bzEihuqq","properties":{"formattedCitation":"(Yu et al., 2012)","plainCitation":"(Yu et al., 2012)","noteIndex":0},"citationItems":[{"id":"7QoY0TNi/PqaDq1tF","uris":["http://zotero.org/users/16274399/items/ZGYV6VGF"],"itemData":{"id":149,"type":"article-journal","abstract":"OBJECTIVE. We summarize how virtual monochromatic images are synthesized from dual-energy CT using image-domain and projection-domain methods. The quality of virtual monochromatic images is compared with that of polychromatic single-energy images acquired at different tube potentials and the same radiation dose. Clinical applications of dual-energy CT–based virtual monochromatic imaging are reviewed, including beam-hardening correction, contrast and noise optimization, metal artifact reduction, and material differentiation.CONCLUSION. Virtual monochromatic images synthesized from dual-energy CT data have the potential to reduce beam-hardening artifacts and to provide quantitative measurements. If there is no desire to obtain material-specific information or to correct for metal or beam-hardening artifacts from the dual-energy data, however, it is better to perform a conventional single-energy scan at the optimal tube potential.","container-title":"American Journal of Roentgenology","DOI":"10.2214/AJR.12.9121","ISSN":"0361-803X","issue":"5_supplement","note":"publisher: American Roentgen Ray Society","page":"S9-S15","source":"ajronline.org (Atypon)","title":"Dual-Energy CT–Based Monochromatic Imaging","volume":"199","author":[{"family":"Yu","given":"Lifeng"},{"family":"Leng","given":"Shuai"},{"family":"McCollough","given":"Cynthia H."}],"issued":{"date-parts":[["2012",11]]}}}],"schema":"https://github.com/citation-style-language/schema/raw/master/csl-citation.json"}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(Yu et al., 2012)</w:t>
      </w:r>
      <w:r>
        <w:rPr>
          <w:rFonts w:ascii="Times New Roman" w:hAnsi="Times New Roman" w:cs="Times New Roman"/>
          <w:sz w:val="24"/>
          <w:szCs w:val="24"/>
        </w:rPr>
        <w:fldChar w:fldCharType="end"/>
      </w:r>
      <w:r>
        <w:rPr>
          <w:rFonts w:ascii="Times New Roman" w:hAnsi="Times New Roman" w:cs="Times New Roman"/>
          <w:sz w:val="24"/>
          <w:szCs w:val="24"/>
        </w:rPr>
        <w:t>. This helps to rule out many problems in tumor characterization such as identifying even a minimal amount of iodine or calcium in any lesion, which is possible due to low-energy photon acquisition. The perfusion</w:t>
      </w:r>
      <w:r>
        <w:rPr>
          <w:rFonts w:ascii="Times New Roman" w:hAnsi="Times New Roman" w:cs="Times New Roman"/>
          <w:sz w:val="24"/>
          <w:szCs w:val="24"/>
        </w:rPr>
        <w:t xml:space="preserve"> imaging technique helps to assess the flow of blood within the microvasculature of the tumor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{"citationID":"37qW4jM1","properties":{"formattedCitation":"(Aziz et al., 2022)","plainCitation":"(Aziz et al., 2022)","noteIndex":0},"citationItems":[{"id":"7QoY0TNi/tazOCJqW","uris":["http://zotero.org/users/16274399/items/AXYCFM4S"],"itemData":{"id":151,"type":"article-journal","abstract":"Vascular imaging with color and power Doppler is a useful tool in the assessment\nof various disease processes. Assessment of blood flow, from infarction and\nischemia to hyperemia, in organs, neoplasms, and vessels, is used in nearly\nevery US investigation. Recent developments in this area are sensitive to\nsmall-vessel low velocity flow without use of intravenous contrast agents, known\nas microvascular flow imaging (MVFI). MVFI is more sensitive in detection of\nsmall vessels than color, power, and spectral Doppler, reducing the need for\nfollow-up contrast-enhanced US (CEUS), CT, and MRI, except when arterial and\nvenous wash-in and washout characteristics would be helpful in diagnosis.\nVarying clinical applications of MVFI are reviewed in adult and pediatric\npopulations, including its technical underpinnings. MVFI shows promise in\nassessment of several conditions including benign and malignant lesions in the\nliver and kidney, acute pathologic abnormalities in the gallbladder and testes,\nand superficial lymph nodes. Future potential of MVFI in different conditions\n(eg, endovascular repair) is discussed. Finally, clinical cases in which MVFI\ncorrelated and potentially obviated additional CEUS, CT, or MRI are shown., © RSNA, 2022","container-title":"Radiology","DOI":"10.1148/radiol.213303","ISSN":"0033-8419","issue":"2","journalAbbreviation":"Radiology","note":"PMID: 36165794\nPMCID: PMC9619200","page":"250-264","source":"PubMed Central","title":"Microvascular Flow Imaging: A State-of-the-Art Review of Clinical Use and Promise","title-short":"Microvascular Flow Imaging","volume":"305","author":[{"family":"Aziz","given":"Muhammad Usman"},{"family":"Eisenbrey","given":"John R."},{"family":"Deganello","given":"Annamaria"},{"family":"Zahid","given":"Mohd"},{"family":"Sharbidre","given":"Kedar"},{"family":"Sidhu","given":"Paul"},{"family":"Robbin","given":"Michelle L."}],"issued":{"date-parts":[["2022",9,27]]}}}],"schema":"https://github.com/citation-style-language/schema/raw/master/csl-citation.json"}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(Aziz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It provides information </w:t>
      </w:r>
      <w:r w:rsidR="0046447B">
        <w:rPr>
          <w:rFonts w:ascii="Times New Roman" w:hAnsi="Times New Roman" w:cs="Times New Roman"/>
          <w:sz w:val="24"/>
          <w:szCs w:val="24"/>
        </w:rPr>
        <w:t>of</w:t>
      </w:r>
      <w:r>
        <w:rPr>
          <w:rFonts w:ascii="Times New Roman" w:hAnsi="Times New Roman" w:cs="Times New Roman"/>
          <w:sz w:val="24"/>
          <w:szCs w:val="24"/>
        </w:rPr>
        <w:t xml:space="preserve"> angiogenesis and micronecrosis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{"citationID":"qgtg5GyZ","properties":{"formattedCitation":"(S. H. Kim et al., 2016; Zameer et al., 2025)","plainCitation":"(S. H. Kim et al., 2016; Zameer et al., 2025)","noteIndex":0},"citationItems":[{"id":"7QoY0TNi/MM8kvHDJ","uris":["http://zotero.org/users/16274399/items/2WY5JX34"],"itemData":{"id":154,"type":"article-journal","abstract":"Hypoxia in the tumor microenvironment is the leading factor in angiogenesis. Angiogenesis can be identified by dynamic contrast-enhanced breast MRI (DCE MRI). Here we investigate the relationship between perfusion parameters on DCE MRI and angiogenic and prognostic factors in patients with invasive ductal carcinoma (IDC). Perfusion parameters (Ktrans, kep and ve) of 81 IDC were obtained using histogram analysis. Twenty-fifth, 50th and 75th percentile values were calculated and were analyzed for association with microvessel density (MVD), vascular endothelial growth factor (VEGF) and conventional prognostic factors. Correlation between MVD and ve50 was positive (r = 0.33). Ktrans50 was higher in tumors larger than 2 cm than in tumors smaller than 2 cm. In multivariate analysis, Ktrans50 was affected by tumor size and MVD with 12.8% explanation. There was significant association between Ktrans50 and tumor size and MVD. Therefore we conclude that DCE MRI perfusion parameters are potential imaging biomarkers for prediction of tumor angiogenesis and aggressiveness.","container-title":"PLOS ONE","DOI":"10.1371/journal.pone.0168632","ISSN":"1932-6203","issue":"12","journalAbbreviation":"PLOS ONE","language":"en","note":"publisher: Public Library of Science","page":"e0168632","source":"PLoS Journals","title":"Dynamic Contrast-Enhanced MRI Perfusion Parameters as Imaging Biomarkers of Angiogenesis","volume":"11","author":[{"family":"Kim","given":"Sung Hun"},{"family":"Lee","given":"Hyeon Sil"},{"family":"Kang","given":"Bong Joo"},{"family":"Song","given":"Byung Joo"},{"family":"Kim","given":"Hyun-Bin"},{"family":"Lee","given":"Hyunyong"},{"family":"Jin","given":"Min-Sun"},{"family":"Lee","given":"Ahwon"}],"issued":{"date-parts":[["2016",12,30]]}}},{"id":1172,"uris":["http://zotero.org/users/15401920/items/4L8UQD2M"],"itemData":{"id":1172,"type":"article-journal","container-title":"Biotechnology Journal International","DOI":"10.9734/bji/2025/v29i2769","ISSN":"2456-7051","issue":"2","language":"en","page":"27-36","source":"journalbji.com","title":"Apoptosis Mechanisms: Role of Anti-apoptotic Proteins, Cancer Hallmarks and Tumor Microenvironment in Cancer Cell Survival","title-short":"Apoptosis Mechanisms","volume":"29","author":[{"family":"Zameer","given":"Saqib"},{"family":"Akram","given":"Zeeshan"},{"family":"Daniyal","given":"Areeb"},{"family":"Fatima","given":"Urooj"},{"family":"Faraz","given":"Mohd"},{"family":"Anwar","given":"Zarrin"},{"family":"Khatoon","given":"Sheeba"},{"family":"Habib","given":"Safia"},{"family":"Mustafa","given":"Mohd"}],"issued":{"date-parts":[["2025",3,20]]}}}],"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(S. H. Kim et al., 2016; Zameer et al., 2025)</w:t>
      </w:r>
      <w:r>
        <w:rPr>
          <w:rFonts w:ascii="Times New Roman" w:hAnsi="Times New Roman" w:cs="Times New Roman"/>
          <w:sz w:val="24"/>
          <w:szCs w:val="24"/>
        </w:rPr>
        <w:fldChar w:fldCharType="end"/>
      </w:r>
      <w:r>
        <w:rPr>
          <w:rFonts w:ascii="Times New Roman" w:hAnsi="Times New Roman" w:cs="Times New Roman"/>
          <w:sz w:val="24"/>
          <w:szCs w:val="24"/>
        </w:rPr>
        <w:t>. This detailed blood flow information within a tumor increases the accuracy of tumor characterization or identification and tumor grading, thus leading to a more reliable diagnosis. Perfusion can be</w:t>
      </w:r>
      <w:r>
        <w:rPr>
          <w:rFonts w:ascii="Times New Roman" w:hAnsi="Times New Roman" w:cs="Times New Roman"/>
          <w:sz w:val="24"/>
          <w:szCs w:val="24"/>
        </w:rPr>
        <w:t xml:space="preserve"> done through both modalities CT and MRI, but generally preferred for MRI because of its high tissue contrast and high resolution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{"citationID":"RzNpLwmR","properties":{"formattedCitation":"(Thakur et al., 2023)","plainCitation":"(Thakur et al., 2023)","noteIndex":0},"citationItems":[{"id":"7QoY0TNi/qmWwUaDP","uris":["http://zotero.org/users/16274399/items/WZDNVXEE"],"itemData":{"id":125,"type":"chapter","abstract":"Medical image analysis involves correct interpretation of image data for the proper diagnosis to decide further course of treatment. There are different medical imaging modalities, such as magnetic resonance imaging, computed tomography, ultrasound, positron emission tomography, etc. Each imaging modality is used for the diagnosis of a particular disease according to its features. The image denoising is an important step of the medical image pre-processing part for accurate interpretation of image data. There are different image denoising techniques, such as transform domain-based, fuzzy logic-based, spatial domain-based, optimization-based, and machine learning-based methods. Out of these techniques, machine learning-based convolutional neural networks (CNNs) are widely being used for image denoising applications. The auto extraction of image features by the convolutional operation is the core functionality of CNNs. Moreover, CNN's design is appropriate for image data, and the concept of weight sharing reduces computational complexity as well. This chapter gives an overview of various medical image modalities and corresponding denoising CNN architectures. It has been observed that denoising CNN (DnCNN) Gaussian denoiser is the benchmark model for the design of medical imaging denoisers. The basic design unit is convolution, batch normalization, and rectified linear units. The 3D-parallel RicianNet for Rician Noise removal in MRI, two-stage residual CNN, and complex CNN medical image denoiser for CT images, mixed attention-based residual U-Net for speckle removal in ultrasound, and unsupervised learning with image priors for PET images have outperformed other state-of-the-art methods.","collection-title":"Hybrid Computational Intelligence for Pattern Analysis","container-title":"Digital Image Enhancement and Reconstruction","ISBN":"978-0-323-98370-9","note":"DOI: 10.1016/B978-0-32-398370-9.00012-3","page":"115-138","publisher":"Academic Press","source":"ScienceDirect","title":"Chapter 5 - Medical image denoising using convolutional neural networks","URL":"https://www.sciencedirect.com/science/article/pii/B9780323983709000123","author":[{"family":"Thakur","given":"Rini Smita"},{"family":"Chatterjee","given":"Shubhojeet"},{"family":"Yadav","given":"Ram Narayan"},{"family":"Gupta","given":"Lalita"}],"editor":[{"family":"Rajput","given":"Shyam Singh"},{"family":"Khan","given":"Nafis Uddin"},{"family":"Singh","given":"Amit Kumar"},{"family":"Arya","given":"Karm Veer"}],"accessed":{"date-parts":[["2025",2,2]]},"issued":{"date-parts":[["2023",1,1]]}}}],"schema":"https://github.com/citation-style-language/schema/raw/master/csl-citation.json"}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(Thakur et al., 2023)</w:t>
      </w:r>
      <w:r>
        <w:rPr>
          <w:rFonts w:ascii="Times New Roman" w:hAnsi="Times New Roman" w:cs="Times New Roman"/>
          <w:sz w:val="24"/>
          <w:szCs w:val="24"/>
        </w:rPr>
        <w:fldChar w:fldCharType="end"/>
      </w:r>
      <w:r>
        <w:rPr>
          <w:rFonts w:ascii="Times New Roman" w:hAnsi="Times New Roman" w:cs="Times New Roman"/>
          <w:sz w:val="24"/>
          <w:szCs w:val="24"/>
        </w:rPr>
        <w:t>. PET is a nuclear medicine imaging technology that is nowadays also used in combination either with CT or MRI. This hybrid technology provides a more precise and accura</w:t>
      </w:r>
      <w:r>
        <w:rPr>
          <w:rFonts w:ascii="Times New Roman" w:hAnsi="Times New Roman" w:cs="Times New Roman"/>
          <w:sz w:val="24"/>
          <w:szCs w:val="24"/>
        </w:rPr>
        <w:t xml:space="preserve">te image with high resolution to diagnose subtle lesions or minimal early-stage activity related to cancer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{"citationID":"6uxHDtK0","properties":{"formattedCitation":"(Bashir et al., 2015)","plainCitation":"(Bashir et al., 2015)","noteIndex":0},"citationItems":[{"id":"7QoY0TNi/MJ8MZWYr","uris":["http://zotero.org/users/16274399/items/RABVGY97"],"itemData":{"id":156,"type":"article-journal","abstract":"Positron emission tomography (PET) combined with magnetic resonance imaging (MRI) is a hybrid technology which has recently gained interest as a potential cancer imaging tool. Compared with CT, MRI is advantageous due to its lack of ionizing radiation, superior soft-tissue contrast resolution, and wider range of acquisition sequences. Several studies have shown PET/MRI to be equivalent to PET/CT in most oncological applications, possibly superior in certain body parts, e.g., head and neck, pelvis, and in certain situations, e.g., cancer recurrence. This review will update the readers on recent advances in PET/MRI technology and review key literature, while highlighting the strengths and weaknesses of PET/MRI in cancer imaging.","container-title":"Diagnostics","DOI":"10.3390/diagnostics5030333","ISSN":"2075-4418","issue":"3","journalAbbreviation":"Diagnostics (Basel)","note":"PMID: 26854157\nPMCID: PMC4665605","page":"333-357","source":"PubMed Central","title":"PET/MRI in Oncological Imaging: State of the Art","title-short":"PET/MRI in Oncological Imaging","volume":"5","author":[{"family":"Bashir","given":"Usman"},{"family":"Mallia","given":"Andrew"},{"family":"Stirling","given":"James"},{"family":"Joemon","given":"John"},{"family":"MacKewn","given":"Jane"},{"family":"Charles-Edwards","given":"Geoff"},{"family":"Goh","given":"Vicky"},{"family":"Cook","given":"Gary J."}],"issued":{"date-parts":[["2015",7,21]]}}}],"schema":"https://github.com/citation-style-language/schema/raw/master/csl-citation.json"}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(Bashir et al., 2015)</w:t>
      </w:r>
      <w:r>
        <w:rPr>
          <w:rFonts w:ascii="Times New Roman" w:hAnsi="Times New Roman" w:cs="Times New Roman"/>
          <w:sz w:val="24"/>
          <w:szCs w:val="24"/>
        </w:rPr>
        <w:fldChar w:fldCharType="end"/>
      </w:r>
      <w:r>
        <w:rPr>
          <w:rFonts w:ascii="Times New Roman" w:hAnsi="Times New Roman" w:cs="Times New Roman"/>
          <w:sz w:val="24"/>
          <w:szCs w:val="24"/>
        </w:rPr>
        <w:t>. In this technology, the diagnosis is done comparatively con</w:t>
      </w:r>
      <w:r>
        <w:rPr>
          <w:rFonts w:ascii="Times New Roman" w:hAnsi="Times New Roman" w:cs="Times New Roman"/>
          <w:sz w:val="24"/>
          <w:szCs w:val="24"/>
        </w:rPr>
        <w:t>sidering both scans which decreases the chance of misdiagnosis and even early-stage cancer can be detected easily.</w:t>
      </w:r>
      <w:r>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4"/>
        </w:rPr>
        <w:t>When it comes to identifying axillary and extra-axillary nodal metastases, PET-CT and PET-MRI are both more sensitive than MRI. For distant m</w:t>
      </w:r>
      <w:r>
        <w:rPr>
          <w:rFonts w:ascii="Times New Roman" w:hAnsi="Times New Roman" w:cs="Times New Roman"/>
          <w:sz w:val="24"/>
          <w:szCs w:val="24"/>
        </w:rPr>
        <w:t xml:space="preserve">etastases, PET-CT is more effective in detecting lung metastases, but PET-MRI is more effective in detecting liver and bone metastases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{"citationID":"sOFvPJwY","properties":{"formattedCitation":"(AL-Jahdali et al., 2012; Zhang et al., 2023)","plainCitation":"(AL-Jahdali et al., 2012; Zhang et al., 2023)","noteIndex":0},"citationItems":[{"id":"7QoY0TNi/bOUFKuJ9","uris":["http://zotero.org/users/16274399/items/9PIH6A3Y"],"itemData":{"id":159,"type":"article-journal","abstract":"Fluoro-2-deoxy-d-glucose (FDG)-positron emission tomography (PET) and PET/computed tomography (FDG-PET/CT) is regarded as a standard of care in the management of non-small-cell lung carcinoma (NSCLC) and is a useful adjunct in the characterization of indeterminate solitary lung nodules (SLN), and pre-treatment staging of NSCLC, notably mediastinal nodal staging and detection of remote metastases. FDG-PET/CT has the ability to assess locoregional lymph node spread more precisely than CT, to detect metastatic lesions that would have been missed on conventional imaging or are located in difficult areas, and to help in the differentiation of lesions that are equivocal after conventional imaging. Increasingly FDG-PET/CT is employed in radiotherapy planning, prediction of prognosis in terms of tumor response to neo-adjuvant, radiation and chemotherapy treatment. Evidence is accumulating of usefulness of PET/CT in small cell lung cancer.","collection-title":"Saudi Lung Cancer Guidelines Supplement 2012","container-title":"Journal of Infection and Public Health","DOI":"10.1016/j.jiph.2012.09.003","ISSN":"1876-0341","journalAbbreviation":"Journal of Infection and Public Health","page":"S35-S40","source":"ScienceDirect","title":"Guidelines for the role of FDG-PET/CT in lung cancer management","volume":"5","author":[{"family":"AL-Jahdali","given":"Hamdan"},{"family":"Khan","given":"Ali Nawaz"},{"family":"Loutfi","given":"Shukri"},{"family":"Al-Harbi","given":"Abdullah S."}],"issued":{"date-parts":[["2012",12,1]]}}},{"id":"7QoY0TNi/OCuOhh0C","uris":["http://zotero.org/users/16274399/items/VRN6TEG5"],"itemData":{"id":161,"type":"article-journal","abstract":"As a first-line imaging modality, whole-body fluorine-18 fluorodeoxyglucose (18F-FDG) positron emission tomography (PET)/computed tomography (CT) and 18F-FDG PET/magnetic resonance imaging (MRI) had been widely applied in clinical practice. However, 18F-FDG PET/MRI may be superior to PET/CT for the diagnosis of distant metastases in patients with advanced-stage. Therefore, it is timely and important to systematically determine the diagnostic accuracy of 18F-FDG PET/MRI compared with that of 18F-FDG PET/CT for the diagnosis of distant metastases.","container-title":"BMC Cancer","DOI":"10.1186/s12885-022-10493-8","ISSN":"1471-2407","issue":"1","journalAbbreviation":"BMC Cancer","page":"37","source":"BioMed Central","title":"Comparison of whole-body 18F-FDG PET/CT and PET/MRI for distant metastases in patients with malignant tumors: a meta-analysis","title-short":"Comparison of whole-body 18F-FDG PET/CT and PET/MRI for distant metastases in patients with malignant tumors","volume":"23","author":[{"family":"Zhang","given":"Cici"},{"family":"Liang","given":"Zhishan"},{"family":"Liu","given":"Wei"},{"family":"Zeng","given":"Xuwen"},{"family":"Mo","given":"Yuzhen"}],"issued":{"date-parts":[["2023",1,10]]}}}],"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(AL-Jahdali et al., 2012; Zhang et al., 2023)</w:t>
      </w:r>
      <w:r>
        <w:rPr>
          <w:rFonts w:ascii="Times New Roman" w:hAnsi="Times New Roman" w:cs="Times New Roman"/>
          <w:sz w:val="24"/>
          <w:szCs w:val="24"/>
        </w:rPr>
        <w:fldChar w:fldCharType="end"/>
      </w:r>
      <w:r>
        <w:rPr>
          <w:rFonts w:ascii="Times New Roman" w:hAnsi="Times New Roman" w:cs="Times New Roman"/>
          <w:sz w:val="24"/>
          <w:szCs w:val="24"/>
        </w:rPr>
        <w:t>.</w:t>
      </w:r>
      <w:r w:rsidR="0046447B">
        <w:rPr>
          <w:rFonts w:ascii="Times New Roman" w:hAnsi="Times New Roman" w:cs="Times New Roman"/>
          <w:sz w:val="24"/>
          <w:szCs w:val="24"/>
        </w:rPr>
        <w:t xml:space="preserve"> </w:t>
      </w:r>
      <w:r>
        <w:rPr>
          <w:rFonts w:ascii="Times New Roman" w:hAnsi="Times New Roman" w:cs="Times New Roman"/>
          <w:sz w:val="24"/>
          <w:szCs w:val="24"/>
        </w:rPr>
        <w:t>MRS is a technique based on chemical</w:t>
      </w:r>
      <w:r>
        <w:rPr>
          <w:rFonts w:ascii="Times New Roman" w:hAnsi="Times New Roman" w:cs="Times New Roman"/>
          <w:sz w:val="24"/>
          <w:szCs w:val="24"/>
        </w:rPr>
        <w:t xml:space="preserve"> shift which requires a homogenous magnetic field during the image acquisition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{"citationID":"eUYHsqkZ","properties":{"formattedCitation":"(Tognarelli et al., 2015)","plainCitation":"(Tognarelli et al., 2015)","noteIndex":0},"citationItems":[{"id":"7QoY0TNi/BpOqf6gh","uris":["http://zotero.org/users/16274399/items/3HFAQ5FN"],"itemData":{"id":168,"type":"article-journal","container-title":"Journal of Clinical and Experimental Hepatology","DOI":"10.1016/j.jceh.2015.10.006","ISSN":"0973-6883","issue":"4","journalAbbreviation":"Journal of Clinical and Experimental Hepatology","language":"English","note":"publisher: Elsevier","page":"320-328","source":"www.jcehepatology.com","title":"Magnetic Resonance Spectroscopy: Principles and Techniques: Lessons for Clinicians","title-short":"Magnetic Resonance Spectroscopy","volume":"5","author":[{"family":"Tognarelli","given":"Joshua M."},{"family":"Dawood","given":"Mahvish"},{"family":"Shariff","given":"Mohamed I. F."},{"family":"Grover","given":"Vijay P. B."},{"family":"Crossey","given":"Mary M. E."},{"family":"Cox","given":"I. Jane"},{"family":"Taylor-Robinson","given":"Simon D."},{"family":"McPhail","given":"Mark J. W."}],"issued":{"date-parts":[["2015",12,1]]}}}],"schema":"https://github.com/citation-style-language/schema/raw/master/csl-citation.json"}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(Tognarelli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It is an advanced non-invasive technique that is used </w:t>
      </w:r>
      <w:r>
        <w:rPr>
          <w:rFonts w:ascii="Times New Roman" w:hAnsi="Times New Roman" w:cs="Times New Roman"/>
          <w:sz w:val="24"/>
          <w:szCs w:val="24"/>
        </w:rPr>
        <w:lastRenderedPageBreak/>
        <w:t xml:space="preserve">to assess the chemical composition of a tumor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{"citationID":"YbOYkr4q","properties":{"formattedCitation":"(Tognarelli et al., 2015)","plainCitation":"(Tognarelli et al., 2015)","noteIndex":0},"citationItems":[{"id":"7QoY0TNi/BpOqf6gh","uris":["http://zotero.org/users/16274399/items/3HFAQ5FN"],"itemData":{"id":168,"type":"article-journal","container-title":"Journal of Clinical and Experimental Hepatology","DOI":"10.1016/j.jceh.2015.10.006","ISSN":"0973-6883","issue":"4","journalAbbreviation":"Journal of Clinical and Experimental Hepatology","language":"English","note":"publisher: Elsevier","page":"320-328","source":"www.jcehepatology.com","title":"Magnetic Resonance Spectroscopy: Principles and Techniques: Lessons for Clinicians","title-short":"Magnetic Resonance Spectroscopy","volume":"5","author":[{"family":"Tognarelli","given":"Joshua M."},{"family":"Dawood","given":"Mahvish"},{"family":"Shariff","given":"Mohamed I. F."},{"family":"Grover","given":"Vijay P. B."},{"family":"Crossey","given":"Mary M. E."},{"family":"Cox","given":"I. Jane"},{"family":"Taylor-Robinson","given":"Simon D."},{"family":"McPhail","given":"Mark J. W."}],"issued":{"date-parts":[["2015",12,1]]}}}],"schema":"https://github.com/citation-style-language/schema/raw/master/csl-citation.json"}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(Tognarelli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It helps to draw graphs that show peaks of </w:t>
      </w:r>
      <w:r>
        <w:rPr>
          <w:rFonts w:ascii="Times New Roman" w:hAnsi="Times New Roman" w:cs="Times New Roman"/>
          <w:sz w:val="24"/>
          <w:szCs w:val="24"/>
        </w:rPr>
        <w:t>different chemicals such as choline, N-acetyl aspartate, creatine, and Myo-inositol. Diagnosis is made by comparing the composition of different chemicals in the acquired graph with the normal chemical composition in the tissue. As an example, a high choli</w:t>
      </w:r>
      <w:r>
        <w:rPr>
          <w:rFonts w:ascii="Times New Roman" w:hAnsi="Times New Roman" w:cs="Times New Roman"/>
          <w:sz w:val="24"/>
          <w:szCs w:val="24"/>
        </w:rPr>
        <w:t xml:space="preserve">ne peak may be a sign of glioma or other malignancies as choline increases with an increase in cell membrane production </w:t>
      </w:r>
      <w:r>
        <w:rPr>
          <w:rFonts w:ascii="Times New Roman" w:hAnsi="Times New Roman" w:cs="Times New Roman"/>
          <w:sz w:val="24"/>
          <w:szCs w:val="24"/>
        </w:rPr>
        <w:fldChar w:fldCharType="begin"/>
      </w:r>
      <w:r w:rsidR="00A45358">
        <w:rPr>
          <w:rFonts w:ascii="Times New Roman" w:hAnsi="Times New Roman" w:cs="Times New Roman"/>
          <w:sz w:val="24"/>
          <w:szCs w:val="24"/>
        </w:rPr>
        <w:instrText xml:space="preserve"> ADDIN ZOTERO_ITEM CSL_CITATION {"citationID":"Iu7i1Lep","properties":{"formattedCitation":"(Verma et al., 2016)","plainCitation":"(Verma et al., 2016)","noteIndex":0},"citationItems":[{"id":"7QoY0TNi/rwCNSpYg","uris":["http://zotero.org/users/16274399/items/QEPQU9X5"],"itemData":{"id":176,"type":"article-journal","abstract":"Background\nMagnetic resonance spectroscopy (MRS) is an established tool for in-vivo evaluation of the biochemical basis of human diseases. On one hand, such lucid depiction of ‘live biochemistry’ helps one to decipher the true nature of the pathology while on the other hand one can track the response to therapy at sub-cellular level. Brain tumors have been an area of continuous interrogation and instigation for mankind. Evaluation of these lesions by MRS plays a crucial role in the two aspects of disease management described above.\nScope of review\nPresented is an overview of the window provided by MRS into the biochemical aspects of brain tumors. We systematically visit each metabolite deciphered by MRS and discuss the role of deconvoluting the biochemical aspects of pathologies (here in context of brain tumors) in the disease management cycle. We further try to unify a radiologist's perspective of disease with that of a biochemist to prove the point that preclinical work is the mother of the treatment we provide at bedside as clinicians. Furthermore, an integrated approach by various scientific experts help resolve a query encountered in everyday practice.\nMajor conclusions\nMR spectroscopy is an integral tool for evaluation and systematic follow-up of brain tumors. A deeper understanding of this technology by a biochemist would help in a swift and more logical development of the technique while a close collaboration with radiologist would enable definitive application of the same.\nGeneral significance\nThe review aims at inciting closer ties between the two specialists enabling a deeper understanding of this valuable technology.","container-title":"BBA Clinical","DOI":"10.1016/j.bbacli.2016.04.002","ISSN":"2214-6474","journalAbbreviation":"BBA Clinical","page":"170-178","source":"ScienceDirect","title":"Magnetic resonance spectroscopy — Revisiting the biochemical and molecular milieu of brain tumors","volume":"5","author":[{"family":"Verma","given":"Ashish"},{"family":"Kumar","given":"Ishan"},{"family":"Verma","given":"Nimisha"},{"family":"Aggarwal","given":"Priyanka"},{"family":"Ojha","given":"Ritu"}],"issued":{"date-parts":[["2016",6,1]]}}}],"schema":"https://github.com/citation-style-language/schema/raw/master/csl-citation.json"} </w:instrText>
      </w:r>
      <w:r>
        <w:rPr>
          <w:rFonts w:ascii="Times New Roman" w:hAnsi="Times New Roman" w:cs="Times New Roman"/>
          <w:sz w:val="24"/>
          <w:szCs w:val="24"/>
        </w:rPr>
        <w:fldChar w:fldCharType="separate"/>
      </w:r>
      <w:r w:rsidR="00A45358" w:rsidRPr="00A45358">
        <w:rPr>
          <w:rFonts w:ascii="Times New Roman" w:hAnsi="Times New Roman" w:cs="Times New Roman"/>
          <w:sz w:val="24"/>
        </w:rPr>
        <w:t>(Verma et al., 2016)</w:t>
      </w:r>
      <w:r>
        <w:rPr>
          <w:rFonts w:ascii="Times New Roman" w:hAnsi="Times New Roman" w:cs="Times New Roman"/>
          <w:sz w:val="24"/>
          <w:szCs w:val="24"/>
        </w:rPr>
        <w:fldChar w:fldCharType="end"/>
      </w:r>
      <w:r>
        <w:rPr>
          <w:rFonts w:ascii="Times New Roman" w:hAnsi="Times New Roman" w:cs="Times New Roman"/>
          <w:sz w:val="24"/>
          <w:szCs w:val="24"/>
        </w:rPr>
        <w:t>. MR spectroscopy and MR perfusion together help in differentiati</w:t>
      </w:r>
      <w:r>
        <w:rPr>
          <w:rFonts w:ascii="Times New Roman" w:hAnsi="Times New Roman" w:cs="Times New Roman"/>
          <w:sz w:val="24"/>
          <w:szCs w:val="24"/>
        </w:rPr>
        <w:t>ng a malignant and benign tumor.</w:t>
      </w:r>
    </w:p>
    <w:p w14:paraId="30D1983F" w14:textId="77777777" w:rsidR="004061FE" w:rsidRPr="004061FE" w:rsidRDefault="004061FE">
      <w:pPr>
        <w:pStyle w:val="ListParagraph"/>
        <w:spacing w:line="360" w:lineRule="auto"/>
        <w:ind w:left="0"/>
        <w:jc w:val="both"/>
        <w:rPr>
          <w:rFonts w:ascii="Times New Roman" w:hAnsi="Times New Roman" w:cs="Times New Roman"/>
          <w:sz w:val="12"/>
          <w:szCs w:val="12"/>
        </w:rPr>
      </w:pPr>
    </w:p>
    <w:p w14:paraId="2C4E9149" w14:textId="531F23EA"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5. CT and MRI in precision medicine </w:t>
      </w:r>
    </w:p>
    <w:p w14:paraId="5D2869CC" w14:textId="08C2BC63" w:rsidR="0035583F" w:rsidRDefault="00CF30CC">
      <w:pPr>
        <w:pStyle w:val="ListParagraph"/>
        <w:spacing w:line="360" w:lineRule="auto"/>
        <w:ind w:left="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focus on early diagnosis and individualized therapies, precision medicine is revolutionizing medical practices and has a beneficial effect on diagnostic radiology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{"citationID":"hYGdP2Eu","properties":{"formattedCitation":"(Johnson et al., 2021)","plainCitation":"(Johnson et al., 2021)","noteIndex":0},"citationItems":[{"id":"7QoY0TNi/Vay1dEWa","uris":["http://zotero.org/users/16274399/items/7QWBCIBL"],"itemData":{"id":181,"type":"article-journal","abstract":"The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Science","DOI":"10.1111/cts.12884","ISSN":"1752-8062","issue":"1","language":"en","license":"© 2020 The Authors. Clinical and Translational Science published by Wiley Periodicals LLC on behalf of the American Society for Clinical Pharmacology and Therapeutics.","note":"_eprint: https://onlinelibrary.wiley.com/doi/pdf/10.1111/cts.12884","page":"86-93","source":"Wiley Online Library","title":"Precision Medicine, AI, and the Future of Personalized Health Care","volume":"14","author":[{"family":"Johnson","given":"Kevin B."},{"family":"Wei","given":"Wei-Qi"},{"family":"Weeraratne","given":"Dilhan"},{"family":"Frisse","given":"Mark E."},{"family":"Misulis","given":"Karl"},{"family":"Rhee","given":"Kyu"},{"family":"Zhao","given":"Juan"},{"family":"Snowdon","given":"Jane L."}],"issued":{"date-parts":[["2021"]]}}}],"schema":"https://github.com/citation-style-language/schema/raw/master/csl-citation.json"}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(Johnson et al., 2021)</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Precision medicine refers to the tailoring of medical treatment which means customizing or personalizing treatment based on the characteristics of each patient such as their genetics, lifestyle, and environment, instead of one type of treatment for all. For example, using genetic testing to determine the most effective therapy for a patient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{"citationID":"4qWJM6Bw","properties":{"formattedCitation":"(Wang &amp; Wang, 2023)","plainCitation":"(Wang &amp; Wang, 2023)","noteIndex":0},"citationItems":[{"id":"7QoY0TNi/Yriqi19k","uris":["http://zotero.org/users/16274399/items/DK9H95NN"],"itemData":{"id":184,"type":"article-journal","abstract":"Simple Summary\nThe genomics-based concept of precision medicine began to emerge following the completion of the Human Genome Project. In contrast to evidence-based medicine, precision medicine will allow doctors and scientists to tailor the treatment of different subpopulations of patients who differ in their susceptibility to specific diseases or responsiveness to specific therapies. In this review, we examine the history, development, and future perspective of precision medicine. We also discuss the concepts, principles, tools, and applications of precision medicine and related fields.\n\nAbstract\nThe genomics-based concept of precision medicine began to emerge following the completion of the Human Genome Project. In contrast to evidence-based medicine, precision medicine will allow doctors and scientists to tailor the treatment of different subpopulations of patients who differ in their susceptibility to specific diseases or responsiveness to specific therapies. The current precision medicine model was proposed to precisely classify patients into subgroups sharing a common biological basis of diseases for more effective tailored treatment to achieve improved outcomes. Precision medicine has become a term that symbolizes the new age of medicine. In this review, we examine the history, development, and future perspective of precision medicine. We also discuss the concepts, principles, tools, and applications of precision medicine and related fields. In our view, for precision medicine to work, two essential objectives need to be achieved. First, diseases need to be classified into various subtypes. Second, targeted therapies must be available for each specific disease subtype. Therefore, we focused this review on the progress in meeting these two objectives.","container-title":"Cancers","DOI":"10.3390/cancers15153837","ISSN":"2072-6694","issue":"15","journalAbbreviation":"Cancers (Basel)","note":"PMID: 37568653\nPMCID: PMC10417651","page":"3837","source":"PubMed Central","title":"Precision Medicine: Disease Subtyping and Tailored Treatment","title-short":"Precision Medicine","volume":"15","author":[{"family":"Wang","given":"Richard C."},{"family":"Wang","given":"Zhixiang"}],"issued":{"date-parts":[["2023",7,28]]}}}],"schema":"https://github.com/citation-style-language/schema/raw/master/csl-citation.json"}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(Wang &amp; Wang, 2023)</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It helps in adjusting the appropriate dose of medicine based on a person’s metabolism. This minimizes therapy's adverse effects and lowers costs by focusing on preventive or therapeutic actions. Oncology has made substantial use of CT, MRI, and PET to aid in diagnosis and direct therapy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{"citationID":"rxaSgLft","properties":{"formattedCitation":"(Ghasemi et al., 2016)","plainCitation":"(Ghasemi et al., 2016)","noteIndex":0},"citationItems":[{"id":"7QoY0TNi/lhFsiGIj","uris":["http://zotero.org/users/16274399/items/YDFMKXU7"],"itemData":{"id":57,"type":"article-journal","abstract":"This paper presents a review of the importance and role of precision medicine and molecular imaging technologies in cancer diagnosis with therapeutics and diagnostics purposes. Precision medicine is progressively becoming a hot topic in all disciplines related to biomedical investigation and has the capacity to become the paradigm for clinical practice. The future of medicine lies in early diagnosis and individually appropriate treatments, a concept that has been named precision medicine, i.e. delivering the right treatment to the right patient at the right time. Molecular imaging is quickly being recognized as a tool with the potential to ameliorate every aspect of cancer treatment. On the other hand, emerging high-throughput technologies such as omics techniques and systems approaches have generated a paradigm shift for biological systems in advanced life science research. In this review, we describe the precision medicine, difference between precision medicine and personalized medicine, precision medicine initiative, systems biology/medicine approaches (such as genomics, radiogenomics, transcriptomics, proteomics, and metabolomics), P4 medicine, relationship between systems biology/medicine approaches and precision medicine, and molecular imaging modalities and their utility in cancer treatment and diagnosis. Accordingly, the precision medicine and molecular imaging will enable us to accelerate and improve cancer management in future medicine.","container-title":"American Journal of Nuclear Medicine and Molecular Imaging","ISSN":"2160-8407","issue":"6","journalAbbreviation":"Am J Nucl Med Mol Imaging","note":"PMID: 28078184\nPMCID: PMC5218860","page":"310-327","source":"PubMed Central","title":"Precision medicine and molecular imaging: new targeted approaches toward cancer therapeutic and diagnosis","title-short":"Precision medicine and molecular imaging","volume":"6","author":[{"family":"Ghasemi","given":"Mojtaba"},{"family":"Nabipour","given":"Iraj"},{"family":"Omrani","given":"Abdolmajid"},{"family":"Alipour","given":"Zeinab"},{"family":"Assadi","given":"Majid"}],"issued":{"date-parts":[["2016",11,30]]}}}],"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(Ghasemi et al., 2016)</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Images can give comprehensive details regarding the structural and functional characteristics of tumors. With the development of technology over the past decades, oncology has evolved into a diverse area that enables the development of customized treatment plans for cancer patients as well as the more accurate assessment of their response to therapy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{"citationID":"4MYR5V5R","properties":{"formattedCitation":"(Pulumati et al., 2023)","plainCitation":"(Pulumati et al., 2023)","noteIndex":0},"citationItems":[{"id":"7QoY0TNi/5eSwtv59","uris":["http://zotero.org/users/16274399/items/6HQDDBWU"],"itemData":{"id":187,"type":"article-journal","abstract":"Background\nCancer is characterized by the rampant proliferation, growth, and infiltration of malignantly transformed cancer cells past their normal boundaries into adjacent tissues. It is the leading cause of death worldwide, responsible for approximately 19.3 million new diagnoses and 10 million deaths globally in 2020. In the United States alone, the estimated number of new diagnoses and deaths is 1.9 million and 609 360, respectively. Implementation of currently existing cancer diagnostic techniques such as positron emission tomography (PET), X‐ray computed tomography (CT), and magnetic resonance spectroscopy (MRS), and molecular diagnostic techniques, have enabled early detection rates and are instrumental not only for the therapeutic management of cancer patients, but also for early detection of the cancer itself. The effectiveness of these cancer screening programs are heavily dependent on the rate of accurate precursor lesion identification; an increased rate of identification allows for earlier onset treatment, thus decreasing the incidence of invasive cancer in the long‐term, and improving the overall prognosis. Although these diagnostic techniques are advantageous due to lack of invasiveness and easier accessibility within the clinical setting, several limitations such as optimal target definition, high signal to background ratio and associated artifacts hinder the accurate diagnosis of specific types of deep‐seated tumors, besides associated high cost. In this review we discuss various imaging, molecular, and low‐cost diagnostic tools and related technological advancements, to provide a better understanding of cancer diagnostics, unraveling new opportunities for effective management of cancer, particularly in low‐ and middle‐income countries (LMICs).\n\nRecent Findings\nHerein we discuss various technological advancements that are being utilized to construct an assortment of new diagnostic techniques that incorporate hardware, image reconstruction software, imaging devices, biomarkers, and even artificial intelligence algorithms, thereby providing a reliable diagnosis and analysis of the tumor. Also, we provide a brief account of alternative low cost‐effective cancer therapy devices (CryoPop®, LumaGEM®, MarginProbe®) and picture archiving and communication systems (PACS), emphasizing the need for multi‐disciplinary collaboration among radiologists, pathologists, and other involved specialties for improving cancer diagnostics.\n\nConclusion\nRevolutionary technological advancements in cancer imaging and molecular biology techniques are indispensable for the accurate diagnosis and prognosis of cancer.","container-title":"Cancer Reports","DOI":"10.1002/cnr2.1764","ISSN":"2573-8348","issue":"2","journalAbbreviation":"Cancer Rep (Hoboken)","note":"PMID: 36607830\nPMCID: PMC9940009","page":"e1764","source":"PubMed Central","title":"Technological advancements in cancer diagnostics: Improvements and limitations","title-short":"Technological advancements in cancer diagnostics","volume":"6","author":[{"family":"Pulumati","given":"Akhil"},{"family":"Pulumati","given":"Anika"},{"family":"Dwarakanath","given":"Bilikere S."},{"family":"Verma","given":"Amit"},{"family":"Papineni","given":"Rao V. L."}],"issued":{"date-parts":[["2023",1,6]]}}}],"schema":"https://github.com/citation-style-language/schema/raw/master/csl-citation.json"}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(Pulumati et al., 2023)</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w:t>
      </w:r>
    </w:p>
    <w:p w14:paraId="726F8D80" w14:textId="77777777" w:rsidR="0035583F" w:rsidRDefault="0035583F">
      <w:pPr>
        <w:pStyle w:val="ListParagraph"/>
        <w:spacing w:line="360" w:lineRule="auto"/>
        <w:ind w:left="0"/>
        <w:jc w:val="both"/>
        <w:rPr>
          <w:rFonts w:ascii="Times New Roman" w:eastAsia="Times New Roman" w:hAnsi="Times New Roman" w:cs="Times New Roman"/>
          <w:kern w:val="0"/>
          <w:sz w:val="14"/>
          <w:szCs w:val="14"/>
          <w:lang w:eastAsia="en-IN"/>
          <w14:ligatures w14:val="none"/>
        </w:rPr>
      </w:pPr>
    </w:p>
    <w:p w14:paraId="3C9451E6" w14:textId="084E088B" w:rsidR="0035583F" w:rsidRDefault="009B07E8"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6. Clinical Implications and Future Directions</w:t>
      </w:r>
    </w:p>
    <w:p w14:paraId="2116BBB3" w14:textId="04D171FC" w:rsidR="0035583F" w:rsidRDefault="00FB0430">
      <w:pPr>
        <w:pStyle w:val="ListParagraph"/>
        <w:spacing w:line="360" w:lineRule="auto"/>
        <w:ind w:left="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Clinically, a variety of imaging techniques, such as CT and MRI, are utilized to identify primary tumor an</w:t>
      </w:r>
      <w:r>
        <w:rPr>
          <w:rFonts w:ascii="Times New Roman" w:eastAsia="Times New Roman" w:hAnsi="Times New Roman" w:cs="Times New Roman"/>
          <w:kern w:val="0"/>
          <w:sz w:val="24"/>
          <w:szCs w:val="24"/>
          <w:lang w:eastAsia="en-IN"/>
          <w14:ligatures w14:val="none"/>
        </w:rPr>
        <w:t xml:space="preserve">d  lymph node metastases in cancer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{"citationID":"ct2VRmk8","properties":{"formattedCitation":"(Luo et al., 2020)","plainCitation":"(Luo et al., 2020)","noteIndex":0},"citationItems":[{"id":"7QoY0TNi/KwzkWk9w","uris":["http://zotero.org/users/16274399/items/Y6WMS45N"],"itemData":{"id":195,"type":"article-journal","abstract":"Diagnostic value and clinical significance of magnetic resonance imaging (MRI) and computed tomography (CT) in detecting lymph node metastasis of early cervical cancer were investigated. From April 2015 to April 2019, 160 patients with lymph node metastasis (stage I–II) of early cervical cancer in Jining No. 1 People's Hospital were retrospectively analyzed. All the patients underwent MRI, CT diagnosis and MRI combined with CT diagnosis before operation. Sensitivity, specificity and diagnostic accordance rate, the diagnostic value and clinical significance of MRI, CT and MRI combined with CT in the diagnosis of lymph node metastasis of early cervical cancer were compared. The sensitivity, specificity and diagnostic accordance rate of MRI in the diagnosis of lymph node metastasis of early cervical cancer in stage Ia-Ib were 75.00, 72.92 and 77.50%, respectively, which were significantly higher than those of PET/CT in the same period (P&lt;0.05). The sensitivity, specificity and diagnostic accordance rate of MRI combined with CT in the diagnosis of early cervical cancer in stage Ia-Ib were 78.13, 87.50 and 83.75%, respectively, which were significantly higher than those of MRI or CT alone (P&lt;0.05). However, the sensitivity, specificity and diagnostic accordance rate of MRI combined with CT in the diagnosis of lymph node metastasis of early cervical cancer in stage IIa-IIb were 91.66, 82.81 and 88.13%, respectively, which were significantly higher than those of MRI or CT alone (P&lt;0.05). MRI is superior to CT in the diagnosis of lymph node metastasis of early cervical cancer. However, the diagnostic efficiency of combined scans of the two is far higher than that of MRI or CT alone, which has more diagnostic value. In clinic, MRI and CT should be combined to improve the diagnostic accuracy of diseases.","container-title":"Oncology Letters","DOI":"10.3892/ol.2019.11180","ISSN":"1792-1074","issue":"1","journalAbbreviation":"Oncol Lett","note":"PMID: 31897185\nPMCID: PMC6924181","page":"700-706","source":"PubMed Central","title":"Diagnostic value and clinical significance of MRI and CT in detecting lymph node metastasis of early cervical cancer","volume":"19","author":[{"family":"Luo","given":"Lan"},{"family":"Luo","given":"Qian"},{"family":"Tang","given":"Liang"}],"issued":{"date-parts":[["2020",1]]}}}],"schema":"https://github.com/citation-style-language/schema/raw/master/csl-citation.json"}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(Luo et al., 2020)</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CT imaging is widely used for many clinical diagnoses. Its non-invasive benefits and clinical use in tumors and other possible diagnoses cannot be overlooked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{"citationID":"puIA0AiD","properties":{"formattedCitation":"(Chacko &amp; Ankri, 2024)","plainCitation":"(Chacko &amp; Ankri, 2024)","noteIndex":0},"citationItems":[{"id":"7QoY0TNi/WTtcbm5h","uris":["http://zotero.org/users/16274399/items/DGS2AXLK"],"itemData":{"id":198,"type":"article-journal","abstract":"This review paper explores the realm of non-invasive methods for early cancer detection. Early identification is crucial for effective therapeutic intervention, and non-invasive techniques have emerged as promising tools to enhance diagnostic accuracy and improve patient outcomes. The paper thoroughly examines the advantages, limitations, and prospects of various non-invasive approaches, including blood tests, non-blood-based tests, and diverse imaging modalities. It discusses the biomarkers found in blood for early-stage cancer detection, specifying the types of cancer associated with each biomarker. The non-blood-based tests focus on components in saliva, urine, and breath for cancer detection, alongside current studies and future perspectives on various cancers. Optical imaging methods covered in this review include fluorescence imaging in the near-infrared (NIR) region, bioluminescence imaging, and Raman spectroscopy for early-stage cancer detection. The review also highlights the pros and cons of ultrasound imaging in early-stage cancer detection. Additionally, the clinical implications of using AI for cancer detection, both present and future, are explored. This paper provides valuable insights for researchers and clinicians working in the field of non-invasive early-stage cancer detection.","container-title":"Clinical and Experimental Medicine","DOI":"10.1007/s10238-024-01513-x","ISSN":"1591-9528","issue":"1","journalAbbreviation":"Clin Exp Med","language":"en","page":"17","source":"Springer Link","title":"Non-invasive early-stage cancer detection: current methods and future perspectives","title-short":"Non-invasive early-stage cancer detection","volume":"25","author":[{"family":"Chacko","given":"Neelima"},{"family":"Ankri","given":"Rinat"}],"issued":{"date-parts":[["2024",12,21]]}}}],"schema":"https://github.com/citation-style-language/schema/raw/master/csl-citation.json"}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(Chacko &amp; Ankri, 2024)</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CT scan best diagnose the calcified tumor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{"citationID":"zN6hS9p2","properties":{"formattedCitation":"(Zulfiqar et al., 2020)","plainCitation":"(Zulfiqar et al., 2020)","noteIndex":0},"citationItems":[{"id":"7QoY0TNi/gzWhdu2d","uris":["http://zotero.org/users/16274399/items/L7B5TULN"],"itemData":{"id":208,"type":"article-journal","abstract":"Intra-abdominal calcifications are common. Multiple pathologic processes manifest                    within the abdomen and pelvis in association with calcifications, which can be                    benign, premalignant, or malignant. Although calcium deposition in the abdomen                    can occur secondary to various mechanisms, the most common cau se is cellular                    injury that leads to dystrophic calcifications. The authors provide a summary of                    various common and uncommon calcifications in the abdomen and pelvis, primarily                    using location to illuminate diagnostic significance. Six broad categories of                    calcifications in the abdomen and pelvis are recognized: mesenteric, peritoneal,                    retroperitoneal, organ-based, vascular, and musculoskeletal. In addition to                    site, the various patterns and morphology of calcifications encountered in                    various conditions can be helpful for diagnosis, especially those depicted on                    radiographs. For example, some patterns diagnostic for various conditions                    include round or oval stones in the biliary or urothelial tracts, curvilinear                    calcifications associated with cysts or neoplasms, and sheetlike calcifications                    along peritoneal surfaces in the setting of chronic peritoneal dialysis or                    metastatic disease. Organ encrustation with calcium may be a premalignant                    finding (eg, porcelain gallbladder). In addition, the development of calcium                    after initiation of treatment can be used as an indicator of response in                    conditions such as tuberculosis, lymphoma, and hydatid disease. As                    calcifications are almost invariably detected at imaging, it is imperative for                    radiologists to be aware of their diagnostic implications and use the presence                    of calcification in an organ, mass, or other anatomic location for problem                    solving. ©RSNA, 2020","container-title":"RadioGraphics","DOI":"10.1148/rg.2020190152","ISSN":"0271-5333","issue":"3","note":"publisher: Radiological Society of North America","page":"731-753","source":"pubs.rsna.org (Atypon)","title":"Diagnostic Approach to Benign and Malignant Calcifications in the                    Abdomen and Pelvis","volume":"40","author":[{"family":"Zulfiqar","given":"Maria"},{"family":"Shetty","given":"Anup"},{"family":"Tsai","given":"Richard"},{"family":"Gagnon","given":"Marie-Helene"},{"family":"Balfe","given":"Dennis                            M."},{"family":"Mellnick","given":"Vincent M."}],"issued":{"date-parts":[["2020",5]]}}}],"schema":"https://github.com/citation-style-language/schema/raw/master/csl-citation.json"}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(Zulfiqar et al., 2020)</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Some silent disorders can be discovered at an early stage and can be treated simply before they become severe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{"citationID":"JNelsbjF","properties":{"formattedCitation":"(Neugut et al., 2019)","plainCitation":"(Neugut et al., 2019)","noteIndex":0},"citationItems":[{"id":"7QoY0TNi/kcVioKy2","uris":["http://zotero.org/users/16274399/items/DIGKN7KG"],"itemData":{"id":200,"type":"article-journal","abstract":"To improve survival rates, investigators are studying ways to identify brain tumors at the preclinical or early clinical stage. This article reviews the rationale for screening in general, provides a brief overview of brain tumor epidemiology, and evaluates the main studies of the prevalence of various asymptomatic brain tumors in the general population.","container-title":"The Oncologist","DOI":"10.1634/theoncologist.2018-0177","ISSN":"1083-7159","issue":"3","journalAbbreviation":"Oncologist","note":"PMID: 30305414\nPMCID: PMC6519753","page":"375-384","source":"PubMed Central","title":"Magnetic Resonance Imaging‐Based Screening for Asymptomatic Brain Tumors: A Review","title-short":"Magnetic Resonance Imaging‐Based Screening for Asymptomatic Brain Tumors","volume":"24","author":[{"family":"Neugut","given":"Alfred I."},{"family":"Sackstein","given":"Paul"},{"family":"Hillyer","given":"Grace C."},{"family":"Jacobson","given":"Judith S."},{"family":"Bruce","given":"Jeffrey"},{"family":"Lassman","given":"Andrew B."},{"family":"Stieg","given":"Philip A."}],"issued":{"date-parts":[["2019",3]]}}}],"schema":"https://github.com/citation-style-language/schema/raw/master/csl-citation.json"}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(Neugut et al., 2019)</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The human body is not affected by MRI exposure s</w:t>
      </w:r>
      <w:r>
        <w:rPr>
          <w:rFonts w:ascii="Times New Roman" w:eastAsia="Times New Roman" w:hAnsi="Times New Roman" w:cs="Times New Roman"/>
          <w:kern w:val="0"/>
          <w:sz w:val="24"/>
          <w:szCs w:val="24"/>
          <w:lang w:eastAsia="en-IN"/>
          <w14:ligatures w14:val="none"/>
        </w:rPr>
        <w:t xml:space="preserve">ince it acquires images using magnetic fields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{"citationID":"EGW8fL7a","properties":{"formattedCitation":"(Ghadimi &amp; Sapra, 2025)","plainCitation":"(Ghadimi &amp; Sapra, 2025)","noteIndex":0},"citationItems":[{"id":"7QoY0TNi/clq8hlhe","uris":["http://zotero.org/users/16274399/items/4ALQ6BJH"],"itemData":{"id":203,"type":"chapter","abstract":"Magnetic resonance imaging (MRI) is one of the non-invasive imaging techniques that have superior soft tissue contrasts and potential physiological and functional applications. As MRI does not expose the body to radiation, it has become a mainstay of non-invasive diagnostic radiology modality since the 1980s. MRI uses a very powerful magnetic field, rapidly changing magnetic fields, radio waves, and a computer to obtain detailed images. However, MRI is not without risks. As clinical demand for MRI has increased, healthcare professionals have to be trained in MRI safety to protect patients from the potential risks of MRI.","call-number":"NBK551669","container-title":"StatPearls","event-place":"Treasure Island (FL)","language":"eng","license":"Copyright © 2025, StatPearls Publishing LLC.","note":"PMID: 31869133","publisher":"StatPearls Publishing","publisher-place":"Treasure Island (FL)","source":"PubMed","title":"Magnetic Resonance Imaging Contraindications","URL":"http://www.ncbi.nlm.nih.gov/books/NBK551669/","author":[{"family":"Ghadimi","given":"Maryam"},{"family":"Sapra","given":"Amit"}],"accessed":{"date-parts":[["2025",2,3]]},"issued":{"date-parts":[["2025"]]}}}],"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(Ghadimi &amp; Sapra, 2025)</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It can do both whole-body and local scanning, which is safer and more sophisticated. Additionally, it offers more </w:t>
      </w:r>
      <w:r>
        <w:rPr>
          <w:rFonts w:ascii="Times New Roman" w:eastAsia="Times New Roman" w:hAnsi="Times New Roman" w:cs="Times New Roman"/>
          <w:kern w:val="0"/>
          <w:sz w:val="24"/>
          <w:szCs w:val="24"/>
          <w:lang w:eastAsia="en-IN"/>
          <w14:ligatures w14:val="none"/>
        </w:rPr>
        <w:t xml:space="preserve">diagnostic anatomical features than CT, and the images have more </w:t>
      </w:r>
      <w:r>
        <w:rPr>
          <w:rFonts w:ascii="Times New Roman" w:eastAsia="Times New Roman" w:hAnsi="Times New Roman" w:cs="Times New Roman"/>
          <w:kern w:val="0"/>
          <w:sz w:val="24"/>
          <w:szCs w:val="24"/>
          <w:lang w:eastAsia="en-IN"/>
          <w14:ligatures w14:val="none"/>
        </w:rPr>
        <w:lastRenderedPageBreak/>
        <w:t xml:space="preserve">textural information overall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{"citationID":"2x6Irtji","properties":{"formattedCitation":"(Alorainy et al., 2024)","plainCitation":"(Alorainy et al., 2024)","noteIndex":0},"citationItems":[{"id":"7QoY0TNi/GVp1N5ow","uris":["http://zotero.org/users/16274399/items/6E5K6ZXD"],"itemData":{"id":209,"type":"article-journal","abstract":"Background\nMagnetic Resonance Imaging (MRI) is a crucial diagnostic imaging tool as it has a high contrast resolution for soft tissues. In MRI, the artifact is an unwanted appearance in the image which degrades the image quality and hence hampers the accurate diagnosis of disease. The presence of metallic compounds in several personal care products (PCPs) causes artifacts in MR images.\nObjectives\nThis study aimed to find the relationship between hair and body (healthcare) products and MRI artifacts.\nMethods\nA total of 22 PCPs (hairs, body, and a few makeup products) were tested utilizing a 1.5 T MRI scanner. The products were filled in a small plastic bag taped to the performance phantom. The phantom was placed in a brain RF coil and scanned using T1-weighted and T2-weighted images.\nResults\nA total of 16 out of 22 PCPs showed artifacts in the clinical and quantitative analysis, with effects ranging from mild to severe artifacts.\nConclusion\nBased on the quantitative and clinical analysis of personal care products, it can be reported that some hair and body products, as well as cosmetics, can generate visual artifacts. If the artifact is located in the same area of interest as the image, it may degrade the image quality and lead to a medical misdiagnosis.","container-title":"Journal of Radiation Research and Applied Sciences","DOI":"10.1016/j.jrras.2023.100784","ISSN":"1687-8507","issue":"1","journalAbbreviation":"Journal of Radiation Research and Applied Sciences","page":"100784","source":"ScienceDirect","title":"The impact of personal care products on the image quality of Magnetic Resonance Imaging","volume":"17","author":[{"family":"Alorainy","given":"Amal I."},{"family":"Hamd","given":"Zuhal Y."},{"family":"Tamam","given":"Nissren"},{"family":"Alotaibi","given":"Shrouq Z."},{"family":"Alshehri","given":"Raghad A."},{"family":"Alotaibi","given":"Rahaf A."},{"family":"Alsuhaim","given":"Norah S."},{"family":"Albadrani","given":"Shumukh M."},{"family":"Alsakait","given":"Rwa M."},{"family":"Alhenaki","given":"Manal A."},{"family":"Abdelaty","given":"Sahar M."},{"family":"Hanfi","given":"Mohamed Y."},{"family":"Khandaker","given":"Mayeen Uddin"}],"issued":{"date-parts":[["2024",3,1]]}}}],"schema":"https://github.com/citation-style-language/schema/raw/master/csl-citation.json"}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(Alorainy et al., 2024)</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As a result, comparing the benefits</w:t>
      </w:r>
      <w:r>
        <w:rPr>
          <w:rFonts w:ascii="Times New Roman" w:eastAsia="Times New Roman" w:hAnsi="Times New Roman" w:cs="Times New Roman"/>
          <w:kern w:val="0"/>
          <w:sz w:val="24"/>
          <w:szCs w:val="24"/>
          <w:lang w:eastAsia="en-IN"/>
          <w14:ligatures w14:val="none"/>
        </w:rPr>
        <w:t xml:space="preserve"> and drawbacks of CT and MRI is difficult. A case-by-case analysis is required for this. The most prevalent method of radiographic disease assessment is visual evaluation, which can be further interpreted by complex computational studies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{"citationID":"MxY8CR8k","properties":{"formattedCitation":"(Bi et al., 2019)","plainCitation":"(Bi et al., 2019)","noteIndex":0},"citationItems":[{"id":"7QoY0TNi/2oPIXU1e","uris":["http://zotero.org/users/16274399/items/TSLZCB6R"],"itemData":{"id":190,"type":"article-journal","abstract":"Judgement, as one of the core tenets of medicine, relies upon the integration of multilayered data with nuanced decision making. Cancer offers a unique context for medical decisions given not only its variegated forms with evolution of disease but also the need to take into account the individual condition of patients, their ability to receive treatment, and their responses to treatment. Challenges remain in the accurate detection, characterization, and monitoring of cancers despite improved technologies. Radiographic assessment of disease most commonly relies upon visual evaluations, the interpretations of which may be augmented by advanced computational analyses. In particular, artificial intelligence (AI) promises to make great strides in the qualitative interpretation of cancer imaging by expert clinicians, including volumetric delineation of tumors over time, extrapolation of the tumor genotype and biological course from its radiographic phenotype, prediction of clinical outcome, and assessment of the impact of disease and treatment on adjacent organs. AI may automate processes in the initial interpretation of images and shift the clinical workflow of radiographic detection, management decisions on whether or not to administer an intervention, and subsequent observation to a yet to be envisioned paradigm. Here, the authors review the current state of AI as applied to medical imaging of cancer and describe advances in 4 tumor types (lung, brain, breast, and prostate) to illustrate how common clinical problems are being addressed. Although most studies evaluating AI applications in oncology to date have not been vigorously validated for reproducibility and generalizability, the results do highlight increasingly concerted efforts in pushing AI technology to clinical use and to impact future directions in cancer care.","container-title":"CA: a cancer journal for clinicians","DOI":"10.3322/caac.21552","ISSN":"1542-4863","issue":"2","journalAbbreviation":"CA Cancer J Clin","language":"eng","note":"PMID: 30720861\nPMCID: PMC6403009","page":"127-157","source":"PubMed","title":"Artificial intelligence in cancer imaging: Clinical challenges and applications","title-short":"Artificial intelligence in cancer imaging","volume":"69","author":[{"family":"Bi","given":"Wenya Linda"},{"family":"Hosny","given":"Ahmed"},{"family":"Schabath","given":"Matthew B."},{"family":"Giger","given":"Maryellen L."},{"family":"Birkbak","given":"Nicolai J."},{"family":"Mehrtash","given":"Alireza"},{"family":"Allison","given":"Tavis"},{"family":"Arnaout","given":"Omar"},{"family":"Abbosh","given":"Christopher"},{"family":"Dunn","given":"Ian F."},{"family":"Mak","given":"Raymond H."},{"family":"Tamimi","given":"Rulla M."},{"family":"Tempany","given":"Clare M."},{"family":"Swanton","given":"Charles"},{"family":"Hoffmann","given":"Udo"},{"family":"Schwartz","given":"Lawrence H."},{"family":"Gillies","given":"Robert J."},{"family":"Huang","given":"Raymond Y."},{"family":"Aerts","given":"Hugo J. W. L."}],"issued":{"date-parts":[["2019",3]]}}}],"schema":"https://github.com/citation-style-language/schema/raw/master/csl-citation.json"}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(Bi et al., 2019)</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Artificial intelligence (AI) has the potential to significantly improve the qualitative interpretatio</w:t>
      </w:r>
      <w:r>
        <w:rPr>
          <w:rFonts w:ascii="Times New Roman" w:eastAsia="Times New Roman" w:hAnsi="Times New Roman" w:cs="Times New Roman"/>
          <w:kern w:val="0"/>
          <w:sz w:val="24"/>
          <w:szCs w:val="24"/>
          <w:lang w:eastAsia="en-IN"/>
          <w14:ligatures w14:val="none"/>
        </w:rPr>
        <w:t xml:space="preserve">n of cancer imaging by skilled clinicians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{"citationID":"Iiv3mmwz","properties":{"formattedCitation":"(Koh et al., 2022)","plainCitation":"(Koh et al., 2022)","noteIndex":0},"citationItems":[{"id":"7QoY0TNi/b2bGcn49","uris":["http://zotero.org/users/16274399/items/F6YAE34P"],"itemData":{"id":193,"type":"article-journal","abstract":"An increasing array of tools is being developed using artificial intelligence (AI) and machine learning (ML) for cancer imaging. The development of an optimal tool requires multidisciplinary engagement to ensure that the appropriate use case is met, as well as to undertake robust development and testing prior to its adoption into healthcare systems. This multidisciplinary review highlights key developments in the field. We discuss the challenges and opportunities of AI and ML in cancer imaging; considerations for the development of algorithms into tools that can be widely used and disseminated; and the development of the ecosystem needed to promote growth of AI and ML in cancer imaging.","container-title":"Communications Medicine","DOI":"10.1038/s43856-022-00199-0","ISSN":"2730-664X","issue":"1","journalAbbreviation":"Commun Med","language":"en","license":"2022 The Author(s)","note":"publisher: Nature Publishing Group","page":"1-14","source":"www.nature.com","title":"Artificial intelligence and machine learning in cancer imaging","volume":"2","author":[{"family":"Koh","given":"Dow-Mu"},{"family":"Papanikolaou","given":"Nickolas"},{"family":"Bick","given":"Ulrich"},{"family":"Illing","given":"Rowland"},{"family":"Kahn","given":"Charles E."},{"family":"Kalpathi-Cramer","given":"Jayshree"},{"family":"Matos","given":"Celso"},{"family":"Martí-Bonmatí","given":"Luis"},{"family":"Miles","given":"Anne"},{"family":"Mun","given":"Seong Ki"},{"family":"Napel","given":"Sandy"},{"family":"Rockall","given":"Andrea"},{"family":"Sala","given":"Evis"},{"family":"Strickland","given":"Nicola"},{"family":"Prior","given":"Fred"}],"issued":{"date-parts":[["2022",10,27]]}}}],"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(Koh et al., 2022)</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This includes the ability to volumetrically delineate tumors over time, extrapolate the </w:t>
      </w:r>
      <w:proofErr w:type="spellStart"/>
      <w:r>
        <w:rPr>
          <w:rFonts w:ascii="Times New Roman" w:eastAsia="Times New Roman" w:hAnsi="Times New Roman" w:cs="Times New Roman"/>
          <w:kern w:val="0"/>
          <w:sz w:val="24"/>
          <w:szCs w:val="24"/>
          <w:lang w:eastAsia="en-IN"/>
          <w14:ligatures w14:val="none"/>
        </w:rPr>
        <w:t>tumor's</w:t>
      </w:r>
      <w:proofErr w:type="spellEnd"/>
      <w:r>
        <w:rPr>
          <w:rFonts w:ascii="Times New Roman" w:eastAsia="Times New Roman" w:hAnsi="Times New Roman" w:cs="Times New Roman"/>
          <w:kern w:val="0"/>
          <w:sz w:val="24"/>
          <w:szCs w:val="24"/>
          <w:lang w:eastAsia="en-IN"/>
          <w14:ligatures w14:val="none"/>
        </w:rPr>
        <w:t xml:space="preserve"> biological course and genotype from its radiogr</w:t>
      </w:r>
      <w:r>
        <w:rPr>
          <w:rFonts w:ascii="Times New Roman" w:eastAsia="Times New Roman" w:hAnsi="Times New Roman" w:cs="Times New Roman"/>
          <w:kern w:val="0"/>
          <w:sz w:val="24"/>
          <w:szCs w:val="24"/>
          <w:lang w:eastAsia="en-IN"/>
          <w14:ligatures w14:val="none"/>
        </w:rPr>
        <w:t>aphic phenotype, predict clinical outcomes, and evaluate the effects of disease and treatment on nearby organs. AI has the potential to automate the first steps in image interpretation and change the clinical workflow of radiography detection, management c</w:t>
      </w:r>
      <w:r>
        <w:rPr>
          <w:rFonts w:ascii="Times New Roman" w:eastAsia="Times New Roman" w:hAnsi="Times New Roman" w:cs="Times New Roman"/>
          <w:kern w:val="0"/>
          <w:sz w:val="24"/>
          <w:szCs w:val="24"/>
          <w:lang w:eastAsia="en-IN"/>
          <w14:ligatures w14:val="none"/>
        </w:rPr>
        <w:t xml:space="preserve">hoices about the administration of an intervention, and follow-up observation to a pattern that has not yet been imagined </w:t>
      </w:r>
      <w:r>
        <w:rPr>
          <w:rFonts w:ascii="Times New Roman" w:eastAsia="Times New Roman" w:hAnsi="Times New Roman" w:cs="Times New Roman"/>
          <w:kern w:val="0"/>
          <w:sz w:val="24"/>
          <w:szCs w:val="24"/>
          <w:lang w:eastAsia="en-IN"/>
          <w14:ligatures w14:val="none"/>
        </w:rPr>
        <w:fldChar w:fldCharType="begin"/>
      </w:r>
      <w:r w:rsidR="00A45358">
        <w:rPr>
          <w:rFonts w:ascii="Times New Roman" w:eastAsia="Times New Roman" w:hAnsi="Times New Roman" w:cs="Times New Roman"/>
          <w:kern w:val="0"/>
          <w:sz w:val="24"/>
          <w:szCs w:val="24"/>
          <w:lang w:eastAsia="en-IN"/>
          <w14:ligatures w14:val="none"/>
        </w:rPr>
        <w:instrText xml:space="preserve"> ADDIN ZOTERO_ITEM CSL_CITATION {"citationID":"3hPiJexi","properties":{"formattedCitation":"(Bi et al., 2019)","plainCitation":"(Bi et al., 2019)","noteIndex":0},"citationItems":[{"id":"7QoY0TNi/2oPIXU1e","uris":["http://zotero.org/users/16274399/items/TSLZCB6R"],"itemData":{"id":190,"type":"article-journal","abstract":"Judgement, as one of the core tenets of medicine, relies upon the integration of multilayered data with nuanced decision making. Cancer offers a unique context for medical decisions given not only its variegated forms with evolution of disease but also the need to take into account the individual condition of patients, their ability to receive treatment, and their responses to treatment. Challenges remain in the accurate detection, characterization, and monitoring of cancers despite improved technologies. Radiographic assessment of disease most commonly relies upon visual evaluations, the interpretations of which may be augmented by advanced computational analyses. In particular, artificial intelligence (AI) promises to make great strides in the qualitative interpretation of cancer imaging by expert clinicians, including volumetric delineation of tumors over time, extrapolation of the tumor genotype and biological course from its radiographic phenotype, prediction of clinical outcome, and assessment of the impact of disease and treatment on adjacent organs. AI may automate processes in the initial interpretation of images and shift the clinical workflow of radiographic detection, management decisions on whether or not to administer an intervention, and subsequent observation to a yet to be envisioned paradigm. Here, the authors review the current state of AI as applied to medical imaging of cancer and describe advances in 4 tumor types (lung, brain, breast, and prostate) to illustrate how common clinical problems are being addressed. Although most studies evaluating AI applications in oncology to date have not been vigorously validated for reproducibility and generalizability, the results do highlight increasingly concerted efforts in pushing AI technology to clinical use and to impact future directions in cancer care.","container-title":"CA: a cancer journal for clinicians","DOI":"10.3322/caac.21552","ISSN":"1542-4863","issue":"2","journalAbbreviation":"CA Cancer J Clin","language":"eng","note":"PMID: 30720861\nPMCID: PMC6403009","page":"127-157","source":"PubMed","title":"Artificial intelligence in cancer imaging: Clinical challenges and applications","title-short":"Artificial intelligence in cancer imaging","volume":"69","author":[{"family":"Bi","given":"Wenya Linda"},{"family":"Hosny","given":"Ahmed"},{"family":"Schabath","given":"Matthew B."},{"family":"Giger","given":"Maryellen L."},{"family":"Birkbak","given":"Nicolai J."},{"family":"Mehrtash","given":"Alireza"},{"family":"Allison","given":"Tavis"},{"family":"Arnaout","given":"Omar"},{"family":"Abbosh","given":"Christopher"},{"family":"Dunn","given":"Ian F."},{"family":"Mak","given":"Raymond H."},{"family":"Tamimi","given":"Rulla M."},{"family":"Tempany","given":"Clare M."},{"family":"Swanton","given":"Charles"},{"family":"Hoffmann","given":"Udo"},{"family":"Schwartz","given":"Lawrence H."},{"family":"Gillies","given":"Robert J."},{"family":"Huang","given":"Raymond Y."},{"family":"Aerts","given":"Hugo J. W. L."}],"issued":{"date-parts":[["2019",3]]}}}],"schema":"https://github.com/citation-style-language/schema/raw/master/csl-citation.json"} </w:instrText>
      </w:r>
      <w:r>
        <w:rPr>
          <w:rFonts w:ascii="Times New Roman" w:eastAsia="Times New Roman" w:hAnsi="Times New Roman" w:cs="Times New Roman"/>
          <w:kern w:val="0"/>
          <w:sz w:val="24"/>
          <w:szCs w:val="24"/>
          <w:lang w:eastAsia="en-IN"/>
          <w14:ligatures w14:val="none"/>
        </w:rPr>
        <w:fldChar w:fldCharType="separate"/>
      </w:r>
      <w:r w:rsidR="00A45358" w:rsidRPr="00A45358">
        <w:rPr>
          <w:rFonts w:ascii="Times New Roman" w:hAnsi="Times New Roman" w:cs="Times New Roman"/>
          <w:sz w:val="24"/>
        </w:rPr>
        <w:t>(Bi et al., 2019)</w:t>
      </w:r>
      <w:r>
        <w:rPr>
          <w:rFonts w:ascii="Times New Roman" w:eastAsia="Times New Roman" w:hAnsi="Times New Roman" w:cs="Times New Roman"/>
          <w:kern w:val="0"/>
          <w:sz w:val="24"/>
          <w:szCs w:val="24"/>
          <w:lang w:eastAsia="en-IN"/>
          <w14:ligatures w14:val="none"/>
        </w:rPr>
        <w:fldChar w:fldCharType="end"/>
      </w:r>
      <w:r>
        <w:rPr>
          <w:rFonts w:ascii="Times New Roman" w:eastAsia="Times New Roman" w:hAnsi="Times New Roman" w:cs="Times New Roman"/>
          <w:kern w:val="0"/>
          <w:sz w:val="24"/>
          <w:szCs w:val="24"/>
          <w:lang w:eastAsia="en-IN"/>
          <w14:ligatures w14:val="none"/>
        </w:rPr>
        <w:t xml:space="preserve">. </w:t>
      </w:r>
    </w:p>
    <w:p w14:paraId="002B7F06" w14:textId="77777777" w:rsidR="0035583F" w:rsidRDefault="0035583F">
      <w:pPr>
        <w:pStyle w:val="ListParagraph"/>
        <w:spacing w:line="360" w:lineRule="auto"/>
        <w:ind w:left="0"/>
        <w:jc w:val="both"/>
        <w:rPr>
          <w:rFonts w:ascii="Times New Roman" w:eastAsia="Times New Roman" w:hAnsi="Times New Roman" w:cs="Times New Roman"/>
          <w:kern w:val="0"/>
          <w:sz w:val="12"/>
          <w:szCs w:val="12"/>
          <w:lang w:eastAsia="en-IN"/>
          <w14:ligatures w14:val="none"/>
        </w:rPr>
      </w:pPr>
    </w:p>
    <w:p w14:paraId="165F16AC" w14:textId="3C07F502" w:rsidR="008B76E5" w:rsidRPr="008B76E5" w:rsidRDefault="00FB0430" w:rsidP="009B07E8">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0F487A4C" w14:textId="4C05707F" w:rsidR="00AC3AD9" w:rsidRDefault="00FB0430" w:rsidP="009472B2">
      <w:pPr>
        <w:pStyle w:val="ListParagraph"/>
        <w:spacing w:line="360" w:lineRule="auto"/>
        <w:ind w:left="0"/>
        <w:jc w:val="both"/>
        <w:rPr>
          <w:rFonts w:ascii="Times New Roman" w:hAnsi="Times New Roman" w:cs="Times New Roman"/>
          <w:sz w:val="24"/>
          <w:szCs w:val="24"/>
        </w:rPr>
      </w:pPr>
      <w:r w:rsidRPr="00DF0DE0">
        <w:rPr>
          <w:rFonts w:ascii="Times New Roman" w:eastAsia="Times New Roman" w:hAnsi="Times New Roman" w:cs="Times New Roman"/>
          <w:kern w:val="0"/>
          <w:sz w:val="24"/>
          <w:szCs w:val="24"/>
          <w:lang w:eastAsia="en-IN"/>
          <w14:ligatures w14:val="none"/>
        </w:rPr>
        <w:t>Even though cancer might be fatal or have a bad prognosis</w:t>
      </w:r>
      <w:r w:rsidRPr="00DF0DE0">
        <w:rPr>
          <w:rFonts w:ascii="Times New Roman" w:hAnsi="Times New Roman" w:cs="Times New Roman"/>
          <w:sz w:val="24"/>
          <w:szCs w:val="24"/>
        </w:rPr>
        <w:t>, a proper precise, and early diagnosis proves to</w:t>
      </w:r>
      <w:r w:rsidR="001D1594" w:rsidRPr="00DF0DE0">
        <w:rPr>
          <w:rFonts w:ascii="Times New Roman" w:hAnsi="Times New Roman" w:cs="Times New Roman"/>
          <w:sz w:val="24"/>
          <w:szCs w:val="24"/>
        </w:rPr>
        <w:t xml:space="preserve"> </w:t>
      </w:r>
      <w:r w:rsidR="009472B2">
        <w:rPr>
          <w:rFonts w:ascii="Times New Roman" w:hAnsi="Times New Roman" w:cs="Times New Roman"/>
          <w:sz w:val="24"/>
          <w:szCs w:val="24"/>
        </w:rPr>
        <w:t>help ensure</w:t>
      </w:r>
      <w:r w:rsidRPr="00DF0DE0">
        <w:rPr>
          <w:rFonts w:ascii="Times New Roman" w:hAnsi="Times New Roman" w:cs="Times New Roman"/>
          <w:sz w:val="24"/>
          <w:szCs w:val="24"/>
        </w:rPr>
        <w:t xml:space="preserve"> a high probability prognosis. The first-line modalities that are used after suspecting any lesion are Ultrasonography, CT, and MRI. However, because CT and MRI give a three-dimensional image, they are more accurate in diagnosing conditions than ultrasound</w:t>
      </w:r>
      <w:r w:rsidRPr="00DF0DE0">
        <w:rPr>
          <w:rFonts w:ascii="Times New Roman" w:hAnsi="Times New Roman" w:cs="Times New Roman"/>
          <w:sz w:val="24"/>
          <w:szCs w:val="24"/>
        </w:rPr>
        <w:t>. CT and MRI show very clear contrast enhancement within the lesion</w:t>
      </w:r>
      <w:r w:rsidR="00C419F6" w:rsidRPr="00DF0DE0">
        <w:rPr>
          <w:rFonts w:ascii="Times New Roman" w:hAnsi="Times New Roman" w:cs="Times New Roman"/>
          <w:sz w:val="24"/>
          <w:szCs w:val="24"/>
        </w:rPr>
        <w:t>,</w:t>
      </w:r>
      <w:r w:rsidRPr="00DF0DE0">
        <w:rPr>
          <w:rFonts w:ascii="Times New Roman" w:hAnsi="Times New Roman" w:cs="Times New Roman"/>
          <w:sz w:val="24"/>
          <w:szCs w:val="24"/>
        </w:rPr>
        <w:t xml:space="preserve"> which helps to determine the type and staging of the tumor by using the TNM method. Staging and type of tumor is an important aspect in cancer treatment, PET-CT enables much more comprehe</w:t>
      </w:r>
      <w:r w:rsidRPr="00DF0DE0">
        <w:rPr>
          <w:rFonts w:ascii="Times New Roman" w:hAnsi="Times New Roman" w:cs="Times New Roman"/>
          <w:sz w:val="24"/>
          <w:szCs w:val="24"/>
        </w:rPr>
        <w:t>nsive cancer staging. However, contrast can occasionally result in allergic reactions and may even be the cause of nephrogenic systemic fibrosis (NFS). Therefore, before administering contrast, the renal function test (RFT) must be normal to prevent NFS</w:t>
      </w:r>
      <w:r w:rsidR="00DF0DE0">
        <w:rPr>
          <w:rFonts w:ascii="Times New Roman" w:hAnsi="Times New Roman" w:cs="Times New Roman"/>
          <w:sz w:val="24"/>
          <w:szCs w:val="24"/>
        </w:rPr>
        <w:t>.</w:t>
      </w:r>
      <w:r w:rsidR="00DF0DE0">
        <w:rPr>
          <w:rFonts w:ascii="Times New Roman" w:eastAsia="Times New Roman" w:hAnsi="Times New Roman" w:cs="Times New Roman"/>
          <w:kern w:val="0"/>
          <w:sz w:val="24"/>
          <w:szCs w:val="24"/>
          <w:lang w:eastAsia="en-IN"/>
          <w14:ligatures w14:val="none"/>
        </w:rPr>
        <w:t xml:space="preserve"> In case</w:t>
      </w:r>
      <w:r w:rsidR="00DF0DE0" w:rsidRPr="00DF0DE0">
        <w:rPr>
          <w:rFonts w:ascii="Times New Roman" w:hAnsi="Times New Roman" w:cs="Times New Roman"/>
          <w:sz w:val="24"/>
          <w:szCs w:val="24"/>
        </w:rPr>
        <w:t xml:space="preserve"> </w:t>
      </w:r>
      <w:r w:rsidR="00DF0DE0">
        <w:rPr>
          <w:rFonts w:ascii="Times New Roman" w:hAnsi="Times New Roman" w:cs="Times New Roman"/>
          <w:sz w:val="24"/>
          <w:szCs w:val="24"/>
        </w:rPr>
        <w:t>RFT</w:t>
      </w:r>
      <w:r w:rsidR="00DF0DE0" w:rsidRPr="00DF0DE0">
        <w:rPr>
          <w:rFonts w:ascii="Times New Roman" w:hAnsi="Times New Roman" w:cs="Times New Roman"/>
          <w:sz w:val="24"/>
          <w:szCs w:val="24"/>
        </w:rPr>
        <w:t xml:space="preserve"> is </w:t>
      </w:r>
      <w:r w:rsidR="00DF0DE0">
        <w:rPr>
          <w:rFonts w:ascii="Times New Roman" w:hAnsi="Times New Roman" w:cs="Times New Roman"/>
          <w:sz w:val="24"/>
          <w:szCs w:val="24"/>
        </w:rPr>
        <w:t xml:space="preserve">not </w:t>
      </w:r>
      <w:r w:rsidR="00DF0DE0" w:rsidRPr="00DF0DE0">
        <w:rPr>
          <w:rFonts w:ascii="Times New Roman" w:hAnsi="Times New Roman" w:cs="Times New Roman"/>
          <w:sz w:val="24"/>
          <w:szCs w:val="24"/>
        </w:rPr>
        <w:t>normal, DWI is utilized to partially replace the need for contrast-enhanced imaging for extracting information about the tumor</w:t>
      </w:r>
      <w:r w:rsidR="00C419F6" w:rsidRPr="00DF0DE0">
        <w:rPr>
          <w:rFonts w:ascii="Times New Roman" w:hAnsi="Times New Roman" w:cs="Times New Roman"/>
          <w:sz w:val="24"/>
          <w:szCs w:val="24"/>
        </w:rPr>
        <w:t>.</w:t>
      </w:r>
      <w:r w:rsidRPr="00DF0DE0">
        <w:rPr>
          <w:rFonts w:ascii="Times New Roman" w:hAnsi="Times New Roman" w:cs="Times New Roman"/>
          <w:sz w:val="24"/>
          <w:szCs w:val="24"/>
        </w:rPr>
        <w:t xml:space="preserve"> CT scans use iodine-based contrast (</w:t>
      </w:r>
      <w:proofErr w:type="spellStart"/>
      <w:r w:rsidRPr="00DF0DE0">
        <w:rPr>
          <w:rFonts w:ascii="Times New Roman" w:hAnsi="Times New Roman" w:cs="Times New Roman"/>
          <w:sz w:val="24"/>
          <w:szCs w:val="24"/>
        </w:rPr>
        <w:t>Iohexol</w:t>
      </w:r>
      <w:proofErr w:type="spellEnd"/>
      <w:r w:rsidRPr="00DF0DE0">
        <w:rPr>
          <w:rFonts w:ascii="Times New Roman" w:hAnsi="Times New Roman" w:cs="Times New Roman"/>
          <w:sz w:val="24"/>
          <w:szCs w:val="24"/>
        </w:rPr>
        <w:t>), whereas MRI uses gadolinium-based contrast for the enhancement o</w:t>
      </w:r>
      <w:r w:rsidRPr="00DF0DE0">
        <w:rPr>
          <w:rFonts w:ascii="Times New Roman" w:hAnsi="Times New Roman" w:cs="Times New Roman"/>
          <w:sz w:val="24"/>
          <w:szCs w:val="24"/>
        </w:rPr>
        <w:t>f tissues and tumors. By enabling early diagnosis, routine screening, treatment evaluations, judging the effectiveness of therapy, and preventing cancer recurrence, these imaging technologies are crucial to precision medicine. Advances in technology like P</w:t>
      </w:r>
      <w:r w:rsidRPr="00DF0DE0">
        <w:rPr>
          <w:rFonts w:ascii="Times New Roman" w:hAnsi="Times New Roman" w:cs="Times New Roman"/>
          <w:sz w:val="24"/>
          <w:szCs w:val="24"/>
        </w:rPr>
        <w:t>ET-CT, PET-MRI, and MRS have drastically improved precision medicine.</w:t>
      </w:r>
    </w:p>
    <w:p w14:paraId="254C1472" w14:textId="77777777" w:rsidR="00A45358" w:rsidRDefault="00A45358" w:rsidP="00A45358">
      <w:pPr>
        <w:spacing w:line="360" w:lineRule="auto"/>
        <w:jc w:val="both"/>
        <w:rPr>
          <w:rFonts w:ascii="Times New Roman" w:hAnsi="Times New Roman" w:cs="Times New Roman"/>
          <w:sz w:val="24"/>
          <w:szCs w:val="24"/>
        </w:rPr>
      </w:pPr>
      <w:r w:rsidRPr="00825984">
        <w:rPr>
          <w:rFonts w:ascii="Times New Roman" w:hAnsi="Times New Roman" w:cs="Times New Roman"/>
          <w:b/>
          <w:bCs/>
          <w:sz w:val="24"/>
          <w:szCs w:val="24"/>
        </w:rPr>
        <w:t>Disclaimer (artificial intelligence)</w:t>
      </w:r>
      <w:r w:rsidRPr="00825984">
        <w:rPr>
          <w:rFonts w:ascii="Times New Roman" w:hAnsi="Times New Roman" w:cs="Times New Roman"/>
          <w:sz w:val="24"/>
          <w:szCs w:val="24"/>
        </w:rPr>
        <w:t xml:space="preserve"> </w:t>
      </w:r>
    </w:p>
    <w:p w14:paraId="44E7A22F" w14:textId="6CB505D3" w:rsidR="00A45358" w:rsidRPr="00A45358" w:rsidRDefault="00A45358" w:rsidP="00A45358">
      <w:pPr>
        <w:spacing w:line="360" w:lineRule="auto"/>
        <w:jc w:val="both"/>
        <w:rPr>
          <w:rFonts w:ascii="Times New Roman" w:hAnsi="Times New Roman" w:cs="Times New Roman"/>
          <w:sz w:val="24"/>
          <w:szCs w:val="24"/>
        </w:rPr>
      </w:pPr>
      <w:r w:rsidRPr="00825984">
        <w:rPr>
          <w:rFonts w:ascii="Times New Roman" w:hAnsi="Times New Roman" w:cs="Times New Roman"/>
          <w:sz w:val="24"/>
          <w:szCs w:val="24"/>
        </w:rPr>
        <w:lastRenderedPageBreak/>
        <w:t>Author</w:t>
      </w:r>
      <w:r>
        <w:rPr>
          <w:rFonts w:ascii="Times New Roman" w:hAnsi="Times New Roman" w:cs="Times New Roman"/>
          <w:sz w:val="24"/>
          <w:szCs w:val="24"/>
        </w:rPr>
        <w:t>s</w:t>
      </w:r>
      <w:r w:rsidRPr="00825984">
        <w:rPr>
          <w:rFonts w:ascii="Times New Roman" w:hAnsi="Times New Roman" w:cs="Times New Roman"/>
          <w:sz w:val="24"/>
          <w:szCs w:val="24"/>
        </w:rPr>
        <w:t xml:space="preserve"> hereby declare that NO generative AI technologies such as Large Language</w:t>
      </w:r>
      <w:r>
        <w:rPr>
          <w:rFonts w:ascii="Times New Roman" w:hAnsi="Times New Roman" w:cs="Times New Roman"/>
          <w:sz w:val="24"/>
          <w:szCs w:val="24"/>
        </w:rPr>
        <w:t xml:space="preserve"> </w:t>
      </w:r>
      <w:r w:rsidRPr="00825984">
        <w:rPr>
          <w:rFonts w:ascii="Times New Roman" w:hAnsi="Times New Roman" w:cs="Times New Roman"/>
          <w:sz w:val="24"/>
          <w:szCs w:val="24"/>
        </w:rPr>
        <w:t>Models (ChatGPT, COPILOT, etc) and text-to-image generators have</w:t>
      </w:r>
      <w:r>
        <w:rPr>
          <w:rFonts w:ascii="Times New Roman" w:hAnsi="Times New Roman" w:cs="Times New Roman"/>
          <w:sz w:val="24"/>
          <w:szCs w:val="24"/>
        </w:rPr>
        <w:t xml:space="preserve"> </w:t>
      </w:r>
      <w:r w:rsidRPr="00825984">
        <w:rPr>
          <w:rFonts w:ascii="Times New Roman" w:hAnsi="Times New Roman" w:cs="Times New Roman"/>
          <w:sz w:val="24"/>
          <w:szCs w:val="24"/>
        </w:rPr>
        <w:t>been used</w:t>
      </w:r>
      <w:r>
        <w:rPr>
          <w:rFonts w:ascii="Times New Roman" w:hAnsi="Times New Roman" w:cs="Times New Roman"/>
          <w:sz w:val="24"/>
          <w:szCs w:val="24"/>
        </w:rPr>
        <w:t xml:space="preserve"> </w:t>
      </w:r>
      <w:r w:rsidRPr="00825984">
        <w:rPr>
          <w:rFonts w:ascii="Times New Roman" w:hAnsi="Times New Roman" w:cs="Times New Roman"/>
          <w:sz w:val="24"/>
          <w:szCs w:val="24"/>
        </w:rPr>
        <w:t xml:space="preserve">during </w:t>
      </w:r>
      <w:r>
        <w:rPr>
          <w:rFonts w:ascii="Times New Roman" w:hAnsi="Times New Roman" w:cs="Times New Roman"/>
          <w:sz w:val="24"/>
          <w:szCs w:val="24"/>
        </w:rPr>
        <w:t xml:space="preserve">the </w:t>
      </w:r>
      <w:r w:rsidRPr="00825984">
        <w:rPr>
          <w:rFonts w:ascii="Times New Roman" w:hAnsi="Times New Roman" w:cs="Times New Roman"/>
          <w:sz w:val="24"/>
          <w:szCs w:val="24"/>
        </w:rPr>
        <w:t>writing or</w:t>
      </w:r>
      <w:r>
        <w:rPr>
          <w:rFonts w:ascii="Times New Roman" w:hAnsi="Times New Roman" w:cs="Times New Roman"/>
          <w:sz w:val="24"/>
          <w:szCs w:val="24"/>
        </w:rPr>
        <w:t xml:space="preserve"> </w:t>
      </w:r>
      <w:r w:rsidRPr="00825984">
        <w:rPr>
          <w:rFonts w:ascii="Times New Roman" w:hAnsi="Times New Roman" w:cs="Times New Roman"/>
          <w:sz w:val="24"/>
          <w:szCs w:val="24"/>
        </w:rPr>
        <w:t>editing of manuscripts.</w:t>
      </w:r>
    </w:p>
    <w:p w14:paraId="0545BA1F" w14:textId="77777777" w:rsidR="00A45358" w:rsidRPr="005A3077" w:rsidRDefault="00A45358" w:rsidP="00A45358">
      <w:pPr>
        <w:spacing w:line="360" w:lineRule="auto"/>
        <w:jc w:val="both"/>
        <w:rPr>
          <w:rFonts w:ascii="Times New Roman" w:hAnsi="Times New Roman" w:cs="Times New Roman"/>
          <w:sz w:val="24"/>
          <w:szCs w:val="24"/>
        </w:rPr>
      </w:pPr>
      <w:r w:rsidRPr="005A3077">
        <w:rPr>
          <w:rFonts w:ascii="Times New Roman" w:hAnsi="Times New Roman" w:cs="Times New Roman"/>
          <w:b/>
          <w:bCs/>
          <w:sz w:val="24"/>
          <w:szCs w:val="24"/>
        </w:rPr>
        <w:t>Consent and ethical approval</w:t>
      </w:r>
    </w:p>
    <w:p w14:paraId="6885BB99" w14:textId="28B6179F" w:rsidR="00A45358" w:rsidRPr="00A45358" w:rsidRDefault="00A45358" w:rsidP="00A453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 required </w:t>
      </w:r>
    </w:p>
    <w:p w14:paraId="54BE4F74" w14:textId="77777777" w:rsidR="000317F1" w:rsidRDefault="000317F1">
      <w:pPr>
        <w:pStyle w:val="Bibliography1"/>
        <w:spacing w:line="360" w:lineRule="auto"/>
        <w:jc w:val="both"/>
        <w:rPr>
          <w:rFonts w:ascii="Times New Roman" w:hAnsi="Times New Roman" w:cs="Times New Roman"/>
          <w:b/>
          <w:bCs/>
          <w:sz w:val="24"/>
          <w:szCs w:val="24"/>
        </w:rPr>
      </w:pPr>
    </w:p>
    <w:p w14:paraId="14A8E320" w14:textId="484D3385" w:rsidR="0035583F" w:rsidRDefault="00FB0430">
      <w:pPr>
        <w:pStyle w:val="Bibliography1"/>
        <w:spacing w:line="360" w:lineRule="auto"/>
        <w:jc w:val="both"/>
        <w:rPr>
          <w:rFonts w:ascii="Times New Roman" w:hAnsi="Times New Roman" w:cs="Times New Roman"/>
          <w:b/>
          <w:bCs/>
          <w:sz w:val="24"/>
          <w:szCs w:val="24"/>
        </w:rPr>
      </w:pPr>
      <w:bookmarkStart w:id="1" w:name="_GoBack"/>
      <w:bookmarkEnd w:id="1"/>
      <w:r>
        <w:rPr>
          <w:rFonts w:ascii="Times New Roman" w:hAnsi="Times New Roman" w:cs="Times New Roman"/>
          <w:b/>
          <w:bCs/>
          <w:sz w:val="24"/>
          <w:szCs w:val="24"/>
        </w:rPr>
        <w:t>R</w:t>
      </w:r>
      <w:r>
        <w:rPr>
          <w:rFonts w:ascii="Times New Roman" w:hAnsi="Times New Roman" w:cs="Times New Roman"/>
          <w:b/>
          <w:bCs/>
          <w:sz w:val="24"/>
          <w:szCs w:val="24"/>
        </w:rPr>
        <w:t>eferences</w:t>
      </w:r>
    </w:p>
    <w:p w14:paraId="519CD614" w14:textId="77777777" w:rsidR="00A52A8E" w:rsidRDefault="00FB0430" w:rsidP="00A52A8E">
      <w:pPr>
        <w:pStyle w:val="Bibliography"/>
      </w:pPr>
      <w:r w:rsidRPr="008B76E5">
        <w:rPr>
          <w:rFonts w:cs="Times New Roman"/>
          <w:sz w:val="24"/>
        </w:rPr>
        <w:fldChar w:fldCharType="begin"/>
      </w:r>
      <w:r w:rsidR="00A45358">
        <w:rPr>
          <w:rFonts w:cs="Times New Roman"/>
          <w:sz w:val="24"/>
        </w:rPr>
        <w:instrText xml:space="preserve"> ADDIN ZOTERO_BIBL {"uncited":[],"omitted":[],"custom":[]} CSL_BIBLIOGRAPHY </w:instrText>
      </w:r>
      <w:r w:rsidRPr="008B76E5">
        <w:rPr>
          <w:rFonts w:cs="Times New Roman"/>
          <w:sz w:val="24"/>
        </w:rPr>
        <w:fldChar w:fldCharType="separate"/>
      </w:r>
      <w:r w:rsidR="00A52A8E">
        <w:t xml:space="preserve">Aibinu, A., Salami, M., Shafie, A. A., &amp; Najeeb, A. (2008). MRI Reconstruction Using Discrete Fourier Transform: A tutorial. </w:t>
      </w:r>
      <w:r w:rsidR="00A52A8E">
        <w:rPr>
          <w:i/>
          <w:iCs/>
        </w:rPr>
        <w:t>World Academy of Science Engineering and Technology</w:t>
      </w:r>
      <w:r w:rsidR="00A52A8E">
        <w:t xml:space="preserve">, </w:t>
      </w:r>
      <w:r w:rsidR="00A52A8E">
        <w:rPr>
          <w:i/>
          <w:iCs/>
        </w:rPr>
        <w:t>42</w:t>
      </w:r>
      <w:r w:rsidR="00A52A8E">
        <w:t>.</w:t>
      </w:r>
    </w:p>
    <w:p w14:paraId="08CDA785" w14:textId="77777777" w:rsidR="00A52A8E" w:rsidRDefault="00A52A8E" w:rsidP="00A52A8E">
      <w:pPr>
        <w:pStyle w:val="Bibliography"/>
      </w:pPr>
      <w:r>
        <w:t xml:space="preserve">Akram, Z., Faraz, M., Nigar, A., Parveen, R., Khan, N., Anwer, M. R., Farooqui, A., &amp; Zameer, S. (2025). Clinical Significance of CT and MR Perfusion Imaging in Cancer Diagnosis: Techniques, Parameters, and Diagnostic Implications. </w:t>
      </w:r>
      <w:r>
        <w:rPr>
          <w:i/>
          <w:iCs/>
        </w:rPr>
        <w:t>Journal of Cancer and Tumor International</w:t>
      </w:r>
      <w:r>
        <w:t xml:space="preserve">, </w:t>
      </w:r>
      <w:r>
        <w:rPr>
          <w:i/>
          <w:iCs/>
        </w:rPr>
        <w:t>15</w:t>
      </w:r>
      <w:r>
        <w:t>(3), 43–60. https://doi.org/10.9734/jcti/2025/v15i3301</w:t>
      </w:r>
    </w:p>
    <w:p w14:paraId="54A03C28" w14:textId="77777777" w:rsidR="00A52A8E" w:rsidRDefault="00A52A8E" w:rsidP="00A52A8E">
      <w:pPr>
        <w:pStyle w:val="Bibliography"/>
      </w:pPr>
      <w:r>
        <w:t xml:space="preserve">Alemu, B. S., Feisso, S., Mohammed, E. A., &amp; Salau, A. O. (2023). Magnetic resonance imaging-based brain tumor image classification performance enhancement. </w:t>
      </w:r>
      <w:r>
        <w:rPr>
          <w:i/>
          <w:iCs/>
        </w:rPr>
        <w:t>Scientific African</w:t>
      </w:r>
      <w:r>
        <w:t xml:space="preserve">, </w:t>
      </w:r>
      <w:r>
        <w:rPr>
          <w:i/>
          <w:iCs/>
        </w:rPr>
        <w:t>22</w:t>
      </w:r>
      <w:r>
        <w:t>, e01963. https://doi.org/10.1016/j.sciaf.2023.e01963</w:t>
      </w:r>
    </w:p>
    <w:p w14:paraId="2230B621" w14:textId="77777777" w:rsidR="00A52A8E" w:rsidRDefault="00A52A8E" w:rsidP="00A52A8E">
      <w:pPr>
        <w:pStyle w:val="Bibliography"/>
      </w:pPr>
      <w:r>
        <w:t xml:space="preserve">AL-Jahdali, H., Khan, A. N., Loutfi, S., &amp; Al-Harbi, A. S. (2012). Guidelines for the role of FDG-PET/CT in lung cancer management. </w:t>
      </w:r>
      <w:r>
        <w:rPr>
          <w:i/>
          <w:iCs/>
        </w:rPr>
        <w:t>Journal of Infection and Public Health</w:t>
      </w:r>
      <w:r>
        <w:t xml:space="preserve">, </w:t>
      </w:r>
      <w:r>
        <w:rPr>
          <w:i/>
          <w:iCs/>
        </w:rPr>
        <w:t>5</w:t>
      </w:r>
      <w:r>
        <w:t>, S35–S40. https://doi.org/10.1016/j.jiph.2012.09.003</w:t>
      </w:r>
    </w:p>
    <w:p w14:paraId="41C7E389" w14:textId="77777777" w:rsidR="00A52A8E" w:rsidRDefault="00A52A8E" w:rsidP="00A52A8E">
      <w:pPr>
        <w:pStyle w:val="Bibliography"/>
      </w:pPr>
      <w:r>
        <w:t xml:space="preserve">Alorainy, A. I., Hamd, Z. Y., Tamam, N., Alotaibi, S. Z., Alshehri, R. A., Alotaibi, R. A., Alsuhaim, N. S., Albadrani, S. M., Alsakait, R. M., Alhenaki, M. A., Abdelaty, S. M., Hanfi, M. Y., &amp; Khandaker, M. U. (2024). The impact of personal care products on the image quality of Magnetic Resonance Imaging. </w:t>
      </w:r>
      <w:r>
        <w:rPr>
          <w:i/>
          <w:iCs/>
        </w:rPr>
        <w:t>Journal of Radiation Research and Applied Sciences</w:t>
      </w:r>
      <w:r>
        <w:t xml:space="preserve">, </w:t>
      </w:r>
      <w:r>
        <w:rPr>
          <w:i/>
          <w:iCs/>
        </w:rPr>
        <w:t>17</w:t>
      </w:r>
      <w:r>
        <w:t>(1), 100784. https://doi.org/10.1016/j.jrras.2023.100784</w:t>
      </w:r>
    </w:p>
    <w:p w14:paraId="2C70C68D" w14:textId="77777777" w:rsidR="00A52A8E" w:rsidRDefault="00A52A8E" w:rsidP="00A52A8E">
      <w:pPr>
        <w:pStyle w:val="Bibliography"/>
      </w:pPr>
      <w:r>
        <w:t xml:space="preserve">Aziz, M. U., Eisenbrey, J. R., Deganello, A., Zahid, M., Sharbidre, K., Sidhu, P., &amp; Robbin, M. L. (2022). Microvascular Flow Imaging: A State-of-the-Art Review of Clinical Use and Promise. </w:t>
      </w:r>
      <w:r>
        <w:rPr>
          <w:i/>
          <w:iCs/>
        </w:rPr>
        <w:t>Radiology</w:t>
      </w:r>
      <w:r>
        <w:t xml:space="preserve">, </w:t>
      </w:r>
      <w:r>
        <w:rPr>
          <w:i/>
          <w:iCs/>
        </w:rPr>
        <w:t>305</w:t>
      </w:r>
      <w:r>
        <w:t>(2), 250–264. https://doi.org/10.1148/radiol.213303</w:t>
      </w:r>
    </w:p>
    <w:p w14:paraId="7D7DE982" w14:textId="77777777" w:rsidR="00A52A8E" w:rsidRDefault="00A52A8E" w:rsidP="00A52A8E">
      <w:pPr>
        <w:pStyle w:val="Bibliography"/>
      </w:pPr>
      <w:r>
        <w:lastRenderedPageBreak/>
        <w:t xml:space="preserve">Baliyan, V., Das, C. J., Sharma, R., &amp; Gupta, A. K. (2016). Diffusion weighted imaging: Technique and applications. </w:t>
      </w:r>
      <w:r>
        <w:rPr>
          <w:i/>
          <w:iCs/>
        </w:rPr>
        <w:t>World Journal of Radiology</w:t>
      </w:r>
      <w:r>
        <w:t xml:space="preserve">, </w:t>
      </w:r>
      <w:r>
        <w:rPr>
          <w:i/>
          <w:iCs/>
        </w:rPr>
        <w:t>8</w:t>
      </w:r>
      <w:r>
        <w:t>(9), 785–798. https://doi.org/10.4329/wjr.v8.i9.785</w:t>
      </w:r>
    </w:p>
    <w:p w14:paraId="62741BB5" w14:textId="77777777" w:rsidR="00A52A8E" w:rsidRDefault="00A52A8E" w:rsidP="00A52A8E">
      <w:pPr>
        <w:pStyle w:val="Bibliography"/>
      </w:pPr>
      <w:r>
        <w:t xml:space="preserve">Bashir, U., Mallia, A., Stirling, J., Joemon, J., MacKewn, J., Charles-Edwards, G., Goh, V., &amp; Cook, G. J. (2015). PET/MRI in Oncological Imaging: State of the Art. </w:t>
      </w:r>
      <w:r>
        <w:rPr>
          <w:i/>
          <w:iCs/>
        </w:rPr>
        <w:t>Diagnostics</w:t>
      </w:r>
      <w:r>
        <w:t xml:space="preserve">, </w:t>
      </w:r>
      <w:r>
        <w:rPr>
          <w:i/>
          <w:iCs/>
        </w:rPr>
        <w:t>5</w:t>
      </w:r>
      <w:r>
        <w:t>(3), 333–357. https://doi.org/10.3390/diagnostics5030333</w:t>
      </w:r>
    </w:p>
    <w:p w14:paraId="1B57D5C8" w14:textId="77777777" w:rsidR="00A52A8E" w:rsidRDefault="00A52A8E" w:rsidP="00A52A8E">
      <w:pPr>
        <w:pStyle w:val="Bibliography"/>
      </w:pPr>
      <w:r>
        <w:t xml:space="preserve">Bhat, A. S., Ahmed, M., Abbas, K., Mustafa, M., Alam, M., Salem, M. A. S., Islam, S., Tantry, I. Q., Singh, Y., Fatima, M., Usmani, N., Faraz, M., Afeef, M., &amp; Habib, S. (2024). Cancer Initiation and Progression: A Comprehensive Review of Carcinogenic Substances, Anti-Cancer Therapies, and Regulatory Frameworks. </w:t>
      </w:r>
      <w:r>
        <w:rPr>
          <w:i/>
          <w:iCs/>
        </w:rPr>
        <w:t>Asian Journal of Research in Biochemistry</w:t>
      </w:r>
      <w:r>
        <w:t xml:space="preserve">, </w:t>
      </w:r>
      <w:r>
        <w:rPr>
          <w:i/>
          <w:iCs/>
        </w:rPr>
        <w:t>14</w:t>
      </w:r>
      <w:r>
        <w:t>(4), 111–125. https://doi.org/10.9734/ajrb/2024/v14i4300</w:t>
      </w:r>
    </w:p>
    <w:p w14:paraId="13B12A22" w14:textId="77777777" w:rsidR="00A52A8E" w:rsidRDefault="00A52A8E" w:rsidP="00A52A8E">
      <w:pPr>
        <w:pStyle w:val="Bibliography"/>
      </w:pPr>
      <w:r>
        <w:t xml:space="preserve">Bi, W. L., Hosny, A., Schabath, M. B., Giger, M. L., Birkbak, N. J., Mehrtash, A., Allison, T., Arnaout, O., Abbosh, C., Dunn, I. F., Mak, R. H., Tamimi, R. M., Tempany, C. M., Swanton, C., Hoffmann, U., Schwartz, L. H., Gillies, R. J., Huang, R. Y., &amp; Aerts, H. J. W. L. (2019). Artificial intelligence in cancer imaging: Clinical challenges and applications. </w:t>
      </w:r>
      <w:r>
        <w:rPr>
          <w:i/>
          <w:iCs/>
        </w:rPr>
        <w:t>CA: A Cancer Journal for Clinicians</w:t>
      </w:r>
      <w:r>
        <w:t xml:space="preserve">, </w:t>
      </w:r>
      <w:r>
        <w:rPr>
          <w:i/>
          <w:iCs/>
        </w:rPr>
        <w:t>69</w:t>
      </w:r>
      <w:r>
        <w:t>(2), 127–157. https://doi.org/10.3322/caac.21552</w:t>
      </w:r>
    </w:p>
    <w:p w14:paraId="0EAA10FA" w14:textId="77777777" w:rsidR="00A52A8E" w:rsidRDefault="00A52A8E" w:rsidP="00A52A8E">
      <w:pPr>
        <w:pStyle w:val="Bibliography"/>
      </w:pPr>
      <w:r>
        <w:t xml:space="preserve">Bialecki, E. S., &amp; Di Bisceglie, A. M. (2005). Diagnosis of hepatocellular carcinoma. </w:t>
      </w:r>
      <w:r>
        <w:rPr>
          <w:i/>
          <w:iCs/>
        </w:rPr>
        <w:t>HPB</w:t>
      </w:r>
      <w:r>
        <w:t xml:space="preserve">, </w:t>
      </w:r>
      <w:r>
        <w:rPr>
          <w:i/>
          <w:iCs/>
        </w:rPr>
        <w:t>7</w:t>
      </w:r>
      <w:r>
        <w:t>(1), 26–34. https://doi.org/10.1080/13651820410024049</w:t>
      </w:r>
    </w:p>
    <w:p w14:paraId="2D5A0A42" w14:textId="77777777" w:rsidR="00A52A8E" w:rsidRDefault="00A52A8E" w:rsidP="00A52A8E">
      <w:pPr>
        <w:pStyle w:val="Bibliography"/>
      </w:pPr>
      <w:r>
        <w:t xml:space="preserve">Brower, C., &amp; Rehani, M. M. (2021). Radiation risk issues in recurrent imaging. </w:t>
      </w:r>
      <w:r>
        <w:rPr>
          <w:i/>
          <w:iCs/>
        </w:rPr>
        <w:t>The British Journal of Radiology</w:t>
      </w:r>
      <w:r>
        <w:t xml:space="preserve">, </w:t>
      </w:r>
      <w:r>
        <w:rPr>
          <w:i/>
          <w:iCs/>
        </w:rPr>
        <w:t>94</w:t>
      </w:r>
      <w:r>
        <w:t>(1126), 20210389. https://doi.org/10.1259/bjr.20210389</w:t>
      </w:r>
    </w:p>
    <w:p w14:paraId="72484BBB" w14:textId="77777777" w:rsidR="00A52A8E" w:rsidRDefault="00A52A8E" w:rsidP="00A52A8E">
      <w:pPr>
        <w:pStyle w:val="Bibliography"/>
      </w:pPr>
      <w:r>
        <w:t xml:space="preserve">Campbell, B. C. V., &amp; Khatri, P. (2020). Stroke. </w:t>
      </w:r>
      <w:r>
        <w:rPr>
          <w:i/>
          <w:iCs/>
        </w:rPr>
        <w:t>The Lancet</w:t>
      </w:r>
      <w:r>
        <w:t xml:space="preserve">, </w:t>
      </w:r>
      <w:r>
        <w:rPr>
          <w:i/>
          <w:iCs/>
        </w:rPr>
        <w:t>396</w:t>
      </w:r>
      <w:r>
        <w:t>(10244), 129–142. https://doi.org/10.1016/S0140-6736(20)31179-X</w:t>
      </w:r>
    </w:p>
    <w:p w14:paraId="5A8E4941" w14:textId="77777777" w:rsidR="00A52A8E" w:rsidRDefault="00A52A8E" w:rsidP="00A52A8E">
      <w:pPr>
        <w:pStyle w:val="Bibliography"/>
      </w:pPr>
      <w:r>
        <w:t xml:space="preserve">Chacko, N., &amp; Ankri, R. (2024). Non-invasive early-stage cancer detection: Current methods and future perspectives. </w:t>
      </w:r>
      <w:r>
        <w:rPr>
          <w:i/>
          <w:iCs/>
        </w:rPr>
        <w:t>Clinical and Experimental Medicine</w:t>
      </w:r>
      <w:r>
        <w:t xml:space="preserve">, </w:t>
      </w:r>
      <w:r>
        <w:rPr>
          <w:i/>
          <w:iCs/>
        </w:rPr>
        <w:t>25</w:t>
      </w:r>
      <w:r>
        <w:t>(1), 17. https://doi.org/10.1007/s10238-024-01513-x</w:t>
      </w:r>
    </w:p>
    <w:p w14:paraId="1F9D3A6D" w14:textId="77777777" w:rsidR="00A52A8E" w:rsidRDefault="00A52A8E" w:rsidP="00A52A8E">
      <w:pPr>
        <w:pStyle w:val="Bibliography"/>
      </w:pPr>
      <w:r>
        <w:lastRenderedPageBreak/>
        <w:t xml:space="preserve">De Witte, E., &amp; Mariën, P. (2013). The neurolinguistic approach to awake surgery reviewed. </w:t>
      </w:r>
      <w:r>
        <w:rPr>
          <w:i/>
          <w:iCs/>
        </w:rPr>
        <w:t>Clinical Neurology and Neurosurgery</w:t>
      </w:r>
      <w:r>
        <w:t xml:space="preserve">, </w:t>
      </w:r>
      <w:r>
        <w:rPr>
          <w:i/>
          <w:iCs/>
        </w:rPr>
        <w:t>115</w:t>
      </w:r>
      <w:r>
        <w:t>(2), 127–145. https://doi.org/10.1016/j.clineuro.2012.09.015</w:t>
      </w:r>
    </w:p>
    <w:p w14:paraId="6DD72C14" w14:textId="77777777" w:rsidR="00A52A8E" w:rsidRDefault="00A52A8E" w:rsidP="00A52A8E">
      <w:pPr>
        <w:pStyle w:val="Bibliography"/>
      </w:pPr>
      <w:r>
        <w:t xml:space="preserve">Forghani, R., De Man, B., &amp; Gupta, R. (2017). Dual-Energy Computed Tomography: Physical Principles, Approaches to Scanning, Usage, and Implementation: Part 1. </w:t>
      </w:r>
      <w:r>
        <w:rPr>
          <w:i/>
          <w:iCs/>
        </w:rPr>
        <w:t>Neuroimaging Clinics of North America</w:t>
      </w:r>
      <w:r>
        <w:t xml:space="preserve">, </w:t>
      </w:r>
      <w:r>
        <w:rPr>
          <w:i/>
          <w:iCs/>
        </w:rPr>
        <w:t>27</w:t>
      </w:r>
      <w:r>
        <w:t>(3), 371–384. https://doi.org/10.1016/j.nic.2017.03.002</w:t>
      </w:r>
    </w:p>
    <w:p w14:paraId="72C2FC37" w14:textId="77777777" w:rsidR="00A52A8E" w:rsidRDefault="00A52A8E" w:rsidP="00A52A8E">
      <w:pPr>
        <w:pStyle w:val="Bibliography"/>
      </w:pPr>
      <w:r>
        <w:t xml:space="preserve">Foti, G., Ascenti, G., Agostini, A., Longo, C., Lombardo, F., Inno, A., Modena, A., &amp; Gori, S. (2024). Dual-Energy CT in Oncologic Imaging. </w:t>
      </w:r>
      <w:r>
        <w:rPr>
          <w:i/>
          <w:iCs/>
        </w:rPr>
        <w:t>Tomography</w:t>
      </w:r>
      <w:r>
        <w:t xml:space="preserve">, </w:t>
      </w:r>
      <w:r>
        <w:rPr>
          <w:i/>
          <w:iCs/>
        </w:rPr>
        <w:t>10</w:t>
      </w:r>
      <w:r>
        <w:t>(3), Article 3. https://doi.org/10.3390/tomography10030024</w:t>
      </w:r>
    </w:p>
    <w:p w14:paraId="3D52BB0C" w14:textId="77777777" w:rsidR="00A52A8E" w:rsidRDefault="00A52A8E" w:rsidP="00A52A8E">
      <w:pPr>
        <w:pStyle w:val="Bibliography"/>
      </w:pPr>
      <w:r>
        <w:t xml:space="preserve">Ghadimi, M., &amp; Sapra, A. (2025). Magnetic Resonance Imaging Contraindications. In </w:t>
      </w:r>
      <w:r>
        <w:rPr>
          <w:i/>
          <w:iCs/>
        </w:rPr>
        <w:t>StatPearls</w:t>
      </w:r>
      <w:r>
        <w:t>. StatPearls Publishing. http://www.ncbi.nlm.nih.gov/books/NBK551669/</w:t>
      </w:r>
    </w:p>
    <w:p w14:paraId="29DE98F2" w14:textId="77777777" w:rsidR="00A52A8E" w:rsidRDefault="00A52A8E" w:rsidP="00A52A8E">
      <w:pPr>
        <w:pStyle w:val="Bibliography"/>
      </w:pPr>
      <w:r>
        <w:t xml:space="preserve">Ghasemi, M., Nabipour, I., Omrani, A., Alipour, Z., &amp; Assadi, M. (2016). Precision medicine and molecular imaging: New targeted approaches toward cancer therapeutic and diagnosis. </w:t>
      </w:r>
      <w:r>
        <w:rPr>
          <w:i/>
          <w:iCs/>
        </w:rPr>
        <w:t>American Journal of Nuclear Medicine and Molecular Imaging</w:t>
      </w:r>
      <w:r>
        <w:t xml:space="preserve">, </w:t>
      </w:r>
      <w:r>
        <w:rPr>
          <w:i/>
          <w:iCs/>
        </w:rPr>
        <w:t>6</w:t>
      </w:r>
      <w:r>
        <w:t>(6), 310–327.</w:t>
      </w:r>
    </w:p>
    <w:p w14:paraId="5B9E50BB" w14:textId="77777777" w:rsidR="00A52A8E" w:rsidRDefault="00A52A8E" w:rsidP="00A52A8E">
      <w:pPr>
        <w:pStyle w:val="Bibliography"/>
      </w:pPr>
      <w:r>
        <w:t xml:space="preserve">Gilbert, F. J., &amp; Pinker-Domenig, K. (2019). Diagnosis and Staging of Breast Cancer: When and How to Use Mammography, Tomosynthesis, Ultrasound, Contrast-Enhanced Mammography, and Magnetic Resonance Imaging. In J. Hodler, R. A. Kubik-Huch, &amp; G. K. von Schulthess (Eds.), </w:t>
      </w:r>
      <w:r>
        <w:rPr>
          <w:i/>
          <w:iCs/>
        </w:rPr>
        <w:t>Diseases of the Chest, Breast, Heart and Vessels 2019-2022: Diagnostic and Interventional Imaging</w:t>
      </w:r>
      <w:r>
        <w:t>. Springer. http://www.ncbi.nlm.nih.gov/books/NBK553859/</w:t>
      </w:r>
    </w:p>
    <w:p w14:paraId="638C0773" w14:textId="77777777" w:rsidR="00A52A8E" w:rsidRDefault="00A52A8E" w:rsidP="00A52A8E">
      <w:pPr>
        <w:pStyle w:val="Bibliography"/>
      </w:pPr>
      <w:r>
        <w:t xml:space="preserve">Glunde, K., Jiang, L., Moestue, S. A., &amp; Gribbestad, I. S. (2011). Magnetic Resonance Spectroscopy and Imaging Guidance in Molecular Medicine: Targeting and Monitoring of Choline and Glucose Metabolism in Cancer. </w:t>
      </w:r>
      <w:r>
        <w:rPr>
          <w:i/>
          <w:iCs/>
        </w:rPr>
        <w:t>NMR in Biomedicine</w:t>
      </w:r>
      <w:r>
        <w:t xml:space="preserve">, </w:t>
      </w:r>
      <w:r>
        <w:rPr>
          <w:i/>
          <w:iCs/>
        </w:rPr>
        <w:t>24</w:t>
      </w:r>
      <w:r>
        <w:t>(6), 673–690. https://doi.org/10.1002/nbm.1751</w:t>
      </w:r>
    </w:p>
    <w:p w14:paraId="0E06A7BD" w14:textId="77777777" w:rsidR="00A52A8E" w:rsidRDefault="00A52A8E" w:rsidP="00A52A8E">
      <w:pPr>
        <w:pStyle w:val="Bibliography"/>
      </w:pPr>
      <w:r>
        <w:t xml:space="preserve">Gruber, L., Loizides, A., Luger, A. K., Glodny, B., Moser, P., Henninger, B., &amp; Gruber, H. (2017). Soft-Tissue Tumor Contrast Enhancement Patterns: Diagnostic Value and Comparison Between </w:t>
      </w:r>
      <w:r>
        <w:lastRenderedPageBreak/>
        <w:t xml:space="preserve">Ultrasound and MRI. </w:t>
      </w:r>
      <w:r>
        <w:rPr>
          <w:i/>
          <w:iCs/>
        </w:rPr>
        <w:t>American Journal of Roentgenology</w:t>
      </w:r>
      <w:r>
        <w:t xml:space="preserve">, </w:t>
      </w:r>
      <w:r>
        <w:rPr>
          <w:i/>
          <w:iCs/>
        </w:rPr>
        <w:t>208</w:t>
      </w:r>
      <w:r>
        <w:t>(2), 393–401. https://doi.org/10.2214/AJR.16.16859</w:t>
      </w:r>
    </w:p>
    <w:p w14:paraId="305DB2C9" w14:textId="77777777" w:rsidR="00A52A8E" w:rsidRDefault="00A52A8E" w:rsidP="00A52A8E">
      <w:pPr>
        <w:pStyle w:val="Bibliography"/>
      </w:pPr>
      <w:r>
        <w:t xml:space="preserve">Guedes, F., Henriques, V. M., Torrão, F. L., Haikal, N. P., Sanches, G. E., Barbosa, D. A. N., Marsicano, F. G., Rosa, L. A. N., Siquara, A. C., &amp; Malessy, M. J. A. (2024). When biopsy goes wrong: A case series of misdiagnoses and complications from biopsies of masses of unknown origin potentially originating from a peripheral nerve. </w:t>
      </w:r>
      <w:r>
        <w:rPr>
          <w:i/>
          <w:iCs/>
        </w:rPr>
        <w:t>Journal of Neurosurgery</w:t>
      </w:r>
      <w:r>
        <w:t xml:space="preserve">, </w:t>
      </w:r>
      <w:r>
        <w:rPr>
          <w:i/>
          <w:iCs/>
        </w:rPr>
        <w:t>140</w:t>
      </w:r>
      <w:r>
        <w:t>(2), 480–488. https://doi.org/10.3171/2023.5.JNS23385</w:t>
      </w:r>
    </w:p>
    <w:p w14:paraId="15A09A8B" w14:textId="77777777" w:rsidR="00A52A8E" w:rsidRDefault="00A52A8E" w:rsidP="00A52A8E">
      <w:pPr>
        <w:pStyle w:val="Bibliography"/>
      </w:pPr>
      <w:r>
        <w:t xml:space="preserve">Hermena, S., &amp; Young, M. (2025). CT-scan Image Production Procedures. In </w:t>
      </w:r>
      <w:r>
        <w:rPr>
          <w:i/>
          <w:iCs/>
        </w:rPr>
        <w:t>StatPearls</w:t>
      </w:r>
      <w:r>
        <w:t>. StatPearls Publishing. http://www.ncbi.nlm.nih.gov/books/NBK574548/</w:t>
      </w:r>
    </w:p>
    <w:p w14:paraId="4D5591F3" w14:textId="77777777" w:rsidR="00A52A8E" w:rsidRDefault="00A52A8E" w:rsidP="00A52A8E">
      <w:pPr>
        <w:pStyle w:val="Bibliography"/>
      </w:pPr>
      <w:r>
        <w:t xml:space="preserve">Ho, D., Quake, S. R., McCabe, E. R. B., Chng, W. J., Chow, E. K., Ding, X., Gelb, B. D., Ginsburg, G. S., Hassenstab, J., Ho, C.-M., Mobley, W. C., Nolan, G. P., Rosen, S. T., Tan, P., Yen, Y., &amp; Zarrinpar, A. (2020). Enabling technologies for personalized and precision medicine. </w:t>
      </w:r>
      <w:r>
        <w:rPr>
          <w:i/>
          <w:iCs/>
        </w:rPr>
        <w:t>Trends in Biotechnology</w:t>
      </w:r>
      <w:r>
        <w:t xml:space="preserve">, </w:t>
      </w:r>
      <w:r>
        <w:rPr>
          <w:i/>
          <w:iCs/>
        </w:rPr>
        <w:t>38</w:t>
      </w:r>
      <w:r>
        <w:t>(5), 497–518. https://doi.org/10.1016/j.tibtech.2019.12.021</w:t>
      </w:r>
    </w:p>
    <w:p w14:paraId="66CCEDBE" w14:textId="77777777" w:rsidR="00A52A8E" w:rsidRDefault="00A52A8E" w:rsidP="00A52A8E">
      <w:pPr>
        <w:pStyle w:val="Bibliography"/>
      </w:pPr>
      <w:r>
        <w:t xml:space="preserve">Hore, P. J. (2017). NMR Principles. In J. C. Lindon, G. E. Tranter, &amp; D. W. Koppenaal (Eds.), </w:t>
      </w:r>
      <w:r>
        <w:rPr>
          <w:i/>
          <w:iCs/>
        </w:rPr>
        <w:t>Encyclopedia of Spectroscopy and Spectrometry (Third Edition)</w:t>
      </w:r>
      <w:r>
        <w:t xml:space="preserve"> (pp. 187–194). Academic Press. https://doi.org/10.1016/B978-0-12-803224-4.00230-2</w:t>
      </w:r>
    </w:p>
    <w:p w14:paraId="5EC98363" w14:textId="77777777" w:rsidR="00A52A8E" w:rsidRDefault="00A52A8E" w:rsidP="00A52A8E">
      <w:pPr>
        <w:pStyle w:val="Bibliography"/>
      </w:pPr>
      <w:r>
        <w:t xml:space="preserve">Hussain, S., Mubeen, I., Ullah, N., Shah, S. S. U. D., Khan, B. A., Zahoor, M., Ullah, R., Khan, F. A., &amp; Sultan, M. A. (2022). Modern Diagnostic Imaging Technique Applications and Risk Factors in the Medical Field: A Review. </w:t>
      </w:r>
      <w:r>
        <w:rPr>
          <w:i/>
          <w:iCs/>
        </w:rPr>
        <w:t>BioMed Research International</w:t>
      </w:r>
      <w:r>
        <w:t xml:space="preserve">, </w:t>
      </w:r>
      <w:r>
        <w:rPr>
          <w:i/>
          <w:iCs/>
        </w:rPr>
        <w:t>2022</w:t>
      </w:r>
      <w:r>
        <w:t>(1), 5164970. https://doi.org/10.1155/2022/5164970</w:t>
      </w:r>
    </w:p>
    <w:p w14:paraId="73C26659" w14:textId="77777777" w:rsidR="00A52A8E" w:rsidRDefault="00A52A8E" w:rsidP="00A52A8E">
      <w:pPr>
        <w:pStyle w:val="Bibliography"/>
      </w:pPr>
      <w:r>
        <w:t xml:space="preserve">Johnson, K. B., Wei, W.-Q., Weeraratne, D., Frisse, M. E., Misulis, K., Rhee, K., Zhao, J., &amp; Snowdon, J. L. (2021). Precision Medicine, AI, and the Future of Personalized Health Care. </w:t>
      </w:r>
      <w:r>
        <w:rPr>
          <w:i/>
          <w:iCs/>
        </w:rPr>
        <w:t>Clinical and Translational Science</w:t>
      </w:r>
      <w:r>
        <w:t xml:space="preserve">, </w:t>
      </w:r>
      <w:r>
        <w:rPr>
          <w:i/>
          <w:iCs/>
        </w:rPr>
        <w:t>14</w:t>
      </w:r>
      <w:r>
        <w:t>(1), 86–93. https://doi.org/10.1111/cts.12884</w:t>
      </w:r>
    </w:p>
    <w:p w14:paraId="03DD4811" w14:textId="77777777" w:rsidR="00A52A8E" w:rsidRDefault="00A52A8E" w:rsidP="00A52A8E">
      <w:pPr>
        <w:pStyle w:val="Bibliography"/>
      </w:pPr>
      <w:r>
        <w:t xml:space="preserve">Kaunitz, J. D. (2018). Magnetic Resonance Imaging: The Nuclear Option. </w:t>
      </w:r>
      <w:r>
        <w:rPr>
          <w:i/>
          <w:iCs/>
        </w:rPr>
        <w:t>Digestive Diseases and Sciences</w:t>
      </w:r>
      <w:r>
        <w:t xml:space="preserve">, </w:t>
      </w:r>
      <w:r>
        <w:rPr>
          <w:i/>
          <w:iCs/>
        </w:rPr>
        <w:t>63</w:t>
      </w:r>
      <w:r>
        <w:t>(5), 1100–1101. https://doi.org/10.1007/s10620-018-4992-9</w:t>
      </w:r>
    </w:p>
    <w:p w14:paraId="5B225EA9" w14:textId="77777777" w:rsidR="00A52A8E" w:rsidRDefault="00A52A8E" w:rsidP="00A52A8E">
      <w:pPr>
        <w:pStyle w:val="Bibliography"/>
      </w:pPr>
      <w:r>
        <w:lastRenderedPageBreak/>
        <w:t xml:space="preserve">Kim, D.-W., Park, S.-A., &amp; Kim, C. G. (2011). Detecting the Recurrence of Gastric Cancer after Curative Resection: Comparison of FDG PET/CT and Contrast-Enhanced Abdominal CT. </w:t>
      </w:r>
      <w:r>
        <w:rPr>
          <w:i/>
          <w:iCs/>
        </w:rPr>
        <w:t>Journal of Korean Medical Science</w:t>
      </w:r>
      <w:r>
        <w:t xml:space="preserve">, </w:t>
      </w:r>
      <w:r>
        <w:rPr>
          <w:i/>
          <w:iCs/>
        </w:rPr>
        <w:t>26</w:t>
      </w:r>
      <w:r>
        <w:t>(7), 875–880. https://doi.org/10.3346/jkms.2011.26.7.875</w:t>
      </w:r>
    </w:p>
    <w:p w14:paraId="509652DC" w14:textId="77777777" w:rsidR="00A52A8E" w:rsidRDefault="00A52A8E" w:rsidP="00A52A8E">
      <w:pPr>
        <w:pStyle w:val="Bibliography"/>
      </w:pPr>
      <w:r>
        <w:t xml:space="preserve">Kim, S. H., Lee, H. S., Kang, B. J., Song, B. J., Kim, H.-B., Lee, H., Jin, M.-S., &amp; Lee, A. (2016). Dynamic Contrast-Enhanced MRI Perfusion Parameters as Imaging Biomarkers of Angiogenesis. </w:t>
      </w:r>
      <w:r>
        <w:rPr>
          <w:i/>
          <w:iCs/>
        </w:rPr>
        <w:t>PLOS ONE</w:t>
      </w:r>
      <w:r>
        <w:t xml:space="preserve">, </w:t>
      </w:r>
      <w:r>
        <w:rPr>
          <w:i/>
          <w:iCs/>
        </w:rPr>
        <w:t>11</w:t>
      </w:r>
      <w:r>
        <w:t>(12), e0168632. https://doi.org/10.1371/journal.pone.0168632</w:t>
      </w:r>
    </w:p>
    <w:p w14:paraId="31F5971E" w14:textId="77777777" w:rsidR="00A52A8E" w:rsidRDefault="00A52A8E" w:rsidP="00A52A8E">
      <w:pPr>
        <w:pStyle w:val="Bibliography"/>
      </w:pPr>
      <w:r>
        <w:t xml:space="preserve">Koh, D.-M., Papanikolaou, N., Bick, U., Illing, R., Kahn, C. E., Kalpathi-Cramer, J., Matos, C., Martí-Bonmatí, L., Miles, A., Mun, S. K., Napel, S., Rockall, A., Sala, E., Strickland, N., &amp; Prior, F. (2022). Artificial intelligence and machine learning in cancer imaging. </w:t>
      </w:r>
      <w:r>
        <w:rPr>
          <w:i/>
          <w:iCs/>
        </w:rPr>
        <w:t>Communications Medicine</w:t>
      </w:r>
      <w:r>
        <w:t xml:space="preserve">, </w:t>
      </w:r>
      <w:r>
        <w:rPr>
          <w:i/>
          <w:iCs/>
        </w:rPr>
        <w:t>2</w:t>
      </w:r>
      <w:r>
        <w:t>(1), 1–14. https://doi.org/10.1038/s43856-022-00199-0</w:t>
      </w:r>
    </w:p>
    <w:p w14:paraId="35B32188" w14:textId="77777777" w:rsidR="00A52A8E" w:rsidRDefault="00A52A8E" w:rsidP="00A52A8E">
      <w:pPr>
        <w:pStyle w:val="Bibliography"/>
      </w:pPr>
      <w:r>
        <w:t xml:space="preserve">Krupa, K., &amp; Bekiesińska-Figatowska, M. (2015). Artifacts in Magnetic Resonance Imaging. </w:t>
      </w:r>
      <w:r>
        <w:rPr>
          <w:i/>
          <w:iCs/>
        </w:rPr>
        <w:t>Polish Journal of Radiology</w:t>
      </w:r>
      <w:r>
        <w:t xml:space="preserve">, </w:t>
      </w:r>
      <w:r>
        <w:rPr>
          <w:i/>
          <w:iCs/>
        </w:rPr>
        <w:t>80</w:t>
      </w:r>
      <w:r>
        <w:t>, 93–106. https://doi.org/10.12659/PJR.892628</w:t>
      </w:r>
    </w:p>
    <w:p w14:paraId="341A2AC2" w14:textId="77777777" w:rsidR="00A52A8E" w:rsidRDefault="00A52A8E" w:rsidP="00A52A8E">
      <w:pPr>
        <w:pStyle w:val="Bibliography"/>
      </w:pPr>
      <w:r>
        <w:t xml:space="preserve">Loud, J., &amp; Murphy, J. (2017). Cancer screening and early detection in the 21st century. </w:t>
      </w:r>
      <w:r>
        <w:rPr>
          <w:i/>
          <w:iCs/>
        </w:rPr>
        <w:t>Seminars in Oncology Nursing</w:t>
      </w:r>
      <w:r>
        <w:t xml:space="preserve">, </w:t>
      </w:r>
      <w:r>
        <w:rPr>
          <w:i/>
          <w:iCs/>
        </w:rPr>
        <w:t>33</w:t>
      </w:r>
      <w:r>
        <w:t>(2), 121–128. https://doi.org/10.1016/j.soncn.2017.02.002</w:t>
      </w:r>
    </w:p>
    <w:p w14:paraId="6AE731D6" w14:textId="77777777" w:rsidR="00A52A8E" w:rsidRDefault="00A52A8E" w:rsidP="00A52A8E">
      <w:pPr>
        <w:pStyle w:val="Bibliography"/>
      </w:pPr>
      <w:r>
        <w:t xml:space="preserve">Luo, L., Luo, Q., &amp; Tang, L. (2020). Diagnostic value and clinical significance of MRI and CT in detecting lymph node metastasis of early cervical cancer. </w:t>
      </w:r>
      <w:r>
        <w:rPr>
          <w:i/>
          <w:iCs/>
        </w:rPr>
        <w:t>Oncology Letters</w:t>
      </w:r>
      <w:r>
        <w:t xml:space="preserve">, </w:t>
      </w:r>
      <w:r>
        <w:rPr>
          <w:i/>
          <w:iCs/>
        </w:rPr>
        <w:t>19</w:t>
      </w:r>
      <w:r>
        <w:t>(1), 700–706. https://doi.org/10.3892/ol.2019.11180</w:t>
      </w:r>
    </w:p>
    <w:p w14:paraId="426FC505" w14:textId="77777777" w:rsidR="00A52A8E" w:rsidRDefault="00A52A8E" w:rsidP="00A52A8E">
      <w:pPr>
        <w:pStyle w:val="Bibliography"/>
      </w:pPr>
      <w:r>
        <w:t xml:space="preserve">Messina, C., Bignone, R., Bruno, A., Bruno, A., Bruno, F., Calandri, M., Caruso, D., Coppolino, P., De Robertis, R., Gentili, F., Grazzini, I., Natella, R., Scalise, P., Barile, A., Grassi, R., &amp; Albano, D. (2020). Diffusion-Weighted Imaging in Oncology: An Update. </w:t>
      </w:r>
      <w:r>
        <w:rPr>
          <w:i/>
          <w:iCs/>
        </w:rPr>
        <w:t>Cancers</w:t>
      </w:r>
      <w:r>
        <w:t xml:space="preserve">, </w:t>
      </w:r>
      <w:r>
        <w:rPr>
          <w:i/>
          <w:iCs/>
        </w:rPr>
        <w:t>12</w:t>
      </w:r>
      <w:r>
        <w:t>(6), 1493. https://doi.org/10.3390/cancers12061493</w:t>
      </w:r>
    </w:p>
    <w:p w14:paraId="54E62868" w14:textId="77777777" w:rsidR="00A52A8E" w:rsidRDefault="00A52A8E" w:rsidP="00A52A8E">
      <w:pPr>
        <w:pStyle w:val="Bibliography"/>
      </w:pPr>
      <w:r>
        <w:t xml:space="preserve">Millet, I., Doyon, F. C., Hoa, D., Thuret, R., Merigeaud, S., Serre, I., &amp; Taourel, P. (2011). Characterization of Small Solid Renal Lesions: Can Benign and Malignant Tumors Be Differentiated With CT? </w:t>
      </w:r>
      <w:r>
        <w:rPr>
          <w:i/>
          <w:iCs/>
        </w:rPr>
        <w:t>American Journal of Roentgenology</w:t>
      </w:r>
      <w:r>
        <w:t xml:space="preserve">, </w:t>
      </w:r>
      <w:r>
        <w:rPr>
          <w:i/>
          <w:iCs/>
        </w:rPr>
        <w:t>197</w:t>
      </w:r>
      <w:r>
        <w:t>(4), 887–896. https://doi.org/10.2214/AJR.10.6276</w:t>
      </w:r>
    </w:p>
    <w:p w14:paraId="1CA90496" w14:textId="77777777" w:rsidR="00A52A8E" w:rsidRDefault="00A52A8E" w:rsidP="00A52A8E">
      <w:pPr>
        <w:pStyle w:val="Bibliography"/>
      </w:pPr>
      <w:r>
        <w:lastRenderedPageBreak/>
        <w:t xml:space="preserve">Neal, R. D., Tharmanathan, P., France, B., Din, N. U., Cotton, S., Fallon-Ferguson, J., Hamilton, W., Hendry, A., Hendry, M., Lewis, R., Macleod, U., Mitchell, E. D., Pickett, M., Rai, T., Shaw, K., Stuart, N., Tørring, M. L., Wilkinson, C., Williams, B., … Emery, J. (2015). Is increased time to diagnosis and treatment in symptomatic cancer associated with poorer outcomes? Systematic review. </w:t>
      </w:r>
      <w:r>
        <w:rPr>
          <w:i/>
          <w:iCs/>
        </w:rPr>
        <w:t>British Journal of Cancer</w:t>
      </w:r>
      <w:r>
        <w:t xml:space="preserve">, </w:t>
      </w:r>
      <w:r>
        <w:rPr>
          <w:i/>
          <w:iCs/>
        </w:rPr>
        <w:t>112</w:t>
      </w:r>
      <w:r>
        <w:t>(1), S92–S107. https://doi.org/10.1038/bjc.2015.48</w:t>
      </w:r>
    </w:p>
    <w:p w14:paraId="1B21AA10" w14:textId="77777777" w:rsidR="00A52A8E" w:rsidRDefault="00A52A8E" w:rsidP="00A52A8E">
      <w:pPr>
        <w:pStyle w:val="Bibliography"/>
      </w:pPr>
      <w:r>
        <w:t xml:space="preserve">Neugut, A. I., Sackstein, P., Hillyer, G. C., Jacobson, J. S., Bruce, J., Lassman, A. B., &amp; Stieg, P. A. (2019). Magnetic Resonance Imaging‐Based Screening for Asymptomatic Brain Tumors: A Review. </w:t>
      </w:r>
      <w:r>
        <w:rPr>
          <w:i/>
          <w:iCs/>
        </w:rPr>
        <w:t>The Oncologist</w:t>
      </w:r>
      <w:r>
        <w:t xml:space="preserve">, </w:t>
      </w:r>
      <w:r>
        <w:rPr>
          <w:i/>
          <w:iCs/>
        </w:rPr>
        <w:t>24</w:t>
      </w:r>
      <w:r>
        <w:t>(3), 375–384. https://doi.org/10.1634/theoncologist.2018-0177</w:t>
      </w:r>
    </w:p>
    <w:p w14:paraId="7585EACC" w14:textId="77777777" w:rsidR="00A52A8E" w:rsidRDefault="00A52A8E" w:rsidP="00A52A8E">
      <w:pPr>
        <w:pStyle w:val="Bibliography"/>
      </w:pPr>
      <w:r>
        <w:t xml:space="preserve">Pai, A., Shetty, R., Hodis, B., &amp; Chowdhury, Y. S. (2025). Magnetic Resonance Imaging Physics. In </w:t>
      </w:r>
      <w:r>
        <w:rPr>
          <w:i/>
          <w:iCs/>
        </w:rPr>
        <w:t>StatPearls</w:t>
      </w:r>
      <w:r>
        <w:t>. StatPearls Publishing. http://www.ncbi.nlm.nih.gov/books/NBK564320/</w:t>
      </w:r>
    </w:p>
    <w:p w14:paraId="2D8D7CC9" w14:textId="77777777" w:rsidR="00A52A8E" w:rsidRDefault="00A52A8E" w:rsidP="00A52A8E">
      <w:pPr>
        <w:pStyle w:val="Bibliography"/>
      </w:pPr>
      <w:r>
        <w:t xml:space="preserve">Patel, P. R., &amp; De Jesus, O. (2025a). CT Scan. In </w:t>
      </w:r>
      <w:r>
        <w:rPr>
          <w:i/>
          <w:iCs/>
        </w:rPr>
        <w:t>StatPearls</w:t>
      </w:r>
      <w:r>
        <w:t>. StatPearls Publishing. http://www.ncbi.nlm.nih.gov/books/NBK567796/</w:t>
      </w:r>
    </w:p>
    <w:p w14:paraId="27F8FB6B" w14:textId="77777777" w:rsidR="00A52A8E" w:rsidRDefault="00A52A8E" w:rsidP="00A52A8E">
      <w:pPr>
        <w:pStyle w:val="Bibliography"/>
      </w:pPr>
      <w:r>
        <w:t xml:space="preserve">Patel, P. R., &amp; De Jesus, O. (2025b). CT Scan. In </w:t>
      </w:r>
      <w:r>
        <w:rPr>
          <w:i/>
          <w:iCs/>
        </w:rPr>
        <w:t>StatPearls</w:t>
      </w:r>
      <w:r>
        <w:t>. StatPearls Publishing. http://www.ncbi.nlm.nih.gov/books/NBK567796/</w:t>
      </w:r>
    </w:p>
    <w:p w14:paraId="15D20DE4" w14:textId="77777777" w:rsidR="00A52A8E" w:rsidRDefault="00A52A8E" w:rsidP="00A52A8E">
      <w:pPr>
        <w:pStyle w:val="Bibliography"/>
      </w:pPr>
      <w:r>
        <w:t xml:space="preserve">Prasad, T. V., Thulkar, S., Hari, S., Sharma, D. N., &amp; Kumar, S. (2014). Role of computed tomography (CT) scan in staging of cervical carcinoma. </w:t>
      </w:r>
      <w:r>
        <w:rPr>
          <w:i/>
          <w:iCs/>
        </w:rPr>
        <w:t>The Indian Journal of Medical Research</w:t>
      </w:r>
      <w:r>
        <w:t xml:space="preserve">, </w:t>
      </w:r>
      <w:r>
        <w:rPr>
          <w:i/>
          <w:iCs/>
        </w:rPr>
        <w:t>139</w:t>
      </w:r>
      <w:r>
        <w:t>(5), 714–719.</w:t>
      </w:r>
    </w:p>
    <w:p w14:paraId="366BAB63" w14:textId="77777777" w:rsidR="00A52A8E" w:rsidRDefault="00A52A8E" w:rsidP="00A52A8E">
      <w:pPr>
        <w:pStyle w:val="Bibliography"/>
      </w:pPr>
      <w:r>
        <w:t xml:space="preserve">Pulumati, A., Pulumati, A., Dwarakanath, B. S., Verma, A., &amp; Papineni, R. V. L. (2023). Technological advancements in cancer diagnostics: Improvements and limitations. </w:t>
      </w:r>
      <w:r>
        <w:rPr>
          <w:i/>
          <w:iCs/>
        </w:rPr>
        <w:t>Cancer Reports</w:t>
      </w:r>
      <w:r>
        <w:t xml:space="preserve">, </w:t>
      </w:r>
      <w:r>
        <w:rPr>
          <w:i/>
          <w:iCs/>
        </w:rPr>
        <w:t>6</w:t>
      </w:r>
      <w:r>
        <w:t>(2), e1764. https://doi.org/10.1002/cnr2.1764</w:t>
      </w:r>
    </w:p>
    <w:p w14:paraId="5B9ABA59" w14:textId="77777777" w:rsidR="00A52A8E" w:rsidRDefault="00A52A8E" w:rsidP="00A52A8E">
      <w:pPr>
        <w:pStyle w:val="Bibliography"/>
      </w:pPr>
      <w:r>
        <w:t xml:space="preserve">Raj, G., Singh, B., Raj, R., &amp; Singh, R. (--). Lymph Nodal Metastatic Pattern in Carcinoma Gallbladder with Multidetector Computed Tomography: An Institutional Experience. </w:t>
      </w:r>
      <w:r>
        <w:rPr>
          <w:i/>
          <w:iCs/>
        </w:rPr>
        <w:t>Asian Journal of Oncology</w:t>
      </w:r>
      <w:r>
        <w:t xml:space="preserve">, </w:t>
      </w:r>
      <w:r>
        <w:rPr>
          <w:i/>
          <w:iCs/>
        </w:rPr>
        <w:t>07</w:t>
      </w:r>
      <w:r>
        <w:t>(01), 22–27. https://doi.org/10.1055/s-0040-1714306</w:t>
      </w:r>
    </w:p>
    <w:p w14:paraId="59EBC9D0" w14:textId="77777777" w:rsidR="00A52A8E" w:rsidRDefault="00A52A8E" w:rsidP="00A52A8E">
      <w:pPr>
        <w:pStyle w:val="Bibliography"/>
      </w:pPr>
      <w:r>
        <w:lastRenderedPageBreak/>
        <w:t xml:space="preserve">Re, G. L., Cucinella, G., Zaccaria, G., Crapanzano, A., Salerno, S., Pinto, A., Casto, A. L., &amp; Chiantera, V. (2023). Role of MRI in the Assessment of Cervical Cancer. </w:t>
      </w:r>
      <w:r>
        <w:rPr>
          <w:i/>
          <w:iCs/>
        </w:rPr>
        <w:t>Seminars in Ultrasound, CT and MRI</w:t>
      </w:r>
      <w:r>
        <w:t xml:space="preserve">, </w:t>
      </w:r>
      <w:r>
        <w:rPr>
          <w:i/>
          <w:iCs/>
        </w:rPr>
        <w:t>44</w:t>
      </w:r>
      <w:r>
        <w:t>(3), 228–237. https://doi.org/10.1053/j.sult.2023.03.010</w:t>
      </w:r>
    </w:p>
    <w:p w14:paraId="45AA1677" w14:textId="77777777" w:rsidR="00A52A8E" w:rsidRDefault="00A52A8E" w:rsidP="00A52A8E">
      <w:pPr>
        <w:pStyle w:val="Bibliography"/>
      </w:pPr>
      <w:r>
        <w:t xml:space="preserve">Rindy, L. J., &amp; Chambers, A. R. (2025). Bone Marrow Aspiration and Biopsy. In </w:t>
      </w:r>
      <w:r>
        <w:rPr>
          <w:i/>
          <w:iCs/>
        </w:rPr>
        <w:t>StatPearls</w:t>
      </w:r>
      <w:r>
        <w:t>. StatPearls Publishing. http://www.ncbi.nlm.nih.gov/books/NBK559232/</w:t>
      </w:r>
    </w:p>
    <w:p w14:paraId="292CAE45" w14:textId="77777777" w:rsidR="00A52A8E" w:rsidRDefault="00A52A8E" w:rsidP="00A52A8E">
      <w:pPr>
        <w:pStyle w:val="Bibliography"/>
      </w:pPr>
      <w:r>
        <w:t xml:space="preserve">Sathishkumar, K., Chaturvedi, M., Das, P., Stephen, S., &amp; Mathur, P. (2022). Cancer incidence estimates for 2022 &amp; projection for 2025: Result from National Cancer Registry Programme, India. </w:t>
      </w:r>
      <w:r>
        <w:rPr>
          <w:i/>
          <w:iCs/>
        </w:rPr>
        <w:t>The Indian Journal of Medical Research</w:t>
      </w:r>
      <w:r>
        <w:t xml:space="preserve">, </w:t>
      </w:r>
      <w:r>
        <w:rPr>
          <w:i/>
          <w:iCs/>
        </w:rPr>
        <w:t>156</w:t>
      </w:r>
      <w:r>
        <w:t>(4–5), 598–607. https://doi.org/10.4103/ijmr.ijmr_1821_22</w:t>
      </w:r>
    </w:p>
    <w:p w14:paraId="32265B25" w14:textId="77777777" w:rsidR="00A52A8E" w:rsidRDefault="00A52A8E" w:rsidP="00A52A8E">
      <w:pPr>
        <w:pStyle w:val="Bibliography"/>
      </w:pPr>
      <w:r>
        <w:t xml:space="preserve">Shaji, A., Keechilat, P., DK, V., &amp; Sauvaget, C. (2023). Analysis of the Mortality Trends of 23 Major Cancers in the Indian Population Between 2000 and 2019: A Joinpoint Regression Analysis. </w:t>
      </w:r>
      <w:r>
        <w:rPr>
          <w:i/>
          <w:iCs/>
        </w:rPr>
        <w:t>JCO Global Oncology</w:t>
      </w:r>
      <w:r>
        <w:t xml:space="preserve">, </w:t>
      </w:r>
      <w:r>
        <w:rPr>
          <w:i/>
          <w:iCs/>
        </w:rPr>
        <w:t>9</w:t>
      </w:r>
      <w:r>
        <w:t>, e2200405. https://doi.org/10.1200/GO.22.00405</w:t>
      </w:r>
    </w:p>
    <w:p w14:paraId="04835843" w14:textId="77777777" w:rsidR="00A52A8E" w:rsidRDefault="00A52A8E" w:rsidP="00A52A8E">
      <w:pPr>
        <w:pStyle w:val="Bibliography"/>
      </w:pPr>
      <w:r>
        <w:t xml:space="preserve">Shampo, M. A., Kyle, R. A., &amp; Steensma, D. P. (2012). Richard Ernst—Nobel Prize for Nuclear Magnetic Resonance Spectroscopy. </w:t>
      </w:r>
      <w:r>
        <w:rPr>
          <w:i/>
          <w:iCs/>
        </w:rPr>
        <w:t>Mayo Clinic Proceedings</w:t>
      </w:r>
      <w:r>
        <w:t xml:space="preserve">, </w:t>
      </w:r>
      <w:r>
        <w:rPr>
          <w:i/>
          <w:iCs/>
        </w:rPr>
        <w:t>87</w:t>
      </w:r>
      <w:r>
        <w:t>(12), e109. https://doi.org/10.1016/j.mayocp.2012.01.023</w:t>
      </w:r>
    </w:p>
    <w:p w14:paraId="3DDDB032" w14:textId="77777777" w:rsidR="00A52A8E" w:rsidRDefault="00A52A8E" w:rsidP="00A52A8E">
      <w:pPr>
        <w:pStyle w:val="Bibliography"/>
      </w:pPr>
      <w:r>
        <w:t xml:space="preserve">Thakur, R. S., Chatterjee, S., Yadav, R. N., &amp; Gupta, L. (2023). Chapter 5—Medical image denoising using convolutional neural networks. In S. S. Rajput, N. U. Khan, A. K. Singh, &amp; K. V. Arya (Eds.), </w:t>
      </w:r>
      <w:r>
        <w:rPr>
          <w:i/>
          <w:iCs/>
        </w:rPr>
        <w:t>Digital Image Enhancement and Reconstruction</w:t>
      </w:r>
      <w:r>
        <w:t xml:space="preserve"> (pp. 115–138). Academic Press. https://doi.org/10.1016/B978-0-32-398370-9.00012-3</w:t>
      </w:r>
    </w:p>
    <w:p w14:paraId="7CBD4E4B" w14:textId="77777777" w:rsidR="00A52A8E" w:rsidRDefault="00A52A8E" w:rsidP="00A52A8E">
      <w:pPr>
        <w:pStyle w:val="Bibliography"/>
      </w:pPr>
      <w:r>
        <w:t xml:space="preserve">Tognarelli, J. M., Dawood, M., Shariff, M. I. F., Grover, V. P. B., Crossey, M. M. E., Cox, I. J., Taylor-Robinson, S. D., &amp; McPhail, M. J. W. (2015). Magnetic Resonance Spectroscopy: Principles and Techniques: Lessons for Clinicians. </w:t>
      </w:r>
      <w:r>
        <w:rPr>
          <w:i/>
          <w:iCs/>
        </w:rPr>
        <w:t>Journal of Clinical and Experimental Hepatology</w:t>
      </w:r>
      <w:r>
        <w:t xml:space="preserve">, </w:t>
      </w:r>
      <w:r>
        <w:rPr>
          <w:i/>
          <w:iCs/>
        </w:rPr>
        <w:t>5</w:t>
      </w:r>
      <w:r>
        <w:t>(4), 320–328. https://doi.org/10.1016/j.jceh.2015.10.006</w:t>
      </w:r>
    </w:p>
    <w:p w14:paraId="0571952D" w14:textId="77777777" w:rsidR="00A52A8E" w:rsidRDefault="00A52A8E" w:rsidP="00A52A8E">
      <w:pPr>
        <w:pStyle w:val="Bibliography"/>
      </w:pPr>
      <w:r>
        <w:t xml:space="preserve">Verma, A., Kumar, I., Verma, N., Aggarwal, P., &amp; Ojha, R. (2016). Magnetic resonance spectroscopy—Revisiting the biochemical and molecular milieu of brain tumors. </w:t>
      </w:r>
      <w:r>
        <w:rPr>
          <w:i/>
          <w:iCs/>
        </w:rPr>
        <w:t>BBA Clinical</w:t>
      </w:r>
      <w:r>
        <w:t xml:space="preserve">, </w:t>
      </w:r>
      <w:r>
        <w:rPr>
          <w:i/>
          <w:iCs/>
        </w:rPr>
        <w:t>5</w:t>
      </w:r>
      <w:r>
        <w:t>, 170–178. https://doi.org/10.1016/j.bbacli.2016.04.002</w:t>
      </w:r>
    </w:p>
    <w:p w14:paraId="7174919F" w14:textId="77777777" w:rsidR="00A52A8E" w:rsidRDefault="00A52A8E" w:rsidP="00A52A8E">
      <w:pPr>
        <w:pStyle w:val="Bibliography"/>
      </w:pPr>
      <w:r>
        <w:lastRenderedPageBreak/>
        <w:t xml:space="preserve">Wang, R. C., &amp; Wang, Z. (2023). Precision Medicine: Disease Subtyping and Tailored Treatment. </w:t>
      </w:r>
      <w:r>
        <w:rPr>
          <w:i/>
          <w:iCs/>
        </w:rPr>
        <w:t>Cancers</w:t>
      </w:r>
      <w:r>
        <w:t xml:space="preserve">, </w:t>
      </w:r>
      <w:r>
        <w:rPr>
          <w:i/>
          <w:iCs/>
        </w:rPr>
        <w:t>15</w:t>
      </w:r>
      <w:r>
        <w:t>(15), 3837. https://doi.org/10.3390/cancers15153837</w:t>
      </w:r>
    </w:p>
    <w:p w14:paraId="20037C65" w14:textId="77777777" w:rsidR="00A52A8E" w:rsidRDefault="00A52A8E" w:rsidP="00A52A8E">
      <w:pPr>
        <w:pStyle w:val="Bibliography"/>
      </w:pPr>
      <w:r>
        <w:t xml:space="preserve">Wasa, J., Nishida, Y., Tsukushi, S., Shido, Y., Sugiura, H., Nakashima, H., &amp; Ishiguro, N. (2010). MRI Features in the Differentiation of Malignant Peripheral Nerve Sheath Tumors and Neurofibromas. </w:t>
      </w:r>
      <w:r>
        <w:rPr>
          <w:i/>
          <w:iCs/>
        </w:rPr>
        <w:t>American Journal of Roentgenology</w:t>
      </w:r>
      <w:r>
        <w:t xml:space="preserve">, </w:t>
      </w:r>
      <w:r>
        <w:rPr>
          <w:i/>
          <w:iCs/>
        </w:rPr>
        <w:t>194</w:t>
      </w:r>
      <w:r>
        <w:t>(6), 1568–1574. https://doi.org/10.2214/AJR.09.2724</w:t>
      </w:r>
    </w:p>
    <w:p w14:paraId="40C7FD71" w14:textId="77777777" w:rsidR="00A52A8E" w:rsidRDefault="00A52A8E" w:rsidP="00A52A8E">
      <w:pPr>
        <w:pStyle w:val="Bibliography"/>
      </w:pPr>
      <w:r>
        <w:t xml:space="preserve">Yadav, P., Azram, M., Faraz, M., Nadeem, Abbas, K., Mustafa, M., Alam, M., &amp; Khan, S. (2025). In Silico Screening of Rauwolfia Serpentina Phytochemicals as Orexin Receptor-2 Agonists for the Management of Narcolepsy. </w:t>
      </w:r>
      <w:r>
        <w:rPr>
          <w:i/>
          <w:iCs/>
        </w:rPr>
        <w:t>International Journal of Biochemistry Research &amp; Review</w:t>
      </w:r>
      <w:r>
        <w:t xml:space="preserve">, </w:t>
      </w:r>
      <w:r>
        <w:rPr>
          <w:i/>
          <w:iCs/>
        </w:rPr>
        <w:t>34</w:t>
      </w:r>
      <w:r>
        <w:t>(1), 76–102. https://doi.org/10.9734/ijbcrr/2025/v34i1951</w:t>
      </w:r>
    </w:p>
    <w:p w14:paraId="5352AE38" w14:textId="77777777" w:rsidR="00A52A8E" w:rsidRDefault="00A52A8E" w:rsidP="00A52A8E">
      <w:pPr>
        <w:pStyle w:val="Bibliography"/>
      </w:pPr>
      <w:r>
        <w:t xml:space="preserve">Yu, L., Leng, S., &amp; McCollough, C. H. (2012). Dual-Energy CT–Based Monochromatic Imaging. </w:t>
      </w:r>
      <w:r>
        <w:rPr>
          <w:i/>
          <w:iCs/>
        </w:rPr>
        <w:t>American Journal of Roentgenology</w:t>
      </w:r>
      <w:r>
        <w:t xml:space="preserve">, </w:t>
      </w:r>
      <w:r>
        <w:rPr>
          <w:i/>
          <w:iCs/>
        </w:rPr>
        <w:t>199</w:t>
      </w:r>
      <w:r>
        <w:t>(5_supplement), S9–S15. https://doi.org/10.2214/AJR.12.9121</w:t>
      </w:r>
    </w:p>
    <w:p w14:paraId="25F26FD7" w14:textId="77777777" w:rsidR="00A52A8E" w:rsidRDefault="00A52A8E" w:rsidP="00A52A8E">
      <w:pPr>
        <w:pStyle w:val="Bibliography"/>
      </w:pPr>
      <w:r>
        <w:t xml:space="preserve">Zameer, S., Akram, Z., Daniyal, A., Fatima, U., Faraz, M., Anwar, Z., Khatoon, S., Habib, S., &amp; Mustafa, M. (2025). Apoptosis Mechanisms: Role of Anti-apoptotic Proteins, Cancer Hallmarks and Tumor Microenvironment in Cancer Cell Survival. </w:t>
      </w:r>
      <w:r>
        <w:rPr>
          <w:i/>
          <w:iCs/>
        </w:rPr>
        <w:t>Biotechnology Journal International</w:t>
      </w:r>
      <w:r>
        <w:t xml:space="preserve">, </w:t>
      </w:r>
      <w:r>
        <w:rPr>
          <w:i/>
          <w:iCs/>
        </w:rPr>
        <w:t>29</w:t>
      </w:r>
      <w:r>
        <w:t>(2), 27–36. https://doi.org/10.9734/bji/2025/v29i2769</w:t>
      </w:r>
    </w:p>
    <w:p w14:paraId="60B9483F" w14:textId="77777777" w:rsidR="00A52A8E" w:rsidRDefault="00A52A8E" w:rsidP="00A52A8E">
      <w:pPr>
        <w:pStyle w:val="Bibliography"/>
      </w:pPr>
      <w:r>
        <w:t xml:space="preserve">Zhang, C., Liang, Z., Liu, W., Zeng, X., &amp; Mo, Y. (2023). Comparison of whole-body 18F-FDG PET/CT and PET/MRI for distant metastases in patients with malignant tumors: A meta-analysis. </w:t>
      </w:r>
      <w:r>
        <w:rPr>
          <w:i/>
          <w:iCs/>
        </w:rPr>
        <w:t>BMC Cancer</w:t>
      </w:r>
      <w:r>
        <w:t xml:space="preserve">, </w:t>
      </w:r>
      <w:r>
        <w:rPr>
          <w:i/>
          <w:iCs/>
        </w:rPr>
        <w:t>23</w:t>
      </w:r>
      <w:r>
        <w:t>(1), 37. https://doi.org/10.1186/s12885-022-10493-8</w:t>
      </w:r>
    </w:p>
    <w:p w14:paraId="3F157B1E" w14:textId="77777777" w:rsidR="00A52A8E" w:rsidRDefault="00A52A8E" w:rsidP="00A52A8E">
      <w:pPr>
        <w:pStyle w:val="Bibliography"/>
      </w:pPr>
      <w:r>
        <w:t xml:space="preserve">Zulfiqar, M., Shetty, A., Tsai, R., Gagnon, M.-H., Balfe, D. M., &amp; Mellnick, V. M. (2020). Diagnostic Approach to Benign and Malignant Calcifications in the                    Abdomen and Pelvis. </w:t>
      </w:r>
      <w:r>
        <w:rPr>
          <w:i/>
          <w:iCs/>
        </w:rPr>
        <w:t>RadioGraphics</w:t>
      </w:r>
      <w:r>
        <w:t xml:space="preserve">, </w:t>
      </w:r>
      <w:r>
        <w:rPr>
          <w:i/>
          <w:iCs/>
        </w:rPr>
        <w:t>40</w:t>
      </w:r>
      <w:r>
        <w:t>(3), 731–753. https://doi.org/10.1148/rg.2020190152</w:t>
      </w:r>
    </w:p>
    <w:p w14:paraId="4E0CFBF6" w14:textId="416C23CE" w:rsidR="0035583F" w:rsidRPr="008B76E5" w:rsidRDefault="00FB0430">
      <w:pPr>
        <w:pStyle w:val="ListParagraph"/>
        <w:spacing w:line="360" w:lineRule="auto"/>
        <w:ind w:left="0"/>
        <w:jc w:val="both"/>
        <w:rPr>
          <w:rFonts w:ascii="Times New Roman" w:hAnsi="Times New Roman" w:cs="Times New Roman"/>
          <w:sz w:val="24"/>
          <w:szCs w:val="24"/>
        </w:rPr>
      </w:pPr>
      <w:r w:rsidRPr="008B76E5">
        <w:rPr>
          <w:rFonts w:ascii="Times New Roman" w:hAnsi="Times New Roman" w:cs="Times New Roman"/>
          <w:sz w:val="24"/>
          <w:szCs w:val="24"/>
        </w:rPr>
        <w:fldChar w:fldCharType="end"/>
      </w:r>
    </w:p>
    <w:p w14:paraId="632ADAE4" w14:textId="77777777" w:rsidR="0035583F" w:rsidRPr="008B76E5" w:rsidRDefault="0035583F">
      <w:pPr>
        <w:spacing w:line="360" w:lineRule="auto"/>
        <w:ind w:firstLine="142"/>
        <w:jc w:val="both"/>
        <w:rPr>
          <w:rFonts w:ascii="Times New Roman" w:hAnsi="Times New Roman" w:cs="Times New Roman"/>
          <w:sz w:val="24"/>
          <w:szCs w:val="24"/>
        </w:rPr>
      </w:pPr>
    </w:p>
    <w:p w14:paraId="7E1C4473" w14:textId="77777777" w:rsidR="0035583F" w:rsidRPr="008B76E5" w:rsidRDefault="0035583F">
      <w:pPr>
        <w:pStyle w:val="ListParagraph"/>
        <w:spacing w:line="360" w:lineRule="auto"/>
        <w:ind w:left="-284"/>
        <w:jc w:val="both"/>
        <w:rPr>
          <w:rFonts w:ascii="Times New Roman" w:hAnsi="Times New Roman" w:cs="Times New Roman"/>
          <w:sz w:val="24"/>
          <w:szCs w:val="24"/>
        </w:rPr>
      </w:pPr>
    </w:p>
    <w:sectPr w:rsidR="0035583F" w:rsidRPr="008B76E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81CDF" w14:textId="77777777" w:rsidR="00FB0430" w:rsidRDefault="00FB0430">
      <w:pPr>
        <w:spacing w:line="240" w:lineRule="auto"/>
      </w:pPr>
      <w:r>
        <w:separator/>
      </w:r>
    </w:p>
  </w:endnote>
  <w:endnote w:type="continuationSeparator" w:id="0">
    <w:p w14:paraId="47B90EDD" w14:textId="77777777" w:rsidR="00FB0430" w:rsidRDefault="00FB0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53E02" w14:textId="77777777" w:rsidR="000317F1" w:rsidRDefault="00031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A8183" w14:textId="77777777" w:rsidR="000317F1" w:rsidRDefault="00031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AE99" w14:textId="77777777" w:rsidR="000317F1" w:rsidRDefault="00031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D960C" w14:textId="77777777" w:rsidR="00FB0430" w:rsidRDefault="00FB0430">
      <w:pPr>
        <w:spacing w:after="0"/>
      </w:pPr>
      <w:r>
        <w:separator/>
      </w:r>
    </w:p>
  </w:footnote>
  <w:footnote w:type="continuationSeparator" w:id="0">
    <w:p w14:paraId="2782FD45" w14:textId="77777777" w:rsidR="00FB0430" w:rsidRDefault="00FB04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0A2DE" w14:textId="7FA7872E" w:rsidR="000317F1" w:rsidRDefault="000317F1">
    <w:pPr>
      <w:pStyle w:val="Header"/>
    </w:pPr>
    <w:r>
      <w:rPr>
        <w:noProof/>
      </w:rPr>
      <w:pict w14:anchorId="365BE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21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7985" w14:textId="079DE286" w:rsidR="000317F1" w:rsidRDefault="000317F1">
    <w:pPr>
      <w:pStyle w:val="Header"/>
    </w:pPr>
    <w:r>
      <w:rPr>
        <w:noProof/>
      </w:rPr>
      <w:pict w14:anchorId="02F83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21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A68D0" w14:textId="35057F07" w:rsidR="000317F1" w:rsidRDefault="000317F1">
    <w:pPr>
      <w:pStyle w:val="Header"/>
    </w:pPr>
    <w:r>
      <w:rPr>
        <w:noProof/>
      </w:rPr>
      <w:pict w14:anchorId="5E386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21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B1B73"/>
    <w:multiLevelType w:val="hybridMultilevel"/>
    <w:tmpl w:val="67CEBB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7D5184"/>
    <w:multiLevelType w:val="hybridMultilevel"/>
    <w:tmpl w:val="196EEF4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91856DA"/>
    <w:multiLevelType w:val="hybridMultilevel"/>
    <w:tmpl w:val="411E9B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8305499"/>
    <w:multiLevelType w:val="multilevel"/>
    <w:tmpl w:val="683054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E82"/>
    <w:rsid w:val="00007499"/>
    <w:rsid w:val="0000762D"/>
    <w:rsid w:val="00012E07"/>
    <w:rsid w:val="00021810"/>
    <w:rsid w:val="00022B5D"/>
    <w:rsid w:val="0002433C"/>
    <w:rsid w:val="000317F1"/>
    <w:rsid w:val="00031ED7"/>
    <w:rsid w:val="0004069F"/>
    <w:rsid w:val="00042DA9"/>
    <w:rsid w:val="00051F30"/>
    <w:rsid w:val="0006339C"/>
    <w:rsid w:val="000650FF"/>
    <w:rsid w:val="00082E85"/>
    <w:rsid w:val="000843FA"/>
    <w:rsid w:val="00090AF0"/>
    <w:rsid w:val="000964A0"/>
    <w:rsid w:val="000B03EA"/>
    <w:rsid w:val="000B5C79"/>
    <w:rsid w:val="000B7E7F"/>
    <w:rsid w:val="000C432A"/>
    <w:rsid w:val="000C6BE9"/>
    <w:rsid w:val="000D0783"/>
    <w:rsid w:val="000D408F"/>
    <w:rsid w:val="000D4EFA"/>
    <w:rsid w:val="000D6F0F"/>
    <w:rsid w:val="000D7E7F"/>
    <w:rsid w:val="000E0B6F"/>
    <w:rsid w:val="000E31E9"/>
    <w:rsid w:val="000E76AA"/>
    <w:rsid w:val="0010426E"/>
    <w:rsid w:val="00111A7E"/>
    <w:rsid w:val="00120638"/>
    <w:rsid w:val="00127D18"/>
    <w:rsid w:val="001305A7"/>
    <w:rsid w:val="00135975"/>
    <w:rsid w:val="00140349"/>
    <w:rsid w:val="00142B13"/>
    <w:rsid w:val="001432E4"/>
    <w:rsid w:val="0014530A"/>
    <w:rsid w:val="00145681"/>
    <w:rsid w:val="00150F7A"/>
    <w:rsid w:val="00157152"/>
    <w:rsid w:val="00157ECA"/>
    <w:rsid w:val="0016738D"/>
    <w:rsid w:val="00175131"/>
    <w:rsid w:val="0017683A"/>
    <w:rsid w:val="00176FC2"/>
    <w:rsid w:val="00180B85"/>
    <w:rsid w:val="001858F3"/>
    <w:rsid w:val="00194F36"/>
    <w:rsid w:val="001963F9"/>
    <w:rsid w:val="00196B8B"/>
    <w:rsid w:val="001A5AC6"/>
    <w:rsid w:val="001B64F7"/>
    <w:rsid w:val="001C0048"/>
    <w:rsid w:val="001C4EC9"/>
    <w:rsid w:val="001D1594"/>
    <w:rsid w:val="001D3154"/>
    <w:rsid w:val="001D731B"/>
    <w:rsid w:val="001D73BF"/>
    <w:rsid w:val="001D74A4"/>
    <w:rsid w:val="001D7E9A"/>
    <w:rsid w:val="001E0EBA"/>
    <w:rsid w:val="001E6801"/>
    <w:rsid w:val="001F417D"/>
    <w:rsid w:val="00203326"/>
    <w:rsid w:val="00203ED4"/>
    <w:rsid w:val="00204BEA"/>
    <w:rsid w:val="00204DCE"/>
    <w:rsid w:val="00214F95"/>
    <w:rsid w:val="00216A19"/>
    <w:rsid w:val="00224B6E"/>
    <w:rsid w:val="002264B6"/>
    <w:rsid w:val="00233FA9"/>
    <w:rsid w:val="00235FE8"/>
    <w:rsid w:val="00240556"/>
    <w:rsid w:val="0024304F"/>
    <w:rsid w:val="00247893"/>
    <w:rsid w:val="002502BC"/>
    <w:rsid w:val="002563E6"/>
    <w:rsid w:val="002747BE"/>
    <w:rsid w:val="00274F7F"/>
    <w:rsid w:val="002855D0"/>
    <w:rsid w:val="00286F8B"/>
    <w:rsid w:val="002910F1"/>
    <w:rsid w:val="0029115B"/>
    <w:rsid w:val="002912FC"/>
    <w:rsid w:val="002A43AA"/>
    <w:rsid w:val="002A5C06"/>
    <w:rsid w:val="002A7FC8"/>
    <w:rsid w:val="002B6CAC"/>
    <w:rsid w:val="002B7F5A"/>
    <w:rsid w:val="002C1E73"/>
    <w:rsid w:val="002C5040"/>
    <w:rsid w:val="002D0791"/>
    <w:rsid w:val="002D0B58"/>
    <w:rsid w:val="002D26F9"/>
    <w:rsid w:val="002D69E6"/>
    <w:rsid w:val="002E0135"/>
    <w:rsid w:val="002F2176"/>
    <w:rsid w:val="002F306C"/>
    <w:rsid w:val="002F34D2"/>
    <w:rsid w:val="002F5E83"/>
    <w:rsid w:val="002F6A1F"/>
    <w:rsid w:val="002F6E79"/>
    <w:rsid w:val="002F715A"/>
    <w:rsid w:val="00305369"/>
    <w:rsid w:val="00307137"/>
    <w:rsid w:val="00331BF5"/>
    <w:rsid w:val="00332262"/>
    <w:rsid w:val="00347F92"/>
    <w:rsid w:val="0035583F"/>
    <w:rsid w:val="0035673C"/>
    <w:rsid w:val="00357A47"/>
    <w:rsid w:val="003602EE"/>
    <w:rsid w:val="00364CB9"/>
    <w:rsid w:val="003701F2"/>
    <w:rsid w:val="00370D5C"/>
    <w:rsid w:val="0037545F"/>
    <w:rsid w:val="00377588"/>
    <w:rsid w:val="00386191"/>
    <w:rsid w:val="00391411"/>
    <w:rsid w:val="003915E2"/>
    <w:rsid w:val="00393AA5"/>
    <w:rsid w:val="003A6C5E"/>
    <w:rsid w:val="003C3C99"/>
    <w:rsid w:val="003C56F1"/>
    <w:rsid w:val="003C7292"/>
    <w:rsid w:val="003D613B"/>
    <w:rsid w:val="003E0092"/>
    <w:rsid w:val="003F2B5D"/>
    <w:rsid w:val="003F69EB"/>
    <w:rsid w:val="003F7028"/>
    <w:rsid w:val="00400F82"/>
    <w:rsid w:val="00404B3F"/>
    <w:rsid w:val="004061FE"/>
    <w:rsid w:val="00412109"/>
    <w:rsid w:val="00416A76"/>
    <w:rsid w:val="004200D4"/>
    <w:rsid w:val="00431842"/>
    <w:rsid w:val="00435F6A"/>
    <w:rsid w:val="00436BF0"/>
    <w:rsid w:val="00440B21"/>
    <w:rsid w:val="00441265"/>
    <w:rsid w:val="00446965"/>
    <w:rsid w:val="0045144C"/>
    <w:rsid w:val="004549FE"/>
    <w:rsid w:val="00455E4B"/>
    <w:rsid w:val="004610D0"/>
    <w:rsid w:val="004628F3"/>
    <w:rsid w:val="0046447B"/>
    <w:rsid w:val="00470B0A"/>
    <w:rsid w:val="00471040"/>
    <w:rsid w:val="00477C7A"/>
    <w:rsid w:val="00477EAB"/>
    <w:rsid w:val="004832DB"/>
    <w:rsid w:val="00484C1C"/>
    <w:rsid w:val="00486743"/>
    <w:rsid w:val="0048754B"/>
    <w:rsid w:val="00487F71"/>
    <w:rsid w:val="00491641"/>
    <w:rsid w:val="00496AE7"/>
    <w:rsid w:val="004A06E5"/>
    <w:rsid w:val="004A71C2"/>
    <w:rsid w:val="004B0829"/>
    <w:rsid w:val="004B5C9A"/>
    <w:rsid w:val="004B68F8"/>
    <w:rsid w:val="004C24A9"/>
    <w:rsid w:val="004C29C9"/>
    <w:rsid w:val="004D00EF"/>
    <w:rsid w:val="004E511E"/>
    <w:rsid w:val="004E7AB9"/>
    <w:rsid w:val="004F24E5"/>
    <w:rsid w:val="004F3B39"/>
    <w:rsid w:val="00500FCE"/>
    <w:rsid w:val="00505101"/>
    <w:rsid w:val="0051019E"/>
    <w:rsid w:val="00510FFB"/>
    <w:rsid w:val="00511A36"/>
    <w:rsid w:val="00511D40"/>
    <w:rsid w:val="005236BE"/>
    <w:rsid w:val="0052754D"/>
    <w:rsid w:val="0053064F"/>
    <w:rsid w:val="00530804"/>
    <w:rsid w:val="00542D12"/>
    <w:rsid w:val="00546D15"/>
    <w:rsid w:val="0055783C"/>
    <w:rsid w:val="00561659"/>
    <w:rsid w:val="00565FFC"/>
    <w:rsid w:val="00573823"/>
    <w:rsid w:val="005761A9"/>
    <w:rsid w:val="0058605D"/>
    <w:rsid w:val="00592075"/>
    <w:rsid w:val="00592082"/>
    <w:rsid w:val="00595FEC"/>
    <w:rsid w:val="00596AF0"/>
    <w:rsid w:val="005A14DE"/>
    <w:rsid w:val="005A371B"/>
    <w:rsid w:val="005B035C"/>
    <w:rsid w:val="005B07C8"/>
    <w:rsid w:val="005B488C"/>
    <w:rsid w:val="005D68AC"/>
    <w:rsid w:val="005D6FDB"/>
    <w:rsid w:val="005F0524"/>
    <w:rsid w:val="005F079C"/>
    <w:rsid w:val="005F4D33"/>
    <w:rsid w:val="005F5C91"/>
    <w:rsid w:val="005F5CA0"/>
    <w:rsid w:val="00600B90"/>
    <w:rsid w:val="00601DC1"/>
    <w:rsid w:val="00612FED"/>
    <w:rsid w:val="00613E81"/>
    <w:rsid w:val="0062330A"/>
    <w:rsid w:val="00627D0B"/>
    <w:rsid w:val="00631655"/>
    <w:rsid w:val="00634004"/>
    <w:rsid w:val="00634063"/>
    <w:rsid w:val="00636F3B"/>
    <w:rsid w:val="006372F0"/>
    <w:rsid w:val="00640592"/>
    <w:rsid w:val="0065057F"/>
    <w:rsid w:val="00654571"/>
    <w:rsid w:val="00654705"/>
    <w:rsid w:val="006610F2"/>
    <w:rsid w:val="00661F58"/>
    <w:rsid w:val="00662A78"/>
    <w:rsid w:val="00663A86"/>
    <w:rsid w:val="006753B7"/>
    <w:rsid w:val="0068058E"/>
    <w:rsid w:val="006810DC"/>
    <w:rsid w:val="00681F36"/>
    <w:rsid w:val="0068792A"/>
    <w:rsid w:val="00696C88"/>
    <w:rsid w:val="006973F4"/>
    <w:rsid w:val="006A0857"/>
    <w:rsid w:val="006A08ED"/>
    <w:rsid w:val="006A14BD"/>
    <w:rsid w:val="006A3DD4"/>
    <w:rsid w:val="006A6431"/>
    <w:rsid w:val="006B089A"/>
    <w:rsid w:val="006B0BC2"/>
    <w:rsid w:val="006C5C65"/>
    <w:rsid w:val="006D2E93"/>
    <w:rsid w:val="006D324D"/>
    <w:rsid w:val="006D6DA5"/>
    <w:rsid w:val="006E2915"/>
    <w:rsid w:val="006E4A1A"/>
    <w:rsid w:val="006E6526"/>
    <w:rsid w:val="006E66B2"/>
    <w:rsid w:val="00701AD6"/>
    <w:rsid w:val="0070435D"/>
    <w:rsid w:val="0070676C"/>
    <w:rsid w:val="00711C82"/>
    <w:rsid w:val="0071327B"/>
    <w:rsid w:val="00720DC4"/>
    <w:rsid w:val="00723C16"/>
    <w:rsid w:val="0072529A"/>
    <w:rsid w:val="007253AC"/>
    <w:rsid w:val="0073190D"/>
    <w:rsid w:val="007326D6"/>
    <w:rsid w:val="00734BBF"/>
    <w:rsid w:val="0074147E"/>
    <w:rsid w:val="0074570F"/>
    <w:rsid w:val="00754082"/>
    <w:rsid w:val="00754C32"/>
    <w:rsid w:val="007566AB"/>
    <w:rsid w:val="00760B27"/>
    <w:rsid w:val="00761840"/>
    <w:rsid w:val="00762999"/>
    <w:rsid w:val="0076614B"/>
    <w:rsid w:val="0077374C"/>
    <w:rsid w:val="007810D6"/>
    <w:rsid w:val="00782BDD"/>
    <w:rsid w:val="007906C4"/>
    <w:rsid w:val="00792A5F"/>
    <w:rsid w:val="00796625"/>
    <w:rsid w:val="007976CD"/>
    <w:rsid w:val="007A23DA"/>
    <w:rsid w:val="007A44F4"/>
    <w:rsid w:val="007B0EE9"/>
    <w:rsid w:val="007B781E"/>
    <w:rsid w:val="007C04BF"/>
    <w:rsid w:val="007C3CA1"/>
    <w:rsid w:val="007C6527"/>
    <w:rsid w:val="007C68B5"/>
    <w:rsid w:val="007D01CC"/>
    <w:rsid w:val="007D3631"/>
    <w:rsid w:val="007F0B25"/>
    <w:rsid w:val="007F689F"/>
    <w:rsid w:val="00801CD7"/>
    <w:rsid w:val="00806B8B"/>
    <w:rsid w:val="00810751"/>
    <w:rsid w:val="0082122A"/>
    <w:rsid w:val="00825AFA"/>
    <w:rsid w:val="0082632D"/>
    <w:rsid w:val="00837934"/>
    <w:rsid w:val="0084012C"/>
    <w:rsid w:val="00841A36"/>
    <w:rsid w:val="00842CBC"/>
    <w:rsid w:val="00845EA8"/>
    <w:rsid w:val="008520AD"/>
    <w:rsid w:val="00857F97"/>
    <w:rsid w:val="008668A9"/>
    <w:rsid w:val="00881C4D"/>
    <w:rsid w:val="008842B3"/>
    <w:rsid w:val="008849A0"/>
    <w:rsid w:val="00885DCE"/>
    <w:rsid w:val="00892D6C"/>
    <w:rsid w:val="00897B33"/>
    <w:rsid w:val="008B1BFC"/>
    <w:rsid w:val="008B20CA"/>
    <w:rsid w:val="008B7168"/>
    <w:rsid w:val="008B76E5"/>
    <w:rsid w:val="008C038B"/>
    <w:rsid w:val="008C1A3E"/>
    <w:rsid w:val="008C74B2"/>
    <w:rsid w:val="008D2018"/>
    <w:rsid w:val="008D2163"/>
    <w:rsid w:val="008D71B4"/>
    <w:rsid w:val="008E3944"/>
    <w:rsid w:val="008F0462"/>
    <w:rsid w:val="008F3050"/>
    <w:rsid w:val="008F53E3"/>
    <w:rsid w:val="00902B60"/>
    <w:rsid w:val="00906782"/>
    <w:rsid w:val="00907AC6"/>
    <w:rsid w:val="00910B83"/>
    <w:rsid w:val="00912B7B"/>
    <w:rsid w:val="00912FB0"/>
    <w:rsid w:val="00914A68"/>
    <w:rsid w:val="00921A1B"/>
    <w:rsid w:val="009265CF"/>
    <w:rsid w:val="009266BE"/>
    <w:rsid w:val="00926C58"/>
    <w:rsid w:val="009332E6"/>
    <w:rsid w:val="0093759B"/>
    <w:rsid w:val="00941176"/>
    <w:rsid w:val="0094204F"/>
    <w:rsid w:val="00945303"/>
    <w:rsid w:val="009472B2"/>
    <w:rsid w:val="00955142"/>
    <w:rsid w:val="00955A0D"/>
    <w:rsid w:val="00971A5C"/>
    <w:rsid w:val="00982D60"/>
    <w:rsid w:val="00987EF1"/>
    <w:rsid w:val="009905B0"/>
    <w:rsid w:val="00991CA5"/>
    <w:rsid w:val="009A4A5E"/>
    <w:rsid w:val="009A7ADD"/>
    <w:rsid w:val="009B07E8"/>
    <w:rsid w:val="009B0CEA"/>
    <w:rsid w:val="009B3C11"/>
    <w:rsid w:val="009B79A0"/>
    <w:rsid w:val="009B7EDB"/>
    <w:rsid w:val="009C007B"/>
    <w:rsid w:val="009C0D70"/>
    <w:rsid w:val="009C1CDD"/>
    <w:rsid w:val="009C408F"/>
    <w:rsid w:val="009C4130"/>
    <w:rsid w:val="009D1784"/>
    <w:rsid w:val="009D4F90"/>
    <w:rsid w:val="009D5E1E"/>
    <w:rsid w:val="009D69C7"/>
    <w:rsid w:val="009F21FA"/>
    <w:rsid w:val="009F3769"/>
    <w:rsid w:val="00A170A9"/>
    <w:rsid w:val="00A21F7F"/>
    <w:rsid w:val="00A23FFF"/>
    <w:rsid w:val="00A307CA"/>
    <w:rsid w:val="00A356F8"/>
    <w:rsid w:val="00A45358"/>
    <w:rsid w:val="00A52A8E"/>
    <w:rsid w:val="00A54C35"/>
    <w:rsid w:val="00A5640A"/>
    <w:rsid w:val="00A6189C"/>
    <w:rsid w:val="00A67BEF"/>
    <w:rsid w:val="00A71803"/>
    <w:rsid w:val="00A7772B"/>
    <w:rsid w:val="00A853D3"/>
    <w:rsid w:val="00A87DD4"/>
    <w:rsid w:val="00A9593C"/>
    <w:rsid w:val="00A97A6C"/>
    <w:rsid w:val="00AA3144"/>
    <w:rsid w:val="00AA3402"/>
    <w:rsid w:val="00AA5577"/>
    <w:rsid w:val="00AB1A5B"/>
    <w:rsid w:val="00AB2E08"/>
    <w:rsid w:val="00AC3AD9"/>
    <w:rsid w:val="00AE11CF"/>
    <w:rsid w:val="00AE23E9"/>
    <w:rsid w:val="00AF3480"/>
    <w:rsid w:val="00AF7F88"/>
    <w:rsid w:val="00B014DF"/>
    <w:rsid w:val="00B0390F"/>
    <w:rsid w:val="00B13CBD"/>
    <w:rsid w:val="00B16305"/>
    <w:rsid w:val="00B16F12"/>
    <w:rsid w:val="00B31CE3"/>
    <w:rsid w:val="00B3457B"/>
    <w:rsid w:val="00B37914"/>
    <w:rsid w:val="00B51FA5"/>
    <w:rsid w:val="00B54753"/>
    <w:rsid w:val="00B57A6D"/>
    <w:rsid w:val="00B64675"/>
    <w:rsid w:val="00B661A0"/>
    <w:rsid w:val="00B70AA6"/>
    <w:rsid w:val="00B72C22"/>
    <w:rsid w:val="00B7563D"/>
    <w:rsid w:val="00B77007"/>
    <w:rsid w:val="00B84A5C"/>
    <w:rsid w:val="00B854F7"/>
    <w:rsid w:val="00B855FC"/>
    <w:rsid w:val="00B85EDB"/>
    <w:rsid w:val="00B91E82"/>
    <w:rsid w:val="00B96436"/>
    <w:rsid w:val="00BA1856"/>
    <w:rsid w:val="00BA2E44"/>
    <w:rsid w:val="00BA6D4D"/>
    <w:rsid w:val="00BB6DAE"/>
    <w:rsid w:val="00BC7B84"/>
    <w:rsid w:val="00BC7E17"/>
    <w:rsid w:val="00BD5521"/>
    <w:rsid w:val="00BD64D1"/>
    <w:rsid w:val="00BD6C06"/>
    <w:rsid w:val="00BD7AD8"/>
    <w:rsid w:val="00BD7F0C"/>
    <w:rsid w:val="00BE1C74"/>
    <w:rsid w:val="00BF7C0A"/>
    <w:rsid w:val="00C01BC3"/>
    <w:rsid w:val="00C0207E"/>
    <w:rsid w:val="00C03654"/>
    <w:rsid w:val="00C04BE3"/>
    <w:rsid w:val="00C215F3"/>
    <w:rsid w:val="00C36429"/>
    <w:rsid w:val="00C378D4"/>
    <w:rsid w:val="00C419F6"/>
    <w:rsid w:val="00C431A3"/>
    <w:rsid w:val="00C4750B"/>
    <w:rsid w:val="00C47E67"/>
    <w:rsid w:val="00C5541E"/>
    <w:rsid w:val="00C61BC7"/>
    <w:rsid w:val="00C641FC"/>
    <w:rsid w:val="00C64F4D"/>
    <w:rsid w:val="00C64FD1"/>
    <w:rsid w:val="00C71ED3"/>
    <w:rsid w:val="00C8095D"/>
    <w:rsid w:val="00C80AEE"/>
    <w:rsid w:val="00C8148A"/>
    <w:rsid w:val="00C82AB4"/>
    <w:rsid w:val="00C84C6F"/>
    <w:rsid w:val="00C87E79"/>
    <w:rsid w:val="00C955A3"/>
    <w:rsid w:val="00C97C9C"/>
    <w:rsid w:val="00CA1237"/>
    <w:rsid w:val="00CA41BF"/>
    <w:rsid w:val="00CA6A74"/>
    <w:rsid w:val="00CC0E35"/>
    <w:rsid w:val="00CD217C"/>
    <w:rsid w:val="00CD5954"/>
    <w:rsid w:val="00CD5C80"/>
    <w:rsid w:val="00CE4825"/>
    <w:rsid w:val="00CE5999"/>
    <w:rsid w:val="00CE6767"/>
    <w:rsid w:val="00CF09B3"/>
    <w:rsid w:val="00CF1D60"/>
    <w:rsid w:val="00CF30CC"/>
    <w:rsid w:val="00D1099B"/>
    <w:rsid w:val="00D11167"/>
    <w:rsid w:val="00D128DD"/>
    <w:rsid w:val="00D12FE8"/>
    <w:rsid w:val="00D24F22"/>
    <w:rsid w:val="00D25D21"/>
    <w:rsid w:val="00D27D86"/>
    <w:rsid w:val="00D34124"/>
    <w:rsid w:val="00D4486E"/>
    <w:rsid w:val="00D50254"/>
    <w:rsid w:val="00D52ED4"/>
    <w:rsid w:val="00D56A4B"/>
    <w:rsid w:val="00D60DCB"/>
    <w:rsid w:val="00D62F59"/>
    <w:rsid w:val="00D63E0D"/>
    <w:rsid w:val="00D70391"/>
    <w:rsid w:val="00D7310A"/>
    <w:rsid w:val="00D75922"/>
    <w:rsid w:val="00D75A3D"/>
    <w:rsid w:val="00D8212A"/>
    <w:rsid w:val="00D84EB4"/>
    <w:rsid w:val="00D93F0F"/>
    <w:rsid w:val="00D94C24"/>
    <w:rsid w:val="00DA491F"/>
    <w:rsid w:val="00DA58DF"/>
    <w:rsid w:val="00DB0322"/>
    <w:rsid w:val="00DB444A"/>
    <w:rsid w:val="00DC7B23"/>
    <w:rsid w:val="00DD4E30"/>
    <w:rsid w:val="00DD52A3"/>
    <w:rsid w:val="00DE57DA"/>
    <w:rsid w:val="00DE7A58"/>
    <w:rsid w:val="00DF0DE0"/>
    <w:rsid w:val="00DF2E2E"/>
    <w:rsid w:val="00E00E67"/>
    <w:rsid w:val="00E02628"/>
    <w:rsid w:val="00E03ADA"/>
    <w:rsid w:val="00E115B0"/>
    <w:rsid w:val="00E13CCD"/>
    <w:rsid w:val="00E15022"/>
    <w:rsid w:val="00E17D3D"/>
    <w:rsid w:val="00E24A88"/>
    <w:rsid w:val="00E35641"/>
    <w:rsid w:val="00E35BFA"/>
    <w:rsid w:val="00E35FD2"/>
    <w:rsid w:val="00E46CA6"/>
    <w:rsid w:val="00E55CD2"/>
    <w:rsid w:val="00E573DB"/>
    <w:rsid w:val="00E57862"/>
    <w:rsid w:val="00E64714"/>
    <w:rsid w:val="00E65330"/>
    <w:rsid w:val="00E67D45"/>
    <w:rsid w:val="00E80B2C"/>
    <w:rsid w:val="00E85BB3"/>
    <w:rsid w:val="00E923CB"/>
    <w:rsid w:val="00E9504E"/>
    <w:rsid w:val="00E97F0C"/>
    <w:rsid w:val="00EC2433"/>
    <w:rsid w:val="00EC4702"/>
    <w:rsid w:val="00ED0AFA"/>
    <w:rsid w:val="00ED291C"/>
    <w:rsid w:val="00EF1593"/>
    <w:rsid w:val="00EF3E23"/>
    <w:rsid w:val="00EF5B0F"/>
    <w:rsid w:val="00EF6B87"/>
    <w:rsid w:val="00F002D7"/>
    <w:rsid w:val="00F01431"/>
    <w:rsid w:val="00F02A50"/>
    <w:rsid w:val="00F0553C"/>
    <w:rsid w:val="00F152ED"/>
    <w:rsid w:val="00F1781F"/>
    <w:rsid w:val="00F238D5"/>
    <w:rsid w:val="00F25B0D"/>
    <w:rsid w:val="00F36FD5"/>
    <w:rsid w:val="00F37BE0"/>
    <w:rsid w:val="00F50152"/>
    <w:rsid w:val="00F74FD5"/>
    <w:rsid w:val="00F75ADD"/>
    <w:rsid w:val="00F826E0"/>
    <w:rsid w:val="00F83AB0"/>
    <w:rsid w:val="00F86B89"/>
    <w:rsid w:val="00F968CD"/>
    <w:rsid w:val="00FA1C8E"/>
    <w:rsid w:val="00FB0430"/>
    <w:rsid w:val="00FC22E7"/>
    <w:rsid w:val="00FC5182"/>
    <w:rsid w:val="00FC690D"/>
    <w:rsid w:val="00FC6FF0"/>
    <w:rsid w:val="00FD6CFC"/>
    <w:rsid w:val="00FD78E6"/>
    <w:rsid w:val="00FE6FA6"/>
    <w:rsid w:val="00FF322C"/>
    <w:rsid w:val="00FF3890"/>
    <w:rsid w:val="31C74937"/>
    <w:rsid w:val="386C3259"/>
    <w:rsid w:val="3FDD35C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27CA3F"/>
  <w15:docId w15:val="{B3EEFB9F-55C5-4406-88CA-AF8FE665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HTMLPreformatted">
    <w:name w:val="HTML Preformatted"/>
    <w:basedOn w:val="Normal"/>
    <w:link w:val="HTMLPreformattedChar"/>
    <w:uiPriority w:val="99"/>
    <w:semiHidden/>
    <w:unhideWhenUsed/>
    <w:qFormat/>
    <w:pPr>
      <w:spacing w:after="0" w:line="240" w:lineRule="auto"/>
    </w:pPr>
    <w:rPr>
      <w:rFonts w:ascii="Consolas" w:hAnsi="Consolas"/>
      <w:sz w:val="20"/>
      <w:szCs w:val="20"/>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basedOn w:val="DefaultParagraphFont"/>
    <w:link w:val="FootnoteText"/>
    <w:uiPriority w:val="99"/>
    <w:semiHidden/>
    <w:qFormat/>
    <w:rPr>
      <w:sz w:val="20"/>
      <w:szCs w:val="20"/>
    </w:rPr>
  </w:style>
  <w:style w:type="paragraph" w:customStyle="1" w:styleId="Bibliography1">
    <w:name w:val="Bibliography1"/>
    <w:basedOn w:val="Normal"/>
    <w:next w:val="Normal"/>
    <w:uiPriority w:val="37"/>
    <w:unhideWhenUsed/>
    <w:qFormat/>
    <w:pPr>
      <w:spacing w:after="0" w:line="480" w:lineRule="auto"/>
      <w:ind w:left="720" w:hanging="720"/>
    </w:pPr>
  </w:style>
  <w:style w:type="character" w:customStyle="1" w:styleId="HTMLPreformattedChar">
    <w:name w:val="HTML Preformatted Char"/>
    <w:basedOn w:val="DefaultParagraphFont"/>
    <w:link w:val="HTMLPreformatted"/>
    <w:uiPriority w:val="99"/>
    <w:semiHidden/>
    <w:qFormat/>
    <w:rPr>
      <w:rFonts w:ascii="Consolas" w:hAnsi="Consolas"/>
      <w:sz w:val="20"/>
      <w:szCs w:val="20"/>
    </w:rPr>
  </w:style>
  <w:style w:type="paragraph" w:styleId="Bibliography">
    <w:name w:val="Bibliography"/>
    <w:basedOn w:val="Normal"/>
    <w:next w:val="Normal"/>
    <w:uiPriority w:val="37"/>
    <w:unhideWhenUsed/>
    <w:rsid w:val="00111A7E"/>
    <w:pPr>
      <w:spacing w:after="0" w:line="480" w:lineRule="auto"/>
      <w:ind w:left="720" w:hanging="720"/>
    </w:pPr>
  </w:style>
  <w:style w:type="character" w:styleId="Hyperlink">
    <w:name w:val="Hyperlink"/>
    <w:basedOn w:val="DefaultParagraphFont"/>
    <w:uiPriority w:val="99"/>
    <w:unhideWhenUsed/>
    <w:rsid w:val="00F36FD5"/>
    <w:rPr>
      <w:color w:val="0563C1" w:themeColor="hyperlink"/>
      <w:u w:val="single"/>
    </w:rPr>
  </w:style>
  <w:style w:type="paragraph" w:styleId="BodyText">
    <w:name w:val="Body Text"/>
    <w:link w:val="BodyTextChar"/>
    <w:rsid w:val="00F36FD5"/>
    <w:pPr>
      <w:widowControl w:val="0"/>
      <w:pBdr>
        <w:top w:val="nil"/>
        <w:left w:val="nil"/>
        <w:bottom w:val="nil"/>
        <w:right w:val="nil"/>
        <w:between w:val="nil"/>
        <w:bar w:val="nil"/>
      </w:pBdr>
      <w:ind w:right="257"/>
      <w:jc w:val="both"/>
    </w:pPr>
    <w:rPr>
      <w:rFonts w:ascii="Times New Roman" w:eastAsia="Times New Roman" w:hAnsi="Times New Roman" w:cs="Times New Roman"/>
      <w:color w:val="000000"/>
      <w:sz w:val="24"/>
      <w:szCs w:val="24"/>
      <w:u w:color="000000"/>
      <w:bdr w:val="nil"/>
      <w:lang w:val="en-US"/>
    </w:rPr>
  </w:style>
  <w:style w:type="character" w:customStyle="1" w:styleId="BodyTextChar">
    <w:name w:val="Body Text Char"/>
    <w:basedOn w:val="DefaultParagraphFont"/>
    <w:link w:val="BodyText"/>
    <w:rsid w:val="00F36FD5"/>
    <w:rPr>
      <w:rFonts w:ascii="Times New Roman" w:eastAsia="Times New Roman" w:hAnsi="Times New Roman" w:cs="Times New Roman"/>
      <w:color w:val="000000"/>
      <w:sz w:val="24"/>
      <w:szCs w:val="24"/>
      <w:u w:color="000000"/>
      <w:bdr w:val="nil"/>
      <w:lang w:val="en-US"/>
    </w:rPr>
  </w:style>
  <w:style w:type="character" w:customStyle="1" w:styleId="NoneA">
    <w:name w:val="None A"/>
    <w:rsid w:val="00F36FD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057">
      <w:bodyDiv w:val="1"/>
      <w:marLeft w:val="0"/>
      <w:marRight w:val="0"/>
      <w:marTop w:val="0"/>
      <w:marBottom w:val="0"/>
      <w:divBdr>
        <w:top w:val="none" w:sz="0" w:space="0" w:color="auto"/>
        <w:left w:val="none" w:sz="0" w:space="0" w:color="auto"/>
        <w:bottom w:val="none" w:sz="0" w:space="0" w:color="auto"/>
        <w:right w:val="none" w:sz="0" w:space="0" w:color="auto"/>
      </w:divBdr>
    </w:div>
    <w:div w:id="582643631">
      <w:bodyDiv w:val="1"/>
      <w:marLeft w:val="0"/>
      <w:marRight w:val="0"/>
      <w:marTop w:val="0"/>
      <w:marBottom w:val="0"/>
      <w:divBdr>
        <w:top w:val="none" w:sz="0" w:space="0" w:color="auto"/>
        <w:left w:val="none" w:sz="0" w:space="0" w:color="auto"/>
        <w:bottom w:val="none" w:sz="0" w:space="0" w:color="auto"/>
        <w:right w:val="none" w:sz="0" w:space="0" w:color="auto"/>
      </w:divBdr>
    </w:div>
    <w:div w:id="646587480">
      <w:bodyDiv w:val="1"/>
      <w:marLeft w:val="0"/>
      <w:marRight w:val="0"/>
      <w:marTop w:val="0"/>
      <w:marBottom w:val="0"/>
      <w:divBdr>
        <w:top w:val="none" w:sz="0" w:space="0" w:color="auto"/>
        <w:left w:val="none" w:sz="0" w:space="0" w:color="auto"/>
        <w:bottom w:val="none" w:sz="0" w:space="0" w:color="auto"/>
        <w:right w:val="none" w:sz="0" w:space="0" w:color="auto"/>
      </w:divBdr>
    </w:div>
    <w:div w:id="1150099360">
      <w:bodyDiv w:val="1"/>
      <w:marLeft w:val="0"/>
      <w:marRight w:val="0"/>
      <w:marTop w:val="0"/>
      <w:marBottom w:val="0"/>
      <w:divBdr>
        <w:top w:val="none" w:sz="0" w:space="0" w:color="auto"/>
        <w:left w:val="none" w:sz="0" w:space="0" w:color="auto"/>
        <w:bottom w:val="none" w:sz="0" w:space="0" w:color="auto"/>
        <w:right w:val="none" w:sz="0" w:space="0" w:color="auto"/>
      </w:divBdr>
    </w:div>
    <w:div w:id="1183283596">
      <w:bodyDiv w:val="1"/>
      <w:marLeft w:val="0"/>
      <w:marRight w:val="0"/>
      <w:marTop w:val="0"/>
      <w:marBottom w:val="0"/>
      <w:divBdr>
        <w:top w:val="none" w:sz="0" w:space="0" w:color="auto"/>
        <w:left w:val="none" w:sz="0" w:space="0" w:color="auto"/>
        <w:bottom w:val="none" w:sz="0" w:space="0" w:color="auto"/>
        <w:right w:val="none" w:sz="0" w:space="0" w:color="auto"/>
      </w:divBdr>
    </w:div>
    <w:div w:id="214114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ADA13-6F89-42E5-97C2-0557A08A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27763</Words>
  <Characters>158252</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Zeeshan Akram</dc:creator>
  <cp:lastModifiedBy>SDI 1180</cp:lastModifiedBy>
  <cp:revision>14</cp:revision>
  <dcterms:created xsi:type="dcterms:W3CDTF">2025-07-01T05:57:00Z</dcterms:created>
  <dcterms:modified xsi:type="dcterms:W3CDTF">2025-07-07T06:46:00Z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id="7QoY0TNi"/&gt;&lt;style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_DocHome">
    <vt:i4>-397940952</vt:i4>
  </property>
  <property fmtid="{D5CDD505-2E9C-101B-9397-08002B2CF9AE}" pid="5" name="GrammarlyDocumentId">
    <vt:lpwstr>4033abe494da383bd8edeb3207ebaaf05117ea926bbf582ecc9e3fd626018284</vt:lpwstr>
  </property>
  <property fmtid="{D5CDD505-2E9C-101B-9397-08002B2CF9AE}" pid="6" name="KSOProductBuildVer">
    <vt:lpwstr>1033-12.2.0.19805</vt:lpwstr>
  </property>
  <property fmtid="{D5CDD505-2E9C-101B-9397-08002B2CF9AE}" pid="7" name="ICV">
    <vt:lpwstr>8EE74A64B79049AD858D01FC40093EFD_12</vt:lpwstr>
  </property>
</Properties>
</file>