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8B4BB1" w14:textId="77777777" w:rsidR="00EB448A" w:rsidRPr="00EB448A" w:rsidRDefault="00EB448A" w:rsidP="00EB448A">
      <w:pPr>
        <w:spacing w:before="240" w:after="240"/>
        <w:rPr>
          <w:rFonts w:ascii="Times New Roman" w:eastAsia="Times New Roman" w:hAnsi="Times New Roman" w:cs="Times New Roman"/>
          <w:b/>
          <w:bCs/>
          <w:i/>
          <w:iCs/>
          <w:sz w:val="28"/>
          <w:szCs w:val="28"/>
          <w:highlight w:val="white"/>
          <w:u w:val="single"/>
          <w:lang w:val="en-US"/>
        </w:rPr>
      </w:pPr>
      <w:r w:rsidRPr="00EB448A">
        <w:rPr>
          <w:rFonts w:ascii="Times New Roman" w:eastAsia="Times New Roman" w:hAnsi="Times New Roman" w:cs="Times New Roman"/>
          <w:b/>
          <w:bCs/>
          <w:i/>
          <w:iCs/>
          <w:sz w:val="28"/>
          <w:szCs w:val="28"/>
          <w:highlight w:val="white"/>
          <w:u w:val="single"/>
          <w:lang w:val="en-US"/>
        </w:rPr>
        <w:t>Minireview Article</w:t>
      </w:r>
    </w:p>
    <w:p w14:paraId="0F8B2722" w14:textId="77777777" w:rsidR="005355B4" w:rsidRDefault="004626E0">
      <w:pPr>
        <w:spacing w:before="240" w:after="240"/>
        <w:rPr>
          <w:rFonts w:ascii="Times New Roman" w:eastAsia="Times New Roman" w:hAnsi="Times New Roman" w:cs="Times New Roman"/>
          <w:sz w:val="28"/>
          <w:szCs w:val="28"/>
        </w:rPr>
      </w:pPr>
      <w:r>
        <w:rPr>
          <w:rFonts w:ascii="Times New Roman" w:eastAsia="Times New Roman" w:hAnsi="Times New Roman" w:cs="Times New Roman"/>
          <w:b/>
          <w:sz w:val="28"/>
          <w:szCs w:val="28"/>
          <w:highlight w:val="white"/>
        </w:rPr>
        <w:t>The Sudden Collapse of Cancer Cells: Exploring Tumor Lysis Syndrome Through a Molecular and Therapeutic Lens</w:t>
      </w:r>
    </w:p>
    <w:p w14:paraId="5201C5F9" w14:textId="77777777" w:rsidR="005355B4" w:rsidRDefault="005355B4">
      <w:pPr>
        <w:spacing w:before="240" w:after="240"/>
        <w:rPr>
          <w:rFonts w:ascii="Times New Roman" w:eastAsia="Times New Roman" w:hAnsi="Times New Roman" w:cs="Times New Roman"/>
          <w:b/>
          <w:sz w:val="24"/>
          <w:szCs w:val="24"/>
        </w:rPr>
      </w:pPr>
    </w:p>
    <w:p w14:paraId="2914D140" w14:textId="77777777" w:rsidR="005355B4" w:rsidRDefault="005355B4">
      <w:pPr>
        <w:spacing w:before="240" w:after="240"/>
        <w:rPr>
          <w:rFonts w:ascii="Times New Roman" w:eastAsia="Times New Roman" w:hAnsi="Times New Roman" w:cs="Times New Roman"/>
          <w:b/>
          <w:sz w:val="24"/>
          <w:szCs w:val="24"/>
        </w:rPr>
      </w:pPr>
    </w:p>
    <w:p w14:paraId="1EAC5E64" w14:textId="77777777" w:rsidR="005355B4" w:rsidRDefault="004626E0">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Abstract </w:t>
      </w:r>
      <w:r>
        <w:rPr>
          <w:rFonts w:ascii="Times New Roman" w:eastAsia="Times New Roman" w:hAnsi="Times New Roman" w:cs="Times New Roman"/>
          <w:sz w:val="24"/>
          <w:szCs w:val="24"/>
        </w:rPr>
        <w:t xml:space="preserve">          </w:t>
      </w:r>
    </w:p>
    <w:p w14:paraId="55ADE982" w14:textId="77777777" w:rsidR="005355B4" w:rsidRDefault="004626E0">
      <w:pPr>
        <w:spacing w:before="240" w:after="240"/>
        <w:rPr>
          <w:rFonts w:ascii="Times New Roman" w:eastAsia="Times New Roman" w:hAnsi="Times New Roman" w:cs="Times New Roman"/>
          <w:color w:val="252525"/>
          <w:sz w:val="24"/>
          <w:szCs w:val="24"/>
        </w:rPr>
      </w:pPr>
      <w:r>
        <w:rPr>
          <w:rFonts w:ascii="Times New Roman" w:eastAsia="Times New Roman" w:hAnsi="Times New Roman" w:cs="Times New Roman"/>
          <w:color w:val="252525"/>
          <w:sz w:val="24"/>
          <w:szCs w:val="24"/>
        </w:rPr>
        <w:t>Tumor Lysis Syndrome (TLS) is an acute oncologic emergency triggered by the rapid destruction of malignant cells, resulting in a cascade of metabolic derangements including hyperuricemia, hyperkalemia, hyperphosphatemia, and hypocalcemia. This review synthesizes contemporary understanding of TLS from molecular to clinical and translational perspectives. It examines TLS pathophysiology, focusing on intracellular release of nucleic acids and ions that overwhelm clearance mechanisms, precipitating acute kidney injury, cardiac arrhythmias, seizures, and multiorgan failure. This catabolic cascade also provokes systemic inflammatory responses (akin to cytokine release syndrome), further compounding endothelial dysfunction and organ injury. Both therapy-induced and spontaneous TLS are considered, highlighting risk factors including high tumor burden, elevated lactate dehydrogenase (LDH), proliferative indices, and oncogenic alterations (for example, MYC translocations in lymphoma) that predispose to rapid lysis. Additionally, targeted therapies and immunotherapies (e.g., checkpoint inhibitors and CAR-T cells) have also broadened TLS contexts, underscoring vigilance. Management strategies include aggressive hydration, hypouricemic agents, and innovative therapies (such as recombinant urate oxidases, targeted metabolic inhibitors, and precision risk algorithms). Future directions include personalized prophylaxis guided by tumor genomics, novel targeted interventions to modulate tumor metabolism, and multidisciplinary research. Early recognition and tailored intervention remain paramount to mitigate the complexity and lethality of TLS in affected patients.</w:t>
      </w:r>
    </w:p>
    <w:p w14:paraId="0BE40F80" w14:textId="77777777" w:rsidR="005355B4" w:rsidRDefault="004626E0">
      <w:pPr>
        <w:spacing w:before="240" w:after="240"/>
        <w:rPr>
          <w:rFonts w:ascii="Times New Roman" w:eastAsia="Times New Roman" w:hAnsi="Times New Roman" w:cs="Times New Roman"/>
          <w:b/>
          <w:color w:val="252525"/>
          <w:sz w:val="24"/>
          <w:szCs w:val="24"/>
        </w:rPr>
      </w:pPr>
      <w:r>
        <w:rPr>
          <w:rFonts w:ascii="Times New Roman" w:eastAsia="Times New Roman" w:hAnsi="Times New Roman" w:cs="Times New Roman"/>
          <w:color w:val="252525"/>
          <w:sz w:val="24"/>
          <w:szCs w:val="24"/>
        </w:rPr>
        <w:t>Keywo</w:t>
      </w:r>
      <w:r>
        <w:rPr>
          <w:rFonts w:ascii="Times New Roman" w:eastAsia="Times New Roman" w:hAnsi="Times New Roman" w:cs="Times New Roman"/>
          <w:sz w:val="24"/>
          <w:szCs w:val="24"/>
        </w:rPr>
        <w:t xml:space="preserve">rds: </w:t>
      </w:r>
      <w:hyperlink r:id="rId6">
        <w:r>
          <w:rPr>
            <w:rFonts w:ascii="Times New Roman" w:eastAsia="Times New Roman" w:hAnsi="Times New Roman" w:cs="Times New Roman"/>
            <w:color w:val="000000"/>
            <w:sz w:val="24"/>
            <w:szCs w:val="24"/>
          </w:rPr>
          <w:t>Cairo-bishop criteria</w:t>
        </w:r>
      </w:hyperlink>
      <w:r>
        <w:rPr>
          <w:rFonts w:ascii="Times New Roman" w:eastAsia="Times New Roman" w:hAnsi="Times New Roman" w:cs="Times New Roman"/>
          <w:sz w:val="24"/>
          <w:szCs w:val="24"/>
        </w:rPr>
        <w:t>, </w:t>
      </w:r>
      <w:hyperlink r:id="rId7">
        <w:r>
          <w:rPr>
            <w:rFonts w:ascii="Times New Roman" w:eastAsia="Times New Roman" w:hAnsi="Times New Roman" w:cs="Times New Roman"/>
            <w:color w:val="000000"/>
            <w:sz w:val="24"/>
            <w:szCs w:val="24"/>
          </w:rPr>
          <w:t>oncologic emergency</w:t>
        </w:r>
      </w:hyperlink>
      <w:r>
        <w:rPr>
          <w:rFonts w:ascii="Times New Roman" w:eastAsia="Times New Roman" w:hAnsi="Times New Roman" w:cs="Times New Roman"/>
          <w:sz w:val="24"/>
          <w:szCs w:val="24"/>
        </w:rPr>
        <w:t>, </w:t>
      </w:r>
      <w:hyperlink r:id="rId8">
        <w:r>
          <w:rPr>
            <w:rFonts w:ascii="Times New Roman" w:eastAsia="Times New Roman" w:hAnsi="Times New Roman" w:cs="Times New Roman"/>
            <w:color w:val="000000"/>
            <w:sz w:val="24"/>
            <w:szCs w:val="24"/>
          </w:rPr>
          <w:t xml:space="preserve">spontaneous </w:t>
        </w:r>
      </w:hyperlink>
      <w:r>
        <w:rPr>
          <w:rFonts w:ascii="Times New Roman" w:eastAsia="Times New Roman" w:hAnsi="Times New Roman" w:cs="Times New Roman"/>
          <w:sz w:val="24"/>
          <w:szCs w:val="24"/>
        </w:rPr>
        <w:t>TLS, </w:t>
      </w:r>
      <w:hyperlink r:id="rId9">
        <w:r>
          <w:rPr>
            <w:rFonts w:ascii="Times New Roman" w:eastAsia="Times New Roman" w:hAnsi="Times New Roman" w:cs="Times New Roman"/>
            <w:color w:val="000000"/>
            <w:sz w:val="24"/>
            <w:szCs w:val="24"/>
          </w:rPr>
          <w:t xml:space="preserve">therapy-induced </w:t>
        </w:r>
      </w:hyperlink>
      <w:r>
        <w:rPr>
          <w:rFonts w:ascii="Times New Roman" w:eastAsia="Times New Roman" w:hAnsi="Times New Roman" w:cs="Times New Roman"/>
          <w:sz w:val="24"/>
          <w:szCs w:val="24"/>
        </w:rPr>
        <w:t>TLS, </w:t>
      </w:r>
      <w:hyperlink r:id="rId10">
        <w:r>
          <w:rPr>
            <w:rFonts w:ascii="Times New Roman" w:eastAsia="Times New Roman" w:hAnsi="Times New Roman" w:cs="Times New Roman"/>
            <w:color w:val="000000"/>
            <w:sz w:val="24"/>
            <w:szCs w:val="24"/>
          </w:rPr>
          <w:t>tumor lysis syndrome</w:t>
        </w:r>
      </w:hyperlink>
    </w:p>
    <w:p w14:paraId="47334ADC" w14:textId="77777777" w:rsidR="005355B4" w:rsidRDefault="004626E0">
      <w:pPr>
        <w:spacing w:before="240" w:after="240"/>
        <w:rPr>
          <w:rFonts w:ascii="Times New Roman" w:eastAsia="Times New Roman" w:hAnsi="Times New Roman" w:cs="Times New Roman"/>
          <w:b/>
          <w:color w:val="374151"/>
          <w:sz w:val="24"/>
          <w:szCs w:val="24"/>
        </w:rPr>
      </w:pPr>
      <w:r>
        <w:rPr>
          <w:rFonts w:ascii="Times New Roman" w:eastAsia="Times New Roman" w:hAnsi="Times New Roman" w:cs="Times New Roman"/>
          <w:b/>
          <w:color w:val="374151"/>
          <w:sz w:val="24"/>
          <w:szCs w:val="24"/>
        </w:rPr>
        <w:t xml:space="preserve"> 1. Introduction</w:t>
      </w:r>
    </w:p>
    <w:p w14:paraId="15CBBDF4" w14:textId="77777777" w:rsidR="005355B4" w:rsidRDefault="004626E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In the ever-evolving landscape of cancer research and treatment, significant advancements have recently emerged, heralding a new era of improved patient outcomes in the ongoing battle against this relentless disease. But the main challenge faced is the complications that result from </w:t>
      </w:r>
      <w:r>
        <w:rPr>
          <w:rFonts w:ascii="Times New Roman" w:eastAsia="Times New Roman" w:hAnsi="Times New Roman" w:cs="Times New Roman"/>
          <w:sz w:val="24"/>
          <w:szCs w:val="24"/>
          <w:highlight w:val="white"/>
        </w:rPr>
        <w:t>the chemotherapy, which are leading to therapy-related mortality in cancer patients.</w:t>
      </w:r>
    </w:p>
    <w:p w14:paraId="4442FFEC" w14:textId="77777777" w:rsidR="005355B4" w:rsidRDefault="004626E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Tumor Lysis Syndrome represents a critical and potentially life-threatening consequence of chemotherapy, constituting an oncological emergency demanding immediate intervention. It occurs when rapidly disintegrating tumor cells release intracellular ions, nucleic acids, proteins, and their byproducts into the bloodstream, ultimately triggering TLS. These metabolites, including hyperuricemia, hyperkalemia, hyperphosphatemia, hypocalcemia, and uremia, disrupt the body's natural balance mechanisms </w:t>
      </w:r>
      <w:hyperlink r:id="rId11">
        <w:r>
          <w:rPr>
            <w:rFonts w:ascii="Times New Roman" w:eastAsia="Times New Roman" w:hAnsi="Times New Roman" w:cs="Times New Roman"/>
            <w:sz w:val="24"/>
            <w:szCs w:val="24"/>
            <w:highlight w:val="white"/>
          </w:rPr>
          <w:t>(1)</w:t>
        </w:r>
      </w:hyperlink>
      <w:r>
        <w:rPr>
          <w:rFonts w:ascii="Times New Roman" w:eastAsia="Times New Roman" w:hAnsi="Times New Roman" w:cs="Times New Roman"/>
          <w:sz w:val="24"/>
          <w:szCs w:val="24"/>
          <w:highlight w:val="white"/>
        </w:rPr>
        <w:t xml:space="preserve">. These abnormalities lead to severe complications such as kidney failure, cardiac arrhythmias, and neurological issues, notably convulsions and seizures </w:t>
      </w:r>
      <w:hyperlink r:id="rId12">
        <w:r>
          <w:rPr>
            <w:rFonts w:ascii="Times New Roman" w:eastAsia="Times New Roman" w:hAnsi="Times New Roman" w:cs="Times New Roman"/>
            <w:sz w:val="24"/>
            <w:szCs w:val="24"/>
            <w:highlight w:val="white"/>
          </w:rPr>
          <w:t>(2)</w:t>
        </w:r>
      </w:hyperlink>
      <w:r>
        <w:rPr>
          <w:rFonts w:ascii="Times New Roman" w:eastAsia="Times New Roman" w:hAnsi="Times New Roman" w:cs="Times New Roman"/>
          <w:sz w:val="24"/>
          <w:szCs w:val="24"/>
          <w:highlight w:val="white"/>
        </w:rPr>
        <w:t xml:space="preserve">. </w:t>
      </w:r>
    </w:p>
    <w:p w14:paraId="5960E91C" w14:textId="77777777" w:rsidR="005355B4" w:rsidRDefault="005355B4">
      <w:pPr>
        <w:rPr>
          <w:rFonts w:ascii="Times New Roman" w:eastAsia="Times New Roman" w:hAnsi="Times New Roman" w:cs="Times New Roman"/>
          <w:sz w:val="24"/>
          <w:szCs w:val="24"/>
          <w:highlight w:val="white"/>
        </w:rPr>
      </w:pPr>
    </w:p>
    <w:p w14:paraId="75DBB1FB" w14:textId="77777777" w:rsidR="005355B4" w:rsidRDefault="004626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TLS can manifest spontaneously, even before the commencement of cancer treatment; however, it frequently emerges within the initial week of initiating therapy. The likelihood of its occurrence is influenced by the specific cancer type the patient is diagnosed with, and the presence of larger tumors or extensive metastases increases the risk of TLS development. Notably, TLS is most commonly observed in cases of acute leukemias characterized by elevated white cell counts at diagnosis and diffuse non-Hodgkin lymphomas of the Burkitt type. This association is largely attributed to the propensity of tumors with substantial burden, rapid cell turnover, and heightened sensitivity to chemotherapeutic agents to trigger TLS </w:t>
      </w:r>
      <w:hyperlink r:id="rId13">
        <w:r>
          <w:rPr>
            <w:rFonts w:ascii="Times New Roman" w:eastAsia="Times New Roman" w:hAnsi="Times New Roman" w:cs="Times New Roman"/>
            <w:sz w:val="24"/>
            <w:szCs w:val="24"/>
          </w:rPr>
          <w:t>(3)</w:t>
        </w:r>
      </w:hyperlink>
      <w:r>
        <w:rPr>
          <w:rFonts w:ascii="Times New Roman" w:eastAsia="Times New Roman" w:hAnsi="Times New Roman" w:cs="Times New Roman"/>
          <w:sz w:val="24"/>
          <w:szCs w:val="24"/>
        </w:rPr>
        <w:t xml:space="preserve">. Tumor Lysis Syndrome (TLS) is not restricted to individuals undergoing conventional chemotherapy; it can also manifest in patients receiving treatments such as steroids, hormonal therapy, targeted therapy, or radiation therapy </w:t>
      </w:r>
      <w:hyperlink r:id="rId14">
        <w:r>
          <w:rPr>
            <w:rFonts w:ascii="Times New Roman" w:eastAsia="Times New Roman" w:hAnsi="Times New Roman" w:cs="Times New Roman"/>
            <w:sz w:val="24"/>
            <w:szCs w:val="24"/>
          </w:rPr>
          <w:t>(4)</w:t>
        </w:r>
      </w:hyperlink>
      <w:r>
        <w:rPr>
          <w:rFonts w:ascii="Times New Roman" w:eastAsia="Times New Roman" w:hAnsi="Times New Roman" w:cs="Times New Roman"/>
          <w:sz w:val="24"/>
          <w:szCs w:val="24"/>
        </w:rPr>
        <w:t xml:space="preserve">. </w:t>
      </w:r>
    </w:p>
    <w:p w14:paraId="0847F016" w14:textId="77777777" w:rsidR="005355B4" w:rsidRDefault="005355B4">
      <w:pPr>
        <w:rPr>
          <w:rFonts w:ascii="Times New Roman" w:eastAsia="Times New Roman" w:hAnsi="Times New Roman" w:cs="Times New Roman"/>
          <w:sz w:val="24"/>
          <w:szCs w:val="24"/>
        </w:rPr>
      </w:pPr>
    </w:p>
    <w:p w14:paraId="4AD21FE2" w14:textId="77777777" w:rsidR="005355B4" w:rsidRDefault="004626E0">
      <w:pPr>
        <w:rPr>
          <w:rFonts w:ascii="Times New Roman" w:eastAsia="Times New Roman" w:hAnsi="Times New Roman" w:cs="Times New Roman"/>
          <w:b/>
          <w:color w:val="252525"/>
          <w:sz w:val="24"/>
          <w:szCs w:val="24"/>
        </w:rPr>
      </w:pPr>
      <w:r>
        <w:rPr>
          <w:rFonts w:ascii="Times New Roman" w:eastAsia="Times New Roman" w:hAnsi="Times New Roman" w:cs="Times New Roman"/>
          <w:b/>
          <w:sz w:val="24"/>
          <w:szCs w:val="24"/>
        </w:rPr>
        <w:t>2. Pathophysiology</w:t>
      </w:r>
    </w:p>
    <w:p w14:paraId="7A1DFB2A" w14:textId="769CA722" w:rsidR="005355B4" w:rsidRDefault="004626E0">
      <w:pPr>
        <w:spacing w:before="240" w:after="240"/>
        <w:rPr>
          <w:rFonts w:ascii="Times New Roman" w:eastAsia="Times New Roman" w:hAnsi="Times New Roman" w:cs="Times New Roman"/>
          <w:sz w:val="24"/>
          <w:szCs w:val="24"/>
        </w:rPr>
      </w:pPr>
      <w:r>
        <w:rPr>
          <w:rFonts w:ascii="Times New Roman" w:eastAsia="Times New Roman" w:hAnsi="Times New Roman" w:cs="Times New Roman"/>
          <w:color w:val="252525"/>
          <w:sz w:val="24"/>
          <w:szCs w:val="24"/>
        </w:rPr>
        <w:t xml:space="preserve">The cancer cell lysis occurs spontaneously or as a result of the cancer treatment, which results in the release of a large </w:t>
      </w:r>
      <w:proofErr w:type="gramStart"/>
      <w:r>
        <w:rPr>
          <w:rFonts w:ascii="Times New Roman" w:eastAsia="Times New Roman" w:hAnsi="Times New Roman" w:cs="Times New Roman"/>
          <w:color w:val="252525"/>
          <w:sz w:val="24"/>
          <w:szCs w:val="24"/>
        </w:rPr>
        <w:t>amount</w:t>
      </w:r>
      <w:proofErr w:type="gramEnd"/>
      <w:r>
        <w:rPr>
          <w:rFonts w:ascii="Times New Roman" w:eastAsia="Times New Roman" w:hAnsi="Times New Roman" w:cs="Times New Roman"/>
          <w:color w:val="252525"/>
          <w:sz w:val="24"/>
          <w:szCs w:val="24"/>
        </w:rPr>
        <w:t xml:space="preserve"> of intracellular components into the bloodstream, including a large amount of potassium, phosphate, and nucleic acids, by the breakage of the plasma membrane of the cancer cells. The amount of these intracellular contents rises faster than the kidney can remove them, which leads to various complications such as kidney failure, cardiac arrhythmias, metabolic acidosis, and seizures. This causes tumor lysis syndrome. The pathophysiology of the tumor lysis syndrome is demonstrated in Figure 1.</w:t>
      </w:r>
    </w:p>
    <w:p w14:paraId="6B3960D5" w14:textId="77777777" w:rsidR="005355B4" w:rsidRDefault="005355B4">
      <w:pPr>
        <w:rPr>
          <w:rFonts w:ascii="Times New Roman" w:eastAsia="Times New Roman" w:hAnsi="Times New Roman" w:cs="Times New Roman"/>
          <w:sz w:val="24"/>
          <w:szCs w:val="24"/>
        </w:rPr>
      </w:pPr>
    </w:p>
    <w:p w14:paraId="1344BED9" w14:textId="77777777" w:rsidR="005355B4" w:rsidRDefault="005355B4">
      <w:pPr>
        <w:rPr>
          <w:rFonts w:ascii="Times New Roman" w:eastAsia="Times New Roman" w:hAnsi="Times New Roman" w:cs="Times New Roman"/>
          <w:sz w:val="24"/>
          <w:szCs w:val="24"/>
        </w:rPr>
      </w:pPr>
    </w:p>
    <w:p w14:paraId="4F5A3ADC" w14:textId="0BDFB0CA" w:rsidR="005355B4" w:rsidRDefault="005355B4">
      <w:pPr>
        <w:rPr>
          <w:rFonts w:ascii="Times New Roman" w:eastAsia="Times New Roman" w:hAnsi="Times New Roman" w:cs="Times New Roman"/>
          <w:sz w:val="24"/>
          <w:szCs w:val="24"/>
        </w:rPr>
      </w:pPr>
    </w:p>
    <w:p w14:paraId="5390F452" w14:textId="6AE9B7E3" w:rsidR="005355B4" w:rsidRDefault="004626E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AF9C4ED" w14:textId="708C290B" w:rsidR="005355B4" w:rsidRDefault="005355B4">
      <w:pPr>
        <w:rPr>
          <w:rFonts w:ascii="Times New Roman" w:eastAsia="Times New Roman" w:hAnsi="Times New Roman" w:cs="Times New Roman"/>
          <w:b/>
          <w:sz w:val="24"/>
          <w:szCs w:val="24"/>
        </w:rPr>
      </w:pPr>
    </w:p>
    <w:p w14:paraId="5B04C1D1" w14:textId="5B687082" w:rsidR="005355B4" w:rsidRDefault="005355B4">
      <w:pPr>
        <w:rPr>
          <w:rFonts w:ascii="Times New Roman" w:eastAsia="Times New Roman" w:hAnsi="Times New Roman" w:cs="Times New Roman"/>
          <w:b/>
          <w:sz w:val="24"/>
          <w:szCs w:val="24"/>
        </w:rPr>
      </w:pPr>
    </w:p>
    <w:p w14:paraId="608C4338" w14:textId="77777777" w:rsidR="005355B4" w:rsidRDefault="005355B4">
      <w:pPr>
        <w:rPr>
          <w:rFonts w:ascii="Times New Roman" w:eastAsia="Times New Roman" w:hAnsi="Times New Roman" w:cs="Times New Roman"/>
          <w:b/>
          <w:sz w:val="24"/>
          <w:szCs w:val="24"/>
        </w:rPr>
      </w:pPr>
    </w:p>
    <w:p w14:paraId="7FFBA271" w14:textId="77777777" w:rsidR="005355B4" w:rsidRDefault="005355B4">
      <w:pPr>
        <w:rPr>
          <w:rFonts w:ascii="Times New Roman" w:eastAsia="Times New Roman" w:hAnsi="Times New Roman" w:cs="Times New Roman"/>
          <w:b/>
          <w:sz w:val="24"/>
          <w:szCs w:val="24"/>
        </w:rPr>
      </w:pPr>
    </w:p>
    <w:p w14:paraId="7393C6DA" w14:textId="77777777" w:rsidR="005355B4" w:rsidRDefault="005355B4">
      <w:pPr>
        <w:rPr>
          <w:rFonts w:ascii="Times New Roman" w:eastAsia="Times New Roman" w:hAnsi="Times New Roman" w:cs="Times New Roman"/>
          <w:b/>
          <w:sz w:val="24"/>
          <w:szCs w:val="24"/>
        </w:rPr>
      </w:pPr>
    </w:p>
    <w:p w14:paraId="07409881" w14:textId="77777777" w:rsidR="005355B4" w:rsidRDefault="005355B4">
      <w:pPr>
        <w:rPr>
          <w:rFonts w:ascii="Times New Roman" w:eastAsia="Times New Roman" w:hAnsi="Times New Roman" w:cs="Times New Roman"/>
          <w:b/>
          <w:sz w:val="24"/>
          <w:szCs w:val="24"/>
        </w:rPr>
      </w:pPr>
    </w:p>
    <w:p w14:paraId="5427315A" w14:textId="72C4A97A" w:rsidR="005355B4" w:rsidRDefault="00E84EAF">
      <w:pPr>
        <w:rPr>
          <w:rFonts w:ascii="Times New Roman" w:eastAsia="Times New Roman" w:hAnsi="Times New Roman" w:cs="Times New Roman"/>
          <w:b/>
          <w:sz w:val="24"/>
          <w:szCs w:val="24"/>
        </w:rPr>
      </w:pPr>
      <w:r>
        <w:rPr>
          <w:noProof/>
        </w:rPr>
        <w:lastRenderedPageBreak/>
        <w:drawing>
          <wp:anchor distT="114300" distB="114300" distL="114300" distR="114300" simplePos="0" relativeHeight="251658240" behindDoc="0" locked="0" layoutInCell="1" hidden="0" allowOverlap="1" wp14:anchorId="7D059B2A" wp14:editId="4E045CB6">
            <wp:simplePos x="0" y="0"/>
            <wp:positionH relativeFrom="column">
              <wp:posOffset>-127591</wp:posOffset>
            </wp:positionH>
            <wp:positionV relativeFrom="paragraph">
              <wp:posOffset>-465854</wp:posOffset>
            </wp:positionV>
            <wp:extent cx="5943600" cy="38100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943600" cy="3810000"/>
                    </a:xfrm>
                    <a:prstGeom prst="rect">
                      <a:avLst/>
                    </a:prstGeom>
                    <a:ln/>
                  </pic:spPr>
                </pic:pic>
              </a:graphicData>
            </a:graphic>
          </wp:anchor>
        </w:drawing>
      </w:r>
    </w:p>
    <w:p w14:paraId="7E9D3524" w14:textId="77777777" w:rsidR="005355B4" w:rsidRDefault="005355B4">
      <w:pPr>
        <w:rPr>
          <w:rFonts w:ascii="Times New Roman" w:eastAsia="Times New Roman" w:hAnsi="Times New Roman" w:cs="Times New Roman"/>
          <w:b/>
          <w:sz w:val="24"/>
          <w:szCs w:val="24"/>
        </w:rPr>
      </w:pPr>
    </w:p>
    <w:p w14:paraId="700C920C" w14:textId="77777777" w:rsidR="005355B4" w:rsidRDefault="005355B4">
      <w:pPr>
        <w:rPr>
          <w:rFonts w:ascii="Times New Roman" w:eastAsia="Times New Roman" w:hAnsi="Times New Roman" w:cs="Times New Roman"/>
          <w:b/>
          <w:sz w:val="24"/>
          <w:szCs w:val="24"/>
        </w:rPr>
      </w:pPr>
    </w:p>
    <w:p w14:paraId="2D4BCCD3" w14:textId="77777777" w:rsidR="005355B4" w:rsidRDefault="005355B4">
      <w:pPr>
        <w:rPr>
          <w:rFonts w:ascii="Times New Roman" w:eastAsia="Times New Roman" w:hAnsi="Times New Roman" w:cs="Times New Roman"/>
          <w:b/>
          <w:sz w:val="24"/>
          <w:szCs w:val="24"/>
        </w:rPr>
      </w:pPr>
    </w:p>
    <w:p w14:paraId="4FFD74DF" w14:textId="77777777" w:rsidR="005355B4" w:rsidRDefault="005355B4">
      <w:pPr>
        <w:rPr>
          <w:rFonts w:ascii="Times New Roman" w:eastAsia="Times New Roman" w:hAnsi="Times New Roman" w:cs="Times New Roman"/>
          <w:b/>
          <w:sz w:val="24"/>
          <w:szCs w:val="24"/>
        </w:rPr>
      </w:pPr>
    </w:p>
    <w:p w14:paraId="49796E05" w14:textId="77777777" w:rsidR="005355B4" w:rsidRDefault="005355B4">
      <w:pPr>
        <w:rPr>
          <w:rFonts w:ascii="Times New Roman" w:eastAsia="Times New Roman" w:hAnsi="Times New Roman" w:cs="Times New Roman"/>
          <w:b/>
          <w:sz w:val="24"/>
          <w:szCs w:val="24"/>
        </w:rPr>
      </w:pPr>
    </w:p>
    <w:p w14:paraId="527E9BF1" w14:textId="77777777" w:rsidR="005355B4" w:rsidRDefault="005355B4">
      <w:pPr>
        <w:rPr>
          <w:rFonts w:ascii="Times New Roman" w:eastAsia="Times New Roman" w:hAnsi="Times New Roman" w:cs="Times New Roman"/>
          <w:b/>
          <w:sz w:val="24"/>
          <w:szCs w:val="24"/>
        </w:rPr>
      </w:pPr>
    </w:p>
    <w:p w14:paraId="5E315C7E" w14:textId="77777777" w:rsidR="005355B4" w:rsidRDefault="005355B4">
      <w:pPr>
        <w:rPr>
          <w:rFonts w:ascii="Times New Roman" w:eastAsia="Times New Roman" w:hAnsi="Times New Roman" w:cs="Times New Roman"/>
          <w:b/>
          <w:sz w:val="24"/>
          <w:szCs w:val="24"/>
        </w:rPr>
      </w:pPr>
    </w:p>
    <w:p w14:paraId="26B635DA" w14:textId="77777777" w:rsidR="005355B4" w:rsidRDefault="004626E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289C6739" w14:textId="77777777" w:rsidR="00E84EAF" w:rsidRDefault="004626E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4DDCD5FA" w14:textId="77777777" w:rsidR="00E84EAF" w:rsidRDefault="00E84EAF">
      <w:pPr>
        <w:rPr>
          <w:rFonts w:ascii="Times New Roman" w:eastAsia="Times New Roman" w:hAnsi="Times New Roman" w:cs="Times New Roman"/>
          <w:b/>
          <w:sz w:val="24"/>
          <w:szCs w:val="24"/>
        </w:rPr>
      </w:pPr>
    </w:p>
    <w:p w14:paraId="0C2AC3F9" w14:textId="77777777" w:rsidR="00E84EAF" w:rsidRDefault="00E84EAF">
      <w:pPr>
        <w:rPr>
          <w:rFonts w:ascii="Times New Roman" w:eastAsia="Times New Roman" w:hAnsi="Times New Roman" w:cs="Times New Roman"/>
          <w:b/>
          <w:sz w:val="24"/>
          <w:szCs w:val="24"/>
        </w:rPr>
      </w:pPr>
    </w:p>
    <w:p w14:paraId="06F2E202" w14:textId="77777777" w:rsidR="00E84EAF" w:rsidRDefault="00E84EAF">
      <w:pPr>
        <w:rPr>
          <w:rFonts w:ascii="Times New Roman" w:eastAsia="Times New Roman" w:hAnsi="Times New Roman" w:cs="Times New Roman"/>
          <w:b/>
          <w:sz w:val="24"/>
          <w:szCs w:val="24"/>
        </w:rPr>
      </w:pPr>
    </w:p>
    <w:p w14:paraId="3E360744" w14:textId="77777777" w:rsidR="00E84EAF" w:rsidRDefault="00E84EAF">
      <w:pPr>
        <w:rPr>
          <w:rFonts w:ascii="Times New Roman" w:eastAsia="Times New Roman" w:hAnsi="Times New Roman" w:cs="Times New Roman"/>
          <w:b/>
          <w:sz w:val="24"/>
          <w:szCs w:val="24"/>
        </w:rPr>
      </w:pPr>
    </w:p>
    <w:p w14:paraId="4FBB87E3" w14:textId="77777777" w:rsidR="00E84EAF" w:rsidRDefault="00E84EAF">
      <w:pPr>
        <w:rPr>
          <w:rFonts w:ascii="Times New Roman" w:eastAsia="Times New Roman" w:hAnsi="Times New Roman" w:cs="Times New Roman"/>
          <w:b/>
          <w:sz w:val="24"/>
          <w:szCs w:val="24"/>
        </w:rPr>
      </w:pPr>
    </w:p>
    <w:p w14:paraId="36EF7C04" w14:textId="77777777" w:rsidR="00E84EAF" w:rsidRDefault="00E84EAF">
      <w:pPr>
        <w:rPr>
          <w:rFonts w:ascii="Times New Roman" w:eastAsia="Times New Roman" w:hAnsi="Times New Roman" w:cs="Times New Roman"/>
          <w:b/>
          <w:sz w:val="24"/>
          <w:szCs w:val="24"/>
        </w:rPr>
      </w:pPr>
    </w:p>
    <w:p w14:paraId="61CF5B5B" w14:textId="77777777" w:rsidR="00E84EAF" w:rsidRDefault="00E84EAF">
      <w:pPr>
        <w:rPr>
          <w:rFonts w:ascii="Times New Roman" w:eastAsia="Times New Roman" w:hAnsi="Times New Roman" w:cs="Times New Roman"/>
          <w:b/>
          <w:sz w:val="24"/>
          <w:szCs w:val="24"/>
        </w:rPr>
      </w:pPr>
    </w:p>
    <w:p w14:paraId="2DF97144" w14:textId="77777777" w:rsidR="00E84EAF" w:rsidRDefault="00E84EAF">
      <w:pPr>
        <w:rPr>
          <w:rFonts w:ascii="Times New Roman" w:eastAsia="Times New Roman" w:hAnsi="Times New Roman" w:cs="Times New Roman"/>
          <w:b/>
          <w:sz w:val="24"/>
          <w:szCs w:val="24"/>
        </w:rPr>
      </w:pPr>
    </w:p>
    <w:p w14:paraId="6A71AD23" w14:textId="77777777" w:rsidR="00E84EAF" w:rsidRDefault="00E84EAF">
      <w:pPr>
        <w:rPr>
          <w:rFonts w:ascii="Times New Roman" w:eastAsia="Times New Roman" w:hAnsi="Times New Roman" w:cs="Times New Roman"/>
          <w:b/>
          <w:sz w:val="24"/>
          <w:szCs w:val="24"/>
        </w:rPr>
      </w:pPr>
    </w:p>
    <w:p w14:paraId="373CAB23" w14:textId="557AFE11" w:rsidR="005355B4" w:rsidRDefault="004626E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Figure 1</w:t>
      </w:r>
      <w:r>
        <w:rPr>
          <w:rFonts w:ascii="Times New Roman" w:eastAsia="Times New Roman" w:hAnsi="Times New Roman" w:cs="Times New Roman"/>
          <w:sz w:val="24"/>
          <w:szCs w:val="24"/>
        </w:rPr>
        <w:t>: Pathophysiology of tumor lysis syndrome.</w:t>
      </w:r>
    </w:p>
    <w:p w14:paraId="2D7E275F" w14:textId="77777777" w:rsidR="005355B4" w:rsidRDefault="005355B4">
      <w:pPr>
        <w:rPr>
          <w:rFonts w:ascii="Times New Roman" w:eastAsia="Times New Roman" w:hAnsi="Times New Roman" w:cs="Times New Roman"/>
          <w:sz w:val="24"/>
          <w:szCs w:val="24"/>
        </w:rPr>
      </w:pPr>
    </w:p>
    <w:p w14:paraId="5BB93031" w14:textId="77777777" w:rsidR="005355B4" w:rsidRDefault="005355B4">
      <w:pPr>
        <w:rPr>
          <w:rFonts w:ascii="Times New Roman" w:eastAsia="Times New Roman" w:hAnsi="Times New Roman" w:cs="Times New Roman"/>
          <w:sz w:val="24"/>
          <w:szCs w:val="24"/>
        </w:rPr>
      </w:pPr>
    </w:p>
    <w:p w14:paraId="6A7AA8FB" w14:textId="77777777" w:rsidR="005355B4" w:rsidRDefault="005355B4">
      <w:pPr>
        <w:rPr>
          <w:rFonts w:ascii="Times New Roman" w:eastAsia="Times New Roman" w:hAnsi="Times New Roman" w:cs="Times New Roman"/>
          <w:sz w:val="24"/>
          <w:szCs w:val="24"/>
        </w:rPr>
      </w:pPr>
    </w:p>
    <w:p w14:paraId="7EB19593" w14:textId="77777777" w:rsidR="005355B4" w:rsidRDefault="004626E0">
      <w:pPr>
        <w:rPr>
          <w:rFonts w:ascii="Times New Roman" w:eastAsia="Times New Roman" w:hAnsi="Times New Roman" w:cs="Times New Roman"/>
          <w:color w:val="252525"/>
          <w:sz w:val="24"/>
          <w:szCs w:val="24"/>
        </w:rPr>
      </w:pPr>
      <w:r>
        <w:rPr>
          <w:rFonts w:ascii="Times New Roman" w:eastAsia="Times New Roman" w:hAnsi="Times New Roman" w:cs="Times New Roman"/>
          <w:sz w:val="24"/>
          <w:szCs w:val="24"/>
        </w:rPr>
        <w:t>2.1 Hyperuricemia</w:t>
      </w:r>
      <w:r>
        <w:rPr>
          <w:rFonts w:ascii="Times New Roman" w:eastAsia="Times New Roman" w:hAnsi="Times New Roman" w:cs="Times New Roman"/>
          <w:color w:val="252525"/>
          <w:sz w:val="24"/>
          <w:szCs w:val="24"/>
        </w:rPr>
        <w:t xml:space="preserve"> </w:t>
      </w:r>
    </w:p>
    <w:p w14:paraId="7DC413EC" w14:textId="77777777" w:rsidR="005355B4" w:rsidRDefault="004626E0">
      <w:pPr>
        <w:spacing w:before="240" w:after="240"/>
        <w:rPr>
          <w:rFonts w:ascii="Times New Roman" w:eastAsia="Times New Roman" w:hAnsi="Times New Roman" w:cs="Times New Roman"/>
          <w:color w:val="252525"/>
          <w:sz w:val="24"/>
          <w:szCs w:val="24"/>
        </w:rPr>
      </w:pPr>
      <w:r>
        <w:rPr>
          <w:rFonts w:ascii="Times New Roman" w:eastAsia="Times New Roman" w:hAnsi="Times New Roman" w:cs="Times New Roman"/>
          <w:color w:val="252525"/>
          <w:sz w:val="24"/>
          <w:szCs w:val="24"/>
        </w:rPr>
        <w:t xml:space="preserve">In patients with tumor lysis syndrome (TLS), hyperuricemia is a frequent complication. The rapid cell turnover of tumor cells, which results in a greater production of uric acid, is the mechanism underlying hyperuricemia in TLS. Purines, which are found in DNA and RNA, are metabolized into uric acid as a byproduct. Huge quantities of purines are released into the bloodstream during the rapid destruction of tumor cells, and these purines are later converted into uric acid. The purine pathway starts with adenosine monophosphate (AMP), where AMP is processed to inosine monophosphate (IMP) as well as adenosine by an enzyme called AMP deaminase. Adenosine is then processed to inosine by the enzyme adenosine deaminase (ADA). IMP can be reprocessed into inosine. Inosine undergoes another reaction to form hypoxanthine with the help of an enzyme called purine nucleoside phosphorylase. The hypoxanthine is then metabolized by xanthine oxidase to xanthine, which can be further processed to uric acid via the xanthine oxidase enzyme </w:t>
      </w:r>
      <w:hyperlink r:id="rId16">
        <w:r>
          <w:rPr>
            <w:rFonts w:ascii="Times New Roman" w:eastAsia="Times New Roman" w:hAnsi="Times New Roman" w:cs="Times New Roman"/>
            <w:sz w:val="24"/>
            <w:szCs w:val="24"/>
          </w:rPr>
          <w:t>(5)</w:t>
        </w:r>
      </w:hyperlink>
      <w:r>
        <w:rPr>
          <w:rFonts w:ascii="Times New Roman" w:eastAsia="Times New Roman" w:hAnsi="Times New Roman" w:cs="Times New Roman"/>
          <w:color w:val="252525"/>
          <w:sz w:val="24"/>
          <w:szCs w:val="24"/>
        </w:rPr>
        <w:t xml:space="preserve">. Most mammals have uricase, an enzyme that oxidizes uric acid into the easily excreted metabolite allantoin, which is water-soluble. Compared to uric acid, allantoin is five to ten times more soluble. A missense mutation has rendered urate oxidase inhuman, but pharmacologic urate oxidase is available and is used to treat and prevent hyperuricemia. The marked overproduction and overexcretion of uric acid in TLS can lead to </w:t>
      </w:r>
      <w:r>
        <w:rPr>
          <w:rFonts w:ascii="Times New Roman" w:eastAsia="Times New Roman" w:hAnsi="Times New Roman" w:cs="Times New Roman"/>
          <w:color w:val="252525"/>
          <w:sz w:val="24"/>
          <w:szCs w:val="24"/>
        </w:rPr>
        <w:lastRenderedPageBreak/>
        <w:t xml:space="preserve">crystal precipitation and deposition in the renal tubules, resulting in renal vasoconstriction, compromised glomerular filtration, reduced urine output, impaired autoregulation (impaired blood flow to organs), decreased renal flow, and inflammation, resulting in acute kidney injury </w:t>
      </w:r>
      <w:hyperlink r:id="rId17">
        <w:r>
          <w:rPr>
            <w:rFonts w:ascii="Times New Roman" w:eastAsia="Times New Roman" w:hAnsi="Times New Roman" w:cs="Times New Roman"/>
            <w:sz w:val="24"/>
            <w:szCs w:val="24"/>
          </w:rPr>
          <w:t>(6)</w:t>
        </w:r>
      </w:hyperlink>
      <w:r>
        <w:rPr>
          <w:rFonts w:ascii="Times New Roman" w:eastAsia="Times New Roman" w:hAnsi="Times New Roman" w:cs="Times New Roman"/>
          <w:color w:val="252525"/>
          <w:sz w:val="24"/>
          <w:szCs w:val="24"/>
        </w:rPr>
        <w:t>. The pathway is explained in the figure given below</w:t>
      </w:r>
      <w:hyperlink r:id="rId18">
        <w:r>
          <w:rPr>
            <w:rFonts w:ascii="Times New Roman" w:eastAsia="Times New Roman" w:hAnsi="Times New Roman" w:cs="Times New Roman"/>
            <w:color w:val="CC2936"/>
            <w:sz w:val="24"/>
            <w:szCs w:val="24"/>
          </w:rPr>
          <w:t xml:space="preserve"> </w:t>
        </w:r>
      </w:hyperlink>
      <w:r>
        <w:rPr>
          <w:rFonts w:ascii="Times New Roman" w:eastAsia="Times New Roman" w:hAnsi="Times New Roman" w:cs="Times New Roman"/>
          <w:color w:val="252525"/>
          <w:sz w:val="24"/>
          <w:szCs w:val="24"/>
        </w:rPr>
        <w:t xml:space="preserve">. Purine metabolism and the site of action of allopurinol, febuxostat, and </w:t>
      </w:r>
      <w:proofErr w:type="spellStart"/>
      <w:r>
        <w:rPr>
          <w:rFonts w:ascii="Times New Roman" w:eastAsia="Times New Roman" w:hAnsi="Times New Roman" w:cs="Times New Roman"/>
          <w:color w:val="252525"/>
          <w:sz w:val="24"/>
          <w:szCs w:val="24"/>
        </w:rPr>
        <w:t>rasburicase</w:t>
      </w:r>
      <w:proofErr w:type="spellEnd"/>
      <w:r>
        <w:rPr>
          <w:rFonts w:ascii="Times New Roman" w:eastAsia="Times New Roman" w:hAnsi="Times New Roman" w:cs="Times New Roman"/>
          <w:color w:val="252525"/>
          <w:sz w:val="24"/>
          <w:szCs w:val="24"/>
        </w:rPr>
        <w:t xml:space="preserve"> are demonstrated in Figure 2.</w:t>
      </w:r>
    </w:p>
    <w:p w14:paraId="663D37BF" w14:textId="77777777" w:rsidR="005355B4" w:rsidRDefault="004626E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2.2 Hyperkalemia</w:t>
      </w:r>
    </w:p>
    <w:p w14:paraId="559093B2" w14:textId="77777777" w:rsidR="005355B4" w:rsidRDefault="004626E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Hyperkalemia, or an abnormally high level of potassium in the blood, is a common manifestation of TLS. They start to show up 6 to 72 hours after chemotherapy starts. There is a huge load of potassium intracellularly which can be as high as 120 </w:t>
      </w:r>
      <w:proofErr w:type="spellStart"/>
      <w:r>
        <w:rPr>
          <w:rFonts w:ascii="Times New Roman" w:eastAsia="Times New Roman" w:hAnsi="Times New Roman" w:cs="Times New Roman"/>
          <w:sz w:val="24"/>
          <w:szCs w:val="24"/>
        </w:rPr>
        <w:t>meq</w:t>
      </w:r>
      <w:proofErr w:type="spellEnd"/>
      <w:r>
        <w:rPr>
          <w:rFonts w:ascii="Times New Roman" w:eastAsia="Times New Roman" w:hAnsi="Times New Roman" w:cs="Times New Roman"/>
          <w:sz w:val="24"/>
          <w:szCs w:val="24"/>
        </w:rPr>
        <w:t xml:space="preserve">/L </w:t>
      </w:r>
      <w:hyperlink r:id="rId19">
        <w:r>
          <w:rPr>
            <w:rFonts w:ascii="Times New Roman" w:eastAsia="Times New Roman" w:hAnsi="Times New Roman" w:cs="Times New Roman"/>
            <w:sz w:val="24"/>
            <w:szCs w:val="24"/>
          </w:rPr>
          <w:t>(7)</w:t>
        </w:r>
      </w:hyperlink>
      <w:r>
        <w:rPr>
          <w:rFonts w:ascii="Times New Roman" w:eastAsia="Times New Roman" w:hAnsi="Times New Roman" w:cs="Times New Roman"/>
          <w:sz w:val="24"/>
          <w:szCs w:val="24"/>
        </w:rPr>
        <w:t xml:space="preserve">. Numerous cells are killed during TLS, releasing potassium from the intracellular environment into the bloodstream. The typical homeostatic processes that control serum potassium levels may be overwhelmed by this abrupt increase in potassium. Ineffective potassium excretion by the kidneys can also result in hyperkalemia. Renal failure, a common TLS consequence, can cause this in TLS patients. Decreased potassium excretion and potassium retention in the body can be caused by decreased urine production, compromised renal function and transcellular potassium shift </w:t>
      </w:r>
      <w:hyperlink r:id="rId20">
        <w:r>
          <w:rPr>
            <w:rFonts w:ascii="Times New Roman" w:eastAsia="Times New Roman" w:hAnsi="Times New Roman" w:cs="Times New Roman"/>
            <w:sz w:val="24"/>
            <w:szCs w:val="24"/>
          </w:rPr>
          <w:t>(8)</w:t>
        </w:r>
      </w:hyperlink>
      <w:r>
        <w:rPr>
          <w:rFonts w:ascii="Times New Roman" w:eastAsia="Times New Roman" w:hAnsi="Times New Roman" w:cs="Times New Roman"/>
          <w:sz w:val="24"/>
          <w:szCs w:val="24"/>
        </w:rPr>
        <w:t>.</w:t>
      </w:r>
    </w:p>
    <w:p w14:paraId="267EF06D" w14:textId="77777777" w:rsidR="005355B4" w:rsidRDefault="005355B4">
      <w:pPr>
        <w:spacing w:before="240" w:after="240"/>
        <w:rPr>
          <w:rFonts w:ascii="Times New Roman" w:eastAsia="Times New Roman" w:hAnsi="Times New Roman" w:cs="Times New Roman"/>
          <w:sz w:val="24"/>
          <w:szCs w:val="24"/>
        </w:rPr>
      </w:pPr>
    </w:p>
    <w:p w14:paraId="6EDA5A7D" w14:textId="77777777" w:rsidR="005355B4" w:rsidRDefault="004626E0">
      <w:pPr>
        <w:spacing w:before="240"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3F40DC3D" wp14:editId="364DEBB9">
            <wp:extent cx="5943600" cy="50927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5943600" cy="5092700"/>
                    </a:xfrm>
                    <a:prstGeom prst="rect">
                      <a:avLst/>
                    </a:prstGeom>
                    <a:ln/>
                  </pic:spPr>
                </pic:pic>
              </a:graphicData>
            </a:graphic>
          </wp:inline>
        </w:drawing>
      </w:r>
    </w:p>
    <w:p w14:paraId="49CE65E5" w14:textId="77777777" w:rsidR="005355B4" w:rsidRDefault="004626E0">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Figure 2: </w:t>
      </w:r>
      <w:r>
        <w:rPr>
          <w:rFonts w:ascii="Times New Roman" w:eastAsia="Times New Roman" w:hAnsi="Times New Roman" w:cs="Times New Roman"/>
          <w:sz w:val="24"/>
          <w:szCs w:val="24"/>
        </w:rPr>
        <w:t>Purine metabolism and site of action of hypouricemic agents</w:t>
      </w:r>
    </w:p>
    <w:p w14:paraId="0E27DF08" w14:textId="77777777" w:rsidR="005355B4" w:rsidRDefault="004626E0">
      <w:pPr>
        <w:spacing w:before="240" w:after="240"/>
        <w:rPr>
          <w:rFonts w:ascii="Times New Roman" w:eastAsia="Times New Roman" w:hAnsi="Times New Roman" w:cs="Times New Roman"/>
          <w:color w:val="2E2E2E"/>
          <w:sz w:val="24"/>
          <w:szCs w:val="24"/>
        </w:rPr>
      </w:pPr>
      <w:r>
        <w:rPr>
          <w:rFonts w:ascii="Times New Roman" w:eastAsia="Times New Roman" w:hAnsi="Times New Roman" w:cs="Times New Roman"/>
          <w:sz w:val="24"/>
          <w:szCs w:val="24"/>
        </w:rPr>
        <w:t xml:space="preserve">2.3 </w:t>
      </w:r>
      <w:r>
        <w:rPr>
          <w:rFonts w:ascii="Times New Roman" w:eastAsia="Times New Roman" w:hAnsi="Times New Roman" w:cs="Times New Roman"/>
          <w:color w:val="2E2E2E"/>
          <w:sz w:val="24"/>
          <w:szCs w:val="24"/>
        </w:rPr>
        <w:t>Hyperphosphatemia and Hypocalcemia</w:t>
      </w:r>
    </w:p>
    <w:p w14:paraId="2AA3EB68" w14:textId="77777777" w:rsidR="005355B4" w:rsidRDefault="004626E0">
      <w:pPr>
        <w:spacing w:before="240" w:after="240"/>
        <w:rPr>
          <w:rFonts w:ascii="Times New Roman" w:eastAsia="Times New Roman" w:hAnsi="Times New Roman" w:cs="Times New Roman"/>
          <w:color w:val="252525"/>
          <w:sz w:val="24"/>
          <w:szCs w:val="24"/>
        </w:rPr>
      </w:pPr>
      <w:r>
        <w:rPr>
          <w:rFonts w:ascii="Times New Roman" w:eastAsia="Times New Roman" w:hAnsi="Times New Roman" w:cs="Times New Roman"/>
          <w:color w:val="252525"/>
          <w:sz w:val="24"/>
          <w:szCs w:val="24"/>
        </w:rPr>
        <w:t xml:space="preserve">One of the hallmarks of TLS is hyperphosphatemia. Although phosphate is a necessary part of cellular metabolism, excessive concentrations can be hazardous to the body. The actions of parathyroid hormone (PTH), vitamin D, and fibroblast growth factor 23 (FGF-23) normally maintain the serum phosphate concentration within a specific range. While FGF-23 inhibits phosphate reabsorption and induces urine excretion, PTH promotes the reabsorption of phosphate by the renal tubules. Increased intestinal absorption of calcium and phosphate and altered renal phosphate excretion are both effects of vitamin D </w:t>
      </w:r>
      <w:hyperlink r:id="rId22">
        <w:r>
          <w:rPr>
            <w:rFonts w:ascii="Times New Roman" w:eastAsia="Times New Roman" w:hAnsi="Times New Roman" w:cs="Times New Roman"/>
            <w:color w:val="252525"/>
            <w:sz w:val="24"/>
            <w:szCs w:val="24"/>
          </w:rPr>
          <w:t>(9)</w:t>
        </w:r>
      </w:hyperlink>
      <w:r>
        <w:rPr>
          <w:rFonts w:ascii="Times New Roman" w:eastAsia="Times New Roman" w:hAnsi="Times New Roman" w:cs="Times New Roman"/>
          <w:color w:val="252525"/>
          <w:sz w:val="24"/>
          <w:szCs w:val="24"/>
        </w:rPr>
        <w:t xml:space="preserve">. In TLS, the massive release of intracellular phosphate leads to an increase in the serum phosphate concentration, which makes it difficult for the body to handle. This hyperphosphatemia can cause several pathological effects, including: secondary hypocalcemia (the elevated serum phosphate binds to calcium, forming insoluble calcium phosphate crystals that precipitate in soft tissues and bones, leading to </w:t>
      </w:r>
      <w:r>
        <w:rPr>
          <w:rFonts w:ascii="Times New Roman" w:eastAsia="Times New Roman" w:hAnsi="Times New Roman" w:cs="Times New Roman"/>
          <w:color w:val="252525"/>
          <w:sz w:val="24"/>
          <w:szCs w:val="24"/>
        </w:rPr>
        <w:lastRenderedPageBreak/>
        <w:t xml:space="preserve">hypocalcemia); acute kidney injury (by the formation of calcium phosphate crystals in renal tubules); and endothelial dysfunction (by inducing oxidative stress and inflammation). </w:t>
      </w:r>
    </w:p>
    <w:p w14:paraId="6D8AC2C7" w14:textId="77777777" w:rsidR="005355B4" w:rsidRDefault="004626E0">
      <w:pPr>
        <w:spacing w:before="240" w:after="240"/>
        <w:rPr>
          <w:rFonts w:ascii="Times New Roman" w:eastAsia="Times New Roman" w:hAnsi="Times New Roman" w:cs="Times New Roman"/>
          <w:color w:val="252525"/>
          <w:sz w:val="24"/>
          <w:szCs w:val="24"/>
        </w:rPr>
      </w:pPr>
      <w:r>
        <w:rPr>
          <w:rFonts w:ascii="Times New Roman" w:eastAsia="Times New Roman" w:hAnsi="Times New Roman" w:cs="Times New Roman"/>
          <w:color w:val="252525"/>
          <w:sz w:val="24"/>
          <w:szCs w:val="24"/>
        </w:rPr>
        <w:t xml:space="preserve">Hypocalcemia is another common feature of TLS. Calcium is a vital electrolyte that is required for many cellular processes, including muscle contraction and nerve function. Hypocalcemia in TLS occurs due to a combination of factors. First, the high levels of serum phosphate in TLS can lead to the formation of calcium phosphate crystals, which can bind to and remove calcium from the bloodstream. Additionally, the rapid release of intracellular potassium and nucleic acids can lead to an influx of hydrogen ions into the bloodstream, which can lead to an increase in the acidity of the blood. This acidosis can then lead to increased calcium binding to albumin, making it unavailable for use by the body. Low calcium levels can cause muscle cramps, tetany, seizures, and cardiac arrhythmias </w:t>
      </w:r>
      <w:hyperlink r:id="rId23">
        <w:r>
          <w:rPr>
            <w:rFonts w:ascii="Times New Roman" w:eastAsia="Times New Roman" w:hAnsi="Times New Roman" w:cs="Times New Roman"/>
            <w:color w:val="252525"/>
            <w:sz w:val="24"/>
            <w:szCs w:val="24"/>
          </w:rPr>
          <w:t>(10)</w:t>
        </w:r>
      </w:hyperlink>
      <w:r>
        <w:rPr>
          <w:rFonts w:ascii="Times New Roman" w:eastAsia="Times New Roman" w:hAnsi="Times New Roman" w:cs="Times New Roman"/>
          <w:color w:val="252525"/>
          <w:sz w:val="24"/>
          <w:szCs w:val="24"/>
        </w:rPr>
        <w:t>.</w:t>
      </w:r>
    </w:p>
    <w:p w14:paraId="7F5F4FDD" w14:textId="77777777" w:rsidR="005355B4" w:rsidRDefault="004626E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Clinical Features and Risk Factors</w:t>
      </w:r>
    </w:p>
    <w:p w14:paraId="0687CFFE" w14:textId="77777777" w:rsidR="005355B4" w:rsidRDefault="005355B4">
      <w:pPr>
        <w:rPr>
          <w:rFonts w:ascii="Times New Roman" w:eastAsia="Times New Roman" w:hAnsi="Times New Roman" w:cs="Times New Roman"/>
          <w:sz w:val="24"/>
          <w:szCs w:val="24"/>
        </w:rPr>
      </w:pPr>
    </w:p>
    <w:p w14:paraId="2342FCBF" w14:textId="77777777" w:rsidR="005355B4" w:rsidRDefault="004626E0">
      <w:pPr>
        <w:rPr>
          <w:rFonts w:ascii="Times New Roman" w:eastAsia="Times New Roman" w:hAnsi="Times New Roman" w:cs="Times New Roman"/>
          <w:sz w:val="24"/>
          <w:szCs w:val="24"/>
        </w:rPr>
      </w:pPr>
      <w:r>
        <w:rPr>
          <w:rFonts w:ascii="Times New Roman" w:eastAsia="Times New Roman" w:hAnsi="Times New Roman" w:cs="Times New Roman"/>
          <w:color w:val="212121"/>
          <w:sz w:val="24"/>
          <w:szCs w:val="24"/>
        </w:rPr>
        <w:t xml:space="preserve">As discussed earlier the identification of the syndrome is very crucial for implementing the prophylactic treatment and for preventing the mortality among the cancer patients. The clinical features of TLS are directly linked to the metabolic abnormalities that are observed in this disorder, which include </w:t>
      </w:r>
      <w:r>
        <w:rPr>
          <w:rFonts w:ascii="Times New Roman" w:eastAsia="Times New Roman" w:hAnsi="Times New Roman" w:cs="Times New Roman"/>
          <w:sz w:val="24"/>
          <w:szCs w:val="24"/>
        </w:rPr>
        <w:t xml:space="preserve">hyperuricemia, </w:t>
      </w:r>
      <w:proofErr w:type="spellStart"/>
      <w:r>
        <w:rPr>
          <w:rFonts w:ascii="Times New Roman" w:eastAsia="Times New Roman" w:hAnsi="Times New Roman" w:cs="Times New Roman"/>
          <w:sz w:val="24"/>
          <w:szCs w:val="24"/>
        </w:rPr>
        <w:t>hyperkalaemia</w:t>
      </w:r>
      <w:proofErr w:type="spellEnd"/>
      <w:r>
        <w:rPr>
          <w:rFonts w:ascii="Times New Roman" w:eastAsia="Times New Roman" w:hAnsi="Times New Roman" w:cs="Times New Roman"/>
          <w:sz w:val="24"/>
          <w:szCs w:val="24"/>
        </w:rPr>
        <w:t xml:space="preserve">, hyperphosphatemia, </w:t>
      </w:r>
      <w:proofErr w:type="spellStart"/>
      <w:r>
        <w:rPr>
          <w:rFonts w:ascii="Times New Roman" w:eastAsia="Times New Roman" w:hAnsi="Times New Roman" w:cs="Times New Roman"/>
          <w:sz w:val="24"/>
          <w:szCs w:val="24"/>
        </w:rPr>
        <w:t>hypocalcaemia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uraemia</w:t>
      </w:r>
      <w:proofErr w:type="spellEnd"/>
      <w:r>
        <w:rPr>
          <w:rFonts w:ascii="Times New Roman" w:eastAsia="Times New Roman" w:hAnsi="Times New Roman" w:cs="Times New Roman"/>
          <w:sz w:val="24"/>
          <w:szCs w:val="24"/>
        </w:rPr>
        <w:t xml:space="preserve">. Therefore, these abnormalities can be identified by the clinical manifestations. For example the hypocalcemia caused by TLS may have common symptoms such as prolonged QT intervals, paresthesia, muscle spasms, cramps, tetany, circumoral numbness, seizures and alteration of mental status </w:t>
      </w:r>
      <w:hyperlink r:id="rId24">
        <w:r>
          <w:rPr>
            <w:rFonts w:ascii="Times New Roman" w:eastAsia="Times New Roman" w:hAnsi="Times New Roman" w:cs="Times New Roman"/>
            <w:sz w:val="24"/>
            <w:szCs w:val="24"/>
          </w:rPr>
          <w:t>(10)</w:t>
        </w:r>
      </w:hyperlink>
      <w:r>
        <w:rPr>
          <w:rFonts w:ascii="Times New Roman" w:eastAsia="Times New Roman" w:hAnsi="Times New Roman" w:cs="Times New Roman"/>
          <w:color w:val="212121"/>
          <w:sz w:val="24"/>
          <w:szCs w:val="24"/>
        </w:rPr>
        <w:t xml:space="preserve">. Hyperkalemia is associated with </w:t>
      </w:r>
      <w:r>
        <w:rPr>
          <w:rFonts w:ascii="Times New Roman" w:eastAsia="Times New Roman" w:hAnsi="Times New Roman" w:cs="Times New Roman"/>
          <w:color w:val="202124"/>
          <w:sz w:val="24"/>
          <w:szCs w:val="24"/>
          <w:highlight w:val="white"/>
        </w:rPr>
        <w:t xml:space="preserve">Muscle fatigue, deadly </w:t>
      </w:r>
      <w:r>
        <w:rPr>
          <w:rFonts w:ascii="Times New Roman" w:eastAsia="Times New Roman" w:hAnsi="Times New Roman" w:cs="Times New Roman"/>
          <w:color w:val="212121"/>
          <w:sz w:val="24"/>
          <w:szCs w:val="24"/>
          <w:highlight w:val="white"/>
        </w:rPr>
        <w:t xml:space="preserve">cardiac arrhythmias, ECG abnormalities and renal dysfunction </w:t>
      </w:r>
      <w:hyperlink r:id="rId25">
        <w:r>
          <w:rPr>
            <w:rFonts w:ascii="Times New Roman" w:eastAsia="Times New Roman" w:hAnsi="Times New Roman" w:cs="Times New Roman"/>
            <w:sz w:val="24"/>
            <w:szCs w:val="24"/>
          </w:rPr>
          <w:t>(11)</w:t>
        </w:r>
      </w:hyperlink>
      <w:r>
        <w:rPr>
          <w:rFonts w:ascii="Times New Roman" w:eastAsia="Times New Roman" w:hAnsi="Times New Roman" w:cs="Times New Roman"/>
          <w:sz w:val="24"/>
          <w:szCs w:val="24"/>
        </w:rPr>
        <w:t>.</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In severe acute </w:t>
      </w:r>
      <w:proofErr w:type="spellStart"/>
      <w:r>
        <w:rPr>
          <w:rFonts w:ascii="Times New Roman" w:eastAsia="Times New Roman" w:hAnsi="Times New Roman" w:cs="Times New Roman"/>
          <w:sz w:val="24"/>
          <w:szCs w:val="24"/>
        </w:rPr>
        <w:t>phosphatemia</w:t>
      </w:r>
      <w:proofErr w:type="spellEnd"/>
      <w:r>
        <w:rPr>
          <w:rFonts w:ascii="Times New Roman" w:eastAsia="Times New Roman" w:hAnsi="Times New Roman" w:cs="Times New Roman"/>
          <w:color w:val="505050"/>
          <w:sz w:val="24"/>
          <w:szCs w:val="24"/>
        </w:rPr>
        <w:t>,</w:t>
      </w:r>
      <w:r>
        <w:rPr>
          <w:rFonts w:ascii="Times New Roman" w:eastAsia="Times New Roman" w:hAnsi="Times New Roman" w:cs="Times New Roman"/>
          <w:sz w:val="24"/>
          <w:szCs w:val="24"/>
        </w:rPr>
        <w:t xml:space="preserve"> the clinical manifestations arise from hypocalcemia caused by the formation of insoluble calcium phosphate salts: musculoskeletal weakness, tetany and increased neuromuscular excitability. At the central nervous system level seizures and cognitive impairment may develop </w:t>
      </w:r>
      <w:hyperlink r:id="rId26">
        <w:r>
          <w:rPr>
            <w:rFonts w:ascii="Times New Roman" w:eastAsia="Times New Roman" w:hAnsi="Times New Roman" w:cs="Times New Roman"/>
            <w:sz w:val="24"/>
            <w:szCs w:val="24"/>
          </w:rPr>
          <w:t>(12)</w:t>
        </w:r>
      </w:hyperlink>
      <w:r>
        <w:rPr>
          <w:rFonts w:ascii="Times New Roman" w:eastAsia="Times New Roman" w:hAnsi="Times New Roman" w:cs="Times New Roman"/>
          <w:sz w:val="24"/>
          <w:szCs w:val="24"/>
        </w:rPr>
        <w:t xml:space="preserve">. </w:t>
      </w:r>
    </w:p>
    <w:p w14:paraId="5BE6EB13" w14:textId="77777777" w:rsidR="005355B4" w:rsidRDefault="005355B4">
      <w:pPr>
        <w:rPr>
          <w:rFonts w:ascii="Times New Roman" w:eastAsia="Times New Roman" w:hAnsi="Times New Roman" w:cs="Times New Roman"/>
          <w:sz w:val="24"/>
          <w:szCs w:val="24"/>
        </w:rPr>
      </w:pPr>
    </w:p>
    <w:p w14:paraId="44D520E0" w14:textId="77777777" w:rsidR="005355B4" w:rsidRDefault="004626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252525"/>
          <w:sz w:val="24"/>
          <w:szCs w:val="24"/>
        </w:rPr>
        <w:t xml:space="preserve">Meanwhile, as a direct result of hyperuricemia, uric acid crystals precipitate out of the renal tubules. The main complaints associated with hyperuricemia are gout and uric acid nephrolithiasis, which are followed by clinical manifestations such as swollen joints, flank pain, hematuria, nausea or vomiting, and colicky pain </w:t>
      </w:r>
      <w:hyperlink r:id="rId27">
        <w:r>
          <w:rPr>
            <w:rFonts w:ascii="Times New Roman" w:eastAsia="Times New Roman" w:hAnsi="Times New Roman" w:cs="Times New Roman"/>
            <w:sz w:val="24"/>
            <w:szCs w:val="24"/>
          </w:rPr>
          <w:t>(13)</w:t>
        </w:r>
      </w:hyperlink>
      <w:r>
        <w:rPr>
          <w:rFonts w:ascii="Times New Roman" w:eastAsia="Times New Roman" w:hAnsi="Times New Roman" w:cs="Times New Roman"/>
          <w:color w:val="252525"/>
          <w:sz w:val="24"/>
          <w:szCs w:val="24"/>
        </w:rPr>
        <w:t xml:space="preserve">. These symptoms should be closely monitored in patients receiving chemotherapy, especially those who are in the high-risk category of developing TLS </w:t>
      </w:r>
      <w:hyperlink r:id="rId28">
        <w:r>
          <w:rPr>
            <w:rFonts w:ascii="Times New Roman" w:eastAsia="Times New Roman" w:hAnsi="Times New Roman" w:cs="Times New Roman"/>
            <w:sz w:val="24"/>
            <w:szCs w:val="24"/>
          </w:rPr>
          <w:t>(14)</w:t>
        </w:r>
      </w:hyperlink>
      <w:r>
        <w:rPr>
          <w:rFonts w:ascii="Times New Roman" w:eastAsia="Times New Roman" w:hAnsi="Times New Roman" w:cs="Times New Roman"/>
          <w:color w:val="252525"/>
          <w:sz w:val="24"/>
          <w:szCs w:val="24"/>
        </w:rPr>
        <w:t xml:space="preserve">. Tumor Lysis Syndrome (TLS) most commonly arises in patients with malignancies characterized by rapid proliferation and a substantial tumor burden. Elevated serum levels of lactate dehydrogenase (LDH), a marker of tumor aggressiveness and high cellular turnover, are frequently observed in these individuals and serve as a significant predictor of TLS. Hematologic malignancies, particularly acute lymphoblastic leukemia (ALL), often present with markedly elevated white blood cell counts, further amplifying the risk. Additionally, pre-treatment hyperuricemia can predispose patients to uric acid nephropathy once cytotoxic therapy is initiated. Underlying renal dysfunction or existing kidney disease significantly impairs the </w:t>
      </w:r>
      <w:r>
        <w:rPr>
          <w:rFonts w:ascii="Times New Roman" w:eastAsia="Times New Roman" w:hAnsi="Times New Roman" w:cs="Times New Roman"/>
          <w:color w:val="252525"/>
          <w:sz w:val="24"/>
          <w:szCs w:val="24"/>
        </w:rPr>
        <w:lastRenderedPageBreak/>
        <w:t>clearance of metabolic byproducts, thereby exacerbating the risk of TLS. Pre-existing electrolyte disturbances, such as hyperkalemia, hyperphosphatemia, or hypocalcemia can intensify metabolic derangements once cell lysis begins. Importantly, the initiation of chemotherapy, radiation, or targeted therapies often serves as the precipitating trigger, rapidly inducing tumor cell death and the subsequent release of intracellular contents into the circulation. Identifying these high-risk features prior to the initiation of therapy is essential for timely prophylactic interventions and optimal patient outcomes.</w:t>
      </w:r>
    </w:p>
    <w:p w14:paraId="3F5B1D92" w14:textId="77777777" w:rsidR="005355B4" w:rsidRDefault="005355B4">
      <w:pPr>
        <w:ind w:hanging="270"/>
        <w:rPr>
          <w:rFonts w:ascii="Times New Roman" w:eastAsia="Times New Roman" w:hAnsi="Times New Roman" w:cs="Times New Roman"/>
          <w:sz w:val="24"/>
          <w:szCs w:val="24"/>
        </w:rPr>
      </w:pPr>
    </w:p>
    <w:p w14:paraId="258A4EF8" w14:textId="77777777" w:rsidR="005355B4" w:rsidRDefault="004626E0">
      <w:pPr>
        <w:ind w:hanging="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252525"/>
          <w:sz w:val="24"/>
          <w:szCs w:val="24"/>
        </w:rPr>
        <w:t xml:space="preserve">We have categorized the tumors based on the risk of developing tumor lysis syndrome into high-risk, intermediate-risk, and low-risk tumors </w:t>
      </w:r>
      <w:hyperlink r:id="rId29">
        <w:r>
          <w:rPr>
            <w:rFonts w:ascii="Times New Roman" w:eastAsia="Times New Roman" w:hAnsi="Times New Roman" w:cs="Times New Roman"/>
            <w:sz w:val="24"/>
            <w:szCs w:val="24"/>
          </w:rPr>
          <w:t>(15)</w:t>
        </w:r>
      </w:hyperlink>
      <w:r>
        <w:rPr>
          <w:rFonts w:ascii="Times New Roman" w:eastAsia="Times New Roman" w:hAnsi="Times New Roman" w:cs="Times New Roman"/>
          <w:color w:val="252525"/>
          <w:sz w:val="24"/>
          <w:szCs w:val="24"/>
        </w:rPr>
        <w:t>. It is also important that the clinician differentiate TLS from other causes of acute kidney injury, such as autoimmune kidney disease, use of certain medications that are nephrotoxic, urinary tract obstruction, and untreated systemic diseases such as liver disease or heart disease.</w:t>
      </w:r>
    </w:p>
    <w:p w14:paraId="46044D45" w14:textId="77777777" w:rsidR="005355B4" w:rsidRDefault="005355B4">
      <w:pPr>
        <w:rPr>
          <w:rFonts w:ascii="Times New Roman" w:eastAsia="Times New Roman" w:hAnsi="Times New Roman" w:cs="Times New Roman"/>
          <w:b/>
          <w:sz w:val="24"/>
          <w:szCs w:val="24"/>
        </w:rPr>
      </w:pPr>
    </w:p>
    <w:p w14:paraId="2E152D5B" w14:textId="77777777" w:rsidR="005355B4" w:rsidRDefault="004626E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 Diagnosis and Classification</w:t>
      </w:r>
    </w:p>
    <w:p w14:paraId="7D79B500" w14:textId="77777777" w:rsidR="005355B4" w:rsidRDefault="004626E0">
      <w:pPr>
        <w:spacing w:before="240" w:after="240"/>
        <w:rPr>
          <w:rFonts w:ascii="Times New Roman" w:eastAsia="Times New Roman" w:hAnsi="Times New Roman" w:cs="Times New Roman"/>
          <w:color w:val="252525"/>
          <w:sz w:val="24"/>
          <w:szCs w:val="24"/>
          <w:highlight w:val="white"/>
        </w:rPr>
      </w:pPr>
      <w:r>
        <w:rPr>
          <w:rFonts w:ascii="Times New Roman" w:eastAsia="Times New Roman" w:hAnsi="Times New Roman" w:cs="Times New Roman"/>
          <w:color w:val="252525"/>
          <w:sz w:val="24"/>
          <w:szCs w:val="24"/>
          <w:highlight w:val="white"/>
        </w:rPr>
        <w:t xml:space="preserve">The diagnosis of tumor lysis syndrome (TLS) is established through a combination of clinical symptoms and laboratory findings. One of the most widely recognized diagnostic approaches is the Cairo–Bishop classification, which was developed to address the limitations of an earlier system proposed by Hande and Garrow. Their original classification was based on a retrospective review of 102 patients with intermediate- to high-grade non-Hodgkin’s lymphoma and introduced the concepts of laboratory TLS (LTLS) and clinical TLS (CTLS). Despite its utility, the Hande–Garrow model lacked key features such as severity stratification, broad tumor applicability, and sufficient clinical precision </w:t>
      </w:r>
      <w:hyperlink r:id="rId30">
        <w:r>
          <w:rPr>
            <w:rFonts w:ascii="Times New Roman" w:eastAsia="Times New Roman" w:hAnsi="Times New Roman" w:cs="Times New Roman"/>
            <w:color w:val="252525"/>
            <w:sz w:val="24"/>
            <w:szCs w:val="24"/>
            <w:highlight w:val="white"/>
          </w:rPr>
          <w:t>(16,17)</w:t>
        </w:r>
      </w:hyperlink>
      <w:r>
        <w:rPr>
          <w:rFonts w:ascii="Times New Roman" w:eastAsia="Times New Roman" w:hAnsi="Times New Roman" w:cs="Times New Roman"/>
          <w:color w:val="252525"/>
          <w:sz w:val="24"/>
          <w:szCs w:val="24"/>
          <w:highlight w:val="white"/>
        </w:rPr>
        <w:t>.</w:t>
      </w:r>
    </w:p>
    <w:p w14:paraId="4121C300" w14:textId="77777777" w:rsidR="005355B4" w:rsidRDefault="004626E0">
      <w:pPr>
        <w:spacing w:before="240" w:after="240"/>
        <w:rPr>
          <w:rFonts w:ascii="Times New Roman" w:eastAsia="Times New Roman" w:hAnsi="Times New Roman" w:cs="Times New Roman"/>
          <w:color w:val="252525"/>
          <w:sz w:val="24"/>
          <w:szCs w:val="24"/>
          <w:highlight w:val="white"/>
        </w:rPr>
      </w:pPr>
      <w:r>
        <w:rPr>
          <w:rFonts w:ascii="Times New Roman" w:eastAsia="Times New Roman" w:hAnsi="Times New Roman" w:cs="Times New Roman"/>
          <w:color w:val="252525"/>
          <w:sz w:val="24"/>
          <w:szCs w:val="24"/>
          <w:highlight w:val="white"/>
        </w:rPr>
        <w:t xml:space="preserve">To overcome these shortcomings, Cairo and Bishop refined the criteria to enhance its relevance in diverse oncological settings. Their revised classification clearly differentiates LTLS, defined by specific biochemical disturbances, from CTLS, which includes laboratory abnormalities along with clinical complications such as acute kidney injury, cardiac arrhythmias, or seizures. This modification has since become the preferred diagnostic framework for TLS in both clinical practice and research </w:t>
      </w:r>
      <w:hyperlink r:id="rId31">
        <w:r>
          <w:rPr>
            <w:rFonts w:ascii="Times New Roman" w:eastAsia="Times New Roman" w:hAnsi="Times New Roman" w:cs="Times New Roman"/>
            <w:color w:val="252525"/>
            <w:sz w:val="24"/>
            <w:szCs w:val="24"/>
            <w:highlight w:val="white"/>
          </w:rPr>
          <w:t>(1)</w:t>
        </w:r>
      </w:hyperlink>
      <w:r>
        <w:rPr>
          <w:rFonts w:ascii="Times New Roman" w:eastAsia="Times New Roman" w:hAnsi="Times New Roman" w:cs="Times New Roman"/>
          <w:color w:val="252525"/>
          <w:sz w:val="24"/>
          <w:szCs w:val="24"/>
          <w:highlight w:val="white"/>
        </w:rPr>
        <w:t>. The criteria are summarized in Table 1.</w:t>
      </w:r>
    </w:p>
    <w:p w14:paraId="4742B689" w14:textId="77777777" w:rsidR="005355B4" w:rsidRDefault="005355B4">
      <w:pPr>
        <w:spacing w:before="240" w:after="240"/>
        <w:rPr>
          <w:rFonts w:ascii="Times New Roman" w:eastAsia="Times New Roman" w:hAnsi="Times New Roman" w:cs="Times New Roman"/>
          <w:color w:val="252525"/>
          <w:sz w:val="24"/>
          <w:szCs w:val="24"/>
          <w:highlight w:val="white"/>
        </w:rPr>
      </w:pPr>
    </w:p>
    <w:tbl>
      <w:tblPr>
        <w:tblStyle w:val="a"/>
        <w:tblW w:w="86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20"/>
        <w:gridCol w:w="5585"/>
      </w:tblGrid>
      <w:tr w:rsidR="005355B4" w14:paraId="247F7736" w14:textId="77777777">
        <w:trPr>
          <w:trHeight w:val="485"/>
        </w:trPr>
        <w:tc>
          <w:tcPr>
            <w:tcW w:w="30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616FF2" w14:textId="77777777" w:rsidR="005355B4" w:rsidRDefault="004626E0">
            <w:pPr>
              <w:spacing w:before="240" w:after="240"/>
              <w:rPr>
                <w:rFonts w:ascii="Times New Roman" w:eastAsia="Times New Roman" w:hAnsi="Times New Roman" w:cs="Times New Roman"/>
                <w:b/>
                <w:color w:val="252525"/>
                <w:sz w:val="24"/>
                <w:szCs w:val="24"/>
                <w:highlight w:val="white"/>
              </w:rPr>
            </w:pPr>
            <w:r>
              <w:rPr>
                <w:rFonts w:ascii="Times New Roman" w:eastAsia="Times New Roman" w:hAnsi="Times New Roman" w:cs="Times New Roman"/>
                <w:b/>
                <w:color w:val="252525"/>
                <w:sz w:val="24"/>
                <w:szCs w:val="24"/>
                <w:highlight w:val="white"/>
              </w:rPr>
              <w:t>Criterion</w:t>
            </w:r>
          </w:p>
        </w:tc>
        <w:tc>
          <w:tcPr>
            <w:tcW w:w="55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10905F" w14:textId="77777777" w:rsidR="005355B4" w:rsidRDefault="004626E0">
            <w:pPr>
              <w:spacing w:before="240" w:after="240"/>
              <w:rPr>
                <w:rFonts w:ascii="Times New Roman" w:eastAsia="Times New Roman" w:hAnsi="Times New Roman" w:cs="Times New Roman"/>
                <w:b/>
                <w:color w:val="252525"/>
                <w:sz w:val="24"/>
                <w:szCs w:val="24"/>
                <w:highlight w:val="white"/>
              </w:rPr>
            </w:pPr>
            <w:r>
              <w:rPr>
                <w:rFonts w:ascii="Times New Roman" w:eastAsia="Times New Roman" w:hAnsi="Times New Roman" w:cs="Times New Roman"/>
                <w:b/>
                <w:color w:val="252525"/>
                <w:sz w:val="24"/>
                <w:szCs w:val="24"/>
                <w:highlight w:val="white"/>
              </w:rPr>
              <w:t>Cairo–Bishop Threshold</w:t>
            </w:r>
          </w:p>
        </w:tc>
      </w:tr>
      <w:tr w:rsidR="005355B4" w14:paraId="0EE108FC" w14:textId="77777777">
        <w:trPr>
          <w:trHeight w:val="740"/>
        </w:trPr>
        <w:tc>
          <w:tcPr>
            <w:tcW w:w="30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0D1F45" w14:textId="77777777" w:rsidR="005355B4" w:rsidRDefault="004626E0">
            <w:pPr>
              <w:spacing w:before="240" w:after="240"/>
              <w:rPr>
                <w:rFonts w:ascii="Times New Roman" w:eastAsia="Times New Roman" w:hAnsi="Times New Roman" w:cs="Times New Roman"/>
                <w:color w:val="252525"/>
                <w:sz w:val="24"/>
                <w:szCs w:val="24"/>
                <w:highlight w:val="white"/>
              </w:rPr>
            </w:pPr>
            <w:r>
              <w:rPr>
                <w:rFonts w:ascii="Times New Roman" w:eastAsia="Times New Roman" w:hAnsi="Times New Roman" w:cs="Times New Roman"/>
                <w:color w:val="252525"/>
                <w:sz w:val="24"/>
                <w:szCs w:val="24"/>
                <w:highlight w:val="white"/>
              </w:rPr>
              <w:t>Uric acid</w:t>
            </w:r>
          </w:p>
        </w:tc>
        <w:tc>
          <w:tcPr>
            <w:tcW w:w="55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756CF1" w14:textId="77777777" w:rsidR="005355B4" w:rsidRDefault="004626E0">
            <w:pPr>
              <w:spacing w:before="240" w:after="240"/>
              <w:rPr>
                <w:rFonts w:ascii="Times New Roman" w:eastAsia="Times New Roman" w:hAnsi="Times New Roman" w:cs="Times New Roman"/>
                <w:color w:val="252525"/>
                <w:sz w:val="24"/>
                <w:szCs w:val="24"/>
                <w:highlight w:val="white"/>
              </w:rPr>
            </w:pPr>
            <w:r>
              <w:rPr>
                <w:rFonts w:ascii="Times New Roman" w:eastAsia="Times New Roman" w:hAnsi="Times New Roman" w:cs="Times New Roman"/>
                <w:color w:val="252525"/>
                <w:sz w:val="24"/>
                <w:szCs w:val="24"/>
                <w:highlight w:val="white"/>
              </w:rPr>
              <w:t xml:space="preserve">≥8.0 mg/dL (≥476 </w:t>
            </w:r>
            <w:proofErr w:type="spellStart"/>
            <w:r>
              <w:rPr>
                <w:rFonts w:ascii="Times New Roman" w:eastAsia="Times New Roman" w:hAnsi="Times New Roman" w:cs="Times New Roman"/>
                <w:color w:val="252525"/>
                <w:sz w:val="24"/>
                <w:szCs w:val="24"/>
                <w:highlight w:val="white"/>
              </w:rPr>
              <w:t>μmol</w:t>
            </w:r>
            <w:proofErr w:type="spellEnd"/>
            <w:r>
              <w:rPr>
                <w:rFonts w:ascii="Times New Roman" w:eastAsia="Times New Roman" w:hAnsi="Times New Roman" w:cs="Times New Roman"/>
                <w:color w:val="252525"/>
                <w:sz w:val="24"/>
                <w:szCs w:val="24"/>
                <w:highlight w:val="white"/>
              </w:rPr>
              <w:t>/L) or ≥25% increase from baseline</w:t>
            </w:r>
          </w:p>
        </w:tc>
      </w:tr>
      <w:tr w:rsidR="005355B4" w14:paraId="516C09C9" w14:textId="77777777">
        <w:trPr>
          <w:trHeight w:val="485"/>
        </w:trPr>
        <w:tc>
          <w:tcPr>
            <w:tcW w:w="30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225E32" w14:textId="77777777" w:rsidR="005355B4" w:rsidRDefault="004626E0">
            <w:pPr>
              <w:spacing w:before="240" w:after="240"/>
              <w:rPr>
                <w:rFonts w:ascii="Times New Roman" w:eastAsia="Times New Roman" w:hAnsi="Times New Roman" w:cs="Times New Roman"/>
                <w:color w:val="252525"/>
                <w:sz w:val="24"/>
                <w:szCs w:val="24"/>
                <w:highlight w:val="white"/>
              </w:rPr>
            </w:pPr>
            <w:r>
              <w:rPr>
                <w:rFonts w:ascii="Times New Roman" w:eastAsia="Times New Roman" w:hAnsi="Times New Roman" w:cs="Times New Roman"/>
                <w:color w:val="252525"/>
                <w:sz w:val="24"/>
                <w:szCs w:val="24"/>
                <w:highlight w:val="white"/>
              </w:rPr>
              <w:lastRenderedPageBreak/>
              <w:t>Potassium (serum K⁺)</w:t>
            </w:r>
          </w:p>
        </w:tc>
        <w:tc>
          <w:tcPr>
            <w:tcW w:w="55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849C46" w14:textId="77777777" w:rsidR="005355B4" w:rsidRDefault="004626E0">
            <w:pPr>
              <w:spacing w:before="240" w:after="240"/>
              <w:rPr>
                <w:rFonts w:ascii="Times New Roman" w:eastAsia="Times New Roman" w:hAnsi="Times New Roman" w:cs="Times New Roman"/>
                <w:color w:val="252525"/>
                <w:sz w:val="24"/>
                <w:szCs w:val="24"/>
                <w:highlight w:val="white"/>
              </w:rPr>
            </w:pPr>
            <w:r>
              <w:rPr>
                <w:rFonts w:ascii="Times New Roman" w:eastAsia="Times New Roman" w:hAnsi="Times New Roman" w:cs="Times New Roman"/>
                <w:color w:val="252525"/>
                <w:sz w:val="24"/>
                <w:szCs w:val="24"/>
                <w:highlight w:val="white"/>
              </w:rPr>
              <w:t>≥6.0 mmol/L or ≥25% increase</w:t>
            </w:r>
          </w:p>
        </w:tc>
      </w:tr>
      <w:tr w:rsidR="005355B4" w14:paraId="5CA57596" w14:textId="77777777">
        <w:trPr>
          <w:trHeight w:val="485"/>
        </w:trPr>
        <w:tc>
          <w:tcPr>
            <w:tcW w:w="30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C0547D" w14:textId="77777777" w:rsidR="005355B4" w:rsidRDefault="004626E0">
            <w:pPr>
              <w:spacing w:before="240" w:after="240"/>
              <w:rPr>
                <w:rFonts w:ascii="Times New Roman" w:eastAsia="Times New Roman" w:hAnsi="Times New Roman" w:cs="Times New Roman"/>
                <w:color w:val="252525"/>
                <w:sz w:val="24"/>
                <w:szCs w:val="24"/>
                <w:highlight w:val="white"/>
              </w:rPr>
            </w:pPr>
            <w:r>
              <w:rPr>
                <w:rFonts w:ascii="Times New Roman" w:eastAsia="Times New Roman" w:hAnsi="Times New Roman" w:cs="Times New Roman"/>
                <w:color w:val="252525"/>
                <w:sz w:val="24"/>
                <w:szCs w:val="24"/>
                <w:highlight w:val="white"/>
              </w:rPr>
              <w:t>Phosphate (serum PO₄³⁻)</w:t>
            </w:r>
          </w:p>
        </w:tc>
        <w:tc>
          <w:tcPr>
            <w:tcW w:w="55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760B8A" w14:textId="77777777" w:rsidR="005355B4" w:rsidRDefault="004626E0">
            <w:pPr>
              <w:spacing w:before="240" w:after="240"/>
              <w:rPr>
                <w:rFonts w:ascii="Times New Roman" w:eastAsia="Times New Roman" w:hAnsi="Times New Roman" w:cs="Times New Roman"/>
                <w:color w:val="252525"/>
                <w:sz w:val="24"/>
                <w:szCs w:val="24"/>
                <w:highlight w:val="white"/>
              </w:rPr>
            </w:pPr>
            <w:r>
              <w:rPr>
                <w:rFonts w:ascii="Times New Roman" w:eastAsia="Times New Roman" w:hAnsi="Times New Roman" w:cs="Times New Roman"/>
                <w:color w:val="252525"/>
                <w:sz w:val="24"/>
                <w:szCs w:val="24"/>
                <w:highlight w:val="white"/>
              </w:rPr>
              <w:t>≥4.5 mg/dL (≥1.45 mmol/L) or ≥25% increase</w:t>
            </w:r>
          </w:p>
        </w:tc>
      </w:tr>
      <w:tr w:rsidR="005355B4" w14:paraId="64EDB76B" w14:textId="77777777">
        <w:trPr>
          <w:trHeight w:val="485"/>
        </w:trPr>
        <w:tc>
          <w:tcPr>
            <w:tcW w:w="30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9CEE22" w14:textId="77777777" w:rsidR="005355B4" w:rsidRDefault="004626E0">
            <w:pPr>
              <w:spacing w:before="240" w:after="240"/>
              <w:rPr>
                <w:rFonts w:ascii="Times New Roman" w:eastAsia="Times New Roman" w:hAnsi="Times New Roman" w:cs="Times New Roman"/>
                <w:color w:val="252525"/>
                <w:sz w:val="24"/>
                <w:szCs w:val="24"/>
                <w:highlight w:val="white"/>
              </w:rPr>
            </w:pPr>
            <w:r>
              <w:rPr>
                <w:rFonts w:ascii="Times New Roman" w:eastAsia="Times New Roman" w:hAnsi="Times New Roman" w:cs="Times New Roman"/>
                <w:color w:val="252525"/>
                <w:sz w:val="24"/>
                <w:szCs w:val="24"/>
                <w:highlight w:val="white"/>
              </w:rPr>
              <w:t>Calcium (serum Ca²⁺)</w:t>
            </w:r>
          </w:p>
        </w:tc>
        <w:tc>
          <w:tcPr>
            <w:tcW w:w="55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6864BE" w14:textId="77777777" w:rsidR="005355B4" w:rsidRDefault="004626E0">
            <w:pPr>
              <w:spacing w:before="240" w:after="240"/>
              <w:rPr>
                <w:rFonts w:ascii="Times New Roman" w:eastAsia="Times New Roman" w:hAnsi="Times New Roman" w:cs="Times New Roman"/>
                <w:color w:val="252525"/>
                <w:sz w:val="24"/>
                <w:szCs w:val="24"/>
                <w:highlight w:val="white"/>
              </w:rPr>
            </w:pPr>
            <w:r>
              <w:rPr>
                <w:rFonts w:ascii="Times New Roman" w:eastAsia="Times New Roman" w:hAnsi="Times New Roman" w:cs="Times New Roman"/>
                <w:color w:val="252525"/>
                <w:sz w:val="24"/>
                <w:szCs w:val="24"/>
                <w:highlight w:val="white"/>
              </w:rPr>
              <w:tab/>
              <w:t>≤7.0 mg/dL (≤1.75 mmol/L) or ≥25% decrease</w:t>
            </w:r>
          </w:p>
        </w:tc>
      </w:tr>
      <w:tr w:rsidR="005355B4" w14:paraId="363662BB" w14:textId="77777777">
        <w:trPr>
          <w:trHeight w:val="755"/>
        </w:trPr>
        <w:tc>
          <w:tcPr>
            <w:tcW w:w="30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A28161" w14:textId="77777777" w:rsidR="005355B4" w:rsidRDefault="004626E0">
            <w:pPr>
              <w:spacing w:before="240" w:after="240"/>
              <w:rPr>
                <w:rFonts w:ascii="Times New Roman" w:eastAsia="Times New Roman" w:hAnsi="Times New Roman" w:cs="Times New Roman"/>
                <w:color w:val="252525"/>
                <w:sz w:val="24"/>
                <w:szCs w:val="24"/>
                <w:highlight w:val="white"/>
              </w:rPr>
            </w:pPr>
            <w:r>
              <w:rPr>
                <w:rFonts w:ascii="Times New Roman" w:eastAsia="Times New Roman" w:hAnsi="Times New Roman" w:cs="Times New Roman"/>
                <w:color w:val="252525"/>
                <w:sz w:val="24"/>
                <w:szCs w:val="24"/>
                <w:highlight w:val="white"/>
              </w:rPr>
              <w:t>Laboratory TLS</w:t>
            </w:r>
          </w:p>
        </w:tc>
        <w:tc>
          <w:tcPr>
            <w:tcW w:w="55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4A233C" w14:textId="77777777" w:rsidR="005355B4" w:rsidRDefault="004626E0">
            <w:pPr>
              <w:spacing w:before="240" w:after="240"/>
              <w:rPr>
                <w:rFonts w:ascii="Times New Roman" w:eastAsia="Times New Roman" w:hAnsi="Times New Roman" w:cs="Times New Roman"/>
                <w:color w:val="252525"/>
                <w:sz w:val="24"/>
                <w:szCs w:val="24"/>
                <w:highlight w:val="white"/>
              </w:rPr>
            </w:pPr>
            <w:r>
              <w:rPr>
                <w:rFonts w:ascii="Times New Roman" w:eastAsia="Times New Roman" w:hAnsi="Times New Roman" w:cs="Times New Roman"/>
                <w:color w:val="252525"/>
                <w:sz w:val="24"/>
                <w:szCs w:val="24"/>
                <w:highlight w:val="white"/>
              </w:rPr>
              <w:t>≥2 of above abnormalities within 3 days before to 7 days after therapy</w:t>
            </w:r>
          </w:p>
        </w:tc>
      </w:tr>
      <w:tr w:rsidR="005355B4" w14:paraId="2C56C5F7" w14:textId="77777777">
        <w:trPr>
          <w:trHeight w:val="755"/>
        </w:trPr>
        <w:tc>
          <w:tcPr>
            <w:tcW w:w="30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7660AC" w14:textId="77777777" w:rsidR="005355B4" w:rsidRDefault="004626E0">
            <w:pPr>
              <w:spacing w:before="240" w:after="240"/>
              <w:rPr>
                <w:rFonts w:ascii="Times New Roman" w:eastAsia="Times New Roman" w:hAnsi="Times New Roman" w:cs="Times New Roman"/>
                <w:color w:val="252525"/>
                <w:sz w:val="24"/>
                <w:szCs w:val="24"/>
                <w:highlight w:val="white"/>
              </w:rPr>
            </w:pPr>
            <w:r>
              <w:rPr>
                <w:rFonts w:ascii="Times New Roman" w:eastAsia="Times New Roman" w:hAnsi="Times New Roman" w:cs="Times New Roman"/>
                <w:color w:val="252525"/>
                <w:sz w:val="24"/>
                <w:szCs w:val="24"/>
                <w:highlight w:val="white"/>
              </w:rPr>
              <w:t>Clinical TLS</w:t>
            </w:r>
          </w:p>
        </w:tc>
        <w:tc>
          <w:tcPr>
            <w:tcW w:w="55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677DED" w14:textId="77777777" w:rsidR="005355B4" w:rsidRDefault="004626E0">
            <w:pPr>
              <w:spacing w:before="240" w:after="240"/>
              <w:rPr>
                <w:rFonts w:ascii="Times New Roman" w:eastAsia="Times New Roman" w:hAnsi="Times New Roman" w:cs="Times New Roman"/>
                <w:color w:val="252525"/>
                <w:sz w:val="24"/>
                <w:szCs w:val="24"/>
                <w:highlight w:val="white"/>
              </w:rPr>
            </w:pPr>
            <w:r>
              <w:rPr>
                <w:rFonts w:ascii="Times New Roman" w:eastAsia="Times New Roman" w:hAnsi="Times New Roman" w:cs="Times New Roman"/>
                <w:color w:val="252525"/>
                <w:sz w:val="24"/>
                <w:szCs w:val="24"/>
                <w:highlight w:val="white"/>
              </w:rPr>
              <w:t>Laboratory TLS plus ≥1 of: creatinine &gt;1.5×ULN; seizure; cardiac arrhythmia or sudden death</w:t>
            </w:r>
          </w:p>
        </w:tc>
      </w:tr>
    </w:tbl>
    <w:p w14:paraId="17F5588B" w14:textId="77777777" w:rsidR="005355B4" w:rsidRDefault="004626E0">
      <w:pPr>
        <w:spacing w:before="240" w:after="240"/>
        <w:rPr>
          <w:rFonts w:ascii="Times New Roman" w:eastAsia="Times New Roman" w:hAnsi="Times New Roman" w:cs="Times New Roman"/>
          <w:color w:val="252525"/>
          <w:sz w:val="24"/>
          <w:szCs w:val="24"/>
          <w:highlight w:val="white"/>
        </w:rPr>
      </w:pPr>
      <w:r>
        <w:rPr>
          <w:rFonts w:ascii="Times New Roman" w:eastAsia="Times New Roman" w:hAnsi="Times New Roman" w:cs="Times New Roman"/>
          <w:color w:val="252525"/>
          <w:sz w:val="24"/>
          <w:szCs w:val="24"/>
          <w:highlight w:val="white"/>
        </w:rPr>
        <w:t xml:space="preserve">                                   Table 1. Cairo–Bishop diagnostic criteria for TLS</w:t>
      </w:r>
      <w:r>
        <w:rPr>
          <w:rFonts w:ascii="Times New Roman" w:eastAsia="Times New Roman" w:hAnsi="Times New Roman" w:cs="Times New Roman"/>
          <w:color w:val="252525"/>
          <w:sz w:val="24"/>
          <w:szCs w:val="24"/>
          <w:highlight w:val="white"/>
        </w:rPr>
        <w:br/>
      </w:r>
      <w:r>
        <w:rPr>
          <w:rFonts w:ascii="Times New Roman" w:eastAsia="Times New Roman" w:hAnsi="Times New Roman" w:cs="Times New Roman"/>
          <w:color w:val="222222"/>
          <w:sz w:val="24"/>
          <w:szCs w:val="24"/>
          <w:highlight w:val="white"/>
        </w:rPr>
        <w:t xml:space="preserve">Reproduced with permission from Cairo MS and Bishop M, </w:t>
      </w:r>
      <w:proofErr w:type="spellStart"/>
      <w:r>
        <w:rPr>
          <w:rFonts w:ascii="Times New Roman" w:eastAsia="Times New Roman" w:hAnsi="Times New Roman" w:cs="Times New Roman"/>
          <w:color w:val="222222"/>
          <w:sz w:val="24"/>
          <w:szCs w:val="24"/>
          <w:highlight w:val="white"/>
        </w:rPr>
        <w:t>Tumour</w:t>
      </w:r>
      <w:proofErr w:type="spellEnd"/>
      <w:r>
        <w:rPr>
          <w:rFonts w:ascii="Times New Roman" w:eastAsia="Times New Roman" w:hAnsi="Times New Roman" w:cs="Times New Roman"/>
          <w:color w:val="222222"/>
          <w:sz w:val="24"/>
          <w:szCs w:val="24"/>
          <w:highlight w:val="white"/>
        </w:rPr>
        <w:t xml:space="preserve"> lysis syndrome: new therapeutic strategies and classification, British Journal of </w:t>
      </w:r>
      <w:proofErr w:type="spellStart"/>
      <w:r>
        <w:rPr>
          <w:rFonts w:ascii="Times New Roman" w:eastAsia="Times New Roman" w:hAnsi="Times New Roman" w:cs="Times New Roman"/>
          <w:color w:val="222222"/>
          <w:sz w:val="24"/>
          <w:szCs w:val="24"/>
          <w:highlight w:val="white"/>
        </w:rPr>
        <w:t>Haematology</w:t>
      </w:r>
      <w:proofErr w:type="spellEnd"/>
      <w:r>
        <w:rPr>
          <w:rFonts w:ascii="Times New Roman" w:eastAsia="Times New Roman" w:hAnsi="Times New Roman" w:cs="Times New Roman"/>
          <w:color w:val="222222"/>
          <w:sz w:val="24"/>
          <w:szCs w:val="24"/>
          <w:highlight w:val="white"/>
        </w:rPr>
        <w:t>. Wiley. License number: 6046001503603.</w:t>
      </w:r>
    </w:p>
    <w:p w14:paraId="3A528EBC" w14:textId="77777777" w:rsidR="005355B4" w:rsidRDefault="004626E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Molecular Signatures and Biomarkers of TLS</w:t>
      </w:r>
    </w:p>
    <w:p w14:paraId="0C3A8BA8" w14:textId="77777777" w:rsidR="005355B4" w:rsidRDefault="004626E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Early recognition of tumor lysis risk increasingly depends on molecular markers. Urate transporters, such as URAT1 (SLC22A12), play a key role in modulating hyperuricemia by regulating tubular uric acid reabsorption </w:t>
      </w:r>
      <w:hyperlink r:id="rId32">
        <w:r>
          <w:rPr>
            <w:rFonts w:ascii="Times New Roman" w:eastAsia="Times New Roman" w:hAnsi="Times New Roman" w:cs="Times New Roman"/>
            <w:sz w:val="24"/>
            <w:szCs w:val="24"/>
          </w:rPr>
          <w:t>(13)</w:t>
        </w:r>
      </w:hyperlink>
      <w:r>
        <w:rPr>
          <w:rFonts w:ascii="Times New Roman" w:eastAsia="Times New Roman" w:hAnsi="Times New Roman" w:cs="Times New Roman"/>
          <w:sz w:val="24"/>
          <w:szCs w:val="24"/>
        </w:rPr>
        <w:t xml:space="preserve">. Genetic variations or pharmacologic inhibition of these transporters can influence urate accumulation during TLS. Serum lactate dehydrogenase (LDH) remains a reliable surrogate for tumor burden and turnover, with elevated levels strongly correlating with TLS risk. While total LDH is commonly used, isozyme profiling, particularly LDH-3 and LDH-4, often elevated in lymphoid malignancies, may offer insights into tumor origin, though its clinical utility is still under evaluation </w:t>
      </w:r>
      <w:hyperlink r:id="rId33">
        <w:r>
          <w:rPr>
            <w:rFonts w:ascii="Times New Roman" w:eastAsia="Times New Roman" w:hAnsi="Times New Roman" w:cs="Times New Roman"/>
            <w:sz w:val="24"/>
            <w:szCs w:val="24"/>
          </w:rPr>
          <w:t>(18)</w:t>
        </w:r>
      </w:hyperlink>
      <w:r>
        <w:rPr>
          <w:rFonts w:ascii="Times New Roman" w:eastAsia="Times New Roman" w:hAnsi="Times New Roman" w:cs="Times New Roman"/>
          <w:sz w:val="24"/>
          <w:szCs w:val="24"/>
        </w:rPr>
        <w:t xml:space="preserve">. The massive tumor breakdown also triggers an inflammatory cascade. High interleukin-6 (IL-6) levels, observed in nearly all TLS cases, along with elevated TNF-α, IL-8, and IL-10, contribute to capillary leakage and acute kidney injury, potentially serving as early biochemical red flags </w:t>
      </w:r>
      <w:hyperlink r:id="rId34">
        <w:r>
          <w:rPr>
            <w:rFonts w:ascii="Times New Roman" w:eastAsia="Times New Roman" w:hAnsi="Times New Roman" w:cs="Times New Roman"/>
            <w:sz w:val="24"/>
            <w:szCs w:val="24"/>
          </w:rPr>
          <w:t>(19)</w:t>
        </w:r>
      </w:hyperlink>
      <w:r>
        <w:rPr>
          <w:rFonts w:ascii="Times New Roman" w:eastAsia="Times New Roman" w:hAnsi="Times New Roman" w:cs="Times New Roman"/>
          <w:sz w:val="24"/>
          <w:szCs w:val="24"/>
        </w:rPr>
        <w:t xml:space="preserve">. Novel biomarkers, including circulating tumor DNA and γH2AX (indicative of DNA damage), are under active investigation. Incorporating such serum and urinary biomarkers into risk models may enable proactive TLS management in high-risk patients </w:t>
      </w:r>
      <w:hyperlink r:id="rId35">
        <w:r>
          <w:rPr>
            <w:rFonts w:ascii="Times New Roman" w:eastAsia="Times New Roman" w:hAnsi="Times New Roman" w:cs="Times New Roman"/>
            <w:sz w:val="24"/>
            <w:szCs w:val="24"/>
          </w:rPr>
          <w:t>(20)</w:t>
        </w:r>
      </w:hyperlink>
      <w:r>
        <w:rPr>
          <w:rFonts w:ascii="Times New Roman" w:eastAsia="Times New Roman" w:hAnsi="Times New Roman" w:cs="Times New Roman"/>
          <w:sz w:val="24"/>
          <w:szCs w:val="24"/>
        </w:rPr>
        <w:t>.</w:t>
      </w:r>
    </w:p>
    <w:p w14:paraId="3D0C58D7" w14:textId="77777777" w:rsidR="005355B4" w:rsidRDefault="004626E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Current and Emerging Therapies</w:t>
      </w:r>
    </w:p>
    <w:p w14:paraId="1DB8FB69" w14:textId="77777777" w:rsidR="005355B4" w:rsidRDefault="004626E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p>
    <w:p w14:paraId="5C91B3AC" w14:textId="77777777" w:rsidR="005355B4" w:rsidRDefault="004626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Management of tumor lysis syndrome (TLS) hinges on early intervention with uric acid–lowering agents, supported by vigilant monitoring and fluid therapy. The two primary pharmacological options are allopurinol and </w:t>
      </w:r>
      <w:proofErr w:type="spellStart"/>
      <w:r>
        <w:rPr>
          <w:rFonts w:ascii="Times New Roman" w:eastAsia="Times New Roman" w:hAnsi="Times New Roman" w:cs="Times New Roman"/>
          <w:sz w:val="24"/>
          <w:szCs w:val="24"/>
        </w:rPr>
        <w:t>rasburicase</w:t>
      </w:r>
      <w:proofErr w:type="spellEnd"/>
      <w:r>
        <w:rPr>
          <w:rFonts w:ascii="Times New Roman" w:eastAsia="Times New Roman" w:hAnsi="Times New Roman" w:cs="Times New Roman"/>
          <w:sz w:val="24"/>
          <w:szCs w:val="24"/>
        </w:rPr>
        <w:t xml:space="preserve">, each with distinct mechanisms and indications. Allopurinol works by inhibiting xanthine oxidase, thereby reducing the production of uric acid from purine metabolism. It is most effective when initiated prior to chemotherapy, particularly in patients with lower baseline uric acid levels </w:t>
      </w:r>
      <w:hyperlink r:id="rId36">
        <w:r>
          <w:rPr>
            <w:rFonts w:ascii="Times New Roman" w:eastAsia="Times New Roman" w:hAnsi="Times New Roman" w:cs="Times New Roman"/>
            <w:sz w:val="24"/>
            <w:szCs w:val="24"/>
          </w:rPr>
          <w:t>(15)</w:t>
        </w:r>
      </w:hyperlink>
      <w:r>
        <w:rPr>
          <w:rFonts w:ascii="Times New Roman" w:eastAsia="Times New Roman" w:hAnsi="Times New Roman" w:cs="Times New Roman"/>
          <w:sz w:val="24"/>
          <w:szCs w:val="24"/>
        </w:rPr>
        <w:t>. However, its action is preventive rather than therapeutic, it does not reduce pre-existing uric acid, and can lead to xanthine accumulation, posing a risk of crystal-induced renal injury. Known adverse effects include hypersensitivity reactions, which may be severe in individuals with certain genetic predispositions.</w:t>
      </w:r>
    </w:p>
    <w:p w14:paraId="5CA6C717" w14:textId="77777777" w:rsidR="005355B4" w:rsidRDefault="004626E0">
      <w:pPr>
        <w:spacing w:before="240" w:after="24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Rasburicase</w:t>
      </w:r>
      <w:proofErr w:type="spellEnd"/>
      <w:r>
        <w:rPr>
          <w:rFonts w:ascii="Times New Roman" w:eastAsia="Times New Roman" w:hAnsi="Times New Roman" w:cs="Times New Roman"/>
          <w:sz w:val="24"/>
          <w:szCs w:val="24"/>
        </w:rPr>
        <w:t xml:space="preserve">, by contrast, is an enzymatic agent that rapidly converts uric acid into allantoin, a more soluble metabolite readily eliminated by the kidneys. It is especially useful in patients already experiencing TLS or those at high risk, such as individuals with underlying renal impairment or a large tumor burden. Clinical studies have consistently demonstrated </w:t>
      </w:r>
      <w:proofErr w:type="spellStart"/>
      <w:r>
        <w:rPr>
          <w:rFonts w:ascii="Times New Roman" w:eastAsia="Times New Roman" w:hAnsi="Times New Roman" w:cs="Times New Roman"/>
          <w:sz w:val="24"/>
          <w:szCs w:val="24"/>
        </w:rPr>
        <w:t>rasburicase’s</w:t>
      </w:r>
      <w:proofErr w:type="spellEnd"/>
      <w:r>
        <w:rPr>
          <w:rFonts w:ascii="Times New Roman" w:eastAsia="Times New Roman" w:hAnsi="Times New Roman" w:cs="Times New Roman"/>
          <w:sz w:val="24"/>
          <w:szCs w:val="24"/>
        </w:rPr>
        <w:t xml:space="preserve"> superior efficacy in rapidly lowering serum uric acid levels compared to allopurinol </w:t>
      </w:r>
      <w:hyperlink r:id="rId37">
        <w:r>
          <w:rPr>
            <w:rFonts w:ascii="Times New Roman" w:eastAsia="Times New Roman" w:hAnsi="Times New Roman" w:cs="Times New Roman"/>
            <w:sz w:val="24"/>
            <w:szCs w:val="24"/>
          </w:rPr>
          <w:t>(21)</w:t>
        </w:r>
      </w:hyperlink>
      <w:r>
        <w:rPr>
          <w:rFonts w:ascii="Times New Roman" w:eastAsia="Times New Roman" w:hAnsi="Times New Roman" w:cs="Times New Roman"/>
          <w:sz w:val="24"/>
          <w:szCs w:val="24"/>
        </w:rPr>
        <w:t xml:space="preserve">. However, its high cost and the risk of hemolysis in patients with glucose-6-phosphate dehydrogenase (G6PD) deficiency, due to oxidative stress caused by the drug, are important limitations. An additional option under investigation is febuxostat, a non-purine xanthine oxidase inhibitor. Unlike allopurinol, febuxostat is metabolized in the liver, making it potentially safer for patients with renal dysfunction </w:t>
      </w:r>
      <w:hyperlink r:id="rId38">
        <w:r>
          <w:rPr>
            <w:rFonts w:ascii="Times New Roman" w:eastAsia="Times New Roman" w:hAnsi="Times New Roman" w:cs="Times New Roman"/>
            <w:sz w:val="24"/>
            <w:szCs w:val="24"/>
          </w:rPr>
          <w:t>(22)</w:t>
        </w:r>
      </w:hyperlink>
      <w:r>
        <w:rPr>
          <w:rFonts w:ascii="Times New Roman" w:eastAsia="Times New Roman" w:hAnsi="Times New Roman" w:cs="Times New Roman"/>
          <w:sz w:val="24"/>
          <w:szCs w:val="24"/>
        </w:rPr>
        <w:t>. It also carries a lower likelihood of hypersensitivity reactions. While its use in TLS is not yet backed by large randomized trials, it may be considered in cases where allopurinol is contraindicated.</w:t>
      </w:r>
    </w:p>
    <w:p w14:paraId="0530B5FE" w14:textId="77777777" w:rsidR="005355B4" w:rsidRDefault="004626E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Beyond pharmacological measures, supportive care plays a vital role in TLS prevention and management. Adequate intravenous hydration, typically ranging from 2 to 3 liters per square meter per day, is critical to maintaining renal perfusion and enhancing urinary excretion of uric acid and electrolytes. Diuretics may be used judiciously if fluid overload is a concern, provided hydration status is sufficient. Urate-lowering therapy should be administered in parallel: </w:t>
      </w:r>
      <w:proofErr w:type="spellStart"/>
      <w:r>
        <w:rPr>
          <w:rFonts w:ascii="Times New Roman" w:eastAsia="Times New Roman" w:hAnsi="Times New Roman" w:cs="Times New Roman"/>
          <w:sz w:val="24"/>
          <w:szCs w:val="24"/>
        </w:rPr>
        <w:t>rasburicase</w:t>
      </w:r>
      <w:proofErr w:type="spellEnd"/>
      <w:r>
        <w:rPr>
          <w:rFonts w:ascii="Times New Roman" w:eastAsia="Times New Roman" w:hAnsi="Times New Roman" w:cs="Times New Roman"/>
          <w:sz w:val="24"/>
          <w:szCs w:val="24"/>
        </w:rPr>
        <w:t xml:space="preserve"> is preferred for treating established hyperuricemia, while allopurinol may be continued in moderate-risk cases </w:t>
      </w:r>
      <w:hyperlink r:id="rId39">
        <w:r>
          <w:rPr>
            <w:rFonts w:ascii="Times New Roman" w:eastAsia="Times New Roman" w:hAnsi="Times New Roman" w:cs="Times New Roman"/>
            <w:sz w:val="24"/>
            <w:szCs w:val="24"/>
          </w:rPr>
          <w:t>(18)</w:t>
        </w:r>
      </w:hyperlink>
      <w:r>
        <w:rPr>
          <w:rFonts w:ascii="Times New Roman" w:eastAsia="Times New Roman" w:hAnsi="Times New Roman" w:cs="Times New Roman"/>
          <w:sz w:val="24"/>
          <w:szCs w:val="24"/>
        </w:rPr>
        <w:t>.</w:t>
      </w:r>
    </w:p>
    <w:p w14:paraId="38C295AF" w14:textId="77777777" w:rsidR="005355B4" w:rsidRDefault="004626E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Electrolyte abnormalities must be managed promptly. Hyperkalemia requires immediate treatment with interventions such as insulin-glucose infusions, beta-agonists, sodium bicarbonate, or calcium administration to stabilize cardiac membranes </w:t>
      </w:r>
      <w:hyperlink r:id="rId40">
        <w:r>
          <w:rPr>
            <w:rFonts w:ascii="Times New Roman" w:eastAsia="Times New Roman" w:hAnsi="Times New Roman" w:cs="Times New Roman"/>
            <w:sz w:val="24"/>
            <w:szCs w:val="24"/>
          </w:rPr>
          <w:t>(23)</w:t>
        </w:r>
      </w:hyperlink>
      <w:r>
        <w:rPr>
          <w:rFonts w:ascii="Times New Roman" w:eastAsia="Times New Roman" w:hAnsi="Times New Roman" w:cs="Times New Roman"/>
          <w:sz w:val="24"/>
          <w:szCs w:val="24"/>
        </w:rPr>
        <w:t xml:space="preserve">. Hyperphosphatemia can be managed through phosphate binders and dietary modifications, while hypocalcemia is treated only when symptomatic, due to the risk of calcium-phosphate precipitation </w:t>
      </w:r>
      <w:hyperlink r:id="rId41">
        <w:r>
          <w:rPr>
            <w:rFonts w:ascii="Times New Roman" w:eastAsia="Times New Roman" w:hAnsi="Times New Roman" w:cs="Times New Roman"/>
            <w:sz w:val="24"/>
            <w:szCs w:val="24"/>
          </w:rPr>
          <w:t>(12)</w:t>
        </w:r>
      </w:hyperlink>
      <w:r>
        <w:rPr>
          <w:rFonts w:ascii="Times New Roman" w:eastAsia="Times New Roman" w:hAnsi="Times New Roman" w:cs="Times New Roman"/>
          <w:sz w:val="24"/>
          <w:szCs w:val="24"/>
        </w:rPr>
        <w:t xml:space="preserve">. If severe renal dysfunction or unmanageable electrolyte imbalances occur, renal replacement therapy, including dialysis, may be necessary. Common indications include persistent oliguria or anuria, </w:t>
      </w:r>
      <w:r>
        <w:rPr>
          <w:rFonts w:ascii="Times New Roman" w:eastAsia="Times New Roman" w:hAnsi="Times New Roman" w:cs="Times New Roman"/>
          <w:sz w:val="24"/>
          <w:szCs w:val="24"/>
        </w:rPr>
        <w:lastRenderedPageBreak/>
        <w:t xml:space="preserve">severe fluid overload, refractory hyperkalemia, and symptomatic disturbances in calcium or phosphate levels </w:t>
      </w:r>
      <w:hyperlink r:id="rId42">
        <w:r>
          <w:rPr>
            <w:rFonts w:ascii="Times New Roman" w:eastAsia="Times New Roman" w:hAnsi="Times New Roman" w:cs="Times New Roman"/>
            <w:sz w:val="24"/>
            <w:szCs w:val="24"/>
          </w:rPr>
          <w:t>(24,25)</w:t>
        </w:r>
      </w:hyperlink>
      <w:r>
        <w:rPr>
          <w:rFonts w:ascii="Times New Roman" w:eastAsia="Times New Roman" w:hAnsi="Times New Roman" w:cs="Times New Roman"/>
          <w:sz w:val="24"/>
          <w:szCs w:val="24"/>
        </w:rPr>
        <w:t>.</w:t>
      </w:r>
    </w:p>
    <w:p w14:paraId="1BF52E32" w14:textId="77777777" w:rsidR="005355B4" w:rsidRDefault="004626E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 TLS in Immunotherapy and Targeted therapy</w:t>
      </w:r>
    </w:p>
    <w:p w14:paraId="27FA02EA" w14:textId="77777777" w:rsidR="005355B4" w:rsidRDefault="004626E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the advent of potent immunotherapies and molecularly targeted treatments, Tumor Lysis Syndrome (TLS) has re-emerged as a clinically significant complication, particularly in patients with high disease burden. CAR T-cell therapies, especially those directed against B-cell maturation antigen (BCMA) in multiple myeloma and CD19 in chronic lymphocytic leukemia (CLL), have been associated with notable TLS incidence. In a clinical cohort of relapsed or refractory multiple myeloma patients receiving BCMA-targeted CAR T cells, TLS occurred in approximately 17% of cases, typically manifesting around eight days post-infusion </w:t>
      </w:r>
      <w:hyperlink r:id="rId43">
        <w:r>
          <w:rPr>
            <w:rFonts w:ascii="Times New Roman" w:eastAsia="Times New Roman" w:hAnsi="Times New Roman" w:cs="Times New Roman"/>
            <w:sz w:val="24"/>
            <w:szCs w:val="24"/>
          </w:rPr>
          <w:t>(26)</w:t>
        </w:r>
      </w:hyperlink>
      <w:r>
        <w:rPr>
          <w:rFonts w:ascii="Times New Roman" w:eastAsia="Times New Roman" w:hAnsi="Times New Roman" w:cs="Times New Roman"/>
          <w:sz w:val="24"/>
          <w:szCs w:val="24"/>
        </w:rPr>
        <w:t xml:space="preserve">. All patients who developed TLS also experienced cytokine release syndrome (CRS), with a majority presenting severe (grade 3–4) forms. Similarly, earlier studies using CD19 CAR T cells in CLL reported TLS in around 14% of patients. These findings highlight that high tumor burden and rapid immune-mediated cytotoxicity, often accompanied by CRS, are critical risk factors, warranting close biochemical and clinical surveillance </w:t>
      </w:r>
      <w:hyperlink r:id="rId44">
        <w:r>
          <w:rPr>
            <w:rFonts w:ascii="Times New Roman" w:eastAsia="Times New Roman" w:hAnsi="Times New Roman" w:cs="Times New Roman"/>
            <w:sz w:val="24"/>
            <w:szCs w:val="24"/>
          </w:rPr>
          <w:t>(27,28)</w:t>
        </w:r>
      </w:hyperlink>
      <w:r>
        <w:rPr>
          <w:rFonts w:ascii="Times New Roman" w:eastAsia="Times New Roman" w:hAnsi="Times New Roman" w:cs="Times New Roman"/>
          <w:sz w:val="24"/>
          <w:szCs w:val="24"/>
        </w:rPr>
        <w:t>.</w:t>
      </w:r>
    </w:p>
    <w:p w14:paraId="3D4EA12D" w14:textId="77777777" w:rsidR="005355B4" w:rsidRDefault="004626E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Among targeted therapies, </w:t>
      </w:r>
      <w:proofErr w:type="spellStart"/>
      <w:r>
        <w:rPr>
          <w:rFonts w:ascii="Times New Roman" w:eastAsia="Times New Roman" w:hAnsi="Times New Roman" w:cs="Times New Roman"/>
          <w:sz w:val="24"/>
          <w:szCs w:val="24"/>
        </w:rPr>
        <w:t>venetoclax</w:t>
      </w:r>
      <w:proofErr w:type="spellEnd"/>
      <w:r>
        <w:rPr>
          <w:rFonts w:ascii="Times New Roman" w:eastAsia="Times New Roman" w:hAnsi="Times New Roman" w:cs="Times New Roman"/>
          <w:sz w:val="24"/>
          <w:szCs w:val="24"/>
        </w:rPr>
        <w:t xml:space="preserve">, a selective BCL-2 inhibitor used in hematologic malignancies such as CLL and AML, has a well-documented TLS risk due to its potent pro-apoptotic effect </w:t>
      </w:r>
      <w:hyperlink r:id="rId45">
        <w:r>
          <w:rPr>
            <w:rFonts w:ascii="Times New Roman" w:eastAsia="Times New Roman" w:hAnsi="Times New Roman" w:cs="Times New Roman"/>
            <w:sz w:val="24"/>
            <w:szCs w:val="24"/>
          </w:rPr>
          <w:t>(29)</w:t>
        </w:r>
      </w:hyperlink>
      <w:r>
        <w:rPr>
          <w:rFonts w:ascii="Times New Roman" w:eastAsia="Times New Roman" w:hAnsi="Times New Roman" w:cs="Times New Roman"/>
          <w:sz w:val="24"/>
          <w:szCs w:val="24"/>
        </w:rPr>
        <w:t xml:space="preserve">. Early clinical trials reported fatal TLS events, especially when rapid dose initiation protocols were employed. Consequently, a structured 5-week dose escalation strategy with concurrent hydration and urate-lowering therapy (typically allopurinol) is now standard. Real-world data support the effectiveness of this approach: in a large series involving 297 CLL patients treated with </w:t>
      </w:r>
      <w:proofErr w:type="spellStart"/>
      <w:r>
        <w:rPr>
          <w:rFonts w:ascii="Times New Roman" w:eastAsia="Times New Roman" w:hAnsi="Times New Roman" w:cs="Times New Roman"/>
          <w:sz w:val="24"/>
          <w:szCs w:val="24"/>
        </w:rPr>
        <w:t>venetoclax</w:t>
      </w:r>
      <w:proofErr w:type="spellEnd"/>
      <w:r>
        <w:rPr>
          <w:rFonts w:ascii="Times New Roman" w:eastAsia="Times New Roman" w:hAnsi="Times New Roman" w:cs="Times New Roman"/>
          <w:sz w:val="24"/>
          <w:szCs w:val="24"/>
        </w:rPr>
        <w:t xml:space="preserve">, clinical TLS occurred in just 2.7% of cases, with one fatality and one dialysis-requiring episode. Laboratory TLS was observed in 5.7% </w:t>
      </w:r>
      <w:hyperlink r:id="rId46">
        <w:r>
          <w:rPr>
            <w:rFonts w:ascii="Times New Roman" w:eastAsia="Times New Roman" w:hAnsi="Times New Roman" w:cs="Times New Roman"/>
            <w:sz w:val="24"/>
            <w:szCs w:val="24"/>
          </w:rPr>
          <w:t>(30)</w:t>
        </w:r>
      </w:hyperlink>
      <w:r>
        <w:rPr>
          <w:rFonts w:ascii="Times New Roman" w:eastAsia="Times New Roman" w:hAnsi="Times New Roman" w:cs="Times New Roman"/>
          <w:sz w:val="24"/>
          <w:szCs w:val="24"/>
        </w:rPr>
        <w:t xml:space="preserve">. In AML, TLS is comparatively rare; for example, the VIALE-A trial evaluating azacitidine plus </w:t>
      </w:r>
      <w:proofErr w:type="spellStart"/>
      <w:r>
        <w:rPr>
          <w:rFonts w:ascii="Times New Roman" w:eastAsia="Times New Roman" w:hAnsi="Times New Roman" w:cs="Times New Roman"/>
          <w:sz w:val="24"/>
          <w:szCs w:val="24"/>
        </w:rPr>
        <w:t>venetoclax</w:t>
      </w:r>
      <w:proofErr w:type="spellEnd"/>
      <w:r>
        <w:rPr>
          <w:rFonts w:ascii="Times New Roman" w:eastAsia="Times New Roman" w:hAnsi="Times New Roman" w:cs="Times New Roman"/>
          <w:sz w:val="24"/>
          <w:szCs w:val="24"/>
        </w:rPr>
        <w:t xml:space="preserve"> reported only three laboratory TLS events and no clinical cases. Nonetheless, isolated reports of TLS in AML and even multiple myeloma suggest that risk persists, particularly in settings of aggressive disease biology or large tumor burden </w:t>
      </w:r>
      <w:hyperlink r:id="rId47">
        <w:r>
          <w:rPr>
            <w:rFonts w:ascii="Times New Roman" w:eastAsia="Times New Roman" w:hAnsi="Times New Roman" w:cs="Times New Roman"/>
            <w:sz w:val="24"/>
            <w:szCs w:val="24"/>
          </w:rPr>
          <w:t>(31)</w:t>
        </w:r>
      </w:hyperlink>
      <w:r>
        <w:rPr>
          <w:rFonts w:ascii="Times New Roman" w:eastAsia="Times New Roman" w:hAnsi="Times New Roman" w:cs="Times New Roman"/>
          <w:sz w:val="24"/>
          <w:szCs w:val="24"/>
        </w:rPr>
        <w:t>. Collectively, these observations underscore the need for proactive TLS risk assessment and tailored prophylaxis in patients undergoing immunotherapy or targeted treatment regimens.</w:t>
      </w:r>
    </w:p>
    <w:p w14:paraId="0C8A10D8" w14:textId="77777777" w:rsidR="005355B4" w:rsidRDefault="004626E0">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7. Future Direction</w:t>
      </w:r>
    </w:p>
    <w:p w14:paraId="27B4EB9D" w14:textId="77777777" w:rsidR="005355B4" w:rsidRDefault="004626E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Looking ahead, advanced analytics and artificial intelligence hold significant promise for improving risk stratification in Tumor Lysis Syndrome (TLS). Recent research has demonstrated the utility of machine learning algorithms, such as </w:t>
      </w:r>
      <w:proofErr w:type="spellStart"/>
      <w:r>
        <w:rPr>
          <w:rFonts w:ascii="Times New Roman" w:eastAsia="Times New Roman" w:hAnsi="Times New Roman" w:cs="Times New Roman"/>
          <w:sz w:val="24"/>
          <w:szCs w:val="24"/>
        </w:rPr>
        <w:t>CatBoost</w:t>
      </w:r>
      <w:proofErr w:type="spellEnd"/>
      <w:r>
        <w:rPr>
          <w:rFonts w:ascii="Times New Roman" w:eastAsia="Times New Roman" w:hAnsi="Times New Roman" w:cs="Times New Roman"/>
          <w:sz w:val="24"/>
          <w:szCs w:val="24"/>
        </w:rPr>
        <w:t xml:space="preserve"> and LASSO-based models, that leverage baseline clinical and laboratory parameters to predict TLS risk, particularly in patients with acute leukemia. For instance, in a pediatric acute lymphoblastic leukemia cohort, a </w:t>
      </w:r>
      <w:proofErr w:type="spellStart"/>
      <w:r>
        <w:rPr>
          <w:rFonts w:ascii="Times New Roman" w:eastAsia="Times New Roman" w:hAnsi="Times New Roman" w:cs="Times New Roman"/>
          <w:sz w:val="24"/>
          <w:szCs w:val="24"/>
        </w:rPr>
        <w:t>CatBoost</w:t>
      </w:r>
      <w:proofErr w:type="spellEnd"/>
      <w:r>
        <w:rPr>
          <w:rFonts w:ascii="Times New Roman" w:eastAsia="Times New Roman" w:hAnsi="Times New Roman" w:cs="Times New Roman"/>
          <w:sz w:val="24"/>
          <w:szCs w:val="24"/>
        </w:rPr>
        <w:t xml:space="preserve"> model achieved an area under the curve (AUC) of approximately 0.832, while a LASSO-derived nomogram incorporating variables such as white blood cell count, electrolyte </w:t>
      </w:r>
      <w:r>
        <w:rPr>
          <w:rFonts w:ascii="Times New Roman" w:eastAsia="Times New Roman" w:hAnsi="Times New Roman" w:cs="Times New Roman"/>
          <w:sz w:val="24"/>
          <w:szCs w:val="24"/>
        </w:rPr>
        <w:lastRenderedPageBreak/>
        <w:t xml:space="preserve">levels, and organ function markers reported an AUC near 0.824 </w:t>
      </w:r>
      <w:hyperlink r:id="rId48">
        <w:r>
          <w:rPr>
            <w:rFonts w:ascii="Times New Roman" w:eastAsia="Times New Roman" w:hAnsi="Times New Roman" w:cs="Times New Roman"/>
            <w:sz w:val="24"/>
            <w:szCs w:val="24"/>
          </w:rPr>
          <w:t>(32,33)</w:t>
        </w:r>
      </w:hyperlink>
      <w:r>
        <w:rPr>
          <w:rFonts w:ascii="Times New Roman" w:eastAsia="Times New Roman" w:hAnsi="Times New Roman" w:cs="Times New Roman"/>
          <w:sz w:val="24"/>
          <w:szCs w:val="24"/>
        </w:rPr>
        <w:t>. These predictive tools could potentially be integrated into clinical workflows, such as electronic health record systems or mobile-based applications, to flag high-risk individuals in real time and support proactive intervention. The addition of multi-</w:t>
      </w:r>
      <w:proofErr w:type="spellStart"/>
      <w:r>
        <w:rPr>
          <w:rFonts w:ascii="Times New Roman" w:eastAsia="Times New Roman" w:hAnsi="Times New Roman" w:cs="Times New Roman"/>
          <w:sz w:val="24"/>
          <w:szCs w:val="24"/>
        </w:rPr>
        <w:t>omic</w:t>
      </w:r>
      <w:proofErr w:type="spellEnd"/>
      <w:r>
        <w:rPr>
          <w:rFonts w:ascii="Times New Roman" w:eastAsia="Times New Roman" w:hAnsi="Times New Roman" w:cs="Times New Roman"/>
          <w:sz w:val="24"/>
          <w:szCs w:val="24"/>
        </w:rPr>
        <w:t xml:space="preserve"> data and longitudinal lab trends may further refine prediction accuracy. Simultaneously, precision medicine is reshaping TLS prophylaxis, with risk-adapted strategies gaining traction. For example, in chronic lymphocytic leukemia, </w:t>
      </w:r>
      <w:proofErr w:type="spellStart"/>
      <w:r>
        <w:rPr>
          <w:rFonts w:ascii="Times New Roman" w:eastAsia="Times New Roman" w:hAnsi="Times New Roman" w:cs="Times New Roman"/>
          <w:sz w:val="24"/>
          <w:szCs w:val="24"/>
        </w:rPr>
        <w:t>venetoclax</w:t>
      </w:r>
      <w:proofErr w:type="spellEnd"/>
      <w:r>
        <w:rPr>
          <w:rFonts w:ascii="Times New Roman" w:eastAsia="Times New Roman" w:hAnsi="Times New Roman" w:cs="Times New Roman"/>
          <w:sz w:val="24"/>
          <w:szCs w:val="24"/>
        </w:rPr>
        <w:t xml:space="preserve"> is introduced through a gradual dose escalation protocol alongside close monitoring to reduce TLS incidence </w:t>
      </w:r>
      <w:hyperlink r:id="rId49">
        <w:r>
          <w:rPr>
            <w:rFonts w:ascii="Times New Roman" w:eastAsia="Times New Roman" w:hAnsi="Times New Roman" w:cs="Times New Roman"/>
            <w:sz w:val="24"/>
            <w:szCs w:val="24"/>
          </w:rPr>
          <w:t>(34)</w:t>
        </w:r>
      </w:hyperlink>
      <w:r>
        <w:rPr>
          <w:rFonts w:ascii="Times New Roman" w:eastAsia="Times New Roman" w:hAnsi="Times New Roman" w:cs="Times New Roman"/>
          <w:sz w:val="24"/>
          <w:szCs w:val="24"/>
        </w:rPr>
        <w:t xml:space="preserve">. Future directions also include tailoring preventive measures based on pharmacogenomics and tumor-specific characteristics, such as screening for HLA variants to avoid hypersensitivity reactions or customizing uric acid-lowering therapy based on genetic predispositions. </w:t>
      </w:r>
    </w:p>
    <w:p w14:paraId="62BFA1E7" w14:textId="77777777" w:rsidR="005355B4" w:rsidRDefault="004626E0">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14:paraId="6CB2F9C6" w14:textId="77777777" w:rsidR="005355B4" w:rsidRDefault="004626E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Tumor Lysis Syndrome represents a critical tipping point where the effectiveness of cancer treatments collides with the dangers of rapid tumor breakdown. As our understanding of the underlying molecular events continues to grow, so does our ability to recognize and manage TLS across a wide range of therapies, from traditional chemotherapy to cutting-edge immunotherapies. The destruction of cancer cells, while often a sign of treatment success, brings with it serious risks that demand early attention and careful monitoring. By embracing advances like genomics, AI-based risk assessment, and personalized treatment strategies, we can move from reacting to crises toward preventing them. In this delicate space between healing and harm, the future of TLS care depends on innovation, foresight, and strong collaboration across disciplines.</w:t>
      </w:r>
    </w:p>
    <w:p w14:paraId="199EE15B" w14:textId="77777777" w:rsidR="00EB448A" w:rsidRDefault="00EB448A" w:rsidP="00EB448A">
      <w:pPr>
        <w:spacing w:before="240" w:after="240" w:line="240" w:lineRule="auto"/>
        <w:rPr>
          <w:rFonts w:ascii="Times New Roman" w:eastAsia="Times New Roman" w:hAnsi="Times New Roman" w:cs="Times New Roman"/>
          <w:b/>
          <w:color w:val="1F1F1F"/>
          <w:sz w:val="24"/>
          <w:szCs w:val="24"/>
        </w:rPr>
      </w:pPr>
      <w:r>
        <w:rPr>
          <w:rFonts w:ascii="Times New Roman" w:eastAsia="Times New Roman" w:hAnsi="Times New Roman" w:cs="Times New Roman"/>
          <w:b/>
          <w:color w:val="1F1F1F"/>
          <w:sz w:val="24"/>
          <w:szCs w:val="24"/>
        </w:rPr>
        <w:t>Declaration of competing interest</w:t>
      </w:r>
    </w:p>
    <w:p w14:paraId="7F381854" w14:textId="77777777" w:rsidR="00EB448A" w:rsidRDefault="00EB448A" w:rsidP="00EB448A">
      <w:pPr>
        <w:spacing w:before="240" w:after="240" w:line="240" w:lineRule="auto"/>
        <w:rPr>
          <w:rFonts w:ascii="Times New Roman" w:eastAsia="Times New Roman" w:hAnsi="Times New Roman" w:cs="Times New Roman"/>
          <w:b/>
          <w:color w:val="1F1F1F"/>
          <w:sz w:val="24"/>
          <w:szCs w:val="24"/>
        </w:rPr>
      </w:pPr>
      <w:r>
        <w:rPr>
          <w:rFonts w:ascii="Times New Roman" w:eastAsia="Times New Roman" w:hAnsi="Times New Roman" w:cs="Times New Roman"/>
          <w:color w:val="1F1F1F"/>
          <w:sz w:val="24"/>
          <w:szCs w:val="24"/>
        </w:rPr>
        <w:t>The authors declare that they have no known competing financial interests or personal relationships that could have appeared to influence the work reported in this paper.</w:t>
      </w:r>
    </w:p>
    <w:p w14:paraId="08B818DF" w14:textId="0CA7FD08" w:rsidR="00EB448A" w:rsidRDefault="00EB448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References </w:t>
      </w:r>
    </w:p>
    <w:p w14:paraId="29251F7C" w14:textId="77777777" w:rsidR="005355B4" w:rsidRDefault="005355B4"/>
    <w:p w14:paraId="1035A9F2" w14:textId="77777777" w:rsidR="005355B4" w:rsidRDefault="005355B4"/>
    <w:p w14:paraId="75C570D8" w14:textId="77777777" w:rsidR="005355B4" w:rsidRDefault="004626E0">
      <w:pPr>
        <w:widowControl w:val="0"/>
        <w:pBdr>
          <w:top w:val="nil"/>
          <w:left w:val="nil"/>
          <w:bottom w:val="nil"/>
          <w:right w:val="nil"/>
          <w:between w:val="nil"/>
        </w:pBdr>
        <w:spacing w:after="240" w:line="240" w:lineRule="auto"/>
        <w:ind w:left="384" w:hanging="384"/>
        <w:rPr>
          <w:rFonts w:ascii="Times New Roman" w:eastAsia="Times New Roman" w:hAnsi="Times New Roman" w:cs="Times New Roman"/>
          <w:sz w:val="30"/>
          <w:szCs w:val="30"/>
          <w:highlight w:val="white"/>
        </w:rPr>
      </w:pPr>
      <w:hyperlink r:id="rId50">
        <w:r>
          <w:t>1.</w:t>
        </w:r>
        <w:r>
          <w:tab/>
          <w:t xml:space="preserve">Cairo MS, Bishop M. </w:t>
        </w:r>
        <w:proofErr w:type="spellStart"/>
        <w:r>
          <w:t>Tumour</w:t>
        </w:r>
        <w:proofErr w:type="spellEnd"/>
        <w:r>
          <w:t xml:space="preserve"> lysis syndrome: new therapeutic strategies and classification. Br J </w:t>
        </w:r>
        <w:proofErr w:type="spellStart"/>
        <w:r>
          <w:t>Haematol</w:t>
        </w:r>
        <w:proofErr w:type="spellEnd"/>
        <w:r>
          <w:t>. 2004;127(1):3–11.</w:t>
        </w:r>
      </w:hyperlink>
    </w:p>
    <w:p w14:paraId="3286F6B2" w14:textId="77777777" w:rsidR="005355B4" w:rsidRDefault="004626E0">
      <w:pPr>
        <w:widowControl w:val="0"/>
        <w:pBdr>
          <w:top w:val="nil"/>
          <w:left w:val="nil"/>
          <w:bottom w:val="nil"/>
          <w:right w:val="nil"/>
          <w:between w:val="nil"/>
        </w:pBdr>
        <w:spacing w:after="240" w:line="240" w:lineRule="auto"/>
        <w:ind w:left="384" w:hanging="384"/>
        <w:rPr>
          <w:rFonts w:ascii="Times New Roman" w:eastAsia="Times New Roman" w:hAnsi="Times New Roman" w:cs="Times New Roman"/>
          <w:sz w:val="30"/>
          <w:szCs w:val="30"/>
          <w:highlight w:val="white"/>
        </w:rPr>
      </w:pPr>
      <w:hyperlink r:id="rId51">
        <w:r>
          <w:t>2.</w:t>
        </w:r>
        <w:r>
          <w:tab/>
        </w:r>
        <w:proofErr w:type="spellStart"/>
        <w:r>
          <w:t>Ñamendys</w:t>
        </w:r>
        <w:proofErr w:type="spellEnd"/>
        <w:r>
          <w:t>-Silva SA, Arredondo-Armenta JM, Plata-Menchaca EP, Guevara-García H, García-Guillén FJ, Rivero-</w:t>
        </w:r>
        <w:proofErr w:type="spellStart"/>
        <w:r>
          <w:t>Sigarroa</w:t>
        </w:r>
        <w:proofErr w:type="spellEnd"/>
        <w:r>
          <w:t xml:space="preserve"> E, et al. Tumor lysis syndrome in the emergency department: challenges and solutions. Open Access Emerg Med. 2015 Aug;39.</w:t>
        </w:r>
      </w:hyperlink>
    </w:p>
    <w:p w14:paraId="7EB2D79D" w14:textId="77777777" w:rsidR="005355B4" w:rsidRDefault="004626E0">
      <w:pPr>
        <w:widowControl w:val="0"/>
        <w:pBdr>
          <w:top w:val="nil"/>
          <w:left w:val="nil"/>
          <w:bottom w:val="nil"/>
          <w:right w:val="nil"/>
          <w:between w:val="nil"/>
        </w:pBdr>
        <w:spacing w:after="240" w:line="240" w:lineRule="auto"/>
        <w:ind w:left="384" w:hanging="384"/>
        <w:rPr>
          <w:rFonts w:ascii="Times New Roman" w:eastAsia="Times New Roman" w:hAnsi="Times New Roman" w:cs="Times New Roman"/>
          <w:sz w:val="30"/>
          <w:szCs w:val="30"/>
          <w:highlight w:val="white"/>
        </w:rPr>
      </w:pPr>
      <w:hyperlink r:id="rId52">
        <w:r>
          <w:t>3.</w:t>
        </w:r>
        <w:r>
          <w:tab/>
          <w:t xml:space="preserve">Will A, </w:t>
        </w:r>
        <w:proofErr w:type="spellStart"/>
        <w:r>
          <w:t>Tholouli</w:t>
        </w:r>
        <w:proofErr w:type="spellEnd"/>
        <w:r>
          <w:t xml:space="preserve"> E. The clinical management of </w:t>
        </w:r>
        <w:proofErr w:type="spellStart"/>
        <w:r>
          <w:t>tumour</w:t>
        </w:r>
        <w:proofErr w:type="spellEnd"/>
        <w:r>
          <w:t xml:space="preserve"> lysis syndrome in </w:t>
        </w:r>
        <w:proofErr w:type="spellStart"/>
        <w:r>
          <w:t>haematological</w:t>
        </w:r>
        <w:proofErr w:type="spellEnd"/>
        <w:r>
          <w:t xml:space="preserve"> malignancies. Br J </w:t>
        </w:r>
        <w:proofErr w:type="spellStart"/>
        <w:r>
          <w:t>Haematol</w:t>
        </w:r>
        <w:proofErr w:type="spellEnd"/>
        <w:r>
          <w:t>. 2011;154(1):3–13.</w:t>
        </w:r>
      </w:hyperlink>
    </w:p>
    <w:p w14:paraId="2E0690C8" w14:textId="77777777" w:rsidR="005355B4" w:rsidRDefault="004626E0">
      <w:pPr>
        <w:widowControl w:val="0"/>
        <w:pBdr>
          <w:top w:val="nil"/>
          <w:left w:val="nil"/>
          <w:bottom w:val="nil"/>
          <w:right w:val="nil"/>
          <w:between w:val="nil"/>
        </w:pBdr>
        <w:spacing w:after="240" w:line="240" w:lineRule="auto"/>
        <w:ind w:left="384" w:hanging="384"/>
        <w:rPr>
          <w:rFonts w:ascii="Times New Roman" w:eastAsia="Times New Roman" w:hAnsi="Times New Roman" w:cs="Times New Roman"/>
          <w:sz w:val="30"/>
          <w:szCs w:val="30"/>
          <w:highlight w:val="white"/>
        </w:rPr>
      </w:pPr>
      <w:hyperlink r:id="rId53">
        <w:r>
          <w:t>4.</w:t>
        </w:r>
        <w:r>
          <w:tab/>
          <w:t xml:space="preserve">Jeha S. Tumor lysis syndrome. Semin Hematol. 2001 </w:t>
        </w:r>
        <w:proofErr w:type="gramStart"/>
        <w:r>
          <w:t>Oct;38:4</w:t>
        </w:r>
        <w:proofErr w:type="gramEnd"/>
        <w:r>
          <w:t>–8.</w:t>
        </w:r>
      </w:hyperlink>
    </w:p>
    <w:p w14:paraId="4CED0DF7" w14:textId="77777777" w:rsidR="005355B4" w:rsidRDefault="004626E0">
      <w:pPr>
        <w:widowControl w:val="0"/>
        <w:pBdr>
          <w:top w:val="nil"/>
          <w:left w:val="nil"/>
          <w:bottom w:val="nil"/>
          <w:right w:val="nil"/>
          <w:between w:val="nil"/>
        </w:pBdr>
        <w:spacing w:after="240" w:line="240" w:lineRule="auto"/>
        <w:ind w:left="384" w:hanging="384"/>
        <w:rPr>
          <w:rFonts w:ascii="Times New Roman" w:eastAsia="Times New Roman" w:hAnsi="Times New Roman" w:cs="Times New Roman"/>
          <w:sz w:val="30"/>
          <w:szCs w:val="30"/>
          <w:highlight w:val="white"/>
        </w:rPr>
      </w:pPr>
      <w:hyperlink r:id="rId54">
        <w:r>
          <w:t>5.</w:t>
        </w:r>
        <w:r>
          <w:tab/>
          <w:t xml:space="preserve">Williams SM, Killeen AA. Tumor Lysis Syndrome. Arch </w:t>
        </w:r>
        <w:proofErr w:type="spellStart"/>
        <w:r>
          <w:t>Pathol</w:t>
        </w:r>
        <w:proofErr w:type="spellEnd"/>
        <w:r>
          <w:t xml:space="preserve"> Lab Med. 2019 Mar 1;143(3):386–93.</w:t>
        </w:r>
      </w:hyperlink>
    </w:p>
    <w:p w14:paraId="3D3D973F" w14:textId="77777777" w:rsidR="005355B4" w:rsidRDefault="004626E0">
      <w:pPr>
        <w:widowControl w:val="0"/>
        <w:pBdr>
          <w:top w:val="nil"/>
          <w:left w:val="nil"/>
          <w:bottom w:val="nil"/>
          <w:right w:val="nil"/>
          <w:between w:val="nil"/>
        </w:pBdr>
        <w:spacing w:after="240" w:line="240" w:lineRule="auto"/>
        <w:ind w:left="384" w:hanging="384"/>
        <w:rPr>
          <w:rFonts w:ascii="Times New Roman" w:eastAsia="Times New Roman" w:hAnsi="Times New Roman" w:cs="Times New Roman"/>
          <w:sz w:val="30"/>
          <w:szCs w:val="30"/>
          <w:highlight w:val="white"/>
        </w:rPr>
      </w:pPr>
      <w:hyperlink r:id="rId55">
        <w:r>
          <w:t>6.</w:t>
        </w:r>
        <w:r>
          <w:tab/>
        </w:r>
        <w:proofErr w:type="spellStart"/>
        <w:r>
          <w:t>Maiuolo</w:t>
        </w:r>
        <w:proofErr w:type="spellEnd"/>
        <w:r>
          <w:t xml:space="preserve"> J, Oppedisano F, </w:t>
        </w:r>
        <w:proofErr w:type="spellStart"/>
        <w:r>
          <w:t>Gratteri</w:t>
        </w:r>
        <w:proofErr w:type="spellEnd"/>
        <w:r>
          <w:t xml:space="preserve"> S, </w:t>
        </w:r>
        <w:proofErr w:type="spellStart"/>
        <w:r>
          <w:t>Muscoli</w:t>
        </w:r>
        <w:proofErr w:type="spellEnd"/>
        <w:r>
          <w:t xml:space="preserve"> C, Mollace V. Regulation of uric acid metabolism and excretion. Int J </w:t>
        </w:r>
        <w:proofErr w:type="spellStart"/>
        <w:r>
          <w:t>Cardiol</w:t>
        </w:r>
        <w:proofErr w:type="spellEnd"/>
        <w:r>
          <w:t xml:space="preserve">. 2016 </w:t>
        </w:r>
        <w:proofErr w:type="gramStart"/>
        <w:r>
          <w:t>Jun;213:8</w:t>
        </w:r>
        <w:proofErr w:type="gramEnd"/>
        <w:r>
          <w:t>–14.</w:t>
        </w:r>
      </w:hyperlink>
    </w:p>
    <w:p w14:paraId="7EE00F8B" w14:textId="77777777" w:rsidR="005355B4" w:rsidRDefault="004626E0">
      <w:pPr>
        <w:widowControl w:val="0"/>
        <w:pBdr>
          <w:top w:val="nil"/>
          <w:left w:val="nil"/>
          <w:bottom w:val="nil"/>
          <w:right w:val="nil"/>
          <w:between w:val="nil"/>
        </w:pBdr>
        <w:spacing w:after="240" w:line="240" w:lineRule="auto"/>
        <w:ind w:left="384" w:hanging="384"/>
        <w:rPr>
          <w:rFonts w:ascii="Times New Roman" w:eastAsia="Times New Roman" w:hAnsi="Times New Roman" w:cs="Times New Roman"/>
          <w:sz w:val="30"/>
          <w:szCs w:val="30"/>
          <w:highlight w:val="white"/>
        </w:rPr>
      </w:pPr>
      <w:hyperlink r:id="rId56">
        <w:r>
          <w:t>7.</w:t>
        </w:r>
        <w:r>
          <w:tab/>
        </w:r>
        <w:proofErr w:type="spellStart"/>
        <w:r>
          <w:t>Cividalli</w:t>
        </w:r>
        <w:proofErr w:type="spellEnd"/>
        <w:r>
          <w:t xml:space="preserve"> G, Nathan DG. Sodium and Potassium Concentration and Transmembrane Fluxes in Leukocytes. Blood. 1974 Jun 1;43(6):861–9.</w:t>
        </w:r>
      </w:hyperlink>
    </w:p>
    <w:p w14:paraId="74C14885" w14:textId="77777777" w:rsidR="005355B4" w:rsidRDefault="004626E0">
      <w:pPr>
        <w:widowControl w:val="0"/>
        <w:pBdr>
          <w:top w:val="nil"/>
          <w:left w:val="nil"/>
          <w:bottom w:val="nil"/>
          <w:right w:val="nil"/>
          <w:between w:val="nil"/>
        </w:pBdr>
        <w:spacing w:after="240" w:line="240" w:lineRule="auto"/>
        <w:ind w:left="384" w:hanging="384"/>
        <w:rPr>
          <w:rFonts w:ascii="Times New Roman" w:eastAsia="Times New Roman" w:hAnsi="Times New Roman" w:cs="Times New Roman"/>
          <w:sz w:val="30"/>
          <w:szCs w:val="30"/>
          <w:highlight w:val="white"/>
        </w:rPr>
      </w:pPr>
      <w:hyperlink r:id="rId57">
        <w:r>
          <w:t>8.</w:t>
        </w:r>
        <w:r>
          <w:tab/>
          <w:t>Evans KJ, Greenberg A. Hyperkalemia: A Review. J Intensive Care Med. 2005 Sep;20(5):272–90.</w:t>
        </w:r>
      </w:hyperlink>
    </w:p>
    <w:p w14:paraId="36080E47" w14:textId="77777777" w:rsidR="005355B4" w:rsidRDefault="004626E0">
      <w:pPr>
        <w:widowControl w:val="0"/>
        <w:pBdr>
          <w:top w:val="nil"/>
          <w:left w:val="nil"/>
          <w:bottom w:val="nil"/>
          <w:right w:val="nil"/>
          <w:between w:val="nil"/>
        </w:pBdr>
        <w:spacing w:after="240" w:line="240" w:lineRule="auto"/>
        <w:ind w:left="384" w:hanging="384"/>
        <w:rPr>
          <w:rFonts w:ascii="Times New Roman" w:eastAsia="Times New Roman" w:hAnsi="Times New Roman" w:cs="Times New Roman"/>
          <w:sz w:val="30"/>
          <w:szCs w:val="30"/>
          <w:highlight w:val="white"/>
        </w:rPr>
      </w:pPr>
      <w:hyperlink r:id="rId58">
        <w:r>
          <w:t>9.</w:t>
        </w:r>
        <w:r>
          <w:tab/>
          <w:t>Geddes RF, Finch NC, Syme HM, Elliott J. The role of phosphorus in the pathophysiology of chronic kidney disease: Role of phosphorus in the pathophysiology of CKD. J Vet Emerg Crit Care. 2013 Mar;23(2):122–33.</w:t>
        </w:r>
      </w:hyperlink>
    </w:p>
    <w:p w14:paraId="6E188C49" w14:textId="77777777" w:rsidR="005355B4" w:rsidRDefault="004626E0">
      <w:pPr>
        <w:widowControl w:val="0"/>
        <w:pBdr>
          <w:top w:val="nil"/>
          <w:left w:val="nil"/>
          <w:bottom w:val="nil"/>
          <w:right w:val="nil"/>
          <w:between w:val="nil"/>
        </w:pBdr>
        <w:spacing w:after="240" w:line="240" w:lineRule="auto"/>
        <w:ind w:left="384" w:hanging="384"/>
        <w:rPr>
          <w:rFonts w:ascii="Times New Roman" w:eastAsia="Times New Roman" w:hAnsi="Times New Roman" w:cs="Times New Roman"/>
          <w:sz w:val="30"/>
          <w:szCs w:val="30"/>
          <w:highlight w:val="white"/>
        </w:rPr>
      </w:pPr>
      <w:hyperlink r:id="rId59">
        <w:r>
          <w:t>10.</w:t>
        </w:r>
        <w:r>
          <w:tab/>
          <w:t>Davidson MB, Thakkar S, Hix JK, Bhandarkar ND, Wong A, Schreiber MJ. Pathophysiology, clinical consequences, and treatment of tumor lysis syndrome. Am J Med. 2004 Apr;116(8):546–54.</w:t>
        </w:r>
      </w:hyperlink>
    </w:p>
    <w:p w14:paraId="3ECACC33" w14:textId="77777777" w:rsidR="005355B4" w:rsidRDefault="004626E0">
      <w:pPr>
        <w:widowControl w:val="0"/>
        <w:pBdr>
          <w:top w:val="nil"/>
          <w:left w:val="nil"/>
          <w:bottom w:val="nil"/>
          <w:right w:val="nil"/>
          <w:between w:val="nil"/>
        </w:pBdr>
        <w:spacing w:after="240" w:line="240" w:lineRule="auto"/>
        <w:ind w:left="384" w:hanging="384"/>
        <w:rPr>
          <w:rFonts w:ascii="Times New Roman" w:eastAsia="Times New Roman" w:hAnsi="Times New Roman" w:cs="Times New Roman"/>
          <w:sz w:val="30"/>
          <w:szCs w:val="30"/>
          <w:highlight w:val="white"/>
        </w:rPr>
      </w:pPr>
      <w:hyperlink r:id="rId60">
        <w:r>
          <w:t>11.</w:t>
        </w:r>
        <w:r>
          <w:tab/>
          <w:t xml:space="preserve">Parham WA, </w:t>
        </w:r>
        <w:proofErr w:type="spellStart"/>
        <w:r>
          <w:t>Mehdirad</w:t>
        </w:r>
        <w:proofErr w:type="spellEnd"/>
        <w:r>
          <w:t xml:space="preserve"> AA, Biermann KM, Fredman CS. Hyperkalemia Revisited. Tex Heart Inst J. 2006;33(1):40–7.</w:t>
        </w:r>
      </w:hyperlink>
    </w:p>
    <w:p w14:paraId="050887CA" w14:textId="77777777" w:rsidR="005355B4" w:rsidRDefault="004626E0">
      <w:pPr>
        <w:widowControl w:val="0"/>
        <w:pBdr>
          <w:top w:val="nil"/>
          <w:left w:val="nil"/>
          <w:bottom w:val="nil"/>
          <w:right w:val="nil"/>
          <w:between w:val="nil"/>
        </w:pBdr>
        <w:spacing w:after="240" w:line="240" w:lineRule="auto"/>
        <w:ind w:left="384" w:hanging="384"/>
        <w:rPr>
          <w:rFonts w:ascii="Times New Roman" w:eastAsia="Times New Roman" w:hAnsi="Times New Roman" w:cs="Times New Roman"/>
          <w:sz w:val="30"/>
          <w:szCs w:val="30"/>
          <w:highlight w:val="white"/>
        </w:rPr>
      </w:pPr>
      <w:hyperlink r:id="rId61">
        <w:r>
          <w:t>12.</w:t>
        </w:r>
        <w:r>
          <w:tab/>
          <w:t xml:space="preserve">García Martín A, </w:t>
        </w:r>
        <w:proofErr w:type="spellStart"/>
        <w:r>
          <w:t>Varsavsky</w:t>
        </w:r>
        <w:proofErr w:type="spellEnd"/>
        <w:r>
          <w:t xml:space="preserve"> M, Cortés </w:t>
        </w:r>
        <w:proofErr w:type="spellStart"/>
        <w:r>
          <w:t>Berdonces</w:t>
        </w:r>
        <w:proofErr w:type="spellEnd"/>
        <w:r>
          <w:t xml:space="preserve"> M, Ávila Rubio V, Alhambra </w:t>
        </w:r>
        <w:proofErr w:type="spellStart"/>
        <w:r>
          <w:t>Expósito</w:t>
        </w:r>
        <w:proofErr w:type="spellEnd"/>
        <w:r>
          <w:t xml:space="preserve"> MR, Novo Rodríguez C, et al. Phosphate disorders and the clinical management of hypophosphatemia and hyperphosphatemia. Endocrinol Diabetes </w:t>
        </w:r>
        <w:proofErr w:type="spellStart"/>
        <w:r>
          <w:t>Nutr</w:t>
        </w:r>
        <w:proofErr w:type="spellEnd"/>
        <w:r>
          <w:t xml:space="preserve"> Engl Ed. 2020 Mar;67(3):205–15.</w:t>
        </w:r>
      </w:hyperlink>
    </w:p>
    <w:p w14:paraId="334DF9E5" w14:textId="77777777" w:rsidR="005355B4" w:rsidRDefault="004626E0">
      <w:pPr>
        <w:widowControl w:val="0"/>
        <w:pBdr>
          <w:top w:val="nil"/>
          <w:left w:val="nil"/>
          <w:bottom w:val="nil"/>
          <w:right w:val="nil"/>
          <w:between w:val="nil"/>
        </w:pBdr>
        <w:spacing w:after="240" w:line="240" w:lineRule="auto"/>
        <w:ind w:left="384" w:hanging="384"/>
        <w:rPr>
          <w:rFonts w:ascii="Times New Roman" w:eastAsia="Times New Roman" w:hAnsi="Times New Roman" w:cs="Times New Roman"/>
          <w:sz w:val="30"/>
          <w:szCs w:val="30"/>
          <w:highlight w:val="white"/>
        </w:rPr>
      </w:pPr>
      <w:hyperlink r:id="rId62">
        <w:r>
          <w:t>13.</w:t>
        </w:r>
        <w:r>
          <w:tab/>
          <w:t>George C, Minter DA. Hyperuricemia. In: StatPearls [Internet]. Treasure Island (FL): StatPearls Publishing; 2023 [cited 2023 Jun 2]. Available from: http://www.ncbi.nlm.nih.gov/books/NBK459218/</w:t>
        </w:r>
      </w:hyperlink>
    </w:p>
    <w:p w14:paraId="517891CB" w14:textId="77777777" w:rsidR="005355B4" w:rsidRDefault="004626E0">
      <w:pPr>
        <w:widowControl w:val="0"/>
        <w:pBdr>
          <w:top w:val="nil"/>
          <w:left w:val="nil"/>
          <w:bottom w:val="nil"/>
          <w:right w:val="nil"/>
          <w:between w:val="nil"/>
        </w:pBdr>
        <w:spacing w:after="240" w:line="240" w:lineRule="auto"/>
        <w:ind w:left="384" w:hanging="384"/>
        <w:rPr>
          <w:rFonts w:ascii="Times New Roman" w:eastAsia="Times New Roman" w:hAnsi="Times New Roman" w:cs="Times New Roman"/>
          <w:sz w:val="30"/>
          <w:szCs w:val="30"/>
          <w:highlight w:val="white"/>
        </w:rPr>
      </w:pPr>
      <w:hyperlink r:id="rId63">
        <w:r>
          <w:t>14.</w:t>
        </w:r>
        <w:r>
          <w:tab/>
          <w:t>Howard SC, Jones DP, Pui CH. The Tumor Lysis Syndrome. N Engl J Med. 2011 May 12;364(19):1844–54.</w:t>
        </w:r>
      </w:hyperlink>
    </w:p>
    <w:p w14:paraId="197DFD27" w14:textId="77777777" w:rsidR="005355B4" w:rsidRDefault="004626E0">
      <w:pPr>
        <w:widowControl w:val="0"/>
        <w:pBdr>
          <w:top w:val="nil"/>
          <w:left w:val="nil"/>
          <w:bottom w:val="nil"/>
          <w:right w:val="nil"/>
          <w:between w:val="nil"/>
        </w:pBdr>
        <w:spacing w:after="240" w:line="240" w:lineRule="auto"/>
        <w:ind w:left="384" w:hanging="384"/>
        <w:rPr>
          <w:rFonts w:ascii="Times New Roman" w:eastAsia="Times New Roman" w:hAnsi="Times New Roman" w:cs="Times New Roman"/>
          <w:sz w:val="30"/>
          <w:szCs w:val="30"/>
          <w:highlight w:val="white"/>
        </w:rPr>
      </w:pPr>
      <w:hyperlink r:id="rId64">
        <w:r>
          <w:t>15.</w:t>
        </w:r>
        <w:r>
          <w:tab/>
          <w:t>Adeyinka A, Bashir K. Tumor Lysis Syndrome. In: StatPearls [Internet]. Treasure Island (FL): StatPearls Publishing; 2023 [cited 2023 May 11]. Available from: http://www.ncbi.nlm.nih.gov/books/NBK518985/</w:t>
        </w:r>
      </w:hyperlink>
    </w:p>
    <w:p w14:paraId="116583EF" w14:textId="77777777" w:rsidR="005355B4" w:rsidRDefault="004626E0">
      <w:pPr>
        <w:widowControl w:val="0"/>
        <w:pBdr>
          <w:top w:val="nil"/>
          <w:left w:val="nil"/>
          <w:bottom w:val="nil"/>
          <w:right w:val="nil"/>
          <w:between w:val="nil"/>
        </w:pBdr>
        <w:spacing w:after="240" w:line="240" w:lineRule="auto"/>
        <w:ind w:left="384" w:hanging="384"/>
        <w:rPr>
          <w:rFonts w:ascii="Times New Roman" w:eastAsia="Times New Roman" w:hAnsi="Times New Roman" w:cs="Times New Roman"/>
          <w:sz w:val="30"/>
          <w:szCs w:val="30"/>
          <w:highlight w:val="white"/>
        </w:rPr>
      </w:pPr>
      <w:hyperlink r:id="rId65">
        <w:r>
          <w:t>16.</w:t>
        </w:r>
        <w:r>
          <w:tab/>
        </w:r>
        <w:proofErr w:type="spellStart"/>
        <w:r>
          <w:t>Lupușoru</w:t>
        </w:r>
        <w:proofErr w:type="spellEnd"/>
        <w:r>
          <w:t xml:space="preserve"> G, </w:t>
        </w:r>
        <w:proofErr w:type="spellStart"/>
        <w:r>
          <w:t>Ailincăi</w:t>
        </w:r>
        <w:proofErr w:type="spellEnd"/>
        <w:r>
          <w:t xml:space="preserve"> I, </w:t>
        </w:r>
        <w:proofErr w:type="spellStart"/>
        <w:r>
          <w:t>Frățilă</w:t>
        </w:r>
        <w:proofErr w:type="spellEnd"/>
        <w:r>
          <w:t xml:space="preserve"> G, Ungureanu O, </w:t>
        </w:r>
        <w:proofErr w:type="spellStart"/>
        <w:r>
          <w:t>Andronesi</w:t>
        </w:r>
        <w:proofErr w:type="spellEnd"/>
        <w:r>
          <w:t xml:space="preserve"> A, </w:t>
        </w:r>
        <w:proofErr w:type="spellStart"/>
        <w:r>
          <w:t>Lupușoru</w:t>
        </w:r>
        <w:proofErr w:type="spellEnd"/>
        <w:r>
          <w:t xml:space="preserve"> M, et al. Tumor Lysis Syndrome: An Endless Challenge in Onco-Nephrology. Biomedicines. 2022 Apr 28;10(5):1012.</w:t>
        </w:r>
      </w:hyperlink>
    </w:p>
    <w:p w14:paraId="7E83153A" w14:textId="77777777" w:rsidR="005355B4" w:rsidRDefault="004626E0">
      <w:pPr>
        <w:widowControl w:val="0"/>
        <w:pBdr>
          <w:top w:val="nil"/>
          <w:left w:val="nil"/>
          <w:bottom w:val="nil"/>
          <w:right w:val="nil"/>
          <w:between w:val="nil"/>
        </w:pBdr>
        <w:spacing w:after="240" w:line="240" w:lineRule="auto"/>
        <w:ind w:left="384" w:hanging="384"/>
        <w:rPr>
          <w:rFonts w:ascii="Times New Roman" w:eastAsia="Times New Roman" w:hAnsi="Times New Roman" w:cs="Times New Roman"/>
          <w:sz w:val="30"/>
          <w:szCs w:val="30"/>
          <w:highlight w:val="white"/>
        </w:rPr>
      </w:pPr>
      <w:hyperlink r:id="rId66">
        <w:r>
          <w:t>17.</w:t>
        </w:r>
        <w:r>
          <w:tab/>
          <w:t>Wilson FP, Berns JS. Tumor Lysis Syndrome: New Challenges and Recent Advances. Adv Chronic Kidney Dis. 2014 Jan;21(1):18–26.</w:t>
        </w:r>
      </w:hyperlink>
    </w:p>
    <w:p w14:paraId="05D25520" w14:textId="77777777" w:rsidR="005355B4" w:rsidRDefault="004626E0">
      <w:pPr>
        <w:widowControl w:val="0"/>
        <w:pBdr>
          <w:top w:val="nil"/>
          <w:left w:val="nil"/>
          <w:bottom w:val="nil"/>
          <w:right w:val="nil"/>
          <w:between w:val="nil"/>
        </w:pBdr>
        <w:spacing w:after="240" w:line="240" w:lineRule="auto"/>
        <w:ind w:left="384" w:hanging="384"/>
        <w:rPr>
          <w:rFonts w:ascii="Times New Roman" w:eastAsia="Times New Roman" w:hAnsi="Times New Roman" w:cs="Times New Roman"/>
          <w:sz w:val="30"/>
          <w:szCs w:val="30"/>
          <w:highlight w:val="white"/>
        </w:rPr>
      </w:pPr>
      <w:hyperlink r:id="rId67">
        <w:r>
          <w:t>18.</w:t>
        </w:r>
        <w:r>
          <w:tab/>
          <w:t xml:space="preserve">Puri I, Sharma D, Gunturu KS, Ahmed AA. Diagnosis and management of tumor lysis syndrome. J Community Hosp Intern Med </w:t>
        </w:r>
        <w:proofErr w:type="spellStart"/>
        <w:r>
          <w:t>Perspect</w:t>
        </w:r>
        <w:proofErr w:type="spellEnd"/>
        <w:r>
          <w:t>. 2020 May 3;10(3):269–72.</w:t>
        </w:r>
      </w:hyperlink>
    </w:p>
    <w:p w14:paraId="71185442" w14:textId="77777777" w:rsidR="005355B4" w:rsidRDefault="004626E0">
      <w:pPr>
        <w:widowControl w:val="0"/>
        <w:pBdr>
          <w:top w:val="nil"/>
          <w:left w:val="nil"/>
          <w:bottom w:val="nil"/>
          <w:right w:val="nil"/>
          <w:between w:val="nil"/>
        </w:pBdr>
        <w:spacing w:after="240" w:line="240" w:lineRule="auto"/>
        <w:ind w:left="384" w:hanging="384"/>
        <w:rPr>
          <w:rFonts w:ascii="Times New Roman" w:eastAsia="Times New Roman" w:hAnsi="Times New Roman" w:cs="Times New Roman"/>
          <w:sz w:val="30"/>
          <w:szCs w:val="30"/>
          <w:highlight w:val="white"/>
        </w:rPr>
      </w:pPr>
      <w:hyperlink r:id="rId68">
        <w:r>
          <w:t>19.</w:t>
        </w:r>
        <w:r>
          <w:tab/>
          <w:t xml:space="preserve">Findakly D, Luther RD, Wang J. Tumor Lysis Syndrome in Solid Tumors: A Comprehensive Literature Review, New Insights, and Novel Strategies to Improve Outcomes. Cureus </w:t>
        </w:r>
        <w:r>
          <w:lastRenderedPageBreak/>
          <w:t>[Internet]. 2020 May 29 [cited 2025 Jun 6]; Available from: https://www.cureus.com/articles/33194-tumor-lysis-syndrome-in-solid-tumors-a-comprehensive-literature-review-new-insights-and-novel-strategies-to-improve-outcomes</w:t>
        </w:r>
      </w:hyperlink>
    </w:p>
    <w:p w14:paraId="4D656B8D" w14:textId="77777777" w:rsidR="005355B4" w:rsidRDefault="004626E0">
      <w:pPr>
        <w:widowControl w:val="0"/>
        <w:pBdr>
          <w:top w:val="nil"/>
          <w:left w:val="nil"/>
          <w:bottom w:val="nil"/>
          <w:right w:val="nil"/>
          <w:between w:val="nil"/>
        </w:pBdr>
        <w:spacing w:after="240" w:line="240" w:lineRule="auto"/>
        <w:ind w:left="384" w:hanging="384"/>
        <w:rPr>
          <w:rFonts w:ascii="Times New Roman" w:eastAsia="Times New Roman" w:hAnsi="Times New Roman" w:cs="Times New Roman"/>
          <w:sz w:val="30"/>
          <w:szCs w:val="30"/>
          <w:highlight w:val="white"/>
        </w:rPr>
      </w:pPr>
      <w:hyperlink r:id="rId69">
        <w:r>
          <w:t>20.</w:t>
        </w:r>
        <w:r>
          <w:tab/>
          <w:t>Joseph A, Zafrani L. How I Treat Tumor Lysis Syndrome. Clin J Am Soc Nephrol. 2023 Dec;18(12):1634–6.</w:t>
        </w:r>
      </w:hyperlink>
    </w:p>
    <w:p w14:paraId="46DBD890" w14:textId="77777777" w:rsidR="005355B4" w:rsidRDefault="004626E0">
      <w:pPr>
        <w:widowControl w:val="0"/>
        <w:pBdr>
          <w:top w:val="nil"/>
          <w:left w:val="nil"/>
          <w:bottom w:val="nil"/>
          <w:right w:val="nil"/>
          <w:between w:val="nil"/>
        </w:pBdr>
        <w:spacing w:after="240" w:line="240" w:lineRule="auto"/>
        <w:ind w:left="384" w:hanging="384"/>
        <w:rPr>
          <w:rFonts w:ascii="Times New Roman" w:eastAsia="Times New Roman" w:hAnsi="Times New Roman" w:cs="Times New Roman"/>
          <w:sz w:val="30"/>
          <w:szCs w:val="30"/>
          <w:highlight w:val="white"/>
        </w:rPr>
      </w:pPr>
      <w:hyperlink r:id="rId70">
        <w:r>
          <w:t>21.</w:t>
        </w:r>
        <w:r>
          <w:tab/>
          <w:t xml:space="preserve">Martens KL, </w:t>
        </w:r>
        <w:proofErr w:type="spellStart"/>
        <w:r>
          <w:t>Khalighi</w:t>
        </w:r>
        <w:proofErr w:type="spellEnd"/>
        <w:r>
          <w:t xml:space="preserve"> PR, Li S, White AA, </w:t>
        </w:r>
        <w:proofErr w:type="spellStart"/>
        <w:r>
          <w:t>Silgard</w:t>
        </w:r>
        <w:proofErr w:type="spellEnd"/>
        <w:r>
          <w:t xml:space="preserve"> E, Frieze D, et al. Comparative effectiveness of </w:t>
        </w:r>
        <w:proofErr w:type="spellStart"/>
        <w:r>
          <w:t>rasburicase</w:t>
        </w:r>
        <w:proofErr w:type="spellEnd"/>
        <w:r>
          <w:t xml:space="preserve"> versus allopurinol for cancer patients with renal dysfunction and hyperuricemia. Leuk Res. 2020 </w:t>
        </w:r>
        <w:proofErr w:type="gramStart"/>
        <w:r>
          <w:t>Feb;89:106298</w:t>
        </w:r>
        <w:proofErr w:type="gramEnd"/>
        <w:r>
          <w:t>.</w:t>
        </w:r>
      </w:hyperlink>
    </w:p>
    <w:p w14:paraId="7B0FEC11" w14:textId="77777777" w:rsidR="005355B4" w:rsidRDefault="004626E0">
      <w:pPr>
        <w:widowControl w:val="0"/>
        <w:pBdr>
          <w:top w:val="nil"/>
          <w:left w:val="nil"/>
          <w:bottom w:val="nil"/>
          <w:right w:val="nil"/>
          <w:between w:val="nil"/>
        </w:pBdr>
        <w:spacing w:after="240" w:line="240" w:lineRule="auto"/>
        <w:ind w:left="384" w:hanging="384"/>
        <w:rPr>
          <w:rFonts w:ascii="Times New Roman" w:eastAsia="Times New Roman" w:hAnsi="Times New Roman" w:cs="Times New Roman"/>
          <w:sz w:val="30"/>
          <w:szCs w:val="30"/>
          <w:highlight w:val="white"/>
        </w:rPr>
      </w:pPr>
      <w:hyperlink r:id="rId71">
        <w:r>
          <w:t>22.</w:t>
        </w:r>
        <w:r>
          <w:tab/>
          <w:t xml:space="preserve">Lee JS, Won J, Kwon OC, Lee SS, Oh JS, Kim YG, et al. Hepatic Safety of Febuxostat Compared with Allopurinol in Gout Patients with Fatty Liver Disease. J </w:t>
        </w:r>
        <w:proofErr w:type="spellStart"/>
        <w:r>
          <w:t>Rheumatol</w:t>
        </w:r>
        <w:proofErr w:type="spellEnd"/>
        <w:r>
          <w:t>. 2019 May;46(5):527–31.</w:t>
        </w:r>
      </w:hyperlink>
    </w:p>
    <w:p w14:paraId="2CE04DA0" w14:textId="77777777" w:rsidR="005355B4" w:rsidRDefault="004626E0">
      <w:pPr>
        <w:widowControl w:val="0"/>
        <w:pBdr>
          <w:top w:val="nil"/>
          <w:left w:val="nil"/>
          <w:bottom w:val="nil"/>
          <w:right w:val="nil"/>
          <w:between w:val="nil"/>
        </w:pBdr>
        <w:spacing w:after="240" w:line="240" w:lineRule="auto"/>
        <w:ind w:left="384" w:hanging="384"/>
        <w:rPr>
          <w:rFonts w:ascii="Times New Roman" w:eastAsia="Times New Roman" w:hAnsi="Times New Roman" w:cs="Times New Roman"/>
          <w:sz w:val="30"/>
          <w:szCs w:val="30"/>
          <w:highlight w:val="white"/>
        </w:rPr>
      </w:pPr>
      <w:hyperlink r:id="rId72">
        <w:r>
          <w:t>23.</w:t>
        </w:r>
        <w:r>
          <w:tab/>
          <w:t xml:space="preserve">Rafique Z, </w:t>
        </w:r>
        <w:proofErr w:type="spellStart"/>
        <w:r>
          <w:t>Chouihed</w:t>
        </w:r>
        <w:proofErr w:type="spellEnd"/>
        <w:r>
          <w:t xml:space="preserve"> T, </w:t>
        </w:r>
        <w:proofErr w:type="spellStart"/>
        <w:r>
          <w:t>Mebazaa</w:t>
        </w:r>
        <w:proofErr w:type="spellEnd"/>
        <w:r>
          <w:t xml:space="preserve"> A, Frank Peacock W. Current treatment and unmet needs of </w:t>
        </w:r>
        <w:proofErr w:type="spellStart"/>
        <w:r>
          <w:t>hyperkalaemia</w:t>
        </w:r>
        <w:proofErr w:type="spellEnd"/>
        <w:r>
          <w:t xml:space="preserve"> in the emergency department. </w:t>
        </w:r>
        <w:proofErr w:type="spellStart"/>
        <w:r>
          <w:t>Eur</w:t>
        </w:r>
        <w:proofErr w:type="spellEnd"/>
        <w:r>
          <w:t xml:space="preserve"> Heart J Suppl. 2019 Feb 1;21(</w:t>
        </w:r>
        <w:proofErr w:type="spellStart"/>
        <w:r>
          <w:t>Supplement_A</w:t>
        </w:r>
        <w:proofErr w:type="spellEnd"/>
        <w:proofErr w:type="gramStart"/>
        <w:r>
          <w:t>):A</w:t>
        </w:r>
        <w:proofErr w:type="gramEnd"/>
        <w:r>
          <w:t>12–9.</w:t>
        </w:r>
      </w:hyperlink>
    </w:p>
    <w:p w14:paraId="340EB9EF" w14:textId="77777777" w:rsidR="005355B4" w:rsidRDefault="004626E0">
      <w:pPr>
        <w:widowControl w:val="0"/>
        <w:pBdr>
          <w:top w:val="nil"/>
          <w:left w:val="nil"/>
          <w:bottom w:val="nil"/>
          <w:right w:val="nil"/>
          <w:between w:val="nil"/>
        </w:pBdr>
        <w:spacing w:after="240" w:line="240" w:lineRule="auto"/>
        <w:ind w:left="384" w:hanging="384"/>
        <w:rPr>
          <w:rFonts w:ascii="Times New Roman" w:eastAsia="Times New Roman" w:hAnsi="Times New Roman" w:cs="Times New Roman"/>
          <w:sz w:val="30"/>
          <w:szCs w:val="30"/>
          <w:highlight w:val="white"/>
        </w:rPr>
      </w:pPr>
      <w:hyperlink r:id="rId73">
        <w:r>
          <w:t>24.</w:t>
        </w:r>
        <w:r>
          <w:tab/>
          <w:t xml:space="preserve">McGregor T, Jones S. Fluid and electrolyte problems in renal dysfunction. </w:t>
        </w:r>
        <w:proofErr w:type="spellStart"/>
        <w:r>
          <w:t>Anaesth</w:t>
        </w:r>
        <w:proofErr w:type="spellEnd"/>
        <w:r>
          <w:t xml:space="preserve"> Intensive Care Med. 2021 Jul;22(7):406–9.</w:t>
        </w:r>
      </w:hyperlink>
    </w:p>
    <w:p w14:paraId="33FFD241" w14:textId="77777777" w:rsidR="005355B4" w:rsidRDefault="004626E0">
      <w:pPr>
        <w:widowControl w:val="0"/>
        <w:pBdr>
          <w:top w:val="nil"/>
          <w:left w:val="nil"/>
          <w:bottom w:val="nil"/>
          <w:right w:val="nil"/>
          <w:between w:val="nil"/>
        </w:pBdr>
        <w:spacing w:after="240" w:line="240" w:lineRule="auto"/>
        <w:ind w:left="384" w:hanging="384"/>
        <w:rPr>
          <w:rFonts w:ascii="Times New Roman" w:eastAsia="Times New Roman" w:hAnsi="Times New Roman" w:cs="Times New Roman"/>
          <w:sz w:val="30"/>
          <w:szCs w:val="30"/>
          <w:highlight w:val="white"/>
        </w:rPr>
      </w:pPr>
      <w:hyperlink r:id="rId74">
        <w:r>
          <w:t>25.</w:t>
        </w:r>
        <w:r>
          <w:tab/>
          <w:t xml:space="preserve">Pi J, Kang Y, Smith M, Earl M, </w:t>
        </w:r>
        <w:proofErr w:type="spellStart"/>
        <w:r>
          <w:t>Norigian</w:t>
        </w:r>
        <w:proofErr w:type="spellEnd"/>
        <w:r>
          <w:t xml:space="preserve"> Z, McBride A. A review in the treatment of oncologic emergencies. J Oncol Pharm </w:t>
        </w:r>
        <w:proofErr w:type="spellStart"/>
        <w:r>
          <w:t>Pract</w:t>
        </w:r>
        <w:proofErr w:type="spellEnd"/>
        <w:r>
          <w:t>. 2016 Aug;22(4):625–38.</w:t>
        </w:r>
      </w:hyperlink>
    </w:p>
    <w:p w14:paraId="7831C593" w14:textId="77777777" w:rsidR="005355B4" w:rsidRDefault="004626E0">
      <w:pPr>
        <w:widowControl w:val="0"/>
        <w:pBdr>
          <w:top w:val="nil"/>
          <w:left w:val="nil"/>
          <w:bottom w:val="nil"/>
          <w:right w:val="nil"/>
          <w:between w:val="nil"/>
        </w:pBdr>
        <w:spacing w:after="240" w:line="240" w:lineRule="auto"/>
        <w:ind w:left="384" w:hanging="384"/>
        <w:rPr>
          <w:rFonts w:ascii="Times New Roman" w:eastAsia="Times New Roman" w:hAnsi="Times New Roman" w:cs="Times New Roman"/>
          <w:sz w:val="30"/>
          <w:szCs w:val="30"/>
          <w:highlight w:val="white"/>
        </w:rPr>
      </w:pPr>
      <w:hyperlink r:id="rId75">
        <w:r>
          <w:t>26.</w:t>
        </w:r>
        <w:r>
          <w:tab/>
          <w:t xml:space="preserve">Zhang Q, Zu C, Jing R, Feng Y, Zhang Y, Zhang M, et al. Incidence, clinical characteristics and prognosis of tumor lysis syndrome following B-cell maturation antigen-targeted chimeric antigen receptor-T cell therapy in relapsed/refractory multiple myeloma. Front Immunol. 2023 May </w:t>
        </w:r>
        <w:proofErr w:type="gramStart"/>
        <w:r>
          <w:t>4;14:1125357</w:t>
        </w:r>
        <w:proofErr w:type="gramEnd"/>
        <w:r>
          <w:t>.</w:t>
        </w:r>
      </w:hyperlink>
    </w:p>
    <w:p w14:paraId="2875A0EC" w14:textId="77777777" w:rsidR="005355B4" w:rsidRDefault="004626E0">
      <w:pPr>
        <w:widowControl w:val="0"/>
        <w:pBdr>
          <w:top w:val="nil"/>
          <w:left w:val="nil"/>
          <w:bottom w:val="nil"/>
          <w:right w:val="nil"/>
          <w:between w:val="nil"/>
        </w:pBdr>
        <w:spacing w:after="240" w:line="240" w:lineRule="auto"/>
        <w:ind w:left="384" w:hanging="384"/>
        <w:rPr>
          <w:rFonts w:ascii="Times New Roman" w:eastAsia="Times New Roman" w:hAnsi="Times New Roman" w:cs="Times New Roman"/>
          <w:sz w:val="30"/>
          <w:szCs w:val="30"/>
          <w:highlight w:val="white"/>
        </w:rPr>
      </w:pPr>
      <w:hyperlink r:id="rId76">
        <w:r>
          <w:t>27.</w:t>
        </w:r>
        <w:r>
          <w:tab/>
          <w:t xml:space="preserve">Levstek L, </w:t>
        </w:r>
        <w:proofErr w:type="spellStart"/>
        <w:r>
          <w:t>Janžič</w:t>
        </w:r>
        <w:proofErr w:type="spellEnd"/>
        <w:r>
          <w:t xml:space="preserve"> L, Ihan A, Kopitar AN. Biomarkers for prediction of CAR T therapy outcomes: current and future perspectives. Front Immunol. 2024 Mar </w:t>
        </w:r>
        <w:proofErr w:type="gramStart"/>
        <w:r>
          <w:t>15;15:1378944</w:t>
        </w:r>
        <w:proofErr w:type="gramEnd"/>
        <w:r>
          <w:t>.</w:t>
        </w:r>
      </w:hyperlink>
    </w:p>
    <w:p w14:paraId="43AB55A0" w14:textId="77777777" w:rsidR="005355B4" w:rsidRDefault="004626E0">
      <w:pPr>
        <w:widowControl w:val="0"/>
        <w:pBdr>
          <w:top w:val="nil"/>
          <w:left w:val="nil"/>
          <w:bottom w:val="nil"/>
          <w:right w:val="nil"/>
          <w:between w:val="nil"/>
        </w:pBdr>
        <w:spacing w:after="240" w:line="240" w:lineRule="auto"/>
        <w:ind w:left="384" w:hanging="384"/>
        <w:rPr>
          <w:rFonts w:ascii="Times New Roman" w:eastAsia="Times New Roman" w:hAnsi="Times New Roman" w:cs="Times New Roman"/>
          <w:sz w:val="30"/>
          <w:szCs w:val="30"/>
          <w:highlight w:val="white"/>
        </w:rPr>
      </w:pPr>
      <w:hyperlink r:id="rId77">
        <w:r>
          <w:t>28.</w:t>
        </w:r>
        <w:r>
          <w:tab/>
          <w:t xml:space="preserve">Chhabra N, Kennedy J. A Review of Cancer Immunotherapy Toxicity II: Adoptive Cellular Therapies, Kinase Inhibitors, Monoclonal Antibodies, and Oncolytic Viruses. J Med </w:t>
        </w:r>
        <w:proofErr w:type="spellStart"/>
        <w:r>
          <w:t>Toxicol</w:t>
        </w:r>
        <w:proofErr w:type="spellEnd"/>
        <w:r>
          <w:t>. 2022 Jan;18(1):43–55.</w:t>
        </w:r>
      </w:hyperlink>
    </w:p>
    <w:p w14:paraId="1F00B770" w14:textId="77777777" w:rsidR="005355B4" w:rsidRDefault="004626E0">
      <w:pPr>
        <w:widowControl w:val="0"/>
        <w:pBdr>
          <w:top w:val="nil"/>
          <w:left w:val="nil"/>
          <w:bottom w:val="nil"/>
          <w:right w:val="nil"/>
          <w:between w:val="nil"/>
        </w:pBdr>
        <w:spacing w:after="240" w:line="240" w:lineRule="auto"/>
        <w:ind w:left="384" w:hanging="384"/>
        <w:rPr>
          <w:rFonts w:ascii="Times New Roman" w:eastAsia="Times New Roman" w:hAnsi="Times New Roman" w:cs="Times New Roman"/>
          <w:sz w:val="30"/>
          <w:szCs w:val="30"/>
          <w:highlight w:val="white"/>
        </w:rPr>
      </w:pPr>
      <w:hyperlink r:id="rId78">
        <w:r>
          <w:t>29.</w:t>
        </w:r>
        <w:r>
          <w:tab/>
          <w:t xml:space="preserve">Anderson MA, Walewska R, Hackett F, Kater AP, </w:t>
        </w:r>
        <w:proofErr w:type="spellStart"/>
        <w:r>
          <w:t>Montegaard</w:t>
        </w:r>
        <w:proofErr w:type="spellEnd"/>
        <w:r>
          <w:t xml:space="preserve"> J, O’Brien S, et al. </w:t>
        </w:r>
        <w:proofErr w:type="spellStart"/>
        <w:r>
          <w:t>Venetoclax</w:t>
        </w:r>
        <w:proofErr w:type="spellEnd"/>
        <w:r>
          <w:t xml:space="preserve"> Initiation in Chronic Lymphocytic Leukemia: International Insights and Innovative Approaches for Optimal Patient Care. Cancers. 2024 Feb 28;16(5):980.</w:t>
        </w:r>
      </w:hyperlink>
    </w:p>
    <w:p w14:paraId="798A1522" w14:textId="77777777" w:rsidR="005355B4" w:rsidRDefault="004626E0">
      <w:pPr>
        <w:widowControl w:val="0"/>
        <w:pBdr>
          <w:top w:val="nil"/>
          <w:left w:val="nil"/>
          <w:bottom w:val="nil"/>
          <w:right w:val="nil"/>
          <w:between w:val="nil"/>
        </w:pBdr>
        <w:spacing w:after="240" w:line="240" w:lineRule="auto"/>
        <w:ind w:left="384" w:hanging="384"/>
        <w:rPr>
          <w:rFonts w:ascii="Times New Roman" w:eastAsia="Times New Roman" w:hAnsi="Times New Roman" w:cs="Times New Roman"/>
          <w:sz w:val="30"/>
          <w:szCs w:val="30"/>
          <w:highlight w:val="white"/>
        </w:rPr>
      </w:pPr>
      <w:hyperlink r:id="rId79">
        <w:r>
          <w:t>30.</w:t>
        </w:r>
        <w:r>
          <w:tab/>
          <w:t xml:space="preserve">Roeker LE, Fox CP, Eyre TA, Brander DM, Allan JN, Schuster SJ, et al. Tumor Lysis, Adverse Events, and Dose Adjustments in 297 </w:t>
        </w:r>
        <w:proofErr w:type="spellStart"/>
        <w:r>
          <w:t>Venetoclax</w:t>
        </w:r>
        <w:proofErr w:type="spellEnd"/>
        <w:r>
          <w:t>-Treated CLL Patients in Routine Clinical Practice. Clin Cancer Res. 2019 Jul 15;25(14):4264–70.</w:t>
        </w:r>
      </w:hyperlink>
    </w:p>
    <w:p w14:paraId="4159A433" w14:textId="77777777" w:rsidR="005355B4" w:rsidRDefault="004626E0">
      <w:pPr>
        <w:widowControl w:val="0"/>
        <w:pBdr>
          <w:top w:val="nil"/>
          <w:left w:val="nil"/>
          <w:bottom w:val="nil"/>
          <w:right w:val="nil"/>
          <w:between w:val="nil"/>
        </w:pBdr>
        <w:spacing w:after="240" w:line="240" w:lineRule="auto"/>
        <w:ind w:left="384" w:hanging="384"/>
        <w:rPr>
          <w:rFonts w:ascii="Times New Roman" w:eastAsia="Times New Roman" w:hAnsi="Times New Roman" w:cs="Times New Roman"/>
          <w:sz w:val="30"/>
          <w:szCs w:val="30"/>
          <w:highlight w:val="white"/>
        </w:rPr>
      </w:pPr>
      <w:hyperlink r:id="rId80">
        <w:r>
          <w:t>31.</w:t>
        </w:r>
        <w:r>
          <w:tab/>
          <w:t>Diao S, Nichols ED, DiNardo C, Konopleva M, Ning J, Qiao W, et al. Incidence of tumor lysis syndrome in patients with acute myeloid leukemia undergoing low‐intensity induction with venetoclax. Am J Hematol [Internet]. 2021 Mar [cited 2025 Jun 6];96(3). Available from: https://onlinelibrary.wiley.com/doi/10.1002/ajh.26060</w:t>
        </w:r>
      </w:hyperlink>
    </w:p>
    <w:p w14:paraId="26FD131E" w14:textId="77777777" w:rsidR="005355B4" w:rsidRDefault="004626E0">
      <w:pPr>
        <w:widowControl w:val="0"/>
        <w:pBdr>
          <w:top w:val="nil"/>
          <w:left w:val="nil"/>
          <w:bottom w:val="nil"/>
          <w:right w:val="nil"/>
          <w:between w:val="nil"/>
        </w:pBdr>
        <w:spacing w:after="240" w:line="240" w:lineRule="auto"/>
        <w:ind w:left="384" w:hanging="384"/>
        <w:rPr>
          <w:rFonts w:ascii="Times New Roman" w:eastAsia="Times New Roman" w:hAnsi="Times New Roman" w:cs="Times New Roman"/>
          <w:sz w:val="30"/>
          <w:szCs w:val="30"/>
          <w:highlight w:val="white"/>
        </w:rPr>
      </w:pPr>
      <w:hyperlink r:id="rId81">
        <w:r>
          <w:t>32.</w:t>
        </w:r>
        <w:r>
          <w:tab/>
          <w:t xml:space="preserve">Xiao Y, Xiao L, Zhang Y, Xu X, Guan X, Guo Y, et al. Prediction of tumor lysis syndrome in </w:t>
        </w:r>
        <w:r>
          <w:lastRenderedPageBreak/>
          <w:t xml:space="preserve">childhood acute lymphoblastic leukemia based on machine learning models: a retrospective study. Front Oncol. 2024 Mar </w:t>
        </w:r>
        <w:proofErr w:type="gramStart"/>
        <w:r>
          <w:t>7;14:1337295</w:t>
        </w:r>
        <w:proofErr w:type="gramEnd"/>
        <w:r>
          <w:t>.</w:t>
        </w:r>
      </w:hyperlink>
    </w:p>
    <w:p w14:paraId="55D33087" w14:textId="77777777" w:rsidR="005355B4" w:rsidRDefault="004626E0">
      <w:pPr>
        <w:widowControl w:val="0"/>
        <w:pBdr>
          <w:top w:val="nil"/>
          <w:left w:val="nil"/>
          <w:bottom w:val="nil"/>
          <w:right w:val="nil"/>
          <w:between w:val="nil"/>
        </w:pBdr>
        <w:spacing w:after="240" w:line="240" w:lineRule="auto"/>
        <w:ind w:left="384" w:hanging="384"/>
        <w:rPr>
          <w:rFonts w:ascii="Times New Roman" w:eastAsia="Times New Roman" w:hAnsi="Times New Roman" w:cs="Times New Roman"/>
          <w:sz w:val="30"/>
          <w:szCs w:val="30"/>
          <w:highlight w:val="white"/>
        </w:rPr>
      </w:pPr>
      <w:hyperlink r:id="rId82">
        <w:r>
          <w:t>33.</w:t>
        </w:r>
        <w:r>
          <w:tab/>
          <w:t xml:space="preserve">Xiao Y, Xiao L, Xu X, Guan X, Guo Y, Shen Y, et al. Development and validation of a predictive model for tumor lysis syndrome in childhood acute lymphoblastic leukemia. Leuk Res. 2024 </w:t>
        </w:r>
        <w:proofErr w:type="gramStart"/>
        <w:r>
          <w:t>Nov;146:107587</w:t>
        </w:r>
        <w:proofErr w:type="gramEnd"/>
        <w:r>
          <w:t>.</w:t>
        </w:r>
      </w:hyperlink>
    </w:p>
    <w:p w14:paraId="21F98196" w14:textId="77777777" w:rsidR="005355B4" w:rsidRDefault="004626E0">
      <w:pPr>
        <w:widowControl w:val="0"/>
        <w:pBdr>
          <w:top w:val="nil"/>
          <w:left w:val="nil"/>
          <w:bottom w:val="nil"/>
          <w:right w:val="nil"/>
          <w:between w:val="nil"/>
        </w:pBdr>
        <w:spacing w:after="240" w:line="240" w:lineRule="auto"/>
        <w:ind w:left="384" w:hanging="384"/>
        <w:rPr>
          <w:rFonts w:ascii="Times New Roman" w:eastAsia="Times New Roman" w:hAnsi="Times New Roman" w:cs="Times New Roman"/>
          <w:sz w:val="30"/>
          <w:szCs w:val="30"/>
          <w:highlight w:val="white"/>
        </w:rPr>
      </w:pPr>
      <w:hyperlink r:id="rId83">
        <w:r>
          <w:t>34.</w:t>
        </w:r>
        <w:r>
          <w:tab/>
          <w:t xml:space="preserve">Gribben JG. Practical management of </w:t>
        </w:r>
        <w:proofErr w:type="spellStart"/>
        <w:r>
          <w:t>tumour</w:t>
        </w:r>
        <w:proofErr w:type="spellEnd"/>
        <w:r>
          <w:t xml:space="preserve"> lysis syndrome in </w:t>
        </w:r>
        <w:proofErr w:type="spellStart"/>
        <w:r>
          <w:t>venetoclax</w:t>
        </w:r>
        <w:proofErr w:type="spellEnd"/>
        <w:r>
          <w:t xml:space="preserve">‐treated patients with chronic lymphocytic </w:t>
        </w:r>
        <w:proofErr w:type="spellStart"/>
        <w:r>
          <w:t>leukaemia</w:t>
        </w:r>
        <w:proofErr w:type="spellEnd"/>
        <w:r>
          <w:t xml:space="preserve">. Br J </w:t>
        </w:r>
        <w:proofErr w:type="spellStart"/>
        <w:r>
          <w:t>Haematol</w:t>
        </w:r>
        <w:proofErr w:type="spellEnd"/>
        <w:r>
          <w:t>. 2020 Mar;188(6):844–51.</w:t>
        </w:r>
      </w:hyperlink>
    </w:p>
    <w:p w14:paraId="7BED2976" w14:textId="77777777" w:rsidR="005355B4" w:rsidRDefault="005355B4">
      <w:pPr>
        <w:widowControl w:val="0"/>
        <w:pBdr>
          <w:top w:val="nil"/>
          <w:left w:val="nil"/>
          <w:bottom w:val="nil"/>
          <w:right w:val="nil"/>
          <w:between w:val="nil"/>
        </w:pBdr>
        <w:spacing w:line="240" w:lineRule="auto"/>
        <w:ind w:left="384" w:hanging="384"/>
        <w:rPr>
          <w:rFonts w:ascii="Times New Roman" w:eastAsia="Times New Roman" w:hAnsi="Times New Roman" w:cs="Times New Roman"/>
          <w:sz w:val="30"/>
          <w:szCs w:val="30"/>
          <w:highlight w:val="white"/>
        </w:rPr>
      </w:pPr>
    </w:p>
    <w:p w14:paraId="545C8921" w14:textId="77777777" w:rsidR="005355B4" w:rsidRDefault="005355B4">
      <w:pPr>
        <w:widowControl w:val="0"/>
        <w:pBdr>
          <w:top w:val="nil"/>
          <w:left w:val="nil"/>
          <w:bottom w:val="nil"/>
          <w:right w:val="nil"/>
          <w:between w:val="nil"/>
        </w:pBdr>
        <w:spacing w:line="240" w:lineRule="auto"/>
        <w:rPr>
          <w:rFonts w:ascii="Times New Roman" w:eastAsia="Times New Roman" w:hAnsi="Times New Roman" w:cs="Times New Roman"/>
          <w:sz w:val="30"/>
          <w:szCs w:val="30"/>
          <w:highlight w:val="white"/>
        </w:rPr>
      </w:pPr>
    </w:p>
    <w:sectPr w:rsidR="005355B4">
      <w:headerReference w:type="even" r:id="rId84"/>
      <w:headerReference w:type="default" r:id="rId85"/>
      <w:footerReference w:type="even" r:id="rId86"/>
      <w:footerReference w:type="default" r:id="rId87"/>
      <w:headerReference w:type="first" r:id="rId88"/>
      <w:footerReference w:type="first" r:id="rId8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A114E2" w14:textId="77777777" w:rsidR="00D87117" w:rsidRDefault="00D87117" w:rsidP="00506D0D">
      <w:pPr>
        <w:spacing w:line="240" w:lineRule="auto"/>
      </w:pPr>
      <w:r>
        <w:separator/>
      </w:r>
    </w:p>
  </w:endnote>
  <w:endnote w:type="continuationSeparator" w:id="0">
    <w:p w14:paraId="45B1EEB5" w14:textId="77777777" w:rsidR="00D87117" w:rsidRDefault="00D87117" w:rsidP="00506D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069F1" w14:textId="77777777" w:rsidR="00506D0D" w:rsidRDefault="00506D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A6CF5" w14:textId="77777777" w:rsidR="00506D0D" w:rsidRDefault="00506D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DB472" w14:textId="77777777" w:rsidR="00506D0D" w:rsidRDefault="00506D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8BE330" w14:textId="77777777" w:rsidR="00D87117" w:rsidRDefault="00D87117" w:rsidP="00506D0D">
      <w:pPr>
        <w:spacing w:line="240" w:lineRule="auto"/>
      </w:pPr>
      <w:r>
        <w:separator/>
      </w:r>
    </w:p>
  </w:footnote>
  <w:footnote w:type="continuationSeparator" w:id="0">
    <w:p w14:paraId="2AA42180" w14:textId="77777777" w:rsidR="00D87117" w:rsidRDefault="00D87117" w:rsidP="00506D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C6CC3" w14:textId="45B7C7B6" w:rsidR="00506D0D" w:rsidRDefault="00506D0D">
    <w:pPr>
      <w:pStyle w:val="Header"/>
    </w:pPr>
    <w:r>
      <w:rPr>
        <w:noProof/>
      </w:rPr>
      <w:pict w14:anchorId="4888DD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6518204"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017A6" w14:textId="2A8988F2" w:rsidR="00506D0D" w:rsidRDefault="00506D0D">
    <w:pPr>
      <w:pStyle w:val="Header"/>
    </w:pPr>
    <w:r>
      <w:rPr>
        <w:noProof/>
      </w:rPr>
      <w:pict w14:anchorId="52BCA8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6518205"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579AA" w14:textId="50DA5442" w:rsidR="00506D0D" w:rsidRDefault="00506D0D">
    <w:pPr>
      <w:pStyle w:val="Header"/>
    </w:pPr>
    <w:r>
      <w:rPr>
        <w:noProof/>
      </w:rPr>
      <w:pict w14:anchorId="46A8B2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6518203"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5B4"/>
    <w:rsid w:val="004626E0"/>
    <w:rsid w:val="00506D0D"/>
    <w:rsid w:val="005355B4"/>
    <w:rsid w:val="0073063B"/>
    <w:rsid w:val="00B4314B"/>
    <w:rsid w:val="00C86196"/>
    <w:rsid w:val="00D87117"/>
    <w:rsid w:val="00E84EAF"/>
    <w:rsid w:val="00EB44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89B243"/>
  <w15:docId w15:val="{D9B1E052-874D-2643-8B6C-1EA1B4814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506D0D"/>
    <w:pPr>
      <w:tabs>
        <w:tab w:val="center" w:pos="4680"/>
        <w:tab w:val="right" w:pos="9360"/>
      </w:tabs>
      <w:spacing w:line="240" w:lineRule="auto"/>
    </w:pPr>
  </w:style>
  <w:style w:type="character" w:customStyle="1" w:styleId="HeaderChar">
    <w:name w:val="Header Char"/>
    <w:basedOn w:val="DefaultParagraphFont"/>
    <w:link w:val="Header"/>
    <w:uiPriority w:val="99"/>
    <w:rsid w:val="00506D0D"/>
  </w:style>
  <w:style w:type="paragraph" w:styleId="Footer">
    <w:name w:val="footer"/>
    <w:basedOn w:val="Normal"/>
    <w:link w:val="FooterChar"/>
    <w:uiPriority w:val="99"/>
    <w:unhideWhenUsed/>
    <w:rsid w:val="00506D0D"/>
    <w:pPr>
      <w:tabs>
        <w:tab w:val="center" w:pos="4680"/>
        <w:tab w:val="right" w:pos="9360"/>
      </w:tabs>
      <w:spacing w:line="240" w:lineRule="auto"/>
    </w:pPr>
  </w:style>
  <w:style w:type="character" w:customStyle="1" w:styleId="FooterChar">
    <w:name w:val="Footer Char"/>
    <w:basedOn w:val="DefaultParagraphFont"/>
    <w:link w:val="Footer"/>
    <w:uiPriority w:val="99"/>
    <w:rsid w:val="00506D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zotero.org/google-docs/?JyJ8cT" TargetMode="External"/><Relationship Id="rId18" Type="http://schemas.openxmlformats.org/officeDocument/2006/relationships/hyperlink" Target="https://www.zotero.org/google-docs/?broken=3rEnbD" TargetMode="External"/><Relationship Id="rId26" Type="http://schemas.openxmlformats.org/officeDocument/2006/relationships/hyperlink" Target="https://www.zotero.org/google-docs/?zXS1t7" TargetMode="External"/><Relationship Id="rId39" Type="http://schemas.openxmlformats.org/officeDocument/2006/relationships/hyperlink" Target="https://www.zotero.org/google-docs/?w5AN8h" TargetMode="External"/><Relationship Id="rId21" Type="http://schemas.openxmlformats.org/officeDocument/2006/relationships/image" Target="media/image2.png"/><Relationship Id="rId34" Type="http://schemas.openxmlformats.org/officeDocument/2006/relationships/hyperlink" Target="https://www.zotero.org/google-docs/?ArwXSD" TargetMode="External"/><Relationship Id="rId42" Type="http://schemas.openxmlformats.org/officeDocument/2006/relationships/hyperlink" Target="https://www.zotero.org/google-docs/?esfuF5" TargetMode="External"/><Relationship Id="rId47" Type="http://schemas.openxmlformats.org/officeDocument/2006/relationships/hyperlink" Target="https://www.zotero.org/google-docs/?VYUipi" TargetMode="External"/><Relationship Id="rId50" Type="http://schemas.openxmlformats.org/officeDocument/2006/relationships/hyperlink" Target="https://www.zotero.org/google-docs/?R3ORkq" TargetMode="External"/><Relationship Id="rId55" Type="http://schemas.openxmlformats.org/officeDocument/2006/relationships/hyperlink" Target="https://www.zotero.org/google-docs/?R3ORkq" TargetMode="External"/><Relationship Id="rId63" Type="http://schemas.openxmlformats.org/officeDocument/2006/relationships/hyperlink" Target="https://www.zotero.org/google-docs/?R3ORkq" TargetMode="External"/><Relationship Id="rId68" Type="http://schemas.openxmlformats.org/officeDocument/2006/relationships/hyperlink" Target="https://www.zotero.org/google-docs/?R3ORkq" TargetMode="External"/><Relationship Id="rId76" Type="http://schemas.openxmlformats.org/officeDocument/2006/relationships/hyperlink" Target="https://www.zotero.org/google-docs/?R3ORkq" TargetMode="External"/><Relationship Id="rId84" Type="http://schemas.openxmlformats.org/officeDocument/2006/relationships/header" Target="header1.xml"/><Relationship Id="rId89" Type="http://schemas.openxmlformats.org/officeDocument/2006/relationships/footer" Target="footer3.xml"/><Relationship Id="rId7" Type="http://schemas.openxmlformats.org/officeDocument/2006/relationships/hyperlink" Target="https://www.cureus.com/articles?page=1&amp;q=oncologic+emergency&amp;order=%7B%22attr%22%3A%22_score%22%2C%22dir%22%3A%22desc%22%2C%22text%22%3A%22Relevance%22%7D&amp;advanced=true&amp;filters%5B0%5D%5Bboolean%5D=&amp;filters%5B0%5D%5Bfield%5D=keywords&amp;filters%5B0%5D%5Bquery%5D=oncologic+emergency" TargetMode="External"/><Relationship Id="rId71" Type="http://schemas.openxmlformats.org/officeDocument/2006/relationships/hyperlink" Target="https://www.zotero.org/google-docs/?R3ORkq" TargetMode="External"/><Relationship Id="rId2" Type="http://schemas.openxmlformats.org/officeDocument/2006/relationships/settings" Target="settings.xml"/><Relationship Id="rId16" Type="http://schemas.openxmlformats.org/officeDocument/2006/relationships/hyperlink" Target="https://www.zotero.org/google-docs/?TOWv3W" TargetMode="External"/><Relationship Id="rId29" Type="http://schemas.openxmlformats.org/officeDocument/2006/relationships/hyperlink" Target="https://www.zotero.org/google-docs/?HA2KDe" TargetMode="External"/><Relationship Id="rId11" Type="http://schemas.openxmlformats.org/officeDocument/2006/relationships/hyperlink" Target="https://www.zotero.org/google-docs/?tUGRpY" TargetMode="External"/><Relationship Id="rId24" Type="http://schemas.openxmlformats.org/officeDocument/2006/relationships/hyperlink" Target="https://www.zotero.org/google-docs/?5epllK" TargetMode="External"/><Relationship Id="rId32" Type="http://schemas.openxmlformats.org/officeDocument/2006/relationships/hyperlink" Target="https://www.zotero.org/google-docs/?54dnoY" TargetMode="External"/><Relationship Id="rId37" Type="http://schemas.openxmlformats.org/officeDocument/2006/relationships/hyperlink" Target="https://www.zotero.org/google-docs/?94uqXm" TargetMode="External"/><Relationship Id="rId40" Type="http://schemas.openxmlformats.org/officeDocument/2006/relationships/hyperlink" Target="https://www.zotero.org/google-docs/?XqQ0L4" TargetMode="External"/><Relationship Id="rId45" Type="http://schemas.openxmlformats.org/officeDocument/2006/relationships/hyperlink" Target="https://www.zotero.org/google-docs/?Xl5uIa" TargetMode="External"/><Relationship Id="rId53" Type="http://schemas.openxmlformats.org/officeDocument/2006/relationships/hyperlink" Target="https://www.zotero.org/google-docs/?R3ORkq" TargetMode="External"/><Relationship Id="rId58" Type="http://schemas.openxmlformats.org/officeDocument/2006/relationships/hyperlink" Target="https://www.zotero.org/google-docs/?R3ORkq" TargetMode="External"/><Relationship Id="rId66" Type="http://schemas.openxmlformats.org/officeDocument/2006/relationships/hyperlink" Target="https://www.zotero.org/google-docs/?R3ORkq" TargetMode="External"/><Relationship Id="rId74" Type="http://schemas.openxmlformats.org/officeDocument/2006/relationships/hyperlink" Target="https://www.zotero.org/google-docs/?R3ORkq" TargetMode="External"/><Relationship Id="rId79" Type="http://schemas.openxmlformats.org/officeDocument/2006/relationships/hyperlink" Target="https://www.zotero.org/google-docs/?R3ORkq" TargetMode="External"/><Relationship Id="rId87" Type="http://schemas.openxmlformats.org/officeDocument/2006/relationships/footer" Target="footer2.xml"/><Relationship Id="rId5" Type="http://schemas.openxmlformats.org/officeDocument/2006/relationships/endnotes" Target="endnotes.xml"/><Relationship Id="rId61" Type="http://schemas.openxmlformats.org/officeDocument/2006/relationships/hyperlink" Target="https://www.zotero.org/google-docs/?R3ORkq" TargetMode="External"/><Relationship Id="rId82" Type="http://schemas.openxmlformats.org/officeDocument/2006/relationships/hyperlink" Target="https://www.zotero.org/google-docs/?R3ORkq" TargetMode="External"/><Relationship Id="rId90" Type="http://schemas.openxmlformats.org/officeDocument/2006/relationships/fontTable" Target="fontTable.xml"/><Relationship Id="rId19" Type="http://schemas.openxmlformats.org/officeDocument/2006/relationships/hyperlink" Target="https://www.zotero.org/google-docs/?OoxT7u" TargetMode="External"/><Relationship Id="rId14" Type="http://schemas.openxmlformats.org/officeDocument/2006/relationships/hyperlink" Target="https://www.zotero.org/google-docs/?BK7Hru" TargetMode="External"/><Relationship Id="rId22" Type="http://schemas.openxmlformats.org/officeDocument/2006/relationships/hyperlink" Target="https://www.zotero.org/google-docs/?vKbHHP" TargetMode="External"/><Relationship Id="rId27" Type="http://schemas.openxmlformats.org/officeDocument/2006/relationships/hyperlink" Target="https://www.zotero.org/google-docs/?CUU2j5" TargetMode="External"/><Relationship Id="rId30" Type="http://schemas.openxmlformats.org/officeDocument/2006/relationships/hyperlink" Target="https://www.zotero.org/google-docs/?2NpZO6" TargetMode="External"/><Relationship Id="rId35" Type="http://schemas.openxmlformats.org/officeDocument/2006/relationships/hyperlink" Target="https://www.zotero.org/google-docs/?acUmGJ" TargetMode="External"/><Relationship Id="rId43" Type="http://schemas.openxmlformats.org/officeDocument/2006/relationships/hyperlink" Target="https://www.zotero.org/google-docs/?q05TvQ" TargetMode="External"/><Relationship Id="rId48" Type="http://schemas.openxmlformats.org/officeDocument/2006/relationships/hyperlink" Target="https://www.zotero.org/google-docs/?TNODb3" TargetMode="External"/><Relationship Id="rId56" Type="http://schemas.openxmlformats.org/officeDocument/2006/relationships/hyperlink" Target="https://www.zotero.org/google-docs/?R3ORkq" TargetMode="External"/><Relationship Id="rId64" Type="http://schemas.openxmlformats.org/officeDocument/2006/relationships/hyperlink" Target="https://www.zotero.org/google-docs/?R3ORkq" TargetMode="External"/><Relationship Id="rId69" Type="http://schemas.openxmlformats.org/officeDocument/2006/relationships/hyperlink" Target="https://www.zotero.org/google-docs/?R3ORkq" TargetMode="External"/><Relationship Id="rId77" Type="http://schemas.openxmlformats.org/officeDocument/2006/relationships/hyperlink" Target="https://www.zotero.org/google-docs/?R3ORkq" TargetMode="External"/><Relationship Id="rId8" Type="http://schemas.openxmlformats.org/officeDocument/2006/relationships/hyperlink" Target="https://www.cureus.com/articles?page=1&amp;q=spontaneous+tls&amp;order=%7B%22attr%22%3A%22_score%22%2C%22dir%22%3A%22desc%22%2C%22text%22%3A%22Relevance%22%7D&amp;advanced=true&amp;filters%5B0%5D%5Bboolean%5D=&amp;filters%5B0%5D%5Bfield%5D=keywords&amp;filters%5B0%5D%5Bquery%5D=spontaneous+tls" TargetMode="External"/><Relationship Id="rId51" Type="http://schemas.openxmlformats.org/officeDocument/2006/relationships/hyperlink" Target="https://www.zotero.org/google-docs/?R3ORkq" TargetMode="External"/><Relationship Id="rId72" Type="http://schemas.openxmlformats.org/officeDocument/2006/relationships/hyperlink" Target="https://www.zotero.org/google-docs/?R3ORkq" TargetMode="External"/><Relationship Id="rId80" Type="http://schemas.openxmlformats.org/officeDocument/2006/relationships/hyperlink" Target="https://www.zotero.org/google-docs/?R3ORkq" TargetMode="External"/><Relationship Id="rId85" Type="http://schemas.openxmlformats.org/officeDocument/2006/relationships/header" Target="header2.xml"/><Relationship Id="rId3" Type="http://schemas.openxmlformats.org/officeDocument/2006/relationships/webSettings" Target="webSettings.xml"/><Relationship Id="rId12" Type="http://schemas.openxmlformats.org/officeDocument/2006/relationships/hyperlink" Target="https://www.zotero.org/google-docs/?R6w0Hx" TargetMode="External"/><Relationship Id="rId17" Type="http://schemas.openxmlformats.org/officeDocument/2006/relationships/hyperlink" Target="https://www.zotero.org/google-docs/?MPrgUL" TargetMode="External"/><Relationship Id="rId25" Type="http://schemas.openxmlformats.org/officeDocument/2006/relationships/hyperlink" Target="https://www.zotero.org/google-docs/?Y8vFmk" TargetMode="External"/><Relationship Id="rId33" Type="http://schemas.openxmlformats.org/officeDocument/2006/relationships/hyperlink" Target="https://www.zotero.org/google-docs/?ddNele" TargetMode="External"/><Relationship Id="rId38" Type="http://schemas.openxmlformats.org/officeDocument/2006/relationships/hyperlink" Target="https://www.zotero.org/google-docs/?MEkoSn" TargetMode="External"/><Relationship Id="rId46" Type="http://schemas.openxmlformats.org/officeDocument/2006/relationships/hyperlink" Target="https://www.zotero.org/google-docs/?8sipf5" TargetMode="External"/><Relationship Id="rId59" Type="http://schemas.openxmlformats.org/officeDocument/2006/relationships/hyperlink" Target="https://www.zotero.org/google-docs/?R3ORkq" TargetMode="External"/><Relationship Id="rId67" Type="http://schemas.openxmlformats.org/officeDocument/2006/relationships/hyperlink" Target="https://www.zotero.org/google-docs/?R3ORkq" TargetMode="External"/><Relationship Id="rId20" Type="http://schemas.openxmlformats.org/officeDocument/2006/relationships/hyperlink" Target="https://www.zotero.org/google-docs/?l5we26" TargetMode="External"/><Relationship Id="rId41" Type="http://schemas.openxmlformats.org/officeDocument/2006/relationships/hyperlink" Target="https://www.zotero.org/google-docs/?64lwif" TargetMode="External"/><Relationship Id="rId54" Type="http://schemas.openxmlformats.org/officeDocument/2006/relationships/hyperlink" Target="https://www.zotero.org/google-docs/?R3ORkq" TargetMode="External"/><Relationship Id="rId62" Type="http://schemas.openxmlformats.org/officeDocument/2006/relationships/hyperlink" Target="https://www.zotero.org/google-docs/?R3ORkq" TargetMode="External"/><Relationship Id="rId70" Type="http://schemas.openxmlformats.org/officeDocument/2006/relationships/hyperlink" Target="https://www.zotero.org/google-docs/?R3ORkq" TargetMode="External"/><Relationship Id="rId75" Type="http://schemas.openxmlformats.org/officeDocument/2006/relationships/hyperlink" Target="https://www.zotero.org/google-docs/?R3ORkq" TargetMode="External"/><Relationship Id="rId83" Type="http://schemas.openxmlformats.org/officeDocument/2006/relationships/hyperlink" Target="https://www.zotero.org/google-docs/?R3ORkq" TargetMode="External"/><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cureus.com/articles?page=1&amp;q=cairo-bishop+criteria&amp;order=%7B%22attr%22%3A%22_score%22%2C%22dir%22%3A%22desc%22%2C%22text%22%3A%22Relevance%22%7D&amp;advanced=true&amp;filters%5B0%5D%5Bboolean%5D=&amp;filters%5B0%5D%5Bfield%5D=keywords&amp;filters%5B0%5D%5Bquery%5D=cairo-bishop+criteria" TargetMode="External"/><Relationship Id="rId15" Type="http://schemas.openxmlformats.org/officeDocument/2006/relationships/image" Target="media/image1.png"/><Relationship Id="rId23" Type="http://schemas.openxmlformats.org/officeDocument/2006/relationships/hyperlink" Target="https://www.zotero.org/google-docs/?h1jPHA" TargetMode="External"/><Relationship Id="rId28" Type="http://schemas.openxmlformats.org/officeDocument/2006/relationships/hyperlink" Target="https://www.zotero.org/google-docs/?BQUmj8" TargetMode="External"/><Relationship Id="rId36" Type="http://schemas.openxmlformats.org/officeDocument/2006/relationships/hyperlink" Target="https://www.zotero.org/google-docs/?xxiotc" TargetMode="External"/><Relationship Id="rId49" Type="http://schemas.openxmlformats.org/officeDocument/2006/relationships/hyperlink" Target="https://www.zotero.org/google-docs/?5cl9Gk" TargetMode="External"/><Relationship Id="rId57" Type="http://schemas.openxmlformats.org/officeDocument/2006/relationships/hyperlink" Target="https://www.zotero.org/google-docs/?R3ORkq" TargetMode="External"/><Relationship Id="rId10" Type="http://schemas.openxmlformats.org/officeDocument/2006/relationships/hyperlink" Target="https://www.cureus.com/articles?page=1&amp;q=tumor+lysis+syndrome&amp;order=%7B%22attr%22%3A%22_score%22%2C%22dir%22%3A%22desc%22%2C%22text%22%3A%22Relevance%22%7D&amp;advanced=true&amp;filters%5B0%5D%5Bboolean%5D=&amp;filters%5B0%5D%5Bfield%5D=keywords&amp;filters%5B0%5D%5Bquery%5D=tumor+lysis+syndrome" TargetMode="External"/><Relationship Id="rId31" Type="http://schemas.openxmlformats.org/officeDocument/2006/relationships/hyperlink" Target="https://www.zotero.org/google-docs/?jAciA2" TargetMode="External"/><Relationship Id="rId44" Type="http://schemas.openxmlformats.org/officeDocument/2006/relationships/hyperlink" Target="https://www.zotero.org/google-docs/?mOR8fn" TargetMode="External"/><Relationship Id="rId52" Type="http://schemas.openxmlformats.org/officeDocument/2006/relationships/hyperlink" Target="https://www.zotero.org/google-docs/?R3ORkq" TargetMode="External"/><Relationship Id="rId60" Type="http://schemas.openxmlformats.org/officeDocument/2006/relationships/hyperlink" Target="https://www.zotero.org/google-docs/?R3ORkq" TargetMode="External"/><Relationship Id="rId65" Type="http://schemas.openxmlformats.org/officeDocument/2006/relationships/hyperlink" Target="https://www.zotero.org/google-docs/?R3ORkq" TargetMode="External"/><Relationship Id="rId73" Type="http://schemas.openxmlformats.org/officeDocument/2006/relationships/hyperlink" Target="https://www.zotero.org/google-docs/?R3ORkq" TargetMode="External"/><Relationship Id="rId78" Type="http://schemas.openxmlformats.org/officeDocument/2006/relationships/hyperlink" Target="https://www.zotero.org/google-docs/?R3ORkq" TargetMode="External"/><Relationship Id="rId81" Type="http://schemas.openxmlformats.org/officeDocument/2006/relationships/hyperlink" Target="https://www.zotero.org/google-docs/?R3ORkq" TargetMode="External"/><Relationship Id="rId86"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www.cureus.com/articles?page=1&amp;q=therapy-induced+tls&amp;order=%7B%22attr%22%3A%22_score%22%2C%22dir%22%3A%22desc%22%2C%22text%22%3A%22Relevance%22%7D&amp;advanced=true&amp;filters%5B0%5D%5Bboolean%5D=&amp;filters%5B0%5D%5Bfield%5D=keywords&amp;filters%5B0%5D%5Bquery%5D=therapy-induced+t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14</Pages>
  <Words>5512</Words>
  <Characters>31421</Characters>
  <Application>Microsoft Office Word</Application>
  <DocSecurity>0</DocSecurity>
  <Lines>261</Lines>
  <Paragraphs>73</Paragraphs>
  <ScaleCrop>false</ScaleCrop>
  <Company/>
  <LinksUpToDate>false</LinksUpToDate>
  <CharactersWithSpaces>36860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Editor-22</cp:lastModifiedBy>
  <cp:revision>5</cp:revision>
  <dcterms:created xsi:type="dcterms:W3CDTF">2025-06-30T07:34:00Z</dcterms:created>
  <dcterms:modified xsi:type="dcterms:W3CDTF">2025-06-30T12:29:00Z</dcterms:modified>
</cp:coreProperties>
</file>