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EF7C01" w14:textId="77777777" w:rsidR="00140F70" w:rsidRDefault="00140F70" w:rsidP="00335E34">
      <w:pPr>
        <w:spacing w:before="100" w:beforeAutospacing="1" w:after="100" w:afterAutospacing="1" w:line="240" w:lineRule="auto"/>
        <w:jc w:val="both"/>
        <w:rPr>
          <w:rFonts w:ascii="Times New Roman" w:eastAsia="Times New Roman" w:hAnsi="Times New Roman" w:cs="Times New Roman"/>
          <w:b/>
          <w:bCs/>
          <w:sz w:val="24"/>
          <w:szCs w:val="24"/>
        </w:rPr>
      </w:pPr>
    </w:p>
    <w:p w14:paraId="097CE8F6" w14:textId="77777777" w:rsidR="004C142E" w:rsidRPr="004C142E" w:rsidRDefault="004C142E" w:rsidP="004C142E">
      <w:pPr>
        <w:spacing w:before="100" w:beforeAutospacing="1" w:after="100" w:afterAutospacing="1" w:line="240" w:lineRule="auto"/>
        <w:jc w:val="both"/>
        <w:rPr>
          <w:rFonts w:ascii="Times New Roman" w:eastAsia="Times New Roman" w:hAnsi="Times New Roman" w:cs="Times New Roman"/>
          <w:b/>
          <w:bCs/>
          <w:i/>
          <w:iCs/>
          <w:sz w:val="24"/>
          <w:szCs w:val="24"/>
          <w:u w:val="single"/>
        </w:rPr>
      </w:pPr>
      <w:r w:rsidRPr="004C142E">
        <w:rPr>
          <w:rFonts w:ascii="Times New Roman" w:eastAsia="Times New Roman" w:hAnsi="Times New Roman" w:cs="Times New Roman"/>
          <w:b/>
          <w:bCs/>
          <w:i/>
          <w:iCs/>
          <w:sz w:val="24"/>
          <w:szCs w:val="24"/>
          <w:u w:val="single"/>
        </w:rPr>
        <w:t>Review Article</w:t>
      </w:r>
    </w:p>
    <w:p w14:paraId="7B2F9922" w14:textId="77777777" w:rsidR="00AC3913" w:rsidRDefault="00AC3913" w:rsidP="00AC3913">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Decoding Tumor Heterogeneity: Multi-Omics Approaches to Track Cancer Evolution and Therapy Resistance</w:t>
      </w:r>
    </w:p>
    <w:p w14:paraId="2E64A814" w14:textId="77777777" w:rsidR="000B67E1" w:rsidRPr="000B67E1" w:rsidRDefault="000B67E1" w:rsidP="000B67E1">
      <w:pPr>
        <w:spacing w:before="100" w:beforeAutospacing="1" w:after="100" w:afterAutospacing="1" w:line="240" w:lineRule="auto"/>
        <w:jc w:val="both"/>
        <w:rPr>
          <w:rFonts w:ascii="Times New Roman" w:eastAsia="Times New Roman" w:hAnsi="Times New Roman" w:cs="Times New Roman"/>
          <w:b/>
          <w:bCs/>
          <w:sz w:val="24"/>
          <w:szCs w:val="24"/>
          <w:lang w:val="en-GB"/>
        </w:rPr>
      </w:pPr>
    </w:p>
    <w:p w14:paraId="235F9F49" w14:textId="04B39A24" w:rsidR="0062267F" w:rsidRDefault="0062267F" w:rsidP="00335E34">
      <w:pPr>
        <w:pStyle w:val="Heading3"/>
        <w:jc w:val="both"/>
      </w:pPr>
      <w:r>
        <w:rPr>
          <w:rStyle w:val="Strong"/>
          <w:b/>
          <w:bCs/>
        </w:rPr>
        <w:t>Abstract</w:t>
      </w:r>
      <w:r>
        <w:t xml:space="preserve"> </w:t>
      </w:r>
    </w:p>
    <w:p w14:paraId="084661CA" w14:textId="1190FEFE" w:rsidR="007D3C03" w:rsidRDefault="00B422ED" w:rsidP="00335E3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existence of genetically, epigenetically, and phenotypically distinct cell populations inside and between tumors is known as tumor heterogeneity, and it is one of the main barriers to effective cancer treatment. This intricacy affects the likelihood of metastasis, therapeutic resistance, and disease recurrence, rendering single-</w:t>
      </w:r>
      <w:r w:rsidR="00C269A5">
        <w:rPr>
          <w:rFonts w:ascii="Times New Roman" w:eastAsia="Times New Roman" w:hAnsi="Times New Roman" w:cs="Times New Roman"/>
          <w:sz w:val="24"/>
          <w:szCs w:val="24"/>
        </w:rPr>
        <w:t>omics</w:t>
      </w:r>
      <w:r>
        <w:rPr>
          <w:rFonts w:ascii="Times New Roman" w:eastAsia="Times New Roman" w:hAnsi="Times New Roman" w:cs="Times New Roman"/>
          <w:sz w:val="24"/>
          <w:szCs w:val="24"/>
        </w:rPr>
        <w:t xml:space="preserve"> methods and conventional diagnostics unsuitable for whole tumor profiling.</w:t>
      </w:r>
      <w:r w:rsidR="00DA21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 a result, multi-omics methods which incorporate data from multiple biological layers, such as transcriptomics, proteomics, metabolomics, genomes, and epigenomics</w:t>
      </w:r>
      <w:r w:rsidR="00335E3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have emerged as powerful tools for thoroughly examining intra- and inter-tumoral complexity. This paper explores the ways in which integrated multi-omics has transformed our understanding of clonal dynamics, tumor growth, and resistance mechanisms. The latest methods such as single-cell multi-omics, spatial transcriptomics, and </w:t>
      </w:r>
      <w:proofErr w:type="spellStart"/>
      <w:r>
        <w:rPr>
          <w:rFonts w:ascii="Times New Roman" w:eastAsia="Times New Roman" w:hAnsi="Times New Roman" w:cs="Times New Roman"/>
          <w:sz w:val="24"/>
          <w:szCs w:val="24"/>
        </w:rPr>
        <w:t>proteogenomics</w:t>
      </w:r>
      <w:proofErr w:type="spellEnd"/>
      <w:r>
        <w:rPr>
          <w:rFonts w:ascii="Times New Roman" w:eastAsia="Times New Roman" w:hAnsi="Times New Roman" w:cs="Times New Roman"/>
          <w:sz w:val="24"/>
          <w:szCs w:val="24"/>
        </w:rPr>
        <w:t xml:space="preserve"> were examined, along with computational frameworks including network-based models, probabilistic inference algorithms, and AI-driven tools that make it easier to integrate high-dimensional data.</w:t>
      </w:r>
      <w:r w:rsidR="00DA218E">
        <w:rPr>
          <w:rFonts w:ascii="Times New Roman" w:eastAsia="Times New Roman" w:hAnsi="Times New Roman" w:cs="Times New Roman"/>
          <w:sz w:val="24"/>
          <w:szCs w:val="24"/>
        </w:rPr>
        <w:t xml:space="preserve"> </w:t>
      </w:r>
      <w:r w:rsidR="007D3C03" w:rsidRPr="007D3C03">
        <w:rPr>
          <w:rFonts w:ascii="Times New Roman" w:eastAsia="Times New Roman" w:hAnsi="Times New Roman" w:cs="Times New Roman"/>
          <w:sz w:val="24"/>
          <w:szCs w:val="24"/>
        </w:rPr>
        <w:t xml:space="preserve">In order to demonstrate how </w:t>
      </w:r>
      <w:proofErr w:type="spellStart"/>
      <w:r w:rsidR="007D3C03" w:rsidRPr="007D3C03">
        <w:rPr>
          <w:rFonts w:ascii="Times New Roman" w:eastAsia="Times New Roman" w:hAnsi="Times New Roman" w:cs="Times New Roman"/>
          <w:sz w:val="24"/>
          <w:szCs w:val="24"/>
        </w:rPr>
        <w:t>muli</w:t>
      </w:r>
      <w:proofErr w:type="spellEnd"/>
      <w:r w:rsidR="007D3C03" w:rsidRPr="007D3C03">
        <w:rPr>
          <w:rFonts w:ascii="Times New Roman" w:eastAsia="Times New Roman" w:hAnsi="Times New Roman" w:cs="Times New Roman"/>
          <w:sz w:val="24"/>
          <w:szCs w:val="24"/>
        </w:rPr>
        <w:t>-omics clarifies both intrinsic and acquired resistance mechanisms, case studies from glioblastoma, lung, and breast malignancies are examined.</w:t>
      </w:r>
      <w:r w:rsidR="00DA218E">
        <w:rPr>
          <w:rFonts w:ascii="Times New Roman" w:eastAsia="Times New Roman" w:hAnsi="Times New Roman" w:cs="Times New Roman"/>
          <w:sz w:val="24"/>
          <w:szCs w:val="24"/>
        </w:rPr>
        <w:t xml:space="preserve"> </w:t>
      </w:r>
      <w:r w:rsidR="007D3C03" w:rsidRPr="007D3C03">
        <w:rPr>
          <w:rFonts w:ascii="Times New Roman" w:eastAsia="Times New Roman" w:hAnsi="Times New Roman" w:cs="Times New Roman"/>
          <w:sz w:val="24"/>
          <w:szCs w:val="24"/>
        </w:rPr>
        <w:t xml:space="preserve">Along with discussing new technologies like in vivo biosensors, organoid-based modeling, and point-of-care </w:t>
      </w:r>
      <w:r w:rsidR="001D7FE1" w:rsidRPr="007D3C03">
        <w:rPr>
          <w:rFonts w:ascii="Times New Roman" w:eastAsia="Times New Roman" w:hAnsi="Times New Roman" w:cs="Times New Roman"/>
          <w:sz w:val="24"/>
          <w:szCs w:val="24"/>
        </w:rPr>
        <w:t>omics, the</w:t>
      </w:r>
      <w:r w:rsidR="007D3C03" w:rsidRPr="007D3C03">
        <w:rPr>
          <w:rFonts w:ascii="Times New Roman" w:eastAsia="Times New Roman" w:hAnsi="Times New Roman" w:cs="Times New Roman"/>
          <w:sz w:val="24"/>
          <w:szCs w:val="24"/>
        </w:rPr>
        <w:t xml:space="preserve"> function of the tumor microenvironment, lineage tracing, and liquid biopsies in monitoring the real-time progression of tumors</w:t>
      </w:r>
      <w:r>
        <w:rPr>
          <w:rFonts w:ascii="Times New Roman" w:eastAsia="Times New Roman" w:hAnsi="Times New Roman" w:cs="Times New Roman"/>
          <w:sz w:val="24"/>
          <w:szCs w:val="24"/>
        </w:rPr>
        <w:t xml:space="preserve"> was also discussed</w:t>
      </w:r>
      <w:r w:rsidR="007D3C03" w:rsidRPr="007D3C03">
        <w:rPr>
          <w:rFonts w:ascii="Times New Roman" w:eastAsia="Times New Roman" w:hAnsi="Times New Roman" w:cs="Times New Roman"/>
          <w:sz w:val="24"/>
          <w:szCs w:val="24"/>
        </w:rPr>
        <w:t>.</w:t>
      </w:r>
      <w:r w:rsidR="00DA21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w:t>
      </w:r>
      <w:r w:rsidR="001D7FE1">
        <w:rPr>
          <w:rFonts w:ascii="Times New Roman" w:eastAsia="Times New Roman" w:hAnsi="Times New Roman" w:cs="Times New Roman"/>
          <w:sz w:val="24"/>
          <w:szCs w:val="24"/>
        </w:rPr>
        <w:t>conclusion</w:t>
      </w:r>
      <w:r w:rsidR="001D7FE1" w:rsidRPr="007D3C03">
        <w:rPr>
          <w:rFonts w:ascii="Times New Roman" w:eastAsia="Times New Roman" w:hAnsi="Times New Roman" w:cs="Times New Roman"/>
          <w:sz w:val="24"/>
          <w:szCs w:val="24"/>
        </w:rPr>
        <w:t>, translational</w:t>
      </w:r>
      <w:r w:rsidR="007D3C03" w:rsidRPr="007D3C03">
        <w:rPr>
          <w:rFonts w:ascii="Times New Roman" w:eastAsia="Times New Roman" w:hAnsi="Times New Roman" w:cs="Times New Roman"/>
          <w:sz w:val="24"/>
          <w:szCs w:val="24"/>
        </w:rPr>
        <w:t xml:space="preserve"> hurdles, including cost, complexity, and ethical issues</w:t>
      </w:r>
      <w:r>
        <w:rPr>
          <w:rFonts w:ascii="Times New Roman" w:eastAsia="Times New Roman" w:hAnsi="Times New Roman" w:cs="Times New Roman"/>
          <w:sz w:val="24"/>
          <w:szCs w:val="24"/>
        </w:rPr>
        <w:t xml:space="preserve"> were addressed,</w:t>
      </w:r>
      <w:r w:rsidR="007D3C03" w:rsidRPr="007D3C03">
        <w:rPr>
          <w:rFonts w:ascii="Times New Roman" w:eastAsia="Times New Roman" w:hAnsi="Times New Roman" w:cs="Times New Roman"/>
          <w:sz w:val="24"/>
          <w:szCs w:val="24"/>
        </w:rPr>
        <w:t xml:space="preserve"> while highlighting how </w:t>
      </w:r>
      <w:r>
        <w:rPr>
          <w:rFonts w:ascii="Times New Roman" w:eastAsia="Times New Roman" w:hAnsi="Times New Roman" w:cs="Times New Roman"/>
          <w:sz w:val="24"/>
          <w:szCs w:val="24"/>
        </w:rPr>
        <w:t xml:space="preserve">important </w:t>
      </w:r>
      <w:r w:rsidR="007D3C03" w:rsidRPr="007D3C03">
        <w:rPr>
          <w:rFonts w:ascii="Times New Roman" w:eastAsia="Times New Roman" w:hAnsi="Times New Roman" w:cs="Times New Roman"/>
          <w:sz w:val="24"/>
          <w:szCs w:val="24"/>
        </w:rPr>
        <w:t xml:space="preserve">equity and worldwide access are. </w:t>
      </w:r>
      <w:r w:rsidR="00DA218E">
        <w:rPr>
          <w:rFonts w:ascii="Times New Roman" w:eastAsia="Times New Roman" w:hAnsi="Times New Roman" w:cs="Times New Roman"/>
          <w:sz w:val="24"/>
          <w:szCs w:val="24"/>
        </w:rPr>
        <w:t xml:space="preserve"> </w:t>
      </w:r>
      <w:r w:rsidR="001D7FE1">
        <w:rPr>
          <w:rFonts w:ascii="Times New Roman" w:eastAsia="Times New Roman" w:hAnsi="Times New Roman" w:cs="Times New Roman"/>
          <w:sz w:val="24"/>
          <w:szCs w:val="24"/>
        </w:rPr>
        <w:t>Multi-omics has great promise for truly personalized oncology by providing the integrated insights required for dynamic monitoring, predictive diagnosis, and tailored therapy design in future cancer care.</w:t>
      </w:r>
    </w:p>
    <w:p w14:paraId="38BB43EA" w14:textId="77777777" w:rsidR="00E8724D" w:rsidRDefault="00E8724D" w:rsidP="00335E34">
      <w:pPr>
        <w:spacing w:after="0" w:line="240" w:lineRule="auto"/>
        <w:jc w:val="both"/>
        <w:rPr>
          <w:rFonts w:ascii="Times New Roman" w:eastAsia="Times New Roman" w:hAnsi="Times New Roman" w:cs="Times New Roman"/>
          <w:sz w:val="24"/>
          <w:szCs w:val="24"/>
        </w:rPr>
      </w:pPr>
    </w:p>
    <w:p w14:paraId="5E65EF4F" w14:textId="3A75E26D" w:rsidR="00E8724D" w:rsidRPr="00E8724D" w:rsidRDefault="00E8724D" w:rsidP="00335E34">
      <w:pPr>
        <w:spacing w:after="0" w:line="240" w:lineRule="auto"/>
        <w:jc w:val="both"/>
        <w:rPr>
          <w:rFonts w:ascii="Times New Roman" w:eastAsia="Times New Roman" w:hAnsi="Times New Roman" w:cs="Times New Roman"/>
          <w:sz w:val="24"/>
          <w:szCs w:val="24"/>
        </w:rPr>
      </w:pPr>
      <w:r w:rsidRPr="00E8724D">
        <w:rPr>
          <w:rFonts w:ascii="Times New Roman" w:eastAsia="Times New Roman" w:hAnsi="Times New Roman" w:cs="Times New Roman"/>
          <w:sz w:val="24"/>
          <w:szCs w:val="24"/>
        </w:rPr>
        <w:t>Keywords: Tumor, Heterogeneity. Multi-Omics, Cancer</w:t>
      </w:r>
    </w:p>
    <w:p w14:paraId="648F222F" w14:textId="77777777" w:rsidR="00DA218E" w:rsidRPr="00E8724D" w:rsidRDefault="00DA218E" w:rsidP="00335E34">
      <w:pPr>
        <w:pStyle w:val="NormalWeb"/>
        <w:jc w:val="both"/>
      </w:pPr>
    </w:p>
    <w:p w14:paraId="64E85B3A" w14:textId="77777777" w:rsidR="00DA218E" w:rsidRDefault="00DA218E" w:rsidP="00335E34">
      <w:pPr>
        <w:pStyle w:val="NormalWeb"/>
        <w:jc w:val="both"/>
        <w:rPr>
          <w:b/>
          <w:bCs/>
          <w:sz w:val="27"/>
          <w:szCs w:val="27"/>
        </w:rPr>
      </w:pPr>
    </w:p>
    <w:p w14:paraId="53CEDB42" w14:textId="77777777" w:rsidR="00DA218E" w:rsidRDefault="00DA218E" w:rsidP="00335E34">
      <w:pPr>
        <w:pStyle w:val="NormalWeb"/>
        <w:jc w:val="both"/>
        <w:rPr>
          <w:b/>
          <w:bCs/>
          <w:sz w:val="27"/>
          <w:szCs w:val="27"/>
        </w:rPr>
      </w:pPr>
    </w:p>
    <w:p w14:paraId="3D1439E8" w14:textId="77777777" w:rsidR="00DA218E" w:rsidRDefault="00DA218E" w:rsidP="00335E34">
      <w:pPr>
        <w:pStyle w:val="NormalWeb"/>
        <w:jc w:val="both"/>
        <w:rPr>
          <w:b/>
          <w:bCs/>
          <w:sz w:val="27"/>
          <w:szCs w:val="27"/>
        </w:rPr>
      </w:pPr>
    </w:p>
    <w:p w14:paraId="7848CC9A" w14:textId="77777777" w:rsidR="00DA218E" w:rsidRDefault="00DA218E" w:rsidP="00335E34">
      <w:pPr>
        <w:pStyle w:val="NormalWeb"/>
        <w:jc w:val="both"/>
        <w:rPr>
          <w:b/>
          <w:bCs/>
          <w:sz w:val="27"/>
          <w:szCs w:val="27"/>
        </w:rPr>
      </w:pPr>
    </w:p>
    <w:p w14:paraId="33940E74" w14:textId="77777777" w:rsidR="00DA218E" w:rsidRDefault="00DA218E" w:rsidP="00335E34">
      <w:pPr>
        <w:pStyle w:val="NormalWeb"/>
        <w:jc w:val="both"/>
        <w:rPr>
          <w:b/>
          <w:bCs/>
          <w:sz w:val="27"/>
          <w:szCs w:val="27"/>
        </w:rPr>
      </w:pPr>
    </w:p>
    <w:p w14:paraId="2EB91C0F" w14:textId="77777777" w:rsidR="00DA218E" w:rsidRDefault="00DA218E" w:rsidP="00335E34">
      <w:pPr>
        <w:pStyle w:val="NormalWeb"/>
        <w:jc w:val="both"/>
        <w:rPr>
          <w:b/>
          <w:bCs/>
          <w:sz w:val="27"/>
          <w:szCs w:val="27"/>
        </w:rPr>
      </w:pPr>
    </w:p>
    <w:p w14:paraId="68C8EB03" w14:textId="77777777" w:rsidR="00DA218E" w:rsidRDefault="00DA218E" w:rsidP="00335E34">
      <w:pPr>
        <w:pStyle w:val="NormalWeb"/>
        <w:jc w:val="both"/>
        <w:rPr>
          <w:b/>
          <w:bCs/>
          <w:sz w:val="27"/>
          <w:szCs w:val="27"/>
        </w:rPr>
      </w:pPr>
    </w:p>
    <w:p w14:paraId="2E7584D0" w14:textId="0E763B2D" w:rsidR="0062267F" w:rsidRDefault="00426978" w:rsidP="00335E34">
      <w:pPr>
        <w:pStyle w:val="NormalWeb"/>
        <w:jc w:val="both"/>
        <w:rPr>
          <w:b/>
          <w:bCs/>
          <w:sz w:val="27"/>
          <w:szCs w:val="27"/>
        </w:rPr>
      </w:pPr>
      <w:r w:rsidRPr="0062267F">
        <w:rPr>
          <w:b/>
          <w:bCs/>
          <w:sz w:val="27"/>
          <w:szCs w:val="27"/>
        </w:rPr>
        <w:t xml:space="preserve">Introduction </w:t>
      </w:r>
    </w:p>
    <w:p w14:paraId="4404FBE6" w14:textId="77777777" w:rsidR="001D7FE1" w:rsidRDefault="007D3C03" w:rsidP="00335E34">
      <w:pPr>
        <w:spacing w:after="0" w:line="240" w:lineRule="auto"/>
        <w:jc w:val="both"/>
        <w:rPr>
          <w:rFonts w:ascii="Times New Roman" w:eastAsia="Times New Roman" w:hAnsi="Times New Roman" w:cs="Times New Roman"/>
          <w:sz w:val="24"/>
          <w:szCs w:val="24"/>
        </w:rPr>
      </w:pPr>
      <w:r w:rsidRPr="007D3C03">
        <w:rPr>
          <w:rFonts w:ascii="Times New Roman" w:eastAsia="Times New Roman" w:hAnsi="Times New Roman" w:cs="Times New Roman"/>
          <w:sz w:val="24"/>
          <w:szCs w:val="24"/>
        </w:rPr>
        <w:t xml:space="preserve">Cancer is a </w:t>
      </w:r>
      <w:r w:rsidR="001D7FE1">
        <w:rPr>
          <w:rFonts w:ascii="Times New Roman" w:eastAsia="Times New Roman" w:hAnsi="Times New Roman" w:cs="Times New Roman"/>
          <w:sz w:val="24"/>
          <w:szCs w:val="24"/>
        </w:rPr>
        <w:t xml:space="preserve">multifaceted disease </w:t>
      </w:r>
      <w:r w:rsidRPr="007D3C03">
        <w:rPr>
          <w:rFonts w:ascii="Times New Roman" w:eastAsia="Times New Roman" w:hAnsi="Times New Roman" w:cs="Times New Roman"/>
          <w:sz w:val="24"/>
          <w:szCs w:val="24"/>
        </w:rPr>
        <w:t>with significant tumor heterogeneity rather than a single illness.</w:t>
      </w:r>
    </w:p>
    <w:p w14:paraId="449EB7D6" w14:textId="580F740C" w:rsidR="007D3C03" w:rsidRPr="007D3C03" w:rsidRDefault="001D7FE1" w:rsidP="00335E3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heterogeneity can be viewed in three ways: spatially (differences between primary and metastatic sites or between regions within a tumor), temporally (evolution over time and under therapeutic pressure), and biologically (difference at the genetic, epigenetic, transcriptomic, proteomic, and metabolic levels)</w:t>
      </w:r>
      <w:r w:rsidR="00A15391">
        <w:rPr>
          <w:rFonts w:ascii="Times New Roman" w:eastAsia="Times New Roman" w:hAnsi="Times New Roman" w:cs="Times New Roman"/>
          <w:sz w:val="24"/>
          <w:szCs w:val="24"/>
        </w:rPr>
        <w:fldChar w:fldCharType="begin"/>
      </w:r>
      <w:r w:rsidR="00A15391">
        <w:rPr>
          <w:rFonts w:ascii="Times New Roman" w:eastAsia="Times New Roman" w:hAnsi="Times New Roman" w:cs="Times New Roman"/>
          <w:sz w:val="24"/>
          <w:szCs w:val="24"/>
        </w:rPr>
        <w:instrText xml:space="preserve"> ADDIN ZOTERO_ITEM CSL_CITATION {"citationID":"AEQSMmv4","properties":{"formattedCitation":"(MacDonald et al., 2025)","plainCitation":"(MacDonald et al., 2025)","noteIndex":0},"citationItems":[{"id":4,"uris":["http://zotero.org/users/local/AJmTDxS7/items/Q8PVB4MH"],"itemData":{"id":4,"type":"article-journal","abstract":"Cancer is characterized by variability at several levels. Individual cells within a tumor exhibit genetic and non-genetic differences, tumors within a patient exhibit different characteristics, and patients themselves have different responses to therapeutics and clinical outcomes. The heterogeneous nature of cancer complicates the ability to predict patient outcomes and the delivery of curative treatment. The present study explores the ways in which the molecular heterogeneity of cancer impacts clinical outcomes, with a unique focus on how emerging technologies may be leveraged to improve patient care., Cancer heterogeneity is a major challenge in oncology, complicating diagnosis, prognostication, and treatment. The clinical heterogeneity of cancer, which leads to differential treatment outcomes between patients with histopathologically similar cancers, is attributable to molecular diversity manifesting through genetic, epigenetic, transcriptomic, microenvironmental, and host biology differences. Heterogeneity is observed between patients, individual metastases, and within individual lesions. This review discusses clinical implications of heterogeneity, emphasizing need for personalized approaches to overcome challenges posed by cancer’s diverse presentations. Understanding of emerging molecular diagnostic and analytical techniques can provide a view into the multidimensional complexity of cancer heterogeneity. With over 90% of cancer-related deaths associated with metastasis, we additionally explore the role heterogeneity plays in treatment resistance and recurrence of metastatic lesions. Molecular insights from next-generation sequencing, single-cell transcriptomics, liquid biopsy technology, and artificial intelligence will facilitate the development of combination therapy regimens that can potentially induce lasting and even curative treatment outcomes.","container-title":"Cancers","DOI":"10.3390/cancers17030441","ISSN":"2072-6694","issue":"3","journalAbbreviation":"Cancers (Basel)","note":"PMID: 39941808\nPMCID: PMC11816170","page":"441","source":"PubMed Central","title":"Heterogeneity in Cancer","volume":"17","author":[{"family":"MacDonald","given":"William J."},{"family":"Purcell","given":"Connor"},{"family":"Pinho-Schwermann","given":"Maximilian"},{"family":"Stubbs","given":"Nolan M."},{"family":"Srinivasan","given":"Praveen R."},{"family":"El-Deiry","given":"Wafik S."}],"issued":{"date-parts":[["2025",1,28]]}}}],"schema":"https://github.com/citation-style-language/schema/raw/master/csl-citation.json"} </w:instrText>
      </w:r>
      <w:r w:rsidR="00A15391">
        <w:rPr>
          <w:rFonts w:ascii="Times New Roman" w:eastAsia="Times New Roman" w:hAnsi="Times New Roman" w:cs="Times New Roman"/>
          <w:sz w:val="24"/>
          <w:szCs w:val="24"/>
        </w:rPr>
        <w:fldChar w:fldCharType="separate"/>
      </w:r>
      <w:r w:rsidR="00A15391" w:rsidRPr="00A15391">
        <w:rPr>
          <w:rFonts w:ascii="Times New Roman" w:hAnsi="Times New Roman" w:cs="Times New Roman"/>
          <w:sz w:val="24"/>
        </w:rPr>
        <w:t>(MacDonald et al., 2025)</w:t>
      </w:r>
      <w:r w:rsidR="00A15391">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00335E3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tumor microenvironment (TME), composed of stromal, immunological, and endothelial cells, further complicates the situation by altering cellular signaling, immune evasion, and resistance mechanisms. According to growing evidence, this multilayered heterogeneity plays a significant role in the disease's progression, metastasis, and most importantly therapy resistance</w:t>
      </w:r>
      <w:r w:rsidR="00A15391">
        <w:rPr>
          <w:rFonts w:ascii="Times New Roman" w:eastAsia="Times New Roman" w:hAnsi="Times New Roman" w:cs="Times New Roman"/>
          <w:sz w:val="24"/>
          <w:szCs w:val="24"/>
        </w:rPr>
        <w:fldChar w:fldCharType="begin"/>
      </w:r>
      <w:r w:rsidR="00A15391">
        <w:rPr>
          <w:rFonts w:ascii="Times New Roman" w:eastAsia="Times New Roman" w:hAnsi="Times New Roman" w:cs="Times New Roman"/>
          <w:sz w:val="24"/>
          <w:szCs w:val="24"/>
        </w:rPr>
        <w:instrText xml:space="preserve"> ADDIN ZOTERO_ITEM CSL_CITATION {"citationID":"6sV70BCu","properties":{"formattedCitation":"(Biray Avci et al., 2024)","plainCitation":"(Biray Avci et al., 2024)","noteIndex":0},"citationItems":[{"id":7,"uris":["http://zotero.org/users/local/AJmTDxS7/items/A4ZBQIQH"],"itemData":{"id":7,"type":"article-journal","abstract":"The tumor microenvironment (TME) plays a crucial role in cancer development and metastasis. This review summarizes the current research on how the TME promotes metastasis through molecular pathways, focusing on key components, such as cancer-associated fibroblasts, immune cells, endothelial cells, cytokines, and the extracellular matrix. Significant findings have highlighted that alterations in cellular communication within the TME enable tumor cells to evade immune surveillance, survive, and invade other tissues. This review highlights the roles of TGF-β and VEGF signaling in promoting angiogenesis and extracellular matrix remodeling, which facilitate metastasis. Additionally, we explored how metabolic reprogramming of tumor and stromal cells, influenced by nutrient availability in the TME, drives cancer progression. This study also evaluated the therapeutic strategies targeting these interactions to disrupt metastasis. By providing a multidisciplinary perspective, this study suggests that understanding the molecular basis of the TME can lead to more effective cancer therapies and identify potential avenues for future research. Future research on the TME should prioritize unraveling the molecular and cellular interactions within this complex environment, which could lead to novel therapeutic strategies and personalized cancer treatments. Moreover, advancements in technologies such as single-cell analysis, spatial transcriptomics, and epigenetic profiling offer promising avenues for identifying new therapeutic targets and improving the efficacy of immunotherapies, particularly in the context of metastasis.","container-title":"Frontiers in Pharmacology","DOI":"10.3389/fphar.2024.1442888","ISSN":"1663-9812","journalAbbreviation":"Front Pharmacol","note":"PMID: 39600368\nPMCID: PMC11588459","page":"1442888","source":"PubMed Central","title":"Tumor microenvironment and cancer metastasis: molecular mechanisms and therapeutic implications","title-short":"Tumor microenvironment and cancer metastasis","volume":"15","author":[{"family":"Biray Avci","given":"Cigir"},{"family":"Goker Bagca","given":"Bakiye"},{"family":"Nikanfar","given":"Masoud"},{"family":"Takanlou","given":"Leila Sabour"},{"family":"Takanlou","given":"Maryam Sabour"},{"family":"Nourazarian","given":"Alireza"}],"issued":{"date-parts":[["2024",11,12]]}}}],"schema":"https://github.com/citation-style-language/schema/raw/master/csl-citation.json"} </w:instrText>
      </w:r>
      <w:r w:rsidR="00A15391">
        <w:rPr>
          <w:rFonts w:ascii="Times New Roman" w:eastAsia="Times New Roman" w:hAnsi="Times New Roman" w:cs="Times New Roman"/>
          <w:sz w:val="24"/>
          <w:szCs w:val="24"/>
        </w:rPr>
        <w:fldChar w:fldCharType="separate"/>
      </w:r>
      <w:r w:rsidR="00A15391" w:rsidRPr="00A15391">
        <w:rPr>
          <w:rFonts w:ascii="Times New Roman" w:hAnsi="Times New Roman" w:cs="Times New Roman"/>
          <w:sz w:val="24"/>
        </w:rPr>
        <w:t>(</w:t>
      </w:r>
      <w:proofErr w:type="spellStart"/>
      <w:r w:rsidR="00A15391" w:rsidRPr="00A15391">
        <w:rPr>
          <w:rFonts w:ascii="Times New Roman" w:hAnsi="Times New Roman" w:cs="Times New Roman"/>
          <w:sz w:val="24"/>
        </w:rPr>
        <w:t>Biray</w:t>
      </w:r>
      <w:proofErr w:type="spellEnd"/>
      <w:r w:rsidR="00A15391" w:rsidRPr="00A15391">
        <w:rPr>
          <w:rFonts w:ascii="Times New Roman" w:hAnsi="Times New Roman" w:cs="Times New Roman"/>
          <w:sz w:val="24"/>
        </w:rPr>
        <w:t xml:space="preserve"> Avci et al., 2024)</w:t>
      </w:r>
      <w:r w:rsidR="00A15391">
        <w:rPr>
          <w:rFonts w:ascii="Times New Roman" w:eastAsia="Times New Roman" w:hAnsi="Times New Roman" w:cs="Times New Roman"/>
          <w:sz w:val="24"/>
          <w:szCs w:val="24"/>
        </w:rPr>
        <w:fldChar w:fldCharType="end"/>
      </w:r>
      <w:r w:rsidR="00E8724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335E34">
        <w:rPr>
          <w:rFonts w:ascii="Times New Roman" w:eastAsia="Times New Roman" w:hAnsi="Times New Roman" w:cs="Times New Roman"/>
          <w:sz w:val="24"/>
          <w:szCs w:val="24"/>
        </w:rPr>
        <w:t xml:space="preserve"> </w:t>
      </w:r>
      <w:r w:rsidR="007D3C03" w:rsidRPr="007D3C03">
        <w:rPr>
          <w:rFonts w:ascii="Times New Roman" w:eastAsia="Times New Roman" w:hAnsi="Times New Roman" w:cs="Times New Roman"/>
          <w:sz w:val="24"/>
          <w:szCs w:val="24"/>
        </w:rPr>
        <w:t>Even among malignancies that are histologically comparable, this diversity is clinically associated with poor survival outcomes, high rates of treatment failure, and tumor recurrence</w:t>
      </w:r>
      <w:r w:rsidR="00F94A18">
        <w:rPr>
          <w:rFonts w:ascii="Times New Roman" w:eastAsia="Times New Roman" w:hAnsi="Times New Roman" w:cs="Times New Roman"/>
          <w:sz w:val="24"/>
          <w:szCs w:val="24"/>
        </w:rPr>
        <w:fldChar w:fldCharType="begin"/>
      </w:r>
      <w:r w:rsidR="00F94A18">
        <w:rPr>
          <w:rFonts w:ascii="Times New Roman" w:eastAsia="Times New Roman" w:hAnsi="Times New Roman" w:cs="Times New Roman"/>
          <w:sz w:val="24"/>
          <w:szCs w:val="24"/>
        </w:rPr>
        <w:instrText xml:space="preserve"> ADDIN ZOTERO_ITEM CSL_CITATION {"citationID":"ULwrYRom","properties":{"formattedCitation":"(Melariri et al., 2023)","plainCitation":"(Melariri et al., 2023)","noteIndex":0},"citationItems":[{"id":9,"uris":["http://zotero.org/users/local/AJmTDxS7/items/V8VH9EGD"],"itemData":{"id":9,"type":"article-journal","abstract":"Background\nRecurrent cancers of the head and neck are associated with poor survival outcome. Yet, their burden in Africa is not reliably known. We therefore aimed to estimate the prevalence of recurrence and the 5-year overall survival among patients treated for head and neck cancers (HNC) in Africa.\n\nMethod\nIn this systematic review and meta-analysis, we searched four electronic databases (Pubmed, CINAHL, MEDLINE, and Web of Science) and the grey literature for studies reporting the prevalence of HNC recurrence and 5-year overall survival post treatment, published between January 1, 2002, and December 31, 2022. We contacted corresponding authors of relevant studies. Searches were extended to reference lists of review articles and other relevant sources for potentially eligible studies. Each record was assessed for inclusion or exclusion by two independent reviewers. Records with individual-level data on recurrence and survival conducted in Africa were included while exclusion was based on the study design and availability of relevant data. Data were independently extracted by three reviewers from eligible studies, and summary estimates were sought. Our primary outcomes were recurrence and 5-year overall survival of patients who have been treated for HNC, and our secondary outcomes included risk factors, tumor site, squamous cell histology, clinical stage of tumor, and treatment options received. Only records selected for primary outcomes were assessed for secondary outcome data extraction. Random-effects meta-analysis was conducted for each outcome. Meta-regression models were used in addressing sample heterogeneity among the studies. Protocol for this study was registered with PROSPERO, CRD42022372307.\n\nFindings\nThis systematic review and meta-analysis returned 3998 records, yielding 28 included studies after exclusion. Eighteen studies reported on the prevalence of HNC recurrence while 24 articles reported on the 5-year overall survival. Of the pooled total study population, 7199 (70.5%) of 10,218 patients were males while 2603 (25.5%) were females. We found that the prevalence of HNC recurrence was 15.4% (I2 = 96.2%; 95% CI: 9.5–22.3; n = 3214; k = 18), and the 5-year overall survival was 54.4% (I2 = 99.5%; 95% CI: 40.1–68.4; n = 9798; k = 24). We also found that the prevalence of smoking and alcohol consumption as risk factors for HNC were 42.6% (I2 = 98.8%; 95% CI: 25.2–61.0; n = 4374; k = 15) and 35.8% (I2 = 98.9%; 95% CI: 21.7–51.4; n = 4110; k = 11) respectively. The pooled current prevalence for advanced HNC (clinical stages III-IV) was 80.0% (I2 = 99.2%; 95% CI: 68.6–89.5; n = 7624; k = 18) compared to 12.2% (I2 = 96.4%; 95% CI: 6.2–19.8; n = 7624; k = 18) in early disease (clinical stages I-II).\n\nInterpretation\nThe results showed significantly high prevalence of cancer recurrence, poor 5-year overall survival and very high prevalence of advanced cancers at time of diagnosis. This study provides robust evidence for strategies towards prompt diagnosis and appropriate management of HNC to improve patients’ outcome in the African continent.\n\nFunding\nThis study was not supported by any funding.","container-title":"eClinicalMedicine","DOI":"10.1016/j.eclinm.2023.101964","ISSN":"2589-5370","journalAbbreviation":"eClinicalMedicine","note":"PMID: 37125401\nPMCID: PMC10139903","page":"101964","source":"PubMed Central","title":"Prevalence of locoregional recurrence and survival post-treatment of head and neck cancers in Africa: a systematic review and meta-analysis","title-short":"Prevalence of locoregional recurrence and survival post-treatment of head and neck cancers in Africa","volume":"59","author":[{"family":"Melariri","given":"Herbert"},{"family":"Els","given":"Timothy"},{"family":"Oyedele","given":"Opeoluwa"},{"family":"Suttle","given":"Tessa K."},{"family":"Bermosky","given":"Kim Theresa"},{"family":"De Freitas","given":"Adelaide"},{"family":"Murtaza","given":"Amir"},{"family":"Moosajee","given":"Mohamed"},{"family":"Melariri","given":"Paula E."}],"issued":{"date-parts":[["2023",4,13]]}}}],"schema":"https://github.com/citation-style-language/schema/raw/master/csl-citation.json"} </w:instrText>
      </w:r>
      <w:r w:rsidR="00F94A18">
        <w:rPr>
          <w:rFonts w:ascii="Times New Roman" w:eastAsia="Times New Roman" w:hAnsi="Times New Roman" w:cs="Times New Roman"/>
          <w:sz w:val="24"/>
          <w:szCs w:val="24"/>
        </w:rPr>
        <w:fldChar w:fldCharType="separate"/>
      </w:r>
      <w:r w:rsidR="00F94A18" w:rsidRPr="00F94A18">
        <w:rPr>
          <w:rFonts w:ascii="Times New Roman" w:hAnsi="Times New Roman" w:cs="Times New Roman"/>
          <w:sz w:val="24"/>
        </w:rPr>
        <w:t>(</w:t>
      </w:r>
      <w:proofErr w:type="spellStart"/>
      <w:r w:rsidR="00F94A18" w:rsidRPr="00F94A18">
        <w:rPr>
          <w:rFonts w:ascii="Times New Roman" w:hAnsi="Times New Roman" w:cs="Times New Roman"/>
          <w:sz w:val="24"/>
        </w:rPr>
        <w:t>Melariri</w:t>
      </w:r>
      <w:proofErr w:type="spellEnd"/>
      <w:r w:rsidR="00F94A18" w:rsidRPr="00F94A18">
        <w:rPr>
          <w:rFonts w:ascii="Times New Roman" w:hAnsi="Times New Roman" w:cs="Times New Roman"/>
          <w:sz w:val="24"/>
        </w:rPr>
        <w:t xml:space="preserve"> et al., 2023)</w:t>
      </w:r>
      <w:r w:rsidR="00F94A18">
        <w:rPr>
          <w:rFonts w:ascii="Times New Roman" w:eastAsia="Times New Roman" w:hAnsi="Times New Roman" w:cs="Times New Roman"/>
          <w:sz w:val="24"/>
          <w:szCs w:val="24"/>
        </w:rPr>
        <w:fldChar w:fldCharType="end"/>
      </w:r>
      <w:r w:rsidR="007D3C03" w:rsidRPr="007D3C03">
        <w:rPr>
          <w:rFonts w:ascii="Times New Roman" w:eastAsia="Times New Roman" w:hAnsi="Times New Roman" w:cs="Times New Roman"/>
          <w:sz w:val="24"/>
          <w:szCs w:val="24"/>
        </w:rPr>
        <w:t>.</w:t>
      </w:r>
    </w:p>
    <w:p w14:paraId="5D41A052" w14:textId="2DA1CD36" w:rsidR="007D3C03" w:rsidRDefault="001D7FE1" w:rsidP="00335E3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non-small cell lung cancer, for instance, intra-tumoral clonal</w:t>
      </w:r>
      <w:r w:rsidR="00D505B8">
        <w:rPr>
          <w:rFonts w:ascii="Times New Roman" w:eastAsia="Times New Roman" w:hAnsi="Times New Roman" w:cs="Times New Roman"/>
          <w:sz w:val="24"/>
          <w:szCs w:val="24"/>
        </w:rPr>
        <w:t xml:space="preserve">. </w:t>
      </w:r>
      <w:r w:rsidR="00A15391">
        <w:rPr>
          <w:rFonts w:ascii="Times New Roman" w:eastAsia="Times New Roman" w:hAnsi="Times New Roman" w:cs="Times New Roman"/>
          <w:sz w:val="24"/>
          <w:szCs w:val="24"/>
        </w:rPr>
        <w:t>The</w:t>
      </w:r>
      <w:r w:rsidR="00D505B8">
        <w:rPr>
          <w:rFonts w:ascii="Times New Roman" w:eastAsia="Times New Roman" w:hAnsi="Times New Roman" w:cs="Times New Roman"/>
          <w:sz w:val="24"/>
          <w:szCs w:val="24"/>
        </w:rPr>
        <w:t xml:space="preserve"> </w:t>
      </w:r>
      <w:r w:rsidR="00A15391">
        <w:rPr>
          <w:rFonts w:ascii="Times New Roman" w:eastAsia="Times New Roman" w:hAnsi="Times New Roman" w:cs="Times New Roman"/>
          <w:sz w:val="24"/>
          <w:szCs w:val="24"/>
        </w:rPr>
        <w:t>tumor microenvironment (TME), composed of stromal, immunological, and endothelial cells, further complicates the situation by altering cellular signaling, immune evasion, and resistance mechanisms. According to growing evidence, this multilayered heterogeneity plays a significant role in the disease's progression, metastasis, and most importantly therapy resistance</w:t>
      </w:r>
      <w:r w:rsidR="00F94A18">
        <w:rPr>
          <w:rFonts w:ascii="Times New Roman" w:eastAsia="Times New Roman" w:hAnsi="Times New Roman" w:cs="Times New Roman"/>
          <w:sz w:val="24"/>
          <w:szCs w:val="24"/>
        </w:rPr>
        <w:fldChar w:fldCharType="begin"/>
      </w:r>
      <w:r w:rsidR="00F94A18">
        <w:rPr>
          <w:rFonts w:ascii="Times New Roman" w:eastAsia="Times New Roman" w:hAnsi="Times New Roman" w:cs="Times New Roman"/>
          <w:sz w:val="24"/>
          <w:szCs w:val="24"/>
        </w:rPr>
        <w:instrText xml:space="preserve"> ADDIN ZOTERO_ITEM CSL_CITATION {"citationID":"z48tYLsH","properties":{"formattedCitation":"(Altorki et al., 2019)","plainCitation":"(Altorki et al., 2019)","noteIndex":0},"citationItems":[{"id":12,"uris":["http://zotero.org/users/local/AJmTDxS7/items/8E7YL2YH"],"itemData":{"id":12,"type":"article-journal","abstract":"Lung cancer is a major global health problem, as it is the leading cause of cancer-related deaths worldwide. Major advances in the identification of key mutational alterations have led to the development of molecularly targeted therapies, whose efficacy has been limited by emergence of resistance mechanisms. US Food and Drug Administration (FDA)-approved therapies targeting angiogenesis and more recently immune checkpoints have reinvigorated enthusiasm in elucidating the prognostic and pathophysiological roles of the tumour microenvironment in lung cancer. In this Review, we highlight recent advances and emerging concepts for how the tumour-reprogrammed lung microenvironment promotes both primary lung tumours and lung metastasis from extrapulmonary neoplasms by contributing to inflammation, angiogenesis, immune modulation and response to therapies. We also discuss the potential of understanding tumour microenvironmental processes to identify biomarkers of clinical utility and to develop novel targeted therapies against lung cancer.","container-title":"Nature reviews. Cancer","DOI":"10.1038/s41568-018-0081-9","ISSN":"1474-175X","issue":"1","journalAbbreviation":"Nat Rev Cancer","note":"PMID: 30532012\nPMCID: PMC6749995","page":"9-31","source":"PubMed Central","title":"The lung microenvironment: an important regulator of tumour growth and metastasis","title-short":"The lung microenvironment","volume":"19","author":[{"family":"Altorki","given":"Nasser K."},{"family":"Markowitz","given":"Geoffrey J."},{"family":"Gao","given":"Dingcheng"},{"family":"Port","given":"Jeffrey L."},{"family":"Saxena","given":"Ashish"},{"family":"Stiles","given":"Brendon"},{"family":"McGraw","given":"Timothy"},{"family":"Mittal","given":"Vivek"}],"issued":{"date-parts":[["2019",1]]}}}],"schema":"https://github.com/citation-style-language/schema/raw/master/csl-citation.json"} </w:instrText>
      </w:r>
      <w:r w:rsidR="00F94A18">
        <w:rPr>
          <w:rFonts w:ascii="Times New Roman" w:eastAsia="Times New Roman" w:hAnsi="Times New Roman" w:cs="Times New Roman"/>
          <w:sz w:val="24"/>
          <w:szCs w:val="24"/>
        </w:rPr>
        <w:fldChar w:fldCharType="separate"/>
      </w:r>
      <w:r w:rsidR="00F94A18" w:rsidRPr="00F94A18">
        <w:rPr>
          <w:rFonts w:ascii="Times New Roman" w:hAnsi="Times New Roman" w:cs="Times New Roman"/>
          <w:sz w:val="24"/>
        </w:rPr>
        <w:t>(</w:t>
      </w:r>
      <w:proofErr w:type="spellStart"/>
      <w:r w:rsidR="00F94A18" w:rsidRPr="00F94A18">
        <w:rPr>
          <w:rFonts w:ascii="Times New Roman" w:hAnsi="Times New Roman" w:cs="Times New Roman"/>
          <w:sz w:val="24"/>
        </w:rPr>
        <w:t>Altorki</w:t>
      </w:r>
      <w:proofErr w:type="spellEnd"/>
      <w:r w:rsidR="00F94A18" w:rsidRPr="00F94A18">
        <w:rPr>
          <w:rFonts w:ascii="Times New Roman" w:hAnsi="Times New Roman" w:cs="Times New Roman"/>
          <w:sz w:val="24"/>
        </w:rPr>
        <w:t xml:space="preserve"> et al., 2019)</w:t>
      </w:r>
      <w:r w:rsidR="00F94A18">
        <w:rPr>
          <w:rFonts w:ascii="Times New Roman" w:eastAsia="Times New Roman" w:hAnsi="Times New Roman" w:cs="Times New Roman"/>
          <w:sz w:val="24"/>
          <w:szCs w:val="24"/>
        </w:rPr>
        <w:fldChar w:fldCharType="end"/>
      </w:r>
      <w:r w:rsidR="00A15391">
        <w:rPr>
          <w:rFonts w:ascii="Times New Roman" w:eastAsia="Times New Roman" w:hAnsi="Times New Roman" w:cs="Times New Roman"/>
          <w:sz w:val="24"/>
          <w:szCs w:val="24"/>
        </w:rPr>
        <w:t xml:space="preserve">.  </w:t>
      </w:r>
      <w:r w:rsidR="00A15391" w:rsidRPr="007D3C03">
        <w:rPr>
          <w:rFonts w:ascii="Times New Roman" w:eastAsia="Times New Roman" w:hAnsi="Times New Roman" w:cs="Times New Roman"/>
          <w:sz w:val="24"/>
          <w:szCs w:val="24"/>
        </w:rPr>
        <w:t>Even among malignancies that are histologically comparable, this diversity is clinically associated with poor survival outcomes, high rates of treatment failure, and tumor recurrence.</w:t>
      </w:r>
      <w:r w:rsidR="00E8724D">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rPr>
        <w:t>iversity, and in triple-negative breast cancer, inter-patient heterogeneity can significantly affect prognosis and treatment response</w:t>
      </w:r>
      <w:r w:rsidR="00F94A18">
        <w:rPr>
          <w:rFonts w:ascii="Times New Roman" w:eastAsia="Times New Roman" w:hAnsi="Times New Roman" w:cs="Times New Roman"/>
          <w:sz w:val="24"/>
          <w:szCs w:val="24"/>
        </w:rPr>
        <w:fldChar w:fldCharType="begin"/>
      </w:r>
      <w:r w:rsidR="00F94A18">
        <w:rPr>
          <w:rFonts w:ascii="Times New Roman" w:eastAsia="Times New Roman" w:hAnsi="Times New Roman" w:cs="Times New Roman"/>
          <w:sz w:val="24"/>
          <w:szCs w:val="24"/>
        </w:rPr>
        <w:instrText xml:space="preserve"> ADDIN ZOTERO_ITEM CSL_CITATION {"citationID":"biLoyktu","properties":{"formattedCitation":"(Ram\\uc0\\u243{}n y Cajal et al., 2020a)","plainCitation":"(Ramón y Cajal et al., 2020a)","noteIndex":0},"citationItems":[{"id":14,"uris":["http://zotero.org/users/local/AJmTDxS7/items/YKR45C5B"],"itemData":{"id":14,"type":"article-journal","abstract":"In this review, we highlight the role of intratumoral heterogeneity, focusing on the clinical and biological ramifications this phenomenon poses. Intratumoral heterogeneity arises through complex genetic, epigenetic, and protein modifications that drive phenotypic selection in response to environmental pressures. Functionally, heterogeneity provides tumors with significant adaptability. This ranges from mutual beneficial cooperation between cells, which nurture features such as growth and metastasis, to the narrow escape and survival of clonal cell populations that have adapted to thrive under specific conditions such as hypoxia or chemotherapy. These dynamic intercellular interplays are guided by a Darwinian selection landscape between clonal tumor cell populations and the tumor microenvironment. Understanding the involved drivers and functional consequences of such tumor heterogeneity is challenging but also promises to provide novel insight needed to confront the problem of therapeutic resistance in tumors.","container-title":"Journal of Molecular Medicine (Berlin, Germany)","DOI":"10.1007/s00109-020-01874-2","ISSN":"0946-2716","issue":"2","journalAbbreviation":"J Mol Med (Berl)","note":"PMID: 31970428\nPMCID: PMC7007907","page":"161-177","source":"PubMed Central","title":"Clinical implications of intratumor heterogeneity: challenges and opportunities","title-short":"Clinical implications of intratumor heterogeneity","volume":"98","author":[{"family":"Ramón y Cajal","given":"Santiago"},{"family":"Sesé","given":"Marta"},{"family":"Capdevila","given":"Claudia"},{"family":"Aasen","given":"Trond"},{"family":"De Mattos-Arruda","given":"Leticia"},{"family":"Diaz-Cano","given":"Salvador J."},{"family":"Hernández-Losa","given":"Javier"},{"family":"Castellví","given":"Josep"}],"issued":{"date-parts":[["2020"]]}}}],"schema":"https://github.com/citation-style-language/schema/raw/master/csl-citation.json"} </w:instrText>
      </w:r>
      <w:r w:rsidR="00F94A18">
        <w:rPr>
          <w:rFonts w:ascii="Times New Roman" w:eastAsia="Times New Roman" w:hAnsi="Times New Roman" w:cs="Times New Roman"/>
          <w:sz w:val="24"/>
          <w:szCs w:val="24"/>
        </w:rPr>
        <w:fldChar w:fldCharType="separate"/>
      </w:r>
      <w:r w:rsidR="00F94A18" w:rsidRPr="00F94A18">
        <w:rPr>
          <w:rFonts w:ascii="Times New Roman" w:hAnsi="Times New Roman" w:cs="Times New Roman"/>
          <w:sz w:val="24"/>
        </w:rPr>
        <w:t>(Ramón y Cajal et al., 2020a)</w:t>
      </w:r>
      <w:r w:rsidR="00F94A1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Conventional approaches to tumor research, often based on bulk sequencing and single-</w:t>
      </w:r>
      <w:r w:rsidR="00C269A5">
        <w:rPr>
          <w:rFonts w:ascii="Times New Roman" w:eastAsia="Times New Roman" w:hAnsi="Times New Roman" w:cs="Times New Roman"/>
          <w:sz w:val="24"/>
          <w:szCs w:val="24"/>
        </w:rPr>
        <w:t>omics</w:t>
      </w:r>
      <w:r>
        <w:rPr>
          <w:rFonts w:ascii="Times New Roman" w:eastAsia="Times New Roman" w:hAnsi="Times New Roman" w:cs="Times New Roman"/>
          <w:sz w:val="24"/>
          <w:szCs w:val="24"/>
        </w:rPr>
        <w:t xml:space="preserve"> datasets, have helped to better understand oncogenesis and driver mutations. The minute but crucial distinctions between individual cells and molecular layers are often obscured by these methods. Bulk measurements, which often average out signals from several subpopulations, mask rare clones that may lead to resistance or relapse. Moreover, single-</w:t>
      </w:r>
      <w:r w:rsidR="00C269A5">
        <w:rPr>
          <w:rFonts w:ascii="Times New Roman" w:eastAsia="Times New Roman" w:hAnsi="Times New Roman" w:cs="Times New Roman"/>
          <w:sz w:val="24"/>
          <w:szCs w:val="24"/>
        </w:rPr>
        <w:t>omics</w:t>
      </w:r>
      <w:r>
        <w:rPr>
          <w:rFonts w:ascii="Times New Roman" w:eastAsia="Times New Roman" w:hAnsi="Times New Roman" w:cs="Times New Roman"/>
          <w:sz w:val="24"/>
          <w:szCs w:val="24"/>
        </w:rPr>
        <w:t xml:space="preserve"> studies, whether transcriptomic, proteomic, or genomic, fail to capture the complex connections that drive the development of cancer</w:t>
      </w:r>
      <w:r w:rsidR="00F94A18">
        <w:rPr>
          <w:rFonts w:ascii="Times New Roman" w:eastAsia="Times New Roman" w:hAnsi="Times New Roman" w:cs="Times New Roman"/>
          <w:sz w:val="24"/>
          <w:szCs w:val="24"/>
        </w:rPr>
        <w:fldChar w:fldCharType="begin"/>
      </w:r>
      <w:r w:rsidR="001E2A18">
        <w:rPr>
          <w:rFonts w:ascii="Times New Roman" w:eastAsia="Times New Roman" w:hAnsi="Times New Roman" w:cs="Times New Roman"/>
          <w:sz w:val="24"/>
          <w:szCs w:val="24"/>
        </w:rPr>
        <w:instrText xml:space="preserve"> ADDIN ZOTERO_ITEM CSL_CITATION {"citationID":"vDr5U4zI","properties":{"formattedCitation":"(G. Sun et al., 2021)","plainCitation":"(G. Sun et al., 2021)","noteIndex":0},"citationItems":[{"id":17,"uris":["http://zotero.org/users/local/AJmTDxS7/items/Z5U7QNK6"],"itemData":{"id":17,"type":"article-journal","abstract":"Cancer has become one of the greatest threats to human health, and new technologies are urgently needed to further clarify the mechanisms of cancer so that better detection and treatment strategies can be developed. At present, extensive genomic analysis and testing of clinical specimens shape the insights into carcinoma. Nevertheless, carcinoma of humans is a complex ecosystem of cells, including carcinoma cells and immunity-related and stroma-related subsets, with accurate characteristics obscured by extensive genome-related approaches. A growing body of research shows that sequencing of single-cell RNA (scRNA-seq) is emerging to be an effective way for dissecting human tumor tissue at single-cell resolution, presenting one prominent way for explaining carcinoma biology. This review summarizes the research progress of scRNA-seq in the field of tumors, focusing on the application of scRNA-seq in tumor circulating cells, tumor stem cells, tumor drug resistance, the tumor microenvironment, and so on, which provides a new perspective for tumor research., Sequencing of single-cell RNA (scRNA-seq) is emerging to be an effective way for dissecting human tumor tissue at single-cell resolution, presenting one prominent way for explaining carcinoma biology. This review summarizes the research progress of scRNA-seq in the field of tumors, which provides a new perspective for tumor research.","container-title":"Molecular Therapy Oncolytics","DOI":"10.1016/j.omto.2021.04.001","ISSN":"2372-7705","journalAbbreviation":"Mol Ther Oncolytics","note":"PMID: 34027052\nPMCID: PMC8131398","page":"183-206","source":"PubMed Central","title":"Single-cell RNA sequencing in cancer: Applications, advances, and emerging challenges","title-short":"Single-cell RNA sequencing in cancer","volume":"21","author":[{"family":"Sun","given":"Guangshun"},{"family":"Li","given":"Zhouxiao"},{"family":"Rong","given":"Dawei"},{"family":"Zhang","given":"Hao"},{"family":"Shi","given":"Xuesong"},{"family":"Yang","given":"Weijun"},{"family":"Zheng","given":"Wubin"},{"family":"Sun","given":"Guoqiang"},{"family":"Wu","given":"Fan"},{"family":"Cao","given":"Hongyong"},{"family":"Tang","given":"Weiwei"},{"family":"Sun","given":"Yangbai"}],"issued":{"date-parts":[["2021",5,8]]}}}],"schema":"https://github.com/citation-style-language/schema/raw/master/csl-citation.json"} </w:instrText>
      </w:r>
      <w:r w:rsidR="00F94A18">
        <w:rPr>
          <w:rFonts w:ascii="Times New Roman" w:eastAsia="Times New Roman" w:hAnsi="Times New Roman" w:cs="Times New Roman"/>
          <w:sz w:val="24"/>
          <w:szCs w:val="24"/>
        </w:rPr>
        <w:fldChar w:fldCharType="separate"/>
      </w:r>
      <w:r w:rsidR="001E2A18" w:rsidRPr="001E2A18">
        <w:rPr>
          <w:rFonts w:ascii="Times New Roman" w:hAnsi="Times New Roman" w:cs="Times New Roman"/>
          <w:sz w:val="24"/>
        </w:rPr>
        <w:t>(G. Sun et al., 2021)</w:t>
      </w:r>
      <w:r w:rsidR="00F94A1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00F94A1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order to adequately evaluate tumor complexity, multi-omics integration is necessary. This method simultaneously analyzes and synthesizes data from multiple biological domains, such as transcriptomics (gene expression), proteomics (protein abundance and variations), metabolomics (metabolic fluxes), genomics (DNA mutations), and epigenomics (chromatin modifications). Combining these datasets can reveal non-linear relationships and causal pathways that are not apparent when examined as distinct layers. Crucially, multi-omics methods offer a dynamic, systems-level viewpoint on tumor progression, adaptive resistance, and microenvironmental crosstalk, offering significant prospects for precision oncology development</w:t>
      </w:r>
      <w:r w:rsidR="00F94A18">
        <w:rPr>
          <w:rFonts w:ascii="Times New Roman" w:eastAsia="Times New Roman" w:hAnsi="Times New Roman" w:cs="Times New Roman"/>
          <w:sz w:val="24"/>
          <w:szCs w:val="24"/>
        </w:rPr>
        <w:fldChar w:fldCharType="begin"/>
      </w:r>
      <w:r w:rsidR="00F94A18">
        <w:rPr>
          <w:rFonts w:ascii="Times New Roman" w:eastAsia="Times New Roman" w:hAnsi="Times New Roman" w:cs="Times New Roman"/>
          <w:sz w:val="24"/>
          <w:szCs w:val="24"/>
        </w:rPr>
        <w:instrText xml:space="preserve"> ADDIN ZOTERO_ITEM CSL_CITATION {"citationID":"Jf198EWP","properties":{"formattedCitation":"(Hayes et al., 2024)","plainCitation":"(Hayes et al., 2024)","noteIndex":0},"citationItems":[{"id":20,"uris":["http://zotero.org/users/local/AJmTDxS7/items/PINQBBTU"],"itemData":{"id":20,"type":"article-journal","abstract":"Bioinformatics is a rapidly evolving field charged with cataloging, disseminating, and analyzing biological data. Bioinformatics started with genomics, but while genomics focuses more narrowly on the genes comprising a genome, bioinformatics now encompasses a much broader range of omics technologies. Overcoming barriers of scale and effort that plagued earlier sequencing methods, bioinformatics adopted an ambitious strategy involving high-throughput and highly automated assays. However, as the list of omics technologies continues to grow, the field of bioinformatics has changed in two fundamental ways. Despite enormous success in expanding our understanding of the biological world, the failure of bulk methods to account for biologically important variability among cells of the same or different type has led to a major shift toward single-cell and spatially resolved omics methods, which attempt to disentangle the conflicting signals contained in heterogeneous samples by examining individual cells or cell clusters. The second major shift has been the attempt to integrate two or more different classes of omics data in a single multimodal analysis to identify patterns that bridge biological layers. For example, unraveling the cause of disease may reveal a metabolite deficiency caused by the failure of an enzyme to be phosphorylated because a gene is not expressed due to aberrant methylation as a result of a rare germline variant. Conclusions: There is a fine line between superficial understanding and analysis paralysis, but like a detective novel, multi-omics increasingly provides the clues we need, if only we are able to see them.","container-title":"Genes","DOI":"10.3390/genes15121551","ISSN":"2073-4425","issue":"12","journalAbbreviation":"Genes (Basel)","note":"PMID: 39766818\nPMCID: PMC11675490","page":"1551","source":"PubMed Central","title":"From Omics to Multi-Omics: A Review of Advantages and Tradeoffs","title-short":"From Omics to Multi-Omics","volume":"15","author":[{"family":"Hayes","given":"C. Nelson"},{"family":"Nakahara","given":"Hikaru"},{"family":"Ono","given":"Atsushi"},{"family":"Tsuge","given":"Masataka"},{"family":"Oka","given":"Shiro"}],"issued":{"date-parts":[["2024",11,29]]}}}],"schema":"https://github.com/citation-style-language/schema/raw/master/csl-citation.json"} </w:instrText>
      </w:r>
      <w:r w:rsidR="00F94A18">
        <w:rPr>
          <w:rFonts w:ascii="Times New Roman" w:eastAsia="Times New Roman" w:hAnsi="Times New Roman" w:cs="Times New Roman"/>
          <w:sz w:val="24"/>
          <w:szCs w:val="24"/>
        </w:rPr>
        <w:fldChar w:fldCharType="separate"/>
      </w:r>
      <w:r w:rsidR="00F94A18" w:rsidRPr="00F94A18">
        <w:rPr>
          <w:rFonts w:ascii="Times New Roman" w:hAnsi="Times New Roman" w:cs="Times New Roman"/>
          <w:sz w:val="24"/>
        </w:rPr>
        <w:t>(Hayes et al., 2024)</w:t>
      </w:r>
      <w:r w:rsidR="00F94A1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00F94A1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an effort to provide a comprehensive overview of the state of the art on tumor heterogeneity, this review focuses on how multi-omics technologies and integrative analytics are transforming our knowledge of cancer biology. We examine therapeutic applications, give typical case studies, talk about current problems and possible directions for the field, and delve at methodological developments</w:t>
      </w:r>
      <w:r w:rsidR="00F94A18">
        <w:rPr>
          <w:rFonts w:ascii="Times New Roman" w:eastAsia="Times New Roman" w:hAnsi="Times New Roman" w:cs="Times New Roman"/>
          <w:sz w:val="24"/>
          <w:szCs w:val="24"/>
        </w:rPr>
        <w:fldChar w:fldCharType="begin"/>
      </w:r>
      <w:r w:rsidR="009B75DF">
        <w:rPr>
          <w:rFonts w:ascii="Times New Roman" w:eastAsia="Times New Roman" w:hAnsi="Times New Roman" w:cs="Times New Roman"/>
          <w:sz w:val="24"/>
          <w:szCs w:val="24"/>
        </w:rPr>
        <w:instrText xml:space="preserve"> ADDIN ZOTERO_ITEM CSL_CITATION {"citationID":"JpwUnlFw","properties":{"formattedCitation":"(Chen et al., 2023a)","plainCitation":"(Chen et al., 2023a)","noteIndex":0},"citationItems":[{"id":22,"uris":["http://zotero.org/users/local/AJmTDxS7/items/D62G493L"],"itemData":{"id":22,"type":"article-journal","abstract":"Multi‐omics usually refers to the crossover application of multiple high‐throughput screening technologies represented by genomics, transcriptomics, single‐cell transcriptomics, proteomics and metabolomics, spatial transcriptomics, and so on, which play a great role in promoting the study of human diseases. Most of the current reviews focus on describing the development of multi‐omics technologies, data integration, and application to a particular disease; however, few of them provide a comprehensive and systematic introduction of multi‐omics. This review outlines the existing technical categories of multi‐omics, cautions for experimental design, focuses on the integrated analysis methods of multi‐omics, especially the approach of machine learning and deep learning in multi‐omics data integration and the corresponding tools, and the application of multi‐omics in medical researches (e.g., cancer, neurodegenerative diseases, aging, and drug target discovery) as well as the corresponding open‐source analysis tools and databases, and finally, discusses the challenges and future directions of multi‐omics integration and application in precision medicine. With the development of high‐throughput technologies and data integration algorithms, as important directions of multi‐omics for future disease research, single‐cell multi‐omics and spatial multi‐omics also provided a detailed introduction. This review will provide important guidance for researchers, especially who are just entering into multi‐omics medical research., Multi‐omics contains genomics, transcriptomics, proteomics, metabolomics, etc. And the experimental design considers the disease characteristics, disease model, sample size and phenotypic data. After the data integration by the approach of correlation, network and machining learning, the multi‐omics can be applied in diagnosis, biomarkers, targets of human disease and target discovery of natural compound.","container-title":"MedComm","DOI":"10.1002/mco2.315","ISSN":"2688-2663","issue":"4","journalAbbreviation":"MedComm (2020)","note":"PMID: 37533767\nPMCID: PMC10390758","page":"e315","source":"PubMed Central","title":"Applications of multi‐omics analysis in human diseases","volume":"4","author":[{"family":"Chen","given":"Chongyang"},{"family":"Wang","given":"Jing"},{"family":"Pan","given":"Donghui"},{"family":"Wang","given":"Xinyu"},{"family":"Xu","given":"Yuping"},{"family":"Yan","given":"Junjie"},{"family":"Wang","given":"Lizhen"},{"family":"Yang","given":"Xifei"},{"family":"Yang","given":"Min"},{"family":"Liu","given":"Gong‐Ping"}],"issued":{"date-parts":[["2023",7,31]]}}}],"schema":"https://github.com/citation-style-language/schema/raw/master/csl-citation.json"} </w:instrText>
      </w:r>
      <w:r w:rsidR="00F94A18">
        <w:rPr>
          <w:rFonts w:ascii="Times New Roman" w:eastAsia="Times New Roman" w:hAnsi="Times New Roman" w:cs="Times New Roman"/>
          <w:sz w:val="24"/>
          <w:szCs w:val="24"/>
        </w:rPr>
        <w:fldChar w:fldCharType="separate"/>
      </w:r>
      <w:r w:rsidR="009B75DF" w:rsidRPr="009B75DF">
        <w:rPr>
          <w:rFonts w:ascii="Times New Roman" w:hAnsi="Times New Roman" w:cs="Times New Roman"/>
          <w:sz w:val="24"/>
        </w:rPr>
        <w:t>(Chen et al., 2023a)</w:t>
      </w:r>
      <w:r w:rsidR="00F94A1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77965FC8" w14:textId="77777777" w:rsidR="00E8724D" w:rsidRDefault="00E8724D" w:rsidP="00335E34">
      <w:pPr>
        <w:spacing w:after="0" w:line="240" w:lineRule="auto"/>
        <w:jc w:val="both"/>
        <w:rPr>
          <w:rFonts w:ascii="Times New Roman" w:eastAsia="Times New Roman" w:hAnsi="Times New Roman" w:cs="Times New Roman"/>
          <w:sz w:val="24"/>
          <w:szCs w:val="24"/>
        </w:rPr>
      </w:pPr>
    </w:p>
    <w:p w14:paraId="24BF1964" w14:textId="77777777" w:rsidR="00E8724D" w:rsidRPr="007D3C03" w:rsidRDefault="00E8724D" w:rsidP="00335E34">
      <w:pPr>
        <w:spacing w:after="0" w:line="240" w:lineRule="auto"/>
        <w:jc w:val="both"/>
        <w:rPr>
          <w:rFonts w:ascii="Times New Roman" w:eastAsia="Times New Roman" w:hAnsi="Times New Roman" w:cs="Times New Roman"/>
          <w:sz w:val="24"/>
          <w:szCs w:val="24"/>
        </w:rPr>
      </w:pPr>
    </w:p>
    <w:p w14:paraId="7347F881" w14:textId="70FE3E4F" w:rsidR="00426978" w:rsidRDefault="00426978" w:rsidP="00335E34">
      <w:pPr>
        <w:pStyle w:val="Heading3"/>
        <w:jc w:val="both"/>
      </w:pPr>
      <w:r>
        <w:rPr>
          <w:rStyle w:val="Strong"/>
          <w:b/>
          <w:bCs/>
        </w:rPr>
        <w:t>2. Understanding Tumor Heterogeneity</w:t>
      </w:r>
      <w:r>
        <w:t xml:space="preserve"> </w:t>
      </w:r>
    </w:p>
    <w:p w14:paraId="4E595AA9" w14:textId="421D8B42" w:rsidR="007D3C03" w:rsidRPr="00030FA4" w:rsidRDefault="00426978" w:rsidP="00DA218E">
      <w:pPr>
        <w:pStyle w:val="NormalWeb"/>
        <w:jc w:val="both"/>
      </w:pPr>
      <w:r>
        <w:t xml:space="preserve">Tumor heterogeneity </w:t>
      </w:r>
      <w:r w:rsidR="00030FA4">
        <w:t>involves</w:t>
      </w:r>
      <w:r>
        <w:t xml:space="preserve"> the extensive biological variability observed within and between tumors, presenting a </w:t>
      </w:r>
      <w:r w:rsidR="00030FA4">
        <w:t>significant</w:t>
      </w:r>
      <w:r>
        <w:t xml:space="preserve"> challenge to effective cancer diagnosis and treatment.</w:t>
      </w:r>
      <w:r w:rsidR="00F94A18">
        <w:t xml:space="preserve"> </w:t>
      </w:r>
      <w:r w:rsidR="00030FA4" w:rsidRPr="00030FA4">
        <w:rPr>
          <w:rStyle w:val="Strong"/>
          <w:b w:val="0"/>
          <w:bCs w:val="0"/>
        </w:rPr>
        <w:t>The diversity of cancer cells within a single tumor mass is known as intra-tumoral heterogeneity, and it is frequently typified by different genetic, epigenetic, transcriptomic, and phenotypic profiles among subclones</w:t>
      </w:r>
      <w:r w:rsidR="00F94A18">
        <w:rPr>
          <w:rStyle w:val="Strong"/>
          <w:b w:val="0"/>
          <w:bCs w:val="0"/>
        </w:rPr>
        <w:fldChar w:fldCharType="begin"/>
      </w:r>
      <w:r w:rsidR="00F94A18">
        <w:rPr>
          <w:rStyle w:val="Strong"/>
          <w:b w:val="0"/>
          <w:bCs w:val="0"/>
        </w:rPr>
        <w:instrText xml:space="preserve"> ADDIN ZOTERO_ITEM CSL_CITATION {"citationID":"PV7dI5qy","properties":{"formattedCitation":"(Proietto et al., 2023)","plainCitation":"(Proietto et al., 2023)","noteIndex":0},"citationItems":[{"id":25,"uris":["http://zotero.org/users/local/AJmTDxS7/items/L3G8RGHE"],"itemData":{"id":25,"type":"article-journal","abstract":"Heterogeneity describes the differences among cancer cells within and between tumors. It refers to cancer cells describing variations in morphology, transcriptional profiles, metabolism, and metastatic potential. More recently, the field has included the characterization of the tumor immune microenvironment and the depiction of the dynamics underlying the cellular interactions promoting the tumor ecosystem evolution. Heterogeneity has been found in most tumors representing one of the most challenging behaviors in cancer ecosystems. As one of the critical factors impairing the long-term efficacy of solid tumor therapy, heterogeneity leads to tumor resistance, more aggressive metastasizing, and recurrence. We review the role of the main models and the emerging single-cell and spatial genomic technologies in our understanding of tumor heterogeneity, its contribution to lethal cancer outcomes, and the physiological challenges to consider in designing cancer therapies. We highlight how tumor cells dynamically evolve because of the interactions within the tumor immune microenvironment and how to leverage this to unleash immune recognition through immunotherapy. A multidisciplinary approach grounded in novel bioinformatic and computational tools will allow reaching the integrated, multilayered knowledge of tumor heterogeneity required to implement personalized, more efficient therapies urgently required for cancer patients.","container-title":"Frontiers in Oncology","DOI":"10.3389/fonc.2023.1164535","ISSN":"2234-943X","journalAbbreviation":"Front Oncol","note":"PMID: 37188201\nPMCID: PMC10175698","page":"1164535","source":"PubMed Central","title":"Tumor heterogeneity: preclinical models, emerging technologies, and future applications","title-short":"Tumor heterogeneity","volume":"13","author":[{"family":"Proietto","given":"Marco"},{"family":"Crippa","given":"Martina"},{"family":"Damiani","given":"Chiara"},{"family":"Pasquale","given":"Valentina"},{"family":"Sacco","given":"Elena"},{"family":"Vanoni","given":"Marco"},{"family":"Gilardi","given":"Mara"}],"issued":{"date-parts":[["2023",4,28]]}}}],"schema":"https://github.com/citation-style-language/schema/raw/master/csl-citation.json"} </w:instrText>
      </w:r>
      <w:r w:rsidR="00F94A18">
        <w:rPr>
          <w:rStyle w:val="Strong"/>
          <w:b w:val="0"/>
          <w:bCs w:val="0"/>
        </w:rPr>
        <w:fldChar w:fldCharType="separate"/>
      </w:r>
      <w:r w:rsidR="00F94A18" w:rsidRPr="00F94A18">
        <w:t>(Proietto et al., 2023)</w:t>
      </w:r>
      <w:r w:rsidR="00F94A18">
        <w:rPr>
          <w:rStyle w:val="Strong"/>
          <w:b w:val="0"/>
          <w:bCs w:val="0"/>
        </w:rPr>
        <w:fldChar w:fldCharType="end"/>
      </w:r>
      <w:r w:rsidR="00030FA4" w:rsidRPr="00030FA4">
        <w:rPr>
          <w:rStyle w:val="Strong"/>
          <w:b w:val="0"/>
          <w:bCs w:val="0"/>
        </w:rPr>
        <w:t xml:space="preserve">. </w:t>
      </w:r>
      <w:r w:rsidR="00DA218E">
        <w:t xml:space="preserve"> </w:t>
      </w:r>
      <w:r w:rsidR="00030FA4">
        <w:t>Inter-tumoral heterogeneity, on the other hand, describes the diversity seen amongst tumors of the same histological subtype, whether within a single patient or between patients with comparable diagnoses. These types of heterogeneity are responsible for differences in tumor behavior, treatment response, and disease prognosis</w:t>
      </w:r>
      <w:r w:rsidR="00F94A18">
        <w:fldChar w:fldCharType="begin"/>
      </w:r>
      <w:r w:rsidR="00F94A18">
        <w:instrText xml:space="preserve"> ADDIN ZOTERO_ITEM CSL_CITATION {"citationID":"aubkWhnh","properties":{"formattedCitation":"(Ram\\uc0\\u243{}n y Cajal et al., 2020b)","plainCitation":"(Ramón y Cajal et al., 2020b)","noteIndex":0},"citationItems":[{"id":28,"uris":["http://zotero.org/users/local/AJmTDxS7/items/M4WRP7N6"],"itemData":{"id":28,"type":"article-journal","abstract":"In this review, we highlight the role of intratumoral heterogeneity, focusing on the clinical and biological ramifications this phenomenon poses. Intratumoral heterogeneity arises through complex genetic, epigenetic, and protein modifications that drive phenotypic selection in response to environmental pressures. Functionally, heterogeneity provides tumors with significant adaptability. This ranges from mutual beneficial cooperation between cells, which nurture features such as growth and metastasis, to the narrow escape and survival of clonal cell populations that have adapted to thrive under specific conditions such as hypoxia or chemotherapy. These dynamic intercellular interplays are guided by a Darwinian selection landscape between clonal tumor cell populations and the tumor microenvironment. Understanding the involved drivers and functional consequences of such tumor heterogeneity is challenging but also promises to provide novel insight needed to confront the problem of therapeutic resistance in tumors.","container-title":"Journal of Molecular Medicine (Berlin, Germany)","DOI":"10.1007/s00109-020-01874-2","ISSN":"0946-2716","issue":"2","journalAbbreviation":"J Mol Med (Berl)","note":"PMID: 31970428\nPMCID: PMC7007907","page":"161-177","source":"PubMed Central","title":"Clinical implications of intratumor heterogeneity: challenges and opportunities","title-short":"Clinical implications of intratumor heterogeneity","volume":"98","author":[{"family":"Ramón y Cajal","given":"Santiago"},{"family":"Sesé","given":"Marta"},{"family":"Capdevila","given":"Claudia"},{"family":"Aasen","given":"Trond"},{"family":"De Mattos-Arruda","given":"Leticia"},{"family":"Diaz-Cano","given":"Salvador J."},{"family":"Hernández-Losa","given":"Javier"},{"family":"Castellví","given":"Josep"}],"issued":{"date-parts":[["2020"]]}}}],"schema":"https://github.com/citation-style-language/schema/raw/master/csl-citation.json"} </w:instrText>
      </w:r>
      <w:r w:rsidR="00F94A18">
        <w:fldChar w:fldCharType="separate"/>
      </w:r>
      <w:r w:rsidR="00F94A18" w:rsidRPr="00F94A18">
        <w:t>(Ramón y Cajal et al., 2020b)</w:t>
      </w:r>
      <w:r w:rsidR="00F94A18">
        <w:fldChar w:fldCharType="end"/>
      </w:r>
      <w:r w:rsidR="00030FA4">
        <w:t>.</w:t>
      </w:r>
      <w:r w:rsidR="00DA218E">
        <w:t xml:space="preserve"> </w:t>
      </w:r>
      <w:r w:rsidR="00030FA4">
        <w:t>Multiple layers of variation drive tumor heterogeneity at the molecular level. A tumor's overall mutational load is influenced by genetic heterogeneity, which is frequently the consequence of continuous clonal evolution and is defined by changes in somatic mutations, copy number variations, and chromosomal rearrangements. Without changing the DNA sequence, epigenetic heterogeneity</w:t>
      </w:r>
      <w:r w:rsidR="00D505B8">
        <w:t xml:space="preserve"> </w:t>
      </w:r>
      <w:r w:rsidR="00030FA4">
        <w:t>which includes differences in histone modifications and DNA methylation patterns</w:t>
      </w:r>
      <w:r w:rsidR="00D505B8">
        <w:t xml:space="preserve"> </w:t>
      </w:r>
      <w:r w:rsidR="00030FA4">
        <w:t>affects gene expression and can be quite responsive to environmental stimuli</w:t>
      </w:r>
      <w:r w:rsidR="00F94A18">
        <w:fldChar w:fldCharType="begin"/>
      </w:r>
      <w:r w:rsidR="00F94A18">
        <w:instrText xml:space="preserve"> ADDIN ZOTERO_ITEM CSL_CITATION {"citationID":"fuwRsjvG","properties":{"formattedCitation":"(Dentro et al., 2021)","plainCitation":"(Dentro et al., 2021)","noteIndex":0},"citationItems":[{"id":31,"uris":["http://zotero.org/users/local/AJmTDxS7/items/JTU9U6W2"],"itemData":{"id":31,"type":"article-journal","abstract":"Intra-tumor heterogeneity (ITH) is a mechanism of therapeutic resistance and therefore an important clinical challenge. However, the extent, origin, and drivers of ITH across cancer types are poorly understood. To address this, we extensively characterize ITH across whole-genome sequences of 2,658 cancer samples spanning 38 cancer types. Nearly all informative samples (95.1%) contain evidence of distinct subclonal expansions with frequent branching relationships between subclones. We observe positive selection of subclonal driver mutations across most cancer types and identify cancer type-specific subclonal patterns of driver gene mutations, fusions, structural variants, and copy number alterations as well as dynamic changes in mutational processes between subclonal expansions. Our results underline the importance of ITH and its drivers in tumor evolution and provide a pan-cancer resource of comprehensively annotated subclonal events from whole-genome sequencing data., •Pan-cancer resource of comprehensively annotated intra-tumor heterogeneity (ITH)•ITH is pervasive across cancers and shows cancer type-specific patterns•Branching phylogenies are common•Dynamic changes in mutational processes between subclonal expansions, Dentro et al. provide a comprehensive annotation of intra-tumor heterogeneity and its drivers in cancer evolution.","container-title":"Cell","DOI":"10.1016/j.cell.2021.03.009","ISSN":"0092-8674","issue":"8","journalAbbreviation":"Cell","note":"PMID: 33831375\nPMCID: PMC8054914","page":"2239-2254.e39","source":"PubMed Central","title":"Characterizing genetic intra-tumor heterogeneity across 2,658 human cancer genomes","volume":"184","author":[{"family":"Dentro","given":"Stefan C."},{"family":"Leshchiner","given":"Ignaty"},{"family":"Haase","given":"Kerstin"},{"family":"Tarabichi","given":"Maxime"},{"family":"Wintersinger","given":"Jeff"},{"family":"Deshwar","given":"Amit G."},{"family":"Yu","given":"Kaixian"},{"family":"Rubanova","given":"Yulia"},{"family":"Macintyre","given":"Geoff"},{"family":"Demeulemeester","given":"Jonas"},{"family":"Vázquez-García","given":"Ignacio"},{"family":"Kleinheinz","given":"Kortine"},{"family":"Livitz","given":"Dimitri G."},{"family":"Malikic","given":"Salem"},{"family":"Donmez","given":"Nilgun"},{"family":"Sengupta","given":"Subhajit"},{"family":"Anur","given":"Pavana"},{"family":"Jolly","given":"Clemency"},{"family":"Cmero","given":"Marek"},{"family":"Rosebrock","given":"Daniel"},{"family":"Schumacher","given":"Steven E."},{"family":"Fan","given":"Yu"},{"family":"Fittall","given":"Matthew"},{"family":"Drews","given":"Ruben M."},{"family":"Yao","given":"Xiaotong"},{"family":"Watkins","given":"Thomas B.K."},{"family":"Lee","given":"Juhee"},{"family":"Schlesner","given":"Matthias"},{"family":"Zhu","given":"Hongtu"},{"family":"Adams","given":"David J."},{"family":"McGranahan","given":"Nicholas"},{"family":"Swanton","given":"Charles"},{"family":"Getz","given":"Gad"},{"family":"Boutros","given":"Paul C."},{"family":"Imielinski","given":"Marcin"},{"family":"Beroukhim","given":"Rameen"},{"family":"Sahinalp","given":"S. Cenk"},{"family":"Ji","given":"Yuan"},{"family":"Peifer","given":"Martin"},{"family":"Martincorena","given":"Inigo"},{"family":"Markowetz","given":"Florian"},{"family":"Mustonen","given":"Ville"},{"family":"Yuan","given":"Ke"},{"family":"Gerstung","given":"Moritz"},{"family":"Spellman","given":"Paul T."},{"family":"Wang","given":"Wenyi"},{"family":"Morris","given":"Quaid D."},{"family":"Wedge","given":"David C."},{"family":"Van Loo","given":"Peter"}],"issued":{"date-parts":[["2021",4,15]]}}}],"schema":"https://github.com/citation-style-language/schema/raw/master/csl-citation.json"} </w:instrText>
      </w:r>
      <w:r w:rsidR="00F94A18">
        <w:fldChar w:fldCharType="separate"/>
      </w:r>
      <w:r w:rsidR="00F94A18" w:rsidRPr="00F94A18">
        <w:t>(</w:t>
      </w:r>
      <w:proofErr w:type="spellStart"/>
      <w:r w:rsidR="00F94A18" w:rsidRPr="00F94A18">
        <w:t>Dentro</w:t>
      </w:r>
      <w:proofErr w:type="spellEnd"/>
      <w:r w:rsidR="00F94A18" w:rsidRPr="00F94A18">
        <w:t xml:space="preserve"> et al., 2021)</w:t>
      </w:r>
      <w:r w:rsidR="00F94A18">
        <w:fldChar w:fldCharType="end"/>
      </w:r>
      <w:r w:rsidR="00030FA4">
        <w:t>.</w:t>
      </w:r>
      <w:r w:rsidR="00DA218E">
        <w:t xml:space="preserve"> </w:t>
      </w:r>
      <w:r w:rsidR="00030FA4">
        <w:t>The variety of gene expression profiles, impacted by both internal and external causes, is reflected in transcriptomic variations. Comparably, metabolic heterogeneity represents unique metabolic dependencies and adaptations that support tumor growth under various microenvironmental conditions, whereas proteomic heterogeneity results from differences in protein expression, post-translational modifications, and signaling pathway activation</w:t>
      </w:r>
      <w:r w:rsidR="00F94A18">
        <w:fldChar w:fldCharType="begin"/>
      </w:r>
      <w:r w:rsidR="00F94A18">
        <w:instrText xml:space="preserve"> ADDIN ZOTERO_ITEM CSL_CITATION {"citationID":"dzafCuMC","properties":{"formattedCitation":"(Ortmayr et al., 2019)","plainCitation":"(Ortmayr et al., 2019)","noteIndex":0},"citationItems":[{"id":34,"uris":["http://zotero.org/users/local/AJmTDxS7/items/TEK2KZRB"],"itemData":{"id":34,"type":"article-journal","abstract":"Transcriptional reprogramming of cellular metabolism is a hallmark of cancer. However, systematic approaches to study the role of transcriptional regulators (TRs) in mediating cancer metabolic rewiring are missing. Here, we chart a genome-scale map of TR-metabolite associations in human cells using a combined computational-experimental framework for large-scale metabolic profiling of adherent cell lines. By integrating intracellular metabolic profiles of 54 cancer cell lines with transcriptomic and proteomic data, we unraveled a large space of associations between TRs and metabolic pathways. We found a global regulatory signature coordinating glucose- and one-carbon metabolism, suggesting that regulation of carbon metabolism in cancer may be more diverse and flexible than previously appreciated. Here, we demonstrate how this TR-metabolite map can serve as a resource to predict TRs potentially responsible for metabolic transformation in patient-derived tumor samples, opening new opportunities in understanding disease etiology, selecting therapeutic treatments and in designing modulators of cancer-related TRs.","container-title":"Nature Communications","DOI":"10.1038/s41467-019-09695-9","ISSN":"2041-1723","issue":"1","journalAbbreviation":"Nat Commun","language":"en","license":"2019 The Author(s)","note":"publisher: Nature Publishing Group","page":"1841","source":"www.nature.com","title":"Metabolic profiling of cancer cells reveals genome-wide crosstalk between transcriptional regulators and metabolism","volume":"10","author":[{"family":"Ortmayr","given":"Karin"},{"family":"Dubuis","given":"Sébastien"},{"family":"Zampieri","given":"Mattia"}],"issued":{"date-parts":[["2019",4,23]]}}}],"schema":"https://github.com/citation-style-language/schema/raw/master/csl-citation.json"} </w:instrText>
      </w:r>
      <w:r w:rsidR="00F94A18">
        <w:fldChar w:fldCharType="separate"/>
      </w:r>
      <w:r w:rsidR="00F94A18" w:rsidRPr="00F94A18">
        <w:t>(</w:t>
      </w:r>
      <w:proofErr w:type="spellStart"/>
      <w:r w:rsidR="00F94A18" w:rsidRPr="00F94A18">
        <w:t>Ortmayr</w:t>
      </w:r>
      <w:proofErr w:type="spellEnd"/>
      <w:r w:rsidR="00F94A18" w:rsidRPr="00F94A18">
        <w:t xml:space="preserve"> et al., 2019)</w:t>
      </w:r>
      <w:r w:rsidR="00F94A18">
        <w:fldChar w:fldCharType="end"/>
      </w:r>
      <w:r w:rsidR="00030FA4">
        <w:t>.</w:t>
      </w:r>
      <w:r w:rsidR="00DA218E">
        <w:t xml:space="preserve"> </w:t>
      </w:r>
      <w:r w:rsidR="00030FA4">
        <w:t>Tumor heterogeneity arises and persists due to a number of important reasons. Clonal diversity is fueled by random mutations and structural changes caused by genomic instability. Through paracrine signaling and immunoediting, the tumor microenvironment (TME), which is made up of immune cells, fibroblasts, endothelial cells, and extracellular matrix components, influences the behavior of tumor cells. Resistant clones can survive immune surveillance thanks to immune evasion strategies such interferon signaling reduction or antigen deletion. Additionally, the proliferation of resistant subclones is favored by the strong selective forces exerted by treatment pressures</w:t>
      </w:r>
      <w:r w:rsidR="00F94A18">
        <w:fldChar w:fldCharType="begin"/>
      </w:r>
      <w:r w:rsidR="00F94A18">
        <w:instrText xml:space="preserve"> ADDIN ZOTERO_ITEM CSL_CITATION {"citationID":"D7yMZS3I","properties":{"formattedCitation":"(Marusyk &amp; Polyak, 2010)","plainCitation":"(Marusyk &amp; Polyak, 2010)","noteIndex":0},"citationItems":[{"id":36,"uris":["http://zotero.org/users/local/AJmTDxS7/items/JDLEJQTZ"],"itemData":{"id":36,"type":"article-journal","abstract":"With rare exceptions, spontaneous tumors originate from a single cell. Yet, at the time of clinical diagnosis, the majority of human tumors display startling heterogeneity in many morphological and physiological features, such as expression of cell surface receptors, proliferative and angiogenic potential. To a substantial extent, this heterogeneity might be attributed to morphological and epigenetic plasticity, but there is also strong evidence for the co-existence of genetically divergent tumor cell clones within tumors. In this perspective, we summarize the sources of intra-tumor phenotypic heterogeneity with emphasis on genetic heterogeneity. We review experimental evidence for the existence of both intra-tumor clonal heterogeneity as well as frequent evolutionary divergence between primary tumors and metastatic outgrowths. Furthermore, we discuss potential biological and clinical implications of intra-tumor clonal heterogeneity.","container-title":"Biochimica et biophysica acta","DOI":"10.1016/j.bbcan.2009.11.002","ISSN":"0006-3002","issue":"1","journalAbbreviation":"Biochim Biophys Acta","note":"PMID: 19931353\nPMCID: PMC2814927","page":"105","source":"PubMed Central","title":"Tumor heterogeneity: causes and consequences","title-short":"Tumor heterogeneity","volume":"1805","author":[{"family":"Marusyk","given":"Andriy"},{"family":"Polyak","given":"Kornelia"}],"issued":{"date-parts":[["2010",1]]}}}],"schema":"https://github.com/citation-style-language/schema/raw/master/csl-citation.json"} </w:instrText>
      </w:r>
      <w:r w:rsidR="00F94A18">
        <w:fldChar w:fldCharType="separate"/>
      </w:r>
      <w:r w:rsidR="00F94A18" w:rsidRPr="00F94A18">
        <w:t>(</w:t>
      </w:r>
      <w:proofErr w:type="spellStart"/>
      <w:r w:rsidR="00F94A18" w:rsidRPr="00F94A18">
        <w:t>Marusyk</w:t>
      </w:r>
      <w:proofErr w:type="spellEnd"/>
      <w:r w:rsidR="00F94A18" w:rsidRPr="00F94A18">
        <w:t xml:space="preserve"> &amp; Polyak, 2010)</w:t>
      </w:r>
      <w:r w:rsidR="00F94A18">
        <w:fldChar w:fldCharType="end"/>
      </w:r>
      <w:r w:rsidR="00030FA4">
        <w:t>.</w:t>
      </w:r>
      <w:r w:rsidR="00DA218E">
        <w:t xml:space="preserve"> </w:t>
      </w:r>
      <w:r w:rsidR="00030FA4" w:rsidRPr="00030FA4">
        <w:t>Tumor heterogeneity has been outlined by three conceptual models. According to Nowell's original description of the clonal evolution concept, tumor development is the consequence of clones with favorable mutations being selected one after the other. According to the cancer stem cell theory, there is a hierarchical structure in place, and heterogeneity and treatment resistance are driven by stem-like cells</w:t>
      </w:r>
      <w:r w:rsidR="007D0EDA">
        <w:fldChar w:fldCharType="begin"/>
      </w:r>
      <w:r w:rsidR="007D0EDA">
        <w:instrText xml:space="preserve"> ADDIN ZOTERO_ITEM CSL_CITATION {"citationID":"lTfXtXU7","properties":{"formattedCitation":"(Lawal et al., 2024)","plainCitation":"(Lawal et al., 2024)","noteIndex":0},"citationItems":[{"id":230,"uris":["http://zotero.org/users/local/AJmTDxS7/items/U9U9LAP2"],"itemData":{"id":230,"type":"article-journal","container-title":"Asian Journal of Research in Medical and Pharmaceutical Sciences","DOI":"10.9734/ajrimps/2024/v13i4270","ISSN":"2457-0745","issue":"4","language":"en","page":"9-27","source":"journalajrimps.com","title":"The Impact of Antimicrobial Resistance on Cancer Treatment: A Systematic Review of Current Evidence and Future Directions","title-short":"The Impact of Antimicrobial Resistance on Cancer Treatment","volume":"13","author":[{"family":"Lawal","given":"Olabisi Promise"},{"family":"Ahmed","given":"Nurain Kehinde"},{"family":"Ilesanmi","given":"Taiwo Ayomide"},{"family":"Anthony","given":"Godswill Imolele"},{"family":"Nwosu","given":"Samuel Nzube"},{"family":"Ogungbemiro","given":"Festus Oladayo"},{"family":"Olaide","given":"Zainab"},{"family":"Adeniyi","given":"Muritadoh Muritadoh"},{"family":"Okoye","given":"Uchechukwu Lilian"},{"family":"Olufunmilayo","given":"Adebiyi Mutiat"},{"family":"Christopher","given":"Adegbesan Abiodun"},{"family":"Oseghale","given":"Ikalo David"}],"issued":{"date-parts":[["2024",9,16]]}}}],"schema":"https://github.com/citation-style-language/schema/raw/master/csl-citation.json"} </w:instrText>
      </w:r>
      <w:r w:rsidR="007D0EDA">
        <w:fldChar w:fldCharType="separate"/>
      </w:r>
      <w:r w:rsidR="007D0EDA" w:rsidRPr="007D0EDA">
        <w:t>(Lawal et al., 2024)</w:t>
      </w:r>
      <w:r w:rsidR="007D0EDA">
        <w:fldChar w:fldCharType="end"/>
      </w:r>
      <w:r w:rsidR="00030FA4" w:rsidRPr="00030FA4">
        <w:t>. Finally, according to the Big Bang hypothesis, neutral evolution is widespread since most mutations take place early in the neoplastic process and there are not many selective pressures after that. It is possible for these models to function simultaneously in various tumor situations and they are not exclusive. As illustrated in Figure 1 below, tumor heterogeneity encompasses several molecular levels, ranging from the genome to the metabolome, each of which adds to the complexity of the cancer's phenotype and response to treatment</w:t>
      </w:r>
      <w:r w:rsidR="001E2A18">
        <w:fldChar w:fldCharType="begin"/>
      </w:r>
      <w:r w:rsidR="001E2A18">
        <w:instrText xml:space="preserve"> ADDIN ZOTERO_ITEM CSL_CITATION {"citationID":"PL51S1ZR","properties":{"formattedCitation":"(R. Sun et al., 2018)","plainCitation":"(R. Sun et al., 2018)","noteIndex":0},"citationItems":[{"id":43,"uris":["http://zotero.org/users/local/AJmTDxS7/items/QMEAN2QN"],"itemData":{"id":43,"type":"article-journal","abstract":"The advent and application of next-generation sequencing (NGS) technologies to tumor genomes has reinvigorated efforts to understand clonal evolution. Although tumor progression has traditionally been viewed as a gradual stepwise process, recent studies suggest that evolutionary rates in tumors can be variable with periods of punctuated mutational bursts and relative stasis. For example, Big Bang dynamics have been reported, wherein after transformation, growth occurs in the absence of stringent selection, consistent with effectively neutral evolution. Although first noted in colorectal tumors, effective neutrality may be relatively common. Additionally, punctuated evolution resulting from mutational bursts and cataclysmic genomic alterations have been described. In this review, we contrast these findings with the conventional gradualist view of clonal evolution and describe potential clinical and therapeutic implications of different evolutionary modes and tempos.","container-title":"Cold Spring Harbor Perspectives in Medicine","DOI":"10.1101/cshperspect.a028381","ISSN":"2157-1422","issue":"5","journalAbbreviation":"Cold Spring Harb Perspect Med","note":"PMID: 28710260\nPMCID: PMC5932575","page":"a028381","source":"PubMed Central","title":"Big Bang Tumor Growth and Clonal Evolution","volume":"8","author":[{"family":"Sun","given":"Ruping"},{"family":"Hu","given":"Zheng"},{"family":"Curtis","given":"Christina"}],"issued":{"date-parts":[["2018",5]]}}}],"schema":"https://github.com/citation-style-language/schema/raw/master/csl-citation.json"} </w:instrText>
      </w:r>
      <w:r w:rsidR="001E2A18">
        <w:fldChar w:fldCharType="separate"/>
      </w:r>
      <w:r w:rsidR="001E2A18" w:rsidRPr="001E2A18">
        <w:t>(R. Sun et al., 2018)</w:t>
      </w:r>
      <w:r w:rsidR="001E2A18">
        <w:fldChar w:fldCharType="end"/>
      </w:r>
      <w:r w:rsidR="00030FA4" w:rsidRPr="00030FA4">
        <w:t>.</w:t>
      </w:r>
    </w:p>
    <w:p w14:paraId="09FF9367" w14:textId="35D27DB1" w:rsidR="007D3C03" w:rsidRDefault="007D3C03" w:rsidP="00335E3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477E75B" wp14:editId="2EBD78DD">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Jun 24, 2025, 06_46_17 A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6BDB435" w14:textId="239C0A4A" w:rsidR="00426978" w:rsidRDefault="007D3C03" w:rsidP="00E8724D">
      <w:pPr>
        <w:pStyle w:val="Bibliography"/>
      </w:pPr>
      <w:r>
        <w:rPr>
          <w:rFonts w:ascii="Times New Roman" w:eastAsia="Times New Roman" w:hAnsi="Times New Roman" w:cs="Times New Roman"/>
          <w:b/>
          <w:bCs/>
          <w:sz w:val="24"/>
          <w:szCs w:val="24"/>
        </w:rPr>
        <w:t>Figure 1. Layers of Tumor Heterogeneity: From Genome to Metabolome</w:t>
      </w:r>
      <w:r>
        <w:rPr>
          <w:rFonts w:ascii="Times New Roman" w:eastAsia="Times New Roman" w:hAnsi="Times New Roman" w:cs="Times New Roman"/>
          <w:sz w:val="24"/>
          <w:szCs w:val="24"/>
        </w:rPr>
        <w:t xml:space="preserve">. </w:t>
      </w:r>
      <w:r w:rsidR="00030FA4">
        <w:rPr>
          <w:rFonts w:ascii="Times New Roman" w:eastAsia="Times New Roman" w:hAnsi="Times New Roman" w:cs="Times New Roman"/>
          <w:sz w:val="24"/>
          <w:szCs w:val="24"/>
        </w:rPr>
        <w:t>This diagram depicts the hierarchical layers genomic, epigenomic, transcriptomic, proteomic, and metabolomic that contribute to tumor heterogeneity. DNA methylation and histone modifications, RNA expression dynamics, protein post-translational modifications (PTMs), metabolite profiles, and mutations and copy number variations (CNVs) at the DNA level are all examples of the unique molecular processes that are contained inside each layer. These levels work together to influence tumor behavior, evolution, and responsiveness to treatment</w:t>
      </w:r>
      <w:r w:rsidR="00DA218E">
        <w:rPr>
          <w:rFonts w:ascii="Times New Roman" w:eastAsia="Times New Roman" w:hAnsi="Times New Roman" w:cs="Times New Roman"/>
          <w:sz w:val="24"/>
          <w:szCs w:val="24"/>
        </w:rPr>
        <w:fldChar w:fldCharType="begin"/>
      </w:r>
      <w:r w:rsidR="007D0EDA">
        <w:rPr>
          <w:rFonts w:ascii="Times New Roman" w:eastAsia="Times New Roman" w:hAnsi="Times New Roman" w:cs="Times New Roman"/>
          <w:sz w:val="24"/>
          <w:szCs w:val="24"/>
        </w:rPr>
        <w:instrText xml:space="preserve"> ADDIN ZOTERO_ITEM CSL_CITATION {"citationID":"GEh30bTI","properties":{"formattedCitation":"(Li et al., 2023)","plainCitation":"(Li et al., 2023)","dontUpdate":true,"noteIndex":0},"citationItems":[{"id":209,"uris":["http://zotero.org/users/local/AJmTDxS7/items/D4JLRH4C"],"itemData":{"id":209,"type":"article-journal","abstract":"Clear cell renal cell carcinomas (ccRCCs) represent </w:instrText>
      </w:r>
      <w:r w:rsidR="007D0EDA">
        <w:rPr>
          <w:rFonts w:ascii="Cambria Math" w:eastAsia="Times New Roman" w:hAnsi="Cambria Math" w:cs="Cambria Math"/>
          <w:sz w:val="24"/>
          <w:szCs w:val="24"/>
        </w:rPr>
        <w:instrText>∼</w:instrText>
      </w:r>
      <w:r w:rsidR="007D0EDA">
        <w:rPr>
          <w:rFonts w:ascii="Times New Roman" w:eastAsia="Times New Roman" w:hAnsi="Times New Roman" w:cs="Times New Roman"/>
          <w:sz w:val="24"/>
          <w:szCs w:val="24"/>
        </w:rPr>
        <w:instrText xml:space="preserve">75% of RCC cases and account for most RCC-associated deaths. Inter- and intratumoral heterogeneity (ITH) results in varying prognosis and treatment outcomes. To obtain the most comprehensive profile of ccRCC, we perform integrative histopathologic, proteogenomic, and metabolomic analyses on 305 ccRCC tumor segments and 166 paired adjacent normal tissues from 213 cases. Combining histologic and molecular profiles reveals ITH in 90% of ccRCCs, with 50% demonstrating immune signature heterogeneity. High tumor grade, along with BAP1 mutation, genome instability, increased hypermethylation, and a specific protein glycosylation signature define a high-risk disease subset, where UCHL1 expression displays prognostic value. Single-nuclei RNA sequencing of the adverse sarcomatoid and rhabdoid phenotypes uncover gene signatures and potential insights into tumor evolution. In vitro cell line studies confirm the potential of inhibiting identified phosphoproteome targets. This study molecularly stratifies aggressive histopathologic subtypes that may inform more effective treatment strategies.","container-title":"Cancer Cell","DOI":"10.1016/j.ccell.2022.12.001","ISSN":"1535-6108","issue":"1","journalAbbreviation":"Cancer Cell","page":"139-163.e17","source":"ScienceDirect","title":"Histopathologic and proteogenomic heterogeneity reveals features of clear cell renal cell carcinoma aggressiveness","volume":"41","author":[{"family":"Li","given":"Yize"},{"family":"Lih","given":"Tung-Shing M."},{"family":"Dhanasekaran","given":"Saravana M."},{"family":"Mannan","given":"Rahul"},{"family":"Chen","given":"Lijun"},{"family":"Cieslik","given":"Marcin"},{"family":"Wu","given":"Yige"},{"family":"Lu","given":"Rita Jiu-Hsien"},{"family":"Clark","given":"David J."},{"family":"Kołodziejczak","given":"Iga"},{"family":"Hong","given":"Runyu"},{"family":"Chen","given":"Siqi"},{"family":"Zhao","given":"Yanyan"},{"family":"Chugh","given":"Seema"},{"family":"Caravan","given":"Wagma"},{"family":"Naser Al Deen","given":"Nataly"},{"family":"Hosseini","given":"Noshad"},{"family":"Newton","given":"Chelsea J."},{"family":"Krug","given":"Karsten"},{"family":"Xu","given":"Yuanwei"},{"family":"Cho","given":"Kyung-Cho"},{"family":"Hu","given":"Yingwei"},{"family":"Zhang","given":"Yuping"},{"family":"Kumar-Sinha","given":"Chandan"},{"family":"Ma","given":"Weiping"},{"family":"Calinawan","given":"Anna"},{"family":"Wyczalkowski","given":"Matthew A."},{"family":"Wendl","given":"Michael C."},{"family":"Wang","given":"Yuefan"},{"family":"Guo","given":"Shenghao"},{"family":"Zhang","given":"Cissy"},{"family":"Le","given":"Anne"},{"family":"Dagar","given":"Aniket"},{"family":"Hopkins","given":"Alex"},{"family":"Cho","given":"Hanbyul"},{"family":"Leprevost","given":"Felipe da Veiga"},{"family":"Jing","given":"Xiaojun"},{"family":"Teo","given":"Guo Ci"},{"family":"Liu","given":"Wenke"},{"family":"Reimers","given":"Melissa A."},{"family":"Pachynski","given":"Russell"},{"family":"Lazar","given":"Alexander J."},{"family":"Chinnaiyan","given":"Arul M."},{"family":"Van Tine","given":"Brian A."},{"family":"Zhang","given":"Bing"},{"family":"Rodland","given":"Karin D."},{"family":"Getz","given":"Gad"},{"family":"Mani","given":"D. R."},{"family":"Wang","given":"Pei"},{"family":"Chen","given":"Feng"},{"family":"Hostetter","given":"Galen"},{"family":"Thiagarajan","given":"Mathangi"},{"family":"Linehan","given":"W. Marston"},{"family":"Fenyö","given":"David"},{"family":"Jewell","given":"Scott D."},{"family":"Omenn","given":"Gilbert S."},{"family":"Mehra","given":"Rohit"},{"family":"Wiznerowicz","given":"Maciej"},{"family":"Robles","given":"Ana I."},{"family":"Mesri","given":"Mehdi"},{"family":"Hiltke","given":"Tara"},{"family":"An","given":"Eunkyung"},{"family":"Rodriguez","given":"Henry"},{"family":"Chan","given":"Daniel W."},{"family":"Ricketts","given":"Christopher J."},{"family":"Nesvizhskii","given":"Alexey I."},{"family":"Zhang","given":"Hui"},{"family":"Ding","given":"Li"},{"family":"Francis","given":"Alicia"},{"family":"Paulovich","given":"Amanda G."},{"family":"Antczak","given":"Andrzej"},{"family":"Green","given":"Anthony"},{"family":"Colaprico","given":"Antonio"},{"family":"Hakimi","given":"Ari"},{"family":"Pruetz","given":"Barb"},{"family":"Hindenach","given":"Barbara"},{"family":"Yadav","given":"Birendra Kumar"},{"family":"Reva","given":"Boris"},{"family":"Fevrier-Sullivan","given":"Brenda"},{"family":"Druker","given":"Brian J."},{"family":"Szczylik","given":"Cezary"},{"family":"Goldthwaite","given":"Charles A."},{"family":"Birger","given":"Chet"},{"family":"Jones","given":"Corbin D."},{"family":"Rohrer","given":"Daniel C."},{"family":"Tansil","given":"Darlene"},{"family":"Chesla","given":"David"},{"family":"Heiman","given":"David"},{"family":"Duffy","given":"Elizabeth"},{"family":"Schadt","given":"Eri E."},{"family":"Petralia","given":"Francesca"},{"family":"Bromiński","given":"Gabriel"},{"family":"Quiroga-Garza","given":"Gabriela M."},{"family":"Wilson","given":"George D."},{"family":"Li","given":"Ginny Xiaohe"},{"family":"Zhao","given":"Grace"},{"family":"Hsiao","given":"Yi"},{"family":"Hsieh","given":"James"},{"family":"Lubiński","given":"Jan"},{"family":"Bavarva","given":"Jasmin"},{"family":"Huang","given":"Jasmine"},{"family":"Hafron","given":"Jason"},{"family":"Eschbacher","given":"Jennifer"},{"family":"Hon","given":"Jennifer"},{"family":"Francis","given":"Jesse"},{"family":"Freymann","given":"John"},{"family":"Vo","given":"Josh"},{"family":"Wang","given":"Joshua"},{"family":"Kirby","given":"Justin"},{"family":"Zaalishvili","given":"Kakhaber"},{"family":"Ketchum","given":"Karen A."},{"family":"Hoadley","given":"Katherine A."},{"family":"Um","given":"Ki Sung"},{"family":"Qi","given":"Liqun"},{"family":"Domagalski","given":"Marcin J."},{"family":"Tobin","given":"Matt"},{"family":"Dyer","given":"Maureen"},{"family":"Anurag","given":"Meenakshi"},{"family":"Borucki","given":"Melissa"},{"family":"Gillette","given":"Michael A."},{"family":"Birrer","given":"Michael J."},{"family":"Ittmann","given":"Michael M."},{"family":"Roehrl","given":"Michael H."},{"family":"Schnaubelt","given":"Michael"},{"family":"Smith","given":"Michael"},{"family":"Fam","given":"Mina"},{"family":"Roche","given":"Nancy"},{"family":"Vatanian","given":"Negin"},{"family":"Maunganidze","given":"Nicollette"},{"family":"Potapova","given":"Olga"},{"family":"Paklina","given":"Oxana V."},{"family":"VanderKolk","given":"Pamela"},{"family":"Castro","given":"Patricia"},{"family":"Kurzawa","given":"Paweł"},{"family":"Hariharan","given":"Pushpa"},{"family":"Li","given":"Qin"},{"family":"Li","given":"Qing Kay"},{"family":"Dhir","given":"Rajiv"},{"family":"Thangudu","given":"Ratna R."},{"family":"Montgomery","given":"Rebecca"},{"family":"Smith","given":"Richard D."},{"family":"Mareedu","given":"Sailaja"},{"family":"Payne","given":"Samuel H."},{"family":"Cerda","given":"Sandra"},{"family":"Cottingham","given":"Sandra"},{"family":"Haynes","given":"Sarah"},{"family":"Satpathy","given":"Shankha"},{"family":"Richey","given":"Shannon"},{"family":"Singh","given":"Shilpi"},{"family":"Tsang","given":"Shirley X."},{"family":"Cai","given":"Shuang"},{"family":"Cao","given":"Song"},{"family":"Gabriel","given":"Stacey"},{"family":"Carr","given":"Steven A."},{"family":"Liu","given":"Tao"},{"family":"Bauer","given":"Thomas"},{"family":"Le","given":"Toan"},{"family":"Chen","given":"Xi S."},{"family":"Zhang","given":"Xu"},{"family":"Shutack","given":"Yvonne"},{"family":"Zhang","given":"Zhen"}],"issued":{"date-parts":[["2023",1,9]]}}}],"schema":"https://github.com/citation-style-language/schema/raw/master/csl-citation.json"} </w:instrText>
      </w:r>
      <w:r w:rsidR="00DA218E">
        <w:rPr>
          <w:rFonts w:ascii="Times New Roman" w:eastAsia="Times New Roman" w:hAnsi="Times New Roman" w:cs="Times New Roman"/>
          <w:sz w:val="24"/>
          <w:szCs w:val="24"/>
        </w:rPr>
        <w:fldChar w:fldCharType="separate"/>
      </w:r>
      <w:r w:rsidR="00E8724D">
        <w:t xml:space="preserve"> (</w:t>
      </w:r>
      <w:r w:rsidR="00F036B5" w:rsidRPr="00F036B5">
        <w:rPr>
          <w:rFonts w:ascii="Times New Roman" w:hAnsi="Times New Roman" w:cs="Times New Roman"/>
          <w:sz w:val="24"/>
        </w:rPr>
        <w:t>Li et al., 2023</w:t>
      </w:r>
      <w:r w:rsidR="00E8724D">
        <w:rPr>
          <w:rFonts w:ascii="Times New Roman" w:hAnsi="Times New Roman" w:cs="Times New Roman"/>
          <w:sz w:val="24"/>
        </w:rPr>
        <w:t>)</w:t>
      </w:r>
      <w:r w:rsidR="00F036B5" w:rsidRPr="00F036B5">
        <w:rPr>
          <w:rFonts w:ascii="Times New Roman" w:hAnsi="Times New Roman" w:cs="Times New Roman"/>
          <w:sz w:val="24"/>
        </w:rPr>
        <w:t xml:space="preserve"> Histopathologic and proteogenomic heterogeneity reveals features of clear cell renal cell carcinoma aggressiveness. Cancer Cell, 41(1), 139-163.e17. https://doi.org/10.1016/j.ccell.2022.12.001</w:t>
      </w:r>
      <w:r w:rsidR="00DA218E" w:rsidRPr="00DA218E">
        <w:rPr>
          <w:rFonts w:ascii="Times New Roman" w:hAnsi="Times New Roman" w:cs="Times New Roman"/>
          <w:sz w:val="24"/>
        </w:rPr>
        <w:t>)</w:t>
      </w:r>
      <w:r w:rsidR="00DA218E">
        <w:rPr>
          <w:rFonts w:ascii="Times New Roman" w:eastAsia="Times New Roman" w:hAnsi="Times New Roman" w:cs="Times New Roman"/>
          <w:sz w:val="24"/>
          <w:szCs w:val="24"/>
        </w:rPr>
        <w:fldChar w:fldCharType="end"/>
      </w:r>
    </w:p>
    <w:p w14:paraId="33CBA231" w14:textId="46B733D0" w:rsidR="003A2AF9" w:rsidRDefault="003A2AF9" w:rsidP="00335E34">
      <w:pPr>
        <w:jc w:val="both"/>
      </w:pPr>
    </w:p>
    <w:p w14:paraId="06B8ACD0" w14:textId="64A94034" w:rsidR="00426978" w:rsidRDefault="00426978" w:rsidP="00335E34">
      <w:pPr>
        <w:pStyle w:val="Heading3"/>
        <w:jc w:val="both"/>
      </w:pPr>
      <w:r>
        <w:rPr>
          <w:rStyle w:val="Strong"/>
          <w:b/>
          <w:bCs/>
        </w:rPr>
        <w:t>3. Multi-Omics Approaches: An Integrated Lens</w:t>
      </w:r>
      <w:r>
        <w:t xml:space="preserve"> </w:t>
      </w:r>
    </w:p>
    <w:p w14:paraId="48951798" w14:textId="508DC346" w:rsidR="007D3C03" w:rsidRPr="00DA218E" w:rsidRDefault="00030FA4" w:rsidP="00DA218E">
      <w:pPr>
        <w:pStyle w:val="NormalWeb"/>
        <w:jc w:val="both"/>
      </w:pPr>
      <w:r>
        <w:t>Analytical techniques that go beyond the constraints of single-</w:t>
      </w:r>
      <w:r w:rsidR="00C269A5">
        <w:t>omics</w:t>
      </w:r>
      <w:r>
        <w:t xml:space="preserve"> profiling are required due to the multifaceted complexity of cancer. To present a thorough molecular picture of malignancies, multi-omics involves the systematic integration of data from several biological layers, from the genome to the metabolome. Multi-omics integration can be defined by two main strategies: vertical integration, which connects various layers across the molecular cascade (e.g., DNA mutations influencing RNA expression and downstream protein activity), and horizontal integration, which combines data from the same </w:t>
      </w:r>
      <w:r w:rsidR="00C269A5">
        <w:t>omics</w:t>
      </w:r>
      <w:r>
        <w:t xml:space="preserve"> level but different platforms or modalities (e.g., bulk RNA-seq with single-cell RNA-seq to capture population and cellular resolution). The latter approach offers a systems biology perspective</w:t>
      </w:r>
      <w:r w:rsidR="001E2A18">
        <w:fldChar w:fldCharType="begin"/>
      </w:r>
      <w:r w:rsidR="001E2A18">
        <w:instrText xml:space="preserve"> ADDIN ZOTERO_ITEM CSL_CITATION {"citationID":"DXqPYf2d","properties":{"formattedCitation":"(Cai et al., 2022)","plainCitation":"(Cai et al., 2022)","noteIndex":0},"citationItems":[{"id":46,"uris":["http://zotero.org/users/local/AJmTDxS7/items/SD37PXR6"],"itemData":{"id":46,"type":"article-journal","abstract":"Multi-omics data analysis is an important aspect of cancer molecular biology studies and has led to ground-breaking discoveries. Many efforts have been made to develop machine learning methods that automatically integrate omics data. Here, we review machine learning tools categorized as either general-purpose or task-specific, covering both supervised and unsupervised learning for integrative analysis of multi-omics data. We benchmark the performance of five machine learning approaches using data from the Cancer Cell Line Encyclopedia, reporting accuracy on cancer type classification and mean absolute error on drug response prediction, and evaluating runtime efficiency. This review provides recommendations to researchers regarding suitable machine learning method selection for their specific applications. It should also promote the development of novel machine learning methodologies for data integration, which will be essential for drug discovery, clinical trial design, and personalized treatments.","container-title":"iScience","DOI":"10.1016/j.isci.2022.103798","ISSN":"2589-0042","issue":"2","journalAbbreviation":"iScience","page":"103798","source":"ScienceDirect","title":"Machine learning for multi-omics data integration in cancer","volume":"25","author":[{"family":"Cai","given":"Zhaoxiang"},{"family":"Poulos","given":"Rebecca C."},{"family":"Liu","given":"Jia"},{"family":"Zhong","given":"Qing"}],"issued":{"date-parts":[["2022",2,18]]}}}],"schema":"https://github.com/citation-style-language/schema/raw/master/csl-citation.json"} </w:instrText>
      </w:r>
      <w:r w:rsidR="001E2A18">
        <w:fldChar w:fldCharType="separate"/>
      </w:r>
      <w:r w:rsidR="001E2A18" w:rsidRPr="001E2A18">
        <w:t>(Cai et al., 2022)</w:t>
      </w:r>
      <w:r w:rsidR="001E2A18">
        <w:fldChar w:fldCharType="end"/>
      </w:r>
      <w:r>
        <w:t>.</w:t>
      </w:r>
      <w:r w:rsidR="00DA218E">
        <w:t xml:space="preserve"> </w:t>
      </w:r>
      <w:r>
        <w:t>Understanding tumor biology is supported by the distinct contributions of each omics layer. Single nucleotide variations (SNVs), copy number variations (CNVs), and structural rearrangements are aspects of the fundamental mutational architecture that are captured by genomics. The patterns of clonal evolution and oncogenic drivers are identified by this layer</w:t>
      </w:r>
      <w:r w:rsidR="001E2A18">
        <w:fldChar w:fldCharType="begin"/>
      </w:r>
      <w:r w:rsidR="001E2A18">
        <w:instrText xml:space="preserve"> ADDIN ZOTERO_ITEM CSL_CITATION {"citationID":"Gbk0LBFB","properties":{"formattedCitation":"(Ortega-Batista et al., 2025)","plainCitation":"(Ortega-Batista et al., 2025)","noteIndex":0},"citationItems":[{"id":51,"uris":["http://zotero.org/users/local/AJmTDxS7/items/SAKHD3D3"],"itemData":{"id":51,"type":"article-journal","abstract":"This article reviews the impact of single-cell sequencing (SCS) on cancer biology research. SCS has revolutionized our understanding of cancer and tumor heterogeneity, clonal evolution, and the complex interplay between cancer cells and tumor microenvironment. SCS provides high-resolution profiling of individual cells in genomic, transcriptomic, and epigenomic landscapes, facilitating the detection of rare mutations, the characterization of cellular diversity, and the integration of molecular data with phenotypic traits. The integration of SCS with multi-omics has provided a multidimensional view of cellular states and regulatory mechanisms in cancer, uncovering novel regulatory mechanisms and therapeutic targets. Advances in computational tools, artificial intelligence (AI), and machine learning have been crucial in interpreting the vast amounts of data generated, leading to the identification of new biomarkers and the development of predictive models for patient stratification. Furthermore, there have been emerging technologies such as spatial transcriptomics and in situ sequencing, which promise to further enhance our understanding of tumor microenvironment organization and cellular interactions. As SCS and its related technologies continue to advance, they are expected to drive significant advances in personalized cancer diagnostics, prognosis, and therapy, ultimately improving patient outcomes in the era of precision oncology.","container-title":"International Journal of Molecular Sciences","DOI":"10.3390/ijms26052074","ISSN":"1422-0067","issue":"5","language":"en","license":"http://creativecommons.org/licenses/by/3.0/","note":"number: 5\npublisher: Multidisciplinary Digital Publishing Institute","page":"2074","source":"www.mdpi.com","title":"Single-Cell Sequencing: Genomic and Transcriptomic Approaches in Cancer Cell Biology","title-short":"Single-Cell Sequencing","volume":"26","author":[{"family":"Ortega-Batista","given":"Ana"},{"family":"Jaén-Alvarado","given":"Yanelys"},{"family":"Moreno-Labrador","given":"Dilan"},{"family":"Gómez","given":"Natasha"},{"family":"García","given":"Gabriela"},{"family":"Guerrero","given":"Erika N."}],"issued":{"date-parts":[["2025",1]]}}}],"schema":"https://github.com/citation-style-language/schema/raw/master/csl-citation.json"} </w:instrText>
      </w:r>
      <w:r w:rsidR="001E2A18">
        <w:fldChar w:fldCharType="separate"/>
      </w:r>
      <w:r w:rsidR="001E2A18" w:rsidRPr="001E2A18">
        <w:t>(Ortega-Batista et al., 2025)</w:t>
      </w:r>
      <w:r w:rsidR="001E2A18">
        <w:fldChar w:fldCharType="end"/>
      </w:r>
      <w:r>
        <w:t>. Heritable but reversible changes like DNA methylation, histone modifications, and chromatin accessibility are revealed by epigenomics, and techniques like ATAC-seq shed light on the regulatory environment and transcriptional potential of tumor cells. With single-cell RNA-seq (</w:t>
      </w:r>
      <w:proofErr w:type="spellStart"/>
      <w:r>
        <w:t>scRNA</w:t>
      </w:r>
      <w:proofErr w:type="spellEnd"/>
      <w:r>
        <w:t xml:space="preserve">-seq) collecting cell-specific expression and isoform variety, revealing </w:t>
      </w:r>
      <w:proofErr w:type="spellStart"/>
      <w:r>
        <w:t>subclonal</w:t>
      </w:r>
      <w:proofErr w:type="spellEnd"/>
      <w:r>
        <w:t xml:space="preserve"> states and plasticity, and bulk RNA-seq providing averaged profiles, transcriptomics represents dynamic gene expression programs</w:t>
      </w:r>
      <w:r w:rsidR="001E2A18">
        <w:fldChar w:fldCharType="begin"/>
      </w:r>
      <w:r w:rsidR="001E2A18">
        <w:instrText xml:space="preserve"> ADDIN ZOTERO_ITEM CSL_CITATION {"citationID":"iMxNxHAz","properties":{"formattedCitation":"(Carter &amp; Zhao, 2021)","plainCitation":"(Carter &amp; Zhao, 2021)","noteIndex":0},"citationItems":[{"id":53,"uris":["http://zotero.org/users/local/AJmTDxS7/items/VHJWSGAL"],"itemData":{"id":53,"type":"article-journal","abstract":"Single-cell sequencing-based methods for profiling gene transcript levels have revealed substantial heterogeneity in expression levels among morphologically indistinguishable cells. This variability has important functional implications for tissue biology and disease states such as cancer. Mapping of epigenomic information such as chromatin accessibility, nucleosome positioning, histone tail modifications and enhancer–promoter interactions in both bulk-cell and single-cell samples has shown that these characteristics of chromatin state contribute to expression or repression of associated genes. Advances in single-cell epigenomic profiling methods are enabling high-resolution mapping of chromatin states in individual cells. Recent studies using these techniques provide evidence that variations in different aspects of chromatin organization collectively define gene expression heterogeneity among otherwise highly similar cells.","container-title":"Nature reviews. Genetics","DOI":"10.1038/s41576-020-00300-0","ISSN":"1471-0056","issue":"4","journalAbbreviation":"Nat Rev Genet","note":"PMID: 33244170\nPMCID: PMC10880028","page":"235-250","source":"PubMed Central","title":"The epigenetic basis of cellular heterogeneity","volume":"22","author":[{"family":"Carter","given":"Benjamin"},{"family":"Zhao","given":"Keji"}],"issued":{"date-parts":[["2021",4]]}}}],"schema":"https://github.com/citation-style-language/schema/raw/master/csl-citation.json"} </w:instrText>
      </w:r>
      <w:r w:rsidR="001E2A18">
        <w:fldChar w:fldCharType="separate"/>
      </w:r>
      <w:r w:rsidR="001E2A18" w:rsidRPr="001E2A18">
        <w:t>(Carter &amp; Zhao, 2021)</w:t>
      </w:r>
      <w:r w:rsidR="001E2A18">
        <w:fldChar w:fldCharType="end"/>
      </w:r>
      <w:r>
        <w:t>.</w:t>
      </w:r>
      <w:r w:rsidR="00DA218E">
        <w:t xml:space="preserve"> </w:t>
      </w:r>
      <w:r w:rsidRPr="00030FA4">
        <w:rPr>
          <w:rStyle w:val="Strong"/>
          <w:b w:val="0"/>
          <w:bCs w:val="0"/>
        </w:rPr>
        <w:t>This knowledge is further enhanced by proteomics, which measures protein abundance, post-</w:t>
      </w:r>
      <w:r w:rsidRPr="00DA218E">
        <w:rPr>
          <w:rStyle w:val="Strong"/>
          <w:b w:val="0"/>
          <w:bCs w:val="0"/>
        </w:rPr>
        <w:t xml:space="preserve">translational modifications (PTMs), and signaling network dynamics, usually using methods based on mass spectrometry. The direct impact of proteins on cellular function and pharmacological targets makes this layer crucial. Metabolomics, the last layer of the </w:t>
      </w:r>
      <w:r w:rsidR="00C269A5" w:rsidRPr="00DA218E">
        <w:rPr>
          <w:rStyle w:val="Strong"/>
          <w:b w:val="0"/>
          <w:bCs w:val="0"/>
        </w:rPr>
        <w:t>omics</w:t>
      </w:r>
      <w:r w:rsidRPr="00DA218E">
        <w:rPr>
          <w:rStyle w:val="Strong"/>
          <w:b w:val="0"/>
          <w:bCs w:val="0"/>
        </w:rPr>
        <w:t xml:space="preserve"> cascade, records metabolic fluxes and rewiring processes, such as the Warburg effect and modifications in the metabolism of lipids and amino acids that support tumor growth and survival in stressful situations</w:t>
      </w:r>
      <w:r w:rsidR="001E2A18" w:rsidRPr="00DA218E">
        <w:rPr>
          <w:rStyle w:val="Strong"/>
          <w:b w:val="0"/>
          <w:bCs w:val="0"/>
        </w:rPr>
        <w:fldChar w:fldCharType="begin"/>
      </w:r>
      <w:r w:rsidR="001E2A18" w:rsidRPr="00DA218E">
        <w:rPr>
          <w:rStyle w:val="Strong"/>
          <w:b w:val="0"/>
          <w:bCs w:val="0"/>
        </w:rPr>
        <w:instrText xml:space="preserve"> ADDIN ZOTERO_ITEM CSL_CITATION {"citationID":"FoxQ1kwd","properties":{"formattedCitation":"(Birhanu, 2023)","plainCitation":"(Birhanu, 2023)","noteIndex":0},"citationItems":[{"id":55,"uris":["http://zotero.org/users/local/AJmTDxS7/items/WQZUGQZW"],"itemData":{"id":55,"type":"article-journal","abstract":"Mass spectrometry (MS)-based proteomics have been increasingly implemented in various disciplines of laboratory medicine to identify and quantify biomolecules in a variety of biological specimens. MS-based proteomics is continuously expanding and widely applied in biomarker discovery for early detection, prognosis and markers for treatment response prediction and monitoring. Furthermore, making these advanced tests more accessible and affordable will have the greatest healthcare benefit., This review article highlights the new paradigms MS-based clinical proteomics has created in microbiology laboratories, cancer research and diagnosis of metabolic disorders. The technique is preferred over conventional methods in disease detection and therapy monitoring for its combined advantages in multiplexing capacity, remarkable analytical specificity and sensitivity and low turnaround time., Despite the achievements in the development and adoption of a number of MS-based clinical proteomics practices, more are expected to undergo transition from bench to bedside in the near future. The review provides insights from early trials and recent progresses (mainly covering literature from the NCBI database) in the application of proteomics in clinical laboratories.","container-title":"Clinical Proteomics","DOI":"10.1186/s12014-023-09424-x","ISSN":"1542-6416","journalAbbreviation":"Clin Proteomics","note":"PMID: 37633929\nPMCID: PMC10464495","page":"32","source":"PubMed Central","title":"Mass spectrometry-based proteomics as an emerging tool in clinical laboratories","volume":"20","author":[{"family":"Birhanu","given":"Alemayehu Godana"}],"issued":{"date-parts":[["2023",8,26]]}}}],"schema":"https://github.com/citation-style-language/schema/raw/master/csl-citation.json"} </w:instrText>
      </w:r>
      <w:r w:rsidR="001E2A18" w:rsidRPr="00DA218E">
        <w:rPr>
          <w:rStyle w:val="Strong"/>
          <w:b w:val="0"/>
          <w:bCs w:val="0"/>
        </w:rPr>
        <w:fldChar w:fldCharType="separate"/>
      </w:r>
      <w:r w:rsidR="001E2A18" w:rsidRPr="00DA218E">
        <w:t>(Birhanu, 2023)</w:t>
      </w:r>
      <w:r w:rsidR="001E2A18" w:rsidRPr="00DA218E">
        <w:rPr>
          <w:rStyle w:val="Strong"/>
          <w:b w:val="0"/>
          <w:bCs w:val="0"/>
        </w:rPr>
        <w:fldChar w:fldCharType="end"/>
      </w:r>
      <w:r w:rsidRPr="00DA218E">
        <w:rPr>
          <w:rStyle w:val="Strong"/>
          <w:b w:val="0"/>
          <w:bCs w:val="0"/>
        </w:rPr>
        <w:t>.</w:t>
      </w:r>
      <w:r w:rsidR="00DA218E">
        <w:rPr>
          <w:rStyle w:val="Strong"/>
          <w:b w:val="0"/>
          <w:bCs w:val="0"/>
        </w:rPr>
        <w:t xml:space="preserve"> </w:t>
      </w:r>
      <w:r w:rsidR="002257A9" w:rsidRPr="00DA218E">
        <w:t xml:space="preserve">It takes advanced computational frameworks to integrate such complex datasets. In order to identify functional modules and regulatory hubs, network-based techniques, such as multi-layered or multiplex networks, map interactions across </w:t>
      </w:r>
      <w:r w:rsidR="00C269A5" w:rsidRPr="00DA218E">
        <w:t>omics</w:t>
      </w:r>
      <w:r w:rsidR="002257A9" w:rsidRPr="00DA218E">
        <w:t xml:space="preserve"> layer</w:t>
      </w:r>
      <w:r w:rsidR="00C06D7B">
        <w:t>s</w:t>
      </w:r>
      <w:r w:rsidR="002257A9" w:rsidRPr="00DA218E">
        <w:t xml:space="preserve">. Particularly in high-dimensional, sparse datasets, machine learning and artificial intelligence facilitate feature selection, pattern recognition, and predictive modeling. Probabilistic and unsupervised techniques for identifying latent structures and shared variation across datasets are provided by Bayesian frameworks and matrix factorization techniques (e.g., </w:t>
      </w:r>
      <w:proofErr w:type="spellStart"/>
      <w:r w:rsidR="002257A9" w:rsidRPr="00DA218E">
        <w:t>iCluster</w:t>
      </w:r>
      <w:proofErr w:type="spellEnd"/>
      <w:r w:rsidR="002257A9" w:rsidRPr="00DA218E">
        <w:t>, MOFA). When combined, these integrative approaches provide a potent toolkit for revealing the emergent characteristics of malignancies and advancing precision oncology</w:t>
      </w:r>
      <w:r w:rsidR="001E2A18" w:rsidRPr="00DA218E">
        <w:fldChar w:fldCharType="begin"/>
      </w:r>
      <w:r w:rsidR="001E2A18" w:rsidRPr="00DA218E">
        <w:instrText xml:space="preserve"> ADDIN ZOTERO_ITEM CSL_CITATION {"citationID":"TW5JZEhA","properties":{"formattedCitation":"(W\\uc0\\u246{}rheide et al., 2021)","plainCitation":"(Wörheide et al., 2021)","noteIndex":0},"citationItems":[{"id":58,"uris":["http://zotero.org/users/local/AJmTDxS7/items/ZPKQAKF8"],"itemData":{"id":58,"type":"article-journal","abstract":"Recent advances in high-throughput technologies have enabled the profiling of multiple layers of a biological system, including DNA sequence data (genomics), RNA expression levels (transcriptomics), and metabolite levels (metabolomics). This has led to the generation of vast amounts of biological data that can be integrated in so-called multi-omics studies to examine the complex molecular underpinnings of health and disease. Integrative analysis of such datasets is not straightforward and is particularly complicated by the high dimensionality and heterogeneity of the data and by the lack of universal analysis protocols. Previous reviews have discussed various strategies to address the challenges of data integration, elaborating on specific aspects, such as network inference or feature selection techniques. Thereby, the main focus has been on the integration of two omics layers in their relation to a phenotype of interest. In this review we provide an overview over a typical multi-omics workflow, focusing on integration methods that have the potential to combine metabolomics data with two or more omics. We discuss multiple integration concepts including data-driven, knowledge-based, simultaneous and step-wise approaches. We highlight the application of these methods in recent multi-omics studies, including large-scale integration efforts aiming at a global depiction of the complex relationships within and between different biological layers without focusing on a particular phenotype.","container-title":"Analytica chimica acta","DOI":"10.1016/j.aca.2020.10.038","ISSN":"0003-2670","journalAbbreviation":"Anal Chim Acta","note":"PMID: 33248648\nPMCID: PMC7701361","page":"144-162","source":"PubMed Central","title":"Multi-omics integration in biomedical research – A metabolomics-centric review","volume":"1141","author":[{"family":"Wörheide","given":"Maria A."},{"family":"Krumsiek","given":"Jan"},{"family":"Kastenmüller","given":"Gabi"},{"family":"Arnold","given":"Matthias"}],"issued":{"date-parts":[["2021",1,2]]}}}],"schema":"https://github.com/citation-style-language/schema/raw/master/csl-citation.json"} </w:instrText>
      </w:r>
      <w:r w:rsidR="001E2A18" w:rsidRPr="00DA218E">
        <w:fldChar w:fldCharType="separate"/>
      </w:r>
      <w:r w:rsidR="001E2A18" w:rsidRPr="00DA218E">
        <w:t>(</w:t>
      </w:r>
      <w:proofErr w:type="spellStart"/>
      <w:r w:rsidR="001E2A18" w:rsidRPr="00DA218E">
        <w:t>Wörheide</w:t>
      </w:r>
      <w:proofErr w:type="spellEnd"/>
      <w:r w:rsidR="001E2A18" w:rsidRPr="00DA218E">
        <w:t xml:space="preserve"> et al., 2021)</w:t>
      </w:r>
      <w:r w:rsidR="001E2A18" w:rsidRPr="00DA218E">
        <w:fldChar w:fldCharType="end"/>
      </w:r>
      <w:r w:rsidR="002257A9" w:rsidRPr="00DA218E">
        <w:t>.</w:t>
      </w:r>
      <w:r w:rsidR="00DA218E">
        <w:t xml:space="preserve"> </w:t>
      </w:r>
      <w:r w:rsidR="002257A9" w:rsidRPr="00DA218E">
        <w:t>The integrated multi-omics pathway used for thorough tumor profiling, from sample collection to data integration and computational modeling, is simplified in Figure 2.</w:t>
      </w:r>
    </w:p>
    <w:p w14:paraId="1B52014A" w14:textId="1AB70640" w:rsidR="00426978" w:rsidRDefault="007D3C03" w:rsidP="00335E34">
      <w:pPr>
        <w:pStyle w:val="NormalWeb"/>
        <w:jc w:val="both"/>
      </w:pPr>
      <w:r>
        <w:t xml:space="preserve"> </w:t>
      </w:r>
    </w:p>
    <w:p w14:paraId="5CC52F58" w14:textId="6432BBF7" w:rsidR="00F036B5" w:rsidRPr="00F036B5" w:rsidRDefault="007D3C03" w:rsidP="00F036B5">
      <w:pPr>
        <w:pStyle w:val="Bibliography"/>
        <w:rPr>
          <w:rFonts w:ascii="Times New Roman" w:eastAsia="Times New Roman" w:hAnsi="Times New Roman" w:cs="Times New Roman"/>
          <w:sz w:val="24"/>
          <w:szCs w:val="24"/>
        </w:rPr>
      </w:pPr>
      <w:r>
        <w:rPr>
          <w:noProof/>
        </w:rPr>
        <w:lastRenderedPageBreak/>
        <w:drawing>
          <wp:inline distT="0" distB="0" distL="0" distR="0" wp14:anchorId="601700A5" wp14:editId="1E2EE360">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tGPT Image Jun 24, 2025, 06_49_41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rFonts w:ascii="Times New Roman" w:eastAsia="Times New Roman" w:hAnsi="Times New Roman" w:cs="Times New Roman"/>
          <w:b/>
          <w:bCs/>
          <w:sz w:val="24"/>
          <w:szCs w:val="24"/>
        </w:rPr>
        <w:t>Figure 2. Integrated Multi-Omics Pipeline for Tumor Profiling</w:t>
      </w:r>
      <w:r>
        <w:rPr>
          <w:rFonts w:ascii="Times New Roman" w:eastAsia="Times New Roman" w:hAnsi="Times New Roman" w:cs="Times New Roman"/>
          <w:sz w:val="24"/>
          <w:szCs w:val="24"/>
        </w:rPr>
        <w:t xml:space="preserve">. This flowchart illustrates the multi-step pipeline for integrated tumor profiling using multi-omics approaches. The process begins with </w:t>
      </w:r>
      <w:r>
        <w:rPr>
          <w:rFonts w:ascii="Times New Roman" w:eastAsia="Times New Roman" w:hAnsi="Times New Roman" w:cs="Times New Roman"/>
          <w:b/>
          <w:bCs/>
          <w:sz w:val="24"/>
          <w:szCs w:val="24"/>
        </w:rPr>
        <w:t>sample acquisition</w:t>
      </w:r>
      <w:r>
        <w:rPr>
          <w:rFonts w:ascii="Times New Roman" w:eastAsia="Times New Roman" w:hAnsi="Times New Roman" w:cs="Times New Roman"/>
          <w:sz w:val="24"/>
          <w:szCs w:val="24"/>
        </w:rPr>
        <w:t xml:space="preserve"> from solid tumors or liquid biopsies, followed by </w:t>
      </w:r>
      <w:r>
        <w:rPr>
          <w:rFonts w:ascii="Times New Roman" w:eastAsia="Times New Roman" w:hAnsi="Times New Roman" w:cs="Times New Roman"/>
          <w:b/>
          <w:bCs/>
          <w:sz w:val="24"/>
          <w:szCs w:val="24"/>
        </w:rPr>
        <w:t>omics profiling</w:t>
      </w:r>
      <w:r>
        <w:rPr>
          <w:rFonts w:ascii="Times New Roman" w:eastAsia="Times New Roman" w:hAnsi="Times New Roman" w:cs="Times New Roman"/>
          <w:sz w:val="24"/>
          <w:szCs w:val="24"/>
        </w:rPr>
        <w:t xml:space="preserve"> across multiple layers: genomics (mutations, CNVs), epigenomics (DNA methylation, histone modifications), transcriptomics (gene expression), proteomics (proteins, PTMs), and metabolomics (metabolites). These diverse data types are then subjected to </w:t>
      </w:r>
      <w:r>
        <w:rPr>
          <w:rFonts w:ascii="Times New Roman" w:eastAsia="Times New Roman" w:hAnsi="Times New Roman" w:cs="Times New Roman"/>
          <w:b/>
          <w:bCs/>
          <w:sz w:val="24"/>
          <w:szCs w:val="24"/>
        </w:rPr>
        <w:t>computational analysis and modeling</w:t>
      </w:r>
      <w:r>
        <w:rPr>
          <w:rFonts w:ascii="Times New Roman" w:eastAsia="Times New Roman" w:hAnsi="Times New Roman" w:cs="Times New Roman"/>
          <w:sz w:val="24"/>
          <w:szCs w:val="24"/>
        </w:rPr>
        <w:t xml:space="preserve">, including network analysis, machine learning, and data visualization. Finally, </w:t>
      </w:r>
      <w:r>
        <w:rPr>
          <w:rFonts w:ascii="Times New Roman" w:eastAsia="Times New Roman" w:hAnsi="Times New Roman" w:cs="Times New Roman"/>
          <w:b/>
          <w:bCs/>
          <w:sz w:val="24"/>
          <w:szCs w:val="24"/>
        </w:rPr>
        <w:t>data integration</w:t>
      </w:r>
      <w:r>
        <w:rPr>
          <w:rFonts w:ascii="Times New Roman" w:eastAsia="Times New Roman" w:hAnsi="Times New Roman" w:cs="Times New Roman"/>
          <w:sz w:val="24"/>
          <w:szCs w:val="24"/>
        </w:rPr>
        <w:t xml:space="preserve"> frameworks synthesize insights across </w:t>
      </w:r>
      <w:r w:rsidR="00C269A5">
        <w:rPr>
          <w:rFonts w:ascii="Times New Roman" w:eastAsia="Times New Roman" w:hAnsi="Times New Roman" w:cs="Times New Roman"/>
          <w:sz w:val="24"/>
          <w:szCs w:val="24"/>
        </w:rPr>
        <w:t>omics</w:t>
      </w:r>
      <w:r>
        <w:rPr>
          <w:rFonts w:ascii="Times New Roman" w:eastAsia="Times New Roman" w:hAnsi="Times New Roman" w:cs="Times New Roman"/>
          <w:sz w:val="24"/>
          <w:szCs w:val="24"/>
        </w:rPr>
        <w:t xml:space="preserve"> layers to enable a systems-level view of tumor biol</w:t>
      </w:r>
      <w:r w:rsidR="00F036B5">
        <w:rPr>
          <w:rFonts w:ascii="Times New Roman" w:eastAsia="Times New Roman" w:hAnsi="Times New Roman" w:cs="Times New Roman"/>
          <w:sz w:val="24"/>
          <w:szCs w:val="24"/>
        </w:rPr>
        <w:t>o</w:t>
      </w:r>
      <w:r>
        <w:rPr>
          <w:rFonts w:ascii="Times New Roman" w:eastAsia="Times New Roman" w:hAnsi="Times New Roman" w:cs="Times New Roman"/>
          <w:sz w:val="24"/>
          <w:szCs w:val="24"/>
        </w:rPr>
        <w:t>gy</w:t>
      </w:r>
      <w:r w:rsidR="00F036B5">
        <w:rPr>
          <w:rFonts w:ascii="Times New Roman" w:eastAsia="Times New Roman" w:hAnsi="Times New Roman" w:cs="Times New Roman"/>
          <w:sz w:val="24"/>
          <w:szCs w:val="24"/>
        </w:rPr>
        <w:t>. (</w:t>
      </w:r>
      <w:r w:rsidR="00F036B5" w:rsidRPr="00F036B5">
        <w:rPr>
          <w:rFonts w:ascii="Times New Roman" w:eastAsia="Times New Roman" w:hAnsi="Times New Roman" w:cs="Times New Roman"/>
          <w:sz w:val="24"/>
          <w:szCs w:val="24"/>
        </w:rPr>
        <w:t>Heo et al., 2021</w:t>
      </w:r>
      <w:r w:rsidR="00F036B5">
        <w:rPr>
          <w:rFonts w:ascii="Times New Roman" w:eastAsia="Times New Roman" w:hAnsi="Times New Roman" w:cs="Times New Roman"/>
          <w:sz w:val="24"/>
          <w:szCs w:val="24"/>
        </w:rPr>
        <w:t xml:space="preserve">) </w:t>
      </w:r>
      <w:r w:rsidR="00F036B5" w:rsidRPr="00F036B5">
        <w:rPr>
          <w:rFonts w:ascii="Times New Roman" w:eastAsia="Times New Roman" w:hAnsi="Times New Roman" w:cs="Times New Roman"/>
          <w:sz w:val="24"/>
          <w:szCs w:val="24"/>
        </w:rPr>
        <w:t>Integrative Multi-Omics Approaches in Cancer Research: From Biological Networks to Clinical Subtypes. Molecules and Cells, 44(7), 433–443. https://doi.org/10.14348/molcells.2021.0042</w:t>
      </w:r>
    </w:p>
    <w:p w14:paraId="42C77452" w14:textId="13B635FD" w:rsidR="007D3C03" w:rsidRDefault="00F036B5" w:rsidP="00F036B5">
      <w:pPr>
        <w:pStyle w:val="Bibliography"/>
        <w:rPr>
          <w:rFonts w:ascii="Times New Roman" w:eastAsia="Times New Roman" w:hAnsi="Times New Roman" w:cs="Times New Roman"/>
          <w:sz w:val="24"/>
          <w:szCs w:val="24"/>
        </w:rPr>
      </w:pPr>
      <w:r w:rsidRPr="00F036B5">
        <w:rPr>
          <w:rFonts w:ascii="Times New Roman" w:eastAsia="Times New Roman" w:hAnsi="Times New Roman" w:cs="Times New Roman"/>
          <w:sz w:val="24"/>
          <w:szCs w:val="24"/>
        </w:rPr>
        <w:t>.</w:t>
      </w:r>
    </w:p>
    <w:p w14:paraId="132FB6DF" w14:textId="77777777" w:rsidR="00457C54" w:rsidRDefault="00457C54" w:rsidP="00335E34">
      <w:pPr>
        <w:pStyle w:val="NormalWeb"/>
        <w:jc w:val="both"/>
      </w:pPr>
    </w:p>
    <w:p w14:paraId="6AB79015" w14:textId="77777777" w:rsidR="00457C54" w:rsidRDefault="00457C54" w:rsidP="00335E34">
      <w:pPr>
        <w:pStyle w:val="NormalWeb"/>
        <w:jc w:val="both"/>
      </w:pPr>
    </w:p>
    <w:p w14:paraId="14996252" w14:textId="77777777" w:rsidR="00457C54" w:rsidRDefault="00457C54" w:rsidP="00335E34">
      <w:pPr>
        <w:pStyle w:val="NormalWeb"/>
        <w:jc w:val="both"/>
      </w:pPr>
    </w:p>
    <w:p w14:paraId="33919A12" w14:textId="77777777" w:rsidR="00457C54" w:rsidRDefault="00457C54" w:rsidP="00335E34">
      <w:pPr>
        <w:pStyle w:val="NormalWeb"/>
        <w:jc w:val="both"/>
      </w:pPr>
    </w:p>
    <w:p w14:paraId="2AEF9168" w14:textId="742E004F" w:rsidR="00A06549" w:rsidRPr="00457C54" w:rsidRDefault="00A06549" w:rsidP="00335E34">
      <w:pPr>
        <w:pStyle w:val="NormalWeb"/>
        <w:jc w:val="both"/>
        <w:rPr>
          <w:rStyle w:val="Strong"/>
          <w:b w:val="0"/>
          <w:bCs w:val="0"/>
        </w:rPr>
      </w:pPr>
      <w:r>
        <w:lastRenderedPageBreak/>
        <w:t xml:space="preserve">Below is </w:t>
      </w:r>
      <w:proofErr w:type="gramStart"/>
      <w:r>
        <w:t>a  concise</w:t>
      </w:r>
      <w:proofErr w:type="gramEnd"/>
      <w:r>
        <w:t xml:space="preserve"> overview of the core omics layers, associated technologies, and their respective biological contributions to tumor profiling is presented in Table</w:t>
      </w:r>
      <w:r w:rsidR="00457C54">
        <w:t xml:space="preserve"> 1:</w:t>
      </w:r>
      <w:r>
        <w:t xml:space="preserve"> </w:t>
      </w:r>
      <w:r w:rsidR="00457C54">
        <w:t xml:space="preserve">It </w:t>
      </w:r>
      <w:r>
        <w:t>highlight</w:t>
      </w:r>
      <w:r w:rsidR="00457C54">
        <w:t>s</w:t>
      </w:r>
      <w:r>
        <w:t xml:space="preserve"> how each dimension of molecular data enhances our understanding of cancer complexity and therapeutic response. This table provides an overview of the major omics layers involved in multi-omics studies</w:t>
      </w:r>
      <w:r w:rsidR="00457C54">
        <w:t xml:space="preserve"> </w:t>
      </w:r>
      <w:r>
        <w:t>genomics, epigenomics, transcriptomics, proteomics, and metabolomics</w:t>
      </w:r>
      <w:r w:rsidR="00457C54">
        <w:t xml:space="preserve"> </w:t>
      </w:r>
      <w:r>
        <w:t>alongside the primary technologies used to interrogate each layer. It also highlights the specific biological processes captured and the critical insights each layer contributes to understanding tumor heterogeneity, evolution, and therapy resistance.</w:t>
      </w:r>
      <w:r w:rsidR="00457C54">
        <w:fldChar w:fldCharType="begin"/>
      </w:r>
      <w:r w:rsidR="00457C54">
        <w:instrText xml:space="preserve"> ADDIN ZOTERO_ITEM CSL_CITATION {"citationID":"jngCWPjf","properties":{"formattedCitation":"(Menyh\\uc0\\u225{}rt &amp; Gy\\uc0\\u337{}rffy, 2021)","plainCitation":"(Menyhárt &amp; Győrffy, 2021)","noteIndex":0},"citationItems":[{"id":204,"uris":["http://zotero.org/users/local/AJmTDxS7/items/N83GUIQV"],"itemData":{"id":204,"type":"article-journal","abstract":"•Single-level data analysis produced by high-throughput technologies is limited by showing only a narrow window of cellular functions.•Data integration across different platforms, including genomics, epigenomics, transcriptomics, proteomics, and metabolomics, provides opportunities to understand causal relationships across multiple levels of cellular organization.•We review some of the most frequently used frameworks for multi-omics data integration.•We consider the significance of multi-omics in the functional identification of driver genomic alterations and discuss methods developed to exploit associations between mutations and downstream signaling pathways.•We provide an overview of the utility of multi-omics in tumor classifications, prognostications, diagnostics, and the role of data integration in the quest for novel biomarkers and therapeutic opportunities.•Translation of multi-omics technologies into tools accessible in daily medical routine is slow. One major obstacle is the uneven maturity of different omics approaches for routine clinical applications., While cost-effective high-throughput technologies provide an increasing amount of data, the analyses of single layers of data seldom provide causal relations. Multi-omics data integration strategies across different cellular function levels, including genomes, epigenomes, transcriptomes, proteomes, metabolomes, and microbiomes offer unparalleled opportunities to understand the underlying biology of complex diseases, such as cancer. We review some of the most frequently used data integration methods and outline research areas where multi-omics significantly benefit our understanding of the process and outcome of the malignant transformation., We discuss algorithmic frameworks developed to reveal cancer subtypes, disease mechanisms, and methods for identifying driver genomic alterations and consider the significance of multi-omics in tumor classifications, diagnostics, and prognostications. We provide a comprehensive summary of each omics strategy's most recent advances within the clinical context and discuss the main challenges facing their clinical implementations., Despite its unparalleled advantages, multi-omics data integration is slow to enter everyday clinics. One major obstacle is the uneven maturity of different omics approaches and the growing gap between generating large volumes of data compared to data processing capacity. Progressive initiatives to enforce the standardization of sample processing and analytical pipelines, multidisciplinary training of experts for data analysis and interpretation are vital to facilitate the translatability of theoretical findings.","container-title":"Computational and Structural Biotechnology Journal","DOI":"10.1016/j.csbj.2021.01.009","ISSN":"2001-0370","journalAbbreviation":"Comput Struct Biotechnol J","note":"PMID: 33613862\nPMCID: PMC7868685","page":"949-960","source":"PubMed Central","title":"Multi-omics approaches in cancer research with applications in tumor subtyping, prognosis, and diagnosis","volume":"19","author":[{"family":"Menyhárt","given":"Otília"},{"family":"Győrffy","given":"Balázs"}],"issued":{"date-parts":[["2021",1,22]]}}}],"schema":"https://github.com/citation-style-language/schema/raw/master/csl-citation.json"} </w:instrText>
      </w:r>
      <w:r w:rsidR="00457C54">
        <w:fldChar w:fldCharType="separate"/>
      </w:r>
      <w:r w:rsidR="00457C54" w:rsidRPr="00457C54">
        <w:t>(Menyhárt &amp; Győrffy, 2021)</w:t>
      </w:r>
      <w:r w:rsidR="00457C54">
        <w:fldChar w:fldCharType="end"/>
      </w:r>
      <w:r w:rsidR="00457C54">
        <w:t>,</w:t>
      </w:r>
    </w:p>
    <w:p w14:paraId="1FF43294" w14:textId="613DC1AD" w:rsidR="00A06549" w:rsidRPr="00A06549" w:rsidRDefault="00A06549" w:rsidP="00335E34">
      <w:pPr>
        <w:pStyle w:val="NormalWeb"/>
        <w:jc w:val="both"/>
        <w:rPr>
          <w:b/>
          <w:bCs/>
          <w:sz w:val="27"/>
          <w:szCs w:val="27"/>
        </w:rPr>
      </w:pPr>
      <w:r>
        <w:rPr>
          <w:rStyle w:val="Strong"/>
        </w:rPr>
        <w:t>Table 1. Summary of Omics Layers, Representative Technologies, and Key Biological Insights in Tumor Profiling.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69"/>
        <w:gridCol w:w="2469"/>
        <w:gridCol w:w="2206"/>
        <w:gridCol w:w="2916"/>
      </w:tblGrid>
      <w:tr w:rsidR="00A06549" w:rsidRPr="00A06549" w14:paraId="5A76FE14" w14:textId="77777777" w:rsidTr="00A06549">
        <w:trPr>
          <w:tblHeader/>
          <w:tblCellSpacing w:w="15" w:type="dxa"/>
        </w:trPr>
        <w:tc>
          <w:tcPr>
            <w:tcW w:w="0" w:type="auto"/>
            <w:vAlign w:val="center"/>
            <w:hideMark/>
          </w:tcPr>
          <w:p w14:paraId="76452431" w14:textId="77777777" w:rsidR="00A06549" w:rsidRPr="00A06549" w:rsidRDefault="00A06549" w:rsidP="00335E34">
            <w:pPr>
              <w:spacing w:after="0" w:line="240" w:lineRule="auto"/>
              <w:jc w:val="both"/>
              <w:rPr>
                <w:rFonts w:ascii="Times New Roman" w:eastAsia="Times New Roman" w:hAnsi="Times New Roman" w:cs="Times New Roman"/>
                <w:b/>
                <w:bCs/>
                <w:sz w:val="24"/>
                <w:szCs w:val="24"/>
              </w:rPr>
            </w:pPr>
            <w:r w:rsidRPr="00A06549">
              <w:rPr>
                <w:rFonts w:ascii="Times New Roman" w:eastAsia="Times New Roman" w:hAnsi="Times New Roman" w:cs="Times New Roman"/>
                <w:b/>
                <w:bCs/>
                <w:sz w:val="24"/>
                <w:szCs w:val="24"/>
              </w:rPr>
              <w:t>Omics Layer</w:t>
            </w:r>
          </w:p>
        </w:tc>
        <w:tc>
          <w:tcPr>
            <w:tcW w:w="0" w:type="auto"/>
            <w:vAlign w:val="center"/>
            <w:hideMark/>
          </w:tcPr>
          <w:p w14:paraId="558A5021" w14:textId="77777777" w:rsidR="00A06549" w:rsidRPr="00A06549" w:rsidRDefault="00A06549" w:rsidP="00335E34">
            <w:pPr>
              <w:spacing w:after="0" w:line="240" w:lineRule="auto"/>
              <w:jc w:val="both"/>
              <w:rPr>
                <w:rFonts w:ascii="Times New Roman" w:eastAsia="Times New Roman" w:hAnsi="Times New Roman" w:cs="Times New Roman"/>
                <w:b/>
                <w:bCs/>
                <w:sz w:val="24"/>
                <w:szCs w:val="24"/>
              </w:rPr>
            </w:pPr>
            <w:r w:rsidRPr="00A06549">
              <w:rPr>
                <w:rFonts w:ascii="Times New Roman" w:eastAsia="Times New Roman" w:hAnsi="Times New Roman" w:cs="Times New Roman"/>
                <w:b/>
                <w:bCs/>
                <w:sz w:val="24"/>
                <w:szCs w:val="24"/>
              </w:rPr>
              <w:t>Representative Technologies</w:t>
            </w:r>
          </w:p>
        </w:tc>
        <w:tc>
          <w:tcPr>
            <w:tcW w:w="0" w:type="auto"/>
            <w:vAlign w:val="center"/>
            <w:hideMark/>
          </w:tcPr>
          <w:p w14:paraId="3630E438" w14:textId="77777777" w:rsidR="00A06549" w:rsidRPr="00A06549" w:rsidRDefault="00A06549" w:rsidP="00335E34">
            <w:pPr>
              <w:spacing w:after="0" w:line="240" w:lineRule="auto"/>
              <w:jc w:val="both"/>
              <w:rPr>
                <w:rFonts w:ascii="Times New Roman" w:eastAsia="Times New Roman" w:hAnsi="Times New Roman" w:cs="Times New Roman"/>
                <w:b/>
                <w:bCs/>
                <w:sz w:val="24"/>
                <w:szCs w:val="24"/>
              </w:rPr>
            </w:pPr>
            <w:r w:rsidRPr="00A06549">
              <w:rPr>
                <w:rFonts w:ascii="Times New Roman" w:eastAsia="Times New Roman" w:hAnsi="Times New Roman" w:cs="Times New Roman"/>
                <w:b/>
                <w:bCs/>
                <w:sz w:val="24"/>
                <w:szCs w:val="24"/>
              </w:rPr>
              <w:t>Biological Focus</w:t>
            </w:r>
          </w:p>
        </w:tc>
        <w:tc>
          <w:tcPr>
            <w:tcW w:w="0" w:type="auto"/>
            <w:vAlign w:val="center"/>
            <w:hideMark/>
          </w:tcPr>
          <w:p w14:paraId="0CB01735" w14:textId="77777777" w:rsidR="00A06549" w:rsidRPr="00A06549" w:rsidRDefault="00A06549" w:rsidP="00335E34">
            <w:pPr>
              <w:spacing w:after="0" w:line="240" w:lineRule="auto"/>
              <w:jc w:val="both"/>
              <w:rPr>
                <w:rFonts w:ascii="Times New Roman" w:eastAsia="Times New Roman" w:hAnsi="Times New Roman" w:cs="Times New Roman"/>
                <w:b/>
                <w:bCs/>
                <w:sz w:val="24"/>
                <w:szCs w:val="24"/>
              </w:rPr>
            </w:pPr>
            <w:r w:rsidRPr="00A06549">
              <w:rPr>
                <w:rFonts w:ascii="Times New Roman" w:eastAsia="Times New Roman" w:hAnsi="Times New Roman" w:cs="Times New Roman"/>
                <w:b/>
                <w:bCs/>
                <w:sz w:val="24"/>
                <w:szCs w:val="24"/>
              </w:rPr>
              <w:t>Key Insights</w:t>
            </w:r>
          </w:p>
        </w:tc>
      </w:tr>
      <w:tr w:rsidR="00A06549" w:rsidRPr="00A06549" w14:paraId="14A44930" w14:textId="77777777" w:rsidTr="00A06549">
        <w:trPr>
          <w:tblCellSpacing w:w="15" w:type="dxa"/>
        </w:trPr>
        <w:tc>
          <w:tcPr>
            <w:tcW w:w="0" w:type="auto"/>
            <w:vAlign w:val="center"/>
            <w:hideMark/>
          </w:tcPr>
          <w:p w14:paraId="21FE3D74" w14:textId="77777777" w:rsidR="00A06549" w:rsidRPr="00A06549" w:rsidRDefault="00A06549" w:rsidP="00335E34">
            <w:pPr>
              <w:spacing w:after="0" w:line="240" w:lineRule="auto"/>
              <w:jc w:val="both"/>
              <w:rPr>
                <w:rFonts w:ascii="Times New Roman" w:eastAsia="Times New Roman" w:hAnsi="Times New Roman" w:cs="Times New Roman"/>
                <w:sz w:val="24"/>
                <w:szCs w:val="24"/>
              </w:rPr>
            </w:pPr>
            <w:r w:rsidRPr="00A06549">
              <w:rPr>
                <w:rFonts w:ascii="Times New Roman" w:eastAsia="Times New Roman" w:hAnsi="Times New Roman" w:cs="Times New Roman"/>
                <w:b/>
                <w:bCs/>
                <w:sz w:val="24"/>
                <w:szCs w:val="24"/>
              </w:rPr>
              <w:t>Genomics</w:t>
            </w:r>
          </w:p>
        </w:tc>
        <w:tc>
          <w:tcPr>
            <w:tcW w:w="0" w:type="auto"/>
            <w:vAlign w:val="center"/>
            <w:hideMark/>
          </w:tcPr>
          <w:p w14:paraId="31884C1B" w14:textId="77777777" w:rsidR="00A06549" w:rsidRPr="00A06549" w:rsidRDefault="00A06549" w:rsidP="00335E34">
            <w:pPr>
              <w:spacing w:after="0" w:line="240" w:lineRule="auto"/>
              <w:jc w:val="both"/>
              <w:rPr>
                <w:rFonts w:ascii="Times New Roman" w:eastAsia="Times New Roman" w:hAnsi="Times New Roman" w:cs="Times New Roman"/>
                <w:sz w:val="24"/>
                <w:szCs w:val="24"/>
              </w:rPr>
            </w:pPr>
            <w:r w:rsidRPr="00A06549">
              <w:rPr>
                <w:rFonts w:ascii="Times New Roman" w:eastAsia="Times New Roman" w:hAnsi="Times New Roman" w:cs="Times New Roman"/>
                <w:sz w:val="24"/>
                <w:szCs w:val="24"/>
              </w:rPr>
              <w:t>Whole-genome sequencing (WGS), whole-exome sequencing (WES), ctDNA</w:t>
            </w:r>
          </w:p>
        </w:tc>
        <w:tc>
          <w:tcPr>
            <w:tcW w:w="0" w:type="auto"/>
            <w:vAlign w:val="center"/>
            <w:hideMark/>
          </w:tcPr>
          <w:p w14:paraId="54DC6DCA" w14:textId="77777777" w:rsidR="00A06549" w:rsidRPr="00A06549" w:rsidRDefault="00A06549" w:rsidP="00335E34">
            <w:pPr>
              <w:spacing w:after="0" w:line="240" w:lineRule="auto"/>
              <w:jc w:val="both"/>
              <w:rPr>
                <w:rFonts w:ascii="Times New Roman" w:eastAsia="Times New Roman" w:hAnsi="Times New Roman" w:cs="Times New Roman"/>
                <w:sz w:val="24"/>
                <w:szCs w:val="24"/>
              </w:rPr>
            </w:pPr>
            <w:r w:rsidRPr="00A06549">
              <w:rPr>
                <w:rFonts w:ascii="Times New Roman" w:eastAsia="Times New Roman" w:hAnsi="Times New Roman" w:cs="Times New Roman"/>
                <w:sz w:val="24"/>
                <w:szCs w:val="24"/>
              </w:rPr>
              <w:t>DNA mutations, copy number variations (CNVs), structural variants</w:t>
            </w:r>
          </w:p>
        </w:tc>
        <w:tc>
          <w:tcPr>
            <w:tcW w:w="0" w:type="auto"/>
            <w:vAlign w:val="center"/>
            <w:hideMark/>
          </w:tcPr>
          <w:p w14:paraId="276CD140" w14:textId="77777777" w:rsidR="00A06549" w:rsidRPr="00A06549" w:rsidRDefault="00A06549" w:rsidP="00335E34">
            <w:pPr>
              <w:spacing w:after="0" w:line="240" w:lineRule="auto"/>
              <w:jc w:val="both"/>
              <w:rPr>
                <w:rFonts w:ascii="Times New Roman" w:eastAsia="Times New Roman" w:hAnsi="Times New Roman" w:cs="Times New Roman"/>
                <w:sz w:val="24"/>
                <w:szCs w:val="24"/>
              </w:rPr>
            </w:pPr>
            <w:r w:rsidRPr="00A06549">
              <w:rPr>
                <w:rFonts w:ascii="Times New Roman" w:eastAsia="Times New Roman" w:hAnsi="Times New Roman" w:cs="Times New Roman"/>
                <w:sz w:val="24"/>
                <w:szCs w:val="24"/>
              </w:rPr>
              <w:t>Identifies driver mutations, clonal architectures, resistance-associated alterations</w:t>
            </w:r>
          </w:p>
        </w:tc>
      </w:tr>
      <w:tr w:rsidR="00A06549" w:rsidRPr="00A06549" w14:paraId="6E5BDD2E" w14:textId="77777777" w:rsidTr="00A06549">
        <w:trPr>
          <w:tblCellSpacing w:w="15" w:type="dxa"/>
        </w:trPr>
        <w:tc>
          <w:tcPr>
            <w:tcW w:w="0" w:type="auto"/>
            <w:vAlign w:val="center"/>
            <w:hideMark/>
          </w:tcPr>
          <w:p w14:paraId="7D986E1B" w14:textId="77777777" w:rsidR="00A06549" w:rsidRPr="00A06549" w:rsidRDefault="00A06549" w:rsidP="00335E34">
            <w:pPr>
              <w:spacing w:after="0" w:line="240" w:lineRule="auto"/>
              <w:jc w:val="both"/>
              <w:rPr>
                <w:rFonts w:ascii="Times New Roman" w:eastAsia="Times New Roman" w:hAnsi="Times New Roman" w:cs="Times New Roman"/>
                <w:sz w:val="24"/>
                <w:szCs w:val="24"/>
              </w:rPr>
            </w:pPr>
            <w:r w:rsidRPr="00A06549">
              <w:rPr>
                <w:rFonts w:ascii="Times New Roman" w:eastAsia="Times New Roman" w:hAnsi="Times New Roman" w:cs="Times New Roman"/>
                <w:b/>
                <w:bCs/>
                <w:sz w:val="24"/>
                <w:szCs w:val="24"/>
              </w:rPr>
              <w:t>Epigenomics</w:t>
            </w:r>
          </w:p>
        </w:tc>
        <w:tc>
          <w:tcPr>
            <w:tcW w:w="0" w:type="auto"/>
            <w:vAlign w:val="center"/>
            <w:hideMark/>
          </w:tcPr>
          <w:p w14:paraId="5BC50070" w14:textId="77777777" w:rsidR="00A06549" w:rsidRPr="00A06549" w:rsidRDefault="00A06549" w:rsidP="00335E34">
            <w:pPr>
              <w:spacing w:after="0" w:line="240" w:lineRule="auto"/>
              <w:jc w:val="both"/>
              <w:rPr>
                <w:rFonts w:ascii="Times New Roman" w:eastAsia="Times New Roman" w:hAnsi="Times New Roman" w:cs="Times New Roman"/>
                <w:sz w:val="24"/>
                <w:szCs w:val="24"/>
              </w:rPr>
            </w:pPr>
            <w:r w:rsidRPr="00A06549">
              <w:rPr>
                <w:rFonts w:ascii="Times New Roman" w:eastAsia="Times New Roman" w:hAnsi="Times New Roman" w:cs="Times New Roman"/>
                <w:sz w:val="24"/>
                <w:szCs w:val="24"/>
              </w:rPr>
              <w:t xml:space="preserve">Bisulfite sequencing, </w:t>
            </w:r>
            <w:proofErr w:type="spellStart"/>
            <w:r w:rsidRPr="00A06549">
              <w:rPr>
                <w:rFonts w:ascii="Times New Roman" w:eastAsia="Times New Roman" w:hAnsi="Times New Roman" w:cs="Times New Roman"/>
                <w:sz w:val="24"/>
                <w:szCs w:val="24"/>
              </w:rPr>
              <w:t>ChIP</w:t>
            </w:r>
            <w:proofErr w:type="spellEnd"/>
            <w:r w:rsidRPr="00A06549">
              <w:rPr>
                <w:rFonts w:ascii="Times New Roman" w:eastAsia="Times New Roman" w:hAnsi="Times New Roman" w:cs="Times New Roman"/>
                <w:sz w:val="24"/>
                <w:szCs w:val="24"/>
              </w:rPr>
              <w:t>-seq, ATAC-seq</w:t>
            </w:r>
          </w:p>
        </w:tc>
        <w:tc>
          <w:tcPr>
            <w:tcW w:w="0" w:type="auto"/>
            <w:vAlign w:val="center"/>
            <w:hideMark/>
          </w:tcPr>
          <w:p w14:paraId="2FAEA1A1" w14:textId="77777777" w:rsidR="00A06549" w:rsidRPr="00A06549" w:rsidRDefault="00A06549" w:rsidP="00335E34">
            <w:pPr>
              <w:spacing w:after="0" w:line="240" w:lineRule="auto"/>
              <w:jc w:val="both"/>
              <w:rPr>
                <w:rFonts w:ascii="Times New Roman" w:eastAsia="Times New Roman" w:hAnsi="Times New Roman" w:cs="Times New Roman"/>
                <w:sz w:val="24"/>
                <w:szCs w:val="24"/>
              </w:rPr>
            </w:pPr>
            <w:r w:rsidRPr="00A06549">
              <w:rPr>
                <w:rFonts w:ascii="Times New Roman" w:eastAsia="Times New Roman" w:hAnsi="Times New Roman" w:cs="Times New Roman"/>
                <w:sz w:val="24"/>
                <w:szCs w:val="24"/>
              </w:rPr>
              <w:t>DNA methylation, histone modifications, chromatin accessibility</w:t>
            </w:r>
          </w:p>
        </w:tc>
        <w:tc>
          <w:tcPr>
            <w:tcW w:w="0" w:type="auto"/>
            <w:vAlign w:val="center"/>
            <w:hideMark/>
          </w:tcPr>
          <w:p w14:paraId="597B6844" w14:textId="77777777" w:rsidR="00A06549" w:rsidRPr="00A06549" w:rsidRDefault="00A06549" w:rsidP="00335E34">
            <w:pPr>
              <w:spacing w:after="0" w:line="240" w:lineRule="auto"/>
              <w:jc w:val="both"/>
              <w:rPr>
                <w:rFonts w:ascii="Times New Roman" w:eastAsia="Times New Roman" w:hAnsi="Times New Roman" w:cs="Times New Roman"/>
                <w:sz w:val="24"/>
                <w:szCs w:val="24"/>
              </w:rPr>
            </w:pPr>
            <w:r w:rsidRPr="00A06549">
              <w:rPr>
                <w:rFonts w:ascii="Times New Roman" w:eastAsia="Times New Roman" w:hAnsi="Times New Roman" w:cs="Times New Roman"/>
                <w:sz w:val="24"/>
                <w:szCs w:val="24"/>
              </w:rPr>
              <w:t>Reveals regulatory plasticity, enhancer hijacking, epigenetic reprogramming</w:t>
            </w:r>
          </w:p>
        </w:tc>
      </w:tr>
      <w:tr w:rsidR="00A06549" w:rsidRPr="00A06549" w14:paraId="052F1068" w14:textId="77777777" w:rsidTr="00A06549">
        <w:trPr>
          <w:tblCellSpacing w:w="15" w:type="dxa"/>
        </w:trPr>
        <w:tc>
          <w:tcPr>
            <w:tcW w:w="0" w:type="auto"/>
            <w:vAlign w:val="center"/>
            <w:hideMark/>
          </w:tcPr>
          <w:p w14:paraId="55411DCD" w14:textId="77777777" w:rsidR="00A06549" w:rsidRPr="00A06549" w:rsidRDefault="00A06549" w:rsidP="00335E34">
            <w:pPr>
              <w:spacing w:after="0" w:line="240" w:lineRule="auto"/>
              <w:jc w:val="both"/>
              <w:rPr>
                <w:rFonts w:ascii="Times New Roman" w:eastAsia="Times New Roman" w:hAnsi="Times New Roman" w:cs="Times New Roman"/>
                <w:sz w:val="24"/>
                <w:szCs w:val="24"/>
              </w:rPr>
            </w:pPr>
            <w:r w:rsidRPr="00A06549">
              <w:rPr>
                <w:rFonts w:ascii="Times New Roman" w:eastAsia="Times New Roman" w:hAnsi="Times New Roman" w:cs="Times New Roman"/>
                <w:b/>
                <w:bCs/>
                <w:sz w:val="24"/>
                <w:szCs w:val="24"/>
              </w:rPr>
              <w:t>Transcriptomics</w:t>
            </w:r>
          </w:p>
        </w:tc>
        <w:tc>
          <w:tcPr>
            <w:tcW w:w="0" w:type="auto"/>
            <w:vAlign w:val="center"/>
            <w:hideMark/>
          </w:tcPr>
          <w:p w14:paraId="3E21377C" w14:textId="77777777" w:rsidR="00A06549" w:rsidRPr="00A06549" w:rsidRDefault="00A06549" w:rsidP="00335E34">
            <w:pPr>
              <w:spacing w:after="0" w:line="240" w:lineRule="auto"/>
              <w:jc w:val="both"/>
              <w:rPr>
                <w:rFonts w:ascii="Times New Roman" w:eastAsia="Times New Roman" w:hAnsi="Times New Roman" w:cs="Times New Roman"/>
                <w:sz w:val="24"/>
                <w:szCs w:val="24"/>
              </w:rPr>
            </w:pPr>
            <w:r w:rsidRPr="00A06549">
              <w:rPr>
                <w:rFonts w:ascii="Times New Roman" w:eastAsia="Times New Roman" w:hAnsi="Times New Roman" w:cs="Times New Roman"/>
                <w:sz w:val="24"/>
                <w:szCs w:val="24"/>
              </w:rPr>
              <w:t xml:space="preserve">Bulk RNA-seq, </w:t>
            </w:r>
            <w:proofErr w:type="spellStart"/>
            <w:r w:rsidRPr="00A06549">
              <w:rPr>
                <w:rFonts w:ascii="Times New Roman" w:eastAsia="Times New Roman" w:hAnsi="Times New Roman" w:cs="Times New Roman"/>
                <w:sz w:val="24"/>
                <w:szCs w:val="24"/>
              </w:rPr>
              <w:t>scRNA</w:t>
            </w:r>
            <w:proofErr w:type="spellEnd"/>
            <w:r w:rsidRPr="00A06549">
              <w:rPr>
                <w:rFonts w:ascii="Times New Roman" w:eastAsia="Times New Roman" w:hAnsi="Times New Roman" w:cs="Times New Roman"/>
                <w:sz w:val="24"/>
                <w:szCs w:val="24"/>
              </w:rPr>
              <w:t>-seq, spatial transcriptomics</w:t>
            </w:r>
          </w:p>
        </w:tc>
        <w:tc>
          <w:tcPr>
            <w:tcW w:w="0" w:type="auto"/>
            <w:vAlign w:val="center"/>
            <w:hideMark/>
          </w:tcPr>
          <w:p w14:paraId="1B5A6D1C" w14:textId="77777777" w:rsidR="00A06549" w:rsidRPr="00A06549" w:rsidRDefault="00A06549" w:rsidP="00335E34">
            <w:pPr>
              <w:spacing w:after="0" w:line="240" w:lineRule="auto"/>
              <w:jc w:val="both"/>
              <w:rPr>
                <w:rFonts w:ascii="Times New Roman" w:eastAsia="Times New Roman" w:hAnsi="Times New Roman" w:cs="Times New Roman"/>
                <w:sz w:val="24"/>
                <w:szCs w:val="24"/>
              </w:rPr>
            </w:pPr>
            <w:r w:rsidRPr="00A06549">
              <w:rPr>
                <w:rFonts w:ascii="Times New Roman" w:eastAsia="Times New Roman" w:hAnsi="Times New Roman" w:cs="Times New Roman"/>
                <w:sz w:val="24"/>
                <w:szCs w:val="24"/>
              </w:rPr>
              <w:t>Gene expression, alternative splicing, isoform usage</w:t>
            </w:r>
          </w:p>
        </w:tc>
        <w:tc>
          <w:tcPr>
            <w:tcW w:w="0" w:type="auto"/>
            <w:vAlign w:val="center"/>
            <w:hideMark/>
          </w:tcPr>
          <w:p w14:paraId="77189593" w14:textId="77777777" w:rsidR="00A06549" w:rsidRPr="00A06549" w:rsidRDefault="00A06549" w:rsidP="00335E34">
            <w:pPr>
              <w:spacing w:after="0" w:line="240" w:lineRule="auto"/>
              <w:jc w:val="both"/>
              <w:rPr>
                <w:rFonts w:ascii="Times New Roman" w:eastAsia="Times New Roman" w:hAnsi="Times New Roman" w:cs="Times New Roman"/>
                <w:sz w:val="24"/>
                <w:szCs w:val="24"/>
              </w:rPr>
            </w:pPr>
            <w:r w:rsidRPr="00A06549">
              <w:rPr>
                <w:rFonts w:ascii="Times New Roman" w:eastAsia="Times New Roman" w:hAnsi="Times New Roman" w:cs="Times New Roman"/>
                <w:sz w:val="24"/>
                <w:szCs w:val="24"/>
              </w:rPr>
              <w:t>Captures cell states, lineage transitions, immune activation/exclusion signatures</w:t>
            </w:r>
          </w:p>
        </w:tc>
      </w:tr>
      <w:tr w:rsidR="00A06549" w:rsidRPr="00A06549" w14:paraId="43B6C980" w14:textId="77777777" w:rsidTr="00A06549">
        <w:trPr>
          <w:tblCellSpacing w:w="15" w:type="dxa"/>
        </w:trPr>
        <w:tc>
          <w:tcPr>
            <w:tcW w:w="0" w:type="auto"/>
            <w:vAlign w:val="center"/>
            <w:hideMark/>
          </w:tcPr>
          <w:p w14:paraId="79951DC0" w14:textId="77777777" w:rsidR="00A06549" w:rsidRPr="00A06549" w:rsidRDefault="00A06549" w:rsidP="00335E34">
            <w:pPr>
              <w:spacing w:after="0" w:line="240" w:lineRule="auto"/>
              <w:jc w:val="both"/>
              <w:rPr>
                <w:rFonts w:ascii="Times New Roman" w:eastAsia="Times New Roman" w:hAnsi="Times New Roman" w:cs="Times New Roman"/>
                <w:sz w:val="24"/>
                <w:szCs w:val="24"/>
              </w:rPr>
            </w:pPr>
            <w:r w:rsidRPr="00A06549">
              <w:rPr>
                <w:rFonts w:ascii="Times New Roman" w:eastAsia="Times New Roman" w:hAnsi="Times New Roman" w:cs="Times New Roman"/>
                <w:b/>
                <w:bCs/>
                <w:sz w:val="24"/>
                <w:szCs w:val="24"/>
              </w:rPr>
              <w:t>Proteomics</w:t>
            </w:r>
          </w:p>
        </w:tc>
        <w:tc>
          <w:tcPr>
            <w:tcW w:w="0" w:type="auto"/>
            <w:vAlign w:val="center"/>
            <w:hideMark/>
          </w:tcPr>
          <w:p w14:paraId="68A342E3" w14:textId="77777777" w:rsidR="00A06549" w:rsidRPr="00A06549" w:rsidRDefault="00A06549" w:rsidP="00335E34">
            <w:pPr>
              <w:spacing w:after="0" w:line="240" w:lineRule="auto"/>
              <w:jc w:val="both"/>
              <w:rPr>
                <w:rFonts w:ascii="Times New Roman" w:eastAsia="Times New Roman" w:hAnsi="Times New Roman" w:cs="Times New Roman"/>
                <w:sz w:val="24"/>
                <w:szCs w:val="24"/>
              </w:rPr>
            </w:pPr>
            <w:r w:rsidRPr="00A06549">
              <w:rPr>
                <w:rFonts w:ascii="Times New Roman" w:eastAsia="Times New Roman" w:hAnsi="Times New Roman" w:cs="Times New Roman"/>
                <w:sz w:val="24"/>
                <w:szCs w:val="24"/>
              </w:rPr>
              <w:t>Mass spectrometry, reverse-phase protein arrays, phospho-proteomics</w:t>
            </w:r>
          </w:p>
        </w:tc>
        <w:tc>
          <w:tcPr>
            <w:tcW w:w="0" w:type="auto"/>
            <w:vAlign w:val="center"/>
            <w:hideMark/>
          </w:tcPr>
          <w:p w14:paraId="5A49ED48" w14:textId="77777777" w:rsidR="00A06549" w:rsidRPr="00A06549" w:rsidRDefault="00A06549" w:rsidP="00335E34">
            <w:pPr>
              <w:spacing w:after="0" w:line="240" w:lineRule="auto"/>
              <w:jc w:val="both"/>
              <w:rPr>
                <w:rFonts w:ascii="Times New Roman" w:eastAsia="Times New Roman" w:hAnsi="Times New Roman" w:cs="Times New Roman"/>
                <w:sz w:val="24"/>
                <w:szCs w:val="24"/>
              </w:rPr>
            </w:pPr>
            <w:r w:rsidRPr="00A06549">
              <w:rPr>
                <w:rFonts w:ascii="Times New Roman" w:eastAsia="Times New Roman" w:hAnsi="Times New Roman" w:cs="Times New Roman"/>
                <w:sz w:val="24"/>
                <w:szCs w:val="24"/>
              </w:rPr>
              <w:t>Protein abundance, post-translational modifications (PTMs)</w:t>
            </w:r>
          </w:p>
        </w:tc>
        <w:tc>
          <w:tcPr>
            <w:tcW w:w="0" w:type="auto"/>
            <w:vAlign w:val="center"/>
            <w:hideMark/>
          </w:tcPr>
          <w:p w14:paraId="6120D5CB" w14:textId="77777777" w:rsidR="00A06549" w:rsidRPr="00A06549" w:rsidRDefault="00A06549" w:rsidP="00335E34">
            <w:pPr>
              <w:spacing w:after="0" w:line="240" w:lineRule="auto"/>
              <w:jc w:val="both"/>
              <w:rPr>
                <w:rFonts w:ascii="Times New Roman" w:eastAsia="Times New Roman" w:hAnsi="Times New Roman" w:cs="Times New Roman"/>
                <w:sz w:val="24"/>
                <w:szCs w:val="24"/>
              </w:rPr>
            </w:pPr>
            <w:r w:rsidRPr="00A06549">
              <w:rPr>
                <w:rFonts w:ascii="Times New Roman" w:eastAsia="Times New Roman" w:hAnsi="Times New Roman" w:cs="Times New Roman"/>
                <w:sz w:val="24"/>
                <w:szCs w:val="24"/>
              </w:rPr>
              <w:t>Uncovers active signaling cascades, resistance networks, proteogenomic biomarkers</w:t>
            </w:r>
          </w:p>
        </w:tc>
      </w:tr>
      <w:tr w:rsidR="00A06549" w:rsidRPr="00A06549" w14:paraId="49E42046" w14:textId="77777777" w:rsidTr="00A06549">
        <w:trPr>
          <w:tblCellSpacing w:w="15" w:type="dxa"/>
        </w:trPr>
        <w:tc>
          <w:tcPr>
            <w:tcW w:w="0" w:type="auto"/>
            <w:vAlign w:val="center"/>
            <w:hideMark/>
          </w:tcPr>
          <w:p w14:paraId="565D1DE6" w14:textId="77777777" w:rsidR="00A06549" w:rsidRPr="00A06549" w:rsidRDefault="00A06549" w:rsidP="00335E34">
            <w:pPr>
              <w:spacing w:after="0" w:line="240" w:lineRule="auto"/>
              <w:jc w:val="both"/>
              <w:rPr>
                <w:rFonts w:ascii="Times New Roman" w:eastAsia="Times New Roman" w:hAnsi="Times New Roman" w:cs="Times New Roman"/>
                <w:sz w:val="24"/>
                <w:szCs w:val="24"/>
              </w:rPr>
            </w:pPr>
            <w:r w:rsidRPr="00A06549">
              <w:rPr>
                <w:rFonts w:ascii="Times New Roman" w:eastAsia="Times New Roman" w:hAnsi="Times New Roman" w:cs="Times New Roman"/>
                <w:b/>
                <w:bCs/>
                <w:sz w:val="24"/>
                <w:szCs w:val="24"/>
              </w:rPr>
              <w:t>Metabolomics</w:t>
            </w:r>
          </w:p>
        </w:tc>
        <w:tc>
          <w:tcPr>
            <w:tcW w:w="0" w:type="auto"/>
            <w:vAlign w:val="center"/>
            <w:hideMark/>
          </w:tcPr>
          <w:p w14:paraId="4D50D7B2" w14:textId="77777777" w:rsidR="00A06549" w:rsidRPr="00A06549" w:rsidRDefault="00A06549" w:rsidP="00335E34">
            <w:pPr>
              <w:spacing w:after="0" w:line="240" w:lineRule="auto"/>
              <w:jc w:val="both"/>
              <w:rPr>
                <w:rFonts w:ascii="Times New Roman" w:eastAsia="Times New Roman" w:hAnsi="Times New Roman" w:cs="Times New Roman"/>
                <w:sz w:val="24"/>
                <w:szCs w:val="24"/>
              </w:rPr>
            </w:pPr>
            <w:r w:rsidRPr="00A06549">
              <w:rPr>
                <w:rFonts w:ascii="Times New Roman" w:eastAsia="Times New Roman" w:hAnsi="Times New Roman" w:cs="Times New Roman"/>
                <w:sz w:val="24"/>
                <w:szCs w:val="24"/>
              </w:rPr>
              <w:t>LC-MS, GC-MS, NMR spectroscopy</w:t>
            </w:r>
          </w:p>
        </w:tc>
        <w:tc>
          <w:tcPr>
            <w:tcW w:w="0" w:type="auto"/>
            <w:vAlign w:val="center"/>
            <w:hideMark/>
          </w:tcPr>
          <w:p w14:paraId="316FAB05" w14:textId="77777777" w:rsidR="00A06549" w:rsidRPr="00A06549" w:rsidRDefault="00A06549" w:rsidP="00335E34">
            <w:pPr>
              <w:spacing w:after="0" w:line="240" w:lineRule="auto"/>
              <w:jc w:val="both"/>
              <w:rPr>
                <w:rFonts w:ascii="Times New Roman" w:eastAsia="Times New Roman" w:hAnsi="Times New Roman" w:cs="Times New Roman"/>
                <w:sz w:val="24"/>
                <w:szCs w:val="24"/>
              </w:rPr>
            </w:pPr>
            <w:r w:rsidRPr="00A06549">
              <w:rPr>
                <w:rFonts w:ascii="Times New Roman" w:eastAsia="Times New Roman" w:hAnsi="Times New Roman" w:cs="Times New Roman"/>
                <w:sz w:val="24"/>
                <w:szCs w:val="24"/>
              </w:rPr>
              <w:t>Metabolic fluxes, energy pathways, redox state</w:t>
            </w:r>
          </w:p>
        </w:tc>
        <w:tc>
          <w:tcPr>
            <w:tcW w:w="0" w:type="auto"/>
            <w:vAlign w:val="center"/>
            <w:hideMark/>
          </w:tcPr>
          <w:p w14:paraId="2400B31D" w14:textId="77777777" w:rsidR="00A06549" w:rsidRPr="00A06549" w:rsidRDefault="00A06549" w:rsidP="00335E34">
            <w:pPr>
              <w:spacing w:after="0" w:line="240" w:lineRule="auto"/>
              <w:jc w:val="both"/>
              <w:rPr>
                <w:rFonts w:ascii="Times New Roman" w:eastAsia="Times New Roman" w:hAnsi="Times New Roman" w:cs="Times New Roman"/>
                <w:sz w:val="24"/>
                <w:szCs w:val="24"/>
              </w:rPr>
            </w:pPr>
            <w:r w:rsidRPr="00A06549">
              <w:rPr>
                <w:rFonts w:ascii="Times New Roman" w:eastAsia="Times New Roman" w:hAnsi="Times New Roman" w:cs="Times New Roman"/>
                <w:sz w:val="24"/>
                <w:szCs w:val="24"/>
              </w:rPr>
              <w:t>Reveals tumor-specific metabolic rewiring and adaptation under therapy</w:t>
            </w:r>
          </w:p>
        </w:tc>
      </w:tr>
    </w:tbl>
    <w:p w14:paraId="7D4B953D" w14:textId="340821BD" w:rsidR="00426978" w:rsidRDefault="00426978" w:rsidP="00335E34">
      <w:pPr>
        <w:jc w:val="both"/>
      </w:pPr>
    </w:p>
    <w:p w14:paraId="37032FCB" w14:textId="104D5A50" w:rsidR="00426978" w:rsidRDefault="00426978" w:rsidP="00335E34">
      <w:pPr>
        <w:jc w:val="both"/>
      </w:pPr>
    </w:p>
    <w:p w14:paraId="15122E2D" w14:textId="77777777" w:rsidR="007D3C03" w:rsidRDefault="007D3C03" w:rsidP="00335E34">
      <w:pPr>
        <w:pStyle w:val="Heading3"/>
        <w:jc w:val="both"/>
        <w:rPr>
          <w:rStyle w:val="Strong"/>
          <w:b/>
          <w:bCs/>
        </w:rPr>
      </w:pPr>
    </w:p>
    <w:p w14:paraId="2BCFC9AB" w14:textId="77777777" w:rsidR="00E8724D" w:rsidRDefault="00E8724D" w:rsidP="00335E34">
      <w:pPr>
        <w:pStyle w:val="Heading3"/>
        <w:jc w:val="both"/>
        <w:rPr>
          <w:rStyle w:val="Strong"/>
          <w:b/>
          <w:bCs/>
        </w:rPr>
      </w:pPr>
    </w:p>
    <w:p w14:paraId="6D8F8FE1" w14:textId="77777777" w:rsidR="00E8724D" w:rsidRDefault="00E8724D" w:rsidP="00335E34">
      <w:pPr>
        <w:pStyle w:val="Heading3"/>
        <w:jc w:val="both"/>
        <w:rPr>
          <w:rStyle w:val="Strong"/>
          <w:b/>
          <w:bCs/>
        </w:rPr>
      </w:pPr>
    </w:p>
    <w:p w14:paraId="1CD75A4C" w14:textId="77777777" w:rsidR="00E8724D" w:rsidRDefault="00E8724D" w:rsidP="00335E34">
      <w:pPr>
        <w:pStyle w:val="Heading3"/>
        <w:jc w:val="both"/>
        <w:rPr>
          <w:rStyle w:val="Strong"/>
          <w:b/>
          <w:bCs/>
        </w:rPr>
      </w:pPr>
    </w:p>
    <w:p w14:paraId="5735327D" w14:textId="73C2D92B" w:rsidR="00426978" w:rsidRDefault="00426978" w:rsidP="00335E34">
      <w:pPr>
        <w:pStyle w:val="Heading3"/>
        <w:jc w:val="both"/>
      </w:pPr>
      <w:r>
        <w:rPr>
          <w:rStyle w:val="Strong"/>
          <w:b/>
          <w:bCs/>
        </w:rPr>
        <w:lastRenderedPageBreak/>
        <w:t>4. Technological Platforms Enabling Multi-Omics</w:t>
      </w:r>
      <w:r>
        <w:t xml:space="preserve"> </w:t>
      </w:r>
    </w:p>
    <w:p w14:paraId="4786237C" w14:textId="3B60480C" w:rsidR="00A06549" w:rsidRPr="0058553A" w:rsidRDefault="002257A9" w:rsidP="00457C54">
      <w:pPr>
        <w:pStyle w:val="NormalWeb"/>
        <w:jc w:val="both"/>
      </w:pPr>
      <w:r w:rsidRPr="0058553A">
        <w:t>Recent developments in high-throughput technology have transformed our ability to analyze tumor heterogeneity using multi-omics, providing previously unheard-of resolution in molecular, temporal, and geographic dimensions. The integration of genotype, epigenotype, phenotype, and microenvironmental context is supported by these platforms</w:t>
      </w:r>
      <w:r w:rsidR="001E2A18">
        <w:fldChar w:fldCharType="begin"/>
      </w:r>
      <w:r w:rsidR="001E2A18">
        <w:instrText xml:space="preserve"> ADDIN ZOTERO_ITEM CSL_CITATION {"citationID":"EapkBW3o","properties":{"formattedCitation":"(Lee et al., 2021)","plainCitation":"(Lee et al., 2021)","noteIndex":0},"citationItems":[{"id":60,"uris":["http://zotero.org/users/local/AJmTDxS7/items/KT6SJ63F"],"itemData":{"id":60,"type":"article-journal","abstract":"The multi-omics molecular characterization of cancer opened a new horizon for our understanding of cancer biology and therapeutic strategies. However, a tumor biopsy comprises diverse types of cells limited not only to cancerous cells but also to tumor microenvironmental cells and adjacent normal cells. This heterogeneity is a major confounding factor that hampers a robust and reproducible bioinformatic analysis for biomarker identification using multi-omics profiles. Besides, the heterogeneity itself has been recognized over the years for its significant prognostic values in some cancer types, thus offering another promising avenue for therapeutic intervention. A number of computational approaches to unravel such heterogeneity from high-throughput molecular profiles of a tumor sample have been proposed, but most of them rely on the data from an individual omics layer. Since the heterogeneity of cells is widely distributed across multi-omics layers, methods based on an individual layer can only partially characterize the heterogeneous admixture of cells. To help facilitate further development of the methodologies that synchronously account for several multi-omics profiles, we wrote a comprehensive review of diverse approaches to characterize tumor heterogeneity based on three different omics layers: genome, epigenome and transcriptome. As a result, this review can be useful for the analysis of multi-omics profiles produced by many large-scale consortia. Contact:sunkim.bioinfo@snu.ac.kr.","container-title":"Briefings in Bioinformatics","DOI":"10.1093/bib/bbaa188","ISSN":"1477-4054","issue":"3","journalAbbreviation":"Brief Bioinform","language":"eng","note":"PMID: 34020548","page":"bbaa188","source":"PubMed","title":"Towards multi-omics characterization of tumor heterogeneity: a comprehensive review of statistical and machine learning approaches","title-short":"Towards multi-omics characterization of tumor heterogeneity","volume":"22","author":[{"family":"Lee","given":"Dohoon"},{"family":"Park","given":"Youngjune"},{"family":"Kim","given":"Sun"}],"issued":{"date-parts":[["2021",5,20]]}}}],"schema":"https://github.com/citation-style-language/schema/raw/master/csl-citation.json"} </w:instrText>
      </w:r>
      <w:r w:rsidR="001E2A18">
        <w:fldChar w:fldCharType="separate"/>
      </w:r>
      <w:r w:rsidR="001E2A18" w:rsidRPr="001E2A18">
        <w:t>(Lee et al., 2021)</w:t>
      </w:r>
      <w:r w:rsidR="001E2A18">
        <w:fldChar w:fldCharType="end"/>
      </w:r>
      <w:r w:rsidRPr="0058553A">
        <w:t>.</w:t>
      </w:r>
      <w:r w:rsidR="00457C54">
        <w:t xml:space="preserve"> </w:t>
      </w:r>
      <w:r w:rsidRPr="0058553A">
        <w:rPr>
          <w:rStyle w:val="Strong"/>
          <w:b w:val="0"/>
          <w:bCs w:val="0"/>
        </w:rPr>
        <w:t>At the resolution of individual cells, single-cell multi-omics technologies enable the simultaneous investigation of many molecular modalities. Single-cell assay for transposase-accessible chromatin sequencing (</w:t>
      </w:r>
      <w:proofErr w:type="spellStart"/>
      <w:r w:rsidRPr="0058553A">
        <w:rPr>
          <w:rStyle w:val="Strong"/>
          <w:b w:val="0"/>
          <w:bCs w:val="0"/>
        </w:rPr>
        <w:t>scATAC</w:t>
      </w:r>
      <w:proofErr w:type="spellEnd"/>
      <w:r w:rsidRPr="0058553A">
        <w:rPr>
          <w:rStyle w:val="Strong"/>
          <w:b w:val="0"/>
          <w:bCs w:val="0"/>
        </w:rPr>
        <w:t>-seq) provides chromatin accessibility landscapes across different cell populations, whereas single-cell RNA sequencing (</w:t>
      </w:r>
      <w:proofErr w:type="spellStart"/>
      <w:r w:rsidRPr="0058553A">
        <w:rPr>
          <w:rStyle w:val="Strong"/>
          <w:b w:val="0"/>
          <w:bCs w:val="0"/>
        </w:rPr>
        <w:t>scRNA</w:t>
      </w:r>
      <w:proofErr w:type="spellEnd"/>
      <w:r w:rsidRPr="0058553A">
        <w:rPr>
          <w:rStyle w:val="Strong"/>
          <w:b w:val="0"/>
          <w:bCs w:val="0"/>
        </w:rPr>
        <w:t xml:space="preserve">-seq) offers insights into transcriptional variation. By concurrently assessing surface protein abundance and transcriptomes, CITE-seq (Cellular </w:t>
      </w:r>
      <w:r w:rsidRPr="00457C54">
        <w:rPr>
          <w:rStyle w:val="Strong"/>
          <w:b w:val="0"/>
          <w:bCs w:val="0"/>
        </w:rPr>
        <w:t xml:space="preserve">Indexing of Transcriptomes and Epitopes by sequencing) improves phenotypic </w:t>
      </w:r>
      <w:r w:rsidR="00457C54" w:rsidRPr="00457C54">
        <w:rPr>
          <w:rStyle w:val="Strong"/>
          <w:b w:val="0"/>
          <w:bCs w:val="0"/>
        </w:rPr>
        <w:t>characterization</w:t>
      </w:r>
      <w:r w:rsidRPr="00457C54">
        <w:rPr>
          <w:rStyle w:val="Strong"/>
          <w:b w:val="0"/>
          <w:bCs w:val="0"/>
        </w:rPr>
        <w:t>.</w:t>
      </w:r>
      <w:r w:rsidR="00457C54">
        <w:rPr>
          <w:rStyle w:val="Strong"/>
          <w:b w:val="0"/>
          <w:bCs w:val="0"/>
        </w:rPr>
        <w:t xml:space="preserve"> </w:t>
      </w:r>
      <w:r w:rsidRPr="00457C54">
        <w:t xml:space="preserve">More comprehensive techniques like </w:t>
      </w:r>
      <w:proofErr w:type="spellStart"/>
      <w:r w:rsidRPr="00457C54">
        <w:t>scNMT</w:t>
      </w:r>
      <w:proofErr w:type="spellEnd"/>
      <w:r w:rsidRPr="00457C54">
        <w:t>-seq provide holistic perspectives of the regulatory mechanisms influencing cellular identity and plasticity in malignancies by simultaneously profiling transcriptomes, chromatin accessibility, and DNA methylation</w:t>
      </w:r>
      <w:r w:rsidR="001E2A18" w:rsidRPr="00457C54">
        <w:fldChar w:fldCharType="begin"/>
      </w:r>
      <w:r w:rsidR="001E2A18" w:rsidRPr="00457C54">
        <w:instrText xml:space="preserve"> ADDIN ZOTERO_ITEM CSL_CITATION {"citationID":"Hjl3EzqO","properties":{"formattedCitation":"(Kim &amp; Takahashi, 2025)","plainCitation":"(Kim &amp; Takahashi, 2025)","noteIndex":0},"citationItems":[{"id":62,"uris":["http://zotero.org/users/local/AJmTDxS7/items/MACA389F"],"itemData":{"id":62,"type":"article-journal","abstract":"The heterogeneity of the hematopoietic system was largely veiled by traditional bulk sequencing methods, which measure the averaged signals from mixed cellular populations. In contrast, single-cell sequencing has enabled the direct measurement of individual signals from each cell, significantly enhancing our ability to unveil such heterogeneity. Building on these advances, numerous single-cell multi-omics techniques have been developed into high-throughput, routinely accessible platforms, delineating the precise relationships among different layers of the central dogma in molecular biology. These technologies have uncovered the intricate landscape of genetic clonality and transcriptional heterogeneity in both normal and malignant hematopoietic systems, highlighting their roles in differentiation, disease progression, and therapy resistance. This review aims to provide a brief overview of the principles of single-cell technologies, their historical development, and a subset of ever-expanding multi-omics tools, emphasizing the specific research questions that inspired their creation. Amidst the evolving landscape of single-cell multi-omics technologies, our main objective is to guide investigators in selecting the most suitable platforms for their research needs.","container-title":"Haematologica","DOI":"10.3324/haematol.2022.282557","ISSN":"0390-6078","issue":"6","journalAbbreviation":"Haematologica","note":"PMID: 39911109\nPMCID: PMC12130758","page":"1269-1277","source":"PubMed Central","title":"Emerging technologies of single-cell multi-omics","volume":"110","author":[{"family":"Kim","given":"Yi June"},{"family":"Takahashi","given":"Koichi"}],"issued":{"date-parts":[["2025",2,6]]}}}],"schema":"https://github.com/citation-style-language/schema/raw/master/csl-citation.json"} </w:instrText>
      </w:r>
      <w:r w:rsidR="001E2A18" w:rsidRPr="00457C54">
        <w:fldChar w:fldCharType="separate"/>
      </w:r>
      <w:r w:rsidR="001E2A18" w:rsidRPr="00457C54">
        <w:t>(Kim &amp; Takahashi, 2025)</w:t>
      </w:r>
      <w:r w:rsidR="001E2A18" w:rsidRPr="00457C54">
        <w:fldChar w:fldCharType="end"/>
      </w:r>
      <w:r w:rsidRPr="00457C54">
        <w:t>.</w:t>
      </w:r>
      <w:r w:rsidR="00457C54" w:rsidRPr="00457C54">
        <w:t xml:space="preserve"> </w:t>
      </w:r>
      <w:r w:rsidRPr="00457C54">
        <w:rPr>
          <w:rStyle w:val="Strong"/>
          <w:b w:val="0"/>
          <w:bCs w:val="0"/>
        </w:rPr>
        <w:t>A crucial spatial component is added to tumor profiling by spatial omics platforms. Spatial transcriptomics preserves the contextual link between tumor cells and the surrounding milieu by enabling mapping of gene expression in situ within tissue architecture. Numerous proteins can be detected simultaneously in intact tissue sections using methods like imaging mass cytometry and multiplexed immunofluorescence, which makes high-dimensional cellular phenotyping and microenvironmental mapping easier</w:t>
      </w:r>
      <w:r w:rsidR="001E2A18" w:rsidRPr="00457C54">
        <w:rPr>
          <w:rStyle w:val="Strong"/>
          <w:b w:val="0"/>
          <w:bCs w:val="0"/>
        </w:rPr>
        <w:fldChar w:fldCharType="begin"/>
      </w:r>
      <w:r w:rsidR="001E2A18" w:rsidRPr="00457C54">
        <w:rPr>
          <w:rStyle w:val="Strong"/>
          <w:b w:val="0"/>
          <w:bCs w:val="0"/>
        </w:rPr>
        <w:instrText xml:space="preserve"> ADDIN ZOTERO_ITEM CSL_CITATION {"citationID":"coXme4d0","properties":{"formattedCitation":"(Jin et al., 2024)","plainCitation":"(Jin et al., 2024)","noteIndex":0},"citationItems":[{"id":64,"uris":["http://zotero.org/users/local/AJmTDxS7/items/HBSC8QR4"],"itemData":{"id":64,"type":"article-journal","abstract":"Malignant tumors have increasing morbidity and high mortality, and their occurrence and development is a complicate process. The development of sequencing technologies enabled us to gain a better understanding of the underlying genetic and molecular mechanisms in tumors. In recent years, the spatial transcriptomics sequencing technologies have been developed rapidly and allow the quantification and illustration of gene expression in the spatial context of tissues. Compared with the traditional transcriptomics technologies, spatial transcriptomics technologies not only detect gene expression levels in cells, but also inform the spatial location of genes within tissues, cell composition of biological tissues, and interaction between cells. Here we summarize the development of spatial transcriptomics technologies, spatial transcriptomics tools and its application in cancer research. We also discuss the limitations and challenges of current spatial transcriptomics approaches, as well as future development and prospects.","container-title":"Molecular Cancer","DOI":"10.1186/s12943-024-02040-9","ISSN":"1476-4598","journalAbbreviation":"Mol Cancer","note":"PMID: 38902727\nPMCID: PMC11188176","page":"129","source":"PubMed Central","title":"Advances in spatial transcriptomics and its applications in cancer research","volume":"23","author":[{"family":"Jin","given":"Yang"},{"family":"Zuo","given":"Yuanli"},{"family":"Li","given":"Gang"},{"family":"Liu","given":"Wenrong"},{"family":"Pan","given":"Yitong"},{"family":"Fan","given":"Ting"},{"family":"Fu","given":"Xin"},{"family":"Yao","given":"Xiaojun"},{"family":"Peng","given":"Yong"}],"issued":{"date-parts":[["2024",6,20]]}}}],"schema":"https://github.com/citation-style-language/schema/raw/master/csl-citation.json"} </w:instrText>
      </w:r>
      <w:r w:rsidR="001E2A18" w:rsidRPr="00457C54">
        <w:rPr>
          <w:rStyle w:val="Strong"/>
          <w:b w:val="0"/>
          <w:bCs w:val="0"/>
        </w:rPr>
        <w:fldChar w:fldCharType="separate"/>
      </w:r>
      <w:r w:rsidR="001E2A18" w:rsidRPr="00457C54">
        <w:t>(Jin et al., 2024)</w:t>
      </w:r>
      <w:r w:rsidR="001E2A18" w:rsidRPr="00457C54">
        <w:rPr>
          <w:rStyle w:val="Strong"/>
          <w:b w:val="0"/>
          <w:bCs w:val="0"/>
        </w:rPr>
        <w:fldChar w:fldCharType="end"/>
      </w:r>
      <w:r w:rsidRPr="00457C54">
        <w:rPr>
          <w:rStyle w:val="Strong"/>
          <w:b w:val="0"/>
          <w:bCs w:val="0"/>
        </w:rPr>
        <w:t>.</w:t>
      </w:r>
      <w:r w:rsidR="00457C54">
        <w:rPr>
          <w:rStyle w:val="Strong"/>
          <w:b w:val="0"/>
          <w:bCs w:val="0"/>
        </w:rPr>
        <w:t xml:space="preserve"> </w:t>
      </w:r>
      <w:r w:rsidR="0058553A" w:rsidRPr="0058553A">
        <w:t>Figure 3 illustrates the state of the art in terms of single-cell and spatial multi-omics platforms, which allow for fine-scale resolution of microenvironmental and tumor complexity.</w:t>
      </w:r>
    </w:p>
    <w:p w14:paraId="37CBB61C" w14:textId="000C2F08" w:rsidR="00426978" w:rsidRPr="0058553A" w:rsidRDefault="00A06549" w:rsidP="00335E34">
      <w:pPr>
        <w:pStyle w:val="NormalWeb"/>
        <w:jc w:val="both"/>
      </w:pPr>
      <w:r w:rsidRPr="0058553A">
        <w:t xml:space="preserve"> </w:t>
      </w:r>
    </w:p>
    <w:p w14:paraId="2D37C6E1" w14:textId="6E74F75B" w:rsidR="00A06549" w:rsidRDefault="00A06549" w:rsidP="00335E34">
      <w:pPr>
        <w:pStyle w:val="NormalWeb"/>
        <w:jc w:val="both"/>
      </w:pPr>
      <w:r>
        <w:rPr>
          <w:noProof/>
        </w:rPr>
        <w:lastRenderedPageBreak/>
        <w:drawing>
          <wp:inline distT="0" distB="0" distL="0" distR="0" wp14:anchorId="21C8D80E" wp14:editId="020138D4">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tGPT Image Jun 24, 2025, 06_55_11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21A3287" w14:textId="77777777" w:rsidR="0037258F" w:rsidRDefault="00A06549" w:rsidP="00D505B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3. Spatial and Single-cell Multi-Omics Technologies Landscape</w:t>
      </w:r>
      <w:r>
        <w:rPr>
          <w:rFonts w:ascii="Times New Roman" w:eastAsia="Times New Roman" w:hAnsi="Times New Roman" w:cs="Times New Roman"/>
          <w:sz w:val="24"/>
          <w:szCs w:val="24"/>
        </w:rPr>
        <w:t xml:space="preserve">. </w:t>
      </w:r>
      <w:r w:rsidR="0058553A">
        <w:rPr>
          <w:rFonts w:ascii="Times New Roman" w:eastAsia="Times New Roman" w:hAnsi="Times New Roman" w:cs="Times New Roman"/>
          <w:sz w:val="24"/>
          <w:szCs w:val="24"/>
        </w:rPr>
        <w:t xml:space="preserve">This figure highlights the functions of important technologies in single-cell multi-omics and spatial omics in addressing tumor heterogeneity by classifying and contrasting them. The localization of molecular characteristics inside intact tissue architecture is made possible by spatial omics techniques including multiplexed immunofluorescence, imaging mass cytometry, and spatial transcriptomics. Single-cell methods, such as </w:t>
      </w:r>
      <w:proofErr w:type="spellStart"/>
      <w:r w:rsidR="0058553A">
        <w:rPr>
          <w:rFonts w:ascii="Times New Roman" w:eastAsia="Times New Roman" w:hAnsi="Times New Roman" w:cs="Times New Roman"/>
          <w:sz w:val="24"/>
          <w:szCs w:val="24"/>
        </w:rPr>
        <w:t>scRNA</w:t>
      </w:r>
      <w:proofErr w:type="spellEnd"/>
      <w:r w:rsidR="0058553A">
        <w:rPr>
          <w:rFonts w:ascii="Times New Roman" w:eastAsia="Times New Roman" w:hAnsi="Times New Roman" w:cs="Times New Roman"/>
          <w:sz w:val="24"/>
          <w:szCs w:val="24"/>
        </w:rPr>
        <w:t xml:space="preserve">-seq, </w:t>
      </w:r>
      <w:proofErr w:type="spellStart"/>
      <w:r w:rsidR="0058553A">
        <w:rPr>
          <w:rFonts w:ascii="Times New Roman" w:eastAsia="Times New Roman" w:hAnsi="Times New Roman" w:cs="Times New Roman"/>
          <w:sz w:val="24"/>
          <w:szCs w:val="24"/>
        </w:rPr>
        <w:t>scATAC</w:t>
      </w:r>
      <w:proofErr w:type="spellEnd"/>
      <w:r w:rsidR="0058553A">
        <w:rPr>
          <w:rFonts w:ascii="Times New Roman" w:eastAsia="Times New Roman" w:hAnsi="Times New Roman" w:cs="Times New Roman"/>
          <w:sz w:val="24"/>
          <w:szCs w:val="24"/>
        </w:rPr>
        <w:t xml:space="preserve">-seq, CITE-seq, and </w:t>
      </w:r>
      <w:proofErr w:type="spellStart"/>
      <w:r w:rsidR="0058553A">
        <w:rPr>
          <w:rFonts w:ascii="Times New Roman" w:eastAsia="Times New Roman" w:hAnsi="Times New Roman" w:cs="Times New Roman"/>
          <w:sz w:val="24"/>
          <w:szCs w:val="24"/>
        </w:rPr>
        <w:t>scNMT</w:t>
      </w:r>
      <w:proofErr w:type="spellEnd"/>
      <w:r w:rsidR="0058553A">
        <w:rPr>
          <w:rFonts w:ascii="Times New Roman" w:eastAsia="Times New Roman" w:hAnsi="Times New Roman" w:cs="Times New Roman"/>
          <w:sz w:val="24"/>
          <w:szCs w:val="24"/>
        </w:rPr>
        <w:t>-seq, on the other hand, isolate individual cells for deep molecular profiling, concurrently recording surface protein, transcriptional, and epigenetic information. When combined, these methods enable high-resolution analysis of tumor cell states, lineage hierarchies, and interactions with the microenvironment</w:t>
      </w:r>
      <w:r w:rsidR="0037258F">
        <w:rPr>
          <w:rFonts w:ascii="Times New Roman" w:eastAsia="Times New Roman" w:hAnsi="Times New Roman" w:cs="Times New Roman"/>
          <w:sz w:val="24"/>
          <w:szCs w:val="24"/>
        </w:rPr>
        <w:t xml:space="preserve">. </w:t>
      </w:r>
      <w:r w:rsidR="0037258F" w:rsidRPr="0037258F">
        <w:rPr>
          <w:rFonts w:ascii="Times New Roman" w:eastAsia="Times New Roman" w:hAnsi="Times New Roman" w:cs="Times New Roman"/>
          <w:sz w:val="24"/>
          <w:szCs w:val="24"/>
        </w:rPr>
        <w:t>(</w:t>
      </w:r>
      <w:r w:rsidR="0037258F" w:rsidRPr="0037258F">
        <w:rPr>
          <w:rFonts w:ascii="Times New Roman" w:hAnsi="Times New Roman" w:cs="Times New Roman"/>
          <w:sz w:val="24"/>
          <w:szCs w:val="24"/>
        </w:rPr>
        <w:t xml:space="preserve">Zhang et al., 2025). Application of spatial and single-cell omics in tumor immunotherapy biomarkers. </w:t>
      </w:r>
      <w:proofErr w:type="spellStart"/>
      <w:r w:rsidR="0037258F" w:rsidRPr="0037258F">
        <w:rPr>
          <w:rFonts w:ascii="Times New Roman" w:hAnsi="Times New Roman" w:cs="Times New Roman"/>
          <w:i/>
          <w:iCs/>
          <w:sz w:val="24"/>
          <w:szCs w:val="24"/>
        </w:rPr>
        <w:t>LabMed</w:t>
      </w:r>
      <w:proofErr w:type="spellEnd"/>
      <w:r w:rsidR="0037258F" w:rsidRPr="0037258F">
        <w:rPr>
          <w:rFonts w:ascii="Times New Roman" w:hAnsi="Times New Roman" w:cs="Times New Roman"/>
          <w:i/>
          <w:iCs/>
          <w:sz w:val="24"/>
          <w:szCs w:val="24"/>
        </w:rPr>
        <w:t xml:space="preserve"> Discovery</w:t>
      </w:r>
      <w:r w:rsidR="0037258F" w:rsidRPr="0037258F">
        <w:rPr>
          <w:rFonts w:ascii="Times New Roman" w:hAnsi="Times New Roman" w:cs="Times New Roman"/>
          <w:sz w:val="24"/>
          <w:szCs w:val="24"/>
        </w:rPr>
        <w:t>, 100076. https://doi.org/10.1016/j.lmd.2025.100076</w:t>
      </w:r>
      <w:r w:rsidR="0058553A" w:rsidRPr="0037258F">
        <w:rPr>
          <w:rFonts w:ascii="Times New Roman" w:eastAsia="Times New Roman" w:hAnsi="Times New Roman" w:cs="Times New Roman"/>
          <w:sz w:val="24"/>
          <w:szCs w:val="24"/>
        </w:rPr>
        <w:t>.</w:t>
      </w:r>
      <w:r w:rsidR="00D505B8" w:rsidRPr="0037258F">
        <w:rPr>
          <w:rFonts w:ascii="Times New Roman" w:eastAsia="Times New Roman" w:hAnsi="Times New Roman" w:cs="Times New Roman"/>
          <w:sz w:val="24"/>
          <w:szCs w:val="24"/>
        </w:rPr>
        <w:t xml:space="preserve"> </w:t>
      </w:r>
    </w:p>
    <w:p w14:paraId="217E631C" w14:textId="0961E4DA" w:rsidR="00426978" w:rsidRPr="00D505B8" w:rsidRDefault="0058553A" w:rsidP="00D505B8">
      <w:pPr>
        <w:spacing w:before="100" w:beforeAutospacing="1" w:after="100" w:afterAutospacing="1" w:line="240" w:lineRule="auto"/>
        <w:jc w:val="both"/>
        <w:rPr>
          <w:rFonts w:ascii="Times New Roman" w:eastAsia="Times New Roman" w:hAnsi="Times New Roman" w:cs="Times New Roman"/>
          <w:sz w:val="24"/>
          <w:szCs w:val="24"/>
        </w:rPr>
      </w:pPr>
      <w:r w:rsidRPr="00D505B8">
        <w:rPr>
          <w:rStyle w:val="Strong"/>
          <w:rFonts w:ascii="Times New Roman" w:hAnsi="Times New Roman" w:cs="Times New Roman"/>
          <w:b w:val="0"/>
          <w:bCs w:val="0"/>
          <w:sz w:val="24"/>
          <w:szCs w:val="24"/>
        </w:rPr>
        <w:t>In order to resolve structural variants, repetitive areas, and epigenetic alterations, third-generation sequencing technologies like Oxford Nanopore and Pacific Biosciences (PacBio) offer long-read sequencing capabilities that get beyond the drawbacks of short-read platforms. These methods are especially useful for identifying base alterations like 5-methylcytosine without bisulfite conversion, complicated rearrangements, and oncogenic fusions</w:t>
      </w:r>
      <w:r w:rsidR="001E2A18" w:rsidRPr="00D505B8">
        <w:rPr>
          <w:rStyle w:val="Strong"/>
          <w:rFonts w:ascii="Times New Roman" w:hAnsi="Times New Roman" w:cs="Times New Roman"/>
          <w:b w:val="0"/>
          <w:bCs w:val="0"/>
          <w:sz w:val="24"/>
          <w:szCs w:val="24"/>
        </w:rPr>
        <w:fldChar w:fldCharType="begin"/>
      </w:r>
      <w:r w:rsidR="000B6060" w:rsidRPr="00D505B8">
        <w:rPr>
          <w:rStyle w:val="Strong"/>
          <w:rFonts w:ascii="Times New Roman" w:hAnsi="Times New Roman" w:cs="Times New Roman"/>
          <w:b w:val="0"/>
          <w:bCs w:val="0"/>
          <w:sz w:val="24"/>
          <w:szCs w:val="24"/>
        </w:rPr>
        <w:instrText xml:space="preserve"> ADDIN ZOTERO_ITEM CSL_CITATION {"citationID":"oiJ6fvIu","properties":{"formattedCitation":"(Satam et al., 2023a)","plainCitation":"(Satam et al., 2023a)","noteIndex":0},"citationItems":[{"id":67,"uris":["http://zotero.org/users/local/AJmTDxS7/items/PYRRQS4Q"],"itemData":{"id":67,"type":"article-journal","abstract":"Simple Summary\nNext-generation sequencing (NGS) is a powerful tool used in genomics research. NGS can sequence millions of DNA fragments at once, providing detailed information about the structure of genomes, genetic variations, gene activity, and changes in gene behavior. Recent advancements have focused on faster and more accurate sequencing, reduced costs, and improved data analysis. These advancements hold great promise for unlocking new insights into genomics and improving our understanding of diseases and personalized healthcare. This review article provides an overview of NGS technology and its impact on various areas of research, such as clinical genomics, cancer, infectious diseases, and the study of the microbiome.\n\nAbstract\nThe advent of next-generation sequencing (NGS) has brought about a paradigm shift in genomics research, offering unparalleled capabilities for analyzing DNA and RNA molecules in a high-throughput and cost-effective manner. This transformative technology has swiftly propelled genomics advancements across diverse domains. NGS allows for the rapid sequencing of millions of DNA fragments simultaneously, providing comprehensive insights into genome structure, genetic variations, gene expression profiles, and epigenetic modifications. The versatility of NGS platforms has expanded the scope of genomics research, facilitating studies on rare genetic diseases, cancer genomics, microbiome analysis, infectious diseases, and population genetics. Moreover, NGS has enabled the development of targeted therapies, precision medicine approaches, and improved diagnostic methods. This review provides an insightful overview of the current trends and recent advancements in NGS technology, highlighting its potential impact on diverse areas of genomic research. Moreover, the review delves into the challenges encountered and future directions of NGS technology, including endeavors to enhance the accuracy and sensitivity of sequencing data, the development of novel algorithms for data analysis, and the pursuit of more efficient, scalable, and cost-effective solutions that lie ahead.","container-title":"Biology","DOI":"10.3390/biology12070997","ISSN":"2079-7737","issue":"7","journalAbbreviation":"Biology (Basel)","note":"PMID: 37508427\nPMCID: PMC10376292","page":"997","source":"PubMed Central","title":"Next-Generation Sequencing Technology: Current Trends and Advancements","title-short":"Next-Generation Sequencing Technology","volume":"12","author":[{"family":"Satam","given":"Heena"},{"family":"Joshi","given":"Kandarp"},{"family":"Mangrolia","given":"Upasana"},{"family":"Waghoo","given":"Sanober"},{"family":"Zaidi","given":"Gulnaz"},{"family":"Rawool","given":"Shravani"},{"family":"Thakare","given":"Ritesh P."},{"family":"Banday","given":"Shahid"},{"family":"Mishra","given":"Alok K."},{"family":"Das","given":"Gautam"},{"family":"Malonia","given":"Sunil K."}],"issued":{"date-parts":[["2023",7,13]]}}}],"schema":"https://github.com/citation-style-language/schema/raw/master/csl-citation.json"} </w:instrText>
      </w:r>
      <w:r w:rsidR="001E2A18" w:rsidRPr="00D505B8">
        <w:rPr>
          <w:rStyle w:val="Strong"/>
          <w:rFonts w:ascii="Times New Roman" w:hAnsi="Times New Roman" w:cs="Times New Roman"/>
          <w:b w:val="0"/>
          <w:bCs w:val="0"/>
          <w:sz w:val="24"/>
          <w:szCs w:val="24"/>
        </w:rPr>
        <w:fldChar w:fldCharType="separate"/>
      </w:r>
      <w:r w:rsidR="000B6060" w:rsidRPr="00D505B8">
        <w:rPr>
          <w:rFonts w:ascii="Times New Roman" w:hAnsi="Times New Roman" w:cs="Times New Roman"/>
          <w:sz w:val="24"/>
          <w:szCs w:val="24"/>
        </w:rPr>
        <w:t>(Satam et al., 2023a)</w:t>
      </w:r>
      <w:r w:rsidR="001E2A18" w:rsidRPr="00D505B8">
        <w:rPr>
          <w:rStyle w:val="Strong"/>
          <w:rFonts w:ascii="Times New Roman" w:hAnsi="Times New Roman" w:cs="Times New Roman"/>
          <w:b w:val="0"/>
          <w:bCs w:val="0"/>
          <w:sz w:val="24"/>
          <w:szCs w:val="24"/>
        </w:rPr>
        <w:fldChar w:fldCharType="end"/>
      </w:r>
      <w:r w:rsidRPr="00D505B8">
        <w:rPr>
          <w:rStyle w:val="Strong"/>
          <w:rFonts w:ascii="Times New Roman" w:hAnsi="Times New Roman" w:cs="Times New Roman"/>
          <w:b w:val="0"/>
          <w:bCs w:val="0"/>
          <w:sz w:val="24"/>
          <w:szCs w:val="24"/>
        </w:rPr>
        <w:t>.</w:t>
      </w:r>
      <w:r w:rsidR="00D505B8" w:rsidRPr="00D505B8">
        <w:rPr>
          <w:rStyle w:val="Strong"/>
          <w:rFonts w:ascii="Times New Roman" w:hAnsi="Times New Roman" w:cs="Times New Roman"/>
          <w:b w:val="0"/>
          <w:bCs w:val="0"/>
          <w:sz w:val="24"/>
          <w:szCs w:val="24"/>
        </w:rPr>
        <w:t xml:space="preserve"> </w:t>
      </w:r>
      <w:r w:rsidRPr="00D505B8">
        <w:rPr>
          <w:rStyle w:val="Strong"/>
          <w:rFonts w:ascii="Times New Roman" w:hAnsi="Times New Roman" w:cs="Times New Roman"/>
          <w:b w:val="0"/>
          <w:bCs w:val="0"/>
          <w:sz w:val="24"/>
          <w:szCs w:val="24"/>
        </w:rPr>
        <w:t xml:space="preserve">By combining mass spectrometry-based proteomic data with genomic or transcriptome information, </w:t>
      </w:r>
      <w:proofErr w:type="spellStart"/>
      <w:r w:rsidRPr="00D505B8">
        <w:rPr>
          <w:rStyle w:val="Strong"/>
          <w:rFonts w:ascii="Times New Roman" w:hAnsi="Times New Roman" w:cs="Times New Roman"/>
          <w:b w:val="0"/>
          <w:bCs w:val="0"/>
          <w:sz w:val="24"/>
          <w:szCs w:val="24"/>
        </w:rPr>
        <w:t>proteogenomics</w:t>
      </w:r>
      <w:proofErr w:type="spellEnd"/>
      <w:r w:rsidRPr="00D505B8">
        <w:rPr>
          <w:rStyle w:val="Strong"/>
          <w:rFonts w:ascii="Times New Roman" w:hAnsi="Times New Roman" w:cs="Times New Roman"/>
          <w:b w:val="0"/>
          <w:bCs w:val="0"/>
          <w:sz w:val="24"/>
          <w:szCs w:val="24"/>
        </w:rPr>
        <w:t xml:space="preserve"> fills the gap between proteomics and genomics. It can be used to discover neoantigens, measure the expression of mutant proteins, and describe signaling cascades that are important for drug targeting. This method has proved crucial in improving treatment approaches for conditions including colorectal and breast cancer</w:t>
      </w:r>
      <w:r w:rsidR="001E2A18" w:rsidRPr="00D505B8">
        <w:rPr>
          <w:rStyle w:val="Strong"/>
          <w:rFonts w:ascii="Times New Roman" w:hAnsi="Times New Roman" w:cs="Times New Roman"/>
          <w:b w:val="0"/>
          <w:bCs w:val="0"/>
          <w:sz w:val="24"/>
          <w:szCs w:val="24"/>
        </w:rPr>
        <w:fldChar w:fldCharType="begin"/>
      </w:r>
      <w:r w:rsidR="001E2A18" w:rsidRPr="00D505B8">
        <w:rPr>
          <w:rStyle w:val="Strong"/>
          <w:rFonts w:ascii="Times New Roman" w:hAnsi="Times New Roman" w:cs="Times New Roman"/>
          <w:b w:val="0"/>
          <w:bCs w:val="0"/>
          <w:sz w:val="24"/>
          <w:szCs w:val="24"/>
        </w:rPr>
        <w:instrText xml:space="preserve"> ADDIN ZOTERO_ITEM CSL_CITATION {"citationID":"Egt0YBDz","properties":{"formattedCitation":"(Sheynkman et al., 2016)","plainCitation":"(Sheynkman et al., 2016)","noteIndex":0},"citationItems":[{"id":70,"uris":["http://zotero.org/users/local/AJmTDxS7/items/23FD4VNK"],"itemData":{"id":70,"type":"article-journal","abstract":"Mass spectrometry–based proteomics has emerged as the leading method for detection, quantification, and characterization of proteins. Nearly all proteomic workflows rely on proteomic databases to identify peptides and proteins, but these databases typically contain a generic set of proteins that lack variations unique to a given sample, precluding their detection. Fortunately, proteogenomics enables the detection of such proteomic variations and can be defined, broadly, as the use of nucleotide sequences to generate candidate protein sequences for mass spectrometry database searching. Proteogenomics is experiencing heightened significance due to two developments: (a) advances in DNA sequencing technologies that have made complete sequencing of human genomes and transcriptomes routine, and (b) the unveiling of the tremendous complexity of the human proteome as expressed at the levels of genes, cells, tissues, individuals, and populations. We review here the field of human proteogenomics, with an emphasis on its history, current implementations, the types of proteomic variations it reveals, and several important applications.","container-title":"Annual review of analytical chemistry (Palo Alto, Calif.)","DOI":"10.1146/annurev-anchem-071015-041722","ISSN":"1936-1327","issue":"1","journalAbbreviation":"Annu Rev Anal Chem (Palo Alto Calif)","note":"PMID: 27049631\nPMCID: PMC4991544","page":"521-545","source":"PubMed Central","title":"Proteogenomics: Integrating Next-Generation Sequencing and Mass Spectrometry to Characterize Human Proteomic Variation","title-short":"Proteogenomics","volume":"9","author":[{"family":"Sheynkman","given":"Gloria M."},{"family":"Shortreed","given":"Michael R."},{"family":"Cesnik","given":"Anthony J."},{"family":"Smith","given":"Lloyd M."}],"issued":{"date-parts":[["2016",6,12]]}}}],"schema":"https://github.com/citation-style-language/schema/raw/master/csl-citation.json"} </w:instrText>
      </w:r>
      <w:r w:rsidR="001E2A18" w:rsidRPr="00D505B8">
        <w:rPr>
          <w:rStyle w:val="Strong"/>
          <w:rFonts w:ascii="Times New Roman" w:hAnsi="Times New Roman" w:cs="Times New Roman"/>
          <w:b w:val="0"/>
          <w:bCs w:val="0"/>
          <w:sz w:val="24"/>
          <w:szCs w:val="24"/>
        </w:rPr>
        <w:fldChar w:fldCharType="separate"/>
      </w:r>
      <w:r w:rsidR="001E2A18" w:rsidRPr="00D505B8">
        <w:rPr>
          <w:rFonts w:ascii="Times New Roman" w:hAnsi="Times New Roman" w:cs="Times New Roman"/>
          <w:sz w:val="24"/>
          <w:szCs w:val="24"/>
        </w:rPr>
        <w:t>(</w:t>
      </w:r>
      <w:proofErr w:type="spellStart"/>
      <w:r w:rsidR="001E2A18" w:rsidRPr="00D505B8">
        <w:rPr>
          <w:rFonts w:ascii="Times New Roman" w:hAnsi="Times New Roman" w:cs="Times New Roman"/>
          <w:sz w:val="24"/>
          <w:szCs w:val="24"/>
        </w:rPr>
        <w:t>Sheynkman</w:t>
      </w:r>
      <w:proofErr w:type="spellEnd"/>
      <w:r w:rsidR="001E2A18" w:rsidRPr="00D505B8">
        <w:rPr>
          <w:rFonts w:ascii="Times New Roman" w:hAnsi="Times New Roman" w:cs="Times New Roman"/>
          <w:sz w:val="24"/>
          <w:szCs w:val="24"/>
        </w:rPr>
        <w:t xml:space="preserve"> et al., 2016)</w:t>
      </w:r>
      <w:r w:rsidR="001E2A18" w:rsidRPr="00D505B8">
        <w:rPr>
          <w:rStyle w:val="Strong"/>
          <w:rFonts w:ascii="Times New Roman" w:hAnsi="Times New Roman" w:cs="Times New Roman"/>
          <w:b w:val="0"/>
          <w:bCs w:val="0"/>
          <w:sz w:val="24"/>
          <w:szCs w:val="24"/>
        </w:rPr>
        <w:fldChar w:fldCharType="end"/>
      </w:r>
      <w:r w:rsidRPr="00D505B8">
        <w:rPr>
          <w:rStyle w:val="Strong"/>
          <w:rFonts w:ascii="Times New Roman" w:hAnsi="Times New Roman" w:cs="Times New Roman"/>
          <w:b w:val="0"/>
          <w:bCs w:val="0"/>
          <w:sz w:val="24"/>
          <w:szCs w:val="24"/>
        </w:rPr>
        <w:t>.</w:t>
      </w:r>
      <w:r w:rsidR="00D505B8" w:rsidRPr="00D505B8">
        <w:rPr>
          <w:rStyle w:val="Strong"/>
          <w:rFonts w:ascii="Times New Roman" w:hAnsi="Times New Roman" w:cs="Times New Roman"/>
          <w:b w:val="0"/>
          <w:bCs w:val="0"/>
          <w:sz w:val="24"/>
          <w:szCs w:val="24"/>
        </w:rPr>
        <w:t xml:space="preserve"> </w:t>
      </w:r>
      <w:r w:rsidRPr="00D505B8">
        <w:rPr>
          <w:rFonts w:ascii="Times New Roman" w:hAnsi="Times New Roman" w:cs="Times New Roman"/>
          <w:sz w:val="24"/>
          <w:szCs w:val="24"/>
        </w:rPr>
        <w:t>It takes strong computational platforms to manage the amount and complexity of multi-omic</w:t>
      </w:r>
      <w:r w:rsidR="00C269A5">
        <w:rPr>
          <w:rFonts w:ascii="Times New Roman" w:hAnsi="Times New Roman" w:cs="Times New Roman"/>
          <w:sz w:val="24"/>
          <w:szCs w:val="24"/>
        </w:rPr>
        <w:t>s</w:t>
      </w:r>
      <w:r w:rsidRPr="00D505B8">
        <w:rPr>
          <w:rFonts w:ascii="Times New Roman" w:hAnsi="Times New Roman" w:cs="Times New Roman"/>
          <w:sz w:val="24"/>
          <w:szCs w:val="24"/>
        </w:rPr>
        <w:t xml:space="preserve"> data. Biomarker </w:t>
      </w:r>
      <w:r w:rsidRPr="00D505B8">
        <w:rPr>
          <w:rFonts w:ascii="Times New Roman" w:hAnsi="Times New Roman" w:cs="Times New Roman"/>
          <w:sz w:val="24"/>
          <w:szCs w:val="24"/>
        </w:rPr>
        <w:lastRenderedPageBreak/>
        <w:t xml:space="preserve">identification, batch correction, data integration, dimensionality reduction, and cell-cell interaction modeling are all supported by tools like MOFA (Multi-Omics Factor Analysis), Seurat v4, Harmony, Liger, </w:t>
      </w:r>
      <w:proofErr w:type="spellStart"/>
      <w:r w:rsidRPr="00D505B8">
        <w:rPr>
          <w:rFonts w:ascii="Times New Roman" w:hAnsi="Times New Roman" w:cs="Times New Roman"/>
          <w:sz w:val="24"/>
          <w:szCs w:val="24"/>
        </w:rPr>
        <w:t>CellPhoneDB</w:t>
      </w:r>
      <w:proofErr w:type="spellEnd"/>
      <w:r w:rsidRPr="00D505B8">
        <w:rPr>
          <w:rFonts w:ascii="Times New Roman" w:hAnsi="Times New Roman" w:cs="Times New Roman"/>
          <w:sz w:val="24"/>
          <w:szCs w:val="24"/>
        </w:rPr>
        <w:t xml:space="preserve">, and </w:t>
      </w:r>
      <w:proofErr w:type="spellStart"/>
      <w:r w:rsidRPr="00D505B8">
        <w:rPr>
          <w:rFonts w:ascii="Times New Roman" w:hAnsi="Times New Roman" w:cs="Times New Roman"/>
          <w:sz w:val="24"/>
          <w:szCs w:val="24"/>
        </w:rPr>
        <w:t>iCluster</w:t>
      </w:r>
      <w:proofErr w:type="spellEnd"/>
      <w:r w:rsidRPr="00D505B8">
        <w:rPr>
          <w:rFonts w:ascii="Times New Roman" w:hAnsi="Times New Roman" w:cs="Times New Roman"/>
          <w:sz w:val="24"/>
          <w:szCs w:val="24"/>
        </w:rPr>
        <w:t>. The analysis of intricate, high-dimensional datasets is powered by these bioinformatics tools, which provide mechanistic insights and translational applications in oncology</w:t>
      </w:r>
      <w:r w:rsidR="001E2A18" w:rsidRPr="00D505B8">
        <w:rPr>
          <w:rFonts w:ascii="Times New Roman" w:hAnsi="Times New Roman" w:cs="Times New Roman"/>
          <w:sz w:val="24"/>
          <w:szCs w:val="24"/>
        </w:rPr>
        <w:fldChar w:fldCharType="begin"/>
      </w:r>
      <w:r w:rsidR="001E2A18" w:rsidRPr="00D505B8">
        <w:rPr>
          <w:rFonts w:ascii="Times New Roman" w:hAnsi="Times New Roman" w:cs="Times New Roman"/>
          <w:sz w:val="24"/>
          <w:szCs w:val="24"/>
        </w:rPr>
        <w:instrText xml:space="preserve"> ADDIN ZOTERO_ITEM CSL_CITATION {"citationID":"b2oyTMPj","properties":{"formattedCitation":"(Saliba et al., 2024)","plainCitation":"(Saliba et al., 2024)","noteIndex":0},"citationItems":[{"id":73,"uris":["http://zotero.org/users/local/AJmTDxS7/items/NDNYU6GF"],"itemData":{"id":73,"type":"article-journal","abstract":"Omics technologies have transformed nephrology, providing deep insights into molecular mechanisms of kidney disease and enabling more precise diagnostic tools, therapeutic strategies, and prognostic markers. Multi-omics data integration, spanning bulk, single-cell, and spatial omics, offers a comprehensive view of kidney biology in health and disease. In this review, we explore methods and challenges for integrating transcriptomic, epigenomic, and spatial data. By combining omics layers, researchers can uncover novel molecular interactions and spatial tissue organization, advancing our understanding of diseases like diabetic kidney disease and autosomal polycystic kidney disease. This integrated approach is reshaping diagnostic and therapeutic strategies in nephrology and is critical for optimizing insights available from spatial and multi-omics analysis.","collection-title":"Spatial Metabolomics and the Kidney","container-title":"Seminars in Nephrology","DOI":"10.1016/j.semnephrol.2025.151584","ISSN":"0270-9295","issue":"6","journalAbbreviation":"Seminars in Nephrology","page":"151584","source":"ScienceDirect","title":"Multi-Omics Integration in Nephrology: Advances, Challenges, and Future Directions","title-short":"Multi-Omics Integration in Nephrology","volume":"44","author":[{"family":"Saliba","given":"Afaf"},{"family":"Du","given":"Yuheng"},{"family":"Feng","given":"Tianqing"},{"family":"Garmire","given":"Lana"}],"issued":{"date-parts":[["2024",11,1]]}}}],"schema":"https://github.com/citation-style-language/schema/raw/master/csl-citation.json"} </w:instrText>
      </w:r>
      <w:r w:rsidR="001E2A18" w:rsidRPr="00D505B8">
        <w:rPr>
          <w:rFonts w:ascii="Times New Roman" w:hAnsi="Times New Roman" w:cs="Times New Roman"/>
          <w:sz w:val="24"/>
          <w:szCs w:val="24"/>
        </w:rPr>
        <w:fldChar w:fldCharType="separate"/>
      </w:r>
      <w:r w:rsidR="001E2A18" w:rsidRPr="00D505B8">
        <w:rPr>
          <w:rFonts w:ascii="Times New Roman" w:hAnsi="Times New Roman" w:cs="Times New Roman"/>
          <w:sz w:val="24"/>
          <w:szCs w:val="24"/>
        </w:rPr>
        <w:t>(Saliba et al., 2024)</w:t>
      </w:r>
      <w:r w:rsidR="001E2A18" w:rsidRPr="00D505B8">
        <w:rPr>
          <w:rFonts w:ascii="Times New Roman" w:hAnsi="Times New Roman" w:cs="Times New Roman"/>
          <w:sz w:val="24"/>
          <w:szCs w:val="24"/>
        </w:rPr>
        <w:fldChar w:fldCharType="end"/>
      </w:r>
      <w:r w:rsidRPr="00D505B8">
        <w:rPr>
          <w:rFonts w:ascii="Times New Roman" w:hAnsi="Times New Roman" w:cs="Times New Roman"/>
          <w:sz w:val="24"/>
          <w:szCs w:val="24"/>
        </w:rPr>
        <w:t>.</w:t>
      </w:r>
    </w:p>
    <w:p w14:paraId="7C6F4CA7" w14:textId="40659D1F" w:rsidR="00426978" w:rsidRDefault="00426978" w:rsidP="00335E34">
      <w:pPr>
        <w:pStyle w:val="Heading3"/>
        <w:jc w:val="both"/>
      </w:pPr>
      <w:r>
        <w:rPr>
          <w:rStyle w:val="Strong"/>
          <w:b/>
          <w:bCs/>
        </w:rPr>
        <w:t>5. Tracking Tumor Evolution Using Multi-Omics</w:t>
      </w:r>
      <w:r>
        <w:t xml:space="preserve"> </w:t>
      </w:r>
    </w:p>
    <w:p w14:paraId="2F023B1A" w14:textId="62265693" w:rsidR="00426978" w:rsidRPr="00D505B8" w:rsidRDefault="0058553A" w:rsidP="00335E34">
      <w:pPr>
        <w:pStyle w:val="NormalWeb"/>
        <w:jc w:val="both"/>
      </w:pPr>
      <w:r>
        <w:t xml:space="preserve">To predict treatment resistance and the course of the disease, it is crucial to comprehend the evolutionary dynamics of tumors. When used longitudinally, multi-omics techniques offer a potent framework for documenting the geographical and temporal trajectories of tumor progression. It is possible to reconstruct clonal architecture and identify </w:t>
      </w:r>
      <w:proofErr w:type="spellStart"/>
      <w:r>
        <w:t>subclonal</w:t>
      </w:r>
      <w:proofErr w:type="spellEnd"/>
      <w:r>
        <w:t xml:space="preserve"> expansions that occur prior to relapse by doing temporal study of clonal dynamics by repeated sampling over time. Circulating free DNA (cfDNA), circulating tumor DNA (ctDNA), and tumor-derived exosomes are examples of liquid biopsies that provide a minimally invasive way to track the progression of tumors over time. These biopsies can record both genomic changes and dynamic transcriptomic or proteomic variations</w:t>
      </w:r>
      <w:r w:rsidR="0013163B">
        <w:fldChar w:fldCharType="begin"/>
      </w:r>
      <w:r w:rsidR="007D0EDA">
        <w:instrText xml:space="preserve"> ADDIN ZOTERO_ITEM CSL_CITATION {"citationID":"uaScZM7I","properties":{"formattedCitation":"(Zhang &amp; Wang, 2025)","plainCitation":"(Zhang &amp; Wang, 2025)","noteIndex":0},"citationItems":[{"id":76,"uris":["http://zotero.org/users/local/AJmTDxS7/items/IQIED3UD"],"itemData":{"id":76,"type":"article-journal","abstract":"Tumor subclones refer to distinct cell populations within the same tumor that possess different genetic characteristics. They play a crucial role in understanding tumor heterogeneity, evolution, and therapeutic resistance. The formation of tumor subclones is driven by several key mechanisms, including the inherent genetic instability of tumor cells, which facilitates the accumulation of novel mutations; selective pressures from the tumor microenvironment and therapeutic interventions, which promote the expansion of certain subclones; and epigenetic modifications, such as DNA methylation and histone modifications, which alter gene expression patterns. Major methodologies for studying tumor subclones include single-cell sequencing, liquid biopsy, and spatial transcriptomics, which provide insights into clonal architecture and dynamic evolution. Beyond their direct involvement in tumor growth and invasion, subclones significantly contribute to tumor heterogeneity, immune evasion, and treatment resistance. Thus, an in-depth investigation of tumor subclones not only aids in guiding personalized precision therapy, overcoming drug resistance, and identifying novel therapeutic targets, but also enhances our ability to predict recurrence and metastasis risks while elucidating the mechanisms underlying tumor heterogeneity. The integration of artificial intelligence, big data analytics, and multi-omics technologies is expected to further advance research in tumor subclones, paving the way for novel strategies in cancer diagnosis and treatment. This review aims to provide a comprehensive overview of tumor subclone formation mechanisms, evolutionary models, analytical methods, and clinical implications, offering insights into precision oncology and future translational research.","container-title":"Journal of Translational Medicine","DOI":"10.1186/s12967-025-06486-3","ISSN":"1479-5876","journalAbbreviation":"J Transl Med","note":"PMID: 40259385\nPMCID: PMC12012948","page":"461","source":"PubMed Central","title":"Advances in tumor subclone formation and mechanisms of growth and invasion","volume":"23","author":[{"family":"Zhang","given":"Yuhong"},{"family":"Wang","given":"Weidong"}],"issued":{"date-parts":[["2025",4,21]]}}}],"schema":"https://github.com/citation-style-language/schema/raw/master/csl-citation.json"} </w:instrText>
      </w:r>
      <w:r w:rsidR="0013163B">
        <w:fldChar w:fldCharType="separate"/>
      </w:r>
      <w:r w:rsidR="007D0EDA" w:rsidRPr="007D0EDA">
        <w:t>(Zhang &amp; Wang, 2025)</w:t>
      </w:r>
      <w:r w:rsidR="0013163B">
        <w:fldChar w:fldCharType="end"/>
      </w:r>
      <w:r>
        <w:t>.</w:t>
      </w:r>
      <w:r w:rsidR="00D505B8">
        <w:t xml:space="preserve"> </w:t>
      </w:r>
      <w:r>
        <w:t>Case studies of various tumor types demonstrate how multi-omics can be used to decipher evolutionary pathways. Mechanisms of resistance to HER2-targeted therapy, including compensatory PI3K/AKT pathway activation and epigenetic remodeling, have been identified in HER2-positive breast cancer by integrated investigations that combine genomic profiling, transcriptome changes, and proteomic reprogramming</w:t>
      </w:r>
      <w:r w:rsidR="0013163B">
        <w:fldChar w:fldCharType="begin"/>
      </w:r>
      <w:r w:rsidR="0013163B">
        <w:instrText xml:space="preserve"> ADDIN ZOTERO_ITEM CSL_CITATION {"citationID":"2UsQ4Jzu","properties":{"formattedCitation":"(Roszkowska, 2024)","plainCitation":"(Roszkowska, 2024)","noteIndex":0},"citationItems":[{"id":78,"uris":["http://zotero.org/users/local/AJmTDxS7/items/SSZUYLIZ"],"itemData":{"id":78,"type":"article-journal","abstract":"Cancer drug resistance represents one of the most significant challenges in oncology and manifests through multiple interconnected molecular and cellular mechanisms. Objective: To provide a comprehensive analysis of multilevel processes driving treatment resistance by integrating recent advances in understanding genetic, epigenetic, and microenvironmental factors. This is a systematic review of the recent literature focusing on the mechanisms of cancer drug resistance, including genomic studies, clinical trials, and experimental research. Key findings include the following: (1) Up to 63% of somatic mutations can be heterogeneous within individual tumors, contributing to resistance development; (2) cancer stem cells demonstrate enhanced DNA repair capacity and altered metabolic profiles; (3) the tumor microenvironment, including cancer-associated fibroblasts and immune cell populations, plays a crucial role in promoting resistance; and (4) selective pressure from radiotherapy drives the emergence of radioresistant phenotypes through multiple adaptive mechanisms. Understanding the complex interplay between various resistance mechanisms is essential for developing effective treatment strategies. Future therapeutic approaches should focus on combination strategies that target multiple resistance pathways simultaneously, guided by specific biomarkers.","container-title":"International Journal of Molecular Sciences","DOI":"10.3390/ijms252212402","ISSN":"1422-0067","issue":"22","language":"en","license":"http://creativecommons.org/licenses/by/3.0/","note":"number: 22\npublisher: Multidisciplinary Digital Publishing Institute","page":"12402","source":"www.mdpi.com","title":"Multilevel Mechanisms of Cancer Drug Resistance","volume":"25","author":[{"family":"Roszkowska","given":"Malgorzata"}],"issued":{"date-parts":[["2024",1]]}}}],"schema":"https://github.com/citation-style-language/schema/raw/master/csl-citation.json"} </w:instrText>
      </w:r>
      <w:r w:rsidR="0013163B">
        <w:fldChar w:fldCharType="separate"/>
      </w:r>
      <w:r w:rsidR="0013163B" w:rsidRPr="0013163B">
        <w:t>(Roszkowska, 2024)</w:t>
      </w:r>
      <w:r w:rsidR="0013163B">
        <w:fldChar w:fldCharType="end"/>
      </w:r>
      <w:r>
        <w:t>. Multi-omic</w:t>
      </w:r>
      <w:r w:rsidR="00C269A5">
        <w:t>s</w:t>
      </w:r>
      <w:r>
        <w:t xml:space="preserve"> analysis of serial tumor samples in glioblastoma</w:t>
      </w:r>
      <w:r w:rsidR="00D505B8">
        <w:t xml:space="preserve"> have</w:t>
      </w:r>
      <w:r>
        <w:t xml:space="preserve"> revealed that IDH1 mutations, which were previously believed to be early and stable occurrences, might change under the influence of treatment, producing genetically distinct subclones that aid in recurrence. </w:t>
      </w:r>
      <w:r w:rsidRPr="0058553A">
        <w:rPr>
          <w:rStyle w:val="Strong"/>
          <w:b w:val="0"/>
          <w:bCs w:val="0"/>
        </w:rPr>
        <w:t>Another classic example is non-small cell lung cancer (NSCLC), where EGFR-mutant tumors treated with tyrosine kinase inhibitors (TKIs) frequently develop secondary resistance mutations (e.g., T790M, C797S)</w:t>
      </w:r>
      <w:r w:rsidR="0013163B">
        <w:rPr>
          <w:rStyle w:val="Strong"/>
          <w:b w:val="0"/>
          <w:bCs w:val="0"/>
        </w:rPr>
        <w:fldChar w:fldCharType="begin"/>
      </w:r>
      <w:r w:rsidR="0013163B">
        <w:rPr>
          <w:rStyle w:val="Strong"/>
          <w:b w:val="0"/>
          <w:bCs w:val="0"/>
        </w:rPr>
        <w:instrText xml:space="preserve"> ADDIN ZOTERO_ITEM CSL_CITATION {"citationID":"CbTQMFqL","properties":{"formattedCitation":"(Garrett et al., 2021)","plainCitation":"(Garrett et al., 2021)","noteIndex":0},"citationItems":[{"id":80,"uris":["http://zotero.org/users/local/AJmTDxS7/items/6LIXET5T"],"itemData":{"id":80,"type":"chapter","abstract":"Glioblastoma is one of the most devastating human malignancies and is categorized into primary and secondary glioblastoma subtypes that develop through different genetic pathways. Isocitrate dehydrogenase 1 (IDH1) and 2 (IDH2) are key enzymes linking cellular metabolism to epigenetic regulation and redox states. Hot spot mutations of IDH1 is early and frequent genetic alterations in secondary glioblastoma as well as in grade II and III glioma and represent a major biomarker with diagnostic, prognostic, and predictive implications. Mutant IDH proteins acquire neomorphic enzymatic activity to produce D-2-hydroxyglutarate, a putative oncometabolite that could induce epigenetic changes at DNA and RNA levels. On the other hand, recent studies show that primary glioblastoma increases expression of wild-type IDH1, which confers therapeutic resistance. In this chapter, we introduce the current understanding of the biological roles of wild-type and mutant IDH enzymes in glioblastoma. We discuss the challenges hampering the development of IDH targeted therapeutics and the current status of IDH1 mutant inhibitor development.","call-number":"NBK570701","container-title":"Gliomas","event-place":"Brisbane (AU)","ISBN":"978-0-6450017-4-7","language":"eng","license":"Copyright: The Authors.","note":"PMID: 34038049","publisher":"Exon Publications","publisher-place":"Brisbane (AU)","source":"PubMed","title":"Emerging Roles of Wild-type and Mutant IDH1 in Growth, Metabolism and Therapeutics of Glioma","URL":"http://www.ncbi.nlm.nih.gov/books/NBK570701/","author":[{"family":"Garrett","given":"Matthew"},{"family":"Fujii","given":"Yuki"},{"family":"Osaka","given":"Natsuki"},{"family":"Ito","given":"Doshun"},{"family":"Hirota","given":"Yoshihisa"},{"family":"Sasaki","given":"Atsuo T."}],"editor":[{"family":"Debinski","given":"Waldemar"}],"accessed":{"date-parts":[["2025",6,24]]},"issued":{"date-parts":[["2021"]]}}}],"schema":"https://github.com/citation-style-language/schema/raw/master/csl-citation.json"} </w:instrText>
      </w:r>
      <w:r w:rsidR="0013163B">
        <w:rPr>
          <w:rStyle w:val="Strong"/>
          <w:b w:val="0"/>
          <w:bCs w:val="0"/>
        </w:rPr>
        <w:fldChar w:fldCharType="separate"/>
      </w:r>
      <w:r w:rsidR="0013163B" w:rsidRPr="0013163B">
        <w:t>(Garrett et al., 2021)</w:t>
      </w:r>
      <w:r w:rsidR="0013163B">
        <w:rPr>
          <w:rStyle w:val="Strong"/>
          <w:b w:val="0"/>
          <w:bCs w:val="0"/>
        </w:rPr>
        <w:fldChar w:fldCharType="end"/>
      </w:r>
      <w:r w:rsidRPr="0058553A">
        <w:rPr>
          <w:rStyle w:val="Strong"/>
          <w:b w:val="0"/>
          <w:bCs w:val="0"/>
        </w:rPr>
        <w:t>. These mutations can be identified by serial ctDNA sequencing and validated by proteomic signaling analysis, which helps guide real-time therapy adjustments. Real-world instances of tumor progression and treatment resistance as shown by multi-omics profiling in lung, brain, and breast malignancies are shown in Figure 4.</w:t>
      </w:r>
    </w:p>
    <w:p w14:paraId="4689CD1F" w14:textId="6F612662" w:rsidR="00A06549" w:rsidRDefault="00A06549" w:rsidP="00335E34">
      <w:pPr>
        <w:pStyle w:val="NormalWeb"/>
        <w:jc w:val="both"/>
      </w:pPr>
      <w:r>
        <w:rPr>
          <w:noProof/>
        </w:rPr>
        <w:lastRenderedPageBreak/>
        <w:drawing>
          <wp:inline distT="0" distB="0" distL="0" distR="0" wp14:anchorId="45AEBAF7" wp14:editId="2AEAF9D2">
            <wp:extent cx="59436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tGPT Image Jun 24, 2025, 06_58_33 A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0898D87" w14:textId="5ED7A108" w:rsidR="0037258F" w:rsidRDefault="00A06549" w:rsidP="0037258F">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4. Case Studies of Tumor Evolution Tracked by Multi-Omics</w:t>
      </w:r>
      <w:r>
        <w:rPr>
          <w:rFonts w:ascii="Times New Roman" w:eastAsia="Times New Roman" w:hAnsi="Times New Roman" w:cs="Times New Roman"/>
          <w:sz w:val="24"/>
          <w:szCs w:val="24"/>
        </w:rPr>
        <w:t xml:space="preserve">. </w:t>
      </w:r>
      <w:r w:rsidR="0058553A">
        <w:rPr>
          <w:rFonts w:ascii="Times New Roman" w:eastAsia="Times New Roman" w:hAnsi="Times New Roman" w:cs="Times New Roman"/>
          <w:sz w:val="24"/>
          <w:szCs w:val="24"/>
        </w:rPr>
        <w:t>Breast cancer, glioblastoma, and lung cancer are the three main cancer types for which this infographic provides three helpful illustrations of how multi-omics methods have revealed the molecular evolution of drug resistance. Clonal selection and metabolic reprogramming in resistant clones were identified in HER2+ breast cancer by means of comprehensive transcriptome and methylation analysis. The development of IDH1 mutations and the corresponding epigenetic reprogramming in glioblastoma was monitored by longitudinal multi-omics profiling. EGFR-TKI resistance was shown in lung cancer by serial liquid biopsies and proteomics, which also highlighted changes in post-translational modifications and bypass signaling pathways. The effectiveness of multi-layered profiling in tracking clonal dynamics and resistance mechanisms throughout time is demonstrated by these case studies</w:t>
      </w:r>
      <w:r w:rsidR="0037258F">
        <w:rPr>
          <w:rFonts w:ascii="Times New Roman" w:eastAsia="Times New Roman" w:hAnsi="Times New Roman" w:cs="Times New Roman"/>
          <w:sz w:val="24"/>
          <w:szCs w:val="24"/>
        </w:rPr>
        <w:t xml:space="preserve">. </w:t>
      </w:r>
      <w:r w:rsidR="0037258F" w:rsidRPr="0037258F">
        <w:rPr>
          <w:rFonts w:ascii="Times New Roman" w:eastAsia="Times New Roman" w:hAnsi="Times New Roman" w:cs="Times New Roman"/>
          <w:sz w:val="24"/>
          <w:szCs w:val="24"/>
        </w:rPr>
        <w:t xml:space="preserve">(Malta, et al., 2024) The Epigenetic Evolution of Glioma Is Determined by </w:t>
      </w:r>
      <w:r w:rsidR="0037258F" w:rsidRPr="0037258F">
        <w:rPr>
          <w:rFonts w:ascii="Times New Roman" w:eastAsia="Times New Roman" w:hAnsi="Times New Roman" w:cs="Times New Roman"/>
          <w:sz w:val="24"/>
          <w:szCs w:val="24"/>
        </w:rPr>
        <w:lastRenderedPageBreak/>
        <w:t>the IDH1 Mutation Status and Treatment Regimen. Cancer Research, 84(5), 741–756. https://doi.org/10.1158/0008-5472.CAN-23-2093</w:t>
      </w:r>
      <w:r w:rsidR="0037258F">
        <w:rPr>
          <w:rFonts w:ascii="Times New Roman" w:eastAsia="Times New Roman" w:hAnsi="Times New Roman" w:cs="Times New Roman"/>
          <w:sz w:val="24"/>
          <w:szCs w:val="24"/>
        </w:rPr>
        <w:t>.</w:t>
      </w:r>
    </w:p>
    <w:p w14:paraId="45DF7268" w14:textId="73B1FA14" w:rsidR="0037258F" w:rsidRPr="0037258F" w:rsidRDefault="0037258F" w:rsidP="0037258F">
      <w:pPr>
        <w:jc w:val="both"/>
        <w:rPr>
          <w:rStyle w:val="Strong"/>
          <w:rFonts w:ascii="Times New Roman" w:eastAsia="Times New Roman" w:hAnsi="Times New Roman" w:cs="Times New Roman"/>
          <w:b w:val="0"/>
          <w:bCs w:val="0"/>
          <w:sz w:val="24"/>
          <w:szCs w:val="24"/>
        </w:rPr>
      </w:pPr>
      <w:r w:rsidRPr="0037258F">
        <w:rPr>
          <w:rStyle w:val="Strong"/>
          <w:rFonts w:ascii="Times New Roman" w:hAnsi="Times New Roman" w:cs="Times New Roman"/>
          <w:b w:val="0"/>
          <w:bCs w:val="0"/>
          <w:sz w:val="24"/>
          <w:szCs w:val="24"/>
        </w:rPr>
        <w:t xml:space="preserve">A growing number of lineage tracing techniques are being used to rebuild the lineage links among changing tumor subpopulations. Natural lineage markers can be found in copy number evolution and mitochondrial mutation patterns, whereas synthetic tracking of clonal descent can be achieved by techniques like CRISPR barcoding. From multi-region or multi-timepoint omics data, clonal hierarchies and ancestral links are inferred using phylogenetic reconstruction </w:t>
      </w:r>
      <w:proofErr w:type="gramStart"/>
      <w:r w:rsidRPr="0037258F">
        <w:rPr>
          <w:rStyle w:val="Strong"/>
          <w:rFonts w:ascii="Times New Roman" w:hAnsi="Times New Roman" w:cs="Times New Roman"/>
          <w:b w:val="0"/>
          <w:bCs w:val="0"/>
          <w:sz w:val="24"/>
          <w:szCs w:val="24"/>
        </w:rPr>
        <w:t>techniques(</w:t>
      </w:r>
      <w:proofErr w:type="gramEnd"/>
      <w:r w:rsidRPr="0037258F">
        <w:rPr>
          <w:rStyle w:val="Strong"/>
          <w:rFonts w:ascii="Times New Roman" w:hAnsi="Times New Roman" w:cs="Times New Roman"/>
          <w:b w:val="0"/>
          <w:bCs w:val="0"/>
          <w:sz w:val="24"/>
          <w:szCs w:val="24"/>
        </w:rPr>
        <w:t xml:space="preserve">Yang et al., 2022). These initiatives are aided by a variety of bioinformatics technologies. By reconstructing clonal evolution from bulk and single-cell genomic data, </w:t>
      </w:r>
      <w:proofErr w:type="spellStart"/>
      <w:r w:rsidRPr="0037258F">
        <w:rPr>
          <w:rStyle w:val="Strong"/>
          <w:rFonts w:ascii="Times New Roman" w:hAnsi="Times New Roman" w:cs="Times New Roman"/>
          <w:b w:val="0"/>
          <w:bCs w:val="0"/>
          <w:sz w:val="24"/>
          <w:szCs w:val="24"/>
        </w:rPr>
        <w:t>PhyloWGS</w:t>
      </w:r>
      <w:proofErr w:type="spellEnd"/>
      <w:r w:rsidRPr="0037258F">
        <w:rPr>
          <w:rStyle w:val="Strong"/>
          <w:rFonts w:ascii="Times New Roman" w:hAnsi="Times New Roman" w:cs="Times New Roman"/>
          <w:b w:val="0"/>
          <w:bCs w:val="0"/>
          <w:sz w:val="24"/>
          <w:szCs w:val="24"/>
        </w:rPr>
        <w:t xml:space="preserve">, </w:t>
      </w:r>
      <w:proofErr w:type="spellStart"/>
      <w:r w:rsidRPr="0037258F">
        <w:rPr>
          <w:rStyle w:val="Strong"/>
          <w:rFonts w:ascii="Times New Roman" w:hAnsi="Times New Roman" w:cs="Times New Roman"/>
          <w:b w:val="0"/>
          <w:bCs w:val="0"/>
          <w:sz w:val="24"/>
          <w:szCs w:val="24"/>
        </w:rPr>
        <w:t>CloneFinder</w:t>
      </w:r>
      <w:proofErr w:type="spellEnd"/>
      <w:r w:rsidRPr="0037258F">
        <w:rPr>
          <w:rStyle w:val="Strong"/>
          <w:rFonts w:ascii="Times New Roman" w:hAnsi="Times New Roman" w:cs="Times New Roman"/>
          <w:b w:val="0"/>
          <w:bCs w:val="0"/>
          <w:sz w:val="24"/>
          <w:szCs w:val="24"/>
        </w:rPr>
        <w:t xml:space="preserve">, </w:t>
      </w:r>
      <w:proofErr w:type="spellStart"/>
      <w:r w:rsidRPr="0037258F">
        <w:rPr>
          <w:rStyle w:val="Strong"/>
          <w:rFonts w:ascii="Times New Roman" w:hAnsi="Times New Roman" w:cs="Times New Roman"/>
          <w:b w:val="0"/>
          <w:bCs w:val="0"/>
          <w:sz w:val="24"/>
          <w:szCs w:val="24"/>
        </w:rPr>
        <w:t>SciClone</w:t>
      </w:r>
      <w:proofErr w:type="spellEnd"/>
      <w:r w:rsidRPr="0037258F">
        <w:rPr>
          <w:rStyle w:val="Strong"/>
          <w:rFonts w:ascii="Times New Roman" w:hAnsi="Times New Roman" w:cs="Times New Roman"/>
          <w:b w:val="0"/>
          <w:bCs w:val="0"/>
          <w:sz w:val="24"/>
          <w:szCs w:val="24"/>
        </w:rPr>
        <w:t>, and MACHINA allow the inference of tumor phylogenies and evolutionary bottlenecks. Unmatched resolution into how cancers adapt, resist, and re-emerge is provided by these integrative technologies when used on longitudinal multi-omic</w:t>
      </w:r>
      <w:r w:rsidR="00C269A5">
        <w:rPr>
          <w:rStyle w:val="Strong"/>
          <w:rFonts w:ascii="Times New Roman" w:hAnsi="Times New Roman" w:cs="Times New Roman"/>
          <w:b w:val="0"/>
          <w:bCs w:val="0"/>
          <w:sz w:val="24"/>
          <w:szCs w:val="24"/>
        </w:rPr>
        <w:t>s</w:t>
      </w:r>
      <w:r w:rsidRPr="0037258F">
        <w:rPr>
          <w:rStyle w:val="Strong"/>
          <w:rFonts w:ascii="Times New Roman" w:hAnsi="Times New Roman" w:cs="Times New Roman"/>
          <w:b w:val="0"/>
          <w:bCs w:val="0"/>
          <w:sz w:val="24"/>
          <w:szCs w:val="24"/>
        </w:rPr>
        <w:t xml:space="preserve"> datasets. This information is crucial for the planning and development of adaptive therapeutic </w:t>
      </w:r>
      <w:proofErr w:type="gramStart"/>
      <w:r w:rsidRPr="0037258F">
        <w:rPr>
          <w:rStyle w:val="Strong"/>
          <w:rFonts w:ascii="Times New Roman" w:hAnsi="Times New Roman" w:cs="Times New Roman"/>
          <w:b w:val="0"/>
          <w:bCs w:val="0"/>
          <w:sz w:val="24"/>
          <w:szCs w:val="24"/>
        </w:rPr>
        <w:t>approaches(</w:t>
      </w:r>
      <w:proofErr w:type="gramEnd"/>
      <w:r w:rsidRPr="0037258F">
        <w:rPr>
          <w:rStyle w:val="Strong"/>
          <w:rFonts w:ascii="Times New Roman" w:hAnsi="Times New Roman" w:cs="Times New Roman"/>
          <w:b w:val="0"/>
          <w:bCs w:val="0"/>
          <w:sz w:val="24"/>
          <w:szCs w:val="24"/>
        </w:rPr>
        <w:t>Sandmann et al., 2023).</w:t>
      </w:r>
    </w:p>
    <w:p w14:paraId="0B765B05" w14:textId="75C5F1F0" w:rsidR="00426978" w:rsidRPr="0037258F" w:rsidRDefault="00426978" w:rsidP="00335E34">
      <w:pPr>
        <w:pStyle w:val="Heading3"/>
        <w:jc w:val="both"/>
        <w:rPr>
          <w:b w:val="0"/>
          <w:bCs w:val="0"/>
          <w:sz w:val="28"/>
          <w:szCs w:val="28"/>
        </w:rPr>
      </w:pPr>
      <w:r w:rsidRPr="0037258F">
        <w:rPr>
          <w:rStyle w:val="Strong"/>
          <w:b/>
          <w:bCs/>
          <w:sz w:val="28"/>
          <w:szCs w:val="28"/>
        </w:rPr>
        <w:t>6. Mechanisms of Therapy Resistance Uncovered by Multi-Omics</w:t>
      </w:r>
      <w:r w:rsidRPr="0037258F">
        <w:rPr>
          <w:b w:val="0"/>
          <w:bCs w:val="0"/>
          <w:sz w:val="28"/>
          <w:szCs w:val="28"/>
        </w:rPr>
        <w:t xml:space="preserve"> </w:t>
      </w:r>
    </w:p>
    <w:p w14:paraId="1A5C2BC7" w14:textId="0D017E35" w:rsidR="00426978" w:rsidRPr="00DA218E" w:rsidRDefault="0058553A" w:rsidP="00335E34">
      <w:pPr>
        <w:pStyle w:val="NormalWeb"/>
        <w:jc w:val="both"/>
      </w:pPr>
      <w:r w:rsidRPr="0037258F">
        <w:t>Therapy resistance is still an important challenge in the treatment of cancer, even with advancements in immunotherapy and targeted medicines. Resistance may be acquired, emerging in reaction to therapeutic pressure, or intrinsic, resulting from underlying changes that render a patient insensitive to therapy. By analyzing tumors at several molecular levels, multi-omics techniques offer a thorough framework for revealing the complex and dynamic</w:t>
      </w:r>
      <w:r>
        <w:t xml:space="preserve"> character of these resistance mechanisms</w:t>
      </w:r>
      <w:r w:rsidR="009B75DF">
        <w:fldChar w:fldCharType="begin"/>
      </w:r>
      <w:r w:rsidR="009B75DF">
        <w:instrText xml:space="preserve"> ADDIN ZOTERO_ITEM CSL_CITATION {"citationID":"5V691x2R","properties":{"formattedCitation":"(Garg et al., 2024)","plainCitation":"(Garg et al., 2024)","noteIndex":0},"citationItems":[{"id":95,"uris":["http://zotero.org/users/local/AJmTDxS7/items/QSFPL5NW"],"itemData":{"id":95,"type":"article-journal","abstract":"Simple Summary\nThis review explores the challenges of drug resistance in cancer treatment and discusses innovative strategies to overcome them. Researchers aim to understand how cancer cells develop resistance to therapies and explore new ways to improve treatment outcomes. They investigate advanced genomic technologies, immunotherapies like CAR-T cells, and targeted therapies that specifically attack cancer cells. By identifying these mechanisms and developing novel approaches, this research aims to enhance the effectiveness of cancer treatments and improve patient survival rates. Insights gained could lead to significant advancements in how we combat drug resistance in cancer, offering hope for better outcomes in the future.\n\nAbstract\nThe rise of drug resistance in cancer cells presents a formidable challenge in modern oncology, necessitating the exploration of innovative therapeutic strategies. This review investigates the latest advancements in overcoming drug resistance mechanisms employed by cancer cells, focusing on emerging therapeutic modalities. The intricate molecular insights into drug resistance, including genetic mutations, efflux pumps, altered signaling pathways, and microenvironmental influences, are discussed. Furthermore, the promising avenues offered by targeted therapies, combination treatments, immunotherapies, and precision medicine approaches are highlighted. Specifically, the synergistic effects of combining traditional cytotoxic agents with molecularly targeted inhibitors to circumvent resistance pathways are examined. Additionally, the evolving landscape of immunotherapeutic interventions, including immune checkpoint inhibitors and adoptive cell therapies, is explored in terms of bolstering anti-tumor immune responses and overcoming immune evasion mechanisms. Moreover, the significance of biomarker-driven strategies for predicting and monitoring treatment responses is underscored, thereby optimizing therapeutic outcomes. For insights into the future direction of cancer treatment paradigms, the current review focused on prevailing drug resistance challenges and improving patient outcomes, through an integrative analysis of these emerging therapeutic strategies.","container-title":"Cancers","DOI":"10.3390/cancers16132478","ISSN":"2072-6694","issue":"13","journalAbbreviation":"Cancers (Basel)","note":"PMID: 39001539\nPMCID: PMC11240358","page":"2478","source":"PubMed Central","title":"Emerging Therapeutic Strategies to Overcome Drug Resistance in Cancer Cells","volume":"16","author":[{"family":"Garg","given":"Pankaj"},{"family":"Malhotra","given":"Jyoti"},{"family":"Kulkarni","given":"Prakash"},{"family":"Horne","given":"David"},{"family":"Salgia","given":"Ravi"},{"family":"Singhal","given":"Sharad S."}],"issued":{"date-parts":[["2024",7,7]]}}}],"schema":"https://github.com/citation-style-language/schema/raw/master/csl-citation.json"} </w:instrText>
      </w:r>
      <w:r w:rsidR="009B75DF">
        <w:fldChar w:fldCharType="separate"/>
      </w:r>
      <w:r w:rsidR="009B75DF" w:rsidRPr="009B75DF">
        <w:t>(Garg et al., 2024)</w:t>
      </w:r>
      <w:r w:rsidR="009B75DF">
        <w:fldChar w:fldCharType="end"/>
      </w:r>
      <w:r>
        <w:t>.</w:t>
      </w:r>
      <w:r w:rsidR="00DA218E">
        <w:t xml:space="preserve"> </w:t>
      </w:r>
      <w:r>
        <w:t>Resistance frequently arises at the genetic level as a result of secondary mutations that change drug-binding sites or reactivate downstream pathways. The EGFR T790M mutation in non-small cell lung cancer, which results in resistance to first-generation EGFR inhibitors, is a well-known example. Targeted treatments are ineffectual since bypass signaling is also driven by gene amplifications, such as MET or ERBB2 in different malignancies</w:t>
      </w:r>
      <w:r w:rsidR="009B75DF">
        <w:fldChar w:fldCharType="begin"/>
      </w:r>
      <w:r w:rsidR="009B75DF">
        <w:instrText xml:space="preserve"> ADDIN ZOTERO_ITEM CSL_CITATION {"citationID":"nmnpYGaL","properties":{"formattedCitation":"(Leonetti et al., 2019)","plainCitation":"(Leonetti et al., 2019)","noteIndex":0},"citationItems":[{"id":98,"uris":["http://zotero.org/users/local/AJmTDxS7/items/E6RTVV95"],"itemData":{"id":98,"type":"article-journal","abstract":"Osimertinib is an irreversible, third-generation epidermal growth factor receptor (EGFR) tyrosine kinase inhibitor that is highly selective for EGFR-activating mutations as well as the EGFR T790M mutation in patients with advanced non-small cell lung cancer (NSCLC) with EGFR oncogene addiction. Despite the documented efficacy of osimertinib in first- and second-line settings, patients inevitably develop resistance, with no further clear-cut therapeutic options to date other than chemotherapy and locally ablative therapy for selected individuals. On account of the high degree of tumour heterogeneity and adaptive cellular signalling pathways in NSCLC, the acquired osimertinib resistance is highly heterogeneous, encompassing EGFR-dependent as well as EGFR-independent mechanisms. Furthermore, data from repeat plasma genotyping analyses have highlighted differences in the frequency and preponderance of resistance mechanisms when osimertinib is administered in a front-line versus second-line setting, underlying the discrepancies in selection pressure and clonal evolution. This review summarises the molecular mechanisms of resistance to osimertinib in patients with advanced EGFR-mutated NSCLC, including MET/HER2 amplification, activation of the RAS–mitogen-activated protein kinase (MAPK) or RAS–phosphatidylinositol 3-kinase (PI3K) pathways, novel fusion events and histological/phenotypic transformation, as well as discussing the current evidence regarding potential new approaches to counteract osimertinib resistance.","container-title":"British Journal of Cancer","DOI":"10.1038/s41416-019-0573-8","ISSN":"0007-0920","issue":"9","journalAbbreviation":"Br J Cancer","note":"PMID: 31564718\nPMCID: PMC6889286","page":"725-737","source":"PubMed Central","title":"Resistance mechanisms to osimertinib in EGFR-mutated non-small cell lung cancer","volume":"121","author":[{"family":"Leonetti","given":"Alessandro"},{"family":"Sharma","given":"Sugandhi"},{"family":"Minari","given":"Roberta"},{"family":"Perego","given":"Paola"},{"family":"Giovannetti","given":"Elisa"},{"family":"Tiseo","given":"Marcello"}],"issued":{"date-parts":[["2019",10,29]]}}}],"schema":"https://github.com/citation-style-language/schema/raw/master/csl-citation.json"} </w:instrText>
      </w:r>
      <w:r w:rsidR="009B75DF">
        <w:fldChar w:fldCharType="separate"/>
      </w:r>
      <w:r w:rsidR="009B75DF" w:rsidRPr="009B75DF">
        <w:t>(Leonetti et al., 2019)</w:t>
      </w:r>
      <w:r w:rsidR="009B75DF">
        <w:fldChar w:fldCharType="end"/>
      </w:r>
      <w:r>
        <w:t>.</w:t>
      </w:r>
      <w:r w:rsidR="00DA218E">
        <w:t xml:space="preserve"> </w:t>
      </w:r>
      <w:r w:rsidRPr="009B75DF">
        <w:rPr>
          <w:rStyle w:val="Strong"/>
          <w:b w:val="0"/>
          <w:bCs w:val="0"/>
        </w:rPr>
        <w:t>Through chromatin remodeling, histone modification, and enhancer hijacking, epigenomic modifications play a major role in resistance. Without changing the underlying DNA sequence, these occurrences may result in the silencing of tumor suppressor genes or the reactivation of carcinogenic pathways</w:t>
      </w:r>
      <w:r w:rsidR="00C06D7B">
        <w:rPr>
          <w:rStyle w:val="Strong"/>
          <w:b w:val="0"/>
          <w:bCs w:val="0"/>
        </w:rPr>
        <w:fldChar w:fldCharType="begin"/>
      </w:r>
      <w:r w:rsidR="00C06D7B">
        <w:rPr>
          <w:rStyle w:val="Strong"/>
          <w:b w:val="0"/>
          <w:bCs w:val="0"/>
        </w:rPr>
        <w:instrText xml:space="preserve"> ADDIN ZOTERO_ITEM CSL_CITATION {"citationID":"J3q2bYAD","properties":{"formattedCitation":"(Onwuemelem et al., 2025)","plainCitation":"(Onwuemelem et al., 2025)","noteIndex":0},"citationItems":[{"id":225,"uris":["http://zotero.org/users/local/AJmTDxS7/items/E6U4UULX"],"itemData":{"id":225,"type":"article-journal","abstract":"Clonal hematopoiesis (CH) serves as a molecular connection between aging and pathological conditions, particularly cardiovascular diseases and hematologic malignancies. Recent progress in genetic sequencing have identified somatic mutations in genes such as TET2, DNMT3A, and JAK2 that drive clonal expansion of hematopoietic stem cells, leading to various systemic effects. These mutations, often termed clonal hematopoiesis of indeterminate potential (CHIP), occur in approximately 10-20% of individuals over 70 years old and significantly impact cardiovascular health through enhanced inflammation and atherosclerosis. Additionally, CHIP mutations serve as precursors to hematologic malignancies, with annual progression rates of 1-2% to conditions such as acute myeloid leukemia and myelodysplastic syndromes. Large cohort studies and animal models have demonstrated that specific mutations in epigenetic regulators and signaling molecules contribute to both cardiovascular pathology and malignant transformation. The relationship between aging, CHIP mutations, and disease progression presents opportunities for novel therapeutic techniques, including targeted anti-inflammatory strategies and epigenetic modulators. These findings have significant implications for risk stratification and early intervention in aging populations, potentially revolutionizing preventive medicine approaches for age-related diseases. Integration of CH screening into clinical practice may enable personalized risk assessment and guide therapeutic decisions, though challenges remain in standardizing detection methods and determining optimal intervention techniques","container-title":"Journal of Pharma Insights and Research","DOI":"10.69613/gexxbw35","ISSN":"3048-5428","issue":"2","language":"en","license":"Copyright (c) 2025 Journal of Pharma Insights and Research","note":"number: 2","page":"358-372","source":"jopir.in","title":"Molecular Mechanisms of Clonal Hematopoiesis in Age-Related Cardiovascular Disease and Hematologic Malignancies: Review Article","title-short":"Molecular Mechanisms of Clonal Hematopoiesis in Age-Related Cardiovascular Disease and Hematologic Malignancies","volume":"3","author":[{"family":"Onwuemelem","given":"Lydia Amarachi"},{"family":"Orobator","given":"Enibokun Theresa"},{"family":"Onyedum","given":"Nwamaka Nneka"},{"family":"Chibueze","given":"Eze Samson"},{"family":"Kanu","given":"Ikechukwu"},{"family":"Christopher","given":"Adegbesan Abiodun"},{"family":"Lawal","given":"Olabisi"},{"family":"Ben-Anioke","given":"Blessing"}],"issued":{"date-parts":[["2025",4,5]]}}}],"schema":"https://github.com/citation-style-language/schema/raw/master/csl-citation.json"} </w:instrText>
      </w:r>
      <w:r w:rsidR="00C06D7B">
        <w:rPr>
          <w:rStyle w:val="Strong"/>
          <w:b w:val="0"/>
          <w:bCs w:val="0"/>
        </w:rPr>
        <w:fldChar w:fldCharType="separate"/>
      </w:r>
      <w:r w:rsidR="00C06D7B" w:rsidRPr="00C06D7B">
        <w:t>(</w:t>
      </w:r>
      <w:proofErr w:type="spellStart"/>
      <w:r w:rsidR="00C06D7B" w:rsidRPr="00C06D7B">
        <w:t>Onwuemelem</w:t>
      </w:r>
      <w:proofErr w:type="spellEnd"/>
      <w:r w:rsidR="00C06D7B" w:rsidRPr="00C06D7B">
        <w:t xml:space="preserve"> et al., 2025)</w:t>
      </w:r>
      <w:r w:rsidR="00C06D7B">
        <w:rPr>
          <w:rStyle w:val="Strong"/>
          <w:b w:val="0"/>
          <w:bCs w:val="0"/>
        </w:rPr>
        <w:fldChar w:fldCharType="end"/>
      </w:r>
      <w:r w:rsidRPr="009B75DF">
        <w:rPr>
          <w:rStyle w:val="Strong"/>
          <w:b w:val="0"/>
          <w:bCs w:val="0"/>
        </w:rPr>
        <w:t>. The small-cell transformation of EGFR-mutant lung tumors during TKI treatment demonstrates how this flexibility promotes phenotypic switching and cellular dedifferentiation</w:t>
      </w:r>
      <w:r w:rsidR="009B75DF">
        <w:rPr>
          <w:rStyle w:val="Strong"/>
          <w:b w:val="0"/>
          <w:bCs w:val="0"/>
        </w:rPr>
        <w:fldChar w:fldCharType="begin"/>
      </w:r>
      <w:r w:rsidR="009B75DF">
        <w:rPr>
          <w:rStyle w:val="Strong"/>
          <w:b w:val="0"/>
          <w:bCs w:val="0"/>
        </w:rPr>
        <w:instrText xml:space="preserve"> ADDIN ZOTERO_ITEM CSL_CITATION {"citationID":"ZckzYtfg","properties":{"formattedCitation":"(Gu et al., 2024)","plainCitation":"(Gu et al., 2024)","noteIndex":0},"citationItems":[{"id":101,"uris":["http://zotero.org/users/local/AJmTDxS7/items/VF6QLYSM"],"itemData":{"id":101,"type":"article-journal","abstract":"Epigenetic modifications are defined as heritable changes in gene activity that do not involve changes in the underlying DNA sequence. The oncogenic process is driven by the accumulation of alterations that impact genome's structure and function. Genetic mutations, which directly disrupt the DNA sequence, are complemented by epigenetic modifications that modulate gene expression, thereby facilitating the acquisition of malignant characteristics. Principals among these epigenetic changes are shifts in DNA methylation and histone mark patterns, which promote tumor development and metastasis. Notably, the reversible nature of epigenetic alterations, as opposed to the permanence of genetic changes, positions the epigenetic machinery as a prime target in the discovery of novel therapeutics. Our review delves into the complexities of epigenetic regulation, exploring its profound effects on tumor initiation, metastatic behavior, metabolic pathways, and the tumor microenvironment. We place a particular emphasis on the dysregulation at each level of epigenetic modulation, including but not limited to, the aberrations in enzymes responsible for DNA methylation and histone modification, subunit loss or fusions in chromatin remodeling complexes, and the disturbances in higher‐order chromatin structure. Finally, we also evaluate therapeutic approaches that leverage the growing understanding of chromatin dysregulation, offering new avenues for cancer treatment., Epigenetic alterations can contribute to the acquisition of hallmark capabilities during tumor development and malignant progression. Central to these changes are aberrant DNA methylation patterns, which can silence tumor suppressor genes and activate oncogenes. Histone modifications also influence chromatin structure and gene expression. Furthermore, chromatin remodeling alters the transcriptional regulation of genes, while changes in higher‐order chromatin structure may modify the spatial interactions between genes and their regulatory elements. We focus on how these mechanisms impact tumorigenesis, metastasis, metabolic reprogramming, and the tumor microenvironment.","container-title":"MedComm","DOI":"10.1002/mco2.495","ISSN":"2688-2663","issue":"2","journalAbbreviation":"MedComm (2020)","note":"PMID: 38374872\nPMCID: PMC10876210","page":"e495","source":"PubMed Central","title":"Epigenetic regulation in cancer","volume":"5","author":[{"family":"Gu","given":"Minzhi"},{"family":"Ren","given":"Bo"},{"family":"Fang","given":"Yuan"},{"family":"Ren","given":"Jie"},{"family":"Liu","given":"Xiaohong"},{"family":"Wang","given":"Xing"},{"family":"Zhou","given":"Feihan"},{"family":"Xiao","given":"Ruiling"},{"family":"Luo","given":"Xiyuan"},{"family":"You","given":"Lei"},{"family":"Zhao","given":"Yupei"}],"issued":{"date-parts":[["2024",2,19]]}}}],"schema":"https://github.com/citation-style-language/schema/raw/master/csl-citation.json"} </w:instrText>
      </w:r>
      <w:r w:rsidR="009B75DF">
        <w:rPr>
          <w:rStyle w:val="Strong"/>
          <w:b w:val="0"/>
          <w:bCs w:val="0"/>
        </w:rPr>
        <w:fldChar w:fldCharType="separate"/>
      </w:r>
      <w:r w:rsidR="009B75DF" w:rsidRPr="009B75DF">
        <w:t>(Gu et al., 2024)</w:t>
      </w:r>
      <w:r w:rsidR="009B75DF">
        <w:rPr>
          <w:rStyle w:val="Strong"/>
          <w:b w:val="0"/>
          <w:bCs w:val="0"/>
        </w:rPr>
        <w:fldChar w:fldCharType="end"/>
      </w:r>
      <w:r w:rsidRPr="009B75DF">
        <w:rPr>
          <w:rStyle w:val="Strong"/>
          <w:b w:val="0"/>
          <w:bCs w:val="0"/>
        </w:rPr>
        <w:t>.</w:t>
      </w:r>
      <w:r w:rsidR="00DA218E">
        <w:t xml:space="preserve"> </w:t>
      </w:r>
      <w:r w:rsidRPr="0058553A">
        <w:rPr>
          <w:rStyle w:val="Strong"/>
          <w:b w:val="0"/>
          <w:bCs w:val="0"/>
        </w:rPr>
        <w:t>Functional adaptations that are not identifiable at the transcriptome or genomic levels are revealed by proteomics. Escape from inhibition is often mediated through post-translational modifications (PTMs) and activation of compensatory signaling pathways, such as PI3K/AKT or MAPK reactivation. Reactivation of the MAPK pathway through different RAF isoforms or upstream RTKs is a typical mechanism of BRAF inhibitor resistance in melanoma</w:t>
      </w:r>
      <w:r w:rsidR="009B75DF">
        <w:rPr>
          <w:rStyle w:val="Strong"/>
          <w:b w:val="0"/>
          <w:bCs w:val="0"/>
        </w:rPr>
        <w:fldChar w:fldCharType="begin"/>
      </w:r>
      <w:r w:rsidR="009B75DF">
        <w:rPr>
          <w:rStyle w:val="Strong"/>
          <w:b w:val="0"/>
          <w:bCs w:val="0"/>
        </w:rPr>
        <w:instrText xml:space="preserve"> ADDIN ZOTERO_ITEM CSL_CITATION {"citationID":"1ssxEGPD","properties":{"formattedCitation":"(Hu et al., 2025)","plainCitation":"(Hu et al., 2025)","noteIndex":0},"citationItems":[{"id":106,"uris":["http://zotero.org/users/local/AJmTDxS7/items/WJMIHF8W"],"itemData":{"id":106,"type":"article-journal","abstract":"Multiple myeloma (MM) remains an incurable hematologic malignancy due to the inevitable development of drug resistance, particularly in relapsed or refractory cases. Post-translational modifications (PTMs), including phosphorylation, ubiquitination, acetylation, and glycosylation, play pivotal roles in regulating protein function, stability, and interactions, thereby influencing MM pathogenesis and therapeutic resistance. This review comprehensively explores the mechanisms by which dysregulated PTMs contribute to drug resistance in MM, focusing on their impact on key signaling pathways, metabolic reprogramming, and the tumor microenvironment. We highlight how PTMs modulate drug uptake, alter drug targets, and regulate cell survival signals, ultimately promoting resistance to PIs, IMiDs, and other therapeutic agents. Furthermore, we discuss emerging therapeutic strategies targeting PTM-related pathways, which offer promising avenues for overcoming resistance to treatment. By integrating preclinical and clinical insights, this review underscores the potential of PTM-targeted therapies to enhance treatment efficacy and improve patient outcomes in MM.","container-title":"Biomolecules","DOI":"10.3390/biom15050702","ISSN":"2218-273X","issue":"5","language":"en","license":"http://creativecommons.org/licenses/by/3.0/","note":"number: 5\npublisher: Multidisciplinary Digital Publishing Institute","page":"702","source":"www.mdpi.com","title":"Post-Translational Modifications in Multiple Myeloma: Mechanisms of Drug Resistance and Therapeutic Opportunities","title-short":"Post-Translational Modifications in Multiple Myeloma","volume":"15","author":[{"family":"Hu","given":"Shuoyang"},{"family":"Xu","given":"Jirun"},{"family":"Cui","given":"Weiyan"},{"family":"Jin","given":"Haoran"},{"family":"Wang","given":"Xiaoyu"},{"family":"Maimaitiyiming","given":"Yasen"}],"issued":{"date-parts":[["2025",5]]}}}],"schema":"https://github.com/citation-style-language/schema/raw/master/csl-citation.json"} </w:instrText>
      </w:r>
      <w:r w:rsidR="009B75DF">
        <w:rPr>
          <w:rStyle w:val="Strong"/>
          <w:b w:val="0"/>
          <w:bCs w:val="0"/>
        </w:rPr>
        <w:fldChar w:fldCharType="separate"/>
      </w:r>
      <w:r w:rsidR="009B75DF" w:rsidRPr="009B75DF">
        <w:t>(Hu et al., 2025)</w:t>
      </w:r>
      <w:r w:rsidR="009B75DF">
        <w:rPr>
          <w:rStyle w:val="Strong"/>
          <w:b w:val="0"/>
          <w:bCs w:val="0"/>
        </w:rPr>
        <w:fldChar w:fldCharType="end"/>
      </w:r>
      <w:r w:rsidRPr="0058553A">
        <w:rPr>
          <w:rStyle w:val="Strong"/>
          <w:b w:val="0"/>
          <w:bCs w:val="0"/>
        </w:rPr>
        <w:t>.</w:t>
      </w:r>
      <w:r w:rsidR="00DA218E">
        <w:rPr>
          <w:rStyle w:val="Strong"/>
          <w:b w:val="0"/>
          <w:bCs w:val="0"/>
        </w:rPr>
        <w:t xml:space="preserve"> </w:t>
      </w:r>
      <w:r w:rsidRPr="0058553A">
        <w:rPr>
          <w:rStyle w:val="Strong"/>
          <w:b w:val="0"/>
          <w:bCs w:val="0"/>
        </w:rPr>
        <w:t xml:space="preserve">Through improved nutritional flexibility and stress tolerance, metabolic rewiring promotes resistance. In order to withstand oxidative stress brought on by drugs, tumors can increase glycolysis, </w:t>
      </w:r>
      <w:proofErr w:type="spellStart"/>
      <w:r w:rsidRPr="0058553A">
        <w:rPr>
          <w:rStyle w:val="Strong"/>
          <w:b w:val="0"/>
          <w:bCs w:val="0"/>
        </w:rPr>
        <w:t>glutaminolysis</w:t>
      </w:r>
      <w:proofErr w:type="spellEnd"/>
      <w:r w:rsidRPr="0058553A">
        <w:rPr>
          <w:rStyle w:val="Strong"/>
          <w:b w:val="0"/>
          <w:bCs w:val="0"/>
        </w:rPr>
        <w:t>, and antioxidant pathways. In cancers lacking BRCA1/2, for example, resistance to PARP inhibitors may result from either alternative DNA repair mechanisms driven by altered metabolism or regained redox equilibrium</w:t>
      </w:r>
      <w:r w:rsidR="009B75DF">
        <w:rPr>
          <w:rStyle w:val="Strong"/>
          <w:b w:val="0"/>
          <w:bCs w:val="0"/>
        </w:rPr>
        <w:fldChar w:fldCharType="begin"/>
      </w:r>
      <w:r w:rsidR="009B75DF">
        <w:rPr>
          <w:rStyle w:val="Strong"/>
          <w:b w:val="0"/>
          <w:bCs w:val="0"/>
        </w:rPr>
        <w:instrText xml:space="preserve"> ADDIN ZOTERO_ITEM CSL_CITATION {"citationID":"0ORHq9Gk","properties":{"formattedCitation":"(Schiliro &amp; Firestein, 2021)","plainCitation":"(Schiliro &amp; Firestein, 2021)","noteIndex":0},"citationItems":[{"id":108,"uris":["http://zotero.org/users/local/AJmTDxS7/items/5JRSAYGA"],"itemData":{"id":108,"type":"article-journal","abstract":"Cancer cells alter metabolic processes to sustain their characteristic uncontrolled growth and proliferation. These metabolic alterations include (1) a shift from oxidative phosphorylation to aerobic glycolysis to support the increased need for ATP, (2) increased glutaminolysis for NADPH regeneration, (3) altered flux through the pentose phosphate pathway and the tricarboxylic acid cycle for macromolecule generation, (4) increased lipid uptake, lipogenesis, and cholesterol synthesis, (5) upregulation of one-carbon metabolism for the production of ATP, NADH/NADPH, nucleotides, and glutathione, (6) altered amino acid metabolism, (7) metabolism-based regulation of apoptosis, and (8) the utilization of alternative substrates, such as lactate and acetate. Altered metabolic flux in cancer is controlled by tumor-host cell interactions, key oncogenes, tumor suppressors, and other regulatory molecules, including non-coding RNAs. Changes to metabolic pathways in cancer are dynamic, exhibit plasticity, and are often dependent on the type of tumor and the tumor microenvironment, leading in a shift of thought from the Warburg Effect and the “reverse Warburg Effect” to metabolic plasticity. Understanding the complex nature of altered flux through these multiple pathways in cancer cells can support the development of new therapies.","container-title":"Cells","DOI":"10.3390/cells10051056","ISSN":"2073-4409","issue":"5","journalAbbreviation":"Cells","note":"PMID: 33946927\nPMCID: PMC8146072","page":"1056","source":"PubMed Central","title":"Mechanisms of Metabolic Reprogramming in Cancer Cells Supporting Enhanced Growth and Proliferation","volume":"10","author":[{"family":"Schiliro","given":"Chelsea"},{"family":"Firestein","given":"Bonnie L."}],"issued":{"date-parts":[["2021",4,29]]}}}],"schema":"https://github.com/citation-style-language/schema/raw/master/csl-citation.json"} </w:instrText>
      </w:r>
      <w:r w:rsidR="009B75DF">
        <w:rPr>
          <w:rStyle w:val="Strong"/>
          <w:b w:val="0"/>
          <w:bCs w:val="0"/>
        </w:rPr>
        <w:fldChar w:fldCharType="separate"/>
      </w:r>
      <w:r w:rsidR="009B75DF" w:rsidRPr="009B75DF">
        <w:t>(Schiliro &amp; Firestein, 2021)</w:t>
      </w:r>
      <w:r w:rsidR="009B75DF">
        <w:rPr>
          <w:rStyle w:val="Strong"/>
          <w:b w:val="0"/>
          <w:bCs w:val="0"/>
        </w:rPr>
        <w:fldChar w:fldCharType="end"/>
      </w:r>
      <w:r w:rsidRPr="0058553A">
        <w:rPr>
          <w:rStyle w:val="Strong"/>
          <w:b w:val="0"/>
          <w:bCs w:val="0"/>
        </w:rPr>
        <w:t>.</w:t>
      </w:r>
      <w:r w:rsidR="00DA218E">
        <w:t xml:space="preserve"> </w:t>
      </w:r>
      <w:r w:rsidR="00234A90" w:rsidRPr="00234A90">
        <w:rPr>
          <w:rStyle w:val="Strong"/>
          <w:b w:val="0"/>
          <w:bCs w:val="0"/>
        </w:rPr>
        <w:t>The necessity of multi-omics to comprehend the tumor-immune environment is highlighted by immunotherapy resistance. Immune escape is facilitated by mechanisms like epigenetic silencing of antigen-</w:t>
      </w:r>
      <w:r w:rsidR="00234A90" w:rsidRPr="00234A90">
        <w:rPr>
          <w:rStyle w:val="Strong"/>
          <w:b w:val="0"/>
          <w:bCs w:val="0"/>
        </w:rPr>
        <w:lastRenderedPageBreak/>
        <w:t>presentation machinery, loss of interferon-γ signaling, and downregulation of MHC class I. Tumor-intrinsic mutations, stromal remodeling, and immune cell depletion work together to compromise immune checkpoint inhibition, according to multi-omics research</w:t>
      </w:r>
      <w:r w:rsidR="009B75DF">
        <w:rPr>
          <w:rStyle w:val="Strong"/>
          <w:b w:val="0"/>
          <w:bCs w:val="0"/>
        </w:rPr>
        <w:fldChar w:fldCharType="begin"/>
      </w:r>
      <w:r w:rsidR="009B75DF">
        <w:rPr>
          <w:rStyle w:val="Strong"/>
          <w:b w:val="0"/>
          <w:bCs w:val="0"/>
        </w:rPr>
        <w:instrText xml:space="preserve"> ADDIN ZOTERO_ITEM CSL_CITATION {"citationID":"8YdcUskw","properties":{"formattedCitation":"(Sari &amp; Rock, 2023)","plainCitation":"(Sari &amp; Rock, 2023)","noteIndex":0},"citationItems":[{"id":111,"uris":["http://zotero.org/users/local/AJmTDxS7/items/5PHXBBFS"],"itemData":{"id":111,"type":"article-journal","abstract":"CD8 T cells recognize cancers when they detect antigenic peptides presented on a tumor’s surface MHC I molecules. Since MHC I antigen presentation is not essential for cell growth or survival, many cancers inactivate this pathway, and thereby escape control by CD8 T cells. Such immune evasion allows cancers to progress and also become resistant to CD8 T cell-based immunotherapies, such as checkpoint blockade. Here we review recent findings about the various different mechanisms that cancers use to impair antigen presentation, the consequence of such changes, and, in some cases, the potential to reverse these defects.","container-title":"Current opinion in immunology","DOI":"10.1016/j.coi.2023.102329","ISSN":"0952-7915","journalAbbreviation":"Curr Opin Immunol","note":"PMID: 37130455\nPMCID: PMC10524158","page":"102329","source":"PubMed Central","title":"TUMOR IMMUNE EVASION THROUGH LOSS OF MHC CLASS I ANTIGEN PRESENTATION","volume":"83","author":[{"family":"Sari","given":"Gulce"},{"family":"Rock","given":"Kenneth L."}],"issued":{"date-parts":[["2023",8]]}}}],"schema":"https://github.com/citation-style-language/schema/raw/master/csl-citation.json"} </w:instrText>
      </w:r>
      <w:r w:rsidR="009B75DF">
        <w:rPr>
          <w:rStyle w:val="Strong"/>
          <w:b w:val="0"/>
          <w:bCs w:val="0"/>
        </w:rPr>
        <w:fldChar w:fldCharType="separate"/>
      </w:r>
      <w:r w:rsidR="009B75DF" w:rsidRPr="009B75DF">
        <w:t>(Sari &amp; Rock, 2023)</w:t>
      </w:r>
      <w:r w:rsidR="009B75DF">
        <w:rPr>
          <w:rStyle w:val="Strong"/>
          <w:b w:val="0"/>
          <w:bCs w:val="0"/>
        </w:rPr>
        <w:fldChar w:fldCharType="end"/>
      </w:r>
      <w:r w:rsidR="00234A90" w:rsidRPr="00234A90">
        <w:rPr>
          <w:rStyle w:val="Strong"/>
          <w:b w:val="0"/>
          <w:bCs w:val="0"/>
        </w:rPr>
        <w:t>.</w:t>
      </w:r>
      <w:r w:rsidR="00DA218E">
        <w:rPr>
          <w:rStyle w:val="Strong"/>
          <w:b w:val="0"/>
          <w:bCs w:val="0"/>
        </w:rPr>
        <w:t xml:space="preserve"> </w:t>
      </w:r>
      <w:r w:rsidR="00234A90" w:rsidRPr="00234A90">
        <w:rPr>
          <w:rStyle w:val="Strong"/>
          <w:b w:val="0"/>
          <w:bCs w:val="0"/>
        </w:rPr>
        <w:t>Multi-omics reveals the intricate, frequently non-linear processes causing resistance by combining genomic, epigenomic, proteomic, and metabolomic information. This information informs the creation of logical combination medicines and effective treatment plans</w:t>
      </w:r>
      <w:r w:rsidR="009B75DF">
        <w:rPr>
          <w:rStyle w:val="Strong"/>
          <w:b w:val="0"/>
          <w:bCs w:val="0"/>
        </w:rPr>
        <w:fldChar w:fldCharType="begin"/>
      </w:r>
      <w:r w:rsidR="009B75DF">
        <w:rPr>
          <w:rStyle w:val="Strong"/>
          <w:b w:val="0"/>
          <w:bCs w:val="0"/>
        </w:rPr>
        <w:instrText xml:space="preserve"> ADDIN ZOTERO_ITEM CSL_CITATION {"citationID":"4TZHVIKh","properties":{"formattedCitation":"(Chen et al., 2023b)","plainCitation":"(Chen et al., 2023b)","noteIndex":0},"citationItems":[{"id":113,"uris":["http://zotero.org/users/local/AJmTDxS7/items/PFLJVTKF"],"itemData":{"id":113,"type":"article-journal","abstract":"Multi‐omics usually refers to the crossover application of multiple high‐throughput screening technologies represented by genomics, transcriptomics, single‐cell transcriptomics, proteomics and metabolomics, spatial transcriptomics, and so on, which play a great role in promoting the study of human diseases. Most of the current reviews focus on describing the development of multi‐omics technologies, data integration, and application to a particular disease; however, few of them provide a comprehensive and systematic introduction of multi‐omics. This review outlines the existing technical categories of multi‐omics, cautions for experimental design, focuses on the integrated analysis methods of multi‐omics, especially the approach of machine learning and deep learning in multi‐omics data integration and the corresponding tools, and the application of multi‐omics in medical researches (e.g., cancer, neurodegenerative diseases, aging, and drug target discovery) as well as the corresponding open‐source analysis tools and databases, and finally, discusses the challenges and future directions of multi‐omics integration and application in precision medicine. With the development of high‐throughput technologies and data integration algorithms, as important directions of multi‐omics for future disease research, single‐cell multi‐omics and spatial multi‐omics also provided a detailed introduction. This review will provide important guidance for researchers, especially who are just entering into multi‐omics medical research., Multi‐omics contains genomics, transcriptomics, proteomics, metabolomics, etc. And the experimental design considers the disease characteristics, disease model, sample size and phenotypic data. After the data integration by the approach of correlation, network and machining learning, the multi‐omics can be applied in diagnosis, biomarkers, targets of human disease and target discovery of natural compound.","container-title":"MedComm","DOI":"10.1002/mco2.315","ISSN":"2688-2663","issue":"4","journalAbbreviation":"MedComm (2020)","note":"PMID: 37533767\nPMCID: PMC10390758","page":"e315","source":"PubMed Central","title":"Applications of multi‐omics analysis in human diseases","volume":"4","author":[{"family":"Chen","given":"Chongyang"},{"family":"Wang","given":"Jing"},{"family":"Pan","given":"Donghui"},{"family":"Wang","given":"Xinyu"},{"family":"Xu","given":"Yuping"},{"family":"Yan","given":"Junjie"},{"family":"Wang","given":"Lizhen"},{"family":"Yang","given":"Xifei"},{"family":"Yang","given":"Min"},{"family":"Liu","given":"Gong‐Ping"}],"issued":{"date-parts":[["2023",7,31]]}}}],"schema":"https://github.com/citation-style-language/schema/raw/master/csl-citation.json"} </w:instrText>
      </w:r>
      <w:r w:rsidR="009B75DF">
        <w:rPr>
          <w:rStyle w:val="Strong"/>
          <w:b w:val="0"/>
          <w:bCs w:val="0"/>
        </w:rPr>
        <w:fldChar w:fldCharType="separate"/>
      </w:r>
      <w:r w:rsidR="009B75DF" w:rsidRPr="009B75DF">
        <w:t>(Chen et al., 2023b)</w:t>
      </w:r>
      <w:r w:rsidR="009B75DF">
        <w:rPr>
          <w:rStyle w:val="Strong"/>
          <w:b w:val="0"/>
          <w:bCs w:val="0"/>
        </w:rPr>
        <w:fldChar w:fldCharType="end"/>
      </w:r>
      <w:r w:rsidR="00234A90" w:rsidRPr="00234A90">
        <w:rPr>
          <w:rStyle w:val="Strong"/>
          <w:b w:val="0"/>
          <w:bCs w:val="0"/>
        </w:rPr>
        <w:t>.</w:t>
      </w:r>
    </w:p>
    <w:p w14:paraId="27959AA4" w14:textId="4BD610CD" w:rsidR="00426978" w:rsidRDefault="00426978" w:rsidP="00335E34">
      <w:pPr>
        <w:pStyle w:val="Heading3"/>
        <w:jc w:val="both"/>
      </w:pPr>
      <w:r>
        <w:rPr>
          <w:rStyle w:val="Strong"/>
          <w:b/>
          <w:bCs/>
        </w:rPr>
        <w:t>7. Role of Tumor Microenvironment and Multi-Omics Dissection</w:t>
      </w:r>
      <w:r>
        <w:t xml:space="preserve"> </w:t>
      </w:r>
    </w:p>
    <w:p w14:paraId="2EEF7E47" w14:textId="11499D88" w:rsidR="0037258F" w:rsidRDefault="00234A90" w:rsidP="00335E34">
      <w:pPr>
        <w:pStyle w:val="NormalWeb"/>
        <w:jc w:val="both"/>
      </w:pPr>
      <w:r>
        <w:t>Tumor microenvironment (TME) influences immune surveillance, treatment response, and the course of cancer. The TME functions as a physical and physiological niche that promotes tumor heterogeneity and resilience. It is made up of a dynamic network of endothelial and stromal elements, cancer-associated fibroblasts (CAFs), myeloid-derived suppressor cells, and tumor-infiltrating lymphocytes (TILs). The complex cell-cell interactions inside the TME may be decoded using multi-omics technologies, especially when spatially resolved. This reveals the paracrine signaling, immunosuppressive networks, and stromal regulation that underpin tumor adaptability</w:t>
      </w:r>
      <w:r w:rsidR="00143015">
        <w:fldChar w:fldCharType="begin"/>
      </w:r>
      <w:r w:rsidR="00143015">
        <w:instrText xml:space="preserve"> ADDIN ZOTERO_ITEM CSL_CITATION {"citationID":"xXoDuiaP","properties":{"formattedCitation":"(El-Tanani et al., 2024b)","plainCitation":"(El-Tanani et al., 2024b)","dontUpdate":true,"noteIndex":0},"citationItems":[{"id":116,"uris":["http://zotero.org/users/local/AJmTDxS7/items/9ARXF45N"],"itemData":{"id":116,"type":"article-journal","abstract":"This comprehensive review delves into the pivotal role of the tumor microenvironment (TME) in cancer metastasis and therapeutic response, offering fresh insights into the intricate interplay between cancer cells and their surrounding milieu. The TME, a dynamic ecosystem comprising diverse cellular and acellular elements, not only fosters tumor progression but also profoundly affects the efficacy of conventional and emerging cancer therapies. Through nuanced exploration, this review illuminates the multifaceted nature of the TME, elucidating its capacity to engender drug resistance via mechanisms such as hypoxia, immune evasion, and the establishment of physical barriers to drug delivery. Moreover, it investigates innovative therapeutic approaches aimed at targeting the TME, including stromal reprogramming, immune microenvironment modulation, extracellular matrix (ECM)-targeting agents, and personalized medicine strategies, highlighting their potential to augment treatment outcomes. Furthermore, this review critically evaluates the challenges posed by the complexity and heterogeneity of the TME, which contribute to variable therapeutic responses and potentially unintended consequences. This underscores the need to identify robust biomarkers and advance predictive models to anticipate treatment outcomes, as well as advocate for combination therapies that address multiple facets of the TME. Finally, the review emphasizes the necessity of an interdisciplinary approach and the integration of cutting-edge technologies to unravel the intricacies of the TME, thereby facilitating the development of more effective, adaptable, and personalized cancer treatments. By providing critical insights into the current state of TME research and its implications for the future of oncology, this review highlights the dynamic and evolving landscape of this field.","container-title":"Cancer Letters","DOI":"10.1016/j.canlet.2024.216894","ISSN":"0304-3835","journalAbbreviation":"Cancer Letters","page":"216894","source":"ScienceDirect","title":"Unraveling the tumor microenvironment: Insights into cancer metastasis and therapeutic strategies","title-short":"Unraveling the tumor microenvironment","volume":"591","author":[{"family":"El-Tanani","given":"Mohamed"},{"family":"Rabbani","given":"Syed Arman"},{"family":"Babiker","given":"Rasha"},{"family":"Rangraze","given":"Imran"},{"family":"Kapre","given":"Sumedha"},{"family":"Palakurthi","given":"Sushesh Srivastsa"},{"family":"Alnuqaydan","given":"Abdullah M."},{"family":"Aljabali","given":"Alaa A."},{"family":"Rizzo","given":"Manfredi"},{"family":"El-Tanani","given":"Yahia"},{"family":"Tambuwala","given":"Murtaza M."}],"issued":{"date-parts":[["2024",6,1]]}}}],"schema":"https://github.com/citation-style-language/schema/raw/master/csl-citation.json"} </w:instrText>
      </w:r>
      <w:r w:rsidR="00143015">
        <w:fldChar w:fldCharType="separate"/>
      </w:r>
      <w:r w:rsidR="00143015" w:rsidRPr="00143015">
        <w:t>(El-Tanani et al., 2024)</w:t>
      </w:r>
      <w:r w:rsidR="00143015">
        <w:fldChar w:fldCharType="end"/>
      </w:r>
      <w:r>
        <w:t>.</w:t>
      </w:r>
      <w:r w:rsidR="00DA218E">
        <w:t xml:space="preserve"> </w:t>
      </w:r>
      <w:r w:rsidRPr="00234A90">
        <w:rPr>
          <w:rStyle w:val="Strong"/>
          <w:b w:val="0"/>
          <w:bCs w:val="0"/>
        </w:rPr>
        <w:t>The TME's physical and functional variability has been shown using spatially-resolved multi-omics perspectives. Multiplexed imaging platforms and spatial transcriptomics are two examples of technologies that enable the mapping of cellular niches, the identification of metabolic zonation, hypoxia gradients, and immunological exclusion zones</w:t>
      </w:r>
      <w:r w:rsidR="00143015">
        <w:rPr>
          <w:rStyle w:val="Strong"/>
          <w:b w:val="0"/>
          <w:bCs w:val="0"/>
        </w:rPr>
        <w:fldChar w:fldCharType="begin"/>
      </w:r>
      <w:r w:rsidR="00143015">
        <w:rPr>
          <w:rStyle w:val="Strong"/>
          <w:b w:val="0"/>
          <w:bCs w:val="0"/>
        </w:rPr>
        <w:instrText xml:space="preserve"> ADDIN ZOTERO_ITEM CSL_CITATION {"citationID":"s69WQZ4t","properties":{"formattedCitation":"(Jing et al., 2025)","plainCitation":"(Jing et al., 2025)","noteIndex":0},"citationItems":[{"id":122,"uris":["http://zotero.org/users/local/AJmTDxS7/items/8LEMY4V7"],"itemData":{"id":122,"type":"article-journal","abstract":"The tumor microenvironment (TME) plays a crucial role in orchestrating tumor cell behavior and cancer progression. Recent advances in spatial profiling technologies have uncovered novel spatial signatures, including univariate distribution patterns, bivariate spatial relationships, and higher-order structures. These signatures have the potential to revolutionize tumor mechanism and treatment. In this review, we summarize the current state of spatial signature research, highlighting computational methods to uncover spatially relevant biological significance. We discuss the impact of these advances on fundamental cancer biology and translational research, address current challenges and future research directions.","container-title":"NPJ Precision Oncology","DOI":"10.1038/s41698-025-00857-1","ISSN":"2397-768X","journalAbbreviation":"NPJ Precis Oncol","note":"PMID: 40069556\nPMCID: PMC11897387","page":"68","source":"PubMed Central","title":"Quantifying and interpreting biologically meaningful spatial signatures within tumor microenvironments","volume":"9","author":[{"family":"Jing","given":"Si-yu"},{"family":"Wang","given":"He-qi"},{"family":"Lin","given":"Ping"},{"family":"Yuan","given":"Jiao"},{"family":"Tang","given":"Zhi-xuan"},{"family":"Li","given":"Hong"}],"issued":{"date-parts":[["2025",3,11]]}}}],"schema":"https://github.com/citation-style-language/schema/raw/master/csl-citation.json"} </w:instrText>
      </w:r>
      <w:r w:rsidR="00143015">
        <w:rPr>
          <w:rStyle w:val="Strong"/>
          <w:b w:val="0"/>
          <w:bCs w:val="0"/>
        </w:rPr>
        <w:fldChar w:fldCharType="separate"/>
      </w:r>
      <w:r w:rsidR="00143015" w:rsidRPr="00143015">
        <w:t>(Jing et al., 2025)</w:t>
      </w:r>
      <w:r w:rsidR="00143015">
        <w:rPr>
          <w:rStyle w:val="Strong"/>
          <w:b w:val="0"/>
          <w:bCs w:val="0"/>
        </w:rPr>
        <w:fldChar w:fldCharType="end"/>
      </w:r>
      <w:r w:rsidRPr="00234A90">
        <w:rPr>
          <w:rStyle w:val="Strong"/>
          <w:b w:val="0"/>
          <w:bCs w:val="0"/>
        </w:rPr>
        <w:t>. For instance, hypoxic tumor cores frequently show downregulated antigen presentation and elevated glycolytic gene expression, which are spatially limited and undetectable to bulk profiling. The response to treatment is significantly impacted by these geographical patterns, particularly with regard to immunotherapies and anti-angiogenic medicines</w:t>
      </w:r>
      <w:r w:rsidR="00143015">
        <w:rPr>
          <w:rStyle w:val="Strong"/>
          <w:b w:val="0"/>
          <w:bCs w:val="0"/>
        </w:rPr>
        <w:fldChar w:fldCharType="begin"/>
      </w:r>
      <w:r w:rsidR="00143015">
        <w:rPr>
          <w:rStyle w:val="Strong"/>
          <w:b w:val="0"/>
          <w:bCs w:val="0"/>
        </w:rPr>
        <w:instrText xml:space="preserve"> ADDIN ZOTERO_ITEM CSL_CITATION {"citationID":"x8axuKX5","properties":{"formattedCitation":"(Estephan et al., 2025)","plainCitation":"(Estephan et al., 2025)","noteIndex":0},"citationItems":[{"id":127,"uris":["http://zotero.org/users/local/AJmTDxS7/items/KNQPJ9M9"],"itemData":{"id":127,"type":"article-journal","abstract":"Hypoxia is a common feature of solid tumors that has previously been linked to resistance to radiotherapy and chemotherapy, and more recently to immunotherapy. In particular, hypoxic tumors exclude T cells and inhibit their activity, suggesting that tumor cells acquire a mechanism to evade T-cell recognition and killing. Our analysis of hypoxic tumors indicates that hypoxia downregulates the expression of MHC class I and its bound peptides (i.e., the immunopeptidome). Hypoxia decreases MHC-I expression in an oxygen-dependent manner, via activation of autophagy through the PERK arm of the unfolded protein response. Using an immunopeptidomics-based LC-MS approach, we find a significant reduction of presented antigens under hypoxia. Inhibition of autophagy under hypoxia enhances antigen presentation. In experimental tumors, reducing mitochondrial metabolism through a respiratory complex-I inhibitor increases tumor oxygenation, as well as MHC-I levels and the immunopeptidome. These data explain the molecular basis of tumor immune evasion in hypoxic conditions, and have implications for future therapeutic interventions targeting hypoxia-induced alterations in antigen presentation.","container-title":"The EMBO journal","DOI":"10.1038/s44318-024-00319-7","ISSN":"1460-2075","issue":"3","journalAbbreviation":"EMBO J","language":"eng","note":"PMID: 39753950\nPMCID: PMC11790895","page":"903-922","source":"PubMed","title":"Hypoxia promotes tumor immune evasion by suppressing MHC-I expression and antigen presentation","volume":"44","author":[{"family":"Estephan","given":"Hala"},{"family":"Tailor","given":"Arun"},{"family":"Parker","given":"Robert"},{"family":"Kreamer","given":"McKenzie"},{"family":"Papandreou","given":"Ioanna"},{"family":"Campo","given":"Leticia"},{"family":"Easton","given":"Alistair"},{"family":"Moon","given":"Eui Jung"},{"family":"Denko","given":"Nicholas C."},{"family":"Ternette","given":"Nicola"},{"family":"Hammond","given":"Ester M."},{"family":"Giaccia","given":"Amato J."}],"issued":{"date-parts":[["2025",2]]}}}],"schema":"https://github.com/citation-style-language/schema/raw/master/csl-citation.json"} </w:instrText>
      </w:r>
      <w:r w:rsidR="00143015">
        <w:rPr>
          <w:rStyle w:val="Strong"/>
          <w:b w:val="0"/>
          <w:bCs w:val="0"/>
        </w:rPr>
        <w:fldChar w:fldCharType="separate"/>
      </w:r>
      <w:r w:rsidR="00143015" w:rsidRPr="00143015">
        <w:t>(Estephan et al., 2025)</w:t>
      </w:r>
      <w:r w:rsidR="00143015">
        <w:rPr>
          <w:rStyle w:val="Strong"/>
          <w:b w:val="0"/>
          <w:bCs w:val="0"/>
        </w:rPr>
        <w:fldChar w:fldCharType="end"/>
      </w:r>
      <w:r w:rsidRPr="00234A90">
        <w:rPr>
          <w:rStyle w:val="Strong"/>
          <w:b w:val="0"/>
          <w:bCs w:val="0"/>
        </w:rPr>
        <w:t>.</w:t>
      </w:r>
      <w:r w:rsidR="0037258F">
        <w:t xml:space="preserve"> </w:t>
      </w:r>
      <w:r w:rsidR="00CD3770">
        <w:t>The microbiome has become an essential facilitator of tumor behavior and immune reactivity, independent of host-derived variables. By producing metabolites and educating the immune system, gut microbiota can affect T cell priming and systemic inflammation</w:t>
      </w:r>
      <w:r w:rsidR="00143015">
        <w:fldChar w:fldCharType="begin"/>
      </w:r>
      <w:r w:rsidR="00143015">
        <w:instrText xml:space="preserve"> ADDIN ZOTERO_ITEM CSL_CITATION {"citationID":"y7IhKWVa","properties":{"formattedCitation":"(Graham &amp; Xavier, 2023)","plainCitation":"(Graham &amp; Xavier, 2023)","noteIndex":0},"citationItems":[{"id":132,"uris":["http://zotero.org/users/local/AJmTDxS7/items/HG3L2PLX"],"itemData":{"id":132,"type":"article-journal","abstract":"The human intestinal microbiome has coevolved with its host to establish a stable homeostatic relationship with hallmark features of mutualistic symbioses, yet the mechanistic underpinnings of host–microbiome interactions are incompletely understood. Thus, it is an opportune time to conceive a common framework for microbiome-mediated regulation of immune function. We propose the term conditioned immunity to describe the multifaceted mechanisms by which the microbiome modulates immunity. In this regard, microbial colonization is a conditioning exposure that has durable effects on immune function through the action of secondary metabolites, foreign molecular patterns, and antigens. Here, we discuss how spatial niches impact host exposure to microbial products at the level of dose and timing, which elicit diverse conditioned responses.","collection-title":"Special issue: Systems immunology II","container-title":"Trends in Immunology","DOI":"10.1016/j.it.2023.05.002","ISSN":"1471-4906","issue":"7","journalAbbreviation":"Trends in Immunology","page":"499-511","source":"ScienceDirect","title":"Conditioning of the immune system by the microbiome","volume":"44","author":[{"family":"Graham","given":"Daniel B."},{"family":"Xavier","given":"Ramnik J."}],"issued":{"date-parts":[["2023",7,1]]}}}],"schema":"https://github.com/citation-style-language/schema/raw/master/csl-citation.json"} </w:instrText>
      </w:r>
      <w:r w:rsidR="00143015">
        <w:fldChar w:fldCharType="separate"/>
      </w:r>
      <w:r w:rsidR="00143015" w:rsidRPr="00143015">
        <w:t>(Graham &amp; Xavier, 2023)</w:t>
      </w:r>
      <w:r w:rsidR="00143015">
        <w:fldChar w:fldCharType="end"/>
      </w:r>
      <w:r w:rsidR="00CD3770">
        <w:t xml:space="preserve">. According to recent data, </w:t>
      </w:r>
      <w:proofErr w:type="spellStart"/>
      <w:r w:rsidR="00CD3770">
        <w:t>intratumoral</w:t>
      </w:r>
      <w:proofErr w:type="spellEnd"/>
      <w:r w:rsidR="00CD3770">
        <w:t xml:space="preserve"> bacteria that live inside cancer cells or the stromal compartment may also alter drug metabolism, resistance mechanisms, and local immunological tone. Certain microbial profiles linked to response to checkpoint inhibitors and chemotherapies have been identified by multi-omics profiling that combines 16S rRNA sequencing, metagenomics, and host transcriptomics</w:t>
      </w:r>
      <w:r w:rsidR="00143015">
        <w:fldChar w:fldCharType="begin"/>
      </w:r>
      <w:r w:rsidR="000B6060">
        <w:instrText xml:space="preserve"> ADDIN ZOTERO_ITEM CSL_CITATION {"citationID":"16eeCz3D","properties":{"formattedCitation":"(M. Wang et al., 2023)","plainCitation":"(M. Wang et al., 2023)","noteIndex":0},"citationItems":[{"id":135,"uris":["http://zotero.org/users/local/AJmTDxS7/items/YVPZV69D"],"itemData":{"id":135,"type":"article-journal","abstract":"Microbial species that dwell human bodies have profound effects on overall health and multiple pathological conditions. The tumor microenvironment (TME) is characterized by disordered vasculature, hypoxia, excessive nutrition and immunosuppression. Thus, it is a favorable niche for microbial survival and growth. Multiple lines of evidence support the existence of microorganisms within diverse types of cancers. Like gut microbiota, intratumoral microbes have been tightly associated with cancer pathogenesis. Intratumoral microbiota can affect cancer development through various mechanisms, including induction of host genetic mutation, remodeling of the immune landscape and regulation of cancer metabolism and oncogenic pathways. Tumor-associated microbes modulate the efficacy of anticancer therapies, suggesting their potential utility as novel targets for future intervention. In addition, a growing body of evidence has manifested the diagnostic, prognostic, and therapeutic potential of intratumoral microorganisms in cancer. Nevertheless, our knowledge of the diversity and biological function of intratumoral microbiota is still incomplete. A deeper appreciation of tumor microbiome will be crucial to delineate the key pathological mechanisms underlying cancer progression and hasten the development of personalized treatment approaches. Herein, we summarize the most recent progress of the research into the emerging roles of intratumoral microbiota in cancer and towards clarifying the sophisticated mechanisms involved. Moreover, we discuss the effect of intratumoral microbiota on cancer treatment response and highlight its potential clinical implications in cancer.","container-title":"Frontiers in Immunology","DOI":"10.3389/fimmu.2023.1269054","ISSN":"1664-3224","journalAbbreviation":"Front. Immunol.","language":"English","note":"publisher: Frontiers","source":"Frontiers","title":"Intratumor microbiota in cancer pathogenesis and immunity: from mechanisms of action to therapeutic opportunities","title-short":"Intratumor microbiota in cancer pathogenesis and immunity","URL":"https://www.frontiersin.org/journals/immunology/articles/10.3389/fimmu.2023.1269054/full","volume":"14","author":[{"family":"Wang","given":"Man"},{"family":"Yu","given":"Fei"},{"family":"Li","given":"Peifeng"}],"accessed":{"date-parts":[["2025",6,24]]},"issued":{"date-parts":[["2023",10,6]]}}}],"schema":"https://github.com/citation-style-language/schema/raw/master/csl-citation.json"} </w:instrText>
      </w:r>
      <w:r w:rsidR="00143015">
        <w:fldChar w:fldCharType="separate"/>
      </w:r>
      <w:r w:rsidR="000B6060" w:rsidRPr="000B6060">
        <w:t>(M. Wang et al., 2023)</w:t>
      </w:r>
      <w:r w:rsidR="00143015">
        <w:fldChar w:fldCharType="end"/>
      </w:r>
      <w:r w:rsidR="00CD3770">
        <w:t>.</w:t>
      </w:r>
      <w:r w:rsidR="0037258F">
        <w:t xml:space="preserve"> </w:t>
      </w:r>
      <w:r w:rsidR="00CD3770">
        <w:t xml:space="preserve">The TME actively contributes to treatment resistance in a number of ways. Stromal shielding, which is made by fibroblasts and ECM components and comprises of physical and metabolic barriers, prevents drug penetration and immune cell trafficking. Although hypoxia-induced signaling promotes metabolic rewiring and epithelial-mesenchymal transition, cytokine networks (such as TGF-β and IL-6) reorganize immune cells toward suppressive phenotypes, enhancing stress survival. To investigate these complex interactions, sophisticated methods including as STARMAP, CODEX, MERFISH, and </w:t>
      </w:r>
      <w:proofErr w:type="spellStart"/>
      <w:r w:rsidR="00CD3770">
        <w:t>Cell</w:t>
      </w:r>
      <w:r w:rsidR="005947BD">
        <w:t>CHAT</w:t>
      </w:r>
      <w:proofErr w:type="spellEnd"/>
      <w:r w:rsidR="00CD3770">
        <w:t xml:space="preserve"> have been developed</w:t>
      </w:r>
      <w:r w:rsidR="005947BD">
        <w:fldChar w:fldCharType="begin"/>
      </w:r>
      <w:r w:rsidR="005947BD">
        <w:instrText xml:space="preserve"> ADDIN ZOTERO_ITEM CSL_CITATION {"citationID":"GX6EKaKF","properties":{"formattedCitation":"(Yuan et al., 2023)","plainCitation":"(Yuan et al., 2023)","noteIndex":0},"citationItems":[{"id":137,"uris":["http://zotero.org/users/local/AJmTDxS7/items/B5YZ6BMX"],"itemData":{"id":137,"type":"article-journal","abstract":"The malignant tumor is a multi-etiological, systemic and complex disease characterized by uncontrolled cell proliferation and distant metastasis. Anticancer treatments including adjuvant therapies and targeted therapies are effective in eliminating cancer cells but in a limited number of patients. Increasing evidence suggests that the extracellular matrix (ECM) plays an important role in tumor development through changes in macromolecule components, degradation enzymes and stiffness. These variations are under the control of cellular components in tumor tissue via the aberrant activation of signaling pathways, the interaction of the ECM components to multiple surface receptors, and mechanical impact. Additionally, the ECM shaped by cancer regulates immune cells which results in an immune suppressive microenvironment and hinders the efficacy of immunotherapies. Thus, the ECM acts as a barrier to protect cancer from treatments and supports tumor progression. Nevertheless, the profound regulatory network of the ECM remodeling hampers the design of individualized antitumor treatment. Here, we elaborate on the composition of the malignant ECM, and discuss the specific mechanisms of the ECM remodeling. Precisely, we highlight the impact of the ECM remodeling on tumor development, including proliferation, anoikis, metastasis, angiogenesis, lymphangiogenesis, and immune escape. Finally, we emphasize ECM \"normalization\" as a potential strategy for anti-malignant treatment.","container-title":"Molecular Cancer","DOI":"10.1186/s12943-023-01744-8","ISSN":"1476-4598","journalAbbreviation":"Mol Cancer","note":"PMID: 36906534\nPMCID: PMC10007858","page":"48","source":"PubMed Central","title":"Extracellular matrix remodeling in tumor progression and immune escape: from mechanisms to treatments","title-short":"Extracellular matrix remodeling in tumor progression and immune escape","volume":"22","author":[{"family":"Yuan","given":"Zhennan"},{"family":"Li","given":"Yingpu"},{"family":"Zhang","given":"Sifan"},{"family":"Wang","given":"Xueying"},{"family":"Dou","given":"He"},{"family":"Yu","given":"Xi"},{"family":"Zhang","given":"Zhiren"},{"family":"Yang","given":"Shanshan"},{"family":"Xiao","given":"Min"}],"issued":{"date-parts":[["2023",3,11]]}}}],"schema":"https://github.com/citation-style-language/schema/raw/master/csl-citation.json"} </w:instrText>
      </w:r>
      <w:r w:rsidR="005947BD">
        <w:fldChar w:fldCharType="separate"/>
      </w:r>
      <w:r w:rsidR="005947BD" w:rsidRPr="005947BD">
        <w:t>(Yuan et al., 2023)</w:t>
      </w:r>
      <w:r w:rsidR="005947BD">
        <w:fldChar w:fldCharType="end"/>
      </w:r>
      <w:r w:rsidR="00CD3770">
        <w:t>. By combining spatial resolution, multiplexing, and computational modeling, these systems decode the functional topography of the TME, map ligand-receptor interactions, and reconstruct cell communication networks. Such understanding is necessary to design context-specific medicines</w:t>
      </w:r>
      <w:r w:rsidR="00DA218E">
        <w:t xml:space="preserve"> </w:t>
      </w:r>
      <w:r w:rsidR="00CD3770">
        <w:t>that increase anti-tumor immunity and break down stromal barriers</w:t>
      </w:r>
      <w:r w:rsidR="005947BD">
        <w:fldChar w:fldCharType="begin"/>
      </w:r>
      <w:r w:rsidR="005947BD">
        <w:instrText xml:space="preserve"> ADDIN ZOTERO_ITEM CSL_CITATION {"citationID":"1XjXCpwt","properties":{"formattedCitation":"(Armingol et al., 2022)","plainCitation":"(Armingol et al., 2022)","noteIndex":0},"citationItems":[{"id":140,"uris":["http://zotero.org/users/local/AJmTDxS7/items/VFZ2H94C"],"itemData":{"id":140,"type":"article-journal","abstract":"Cell interactions determine phenotypes, and intercellular communication is shaped by cellular contexts such as disease state, organismal life stage, and tissue microenvironment. Single-cell technologies measure the molecules mediating cell–cell communication, and emerging computational tools can exploit these data to decipher intercellular communication. However, current methods either disregard cellular context or rely on simple pairwise comparisons between samples, thus limiting the ability to decipher complex cell–cell communication across multiple time points, levels of disease severity, or spatial contexts. Here we present Tensor-cell2cell, an unsupervised method using tensor decomposition, which deciphers context-driven intercellular communication by simultaneously accounting for multiple stages, states, or locations of the cells. To do so, Tensor-cell2cell uncovers context-driven patterns of communication associated with different phenotypic states and determined by unique combinations of cell types and ligand-receptor pairs. As such, Tensor-cell2cell robustly improves upon and extends the analytical capabilities of existing tools. We show Tensor-cell2cell can identify multiple modules associated with distinct communication processes (e.g., participating cell–cell and ligand-receptor pairs) linked to severities of Coronavirus Disease 2019 and to Autism Spectrum Disorder. Thus, we introduce an effective and easy-to-use strategy for understanding complex communication patterns across diverse conditions., Cellular contexts such as disease state, organismal life stage and tissue microenvironment, shape intercellular communication, and ultimately affect an organism’s phenotypes. Here, the authors present Tensor-cell2cell, an unsupervised method for deciphering context-driven intercellular communication.","container-title":"Nature Communications","DOI":"10.1038/s41467-022-31369-2","ISSN":"2041-1723","journalAbbreviation":"Nat Commun","note":"PMID: 35760817\nPMCID: PMC9237099","page":"3665","source":"PubMed Central","title":"Context-aware deconvolution of cell–cell communication with Tensor-cell2cell","volume":"13","author":[{"family":"Armingol","given":"Erick"},{"family":"Baghdassarian","given":"Hratch M."},{"family":"Martino","given":"Cameron"},{"family":"Perez-Lopez","given":"Araceli"},{"family":"Aamodt","given":"Caitlin"},{"family":"Knight","given":"Rob"},{"family":"Lewis","given":"Nathan E."}],"issued":{"date-parts":[["2022",6,27]]}}}],"schema":"https://github.com/citation-style-language/schema/raw/master/csl-citation.json"} </w:instrText>
      </w:r>
      <w:r w:rsidR="005947BD">
        <w:fldChar w:fldCharType="separate"/>
      </w:r>
      <w:r w:rsidR="005947BD" w:rsidRPr="005947BD">
        <w:t>(</w:t>
      </w:r>
      <w:proofErr w:type="spellStart"/>
      <w:r w:rsidR="005947BD" w:rsidRPr="005947BD">
        <w:t>Armingol</w:t>
      </w:r>
      <w:proofErr w:type="spellEnd"/>
      <w:r w:rsidR="005947BD" w:rsidRPr="005947BD">
        <w:t xml:space="preserve"> et al., 2022)</w:t>
      </w:r>
      <w:r w:rsidR="005947BD">
        <w:fldChar w:fldCharType="end"/>
      </w:r>
      <w:r w:rsidR="00CD3770">
        <w:t>.</w:t>
      </w:r>
    </w:p>
    <w:p w14:paraId="53261019" w14:textId="77777777" w:rsidR="00E8724D" w:rsidRDefault="00E8724D" w:rsidP="00335E34">
      <w:pPr>
        <w:pStyle w:val="NormalWeb"/>
        <w:jc w:val="both"/>
      </w:pPr>
    </w:p>
    <w:p w14:paraId="25C9CD8D" w14:textId="6E4F7591" w:rsidR="00426978" w:rsidRDefault="00426978" w:rsidP="00335E34">
      <w:pPr>
        <w:pStyle w:val="Heading3"/>
        <w:jc w:val="both"/>
      </w:pPr>
      <w:r>
        <w:rPr>
          <w:rStyle w:val="Strong"/>
          <w:b/>
          <w:bCs/>
        </w:rPr>
        <w:lastRenderedPageBreak/>
        <w:t>8. Multi-Omics and Precision Oncology: Clinical Applications</w:t>
      </w:r>
      <w:r>
        <w:t xml:space="preserve"> </w:t>
      </w:r>
    </w:p>
    <w:p w14:paraId="763BA28B" w14:textId="2C60DA19" w:rsidR="00426978" w:rsidRDefault="00CD3770" w:rsidP="00335E34">
      <w:pPr>
        <w:pStyle w:val="NormalWeb"/>
        <w:jc w:val="both"/>
      </w:pPr>
      <w:r>
        <w:t>Precision medicine is changing due to the incorporation of multi-omics into clinical oncology, which makes stratified treatment strategies based on thorough molecular profiling possible. Multi-omics enables the discovery of multi-modal biomarkers for prognosis, treatment stratification, and response prediction by examining tumors across genomic, transcriptomic, epigenomic, proteomic, and metabolomic levels</w:t>
      </w:r>
      <w:r w:rsidR="005947BD">
        <w:fldChar w:fldCharType="begin"/>
      </w:r>
      <w:r w:rsidR="005947BD">
        <w:instrText xml:space="preserve"> ADDIN ZOTERO_ITEM CSL_CITATION {"citationID":"i5q7YxgZ","properties":{"formattedCitation":"(Molla &amp; Bitew, 2024)","plainCitation":"(Molla &amp; Bitew, 2024)","noteIndex":0},"citationItems":[{"id":143,"uris":["http://zotero.org/users/local/AJmTDxS7/items/7LUMS2VK"],"itemData":{"id":143,"type":"article-journal","abstract":"The field of personalized medicine is undergoing a transformative shift through the integration of multi-omics data, which mainly encompasses genomics, transcriptomics, proteomics, and metabolomics. This synergy allows for a comprehensive understanding of individual health by analyzing genetic, molecular, and biochemical profiles. The generation and integration of multi-omics data enable more precise and tailored therapeutic strategies, improving the efficacy of treatments and reducing adverse effects. However, several challenges hinder the full realization of personalized medicine. Key hurdles include the complexity of data integration across different omics layers, the need for advanced computational tools, and the high cost of comprehensive data generation. Additionally, issues related to data privacy, standardization, and the need for robust validation in diverse populations remain significant obstacles. Looking ahead, the future of personalized medicine promises advancements in technology and methodologies that will address these challenges. Emerging innovations in data analytics, machine learning, and high-throughput sequencing are expected to enhance the integration of multi-omics data, making personalized medicine more accessible and effective. Collaborative efforts among researchers, clinicians, and industry stakeholders are crucial to overcoming these hurdles and fully harnessing the potential of multi-omics for individualized healthcare.","container-title":"Biomedicines","DOI":"10.3390/biomedicines12122750","ISSN":"2227-9059","issue":"12","journalAbbreviation":"Biomedicines","note":"PMID: 39767657\nPMCID: PMC11673561","page":"2750","source":"PubMed Central","title":"Revolutionizing Personalized Medicine: Synergy with Multi-Omics Data Generation, Main Hurdles, and Future Perspectives","title-short":"Revolutionizing Personalized Medicine","volume":"12","author":[{"family":"Molla","given":"Getnet"},{"family":"Bitew","given":"Molalegne"}],"issued":{"date-parts":[["2024",11,30]]}}}],"schema":"https://github.com/citation-style-language/schema/raw/master/csl-citation.json"} </w:instrText>
      </w:r>
      <w:r w:rsidR="005947BD">
        <w:fldChar w:fldCharType="separate"/>
      </w:r>
      <w:r w:rsidR="005947BD" w:rsidRPr="005947BD">
        <w:t>(Molla &amp; Bitew, 2024)</w:t>
      </w:r>
      <w:r w:rsidR="005947BD">
        <w:fldChar w:fldCharType="end"/>
      </w:r>
      <w:r>
        <w:t>. These composite signatures, in contrast to conventional single-gene biomarkers, provide more reliable and practically useful insights by taking into consideration the functional interactions between several molecular determinants.</w:t>
      </w:r>
      <w:r w:rsidR="00335E34">
        <w:t xml:space="preserve"> </w:t>
      </w:r>
      <w:r w:rsidRPr="00335E34">
        <w:rPr>
          <w:rStyle w:val="Strong"/>
          <w:b w:val="0"/>
          <w:bCs w:val="0"/>
        </w:rPr>
        <w:t>Multi-omics biomarker discovery has revealed predictive and prognostic markers that go beyond individual modalities</w:t>
      </w:r>
      <w:r w:rsidR="007D0EDA">
        <w:rPr>
          <w:rStyle w:val="Strong"/>
          <w:b w:val="0"/>
          <w:bCs w:val="0"/>
        </w:rPr>
        <w:fldChar w:fldCharType="begin"/>
      </w:r>
      <w:r w:rsidR="007D0EDA">
        <w:rPr>
          <w:rStyle w:val="Strong"/>
          <w:b w:val="0"/>
          <w:bCs w:val="0"/>
        </w:rPr>
        <w:instrText xml:space="preserve"> ADDIN ZOTERO_ITEM CSL_CITATION {"citationID":"wykGl4dc","properties":{"formattedCitation":"(Okafor et al., 2025)","plainCitation":"(Okafor et al., 2025)","noteIndex":0},"citationItems":[{"id":233,"uris":["http://zotero.org/users/local/AJmTDxS7/items/EVP8IN94"],"itemData":{"id":233,"type":"article-journal","container-title":"Journal of Cancer and Tumor International","DOI":"10.9734/jcti/2025/v15i2294","ISSN":"2454-7360","issue":"2","language":"en","page":"79-96","source":"journaljcti.com","title":"From Bench to Bedside: Medicinal Chemistry Strategies in the Development of Kinase Inhibitors for Cancer Therapy","title-short":"From Bench to Bedside","volume":"15","author":[{"family":"Okafor","given":"Chibuike Emmanuel"},{"family":"Egwuatu","given":"Emmanuel Cherechi"},{"family":"Owosagba","given":"Victor Ayoola"},{"family":"Njei","given":"Teckla"},{"family":"Adeyemi","given":"Bankole Israel"},{"family":"Onuche","given":"Philip Ugbede Ojo"},{"family":"Adams","given":"Abdullahi"},{"family":"Ugwuja","given":"Chiamaka Blessing"},{"family":"Chibueze","given":"Eze Samson"},{"family":"Lawal","given":"Olabisi Promise"}],"issued":{"date-parts":[["2025",5,10]]}}}],"schema":"https://github.com/citation-style-language/schema/raw/master/csl-citation.json"} </w:instrText>
      </w:r>
      <w:r w:rsidR="007D0EDA">
        <w:rPr>
          <w:rStyle w:val="Strong"/>
          <w:b w:val="0"/>
          <w:bCs w:val="0"/>
        </w:rPr>
        <w:fldChar w:fldCharType="separate"/>
      </w:r>
      <w:r w:rsidR="007D0EDA" w:rsidRPr="007D0EDA">
        <w:t>(Okafor et al., 2025)</w:t>
      </w:r>
      <w:r w:rsidR="007D0EDA">
        <w:rPr>
          <w:rStyle w:val="Strong"/>
          <w:b w:val="0"/>
          <w:bCs w:val="0"/>
        </w:rPr>
        <w:fldChar w:fldCharType="end"/>
      </w:r>
      <w:r w:rsidRPr="00335E34">
        <w:rPr>
          <w:rStyle w:val="Strong"/>
          <w:b w:val="0"/>
          <w:bCs w:val="0"/>
        </w:rPr>
        <w:t>. For example, coupled proteogenomic signatures in breast cancer have improved the classification of HER2-negative subgroups with unique treatment vulnerabilities, and combined DNA methylation and transcriptome profiles can identify immunological subtypes in colorectal cancer</w:t>
      </w:r>
      <w:r w:rsidR="005947BD">
        <w:rPr>
          <w:rStyle w:val="Strong"/>
          <w:b w:val="0"/>
          <w:bCs w:val="0"/>
        </w:rPr>
        <w:fldChar w:fldCharType="begin"/>
      </w:r>
      <w:r w:rsidR="005947BD">
        <w:rPr>
          <w:rStyle w:val="Strong"/>
          <w:b w:val="0"/>
          <w:bCs w:val="0"/>
        </w:rPr>
        <w:instrText xml:space="preserve"> ADDIN ZOTERO_ITEM CSL_CITATION {"citationID":"j6SnxRXc","properties":{"formattedCitation":"(Aerqin et al., 2022)","plainCitation":"(Aerqin et al., 2022)","noteIndex":0},"citationItems":[{"id":145,"uris":["http://zotero.org/users/local/AJmTDxS7/items/SBBXX7C3"],"itemData":{"id":145,"type":"article-journal","abstract":"Alzheimer’s disease (AD) is the most common neurodegenerative disorders presenting with the pathological hallmarks of amyloid plaques and tau tangles. Over the past few years, great efforts have been made to explore reliable biomarkers of AD. High-throughput omics are a technology driven by multiple levels of unbiased data to detect the complex etiology of AD, and it provides us with new opportunities to better understand the pathophysiology of AD and thereby identify potential biomarkers. Through revealing the interaction networks between different molecular levels, the ultimate goal of multi-omics is to improve the diagnosis and treatment of AD. In this review, based on the current AD pathology and the current status of AD diagnostic biomarkers, we summarize how genomics, transcriptomics, proteomics and metabolomics are all conducing to the discovery of reliable AD biomarkers that could be developed and used in clinical AD management.","container-title":"Cellular and Molecular Life Sciences: CMLS","DOI":"10.1007/s00018-022-04614-6","ISSN":"1420-682X","issue":"12","journalAbbreviation":"Cell Mol Life Sci","note":"PMID: 36348101\nPMCID: PMC11803048","page":"585","source":"PubMed Central","title":"Omics-based biomarkers discovery for Alzheimer's disease","volume":"79","author":[{"family":"Aerqin","given":"Qiaolifan"},{"family":"Wang","given":"Zuo-Teng"},{"family":"Wu","given":"Kai-Min"},{"family":"He","given":"Xiao-Yu"},{"family":"Dong","given":"Qiang"},{"family":"Yu","given":"Jin-Tai"}],"issued":{"date-parts":[["2022",11,8]]}}}],"schema":"https://github.com/citation-style-language/schema/raw/master/csl-citation.json"} </w:instrText>
      </w:r>
      <w:r w:rsidR="005947BD">
        <w:rPr>
          <w:rStyle w:val="Strong"/>
          <w:b w:val="0"/>
          <w:bCs w:val="0"/>
        </w:rPr>
        <w:fldChar w:fldCharType="separate"/>
      </w:r>
      <w:r w:rsidR="005947BD" w:rsidRPr="005947BD">
        <w:t>(</w:t>
      </w:r>
      <w:proofErr w:type="spellStart"/>
      <w:r w:rsidR="005947BD" w:rsidRPr="005947BD">
        <w:t>Aerqin</w:t>
      </w:r>
      <w:proofErr w:type="spellEnd"/>
      <w:r w:rsidR="005947BD" w:rsidRPr="005947BD">
        <w:t xml:space="preserve"> et al., 2022)</w:t>
      </w:r>
      <w:r w:rsidR="005947BD">
        <w:rPr>
          <w:rStyle w:val="Strong"/>
          <w:b w:val="0"/>
          <w:bCs w:val="0"/>
        </w:rPr>
        <w:fldChar w:fldCharType="end"/>
      </w:r>
      <w:r w:rsidRPr="00335E34">
        <w:rPr>
          <w:rStyle w:val="Strong"/>
          <w:b w:val="0"/>
          <w:bCs w:val="0"/>
        </w:rPr>
        <w:t>. Across all cancer types, these integrative biomarkers are proven to be crucial for risk assessment and therapy choice.</w:t>
      </w:r>
      <w:r w:rsidR="00335E34">
        <w:t xml:space="preserve"> </w:t>
      </w:r>
      <w:r w:rsidRPr="00335E34">
        <w:t xml:space="preserve">By combining exome sequencing and </w:t>
      </w:r>
      <w:proofErr w:type="spellStart"/>
      <w:r w:rsidRPr="00335E34">
        <w:t>immunopeptidomics</w:t>
      </w:r>
      <w:proofErr w:type="spellEnd"/>
      <w:r w:rsidRPr="00335E34">
        <w:t>, multi-omics makes it possible to identify neoantigens tumor-specific altered peptides resulting from non-synonymous mutations in the context of therapeutic target discovery. Additionally, by combining genomic and transcriptome dependencies, it enables the mapping of synthetic lethality networks and identifies context-dependent vulnerabilities in tumors with particular genetic mutations (e.g., PARP inhibitors in BRCA-mutated malignancies)</w:t>
      </w:r>
      <w:r w:rsidR="005947BD">
        <w:fldChar w:fldCharType="begin"/>
      </w:r>
      <w:r w:rsidR="005947BD">
        <w:instrText xml:space="preserve"> ADDIN ZOTERO_ITEM CSL_CITATION {"citationID":"ycmdQYUw","properties":{"formattedCitation":"(Naffaa et al., 2025)","plainCitation":"(Naffaa et al., 2025)","noteIndex":0},"citationItems":[{"id":147,"uris":["http://zotero.org/users/local/AJmTDxS7/items/CZQTBR4Q"],"itemData":{"id":147,"type":"article-journal","abstract":"Neoantigen-based immunotherapy has emerged as a transformative approach in cancer treatment, offering precision medicine strategies that target tumor-specific antigens derived from genetic, transcriptomic, and proteomic alterations unique to cancer cells. These neoantigens serve as highly specific targets for personalized therapies, promising more effective and tailored treatments. The aim of this article is to explore the advances in neoantigen-based therapies, highlighting successful treatments such as vaccines, tumor-infiltrating lymphocyte (TIL) therapy, T-cell receptor-engineered T cells therapy (TCR-T), and chimeric antigen receptor T cells therapy (CAR-T), particularly in cancer types like glioblastoma (GBM). Advances in technologies such as next-generation sequencing, RNA-based platforms, and CRISPR gene editing have accelerated the identification and validation of neoantigens, moving them closer to clinical application. Despite promising results, challenges such as tumor heterogeneity, immune evasion, and resistance mechanisms persist. The integration of AI-driven tools and multi-omic data has refined neoantigen discovery, while combination therapies are being developed to address issues like immune suppression and scalability. Additionally, the article discusses the ongoing development of personalized immunotherapies targeting tumor mutations, emphasizing the need for continued collaboration between computational and experimental approaches. Ultimately, the integration of cutting-edge technologies in neoantigen research holds the potential to revolutionize cancer care, offering hope for more effective and targeted treatments.","container-title":"Exploration of Targeted Anti-tumor Therapy","DOI":"10.37349/etat.2025.1002313","ISSN":"2692-3114","journalAbbreviation":"Explor Target Antitumor Ther","note":"PMID: 40309350\nPMCID: PMC12040680","page":"1002313","source":"PubMed Central","title":"Neoantigen-based immunotherapy: advancing precision medicine in cancer and glioblastoma treatment through discovery and innovation","title-short":"Neoantigen-based immunotherapy","volume":"6","author":[{"family":"Naffaa","given":"Moawiah M"},{"family":"Al-Ewaidat","given":"Ola A"},{"family":"Gogia","given":"Sopiko"},{"family":"Begiashvili","given":"Valiko"}],"issued":{"date-parts":[["2025",4,27]]}}}],"schema":"https://github.com/citation-style-language/schema/raw/master/csl-citation.json"} </w:instrText>
      </w:r>
      <w:r w:rsidR="005947BD">
        <w:fldChar w:fldCharType="separate"/>
      </w:r>
      <w:r w:rsidR="005947BD" w:rsidRPr="005947BD">
        <w:t>(</w:t>
      </w:r>
      <w:proofErr w:type="spellStart"/>
      <w:r w:rsidR="005947BD" w:rsidRPr="005947BD">
        <w:t>Naffaa</w:t>
      </w:r>
      <w:proofErr w:type="spellEnd"/>
      <w:r w:rsidR="005947BD" w:rsidRPr="005947BD">
        <w:t xml:space="preserve"> et al., 2025)</w:t>
      </w:r>
      <w:r w:rsidR="005947BD">
        <w:fldChar w:fldCharType="end"/>
      </w:r>
      <w:r w:rsidRPr="00335E34">
        <w:t>.</w:t>
      </w:r>
      <w:r w:rsidR="00335E34">
        <w:t xml:space="preserve"> </w:t>
      </w:r>
      <w:r>
        <w:t>Clinical trials are increasingly using multi-omics classifiers to improve patient stratification. Multi-layered molecular data is used in trials like as NCI-MATCH and I-PREDICT to match patients with targeted medicines according to their distinct tumor characteristics. These initiatives highlight the increasing awareness of molecular complexity in medication development and clinical decision-making</w:t>
      </w:r>
      <w:r w:rsidR="005947BD">
        <w:fldChar w:fldCharType="begin"/>
      </w:r>
      <w:r w:rsidR="005947BD">
        <w:instrText xml:space="preserve"> ADDIN ZOTERO_ITEM CSL_CITATION {"citationID":"fqVCRX6c","properties":{"formattedCitation":"(Teleanu et al., 2025)","plainCitation":"(Teleanu et al., 2025)","noteIndex":0},"citationItems":[{"id":149,"uris":["http://zotero.org/users/local/AJmTDxS7/items/57JGETN4"],"itemData":{"id":149,"type":"article-journal","abstract":"Precision oncology is becoming a mainstay in the standard of care for cancer patients. Recent technological advancements have significantly lowered the cost of various tumor profiling approaches, broadening the reach of molecular diagnostics and improving patient access to precision oncology. In parallel, drug development and discovery pipelines continue to evolve, driving targeted therapeutic options forward. Yet, not all patients harboring actionable molecular alterations respond to these interventions, and existing therapies do not cover the entire spectrum of potential molecular targets. In this review, we examine the current suite of omics technologies employed in clinical settings and underscore their roles in deepening our understanding of tumor biology and optimizing patient stratification for targeted treatments. We also highlight relevant precision oncology trials and share our own experiences using multi-omics data within a molecular tumor board framework. Finally, we discuss areas for future exploration aimed at propelling precision oncology to new heights.","container-title":"Biomolecules","DOI":"10.3390/biom15050693","ISSN":"2218-273X","issue":"5","journalAbbreviation":"Biomolecules","note":"PMID: 40427586\nPMCID: PMC12108785","page":"693","source":"PubMed Central","title":"Celebrating Ulrik Ringborg: Multi-Omics-Based Patient Stratification for Precision Cancer Treatment","title-short":"Celebrating Ulrik Ringborg","volume":"15","author":[{"family":"Teleanu","given":"Maria-Veronica"},{"family":"Schneider","given":"Annika"},{"family":"Ball","given":"Claudia R."},{"family":"Leber","given":"Mathias Felix"},{"family":"Stange","given":"Christoph"},{"family":"Krieghoff-Henning","given":"Eva"},{"family":"Beck","given":"Katja"},{"family":"Heilig","given":"Christoph E."},{"family":"Kreutzfeldt","given":"Simon"},{"family":"Kuster","given":"Bernhard"},{"family":"Lipka","given":"Daniel B."},{"family":"Fröhling","given":"Stefan"}],"issued":{"date-parts":[["2025",5,10]]}}}],"schema":"https://github.com/citation-style-language/schema/raw/master/csl-citation.json"} </w:instrText>
      </w:r>
      <w:r w:rsidR="005947BD">
        <w:fldChar w:fldCharType="separate"/>
      </w:r>
      <w:r w:rsidR="005947BD" w:rsidRPr="005947BD">
        <w:t>(</w:t>
      </w:r>
      <w:proofErr w:type="spellStart"/>
      <w:r w:rsidR="005947BD" w:rsidRPr="005947BD">
        <w:t>Teleanu</w:t>
      </w:r>
      <w:proofErr w:type="spellEnd"/>
      <w:r w:rsidR="005947BD" w:rsidRPr="005947BD">
        <w:t xml:space="preserve"> et al., 2025)</w:t>
      </w:r>
      <w:r w:rsidR="005947BD">
        <w:fldChar w:fldCharType="end"/>
      </w:r>
      <w:r>
        <w:t>.</w:t>
      </w:r>
      <w:r w:rsidR="00DA218E">
        <w:t xml:space="preserve"> </w:t>
      </w:r>
      <w:r w:rsidR="00337A83">
        <w:t>A sensitive, non-invasive technique for identifying subclinical disease and new resistance clones for minimal residual disease (MRD) and medication resistance monitoring is provided by the integration of liquid biopsy technology with transcriptome and epigenomic profiling. This dynamic monitoring may help with early intervention and adaptive treatment change</w:t>
      </w:r>
      <w:r w:rsidR="005947BD">
        <w:fldChar w:fldCharType="begin"/>
      </w:r>
      <w:r w:rsidR="005947BD">
        <w:instrText xml:space="preserve"> ADDIN ZOTERO_ITEM CSL_CITATION {"citationID":"LZMYaIwN","properties":{"formattedCitation":"(Pandey &amp; Yadav, 2025)","plainCitation":"(Pandey &amp; Yadav, 2025)","noteIndex":0},"citationItems":[{"id":151,"uris":["http://zotero.org/users/local/AJmTDxS7/items/ZLF3GAAW"],"itemData":{"id":151,"type":"article-journal","abstract":"Liquid biopsy is an innovative, minimally invasive diagnostic tool revolutionizing cancer management by enabling the detection and analysis of cancer-related biomarkers from bodily fluids such as blood, urine, or cerebrospinal fluid. Unlike traditional tissue biopsies, which require invasive procedures, liquid biopsy offers a more accessible and repeatable method for tracking cancer progression, detecting early-stage cancers, and monitoring therapeutic responses. The technology primarily focuses on analyzing circulating tumor cells (CTCs), circulating tumor DNA (ctDNA), and other cancer-derived genetic materials. These biomarkers provide critical information on tumor heterogeneity, mutation profiles, and potential drug resistance. In clinical practice, liquid biopsy has demonstrated its utility in identifying actionable mutations, guiding personalized treatment strategies, and assessing minimal residual disease (MRD). While liquid biopsy holds immense promise, challenges related to its sensitivity, specificity, and standardization remain. Efforts to optimize pre-analytical and analytical processes, along with the establishment of robust regulatory frameworks, are crucial for its widespread clinical adoption. This abstract highlights the transformative potential of liquid biopsy in cancer diagnosis, prognosis, and treatment monitoring, emphasizing its role in advancing personalized oncology. Further research, clinical trials, and regulatory harmonization will be vital in realizing its full potential in precision cancer care.","container-title":"Practical Laboratory Medicine","DOI":"10.1016/j.plabm.2024.e00446","ISSN":"2352-5517","journalAbbreviation":"Pract Lab Med","language":"eng","note":"PMID: 39839814\nPMCID: PMC11743551","page":"e00446","source":"PubMed","title":"Liquid biopsy in cancer management: Integrating diagnostics and clinical applications","title-short":"Liquid biopsy in cancer management","volume":"43","author":[{"family":"Pandey","given":"Shashwat"},{"family":"Yadav","given":"Preeti"}],"issued":{"date-parts":[["2025",1]]}}}],"schema":"https://github.com/citation-style-language/schema/raw/master/csl-citation.json"} </w:instrText>
      </w:r>
      <w:r w:rsidR="005947BD">
        <w:fldChar w:fldCharType="separate"/>
      </w:r>
      <w:r w:rsidR="005947BD" w:rsidRPr="005947BD">
        <w:t>(Pandey &amp; Yadav, 2025)</w:t>
      </w:r>
      <w:r w:rsidR="005947BD">
        <w:fldChar w:fldCharType="end"/>
      </w:r>
      <w:r w:rsidR="00337A83">
        <w:t>.</w:t>
      </w:r>
      <w:r w:rsidR="00DA218E">
        <w:t xml:space="preserve"> </w:t>
      </w:r>
      <w:r w:rsidR="00337A83">
        <w:t>There are many obstacles in the way of the therapeutic application of multi-omics, notwithstanding its revolutionary promise. Widespread adoption is restricted by high prices, computational complexity, difficulties integrating data, and regulatory uncertainty</w:t>
      </w:r>
      <w:r w:rsidR="005947BD">
        <w:fldChar w:fldCharType="begin"/>
      </w:r>
      <w:r w:rsidR="007D0EDA">
        <w:instrText xml:space="preserve"> ADDIN ZOTERO_ITEM CSL_CITATION {"citationID":"ETK7AQoh","properties":{"formattedCitation":"(Wu &amp; Xie, 2025)","plainCitation":"(Wu &amp; Xie, 2025)","noteIndex":0},"citationItems":[{"id":153,"uris":["http://zotero.org/users/local/AJmTDxS7/items/6ZYLRSUP"],"itemData":{"id":153,"type":"article-journal","abstract":"Despite the wealth of single-cell multi-omics data, it remains challenging to predict the consequences of novel genetic and chemical perturbations in the human body. It requires knowledge of molecular interactions at all biological levels, encompassing disease models and humans. Current machine learning methods primarily establish statistical correlations between genotypes and phenotypes but struggle to identify physiologically significant causal factors, limiting their predictive power. Key challenges in predictive modeling include scarcity of labeled data, generalization across different domains, and disentangling causation from correlation. In light of recent advances in multi-omics data integration, we propose a new artificial intelligence (AI)-powered biology-inspired multi-scale modeling framework to tackle these issues. This framework will integrate multi-omics data across biological levels, organism hierarchies, and species to predict genotype-environment-phenotype relationships under various conditions. AI models inspired by biology may identify novel molecular targets, biomarkers, pharmaceutical agents, and personalized medicines for presently unmet medical needs.","container-title":"Computational and Structural Biotechnology Journal","DOI":"10.1016/j.csbj.2024.12.030","ISSN":"2001-0370","journalAbbreviation":"Computational and Structural Biotechnology Journal","page":"265-277","source":"ScienceDirect","title":"AI-driven multi-omics integration for multi-scale predictive modeling of genotype-environment-phenotype relationships","volume":"27","author":[{"family":"Wu","given":"You"},{"family":"Xie","given":"Lei"}],"issued":{"date-parts":[["2025",1,1]]}}}],"schema":"https://github.com/citation-style-language/schema/raw/master/csl-citation.json"} </w:instrText>
      </w:r>
      <w:r w:rsidR="005947BD">
        <w:fldChar w:fldCharType="separate"/>
      </w:r>
      <w:r w:rsidR="007D0EDA" w:rsidRPr="007D0EDA">
        <w:t>(Wu &amp; Xie, 2025)</w:t>
      </w:r>
      <w:r w:rsidR="005947BD">
        <w:fldChar w:fldCharType="end"/>
      </w:r>
      <w:r w:rsidR="00337A83">
        <w:t>. Furthermore, to guarantee reproducibility and usefulness in practical contexts, it is critically necessary to standardize procedures, validate in sizable cohorts, and create clinically interpretable algorithms. Resolving these issues is essential to integrating multi-omics into standard oncologic treatment</w:t>
      </w:r>
      <w:r w:rsidR="005947BD">
        <w:fldChar w:fldCharType="begin"/>
      </w:r>
      <w:r w:rsidR="005947BD">
        <w:instrText xml:space="preserve"> ADDIN ZOTERO_ITEM CSL_CITATION {"citationID":"UDN5LZAE","properties":{"formattedCitation":"(Rozera et al., 2025)","plainCitation":"(Rozera et al., 2025)","noteIndex":0},"citationItems":[{"id":156,"uris":["http://zotero.org/users/local/AJmTDxS7/items/6F88N2W8"],"itemData":{"id":156,"type":"article-journal","abstract":"The gut microbiome is involved in human health and disease, and its comprehensive understanding is necessary to exploit it as a diagnostic or therapeutic tool. Multi-omics approaches, including metagenomics, metatranscriptomics, metabolomics, and metaproteomics, enable depiction of the gut microbial ecosystem’s complexity. However, these tools generate a large data stream in which integration is needed to produce clinically useful readouts, but, in turn, might be difficult to carry out with conventional statistical methods. Artificial intelligence and machine learning have been increasingly applied to multi-omics datasets in several conditions associated with microbiome disruption, from chronic disorders to cancer. Such tools have potential for clinical implementation, including discovery of microbial biomarkers for disease classification or prediction, prediction of response to specific treatments, and fine-tuning of microbiome-modulating therapies. The state of the art, potential, and limits, of artificial intelligence and machine learning in the multi-omics approach to gut microbiome are discussed.","container-title":"Gastroenterology","DOI":"10.1053/j.gastro.2025.02.035","ISSN":"0016-5085","journalAbbreviation":"Gastroenterology","source":"ScienceDirect","title":"Machine Learning and Artificial Intelligence in the Multi-Omics Approach to Gut Microbiota","URL":"https://www.sciencedirect.com/science/article/pii/S0016508525005268","author":[{"family":"Rozera","given":"Tommaso"},{"family":"Pasolli","given":"Edoardo"},{"family":"Segata","given":"Nicola"},{"family":"Ianiro","given":"Gianluca"}],"accessed":{"date-parts":[["2025",6,24]]},"issued":{"date-parts":[["2025",3,19]]}}}],"schema":"https://github.com/citation-style-language/schema/raw/master/csl-citation.json"} </w:instrText>
      </w:r>
      <w:r w:rsidR="005947BD">
        <w:fldChar w:fldCharType="separate"/>
      </w:r>
      <w:r w:rsidR="005947BD" w:rsidRPr="005947BD">
        <w:t>(</w:t>
      </w:r>
      <w:proofErr w:type="spellStart"/>
      <w:r w:rsidR="005947BD" w:rsidRPr="005947BD">
        <w:t>Rozera</w:t>
      </w:r>
      <w:proofErr w:type="spellEnd"/>
      <w:r w:rsidR="005947BD" w:rsidRPr="005947BD">
        <w:t xml:space="preserve"> et al., 2025)</w:t>
      </w:r>
      <w:r w:rsidR="005947BD">
        <w:fldChar w:fldCharType="end"/>
      </w:r>
      <w:r w:rsidR="00337A83">
        <w:t>.</w:t>
      </w:r>
    </w:p>
    <w:p w14:paraId="033BEC5D" w14:textId="68D7A22F" w:rsidR="00426978" w:rsidRDefault="00426978" w:rsidP="00335E34">
      <w:pPr>
        <w:pStyle w:val="NormalWeb"/>
        <w:jc w:val="both"/>
      </w:pPr>
    </w:p>
    <w:p w14:paraId="27C571AE" w14:textId="77777777" w:rsidR="00E8724D" w:rsidRDefault="00E8724D" w:rsidP="00335E34">
      <w:pPr>
        <w:pStyle w:val="NormalWeb"/>
        <w:jc w:val="both"/>
      </w:pPr>
    </w:p>
    <w:p w14:paraId="096C9D95" w14:textId="77777777" w:rsidR="00E8724D" w:rsidRDefault="00E8724D" w:rsidP="00335E34">
      <w:pPr>
        <w:pStyle w:val="NormalWeb"/>
        <w:jc w:val="both"/>
      </w:pPr>
    </w:p>
    <w:p w14:paraId="4FEED2C7" w14:textId="77777777" w:rsidR="00DA218E" w:rsidRDefault="00DA218E" w:rsidP="00335E34">
      <w:pPr>
        <w:pStyle w:val="NormalWeb"/>
        <w:jc w:val="both"/>
      </w:pPr>
    </w:p>
    <w:p w14:paraId="11621F9F" w14:textId="77777777" w:rsidR="00DA218E" w:rsidRDefault="00DA218E" w:rsidP="00335E34">
      <w:pPr>
        <w:pStyle w:val="NormalWeb"/>
        <w:jc w:val="both"/>
      </w:pPr>
    </w:p>
    <w:p w14:paraId="13D1B104" w14:textId="795E277F" w:rsidR="00426978" w:rsidRDefault="00426978" w:rsidP="00335E34">
      <w:pPr>
        <w:pStyle w:val="Heading3"/>
        <w:jc w:val="both"/>
      </w:pPr>
      <w:r>
        <w:rPr>
          <w:rStyle w:val="Strong"/>
          <w:b/>
          <w:bCs/>
        </w:rPr>
        <w:lastRenderedPageBreak/>
        <w:t>9. Challenges and Limitations of Multi-Omics Integration</w:t>
      </w:r>
      <w:r>
        <w:t xml:space="preserve"> </w:t>
      </w:r>
    </w:p>
    <w:p w14:paraId="3375D04C" w14:textId="114285E9" w:rsidR="00426978" w:rsidRPr="00DA218E" w:rsidRDefault="00337A83" w:rsidP="00335E34">
      <w:pPr>
        <w:pStyle w:val="NormalWeb"/>
        <w:jc w:val="both"/>
      </w:pPr>
      <w:r>
        <w:t>Notwithstanding its enormous potential, a number of technical, computational, biological, and ethical obstacles must be carefully overcome before multi-omics integration in cancer research and clinical practice may reach its full potential</w:t>
      </w:r>
      <w:r w:rsidR="005947BD">
        <w:fldChar w:fldCharType="begin"/>
      </w:r>
      <w:r w:rsidR="0097115A">
        <w:instrText xml:space="preserve"> ADDIN ZOTERO_ITEM CSL_CITATION {"citationID":"47hux2gz","properties":{"formattedCitation":"(Magro et al., 2024a)","plainCitation":"(Magro et al., 2024a)","noteIndex":0},"citationItems":[{"id":159,"uris":["http://zotero.org/users/local/AJmTDxS7/items/EBDTR47Y"],"itemData":{"id":159,"type":"article-journal","abstract":"In the recent years, the development of so-called omics technologies has greatly contributed to the discovery of new biomarkers and targets, spanning different areas from diagnosis to therapy, and helping to accelerate the progress of precision and personalized medicine. In addition to classic omics, including genomics, transcriptomics, proteomics, and metabolomics, newer-generation omics technologies and related platforms, such as microbiomics and nutrigenomics, are emerging. At the same time, the use of liquid biopsies is becoming established as optimal biological samples, consisting in biological fluids (i.e. blood, saliva, and urine), that are easy to collect, and whose components (cells, nucleic acids, exosome) can be analysed using throughput techniques. In addition, it is becoming attractive, because it consents the extrapolation of big data via multi-omics technologies. Here, we report a brief description and discussion of such technologies, highlighting applications and possible limitations.","container-title":"Medicine in Omics","DOI":"10.1016/j.meomic.2024.100039","ISSN":"2590-1249","journalAbbreviation":"Medicine in Omics","page":"100039","source":"ScienceDirect","title":"The omics technologies and liquid biopsies: Advantages, limitations, applications","title-short":"The omics technologies and liquid biopsies","volume":"11","author":[{"family":"Magro","given":"Daniele"},{"family":"Venezia","given":"Marika"},{"family":"Rita Balistreri","given":"Carmela"}],"issued":{"date-parts":[["2024",8,1]]}}}],"schema":"https://github.com/citation-style-language/schema/raw/master/csl-citation.json"} </w:instrText>
      </w:r>
      <w:r w:rsidR="005947BD">
        <w:fldChar w:fldCharType="separate"/>
      </w:r>
      <w:r w:rsidR="0097115A" w:rsidRPr="0097115A">
        <w:t>(Magro et al., 2024a)</w:t>
      </w:r>
      <w:r w:rsidR="005947BD">
        <w:fldChar w:fldCharType="end"/>
      </w:r>
      <w:r>
        <w:t>.</w:t>
      </w:r>
      <w:r w:rsidR="0037258F">
        <w:t xml:space="preserve"> </w:t>
      </w:r>
      <w:r>
        <w:t>Technically speaking, problems including inconsistent sample preparation methods, protein and nucleic acid deterioration, and the identification of low-abundance molecules can jeopardize data quality and cross-omics layer comparability. Results are frequently distorted by batch effects and platform-specific biases, necessitating rigorous quality control and normalization processes</w:t>
      </w:r>
      <w:r w:rsidR="005947BD">
        <w:fldChar w:fldCharType="begin"/>
      </w:r>
      <w:r w:rsidR="005947BD">
        <w:instrText xml:space="preserve"> ADDIN ZOTERO_ITEM CSL_CITATION {"citationID":"Xp6hOcTC","properties":{"formattedCitation":"(Lou &amp; Therkildsen, 2022)","plainCitation":"(Lou &amp; Therkildsen, 2022)","noteIndex":0},"citationItems":[{"id":162,"uris":["http://zotero.org/users/local/AJmTDxS7/items/HNC8EKJV"],"itemData":{"id":162,"type":"article-journal","abstract":"Over the past few decades, there has been an explosion in the amount of publicly available sequencing data. This opens new opportunities for combining data sets to achieve unprecedented sample sizes, spatial coverage or temporal replication in population genomic studies. However, a common concern is that nonbiological differences between data sets may generate patterns of variation in the data that can confound real biological patterns, a problem known as batch effects. In this paper, we compare two batches of low-coverage whole genome sequencing (lcWGS) data generated from the same populations of Atlantic cod (Gadus morhua). First, we show that with a \"batch-effect-naive\" bioinformatic pipeline, batch effects systematically biased our genetic diversity estimates, population structure inference and selection scans. We then demonstrate that these batch effects resulted from multiple technical differences between our data sets, including the sequencing chemistry (four-channel vs. two-channel), sequencing run, read type (single-end vs. paired-end), read length (125 vs. 150 bp), DNA degradation level (degraded vs. well preserved) and sequencing depth (0.8× vs. 0.3× on average). Lastly, we illustrate that a set of simple bioinformatic strategies (such as different read trimming and single nucleotide polymorphism filtering) can be used to detect batch effects in our data and substantially mitigate their impact. We conclude that combining data sets remains a powerful approach as long as batch effects are explicitly accounted for. We focus on lcWGS data in this paper, which may be particularly vulnerable to certain causes of batch effects, but many of our conclusions also apply to other sequencing strategies.","container-title":"Molecular Ecology Resources","DOI":"10.1111/1755-0998.13559","ISSN":"1755-0998","issue":"5","journalAbbreviation":"Mol Ecol Resour","language":"eng","note":"PMID: 34825778","page":"1678-1692","source":"PubMed","title":"Batch effects in population genomic studies with low-coverage whole genome sequencing data: Causes, detection and mitigation","title-short":"Batch effects in population genomic studies with low-coverage whole genome sequencing data","volume":"22","author":[{"family":"Lou","given":"Runyang Nicolas"},{"family":"Therkildsen","given":"Nina Overgaard"}],"issued":{"date-parts":[["2022",7]]}}}],"schema":"https://github.com/citation-style-language/schema/raw/master/csl-citation.json"} </w:instrText>
      </w:r>
      <w:r w:rsidR="005947BD">
        <w:fldChar w:fldCharType="separate"/>
      </w:r>
      <w:r w:rsidR="005947BD" w:rsidRPr="005947BD">
        <w:t>(Lou &amp; Therkildsen, 2022)</w:t>
      </w:r>
      <w:r w:rsidR="005947BD">
        <w:fldChar w:fldCharType="end"/>
      </w:r>
      <w:r>
        <w:t>.</w:t>
      </w:r>
      <w:r w:rsidR="00DA218E">
        <w:t xml:space="preserve"> </w:t>
      </w:r>
      <w:r w:rsidRPr="00DA218E">
        <w:rPr>
          <w:rStyle w:val="Strong"/>
          <w:b w:val="0"/>
          <w:bCs w:val="0"/>
        </w:rPr>
        <w:t>The computational issues are especially important since omics data is diverse, with varying noise levels, scales, and distributions. There are still no standardized procedures for preprocessing, integrating, and interpreting data, which makes it difficult for studies to be repeated. Furthermore, it is possible that the majority of current algorithms do not translate well to multi-modal environments because they were designed</w:t>
      </w:r>
      <w:r w:rsidR="0097115A" w:rsidRPr="00DA218E">
        <w:rPr>
          <w:rStyle w:val="Strong"/>
          <w:b w:val="0"/>
          <w:bCs w:val="0"/>
        </w:rPr>
        <w:fldChar w:fldCharType="begin"/>
      </w:r>
      <w:r w:rsidR="0097115A" w:rsidRPr="00DA218E">
        <w:rPr>
          <w:rStyle w:val="Strong"/>
          <w:b w:val="0"/>
          <w:bCs w:val="0"/>
        </w:rPr>
        <w:instrText xml:space="preserve"> ADDIN ZOTERO_ITEM CSL_CITATION {"citationID":"QbOK8x7h","properties":{"formattedCitation":"(Magro et al., 2024b)","plainCitation":"(Magro et al., 2024b)","noteIndex":0},"citationItems":[{"id":165,"uris":["http://zotero.org/users/local/AJmTDxS7/items/6MYL95YE"],"itemData":{"id":165,"type":"article-journal","abstract":"In the recent years, the development of so-called omics technologies has greatly contributed to the discovery of new biomarkers and targets, spanning different areas from diagnosis to therapy, and helping to accelerate the progress of precision and personalized medicine. In addition to classic omics, including genomics, transcriptomics, proteomics, and metabolomics, newer-generation omics technologies and related platforms, such as microbiomics and nutrigenomics, are emerging. At the same time, the use of liquid biopsies is becoming established as optimal biological samples, consisting in biological fluids (i.e. blood, saliva, and urine), that are easy to collect, and whose components (cells, nucleic acids, exosome) can be analysed using throughput techniques. In addition, it is becoming attractive, because it consents the extrapolation of big data via multi-omics technologies. Here, we report a brief description and discussion of such technologies, highlighting applications and possible limitations.","container-title":"Medicine in Omics","DOI":"10.1016/j.meomic.2024.100039","ISSN":"2590-1249","journalAbbreviation":"Medicine in Omics","page":"100039","source":"ScienceDirect","title":"The omics technologies and liquid biopsies: Advantages, limitations, applications","title-short":"The omics technologies and liquid biopsies","volume":"11","author":[{"family":"Magro","given":"Daniele"},{"family":"Venezia","given":"Marika"},{"family":"Rita Balistreri","given":"Carmela"}],"issued":{"date-parts":[["2024",8,1]]}}}],"schema":"https://github.com/citation-style-language/schema/raw/master/csl-citation.json"} </w:instrText>
      </w:r>
      <w:r w:rsidR="0097115A" w:rsidRPr="00DA218E">
        <w:rPr>
          <w:rStyle w:val="Strong"/>
          <w:b w:val="0"/>
          <w:bCs w:val="0"/>
        </w:rPr>
        <w:fldChar w:fldCharType="separate"/>
      </w:r>
      <w:r w:rsidR="0097115A" w:rsidRPr="00DA218E">
        <w:t>(Magro et al., 2024b)</w:t>
      </w:r>
      <w:r w:rsidR="0097115A" w:rsidRPr="00DA218E">
        <w:rPr>
          <w:rStyle w:val="Strong"/>
          <w:b w:val="0"/>
          <w:bCs w:val="0"/>
        </w:rPr>
        <w:fldChar w:fldCharType="end"/>
      </w:r>
      <w:r w:rsidRPr="00DA218E">
        <w:rPr>
          <w:rStyle w:val="Strong"/>
          <w:b w:val="0"/>
          <w:bCs w:val="0"/>
        </w:rPr>
        <w:t>.</w:t>
      </w:r>
      <w:r w:rsidR="00DA218E" w:rsidRPr="00DA218E">
        <w:rPr>
          <w:rStyle w:val="Strong"/>
          <w:b w:val="0"/>
          <w:bCs w:val="0"/>
        </w:rPr>
        <w:t xml:space="preserve"> </w:t>
      </w:r>
      <w:r w:rsidRPr="00DA218E">
        <w:rPr>
          <w:rStyle w:val="Strong"/>
          <w:b w:val="0"/>
          <w:bCs w:val="0"/>
        </w:rPr>
        <w:t>An additional level of complexity arises in the understanding of biology. Using observational information to infer causal links between molecular alterations and phenotypic outcomes is intrinsically challenging. Furthermore, multi-omics data sometimes have insufficient temporal resolution, which makes it challenging to discern between initial events and subsequent consequences in treatment resistance and tumor growth</w:t>
      </w:r>
      <w:r w:rsidR="0097115A" w:rsidRPr="00DA218E">
        <w:rPr>
          <w:rStyle w:val="Strong"/>
          <w:b w:val="0"/>
          <w:bCs w:val="0"/>
        </w:rPr>
        <w:fldChar w:fldCharType="begin"/>
      </w:r>
      <w:r w:rsidR="0097115A" w:rsidRPr="00DA218E">
        <w:rPr>
          <w:rStyle w:val="Strong"/>
          <w:b w:val="0"/>
          <w:bCs w:val="0"/>
        </w:rPr>
        <w:instrText xml:space="preserve"> ADDIN ZOTERO_ITEM CSL_CITATION {"citationID":"gJRLi7S9","properties":{"formattedCitation":"(Clarke et al., 2020)","plainCitation":"(Clarke et al., 2020)","noteIndex":0},"citationItems":[{"id":168,"uris":["http://zotero.org/users/local/AJmTDxS7/items/DFYLGXYT"],"itemData":{"id":168,"type":"article-journal","abstract":"Total metastatic burden is the primary cause of death for many cancer patients. While the process of metastasis has been studied widely, much remains to be understood. Moreover, few agents have been developed that specifically target the major steps of the metastatic cascade. Many individual genes and pathways have been implicated in metastasis but a holistic view of how these interact and cooperate to regulate and execute the process remains somewhat rudimentary. It is unclear whether all of the signaling features that regulate and execute metastasis are yet fully understood. Novel features of a complex system such as metastasis can often be discovered by taking a systems-based approach. We introduce the concepts of systems modeling and define some of the central challenges facing the application of a multidisciplinary systems-based approach to understanding metastasis and finding actionable targets therein. These challenges include appreciating the unique properties of the high dimensional omics data often used for modeling, limitations in knowledge of the system (metastasis), tumor heterogeneity and sampling bias, and some of the issues key to understanding critical features of molecular signaling in the context of metastasis. We also provide a brief introduction to integrative modeling that focuses on both the nodes and edges of molecular signaling networks. Finally, we offer some observations on future directions as they relate to developing a systems-based model of the metastatic cascade.","container-title":"Cancer metastasis reviews","DOI":"10.1007/s10555-020-09921-7","ISSN":"0167-7659","issue":"3","journalAbbreviation":"Cancer Metastasis Rev","note":"PMID: 32776157\nPMCID: PMC7487029","page":"903-918","source":"PubMed Central","title":"A Systems Biology Approach to Discovering Pathway Signaling Dysregulation in Metastasis","volume":"39","author":[{"family":"Clarke","given":"Robert"},{"family":"Kraikivski","given":"Pavel"},{"family":"Jones","given":"Brandon C."},{"family":"Sevigny","given":"Catherine M."},{"family":"Sengupta","given":"Surojeet"},{"family":"Wang","given":"Yue"}],"issued":{"date-parts":[["2020",9]]}}}],"schema":"https://github.com/citation-style-language/schema/raw/master/csl-citation.json"} </w:instrText>
      </w:r>
      <w:r w:rsidR="0097115A" w:rsidRPr="00DA218E">
        <w:rPr>
          <w:rStyle w:val="Strong"/>
          <w:b w:val="0"/>
          <w:bCs w:val="0"/>
        </w:rPr>
        <w:fldChar w:fldCharType="separate"/>
      </w:r>
      <w:r w:rsidR="0097115A" w:rsidRPr="00DA218E">
        <w:t>(Clarke et al., 2020)</w:t>
      </w:r>
      <w:r w:rsidR="0097115A" w:rsidRPr="00DA218E">
        <w:rPr>
          <w:rStyle w:val="Strong"/>
          <w:b w:val="0"/>
          <w:bCs w:val="0"/>
        </w:rPr>
        <w:fldChar w:fldCharType="end"/>
      </w:r>
      <w:r w:rsidRPr="00DA218E">
        <w:rPr>
          <w:rStyle w:val="Strong"/>
          <w:b w:val="0"/>
          <w:bCs w:val="0"/>
        </w:rPr>
        <w:t>.</w:t>
      </w:r>
      <w:r w:rsidR="00DA218E" w:rsidRPr="00DA218E">
        <w:t xml:space="preserve"> </w:t>
      </w:r>
      <w:r w:rsidR="00C9456A" w:rsidRPr="00DA218E">
        <w:rPr>
          <w:rStyle w:val="Strong"/>
          <w:b w:val="0"/>
          <w:bCs w:val="0"/>
        </w:rPr>
        <w:t>Privacy and ethical issues are also quite important. Because multi-omic</w:t>
      </w:r>
      <w:r w:rsidR="00C269A5">
        <w:rPr>
          <w:rStyle w:val="Strong"/>
          <w:b w:val="0"/>
          <w:bCs w:val="0"/>
        </w:rPr>
        <w:t>s</w:t>
      </w:r>
      <w:r w:rsidR="00C9456A" w:rsidRPr="00DA218E">
        <w:rPr>
          <w:rStyle w:val="Strong"/>
          <w:b w:val="0"/>
          <w:bCs w:val="0"/>
        </w:rPr>
        <w:t xml:space="preserve"> datasets are naturally recognizable, they raise important questions about patient permission, data sharing, and handling incidental findings that may have therapeutic significance. It is crucial to have transparent governance structures and strong anonymization techniques</w:t>
      </w:r>
      <w:r w:rsidR="0097115A" w:rsidRPr="00DA218E">
        <w:rPr>
          <w:rStyle w:val="Strong"/>
          <w:b w:val="0"/>
          <w:bCs w:val="0"/>
        </w:rPr>
        <w:fldChar w:fldCharType="begin"/>
      </w:r>
      <w:r w:rsidR="0097115A" w:rsidRPr="00DA218E">
        <w:rPr>
          <w:rStyle w:val="Strong"/>
          <w:b w:val="0"/>
          <w:bCs w:val="0"/>
        </w:rPr>
        <w:instrText xml:space="preserve"> ADDIN ZOTERO_ITEM CSL_CITATION {"citationID":"nwxw2EIr","properties":{"formattedCitation":"(Chiruvella &amp; Guddati, 2021)","plainCitation":"(Chiruvella &amp; Guddati, 2021)","noteIndex":0},"citationItems":[{"id":170,"uris":["http://zotero.org/users/local/AJmTDxS7/items/KIY8NWBP"],"itemData":{"id":170,"type":"article-journal","abstract":"Patient data have conventionally been thought to be well protected by the privacy laws outlined in the United States. The increasing interest of for-profit companies in acquiring the databases of large health care systems poses new challenges to the protection of patients’ privacy. It also raises ethical concerns of sharing patient data with entities that may exploit it for commercial interests and even target vulnerable populations. Recognizing that every breach in the confidentiality of large databases exposes millions of patients to the potential of being exploited is important in framing new rules for governing the sharing of patient data. Similarly, the ethical aspects of data voluntarily and altruistically provided by patients for research, which may be exploited for commercial interests due to patient data sharing between health care entities and third-party companies, need to be addressed. The rise of technologies such as artificial intelligence and the availability of personal data gleaned by data vendor companies place American patients at risk of being exploited both intentionally and inadvertently because of the sharing of their data by their health care provider institutions and third-party entities.","container-title":"Interactive Journal of Medical Research","DOI":"10.2196/22269","ISSN":"1929-073X","issue":"2","journalAbbreviation":"Interact J Med Res","note":"PMID: 34018968\nPMCID: PMC8178732","page":"e22269","source":"PubMed Central","title":"Ethical Issues in Patient Data Ownership","volume":"10","author":[{"family":"Chiruvella","given":"Varsha"},{"family":"Guddati","given":"Achuta Kumar"}],"issued":{"date-parts":[["2021",5,21]]}}}],"schema":"https://github.com/citation-style-language/schema/raw/master/csl-citation.json"} </w:instrText>
      </w:r>
      <w:r w:rsidR="0097115A" w:rsidRPr="00DA218E">
        <w:rPr>
          <w:rStyle w:val="Strong"/>
          <w:b w:val="0"/>
          <w:bCs w:val="0"/>
        </w:rPr>
        <w:fldChar w:fldCharType="separate"/>
      </w:r>
      <w:r w:rsidR="0097115A" w:rsidRPr="00DA218E">
        <w:t>(</w:t>
      </w:r>
      <w:proofErr w:type="spellStart"/>
      <w:r w:rsidR="0097115A" w:rsidRPr="00DA218E">
        <w:t>Chiruvella</w:t>
      </w:r>
      <w:proofErr w:type="spellEnd"/>
      <w:r w:rsidR="0097115A" w:rsidRPr="00DA218E">
        <w:t xml:space="preserve"> &amp; Guddati, 2021)</w:t>
      </w:r>
      <w:r w:rsidR="0097115A" w:rsidRPr="00DA218E">
        <w:rPr>
          <w:rStyle w:val="Strong"/>
          <w:b w:val="0"/>
          <w:bCs w:val="0"/>
        </w:rPr>
        <w:fldChar w:fldCharType="end"/>
      </w:r>
      <w:r w:rsidR="00C9456A" w:rsidRPr="00DA218E">
        <w:rPr>
          <w:rStyle w:val="Strong"/>
          <w:b w:val="0"/>
          <w:bCs w:val="0"/>
        </w:rPr>
        <w:t>.</w:t>
      </w:r>
      <w:r w:rsidR="00DA218E" w:rsidRPr="00DA218E">
        <w:rPr>
          <w:rStyle w:val="Strong"/>
          <w:b w:val="0"/>
          <w:bCs w:val="0"/>
        </w:rPr>
        <w:t xml:space="preserve"> </w:t>
      </w:r>
      <w:r w:rsidR="00C9456A" w:rsidRPr="00DA218E">
        <w:rPr>
          <w:rStyle w:val="Strong"/>
          <w:b w:val="0"/>
          <w:bCs w:val="0"/>
        </w:rPr>
        <w:t>Last but not least, one of the biggest obstacles is still the scalability of multi-omics platforms in low- and middle-income (LMIC) nations. The requirement for specialist staff, high expenses, and limited infrastructure restrict access and global equity in cancer research. Strategic investment in local capacity building and affordable, decentralized omics solutions will be necessary to address these inequities</w:t>
      </w:r>
      <w:r w:rsidR="0097115A" w:rsidRPr="00DA218E">
        <w:rPr>
          <w:rStyle w:val="Strong"/>
          <w:b w:val="0"/>
          <w:bCs w:val="0"/>
        </w:rPr>
        <w:fldChar w:fldCharType="begin"/>
      </w:r>
      <w:r w:rsidR="0097115A" w:rsidRPr="00DA218E">
        <w:rPr>
          <w:rStyle w:val="Strong"/>
          <w:b w:val="0"/>
          <w:bCs w:val="0"/>
        </w:rPr>
        <w:instrText xml:space="preserve"> ADDIN ZOTERO_ITEM CSL_CITATION {"citationID":"pLVTmnHO","properties":{"formattedCitation":"(Nacis et al., 2024)","plainCitation":"(Nacis et al., 2024)","noteIndex":0},"citationItems":[{"id":173,"uris":["http://zotero.org/users/local/AJmTDxS7/items/TS5J4EZ7"],"itemData":{"id":173,"type":"article-journal","container-title":"Nature Biotechnology","DOI":"10.1038/s41587-024-02274-4","ISSN":"1546-1696","issue":"6","journalAbbreviation":"Nat Biotechnol","language":"eng","note":"PMID: 38886608","page":"988-991","source":"PubMed","title":"Barriers and enablers to the effective implementation of omics research in low- and middle-income countries","volume":"42","author":[{"family":"Nacis","given":"Jacus S."},{"family":"Kamande","given":"Patrick"},{"family":"Toni","given":"Alemayehu Teklu"},{"family":"Mudibo","given":"Evans"},{"family":"Musyimi","given":"Robert"},{"family":"Popluechai","given":"Siam"},{"family":"Dailey-Chwalibóg","given":"Trenton"},{"family":"Voskuijl","given":"Wieger"},{"family":"Dable-Tupas","given":"Genevieve"},{"family":"Shahid","given":"Abu Sadat Mohammad Sayeem Bin"},{"family":"Bascos","given":"Neil Andrew"},{"family":"Afroze","given":"Farzana"},{"family":"Chisti","given":"Mohammod Jobayer"},{"family":"Singa","given":"Benson"},{"family":"Ngari","given":"Moses"},{"family":"Tigoi","given":"Caroline"},{"family":"Mhango","given":"Gomezgani"},{"family":"Freitag","given":"Harry"},{"family":"Potani","given":"Isabel"},{"family":"Mukisa","given":"John"},{"family":"Kirolos","given":"Amir"},{"family":"Mutasa","given":"Kuda"},{"family":"Ouédraogo","given":"Lionel Olivier"},{"family":"Prentice","given":"Andrew M."},{"family":"Girma","given":"Tsinuel"},{"family":"Prendergast","given":"Andrew J."},{"family":"Njunge","given":"James"},{"family":"Kelly","given":"Paul"},{"family":"Berkley","given":"James A."},{"family":"Tickell","given":"Kirkby Daniel"},{"family":"Gonzales","given":"Gerard Bryan"}],"issued":{"date-parts":[["2024",6]]}}}],"schema":"https://github.com/citation-style-language/schema/raw/master/csl-citation.json"} </w:instrText>
      </w:r>
      <w:r w:rsidR="0097115A" w:rsidRPr="00DA218E">
        <w:rPr>
          <w:rStyle w:val="Strong"/>
          <w:b w:val="0"/>
          <w:bCs w:val="0"/>
        </w:rPr>
        <w:fldChar w:fldCharType="separate"/>
      </w:r>
      <w:r w:rsidR="0097115A" w:rsidRPr="00DA218E">
        <w:t>(</w:t>
      </w:r>
      <w:proofErr w:type="spellStart"/>
      <w:r w:rsidR="0097115A" w:rsidRPr="00DA218E">
        <w:t>Nacis</w:t>
      </w:r>
      <w:proofErr w:type="spellEnd"/>
      <w:r w:rsidR="0097115A" w:rsidRPr="00DA218E">
        <w:t xml:space="preserve"> et al., 2024)</w:t>
      </w:r>
      <w:r w:rsidR="0097115A" w:rsidRPr="00DA218E">
        <w:rPr>
          <w:rStyle w:val="Strong"/>
          <w:b w:val="0"/>
          <w:bCs w:val="0"/>
        </w:rPr>
        <w:fldChar w:fldCharType="end"/>
      </w:r>
      <w:r w:rsidR="00C9456A" w:rsidRPr="00DA218E">
        <w:rPr>
          <w:rStyle w:val="Strong"/>
          <w:b w:val="0"/>
          <w:bCs w:val="0"/>
        </w:rPr>
        <w:t>.</w:t>
      </w:r>
    </w:p>
    <w:p w14:paraId="4DF2255B" w14:textId="2C1E1BAA" w:rsidR="0062267F" w:rsidRDefault="0062267F" w:rsidP="00335E34">
      <w:pPr>
        <w:pStyle w:val="Heading3"/>
        <w:jc w:val="both"/>
      </w:pPr>
      <w:r>
        <w:rPr>
          <w:rStyle w:val="Strong"/>
          <w:b/>
          <w:bCs/>
        </w:rPr>
        <w:t>10. Future Perspectives and Innovations</w:t>
      </w:r>
      <w:r>
        <w:t xml:space="preserve"> </w:t>
      </w:r>
    </w:p>
    <w:p w14:paraId="68603B99" w14:textId="114BA373" w:rsidR="0062267F" w:rsidRPr="002E5628" w:rsidRDefault="0062267F" w:rsidP="00335E34">
      <w:pPr>
        <w:pStyle w:val="NormalWeb"/>
        <w:jc w:val="both"/>
        <w:rPr>
          <w:rStyle w:val="Strong"/>
          <w:b w:val="0"/>
          <w:bCs w:val="0"/>
        </w:rPr>
      </w:pPr>
      <w:r w:rsidRPr="00DA218E">
        <w:t xml:space="preserve">The future of </w:t>
      </w:r>
      <w:r w:rsidRPr="00DA218E">
        <w:rPr>
          <w:rStyle w:val="Strong"/>
          <w:b w:val="0"/>
          <w:bCs w:val="0"/>
        </w:rPr>
        <w:t>multi-omics in oncology</w:t>
      </w:r>
      <w:r w:rsidRPr="00DA218E">
        <w:t xml:space="preserve"> is poised to be shaped by breakthroughs in technology, data science, and global collaboration, with a </w:t>
      </w:r>
      <w:r w:rsidR="00C9456A" w:rsidRPr="00DA218E">
        <w:t>common</w:t>
      </w:r>
      <w:r w:rsidRPr="00DA218E">
        <w:t xml:space="preserve"> </w:t>
      </w:r>
      <w:r w:rsidR="00C9456A" w:rsidRPr="00DA218E">
        <w:t xml:space="preserve">objective </w:t>
      </w:r>
      <w:r w:rsidRPr="00DA218E">
        <w:t xml:space="preserve">of </w:t>
      </w:r>
      <w:r w:rsidR="00C9456A" w:rsidRPr="00DA218E">
        <w:t>improvin</w:t>
      </w:r>
      <w:r w:rsidRPr="00DA218E">
        <w:t>g precision cancer care more predictive, preventive, and equitable</w:t>
      </w:r>
      <w:r w:rsidR="000B6060" w:rsidRPr="00DA218E">
        <w:fldChar w:fldCharType="begin"/>
      </w:r>
      <w:r w:rsidR="000B6060" w:rsidRPr="00DA218E">
        <w:instrText xml:space="preserve"> ADDIN ZOTERO_ITEM CSL_CITATION {"citationID":"sZRhz4kO","properties":{"formattedCitation":"(Luo et al., 2025)","plainCitation":"(Luo et al., 2025)","noteIndex":0},"citationItems":[{"id":175,"uris":["http://zotero.org/users/local/AJmTDxS7/items/WSPL7ALE"],"itemData":{"id":175,"type":"article-journal","abstract":"The advent of multi-omics approaches has revolutionized the field of oncology by enabling a comprehensive understanding of cancer biology through the integration of diverse biological data. This review aims to explore the synergy between three key omics domains: radiomics, genoproteomics, and pathomics. Radiomics involves extracting high-dimensional data from medical images, providing valuable insights into tumor heterogeneity and treatment response. Genoproteomics, encompassing both genomic and proteomic analyses, delves into the molecular mechanisms driving cancer progression and therapeutic resistance. Pathomics leverages advanced digital pathology techniques to quantitatively analyze tissue architecture and cellular morphology. We provide an in-depth overview of the methodologies and tools employed in each omics field, highlighting their specific applications in oncology, including cancer diagnosis, biomarker discovery, and prediction of treatment outcomes. Furthermore, we discuss the integration of multi-omics data, addressing the challenges and innovative solutions for harmonizing these complex datasets. Through an examination of recent advancements and case studies, we underscore the critical role of multi-omics in advancing our understanding of cancer and paving the way for more effective and personalized therapeutic strategies.","container-title":"Intelligent Oncology","DOI":"10.1016/j.intonc.2024.10.003","ISSN":"2950-2616","issue":"1","journalAbbreviation":"Intelligent Oncology","page":"17-30","source":"ScienceDirect","title":"Multi-omics synergy in oncology: Unraveling the complex interplay of radiomic, genoproteomic, and pathological data","title-short":"Multi-omics synergy in oncology","volume":"1","author":[{"family":"Luo","given":"Yang"},{"family":"Li","given":"Yilin"},{"family":"Fang","given":"Mengjie"},{"family":"Wang","given":"Shuo"},{"family":"Shao","given":"Lizhi"},{"family":"Zou","given":"Ruiyang"},{"family":"Dong","given":"Di"},{"family":"Liu","given":"Zhenyu"},{"family":"Wei","given":"Jingwei"},{"family":"Tian","given":"Jie"}],"issued":{"date-parts":[["2025",1,1]]}}}],"schema":"https://github.com/citation-style-language/schema/raw/master/csl-citation.json"} </w:instrText>
      </w:r>
      <w:r w:rsidR="000B6060" w:rsidRPr="00DA218E">
        <w:fldChar w:fldCharType="separate"/>
      </w:r>
      <w:r w:rsidR="000B6060" w:rsidRPr="00DA218E">
        <w:t>(Luo et al., 2025)</w:t>
      </w:r>
      <w:r w:rsidR="000B6060" w:rsidRPr="00DA218E">
        <w:fldChar w:fldCharType="end"/>
      </w:r>
      <w:r w:rsidRPr="00DA218E">
        <w:t>.</w:t>
      </w:r>
      <w:r w:rsidR="00DA218E">
        <w:t xml:space="preserve"> </w:t>
      </w:r>
      <w:r w:rsidR="00E76D97" w:rsidRPr="00DA218E">
        <w:rPr>
          <w:rStyle w:val="Strong"/>
          <w:b w:val="0"/>
          <w:bCs w:val="0"/>
        </w:rPr>
        <w:t>New technologies are pushing the limits of what can be measured and understood. Tools driven by artificial intelligence (AI), including AlphaFold for protein structure prediction and massive language models for biological sequence interpretation, are transforming our capacity to quickly</w:t>
      </w:r>
      <w:r w:rsidR="00E76D97" w:rsidRPr="00E76D97">
        <w:rPr>
          <w:rStyle w:val="Strong"/>
          <w:b w:val="0"/>
          <w:bCs w:val="0"/>
        </w:rPr>
        <w:t xml:space="preserve"> and accurately process omics data</w:t>
      </w:r>
      <w:r w:rsidR="000B6060">
        <w:rPr>
          <w:rStyle w:val="Strong"/>
          <w:b w:val="0"/>
          <w:bCs w:val="0"/>
        </w:rPr>
        <w:fldChar w:fldCharType="begin"/>
      </w:r>
      <w:r w:rsidR="000B6060">
        <w:rPr>
          <w:rStyle w:val="Strong"/>
          <w:b w:val="0"/>
          <w:bCs w:val="0"/>
        </w:rPr>
        <w:instrText xml:space="preserve"> ADDIN ZOTERO_ITEM CSL_CITATION {"citationID":"Nb8HLyPe","properties":{"formattedCitation":"(Lateef Junaid, 2025)","plainCitation":"(Lateef Junaid, 2025)","noteIndex":0},"citationItems":[{"id":178,"uris":["http://zotero.org/users/local/AJmTDxS7/items/4Z2VV6IA"],"itemData":{"id":178,"type":"article-journal","abstract":"Artificial intelligence (AI) has become a powerful tool in biochemistry, greatly enhancing research capabilities by enabling the analysis of complex datasets, predicting molecular interactions, and accelerating drug discovery. As AI continues to evolve, its applications in biochemistry are poised to expand, revolutionizing both theoretical and applied research. This review explores current and potential AI applications in biochemistry, with a focus on data analysis, molecular modeling, enzyme engineering, and metabolic pathway studies. Key AI techniques—such as machine learning algorithms, natural language processing, and AI-based molecular modeling—are discussed. The review also highlights emerging research areas benefiting from AI, including personalized medicine and synthetic biology. The methodology involves an extensive analysis of existing literature, particularly peer-reviewed studies on AI applications in biochemistry. AI-driven tools like AlphaFold, which have significantly advanced protein structure prediction, are evaluated alongside AI’s role in expediting drug discovery. The review also addresses challenges, such as data quality, model interpretability, and ethical considerations. Results indicate that AI has expanded the scope of biochemical research by facilitating large-scale data analysis, enhancing molecular simulations, and opening new avenues of inquiry. However, challenges remain, particularly in data handling and ethical concerns. In conclusion, AI is transforming biochemistry by driving innovation and expanding research possibilities. Future advancements in AI algorithms, interdisciplinary collaboration, and integration with automated techniques will be crucial to fully unlocking AI’s potential in advancing biochemical research.","container-title":"Biomolecules and Biomedicine","DOI":"10.17305/bb.2024.11537","ISSN":"2831-0896","issue":"4","journalAbbreviation":"Biomol Biomed","note":"PMID: 39819459\nPMCID: PMC11959397","page":"739-750","source":"PubMed Central","title":"Artificial intelligence driven innovations in biochemistry: A review of emerging research frontiers","title-short":"Artificial intelligence driven innovations in biochemistry","volume":"25","author":[{"family":"Lateef Junaid","given":"Mohammed Abdul"}],"issued":{"date-parts":[["2025",4,1]]}}}],"schema":"https://github.com/citation-style-language/schema/raw/master/csl-citation.json"} </w:instrText>
      </w:r>
      <w:r w:rsidR="000B6060">
        <w:rPr>
          <w:rStyle w:val="Strong"/>
          <w:b w:val="0"/>
          <w:bCs w:val="0"/>
        </w:rPr>
        <w:fldChar w:fldCharType="separate"/>
      </w:r>
      <w:r w:rsidR="000B6060" w:rsidRPr="000B6060">
        <w:t>(Lateef Junaid, 2025)</w:t>
      </w:r>
      <w:r w:rsidR="000B6060">
        <w:rPr>
          <w:rStyle w:val="Strong"/>
          <w:b w:val="0"/>
          <w:bCs w:val="0"/>
        </w:rPr>
        <w:fldChar w:fldCharType="end"/>
      </w:r>
      <w:r w:rsidR="00E76D97" w:rsidRPr="00E76D97">
        <w:rPr>
          <w:rStyle w:val="Strong"/>
          <w:b w:val="0"/>
          <w:bCs w:val="0"/>
        </w:rPr>
        <w:t>. Nanoscale spatial-omics, on the other hand, is improving subcellular resolution and enabling fine-grained mapping of molecular events in tissue microenvironments. Real-time multi-omic</w:t>
      </w:r>
      <w:r w:rsidR="00C269A5">
        <w:rPr>
          <w:rStyle w:val="Strong"/>
          <w:b w:val="0"/>
          <w:bCs w:val="0"/>
        </w:rPr>
        <w:t>s</w:t>
      </w:r>
      <w:r w:rsidR="00E76D97" w:rsidRPr="00E76D97">
        <w:rPr>
          <w:rStyle w:val="Strong"/>
          <w:b w:val="0"/>
          <w:bCs w:val="0"/>
        </w:rPr>
        <w:t xml:space="preserve"> monitoring in vivo biosensors are a promising development for dynamic illness tracking and therapy response evaluation</w:t>
      </w:r>
      <w:r w:rsidR="000B6060">
        <w:rPr>
          <w:rStyle w:val="Strong"/>
          <w:b w:val="0"/>
          <w:bCs w:val="0"/>
        </w:rPr>
        <w:fldChar w:fldCharType="begin"/>
      </w:r>
      <w:r w:rsidR="000B6060">
        <w:rPr>
          <w:rStyle w:val="Strong"/>
          <w:b w:val="0"/>
          <w:bCs w:val="0"/>
        </w:rPr>
        <w:instrText xml:space="preserve"> ADDIN ZOTERO_ITEM CSL_CITATION {"citationID":"TkUx767I","properties":{"formattedCitation":"(R. Wang et al., 2025)","plainCitation":"(R. Wang et al., 2025)","noteIndex":0},"citationItems":[{"id":181,"uris":["http://zotero.org/users/local/AJmTDxS7/items/KX8GI36S"],"itemData":{"id":181,"type":"article-journal","abstract":"Spatial omics methods are extensions of traditional histological methods that can illuminate important biomedical mechanisms of physiology and disease by examining the distribution of biomolecules, including nucleic acids, proteins, lipids, and metabolites, at microscale resolution within tissues or individual cells. Since, for some applications, the desired resolution for spatial omics approaches the nanometer scale, classical tools have inherent limitations when applied to spatial omics analyses, and they can measure only a limited number of targets. Nanotechnology applications have been instrumental in overcoming these bottlenecks. When nanometer-level resolution is needed for spatial omics, super resolution microscopy or detection imaging techniques, such as mass spectrometer imaging, are required to generate precise spatial images of target expression. DNA nanostructures are widely used in spatial omics for purposes such as nucleic acid detection, signal amplification, and DNA barcoding for target molecule labeling, underscoring advances in spatial omics. Other properties of nanotechnologies include advanced spatial omics methods, such as microfluidic chips and DNA barcodes. In this review, we describe how nanotechnologies have been applied to the development of spatial transcriptomics, proteomics, metabolomics, epigenomics, and multiomics approaches. We focus on how nanotechnology supports improved resolution and throughput of spatial omics, surpassing traditional techniques. We also summarize future challenges and opportunities for the application of nanotechnology to spatial omics methods.","container-title":"ACS nano","DOI":"10.1021/acsnano.4c11505","ISSN":"1936-086X","issue":"1","journalAbbreviation":"ACS Nano","language":"eng","note":"PMID: 39704725\nPMCID: PMC11752498","page":"73-100","source":"PubMed","title":"Applications of Nanotechnology for Spatial Omics: Biological Structures and Functions at Nanoscale Resolution","title-short":"Applications of Nanotechnology for Spatial Omics","volume":"19","author":[{"family":"Wang","given":"Ruixuan"},{"family":"Hastings","given":"Waylon J."},{"family":"Saliba","given":"Julian G."},{"family":"Bao","given":"Duran"},{"family":"Huang","given":"Yuanyu"},{"family":"Maity","given":"Sudipa"},{"family":"Kamal Ahmad","given":"Omar Mustafa"},{"family":"Hu","given":"Logan"},{"family":"Wang","given":"Shengyu"},{"family":"Fan","given":"Jia"},{"family":"Ning","given":"Bo"}],"issued":{"date-parts":[["2025",1,14]]}}}],"schema":"https://github.com/citation-style-language/schema/raw/master/csl-citation.json"} </w:instrText>
      </w:r>
      <w:r w:rsidR="000B6060">
        <w:rPr>
          <w:rStyle w:val="Strong"/>
          <w:b w:val="0"/>
          <w:bCs w:val="0"/>
        </w:rPr>
        <w:fldChar w:fldCharType="separate"/>
      </w:r>
      <w:r w:rsidR="000B6060" w:rsidRPr="000B6060">
        <w:t>(R. Wang et al., 2025)</w:t>
      </w:r>
      <w:r w:rsidR="000B6060">
        <w:rPr>
          <w:rStyle w:val="Strong"/>
          <w:b w:val="0"/>
          <w:bCs w:val="0"/>
        </w:rPr>
        <w:fldChar w:fldCharType="end"/>
      </w:r>
      <w:r w:rsidR="00E76D97" w:rsidRPr="00E76D97">
        <w:rPr>
          <w:rStyle w:val="Strong"/>
          <w:b w:val="0"/>
          <w:bCs w:val="0"/>
        </w:rPr>
        <w:t>.</w:t>
      </w:r>
      <w:r w:rsidR="00DA218E">
        <w:t xml:space="preserve"> </w:t>
      </w:r>
      <w:r w:rsidR="00E76D97">
        <w:t>With the advent of point-of-care sequencing platforms and ultra-rapid diagnostics, the goal of real-time omics in clinical practice is becoming more and more realistic. This is because it allows for immediate molecular profiling to inform treatment decisions that are time-sensitive, especially in low-resource or oncology emergencies</w:t>
      </w:r>
      <w:r w:rsidR="000B6060">
        <w:fldChar w:fldCharType="begin"/>
      </w:r>
      <w:r w:rsidR="000B6060">
        <w:instrText xml:space="preserve"> ADDIN ZOTERO_ITEM CSL_CITATION {"citationID":"BleQKiqs","properties":{"formattedCitation":"(Satam et al., 2023b)","plainCitation":"(Satam et al., 2023b)","noteIndex":0},"citationItems":[{"id":184,"uris":["http://zotero.org/users/local/AJmTDxS7/items/8U7RHI3X"],"itemData":{"id":184,"type":"article-journal","abstract":"Simple Summary\nNext-generation sequencing (NGS) is a powerful tool used in genomics research. NGS can sequence millions of DNA fragments at once, providing detailed information about the structure of genomes, genetic variations, gene activity, and changes in gene behavior. Recent advancements have focused on faster and more accurate sequencing, reduced costs, and improved data analysis. These advancements hold great promise for unlocking new insights into genomics and improving our understanding of diseases and personalized healthcare. This review article provides an overview of NGS technology and its impact on various areas of research, such as clinical genomics, cancer, infectious diseases, and the study of the microbiome.\n\nAbstract\nThe advent of next-generation sequencing (NGS) has brought about a paradigm shift in genomics research, offering unparalleled capabilities for analyzing DNA and RNA molecules in a high-throughput and cost-effective manner. This transformative technology has swiftly propelled genomics advancements across diverse domains. NGS allows for the rapid sequencing of millions of DNA fragments simultaneously, providing comprehensive insights into genome structure, genetic variations, gene expression profiles, and epigenetic modifications. The versatility of NGS platforms has expanded the scope of genomics research, facilitating studies on rare genetic diseases, cancer genomics, microbiome analysis, infectious diseases, and population genetics. Moreover, NGS has enabled the development of targeted therapies, precision medicine approaches, and improved diagnostic methods. This review provides an insightful overview of the current trends and recent advancements in NGS technology, highlighting its potential impact on diverse areas of genomic research. Moreover, the review delves into the challenges encountered and future directions of NGS technology, including endeavors to enhance the accuracy and sensitivity of sequencing data, the development of novel algorithms for data analysis, and the pursuit of more efficient, scalable, and cost-effective solutions that lie ahead.","container-title":"Biology","DOI":"10.3390/biology12070997","ISSN":"2079-7737","issue":"7","journalAbbreviation":"Biology (Basel)","note":"PMID: 37508427\nPMCID: PMC10376292","page":"997","source":"PubMed Central","title":"Next-Generation Sequencing Technology: Current Trends and Advancements","title-short":"Next-Generation Sequencing Technology","volume":"12","author":[{"family":"Satam","given":"Heena"},{"family":"Joshi","given":"Kandarp"},{"family":"Mangrolia","given":"Upasana"},{"family":"Waghoo","given":"Sanober"},{"family":"Zaidi","given":"Gulnaz"},{"family":"Rawool","given":"Shravani"},{"family":"Thakare","given":"Ritesh P."},{"family":"Banday","given":"Shahid"},{"family":"Mishra","given":"Alok K."},{"family":"Das","given":"Gautam"},{"family":"Malonia","given":"Sunil K."}],"issued":{"date-parts":[["2023",7,13]]}}}],"schema":"https://github.com/citation-style-language/schema/raw/master/csl-citation.json"} </w:instrText>
      </w:r>
      <w:r w:rsidR="000B6060">
        <w:fldChar w:fldCharType="separate"/>
      </w:r>
      <w:r w:rsidR="000B6060" w:rsidRPr="000B6060">
        <w:t>(Satam et al., 2023b)</w:t>
      </w:r>
      <w:r w:rsidR="000B6060">
        <w:fldChar w:fldCharType="end"/>
      </w:r>
      <w:r w:rsidR="00E76D97">
        <w:t>.</w:t>
      </w:r>
      <w:r w:rsidR="00DA218E">
        <w:t xml:space="preserve"> </w:t>
      </w:r>
      <w:r w:rsidR="00E76D97">
        <w:t xml:space="preserve">Synthetic multi-omics models, like multi-layered omics profiling and patient-derived organoids combined with CRISPR gene editing, are developing strong platforms for in vitro drug response testing, tumor evolution modeling, and </w:t>
      </w:r>
      <w:r w:rsidR="00E76D97">
        <w:lastRenderedPageBreak/>
        <w:t>therapeutic regimen personalization.</w:t>
      </w:r>
      <w:r w:rsidR="00335E34">
        <w:t xml:space="preserve"> </w:t>
      </w:r>
      <w:r w:rsidR="00E76D97" w:rsidRPr="00335E34">
        <w:t>Initiatives centered on accessibility and equity are essential to ensuring global inclusion</w:t>
      </w:r>
      <w:r w:rsidR="000B6060">
        <w:fldChar w:fldCharType="begin"/>
      </w:r>
      <w:r w:rsidR="002E5628">
        <w:instrText xml:space="preserve"> ADDIN ZOTERO_ITEM CSL_CITATION {"citationID":"3BhflFXN","properties":{"formattedCitation":"(Zhu et al., 2025)","plainCitation":"(Zhu et al., 2025)","noteIndex":0},"citationItems":[{"id":190,"uris":["http://zotero.org/users/local/AJmTDxS7/items/G2826LZ3"],"itemData":{"id":190,"type":"article-journal","abstract":"The persistently high mortality rates associated with cancer underscore the imperative need for innovative, efficacious, and safer therapeutic agents, as well as a more nuanced understanding of tumor biology. Patient-derived organoids (PDOs) have emerged as innovative preclinical models with significant translational potential, capable of accurately recapitulating the structural, functional, and heterogeneous characteristics of primary tumors. When integrated with cutting-edge genomic tools such as CRISPR, PDOs provide a powerful platform for identifying cancer driver genes and novel therapeutic targets. This comprehensive review delves into recent advancements in CRISPR-mediated functional screens leveraging PDOs across diverse cancer types, highlighting their pivotal role in high-throughput functional genomics and tumor microenvironment (TME) modeling. Furthermore, this review highlights the synergistic potential of integrating PDOs with CRISPR screens in cancer immunotherapy, focusing on uncovering immune evasion mechanisms and improving the efficacy of immunotherapeutic approaches. Together, these cutting-edge technologies offer significant promise for advancing precision oncology.","container-title":"Frontiers in Pharmacology","DOI":"10.3389/fphar.2025.1563198","ISSN":"1663-9812","journalAbbreviation":"Front. Pharmacol.","language":"English","note":"publisher: Frontiers","source":"Frontiers","title":"Transforming cancer treatment: integrating patient-derived organoids and CRISPR screening for precision medicine","title-short":"Transforming cancer treatment","URL":"https://www.frontiersin.org/journals/pharmacology/articles/10.3389/fphar.2025.1563198/full","volume":"16","author":[{"family":"Zhu","given":"Ziyi"},{"family":"Shen","given":"Jiayang"},{"family":"Ho","given":"Paul Chi-Lui"},{"family":"Hu","given":"Ya"},{"family":"Ma","given":"Zhaowu"},{"family":"Wang","given":"Lingzhi"}],"accessed":{"date-parts":[["2025",6,24]]},"issued":{"date-parts":[["2025",3,25]]}}}],"schema":"https://github.com/citation-style-language/schema/raw/master/csl-citation.json"} </w:instrText>
      </w:r>
      <w:r w:rsidR="000B6060">
        <w:fldChar w:fldCharType="separate"/>
      </w:r>
      <w:r w:rsidR="002E5628" w:rsidRPr="002E5628">
        <w:t>(Zhu et al., 2025)</w:t>
      </w:r>
      <w:r w:rsidR="000B6060">
        <w:fldChar w:fldCharType="end"/>
      </w:r>
      <w:r w:rsidR="002E5628">
        <w:t xml:space="preserve">. </w:t>
      </w:r>
      <w:r w:rsidR="00E76D97" w:rsidRPr="00335E34">
        <w:t>In low- and middle-income countries (LMICs), initiatives like H3Africa and the Pan-Cancer Analysis of Whole Genomes (PCAWG) collaboration are democratizing access to omics technology and promoting capacity-building</w:t>
      </w:r>
      <w:r w:rsidR="002E5628">
        <w:fldChar w:fldCharType="begin"/>
      </w:r>
      <w:r w:rsidR="002E5628">
        <w:instrText xml:space="preserve"> ADDIN ZOTERO_ITEM CSL_CITATION {"citationID":"x3SSElJz","properties":{"formattedCitation":"(Shaffer et al., 2019)","plainCitation":"(Shaffer et al., 2019)","noteIndex":0},"citationItems":[{"id":194,"uris":["http://zotero.org/users/local/AJmTDxS7/items/26SEMKQE"],"itemData":{"id":194,"type":"article-journal","abstract":"Bioinformatics and data science research has boundless potential across Africa due to its high levels of genetic diversity and disproportionate burden of infectious diseases, including malaria, tuberculosis, HIV/AIDS, Ebola virus disease, and Lassa fever. This work lays out an incremental training approach for engaging underserved populations in bioinformatics and data science research at the University of Sciences, Techniques and Technologies of Bamako, Mali (USTTB). Two informatics training programs sponsored by the Fogarty International Center were carried out at USTTB between 1999 and 2011. Coupled with these efforts and capacity from a large epidemiological cohort study in Mali, a bioinformatics and data science training program was launched at USTTB in 2017 as part of the Human Heredity and Health in Africa (H3Africa) initiative. The informatics training programs included 12 long-term trainees and 53 short-term trainees. Eight of the 12 (67%) long-term trainees completed master’s degrees at foreign institutions as part of their training. Prior to the training, these trainees published 2 first or second authorship and 8 third or higher authorship manuscripts at rates of 0.40 and 0.10 per year, respectively. Following the training, these rates increased to 55 first or second authorship and 99 third or higher authorship manuscripts at rates of 0.70 and 1.23 per year, respectively (p&lt;.001). The bioinformatics and data science training program at USTTB commenced in 2017 focusing on student, faculty, and curriculum tiers of enhancement. The program’s sustainable measures included institutional support for core elements, university tuition and fees, resource sharing with ongoing research projects and companion training programs, increased student and faculty publications, and increased research proposal submissions. Long-term, incremental processes are necessary for engaging historically underserved communities in bioinformatics and data science research. The multi-tiered enhancement approach described here provides a platform for generating bioinformatics technicians, teachers, researchers, and program managers. Increased literature on bioinformatics and data science training approaches and progress would provide a framework for establishing benchmarks on the topic.","container-title":"Frontiers in Genetics","DOI":"10.3389/fgene.2019.00331","ISSN":"1664-8021","journalAbbreviation":"Front. Genet.","language":"English","note":"publisher: Frontiers","source":"Frontiers","title":"Expanding Research Capacity in Sub-Saharan Africa Through Informatics, Bioinformatics, and Data Science Training Programs in Mali","URL":"https://www.frontiersin.org/journals/genetics/articles/10.3389/fgene.2019.00331/full","volume":"10","author":[{"family":"Shaffer","given":"Jeffrey G."},{"family":"Mather","given":"Frances J."},{"family":"Wele","given":"Mamadou"},{"family":"Li","given":"Jian"},{"family":"Tangara","given":"Cheick Oumar"},{"family":"Kassogue","given":"Yaya"},{"family":"Srivastav","given":"Sudesh K."},{"family":"Thiero","given":"Oumar"},{"family":"Diakite","given":"Mahamadou"},{"family":"Sangare","given":"Modibo"},{"family":"Dabitao","given":"Djeneba"},{"family":"Toure","given":"Mahamoudou"},{"family":"Djimde","given":"Abdoulaye A."},{"family":"Traore","given":"Sekou"},{"family":"Diakite","given":"Brehima"},{"family":"Coulibaly","given":"Mamadou B."},{"family":"Liu","given":"Yaozhong"},{"family":"Lacey","given":"Michelle"},{"family":"Lefante","given":"John J."},{"family":"Koita","given":"Ousmane"},{"family":"Schieffelin","given":"John S."},{"family":"Krogstad","given":"Donald J."},{"family":"Doumbia","given":"Seydou O."}],"accessed":{"date-parts":[["2025",6,24]]},"issued":{"date-parts":[["2019",4,12]]}}}],"schema":"https://github.com/citation-style-language/schema/raw/master/csl-citation.json"} </w:instrText>
      </w:r>
      <w:r w:rsidR="002E5628">
        <w:fldChar w:fldCharType="separate"/>
      </w:r>
      <w:r w:rsidR="002E5628" w:rsidRPr="002E5628">
        <w:t>(Shaffer et al., 2019)</w:t>
      </w:r>
      <w:r w:rsidR="002E5628">
        <w:fldChar w:fldCharType="end"/>
      </w:r>
      <w:r w:rsidR="00E76D97" w:rsidRPr="00335E34">
        <w:t>. Through the promotion of open-access data, local biobanking, and infrastructure development, these cooperative initiatives seek to lessen inequities in cancer research and outcomes.</w:t>
      </w:r>
      <w:r w:rsidR="00335E34" w:rsidRPr="00335E34">
        <w:t xml:space="preserve"> </w:t>
      </w:r>
      <w:r w:rsidR="00E76D97" w:rsidRPr="00335E34">
        <w:t>The future of multi-omics in precision oncology will ultimately be determined by the meeting point of clinical integration, technical innovation, and international collaboration</w:t>
      </w:r>
      <w:r w:rsidR="002E5628">
        <w:fldChar w:fldCharType="begin"/>
      </w:r>
      <w:r w:rsidR="002E5628">
        <w:instrText xml:space="preserve"> ADDIN ZOTERO_ITEM CSL_CITATION {"citationID":"ksPJqv8Y","properties":{"formattedCitation":"(Gueye et al., 2024)","plainCitation":"(Gueye et al., 2024)","noteIndex":0},"citationItems":[{"id":199,"uris":["http://zotero.org/users/local/AJmTDxS7/items/QEDRVIML"],"itemData":{"id":199,"type":"article-journal","abstract":"As the projected incidence and mortality of cancer in Sub-Saharan Africa (SSA) rises to epidemic proportions, it is imperative that more is done to identify the genomic differences and commonalities between patients of African and European ancestry to fulfil the promise of precision oncology. Here, we summarize the utility of precision oncology approaches, with a focus on comprehensive genomic profiling (CGP) and consolidate examples of national and international consortia that are driving the field forward. We describe the importance of genomic diversity and its relevance in cancer, and propose recommendations, success factors and desired outcomes for precision oncology consortia to adopt in SSA. Through this, we hope to catalyze the initiation of such projects and to contribute to improving cancer patient outcomes in the region.","container-title":"Frontiers in Oncology","DOI":"10.3389/fonc.2024.1426558","ISSN":"2234-943X","journalAbbreviation":"Front Oncol","note":"PMID: 38974239\nPMCID: PMC11224929","page":"1426558","source":"PubMed Central","title":"The future of collaborative precision oncology approaches in sub-Saharan Africa: learnings from around the globe","title-short":"The future of collaborative precision oncology approaches in sub-Saharan Africa","volume":"14","author":[{"family":"Gueye","given":"Amadou"},{"family":"Maroun","given":"Boutros"},{"family":"Zimur","given":"Amol"},{"family":"Berkovits","given":"Tom"},{"family":"Tan","given":"Shen Mynn"}],"issued":{"date-parts":[["2024",6,21]]}}}],"schema":"https://github.com/citation-style-language/schema/raw/master/csl-citation.json"} </w:instrText>
      </w:r>
      <w:r w:rsidR="002E5628">
        <w:fldChar w:fldCharType="separate"/>
      </w:r>
      <w:r w:rsidR="002E5628" w:rsidRPr="002E5628">
        <w:t>(Gueye et al., 2024)</w:t>
      </w:r>
      <w:r w:rsidR="002E5628">
        <w:fldChar w:fldCharType="end"/>
      </w:r>
      <w:r w:rsidR="00E76D97" w:rsidRPr="00335E34">
        <w:t>.</w:t>
      </w:r>
    </w:p>
    <w:p w14:paraId="68D373F9" w14:textId="1A180B39" w:rsidR="0062267F" w:rsidRDefault="0062267F" w:rsidP="00335E34">
      <w:pPr>
        <w:pStyle w:val="Heading3"/>
        <w:jc w:val="both"/>
      </w:pPr>
      <w:r>
        <w:rPr>
          <w:rStyle w:val="Strong"/>
          <w:b/>
          <w:bCs/>
        </w:rPr>
        <w:t>11. Conclusion</w:t>
      </w:r>
      <w:r>
        <w:t xml:space="preserve"> </w:t>
      </w:r>
    </w:p>
    <w:p w14:paraId="7FDF9047" w14:textId="2E80EBFD" w:rsidR="00426978" w:rsidRDefault="00335E34" w:rsidP="00335E34">
      <w:pPr>
        <w:pStyle w:val="NormalWeb"/>
        <w:jc w:val="both"/>
      </w:pPr>
      <w:r w:rsidRPr="00335E34">
        <w:rPr>
          <w:rStyle w:val="Strong"/>
          <w:b w:val="0"/>
          <w:bCs w:val="0"/>
        </w:rPr>
        <w:t>In order to decipher the deep complexity of tumor heterogeneity, multi-omics techniques have become indispensable instruments, providing hitherto unheard-of insights into the molecular, geographical, and temporal dynamics of cancer. A systems-level knowledge of cancer evolution, therapeutic resistance, and tumor-immune interactions is made possible by multi-omics, which integrates data from the genomic, epigenomic, transcriptomic, proteomic, and metabolomic levels. This is not possible with single-layer analysis.</w:t>
      </w:r>
      <w:r>
        <w:rPr>
          <w:b/>
          <w:bCs/>
        </w:rPr>
        <w:t xml:space="preserve"> </w:t>
      </w:r>
      <w:r>
        <w:t>Multi-omics' capacity to figure out clonal trajectories, spot actionable weaknesses, and track resistance mechanisms places it at the forefront of next-generation precision oncology. These technologies are changing the field of patient classification, therapeutic target selection, and biomarker discovery with the goal of providing genuinely customized treatment based on the distinct molecular composition of every tumor. Interdisciplinary cooperation, a strong bioinformatics infrastructure, and close attention to accessibility, ethical, and legal issues especially in settings with limited resources are necessary to fulfill this promise. It will be crucial to invest in scalable, affordable platforms and fair international initiatives. Multi-omics integration into standard clinical procedures is not only possible but also inevitable as new technologies and AI-powered analytics develop further. Offering more accurate, flexible, and fair ways to combat cancer, this paradigm shift has the potential to completely transform cancer care.</w:t>
      </w:r>
    </w:p>
    <w:p w14:paraId="747C048E" w14:textId="77777777" w:rsidR="0006600D" w:rsidRDefault="0006600D" w:rsidP="00335E34">
      <w:pPr>
        <w:pStyle w:val="NormalWeb"/>
        <w:jc w:val="both"/>
      </w:pPr>
    </w:p>
    <w:p w14:paraId="0D28A9F5" w14:textId="77777777" w:rsidR="0006600D" w:rsidRDefault="0006600D" w:rsidP="00335E34">
      <w:pPr>
        <w:pStyle w:val="NormalWeb"/>
        <w:jc w:val="both"/>
      </w:pPr>
    </w:p>
    <w:p w14:paraId="452F7472" w14:textId="77777777" w:rsidR="0006600D" w:rsidRDefault="0006600D" w:rsidP="00335E34">
      <w:pPr>
        <w:pStyle w:val="NormalWeb"/>
        <w:jc w:val="both"/>
      </w:pPr>
    </w:p>
    <w:p w14:paraId="4F282155" w14:textId="77777777" w:rsidR="0006600D" w:rsidRDefault="0006600D" w:rsidP="00335E34">
      <w:pPr>
        <w:pStyle w:val="NormalWeb"/>
        <w:jc w:val="both"/>
      </w:pPr>
    </w:p>
    <w:p w14:paraId="28F524B8" w14:textId="77777777" w:rsidR="0006600D" w:rsidRDefault="0006600D" w:rsidP="00335E34">
      <w:pPr>
        <w:pStyle w:val="NormalWeb"/>
        <w:jc w:val="both"/>
      </w:pPr>
    </w:p>
    <w:p w14:paraId="778CDB05" w14:textId="77777777" w:rsidR="0006600D" w:rsidRDefault="0006600D" w:rsidP="00335E34">
      <w:pPr>
        <w:pStyle w:val="NormalWeb"/>
        <w:jc w:val="both"/>
      </w:pPr>
    </w:p>
    <w:p w14:paraId="3A5D3E5B" w14:textId="77777777" w:rsidR="0006600D" w:rsidRDefault="0006600D" w:rsidP="00335E34">
      <w:pPr>
        <w:pStyle w:val="NormalWeb"/>
        <w:jc w:val="both"/>
      </w:pPr>
    </w:p>
    <w:p w14:paraId="4D4B7BB7" w14:textId="77777777" w:rsidR="0006600D" w:rsidRDefault="0006600D" w:rsidP="00335E34">
      <w:pPr>
        <w:pStyle w:val="NormalWeb"/>
        <w:jc w:val="both"/>
      </w:pPr>
    </w:p>
    <w:p w14:paraId="217B8A53" w14:textId="61E5F095" w:rsidR="00A15391" w:rsidRDefault="00A15391" w:rsidP="00335E34">
      <w:pPr>
        <w:pStyle w:val="NormalWeb"/>
        <w:jc w:val="both"/>
        <w:rPr>
          <w:b/>
          <w:bCs/>
        </w:rPr>
      </w:pPr>
      <w:r>
        <w:lastRenderedPageBreak/>
        <w:t>REFRENCES</w:t>
      </w:r>
    </w:p>
    <w:p w14:paraId="28FB15A9" w14:textId="77777777" w:rsidR="007D0EDA" w:rsidRDefault="00A15391" w:rsidP="007D0EDA">
      <w:pPr>
        <w:pStyle w:val="Bibliography"/>
      </w:pPr>
      <w:r>
        <w:rPr>
          <w:b/>
          <w:bCs/>
        </w:rPr>
        <w:fldChar w:fldCharType="begin"/>
      </w:r>
      <w:r w:rsidR="007D0EDA">
        <w:rPr>
          <w:b/>
          <w:bCs/>
        </w:rPr>
        <w:instrText xml:space="preserve"> ADDIN ZOTERO_BIBL {"uncited":[],"omitted":[],"custom":[]} CSL_BIBLIOGRAPHY </w:instrText>
      </w:r>
      <w:r>
        <w:rPr>
          <w:b/>
          <w:bCs/>
        </w:rPr>
        <w:fldChar w:fldCharType="separate"/>
      </w:r>
      <w:r w:rsidR="007D0EDA">
        <w:t xml:space="preserve">Aerqin, Q., Wang, Z.-T., Wu, K.-M., He, X.-Y., Dong, Q., &amp; Yu, J.-T. (2022). Omics-based biomarkers discovery for Alzheimer’s disease. </w:t>
      </w:r>
      <w:r w:rsidR="007D0EDA">
        <w:rPr>
          <w:i/>
          <w:iCs/>
        </w:rPr>
        <w:t>Cellular and Molecular Life Sciences: CMLS</w:t>
      </w:r>
      <w:r w:rsidR="007D0EDA">
        <w:t xml:space="preserve">, </w:t>
      </w:r>
      <w:r w:rsidR="007D0EDA">
        <w:rPr>
          <w:i/>
          <w:iCs/>
        </w:rPr>
        <w:t>79</w:t>
      </w:r>
      <w:r w:rsidR="007D0EDA">
        <w:t>(12), 585. https://doi.org/10.1007/s00018-022-04614-6</w:t>
      </w:r>
    </w:p>
    <w:p w14:paraId="437ABA14" w14:textId="77777777" w:rsidR="007D0EDA" w:rsidRDefault="007D0EDA" w:rsidP="007D0EDA">
      <w:pPr>
        <w:pStyle w:val="Bibliography"/>
      </w:pPr>
      <w:r>
        <w:t xml:space="preserve">Altorki, N. K., Markowitz, G. J., Gao, D., Port, J. L., Saxena, A., Stiles, B., McGraw, T., &amp; Mittal, V. (2019). The lung microenvironment: An important regulator of tumour growth and metastasis. </w:t>
      </w:r>
      <w:r>
        <w:rPr>
          <w:i/>
          <w:iCs/>
        </w:rPr>
        <w:t>Nature Reviews. Cancer</w:t>
      </w:r>
      <w:r>
        <w:t xml:space="preserve">, </w:t>
      </w:r>
      <w:r>
        <w:rPr>
          <w:i/>
          <w:iCs/>
        </w:rPr>
        <w:t>19</w:t>
      </w:r>
      <w:r>
        <w:t>(1), 9–31. https://doi.org/10.1038/s41568-018-0081-9</w:t>
      </w:r>
    </w:p>
    <w:p w14:paraId="56416842" w14:textId="77777777" w:rsidR="007D0EDA" w:rsidRDefault="007D0EDA" w:rsidP="007D0EDA">
      <w:pPr>
        <w:pStyle w:val="Bibliography"/>
      </w:pPr>
      <w:r>
        <w:t xml:space="preserve">Armingol, E., Baghdassarian, H. M., Martino, C., Perez-Lopez, A., Aamodt, C., Knight, R., &amp; Lewis, N. E. (2022). Context-aware deconvolution of cell–cell communication with Tensor-cell2cell. </w:t>
      </w:r>
      <w:r>
        <w:rPr>
          <w:i/>
          <w:iCs/>
        </w:rPr>
        <w:t>Nature Communications</w:t>
      </w:r>
      <w:r>
        <w:t xml:space="preserve">, </w:t>
      </w:r>
      <w:r>
        <w:rPr>
          <w:i/>
          <w:iCs/>
        </w:rPr>
        <w:t>13</w:t>
      </w:r>
      <w:r>
        <w:t>, 3665. https://doi.org/10.1038/s41467-022-31369-2</w:t>
      </w:r>
    </w:p>
    <w:p w14:paraId="26498166" w14:textId="77777777" w:rsidR="007D0EDA" w:rsidRDefault="007D0EDA" w:rsidP="007D0EDA">
      <w:pPr>
        <w:pStyle w:val="Bibliography"/>
      </w:pPr>
      <w:r>
        <w:t xml:space="preserve">Biray Avci, C., Goker Bagca, B., Nikanfar, M., Takanlou, L. S., Takanlou, M. S., &amp; Nourazarian, A. (2024). Tumor microenvironment and cancer metastasis: Molecular mechanisms and therapeutic implications. </w:t>
      </w:r>
      <w:r>
        <w:rPr>
          <w:i/>
          <w:iCs/>
        </w:rPr>
        <w:t>Frontiers in Pharmacology</w:t>
      </w:r>
      <w:r>
        <w:t xml:space="preserve">, </w:t>
      </w:r>
      <w:r>
        <w:rPr>
          <w:i/>
          <w:iCs/>
        </w:rPr>
        <w:t>15</w:t>
      </w:r>
      <w:r>
        <w:t>, 1442888. https://doi.org/10.3389/fphar.2024.1442888</w:t>
      </w:r>
    </w:p>
    <w:p w14:paraId="6CF5DC3A" w14:textId="77777777" w:rsidR="007D0EDA" w:rsidRDefault="007D0EDA" w:rsidP="007D0EDA">
      <w:pPr>
        <w:pStyle w:val="Bibliography"/>
      </w:pPr>
      <w:r>
        <w:t xml:space="preserve">Birhanu, A. G. (2023). Mass spectrometry-based proteomics as an emerging tool in clinical laboratories. </w:t>
      </w:r>
      <w:r>
        <w:rPr>
          <w:i/>
          <w:iCs/>
        </w:rPr>
        <w:t>Clinical Proteomics</w:t>
      </w:r>
      <w:r>
        <w:t xml:space="preserve">, </w:t>
      </w:r>
      <w:r>
        <w:rPr>
          <w:i/>
          <w:iCs/>
        </w:rPr>
        <w:t>20</w:t>
      </w:r>
      <w:r>
        <w:t>, 32. https://doi.org/10.1186/s12014-023-09424-x</w:t>
      </w:r>
    </w:p>
    <w:p w14:paraId="2F0E836C" w14:textId="77777777" w:rsidR="007D0EDA" w:rsidRDefault="007D0EDA" w:rsidP="007D0EDA">
      <w:pPr>
        <w:pStyle w:val="Bibliography"/>
      </w:pPr>
      <w:r>
        <w:t xml:space="preserve">Cai, Z., Poulos, R. C., Liu, J., &amp; Zhong, Q. (2022). Machine learning for multi-omics data integration in cancer. </w:t>
      </w:r>
      <w:r>
        <w:rPr>
          <w:i/>
          <w:iCs/>
        </w:rPr>
        <w:t>iScience</w:t>
      </w:r>
      <w:r>
        <w:t xml:space="preserve">, </w:t>
      </w:r>
      <w:r>
        <w:rPr>
          <w:i/>
          <w:iCs/>
        </w:rPr>
        <w:t>25</w:t>
      </w:r>
      <w:r>
        <w:t>(2), 103798. https://doi.org/10.1016/j.isci.2022.103798</w:t>
      </w:r>
    </w:p>
    <w:p w14:paraId="5AD4A4DE" w14:textId="77777777" w:rsidR="007D0EDA" w:rsidRDefault="007D0EDA" w:rsidP="007D0EDA">
      <w:pPr>
        <w:pStyle w:val="Bibliography"/>
      </w:pPr>
      <w:r>
        <w:t xml:space="preserve">Carter, B., &amp; Zhao, K. (2021). The epigenetic basis of cellular heterogeneity. </w:t>
      </w:r>
      <w:r>
        <w:rPr>
          <w:i/>
          <w:iCs/>
        </w:rPr>
        <w:t>Nature Reviews. Genetics</w:t>
      </w:r>
      <w:r>
        <w:t xml:space="preserve">, </w:t>
      </w:r>
      <w:r>
        <w:rPr>
          <w:i/>
          <w:iCs/>
        </w:rPr>
        <w:t>22</w:t>
      </w:r>
      <w:r>
        <w:t>(4), 235–250. https://doi.org/10.1038/s41576-020-00300-0</w:t>
      </w:r>
    </w:p>
    <w:p w14:paraId="2AC5C24D" w14:textId="77777777" w:rsidR="007D0EDA" w:rsidRDefault="007D0EDA" w:rsidP="007D0EDA">
      <w:pPr>
        <w:pStyle w:val="Bibliography"/>
      </w:pPr>
      <w:r>
        <w:t xml:space="preserve">Chen, C., Wang, J., Pan, D., Wang, X., Xu, Y., Yan, J., Wang, L., Yang, X., Yang, M., &amp; Liu, G. (2023a). Applications of multi‐omics analysis in human diseases. </w:t>
      </w:r>
      <w:r>
        <w:rPr>
          <w:i/>
          <w:iCs/>
        </w:rPr>
        <w:t>MedComm</w:t>
      </w:r>
      <w:r>
        <w:t xml:space="preserve">, </w:t>
      </w:r>
      <w:r>
        <w:rPr>
          <w:i/>
          <w:iCs/>
        </w:rPr>
        <w:t>4</w:t>
      </w:r>
      <w:r>
        <w:t>(4), e315. https://doi.org/10.1002/mco2.315</w:t>
      </w:r>
    </w:p>
    <w:p w14:paraId="7FBBBBCA" w14:textId="77777777" w:rsidR="007D0EDA" w:rsidRDefault="007D0EDA" w:rsidP="007D0EDA">
      <w:pPr>
        <w:pStyle w:val="Bibliography"/>
      </w:pPr>
      <w:r>
        <w:t xml:space="preserve">Chen, C., Wang, J., Pan, D., Wang, X., Xu, Y., Yan, J., Wang, L., Yang, X., Yang, M., &amp; Liu, G. (2023b). Applications of multi‐omics analysis in human diseases. </w:t>
      </w:r>
      <w:r>
        <w:rPr>
          <w:i/>
          <w:iCs/>
        </w:rPr>
        <w:t>MedComm</w:t>
      </w:r>
      <w:r>
        <w:t xml:space="preserve">, </w:t>
      </w:r>
      <w:r>
        <w:rPr>
          <w:i/>
          <w:iCs/>
        </w:rPr>
        <w:t>4</w:t>
      </w:r>
      <w:r>
        <w:t>(4), e315. https://doi.org/10.1002/mco2.315</w:t>
      </w:r>
    </w:p>
    <w:p w14:paraId="602040F2" w14:textId="77777777" w:rsidR="007D0EDA" w:rsidRDefault="007D0EDA" w:rsidP="007D0EDA">
      <w:pPr>
        <w:pStyle w:val="Bibliography"/>
      </w:pPr>
      <w:r>
        <w:t xml:space="preserve">Chiruvella, V., &amp; Guddati, A. K. (2021). Ethical Issues in Patient Data Ownership. </w:t>
      </w:r>
      <w:r>
        <w:rPr>
          <w:i/>
          <w:iCs/>
        </w:rPr>
        <w:t>Interactive Journal of Medical Research</w:t>
      </w:r>
      <w:r>
        <w:t xml:space="preserve">, </w:t>
      </w:r>
      <w:r>
        <w:rPr>
          <w:i/>
          <w:iCs/>
        </w:rPr>
        <w:t>10</w:t>
      </w:r>
      <w:r>
        <w:t>(2), e22269. https://doi.org/10.2196/22269</w:t>
      </w:r>
    </w:p>
    <w:p w14:paraId="50687AD3" w14:textId="77777777" w:rsidR="007D0EDA" w:rsidRDefault="007D0EDA" w:rsidP="007D0EDA">
      <w:pPr>
        <w:pStyle w:val="Bibliography"/>
      </w:pPr>
      <w:r>
        <w:t xml:space="preserve">Clarke, R., Kraikivski, P., Jones, B. C., Sevigny, C. M., Sengupta, S., &amp; Wang, Y. (2020). A Systems Biology Approach to Discovering Pathway Signaling Dysregulation in Metastasis. </w:t>
      </w:r>
      <w:r>
        <w:rPr>
          <w:i/>
          <w:iCs/>
        </w:rPr>
        <w:t>Cancer Metastasis Reviews</w:t>
      </w:r>
      <w:r>
        <w:t xml:space="preserve">, </w:t>
      </w:r>
      <w:r>
        <w:rPr>
          <w:i/>
          <w:iCs/>
        </w:rPr>
        <w:t>39</w:t>
      </w:r>
      <w:r>
        <w:t>(3), 903–918. https://doi.org/10.1007/s10555-020-09921-7</w:t>
      </w:r>
    </w:p>
    <w:p w14:paraId="533CD49B" w14:textId="77777777" w:rsidR="007D0EDA" w:rsidRDefault="007D0EDA" w:rsidP="007D0EDA">
      <w:pPr>
        <w:pStyle w:val="Bibliography"/>
      </w:pPr>
      <w:r>
        <w:t xml:space="preserve">Dentro, S. C., Leshchiner, I., Haase, K., Tarabichi, M., Wintersinger, J., Deshwar, A. G., Yu, K., Rubanova, Y., Macintyre, G., Demeulemeester, J., Vázquez-García, I., Kleinheinz, K., Livitz, D. G., Malikic, S., Donmez, N., Sengupta, S., Anur, P., Jolly, C., Cmero, M., … Van Loo, P. (2021). Characterizing genetic intra-tumor heterogeneity across 2,658 human cancer genomes. </w:t>
      </w:r>
      <w:r>
        <w:rPr>
          <w:i/>
          <w:iCs/>
        </w:rPr>
        <w:t>Cell</w:t>
      </w:r>
      <w:r>
        <w:t xml:space="preserve">, </w:t>
      </w:r>
      <w:r>
        <w:rPr>
          <w:i/>
          <w:iCs/>
        </w:rPr>
        <w:t>184</w:t>
      </w:r>
      <w:r>
        <w:t>(8), 2239-2254.e39. https://doi.org/10.1016/j.cell.2021.03.009</w:t>
      </w:r>
    </w:p>
    <w:p w14:paraId="5FB523FC" w14:textId="77777777" w:rsidR="007D0EDA" w:rsidRDefault="007D0EDA" w:rsidP="007D0EDA">
      <w:pPr>
        <w:pStyle w:val="Bibliography"/>
      </w:pPr>
      <w:r>
        <w:t xml:space="preserve">El-Tanani, M., Rabbani, S. A., Babiker, R., Rangraze, I., Kapre, S., Palakurthi, S. S., Alnuqaydan, A. M., Aljabali, A. A., Rizzo, M., El-Tanani, Y., &amp; Tambuwala, M. M. (2024). Unraveling the tumor </w:t>
      </w:r>
      <w:r>
        <w:lastRenderedPageBreak/>
        <w:t xml:space="preserve">microenvironment: Insights into cancer metastasis and therapeutic strategies. </w:t>
      </w:r>
      <w:r>
        <w:rPr>
          <w:i/>
          <w:iCs/>
        </w:rPr>
        <w:t>Cancer Letters</w:t>
      </w:r>
      <w:r>
        <w:t xml:space="preserve">, </w:t>
      </w:r>
      <w:r>
        <w:rPr>
          <w:i/>
          <w:iCs/>
        </w:rPr>
        <w:t>591</w:t>
      </w:r>
      <w:r>
        <w:t>, 216894. https://doi.org/10.1016/j.canlet.2024.216894</w:t>
      </w:r>
    </w:p>
    <w:p w14:paraId="4332670B" w14:textId="77777777" w:rsidR="007D0EDA" w:rsidRDefault="007D0EDA" w:rsidP="007D0EDA">
      <w:pPr>
        <w:pStyle w:val="Bibliography"/>
      </w:pPr>
      <w:r>
        <w:t xml:space="preserve">Estephan, H., Tailor, A., Parker, R., Kreamer, M., Papandreou, I., Campo, L., Easton, A., Moon, E. J., Denko, N. C., Ternette, N., Hammond, E. M., &amp; Giaccia, A. J. (2025). Hypoxia promotes tumor immune evasion by suppressing MHC-I expression and antigen presentation. </w:t>
      </w:r>
      <w:r>
        <w:rPr>
          <w:i/>
          <w:iCs/>
        </w:rPr>
        <w:t>The EMBO Journal</w:t>
      </w:r>
      <w:r>
        <w:t xml:space="preserve">, </w:t>
      </w:r>
      <w:r>
        <w:rPr>
          <w:i/>
          <w:iCs/>
        </w:rPr>
        <w:t>44</w:t>
      </w:r>
      <w:r>
        <w:t>(3), 903–922. https://doi.org/10.1038/s44318-024-00319-7</w:t>
      </w:r>
    </w:p>
    <w:p w14:paraId="7FA7EB6E" w14:textId="77777777" w:rsidR="007D0EDA" w:rsidRDefault="007D0EDA" w:rsidP="007D0EDA">
      <w:pPr>
        <w:pStyle w:val="Bibliography"/>
      </w:pPr>
      <w:r>
        <w:t xml:space="preserve">Garg, P., Malhotra, J., Kulkarni, P., Horne, D., Salgia, R., &amp; Singhal, S. S. (2024). Emerging Therapeutic Strategies to Overcome Drug Resistance in Cancer Cells. </w:t>
      </w:r>
      <w:r>
        <w:rPr>
          <w:i/>
          <w:iCs/>
        </w:rPr>
        <w:t>Cancers</w:t>
      </w:r>
      <w:r>
        <w:t xml:space="preserve">, </w:t>
      </w:r>
      <w:r>
        <w:rPr>
          <w:i/>
          <w:iCs/>
        </w:rPr>
        <w:t>16</w:t>
      </w:r>
      <w:r>
        <w:t>(13), 2478. https://doi.org/10.3390/cancers16132478</w:t>
      </w:r>
    </w:p>
    <w:p w14:paraId="67FFE461" w14:textId="77777777" w:rsidR="007D0EDA" w:rsidRDefault="007D0EDA" w:rsidP="007D0EDA">
      <w:pPr>
        <w:pStyle w:val="Bibliography"/>
      </w:pPr>
      <w:r>
        <w:t xml:space="preserve">Garrett, M., Fujii, Y., Osaka, N., Ito, D., Hirota, Y., &amp; Sasaki, A. T. (2021). Emerging Roles of Wild-type and Mutant IDH1 in Growth, Metabolism and Therapeutics of Glioma. In W. Debinski (Ed.), </w:t>
      </w:r>
      <w:r>
        <w:rPr>
          <w:i/>
          <w:iCs/>
        </w:rPr>
        <w:t>Gliomas</w:t>
      </w:r>
      <w:r>
        <w:t>. Exon Publications. http://www.ncbi.nlm.nih.gov/books/NBK570701/</w:t>
      </w:r>
    </w:p>
    <w:p w14:paraId="5EE93C2C" w14:textId="77777777" w:rsidR="007D0EDA" w:rsidRDefault="007D0EDA" w:rsidP="007D0EDA">
      <w:pPr>
        <w:pStyle w:val="Bibliography"/>
      </w:pPr>
      <w:r>
        <w:t xml:space="preserve">Graham, D. B., &amp; Xavier, R. J. (2023). Conditioning of the immune system by the microbiome. </w:t>
      </w:r>
      <w:r>
        <w:rPr>
          <w:i/>
          <w:iCs/>
        </w:rPr>
        <w:t>Trends in Immunology</w:t>
      </w:r>
      <w:r>
        <w:t xml:space="preserve">, </w:t>
      </w:r>
      <w:r>
        <w:rPr>
          <w:i/>
          <w:iCs/>
        </w:rPr>
        <w:t>44</w:t>
      </w:r>
      <w:r>
        <w:t>(7), 499–511. https://doi.org/10.1016/j.it.2023.05.002</w:t>
      </w:r>
    </w:p>
    <w:p w14:paraId="34B64325" w14:textId="77777777" w:rsidR="007D0EDA" w:rsidRDefault="007D0EDA" w:rsidP="007D0EDA">
      <w:pPr>
        <w:pStyle w:val="Bibliography"/>
      </w:pPr>
      <w:r>
        <w:t xml:space="preserve">Gu, M., Ren, B., Fang, Y., Ren, J., Liu, X., Wang, X., Zhou, F., Xiao, R., Luo, X., You, L., &amp; Zhao, Y. (2024). Epigenetic regulation in cancer. </w:t>
      </w:r>
      <w:r>
        <w:rPr>
          <w:i/>
          <w:iCs/>
        </w:rPr>
        <w:t>MedComm</w:t>
      </w:r>
      <w:r>
        <w:t xml:space="preserve">, </w:t>
      </w:r>
      <w:r>
        <w:rPr>
          <w:i/>
          <w:iCs/>
        </w:rPr>
        <w:t>5</w:t>
      </w:r>
      <w:r>
        <w:t>(2), e495. https://doi.org/10.1002/mco2.495</w:t>
      </w:r>
    </w:p>
    <w:p w14:paraId="4F3AB024" w14:textId="77777777" w:rsidR="007D0EDA" w:rsidRDefault="007D0EDA" w:rsidP="007D0EDA">
      <w:pPr>
        <w:pStyle w:val="Bibliography"/>
      </w:pPr>
      <w:r>
        <w:t xml:space="preserve">Gueye, A., Maroun, B., Zimur, A., Berkovits, T., &amp; Tan, S. M. (2024). The future of collaborative precision oncology approaches in sub-Saharan Africa: Learnings from around the globe. </w:t>
      </w:r>
      <w:r>
        <w:rPr>
          <w:i/>
          <w:iCs/>
        </w:rPr>
        <w:t>Frontiers in Oncology</w:t>
      </w:r>
      <w:r>
        <w:t xml:space="preserve">, </w:t>
      </w:r>
      <w:r>
        <w:rPr>
          <w:i/>
          <w:iCs/>
        </w:rPr>
        <w:t>14</w:t>
      </w:r>
      <w:r>
        <w:t>, 1426558. https://doi.org/10.3389/fonc.2024.1426558</w:t>
      </w:r>
    </w:p>
    <w:p w14:paraId="19843CC8" w14:textId="77777777" w:rsidR="007D0EDA" w:rsidRDefault="007D0EDA" w:rsidP="007D0EDA">
      <w:pPr>
        <w:pStyle w:val="Bibliography"/>
      </w:pPr>
      <w:r>
        <w:t xml:space="preserve">Hayes, C. N., Nakahara, H., Ono, A., Tsuge, M., &amp; Oka, S. (2024). From Omics to Multi-Omics: A Review of Advantages and Tradeoffs. </w:t>
      </w:r>
      <w:r>
        <w:rPr>
          <w:i/>
          <w:iCs/>
        </w:rPr>
        <w:t>Genes</w:t>
      </w:r>
      <w:r>
        <w:t xml:space="preserve">, </w:t>
      </w:r>
      <w:r>
        <w:rPr>
          <w:i/>
          <w:iCs/>
        </w:rPr>
        <w:t>15</w:t>
      </w:r>
      <w:r>
        <w:t>(12), 1551. https://doi.org/10.3390/genes15121551</w:t>
      </w:r>
    </w:p>
    <w:p w14:paraId="011C871F" w14:textId="77777777" w:rsidR="007D0EDA" w:rsidRDefault="007D0EDA" w:rsidP="007D0EDA">
      <w:pPr>
        <w:pStyle w:val="Bibliography"/>
      </w:pPr>
      <w:r>
        <w:t xml:space="preserve">Hu, S., Xu, J., Cui, W., Jin, H., Wang, X., &amp; Maimaitiyiming, Y. (2025). Post-Translational Modifications in Multiple Myeloma: Mechanisms of Drug Resistance and Therapeutic Opportunities. </w:t>
      </w:r>
      <w:r>
        <w:rPr>
          <w:i/>
          <w:iCs/>
        </w:rPr>
        <w:t>Biomolecules</w:t>
      </w:r>
      <w:r>
        <w:t xml:space="preserve">, </w:t>
      </w:r>
      <w:r>
        <w:rPr>
          <w:i/>
          <w:iCs/>
        </w:rPr>
        <w:t>15</w:t>
      </w:r>
      <w:r>
        <w:t>(5), Article 5. https://doi.org/10.3390/biom15050702</w:t>
      </w:r>
    </w:p>
    <w:p w14:paraId="3E786829" w14:textId="77777777" w:rsidR="007D0EDA" w:rsidRDefault="007D0EDA" w:rsidP="007D0EDA">
      <w:pPr>
        <w:pStyle w:val="Bibliography"/>
      </w:pPr>
      <w:r>
        <w:t xml:space="preserve">Jin, Y., Zuo, Y., Li, G., Liu, W., Pan, Y., Fan, T., Fu, X., Yao, X., &amp; Peng, Y. (2024). Advances in spatial transcriptomics and its applications in cancer research. </w:t>
      </w:r>
      <w:r>
        <w:rPr>
          <w:i/>
          <w:iCs/>
        </w:rPr>
        <w:t>Molecular Cancer</w:t>
      </w:r>
      <w:r>
        <w:t xml:space="preserve">, </w:t>
      </w:r>
      <w:r>
        <w:rPr>
          <w:i/>
          <w:iCs/>
        </w:rPr>
        <w:t>23</w:t>
      </w:r>
      <w:r>
        <w:t>, 129. https://doi.org/10.1186/s12943-024-02040-9</w:t>
      </w:r>
    </w:p>
    <w:p w14:paraId="2C40B3B4" w14:textId="77777777" w:rsidR="007D0EDA" w:rsidRDefault="007D0EDA" w:rsidP="007D0EDA">
      <w:pPr>
        <w:pStyle w:val="Bibliography"/>
      </w:pPr>
      <w:r>
        <w:t xml:space="preserve">Jing, S., Wang, H., Lin, P., Yuan, J., Tang, Z., &amp; Li, H. (2025). Quantifying and interpreting biologically meaningful spatial signatures within tumor microenvironments. </w:t>
      </w:r>
      <w:r>
        <w:rPr>
          <w:i/>
          <w:iCs/>
        </w:rPr>
        <w:t>NPJ Precision Oncology</w:t>
      </w:r>
      <w:r>
        <w:t xml:space="preserve">, </w:t>
      </w:r>
      <w:r>
        <w:rPr>
          <w:i/>
          <w:iCs/>
        </w:rPr>
        <w:t>9</w:t>
      </w:r>
      <w:r>
        <w:t>, 68. https://doi.org/10.1038/s41698-025-00857-1</w:t>
      </w:r>
    </w:p>
    <w:p w14:paraId="493AD848" w14:textId="77777777" w:rsidR="007D0EDA" w:rsidRDefault="007D0EDA" w:rsidP="007D0EDA">
      <w:pPr>
        <w:pStyle w:val="Bibliography"/>
      </w:pPr>
      <w:r>
        <w:t xml:space="preserve">Kim, Y. J., &amp; Takahashi, K. (2025). Emerging technologies of single-cell multi-omics. </w:t>
      </w:r>
      <w:r>
        <w:rPr>
          <w:i/>
          <w:iCs/>
        </w:rPr>
        <w:t>Haematologica</w:t>
      </w:r>
      <w:r>
        <w:t xml:space="preserve">, </w:t>
      </w:r>
      <w:r>
        <w:rPr>
          <w:i/>
          <w:iCs/>
        </w:rPr>
        <w:t>110</w:t>
      </w:r>
      <w:r>
        <w:t>(6), 1269–1277. https://doi.org/10.3324/haematol.2022.282557</w:t>
      </w:r>
    </w:p>
    <w:p w14:paraId="71881E77" w14:textId="77777777" w:rsidR="007D0EDA" w:rsidRDefault="007D0EDA" w:rsidP="007D0EDA">
      <w:pPr>
        <w:pStyle w:val="Bibliography"/>
      </w:pPr>
      <w:r>
        <w:t xml:space="preserve">Lateef Junaid, M. A. (2025). Artificial intelligence driven innovations in biochemistry: A review of emerging research frontiers. </w:t>
      </w:r>
      <w:r>
        <w:rPr>
          <w:i/>
          <w:iCs/>
        </w:rPr>
        <w:t>Biomolecules and Biomedicine</w:t>
      </w:r>
      <w:r>
        <w:t xml:space="preserve">, </w:t>
      </w:r>
      <w:r>
        <w:rPr>
          <w:i/>
          <w:iCs/>
        </w:rPr>
        <w:t>25</w:t>
      </w:r>
      <w:r>
        <w:t>(4), 739–750. https://doi.org/10.17305/bb.2024.11537</w:t>
      </w:r>
    </w:p>
    <w:p w14:paraId="0E05B30B" w14:textId="77777777" w:rsidR="007D0EDA" w:rsidRDefault="007D0EDA" w:rsidP="007D0EDA">
      <w:pPr>
        <w:pStyle w:val="Bibliography"/>
      </w:pPr>
      <w:r>
        <w:t xml:space="preserve">Lawal, O. P., Ahmed, N. K., Ilesanmi, T. A., Anthony, G. I., Nwosu, S. N., Ogungbemiro, F. O., Olaide, Z., Adeniyi, M. M., Okoye, U. L., Olufunmilayo, A. M., Christopher, A. A., &amp; Oseghale, I. D. (2024). The </w:t>
      </w:r>
      <w:r>
        <w:lastRenderedPageBreak/>
        <w:t xml:space="preserve">Impact of Antimicrobial Resistance on Cancer Treatment: A Systematic Review of Current Evidence and Future Directions. </w:t>
      </w:r>
      <w:r>
        <w:rPr>
          <w:i/>
          <w:iCs/>
        </w:rPr>
        <w:t>Asian Journal of Research in Medical and Pharmaceutical Sciences</w:t>
      </w:r>
      <w:r>
        <w:t xml:space="preserve">, </w:t>
      </w:r>
      <w:r>
        <w:rPr>
          <w:i/>
          <w:iCs/>
        </w:rPr>
        <w:t>13</w:t>
      </w:r>
      <w:r>
        <w:t>(4), 9–27. https://doi.org/10.9734/ajrimps/2024/v13i4270</w:t>
      </w:r>
    </w:p>
    <w:p w14:paraId="0BB2718F" w14:textId="77777777" w:rsidR="007D0EDA" w:rsidRDefault="007D0EDA" w:rsidP="007D0EDA">
      <w:pPr>
        <w:pStyle w:val="Bibliography"/>
      </w:pPr>
      <w:r>
        <w:t xml:space="preserve">Lee, D., Park, Y., &amp; Kim, S. (2021). Towards multi-omics characterization of tumor heterogeneity: A comprehensive review of statistical and machine learning approaches. </w:t>
      </w:r>
      <w:r>
        <w:rPr>
          <w:i/>
          <w:iCs/>
        </w:rPr>
        <w:t>Briefings in Bioinformatics</w:t>
      </w:r>
      <w:r>
        <w:t xml:space="preserve">, </w:t>
      </w:r>
      <w:r>
        <w:rPr>
          <w:i/>
          <w:iCs/>
        </w:rPr>
        <w:t>22</w:t>
      </w:r>
      <w:r>
        <w:t>(3), bbaa188. https://doi.org/10.1093/bib/bbaa188</w:t>
      </w:r>
    </w:p>
    <w:p w14:paraId="57BB3624" w14:textId="77777777" w:rsidR="007D0EDA" w:rsidRDefault="007D0EDA" w:rsidP="007D0EDA">
      <w:pPr>
        <w:pStyle w:val="Bibliography"/>
      </w:pPr>
      <w:r>
        <w:t xml:space="preserve">Leonetti, A., Sharma, S., Minari, R., Perego, P., Giovannetti, E., &amp; Tiseo, M. (2019). Resistance mechanisms to osimertinib in EGFR-mutated non-small cell lung cancer. </w:t>
      </w:r>
      <w:r>
        <w:rPr>
          <w:i/>
          <w:iCs/>
        </w:rPr>
        <w:t>British Journal of Cancer</w:t>
      </w:r>
      <w:r>
        <w:t xml:space="preserve">, </w:t>
      </w:r>
      <w:r>
        <w:rPr>
          <w:i/>
          <w:iCs/>
        </w:rPr>
        <w:t>121</w:t>
      </w:r>
      <w:r>
        <w:t>(9), 725–737. https://doi.org/10.1038/s41416-019-0573-8</w:t>
      </w:r>
    </w:p>
    <w:p w14:paraId="4418EFF3" w14:textId="77777777" w:rsidR="007D0EDA" w:rsidRDefault="007D0EDA" w:rsidP="007D0EDA">
      <w:pPr>
        <w:pStyle w:val="Bibliography"/>
      </w:pPr>
      <w:r>
        <w:t xml:space="preserve">Li, Y., Lih, T.-S. M., Dhanasekaran, S. M., Mannan, R., Chen, L., Cieslik, M., Wu, Y., Lu, R. J.-H., Clark, D. J., Kołodziejczak, I., Hong, R., Chen, S., Zhao, Y., Chugh, S., Caravan, W., Naser Al Deen, N., Hosseini, N., Newton, C. J., Krug, K., … Zhang, Z. (2023). Histopathologic and proteogenomic heterogeneity reveals features of clear cell renal cell carcinoma aggressiveness. </w:t>
      </w:r>
      <w:r>
        <w:rPr>
          <w:i/>
          <w:iCs/>
        </w:rPr>
        <w:t>Cancer Cell</w:t>
      </w:r>
      <w:r>
        <w:t xml:space="preserve">, </w:t>
      </w:r>
      <w:r>
        <w:rPr>
          <w:i/>
          <w:iCs/>
        </w:rPr>
        <w:t>41</w:t>
      </w:r>
      <w:r>
        <w:t>(1), 139-163.e17. https://doi.org/10.1016/j.ccell.2022.12.001</w:t>
      </w:r>
    </w:p>
    <w:p w14:paraId="0BBA1433" w14:textId="77777777" w:rsidR="007D0EDA" w:rsidRDefault="007D0EDA" w:rsidP="007D0EDA">
      <w:pPr>
        <w:pStyle w:val="Bibliography"/>
      </w:pPr>
      <w:r>
        <w:t xml:space="preserve">Lou, R. N., &amp; Therkildsen, N. O. (2022). Batch effects in population genomic studies with low-coverage whole genome sequencing data: Causes, detection and mitigation. </w:t>
      </w:r>
      <w:r>
        <w:rPr>
          <w:i/>
          <w:iCs/>
        </w:rPr>
        <w:t>Molecular Ecology Resources</w:t>
      </w:r>
      <w:r>
        <w:t xml:space="preserve">, </w:t>
      </w:r>
      <w:r>
        <w:rPr>
          <w:i/>
          <w:iCs/>
        </w:rPr>
        <w:t>22</w:t>
      </w:r>
      <w:r>
        <w:t>(5), 1678–1692. https://doi.org/10.1111/1755-0998.13559</w:t>
      </w:r>
    </w:p>
    <w:p w14:paraId="7CA5909C" w14:textId="77777777" w:rsidR="007D0EDA" w:rsidRDefault="007D0EDA" w:rsidP="007D0EDA">
      <w:pPr>
        <w:pStyle w:val="Bibliography"/>
      </w:pPr>
      <w:r>
        <w:t xml:space="preserve">Luo, Y., Li, Y., Fang, M., Wang, S., Shao, L., Zou, R., Dong, D., Liu, Z., Wei, J., &amp; Tian, J. (2025). Multi-omics synergy in oncology: Unraveling the complex interplay of radiomic, genoproteomic, and pathological data. </w:t>
      </w:r>
      <w:r>
        <w:rPr>
          <w:i/>
          <w:iCs/>
        </w:rPr>
        <w:t>Intelligent Oncology</w:t>
      </w:r>
      <w:r>
        <w:t xml:space="preserve">, </w:t>
      </w:r>
      <w:r>
        <w:rPr>
          <w:i/>
          <w:iCs/>
        </w:rPr>
        <w:t>1</w:t>
      </w:r>
      <w:r>
        <w:t>(1), 17–30. https://doi.org/10.1016/j.intonc.2024.10.003</w:t>
      </w:r>
    </w:p>
    <w:p w14:paraId="76A9B7B1" w14:textId="77777777" w:rsidR="007D0EDA" w:rsidRDefault="007D0EDA" w:rsidP="007D0EDA">
      <w:pPr>
        <w:pStyle w:val="Bibliography"/>
      </w:pPr>
      <w:r>
        <w:t xml:space="preserve">MacDonald, W. J., Purcell, C., Pinho-Schwermann, M., Stubbs, N. M., Srinivasan, P. R., &amp; El-Deiry, W. S. (2025). Heterogeneity in Cancer. </w:t>
      </w:r>
      <w:r>
        <w:rPr>
          <w:i/>
          <w:iCs/>
        </w:rPr>
        <w:t>Cancers</w:t>
      </w:r>
      <w:r>
        <w:t xml:space="preserve">, </w:t>
      </w:r>
      <w:r>
        <w:rPr>
          <w:i/>
          <w:iCs/>
        </w:rPr>
        <w:t>17</w:t>
      </w:r>
      <w:r>
        <w:t>(3), 441. https://doi.org/10.3390/cancers17030441</w:t>
      </w:r>
    </w:p>
    <w:p w14:paraId="67F8E76D" w14:textId="77777777" w:rsidR="007D0EDA" w:rsidRDefault="007D0EDA" w:rsidP="007D0EDA">
      <w:pPr>
        <w:pStyle w:val="Bibliography"/>
      </w:pPr>
      <w:r>
        <w:t xml:space="preserve">Magro, D., Venezia, M., &amp; Rita Balistreri, C. (2024a). The omics technologies and liquid biopsies: Advantages, limitations, applications. </w:t>
      </w:r>
      <w:r>
        <w:rPr>
          <w:i/>
          <w:iCs/>
        </w:rPr>
        <w:t>Medicine in Omics</w:t>
      </w:r>
      <w:r>
        <w:t xml:space="preserve">, </w:t>
      </w:r>
      <w:r>
        <w:rPr>
          <w:i/>
          <w:iCs/>
        </w:rPr>
        <w:t>11</w:t>
      </w:r>
      <w:r>
        <w:t>, 100039. https://doi.org/10.1016/j.meomic.2024.100039</w:t>
      </w:r>
    </w:p>
    <w:p w14:paraId="52D3309D" w14:textId="77777777" w:rsidR="007D0EDA" w:rsidRDefault="007D0EDA" w:rsidP="007D0EDA">
      <w:pPr>
        <w:pStyle w:val="Bibliography"/>
      </w:pPr>
      <w:r>
        <w:t xml:space="preserve">Magro, D., Venezia, M., &amp; Rita Balistreri, C. (2024b). The omics technologies and liquid biopsies: Advantages, limitations, applications. </w:t>
      </w:r>
      <w:r>
        <w:rPr>
          <w:i/>
          <w:iCs/>
        </w:rPr>
        <w:t>Medicine in Omics</w:t>
      </w:r>
      <w:r>
        <w:t xml:space="preserve">, </w:t>
      </w:r>
      <w:r>
        <w:rPr>
          <w:i/>
          <w:iCs/>
        </w:rPr>
        <w:t>11</w:t>
      </w:r>
      <w:r>
        <w:t>, 100039. https://doi.org/10.1016/j.meomic.2024.100039</w:t>
      </w:r>
    </w:p>
    <w:p w14:paraId="0AFCE615" w14:textId="77777777" w:rsidR="007D0EDA" w:rsidRDefault="007D0EDA" w:rsidP="007D0EDA">
      <w:pPr>
        <w:pStyle w:val="Bibliography"/>
      </w:pPr>
      <w:r>
        <w:t xml:space="preserve">Marusyk, A., &amp; Polyak, K. (2010). Tumor heterogeneity: Causes and consequences. </w:t>
      </w:r>
      <w:r>
        <w:rPr>
          <w:i/>
          <w:iCs/>
        </w:rPr>
        <w:t>Biochimica et Biophysica Acta</w:t>
      </w:r>
      <w:r>
        <w:t xml:space="preserve">, </w:t>
      </w:r>
      <w:r>
        <w:rPr>
          <w:i/>
          <w:iCs/>
        </w:rPr>
        <w:t>1805</w:t>
      </w:r>
      <w:r>
        <w:t>(1), 105. https://doi.org/10.1016/j.bbcan.2009.11.002</w:t>
      </w:r>
    </w:p>
    <w:p w14:paraId="23136E73" w14:textId="77777777" w:rsidR="007D0EDA" w:rsidRDefault="007D0EDA" w:rsidP="007D0EDA">
      <w:pPr>
        <w:pStyle w:val="Bibliography"/>
      </w:pPr>
      <w:r>
        <w:t xml:space="preserve">Melariri, H., Els, T., Oyedele, O., Suttle, T. K., Bermosky, K. T., De Freitas, A., Murtaza, A., Moosajee, M., &amp; Melariri, P. E. (2023). Prevalence of locoregional recurrence and survival post-treatment of head and neck cancers in Africa: A systematic review and meta-analysis. </w:t>
      </w:r>
      <w:r>
        <w:rPr>
          <w:i/>
          <w:iCs/>
        </w:rPr>
        <w:t>eClinicalMedicine</w:t>
      </w:r>
      <w:r>
        <w:t xml:space="preserve">, </w:t>
      </w:r>
      <w:r>
        <w:rPr>
          <w:i/>
          <w:iCs/>
        </w:rPr>
        <w:t>59</w:t>
      </w:r>
      <w:r>
        <w:t>, 101964. https://doi.org/10.1016/j.eclinm.2023.101964</w:t>
      </w:r>
    </w:p>
    <w:p w14:paraId="3B80FBCF" w14:textId="77777777" w:rsidR="007D0EDA" w:rsidRDefault="007D0EDA" w:rsidP="007D0EDA">
      <w:pPr>
        <w:pStyle w:val="Bibliography"/>
      </w:pPr>
      <w:r>
        <w:t xml:space="preserve">Menyhárt, O., &amp; Győrffy, B. (2021). Multi-omics approaches in cancer research with applications in tumor subtyping, prognosis, and diagnosis. </w:t>
      </w:r>
      <w:r>
        <w:rPr>
          <w:i/>
          <w:iCs/>
        </w:rPr>
        <w:t>Computational and Structural Biotechnology Journal</w:t>
      </w:r>
      <w:r>
        <w:t xml:space="preserve">, </w:t>
      </w:r>
      <w:r>
        <w:rPr>
          <w:i/>
          <w:iCs/>
        </w:rPr>
        <w:t>19</w:t>
      </w:r>
      <w:r>
        <w:t>, 949–960. https://doi.org/10.1016/j.csbj.2021.01.009</w:t>
      </w:r>
    </w:p>
    <w:p w14:paraId="5E48F95B" w14:textId="77777777" w:rsidR="007D0EDA" w:rsidRDefault="007D0EDA" w:rsidP="007D0EDA">
      <w:pPr>
        <w:pStyle w:val="Bibliography"/>
      </w:pPr>
      <w:r>
        <w:lastRenderedPageBreak/>
        <w:t xml:space="preserve">Molla, G., &amp; Bitew, M. (2024). Revolutionizing Personalized Medicine: Synergy with Multi-Omics Data Generation, Main Hurdles, and Future Perspectives. </w:t>
      </w:r>
      <w:r>
        <w:rPr>
          <w:i/>
          <w:iCs/>
        </w:rPr>
        <w:t>Biomedicines</w:t>
      </w:r>
      <w:r>
        <w:t xml:space="preserve">, </w:t>
      </w:r>
      <w:r>
        <w:rPr>
          <w:i/>
          <w:iCs/>
        </w:rPr>
        <w:t>12</w:t>
      </w:r>
      <w:r>
        <w:t>(12), 2750. https://doi.org/10.3390/biomedicines12122750</w:t>
      </w:r>
    </w:p>
    <w:p w14:paraId="30930B00" w14:textId="77777777" w:rsidR="007D0EDA" w:rsidRDefault="007D0EDA" w:rsidP="007D0EDA">
      <w:pPr>
        <w:pStyle w:val="Bibliography"/>
      </w:pPr>
      <w:r>
        <w:t xml:space="preserve">Nacis, J. S., Kamande, P., Toni, A. T., Mudibo, E., Musyimi, R., Popluechai, S., Dailey-Chwalibóg, T., Voskuijl, W., Dable-Tupas, G., Shahid, A. S. M. S. B., Bascos, N. A., Afroze, F., Chisti, M. J., Singa, B., Ngari, M., Tigoi, C., Mhango, G., Freitag, H., Potani, I., … Gonzales, G. B. (2024). Barriers and enablers to the effective implementation of omics research in low- and middle-income countries. </w:t>
      </w:r>
      <w:r>
        <w:rPr>
          <w:i/>
          <w:iCs/>
        </w:rPr>
        <w:t>Nature Biotechnology</w:t>
      </w:r>
      <w:r>
        <w:t xml:space="preserve">, </w:t>
      </w:r>
      <w:r>
        <w:rPr>
          <w:i/>
          <w:iCs/>
        </w:rPr>
        <w:t>42</w:t>
      </w:r>
      <w:r>
        <w:t>(6), 988–991. https://doi.org/10.1038/s41587-024-02274-4</w:t>
      </w:r>
    </w:p>
    <w:p w14:paraId="1419CAE8" w14:textId="77777777" w:rsidR="007D0EDA" w:rsidRDefault="007D0EDA" w:rsidP="007D0EDA">
      <w:pPr>
        <w:pStyle w:val="Bibliography"/>
      </w:pPr>
      <w:r>
        <w:t xml:space="preserve">Naffaa, M. M., Al-Ewaidat, O. A., Gogia, S., &amp; Begiashvili, V. (2025). Neoantigen-based immunotherapy: Advancing precision medicine in cancer and glioblastoma treatment through discovery and innovation. </w:t>
      </w:r>
      <w:r>
        <w:rPr>
          <w:i/>
          <w:iCs/>
        </w:rPr>
        <w:t>Exploration of Targeted Anti-Tumor Therapy</w:t>
      </w:r>
      <w:r>
        <w:t xml:space="preserve">, </w:t>
      </w:r>
      <w:r>
        <w:rPr>
          <w:i/>
          <w:iCs/>
        </w:rPr>
        <w:t>6</w:t>
      </w:r>
      <w:r>
        <w:t>, 1002313. https://doi.org/10.37349/etat.2025.1002313</w:t>
      </w:r>
    </w:p>
    <w:p w14:paraId="3C89D9D5" w14:textId="77777777" w:rsidR="007D0EDA" w:rsidRDefault="007D0EDA" w:rsidP="007D0EDA">
      <w:pPr>
        <w:pStyle w:val="Bibliography"/>
      </w:pPr>
      <w:r>
        <w:t xml:space="preserve">Okafor, C. E., Egwuatu, E. C., Owosagba, V. A., Njei, T., Adeyemi, B. I., Onuche, P. U. O., Adams, A., Ugwuja, C. B., Chibueze, E. S., &amp; Lawal, O. P. (2025). From Bench to Bedside: Medicinal Chemistry Strategies in the Development of Kinase Inhibitors for Cancer Therapy. </w:t>
      </w:r>
      <w:r>
        <w:rPr>
          <w:i/>
          <w:iCs/>
        </w:rPr>
        <w:t>Journal of Cancer and Tumor International</w:t>
      </w:r>
      <w:r>
        <w:t xml:space="preserve">, </w:t>
      </w:r>
      <w:r>
        <w:rPr>
          <w:i/>
          <w:iCs/>
        </w:rPr>
        <w:t>15</w:t>
      </w:r>
      <w:r>
        <w:t>(2), 79–96. https://doi.org/10.9734/jcti/2025/v15i2294</w:t>
      </w:r>
    </w:p>
    <w:p w14:paraId="0F769906" w14:textId="77777777" w:rsidR="007D0EDA" w:rsidRDefault="007D0EDA" w:rsidP="007D0EDA">
      <w:pPr>
        <w:pStyle w:val="Bibliography"/>
      </w:pPr>
      <w:r>
        <w:t xml:space="preserve">Onwuemelem, L. A., Orobator, E. T., Onyedum, N. N., Chibueze, E. S., Kanu, I., Christopher, A. A., Lawal, O., &amp; Ben-Anioke, B. (2025). Molecular Mechanisms of Clonal Hematopoiesis in Age-Related Cardiovascular Disease and Hematologic Malignancies: Review Article. </w:t>
      </w:r>
      <w:r>
        <w:rPr>
          <w:i/>
          <w:iCs/>
        </w:rPr>
        <w:t>Journal of Pharma Insights and Research</w:t>
      </w:r>
      <w:r>
        <w:t xml:space="preserve">, </w:t>
      </w:r>
      <w:r>
        <w:rPr>
          <w:i/>
          <w:iCs/>
        </w:rPr>
        <w:t>3</w:t>
      </w:r>
      <w:r>
        <w:t>(2), Article 2. https://doi.org/10.69613/gexxbw35</w:t>
      </w:r>
    </w:p>
    <w:p w14:paraId="53D92A15" w14:textId="77777777" w:rsidR="007D0EDA" w:rsidRDefault="007D0EDA" w:rsidP="007D0EDA">
      <w:pPr>
        <w:pStyle w:val="Bibliography"/>
      </w:pPr>
      <w:r>
        <w:t xml:space="preserve">Ortega-Batista, A., Jaén-Alvarado, Y., Moreno-Labrador, D., Gómez, N., García, G., &amp; Guerrero, E. N. (2025). Single-Cell Sequencing: Genomic and Transcriptomic Approaches in Cancer Cell Biology. </w:t>
      </w:r>
      <w:r>
        <w:rPr>
          <w:i/>
          <w:iCs/>
        </w:rPr>
        <w:t>International Journal of Molecular Sciences</w:t>
      </w:r>
      <w:r>
        <w:t xml:space="preserve">, </w:t>
      </w:r>
      <w:r>
        <w:rPr>
          <w:i/>
          <w:iCs/>
        </w:rPr>
        <w:t>26</w:t>
      </w:r>
      <w:r>
        <w:t>(5), Article 5. https://doi.org/10.3390/ijms26052074</w:t>
      </w:r>
    </w:p>
    <w:p w14:paraId="4D305C97" w14:textId="77777777" w:rsidR="007D0EDA" w:rsidRDefault="007D0EDA" w:rsidP="007D0EDA">
      <w:pPr>
        <w:pStyle w:val="Bibliography"/>
      </w:pPr>
      <w:r>
        <w:t xml:space="preserve">Ortmayr, K., Dubuis, S., &amp; Zampieri, M. (2019). Metabolic profiling of cancer cells reveals genome-wide crosstalk between transcriptional regulators and metabolism. </w:t>
      </w:r>
      <w:r>
        <w:rPr>
          <w:i/>
          <w:iCs/>
        </w:rPr>
        <w:t>Nature Communications</w:t>
      </w:r>
      <w:r>
        <w:t xml:space="preserve">, </w:t>
      </w:r>
      <w:r>
        <w:rPr>
          <w:i/>
          <w:iCs/>
        </w:rPr>
        <w:t>10</w:t>
      </w:r>
      <w:r>
        <w:t>(1), 1841. https://doi.org/10.1038/s41467-019-09695-9</w:t>
      </w:r>
    </w:p>
    <w:p w14:paraId="535CFB73" w14:textId="77777777" w:rsidR="007D0EDA" w:rsidRDefault="007D0EDA" w:rsidP="007D0EDA">
      <w:pPr>
        <w:pStyle w:val="Bibliography"/>
      </w:pPr>
      <w:r>
        <w:t xml:space="preserve">Pandey, S., &amp; Yadav, P. (2025). Liquid biopsy in cancer management: Integrating diagnostics and clinical applications. </w:t>
      </w:r>
      <w:r>
        <w:rPr>
          <w:i/>
          <w:iCs/>
        </w:rPr>
        <w:t>Practical Laboratory Medicine</w:t>
      </w:r>
      <w:r>
        <w:t xml:space="preserve">, </w:t>
      </w:r>
      <w:r>
        <w:rPr>
          <w:i/>
          <w:iCs/>
        </w:rPr>
        <w:t>43</w:t>
      </w:r>
      <w:r>
        <w:t>, e00446. https://doi.org/10.1016/j.plabm.2024.e00446</w:t>
      </w:r>
    </w:p>
    <w:p w14:paraId="31274884" w14:textId="77777777" w:rsidR="007D0EDA" w:rsidRDefault="007D0EDA" w:rsidP="007D0EDA">
      <w:pPr>
        <w:pStyle w:val="Bibliography"/>
      </w:pPr>
      <w:r>
        <w:t xml:space="preserve">Proietto, M., Crippa, M., Damiani, C., Pasquale, V., Sacco, E., Vanoni, M., &amp; Gilardi, M. (2023). Tumor heterogeneity: Preclinical models, emerging technologies, and future applications. </w:t>
      </w:r>
      <w:r>
        <w:rPr>
          <w:i/>
          <w:iCs/>
        </w:rPr>
        <w:t>Frontiers in Oncology</w:t>
      </w:r>
      <w:r>
        <w:t xml:space="preserve">, </w:t>
      </w:r>
      <w:r>
        <w:rPr>
          <w:i/>
          <w:iCs/>
        </w:rPr>
        <w:t>13</w:t>
      </w:r>
      <w:r>
        <w:t>, 1164535. https://doi.org/10.3389/fonc.2023.1164535</w:t>
      </w:r>
    </w:p>
    <w:p w14:paraId="4B15AC58" w14:textId="77777777" w:rsidR="007D0EDA" w:rsidRDefault="007D0EDA" w:rsidP="007D0EDA">
      <w:pPr>
        <w:pStyle w:val="Bibliography"/>
      </w:pPr>
      <w:r>
        <w:t xml:space="preserve">Ramón y Cajal, S., Sesé, M., Capdevila, C., Aasen, T., De Mattos-Arruda, L., Diaz-Cano, S. J., Hernández-Losa, J., &amp; Castellví, J. (2020a). Clinical implications of intratumor heterogeneity: Challenges and opportunities. </w:t>
      </w:r>
      <w:r>
        <w:rPr>
          <w:i/>
          <w:iCs/>
        </w:rPr>
        <w:t>Journal of Molecular Medicine (Berlin, Germany)</w:t>
      </w:r>
      <w:r>
        <w:t xml:space="preserve">, </w:t>
      </w:r>
      <w:r>
        <w:rPr>
          <w:i/>
          <w:iCs/>
        </w:rPr>
        <w:t>98</w:t>
      </w:r>
      <w:r>
        <w:t>(2), 161–177. https://doi.org/10.1007/s00109-020-01874-2</w:t>
      </w:r>
    </w:p>
    <w:p w14:paraId="1981953F" w14:textId="77777777" w:rsidR="007D0EDA" w:rsidRDefault="007D0EDA" w:rsidP="007D0EDA">
      <w:pPr>
        <w:pStyle w:val="Bibliography"/>
      </w:pPr>
      <w:r>
        <w:t xml:space="preserve">Ramón y Cajal, S., Sesé, M., Capdevila, C., Aasen, T., De Mattos-Arruda, L., Diaz-Cano, S. J., Hernández-Losa, J., &amp; Castellví, J. (2020b). Clinical implications of intratumor heterogeneity: Challenges and opportunities. </w:t>
      </w:r>
      <w:r>
        <w:rPr>
          <w:i/>
          <w:iCs/>
        </w:rPr>
        <w:t>Journal of Molecular Medicine (Berlin, Germany)</w:t>
      </w:r>
      <w:r>
        <w:t xml:space="preserve">, </w:t>
      </w:r>
      <w:r>
        <w:rPr>
          <w:i/>
          <w:iCs/>
        </w:rPr>
        <w:t>98</w:t>
      </w:r>
      <w:r>
        <w:t>(2), 161–177. https://doi.org/10.1007/s00109-020-01874-2</w:t>
      </w:r>
    </w:p>
    <w:p w14:paraId="1B474D3C" w14:textId="77777777" w:rsidR="007D0EDA" w:rsidRDefault="007D0EDA" w:rsidP="007D0EDA">
      <w:pPr>
        <w:pStyle w:val="Bibliography"/>
      </w:pPr>
      <w:r>
        <w:lastRenderedPageBreak/>
        <w:t xml:space="preserve">Roszkowska, M. (2024). Multilevel Mechanisms of Cancer Drug Resistance. </w:t>
      </w:r>
      <w:r>
        <w:rPr>
          <w:i/>
          <w:iCs/>
        </w:rPr>
        <w:t>International Journal of Molecular Sciences</w:t>
      </w:r>
      <w:r>
        <w:t xml:space="preserve">, </w:t>
      </w:r>
      <w:r>
        <w:rPr>
          <w:i/>
          <w:iCs/>
        </w:rPr>
        <w:t>25</w:t>
      </w:r>
      <w:r>
        <w:t>(22), Article 22. https://doi.org/10.3390/ijms252212402</w:t>
      </w:r>
    </w:p>
    <w:p w14:paraId="196AA4E1" w14:textId="77777777" w:rsidR="007D0EDA" w:rsidRDefault="007D0EDA" w:rsidP="007D0EDA">
      <w:pPr>
        <w:pStyle w:val="Bibliography"/>
      </w:pPr>
      <w:r>
        <w:t xml:space="preserve">Rozera, T., Pasolli, E., Segata, N., &amp; Ianiro, G. (2025). Machine Learning and Artificial Intelligence in the Multi-Omics Approach to Gut Microbiota. </w:t>
      </w:r>
      <w:r>
        <w:rPr>
          <w:i/>
          <w:iCs/>
        </w:rPr>
        <w:t>Gastroenterology</w:t>
      </w:r>
      <w:r>
        <w:t>. https://doi.org/10.1053/j.gastro.2025.02.035</w:t>
      </w:r>
    </w:p>
    <w:p w14:paraId="2B441A6A" w14:textId="77777777" w:rsidR="007D0EDA" w:rsidRDefault="007D0EDA" w:rsidP="007D0EDA">
      <w:pPr>
        <w:pStyle w:val="Bibliography"/>
      </w:pPr>
      <w:r>
        <w:t xml:space="preserve">Saliba, A., Du, Y., Feng, T., &amp; Garmire, L. (2024). Multi-Omics Integration in Nephrology: Advances, Challenges, and Future Directions. </w:t>
      </w:r>
      <w:r>
        <w:rPr>
          <w:i/>
          <w:iCs/>
        </w:rPr>
        <w:t>Seminars in Nephrology</w:t>
      </w:r>
      <w:r>
        <w:t xml:space="preserve">, </w:t>
      </w:r>
      <w:r>
        <w:rPr>
          <w:i/>
          <w:iCs/>
        </w:rPr>
        <w:t>44</w:t>
      </w:r>
      <w:r>
        <w:t>(6), 151584. https://doi.org/10.1016/j.semnephrol.2025.151584</w:t>
      </w:r>
    </w:p>
    <w:p w14:paraId="6EB623B4" w14:textId="77777777" w:rsidR="007D0EDA" w:rsidRDefault="007D0EDA" w:rsidP="007D0EDA">
      <w:pPr>
        <w:pStyle w:val="Bibliography"/>
      </w:pPr>
      <w:r>
        <w:t xml:space="preserve">Sari, G., &amp; Rock, K. L. (2023). TUMOR IMMUNE EVASION THROUGH LOSS OF MHC CLASS I ANTIGEN PRESENTATION. </w:t>
      </w:r>
      <w:r>
        <w:rPr>
          <w:i/>
          <w:iCs/>
        </w:rPr>
        <w:t>Current Opinion in Immunology</w:t>
      </w:r>
      <w:r>
        <w:t xml:space="preserve">, </w:t>
      </w:r>
      <w:r>
        <w:rPr>
          <w:i/>
          <w:iCs/>
        </w:rPr>
        <w:t>83</w:t>
      </w:r>
      <w:r>
        <w:t>, 102329. https://doi.org/10.1016/j.coi.2023.102329</w:t>
      </w:r>
    </w:p>
    <w:p w14:paraId="5C84B05E" w14:textId="77777777" w:rsidR="007D0EDA" w:rsidRDefault="007D0EDA" w:rsidP="007D0EDA">
      <w:pPr>
        <w:pStyle w:val="Bibliography"/>
      </w:pPr>
      <w:r>
        <w:t xml:space="preserve">Satam, H., Joshi, K., Mangrolia, U., Waghoo, S., Zaidi, G., Rawool, S., Thakare, R. P., Banday, S., Mishra, A. K., Das, G., &amp; Malonia, S. K. (2023a). Next-Generation Sequencing Technology: Current Trends and Advancements. </w:t>
      </w:r>
      <w:r>
        <w:rPr>
          <w:i/>
          <w:iCs/>
        </w:rPr>
        <w:t>Biology</w:t>
      </w:r>
      <w:r>
        <w:t xml:space="preserve">, </w:t>
      </w:r>
      <w:r>
        <w:rPr>
          <w:i/>
          <w:iCs/>
        </w:rPr>
        <w:t>12</w:t>
      </w:r>
      <w:r>
        <w:t>(7), 997. https://doi.org/10.3390/biology12070997</w:t>
      </w:r>
    </w:p>
    <w:p w14:paraId="696EE947" w14:textId="77777777" w:rsidR="007D0EDA" w:rsidRDefault="007D0EDA" w:rsidP="007D0EDA">
      <w:pPr>
        <w:pStyle w:val="Bibliography"/>
      </w:pPr>
      <w:r>
        <w:t xml:space="preserve">Satam, H., Joshi, K., Mangrolia, U., Waghoo, S., Zaidi, G., Rawool, S., Thakare, R. P., Banday, S., Mishra, A. K., Das, G., &amp; Malonia, S. K. (2023b). Next-Generation Sequencing Technology: Current Trends and Advancements. </w:t>
      </w:r>
      <w:r>
        <w:rPr>
          <w:i/>
          <w:iCs/>
        </w:rPr>
        <w:t>Biology</w:t>
      </w:r>
      <w:r>
        <w:t xml:space="preserve">, </w:t>
      </w:r>
      <w:r>
        <w:rPr>
          <w:i/>
          <w:iCs/>
        </w:rPr>
        <w:t>12</w:t>
      </w:r>
      <w:r>
        <w:t>(7), 997. https://doi.org/10.3390/biology12070997</w:t>
      </w:r>
    </w:p>
    <w:p w14:paraId="5EF82E8B" w14:textId="77777777" w:rsidR="007D0EDA" w:rsidRDefault="007D0EDA" w:rsidP="007D0EDA">
      <w:pPr>
        <w:pStyle w:val="Bibliography"/>
      </w:pPr>
      <w:r>
        <w:t xml:space="preserve">Schiliro, C., &amp; Firestein, B. L. (2021). Mechanisms of Metabolic Reprogramming in Cancer Cells Supporting Enhanced Growth and Proliferation. </w:t>
      </w:r>
      <w:r>
        <w:rPr>
          <w:i/>
          <w:iCs/>
        </w:rPr>
        <w:t>Cells</w:t>
      </w:r>
      <w:r>
        <w:t xml:space="preserve">, </w:t>
      </w:r>
      <w:r>
        <w:rPr>
          <w:i/>
          <w:iCs/>
        </w:rPr>
        <w:t>10</w:t>
      </w:r>
      <w:r>
        <w:t>(5), 1056. https://doi.org/10.3390/cells10051056</w:t>
      </w:r>
    </w:p>
    <w:p w14:paraId="721E7DF5" w14:textId="77777777" w:rsidR="007D0EDA" w:rsidRDefault="007D0EDA" w:rsidP="007D0EDA">
      <w:pPr>
        <w:pStyle w:val="Bibliography"/>
      </w:pPr>
      <w:r>
        <w:t xml:space="preserve">Shaffer, J. G., Mather, F. J., Wele, M., Li, J., Tangara, C. O., Kassogue, Y., Srivastav, S. K., Thiero, O., Diakite, M., Sangare, M., Dabitao, D., Toure, M., Djimde, A. A., Traore, S., Diakite, B., Coulibaly, M. B., Liu, Y., Lacey, M., Lefante, J. J., … Doumbia, S. O. (2019). Expanding Research Capacity in Sub-Saharan Africa Through Informatics, Bioinformatics, and Data Science Training Programs in Mali. </w:t>
      </w:r>
      <w:r>
        <w:rPr>
          <w:i/>
          <w:iCs/>
        </w:rPr>
        <w:t>Frontiers in Genetics</w:t>
      </w:r>
      <w:r>
        <w:t xml:space="preserve">, </w:t>
      </w:r>
      <w:r>
        <w:rPr>
          <w:i/>
          <w:iCs/>
        </w:rPr>
        <w:t>10</w:t>
      </w:r>
      <w:r>
        <w:t>. https://doi.org/10.3389/fgene.2019.00331</w:t>
      </w:r>
    </w:p>
    <w:p w14:paraId="16D31CB0" w14:textId="77777777" w:rsidR="007D0EDA" w:rsidRDefault="007D0EDA" w:rsidP="007D0EDA">
      <w:pPr>
        <w:pStyle w:val="Bibliography"/>
      </w:pPr>
      <w:r>
        <w:t xml:space="preserve">Sheynkman, G. M., Shortreed, M. R., Cesnik, A. J., &amp; Smith, L. M. (2016). Proteogenomics: Integrating Next-Generation Sequencing and Mass Spectrometry to Characterize Human Proteomic Variation. </w:t>
      </w:r>
      <w:r>
        <w:rPr>
          <w:i/>
          <w:iCs/>
        </w:rPr>
        <w:t>Annual Review of Analytical Chemistry (Palo Alto, Calif.)</w:t>
      </w:r>
      <w:r>
        <w:t xml:space="preserve">, </w:t>
      </w:r>
      <w:r>
        <w:rPr>
          <w:i/>
          <w:iCs/>
        </w:rPr>
        <w:t>9</w:t>
      </w:r>
      <w:r>
        <w:t>(1), 521–545. https://doi.org/10.1146/annurev-anchem-071015-041722</w:t>
      </w:r>
    </w:p>
    <w:p w14:paraId="3C004901" w14:textId="77777777" w:rsidR="007D0EDA" w:rsidRDefault="007D0EDA" w:rsidP="007D0EDA">
      <w:pPr>
        <w:pStyle w:val="Bibliography"/>
      </w:pPr>
      <w:r>
        <w:t xml:space="preserve">Sun, G., Li, Z., Rong, D., Zhang, H., Shi, X., Yang, W., Zheng, W., Sun, G., Wu, F., Cao, H., Tang, W., &amp; Sun, Y. (2021). Single-cell RNA sequencing in cancer: Applications, advances, and emerging challenges. </w:t>
      </w:r>
      <w:r>
        <w:rPr>
          <w:i/>
          <w:iCs/>
        </w:rPr>
        <w:t>Molecular Therapy Oncolytics</w:t>
      </w:r>
      <w:r>
        <w:t xml:space="preserve">, </w:t>
      </w:r>
      <w:r>
        <w:rPr>
          <w:i/>
          <w:iCs/>
        </w:rPr>
        <w:t>21</w:t>
      </w:r>
      <w:r>
        <w:t>, 183–206. https://doi.org/10.1016/j.omto.2021.04.001</w:t>
      </w:r>
    </w:p>
    <w:p w14:paraId="71FD86A0" w14:textId="77777777" w:rsidR="007D0EDA" w:rsidRDefault="007D0EDA" w:rsidP="007D0EDA">
      <w:pPr>
        <w:pStyle w:val="Bibliography"/>
      </w:pPr>
      <w:r>
        <w:t xml:space="preserve">Sun, R., Hu, Z., &amp; Curtis, C. (2018). Big Bang Tumor Growth and Clonal Evolution. </w:t>
      </w:r>
      <w:r>
        <w:rPr>
          <w:i/>
          <w:iCs/>
        </w:rPr>
        <w:t>Cold Spring Harbor Perspectives in Medicine</w:t>
      </w:r>
      <w:r>
        <w:t xml:space="preserve">, </w:t>
      </w:r>
      <w:r>
        <w:rPr>
          <w:i/>
          <w:iCs/>
        </w:rPr>
        <w:t>8</w:t>
      </w:r>
      <w:r>
        <w:t>(5), a028381. https://doi.org/10.1101/cshperspect.a028381</w:t>
      </w:r>
    </w:p>
    <w:p w14:paraId="26228B1B" w14:textId="77777777" w:rsidR="007D0EDA" w:rsidRDefault="007D0EDA" w:rsidP="007D0EDA">
      <w:pPr>
        <w:pStyle w:val="Bibliography"/>
      </w:pPr>
      <w:r>
        <w:t xml:space="preserve">Teleanu, M.-V., Schneider, A., Ball, C. R., Leber, M. F., Stange, C., Krieghoff-Henning, E., Beck, K., Heilig, C. E., Kreutzfeldt, S., Kuster, B., Lipka, D. B., &amp; Fröhling, S. (2025). Celebrating Ulrik Ringborg: Multi-Omics-Based Patient Stratification for Precision Cancer Treatment. </w:t>
      </w:r>
      <w:r>
        <w:rPr>
          <w:i/>
          <w:iCs/>
        </w:rPr>
        <w:t>Biomolecules</w:t>
      </w:r>
      <w:r>
        <w:t xml:space="preserve">, </w:t>
      </w:r>
      <w:r>
        <w:rPr>
          <w:i/>
          <w:iCs/>
        </w:rPr>
        <w:t>15</w:t>
      </w:r>
      <w:r>
        <w:t>(5), 693. https://doi.org/10.3390/biom15050693</w:t>
      </w:r>
    </w:p>
    <w:p w14:paraId="163F62B4" w14:textId="77777777" w:rsidR="007D0EDA" w:rsidRDefault="007D0EDA" w:rsidP="007D0EDA">
      <w:pPr>
        <w:pStyle w:val="Bibliography"/>
      </w:pPr>
      <w:r>
        <w:lastRenderedPageBreak/>
        <w:t xml:space="preserve">Wang, M., Yu, F., &amp; Li, P. (2023). Intratumor microbiota in cancer pathogenesis and immunity: From mechanisms of action to therapeutic opportunities. </w:t>
      </w:r>
      <w:r>
        <w:rPr>
          <w:i/>
          <w:iCs/>
        </w:rPr>
        <w:t>Frontiers in Immunology</w:t>
      </w:r>
      <w:r>
        <w:t xml:space="preserve">, </w:t>
      </w:r>
      <w:r>
        <w:rPr>
          <w:i/>
          <w:iCs/>
        </w:rPr>
        <w:t>14</w:t>
      </w:r>
      <w:r>
        <w:t>. https://doi.org/10.3389/fimmu.2023.1269054</w:t>
      </w:r>
    </w:p>
    <w:p w14:paraId="18BA4957" w14:textId="77777777" w:rsidR="007D0EDA" w:rsidRDefault="007D0EDA" w:rsidP="007D0EDA">
      <w:pPr>
        <w:pStyle w:val="Bibliography"/>
      </w:pPr>
      <w:r>
        <w:t xml:space="preserve">Wang, R., Hastings, W. J., Saliba, J. G., Bao, D., Huang, Y., Maity, S., Kamal Ahmad, O. M., Hu, L., Wang, S., Fan, J., &amp; Ning, B. (2025). Applications of Nanotechnology for Spatial Omics: Biological Structures and Functions at Nanoscale Resolution. </w:t>
      </w:r>
      <w:r>
        <w:rPr>
          <w:i/>
          <w:iCs/>
        </w:rPr>
        <w:t>ACS Nano</w:t>
      </w:r>
      <w:r>
        <w:t xml:space="preserve">, </w:t>
      </w:r>
      <w:r>
        <w:rPr>
          <w:i/>
          <w:iCs/>
        </w:rPr>
        <w:t>19</w:t>
      </w:r>
      <w:r>
        <w:t>(1), 73–100. https://doi.org/10.1021/acsnano.4c11505</w:t>
      </w:r>
    </w:p>
    <w:p w14:paraId="3D9C600E" w14:textId="77777777" w:rsidR="007D0EDA" w:rsidRDefault="007D0EDA" w:rsidP="007D0EDA">
      <w:pPr>
        <w:pStyle w:val="Bibliography"/>
      </w:pPr>
      <w:r>
        <w:t xml:space="preserve">Wörheide, M. A., Krumsiek, J., Kastenmüller, G., &amp; Arnold, M. (2021). Multi-omics integration in biomedical research – A metabolomics-centric review. </w:t>
      </w:r>
      <w:r>
        <w:rPr>
          <w:i/>
          <w:iCs/>
        </w:rPr>
        <w:t>Analytica Chimica Acta</w:t>
      </w:r>
      <w:r>
        <w:t xml:space="preserve">, </w:t>
      </w:r>
      <w:r>
        <w:rPr>
          <w:i/>
          <w:iCs/>
        </w:rPr>
        <w:t>1141</w:t>
      </w:r>
      <w:r>
        <w:t>, 144–162. https://doi.org/10.1016/j.aca.2020.10.038</w:t>
      </w:r>
    </w:p>
    <w:p w14:paraId="331DBD92" w14:textId="77777777" w:rsidR="007D0EDA" w:rsidRDefault="007D0EDA" w:rsidP="007D0EDA">
      <w:pPr>
        <w:pStyle w:val="Bibliography"/>
      </w:pPr>
      <w:r>
        <w:t xml:space="preserve">Wu, Y., &amp; Xie, L. (2025). AI-driven multi-omics integration for multi-scale predictive modeling of genotype-environment-phenotype relationships. </w:t>
      </w:r>
      <w:r>
        <w:rPr>
          <w:i/>
          <w:iCs/>
        </w:rPr>
        <w:t>Computational and Structural Biotechnology Journal</w:t>
      </w:r>
      <w:r>
        <w:t xml:space="preserve">, </w:t>
      </w:r>
      <w:r>
        <w:rPr>
          <w:i/>
          <w:iCs/>
        </w:rPr>
        <w:t>27</w:t>
      </w:r>
      <w:r>
        <w:t>, 265–277. https://doi.org/10.1016/j.csbj.2024.12.030</w:t>
      </w:r>
    </w:p>
    <w:p w14:paraId="16FE64A1" w14:textId="77777777" w:rsidR="007D0EDA" w:rsidRDefault="007D0EDA" w:rsidP="007D0EDA">
      <w:pPr>
        <w:pStyle w:val="Bibliography"/>
      </w:pPr>
      <w:r>
        <w:t xml:space="preserve">Yuan, Z., Li, Y., Zhang, S., Wang, X., Dou, H., Yu, X., Zhang, Z., Yang, S., &amp; Xiao, M. (2023). Extracellular matrix remodeling in tumor progression and immune escape: From mechanisms to treatments. </w:t>
      </w:r>
      <w:r>
        <w:rPr>
          <w:i/>
          <w:iCs/>
        </w:rPr>
        <w:t>Molecular Cancer</w:t>
      </w:r>
      <w:r>
        <w:t xml:space="preserve">, </w:t>
      </w:r>
      <w:r>
        <w:rPr>
          <w:i/>
          <w:iCs/>
        </w:rPr>
        <w:t>22</w:t>
      </w:r>
      <w:r>
        <w:t>, 48. https://doi.org/10.1186/s12943-023-01744-8</w:t>
      </w:r>
    </w:p>
    <w:p w14:paraId="38673F1E" w14:textId="77777777" w:rsidR="007D0EDA" w:rsidRDefault="007D0EDA" w:rsidP="007D0EDA">
      <w:pPr>
        <w:pStyle w:val="Bibliography"/>
      </w:pPr>
      <w:r>
        <w:t xml:space="preserve">Zhang, Y., &amp; Wang, W. (2025). Advances in tumor subclone formation and mechanisms of growth and invasion. </w:t>
      </w:r>
      <w:r>
        <w:rPr>
          <w:i/>
          <w:iCs/>
        </w:rPr>
        <w:t>Journal of Translational Medicine</w:t>
      </w:r>
      <w:r>
        <w:t xml:space="preserve">, </w:t>
      </w:r>
      <w:r>
        <w:rPr>
          <w:i/>
          <w:iCs/>
        </w:rPr>
        <w:t>23</w:t>
      </w:r>
      <w:r>
        <w:t>, 461. https://doi.org/10.1186/s12967-025-06486-3</w:t>
      </w:r>
    </w:p>
    <w:p w14:paraId="6BED3870" w14:textId="77777777" w:rsidR="007D0EDA" w:rsidRDefault="007D0EDA" w:rsidP="007D0EDA">
      <w:pPr>
        <w:pStyle w:val="Bibliography"/>
      </w:pPr>
      <w:r>
        <w:t xml:space="preserve">Zhu, Z., Shen, J., Ho, P. C.-L., Hu, Y., Ma, Z., &amp; Wang, L. (2025). Transforming cancer treatment: Integrating patient-derived organoids and CRISPR screening for precision medicine. </w:t>
      </w:r>
      <w:r>
        <w:rPr>
          <w:i/>
          <w:iCs/>
        </w:rPr>
        <w:t>Frontiers in Pharmacology</w:t>
      </w:r>
      <w:r>
        <w:t xml:space="preserve">, </w:t>
      </w:r>
      <w:r>
        <w:rPr>
          <w:i/>
          <w:iCs/>
        </w:rPr>
        <w:t>16</w:t>
      </w:r>
      <w:r>
        <w:t>. https://doi.org/10.3389/fphar.2025.1563198</w:t>
      </w:r>
    </w:p>
    <w:p w14:paraId="422824ED" w14:textId="071BCA3C" w:rsidR="00A15391" w:rsidRPr="00335E34" w:rsidRDefault="00A15391" w:rsidP="00335E34">
      <w:pPr>
        <w:pStyle w:val="NormalWeb"/>
        <w:jc w:val="both"/>
        <w:rPr>
          <w:b/>
          <w:bCs/>
        </w:rPr>
      </w:pPr>
      <w:r>
        <w:rPr>
          <w:b/>
          <w:bCs/>
        </w:rPr>
        <w:fldChar w:fldCharType="end"/>
      </w:r>
    </w:p>
    <w:sectPr w:rsidR="00A15391" w:rsidRPr="00335E34">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2633A" w14:textId="77777777" w:rsidR="00A32F54" w:rsidRDefault="00A32F54" w:rsidP="00653D29">
      <w:pPr>
        <w:spacing w:after="0" w:line="240" w:lineRule="auto"/>
      </w:pPr>
      <w:r>
        <w:separator/>
      </w:r>
    </w:p>
  </w:endnote>
  <w:endnote w:type="continuationSeparator" w:id="0">
    <w:p w14:paraId="7A1B8050" w14:textId="77777777" w:rsidR="00A32F54" w:rsidRDefault="00A32F54" w:rsidP="00653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A6DA1" w14:textId="77777777" w:rsidR="008C2F9E" w:rsidRDefault="008C2F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6A7F2" w14:textId="77777777" w:rsidR="008C2F9E" w:rsidRDefault="008C2F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A085A" w14:textId="77777777" w:rsidR="008C2F9E" w:rsidRDefault="008C2F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D491D" w14:textId="77777777" w:rsidR="00A32F54" w:rsidRDefault="00A32F54" w:rsidP="00653D29">
      <w:pPr>
        <w:spacing w:after="0" w:line="240" w:lineRule="auto"/>
      </w:pPr>
      <w:r>
        <w:separator/>
      </w:r>
    </w:p>
  </w:footnote>
  <w:footnote w:type="continuationSeparator" w:id="0">
    <w:p w14:paraId="44019091" w14:textId="77777777" w:rsidR="00A32F54" w:rsidRDefault="00A32F54" w:rsidP="00653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35723" w14:textId="15C9CDB0" w:rsidR="008C2F9E" w:rsidRDefault="008C2F9E">
    <w:pPr>
      <w:pStyle w:val="Header"/>
    </w:pPr>
    <w:r>
      <w:rPr>
        <w:noProof/>
      </w:rPr>
      <w:pict w14:anchorId="386500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8101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1CA37" w14:textId="3D00AD4D" w:rsidR="008C2F9E" w:rsidRDefault="008C2F9E">
    <w:pPr>
      <w:pStyle w:val="Header"/>
    </w:pPr>
    <w:r>
      <w:rPr>
        <w:noProof/>
      </w:rPr>
      <w:pict w14:anchorId="7AC6F0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8101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763ED" w14:textId="3D875E1E" w:rsidR="008C2F9E" w:rsidRDefault="008C2F9E">
    <w:pPr>
      <w:pStyle w:val="Header"/>
    </w:pPr>
    <w:r>
      <w:rPr>
        <w:noProof/>
      </w:rPr>
      <w:pict w14:anchorId="67C64D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8101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E53C3"/>
    <w:multiLevelType w:val="hybridMultilevel"/>
    <w:tmpl w:val="88242D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F695191"/>
    <w:multiLevelType w:val="hybridMultilevel"/>
    <w:tmpl w:val="8182E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5754714">
    <w:abstractNumId w:val="1"/>
  </w:num>
  <w:num w:numId="2" w16cid:durableId="265037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978"/>
    <w:rsid w:val="00030FA4"/>
    <w:rsid w:val="0006600D"/>
    <w:rsid w:val="000B6060"/>
    <w:rsid w:val="000B67E1"/>
    <w:rsid w:val="0013163B"/>
    <w:rsid w:val="00140F70"/>
    <w:rsid w:val="00143015"/>
    <w:rsid w:val="001D7FE1"/>
    <w:rsid w:val="001E2A18"/>
    <w:rsid w:val="002257A9"/>
    <w:rsid w:val="00234A90"/>
    <w:rsid w:val="002E5628"/>
    <w:rsid w:val="00335E34"/>
    <w:rsid w:val="00337A83"/>
    <w:rsid w:val="0037258F"/>
    <w:rsid w:val="003A2AF9"/>
    <w:rsid w:val="003E5C0E"/>
    <w:rsid w:val="00426978"/>
    <w:rsid w:val="004455FA"/>
    <w:rsid w:val="00457C54"/>
    <w:rsid w:val="004C142E"/>
    <w:rsid w:val="0058553A"/>
    <w:rsid w:val="005947BD"/>
    <w:rsid w:val="005B093D"/>
    <w:rsid w:val="005B17DA"/>
    <w:rsid w:val="0062267F"/>
    <w:rsid w:val="00653D29"/>
    <w:rsid w:val="007D0EDA"/>
    <w:rsid w:val="007D3C03"/>
    <w:rsid w:val="008C2F9E"/>
    <w:rsid w:val="0097115A"/>
    <w:rsid w:val="009B75DF"/>
    <w:rsid w:val="00A06549"/>
    <w:rsid w:val="00A15391"/>
    <w:rsid w:val="00A32F54"/>
    <w:rsid w:val="00A3597A"/>
    <w:rsid w:val="00A7143A"/>
    <w:rsid w:val="00A747C6"/>
    <w:rsid w:val="00AA0E01"/>
    <w:rsid w:val="00AC3913"/>
    <w:rsid w:val="00B422ED"/>
    <w:rsid w:val="00BB22CB"/>
    <w:rsid w:val="00C06D7B"/>
    <w:rsid w:val="00C269A5"/>
    <w:rsid w:val="00C5078D"/>
    <w:rsid w:val="00C9456A"/>
    <w:rsid w:val="00CD3770"/>
    <w:rsid w:val="00D505B8"/>
    <w:rsid w:val="00D72D87"/>
    <w:rsid w:val="00D96E67"/>
    <w:rsid w:val="00DA218E"/>
    <w:rsid w:val="00E76D97"/>
    <w:rsid w:val="00E8724D"/>
    <w:rsid w:val="00ED29A3"/>
    <w:rsid w:val="00F036B5"/>
    <w:rsid w:val="00F03BC3"/>
    <w:rsid w:val="00F94A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54BA3C"/>
  <w15:chartTrackingRefBased/>
  <w15:docId w15:val="{9F6342C4-FF85-4D60-BDCD-04CA6A8AE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42697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26978"/>
    <w:rPr>
      <w:rFonts w:ascii="Times New Roman" w:eastAsia="Times New Roman" w:hAnsi="Times New Roman" w:cs="Times New Roman"/>
      <w:b/>
      <w:bCs/>
      <w:sz w:val="27"/>
      <w:szCs w:val="27"/>
    </w:rPr>
  </w:style>
  <w:style w:type="character" w:styleId="Strong">
    <w:name w:val="Strong"/>
    <w:basedOn w:val="DefaultParagraphFont"/>
    <w:uiPriority w:val="22"/>
    <w:qFormat/>
    <w:rsid w:val="00426978"/>
    <w:rPr>
      <w:b/>
      <w:bCs/>
    </w:rPr>
  </w:style>
  <w:style w:type="paragraph" w:styleId="NormalWeb">
    <w:name w:val="Normal (Web)"/>
    <w:basedOn w:val="Normal"/>
    <w:uiPriority w:val="99"/>
    <w:unhideWhenUsed/>
    <w:rsid w:val="0042697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2267F"/>
    <w:pPr>
      <w:ind w:left="720"/>
      <w:contextualSpacing/>
    </w:pPr>
  </w:style>
  <w:style w:type="paragraph" w:styleId="FootnoteText">
    <w:name w:val="footnote text"/>
    <w:basedOn w:val="Normal"/>
    <w:link w:val="FootnoteTextChar"/>
    <w:uiPriority w:val="99"/>
    <w:semiHidden/>
    <w:unhideWhenUsed/>
    <w:rsid w:val="00653D2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3D29"/>
    <w:rPr>
      <w:sz w:val="20"/>
      <w:szCs w:val="20"/>
    </w:rPr>
  </w:style>
  <w:style w:type="character" w:styleId="FootnoteReference">
    <w:name w:val="footnote reference"/>
    <w:basedOn w:val="DefaultParagraphFont"/>
    <w:uiPriority w:val="99"/>
    <w:semiHidden/>
    <w:unhideWhenUsed/>
    <w:rsid w:val="00653D29"/>
    <w:rPr>
      <w:vertAlign w:val="superscript"/>
    </w:rPr>
  </w:style>
  <w:style w:type="paragraph" w:styleId="Bibliography">
    <w:name w:val="Bibliography"/>
    <w:basedOn w:val="Normal"/>
    <w:next w:val="Normal"/>
    <w:uiPriority w:val="37"/>
    <w:unhideWhenUsed/>
    <w:rsid w:val="00A15391"/>
  </w:style>
  <w:style w:type="character" w:styleId="Hyperlink">
    <w:name w:val="Hyperlink"/>
    <w:basedOn w:val="DefaultParagraphFont"/>
    <w:uiPriority w:val="99"/>
    <w:unhideWhenUsed/>
    <w:rsid w:val="0037258F"/>
    <w:rPr>
      <w:color w:val="0563C1" w:themeColor="hyperlink"/>
      <w:u w:val="single"/>
    </w:rPr>
  </w:style>
  <w:style w:type="character" w:styleId="UnresolvedMention">
    <w:name w:val="Unresolved Mention"/>
    <w:basedOn w:val="DefaultParagraphFont"/>
    <w:uiPriority w:val="99"/>
    <w:semiHidden/>
    <w:unhideWhenUsed/>
    <w:rsid w:val="0037258F"/>
    <w:rPr>
      <w:color w:val="605E5C"/>
      <w:shd w:val="clear" w:color="auto" w:fill="E1DFDD"/>
    </w:rPr>
  </w:style>
  <w:style w:type="paragraph" w:styleId="Header">
    <w:name w:val="header"/>
    <w:basedOn w:val="Normal"/>
    <w:link w:val="HeaderChar"/>
    <w:uiPriority w:val="99"/>
    <w:unhideWhenUsed/>
    <w:rsid w:val="008C2F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2F9E"/>
  </w:style>
  <w:style w:type="paragraph" w:styleId="Footer">
    <w:name w:val="footer"/>
    <w:basedOn w:val="Normal"/>
    <w:link w:val="FooterChar"/>
    <w:uiPriority w:val="99"/>
    <w:unhideWhenUsed/>
    <w:rsid w:val="008C2F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2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10208">
      <w:bodyDiv w:val="1"/>
      <w:marLeft w:val="0"/>
      <w:marRight w:val="0"/>
      <w:marTop w:val="0"/>
      <w:marBottom w:val="0"/>
      <w:divBdr>
        <w:top w:val="none" w:sz="0" w:space="0" w:color="auto"/>
        <w:left w:val="none" w:sz="0" w:space="0" w:color="auto"/>
        <w:bottom w:val="none" w:sz="0" w:space="0" w:color="auto"/>
        <w:right w:val="none" w:sz="0" w:space="0" w:color="auto"/>
      </w:divBdr>
    </w:div>
    <w:div w:id="82579549">
      <w:bodyDiv w:val="1"/>
      <w:marLeft w:val="0"/>
      <w:marRight w:val="0"/>
      <w:marTop w:val="0"/>
      <w:marBottom w:val="0"/>
      <w:divBdr>
        <w:top w:val="none" w:sz="0" w:space="0" w:color="auto"/>
        <w:left w:val="none" w:sz="0" w:space="0" w:color="auto"/>
        <w:bottom w:val="none" w:sz="0" w:space="0" w:color="auto"/>
        <w:right w:val="none" w:sz="0" w:space="0" w:color="auto"/>
      </w:divBdr>
    </w:div>
    <w:div w:id="142091641">
      <w:bodyDiv w:val="1"/>
      <w:marLeft w:val="0"/>
      <w:marRight w:val="0"/>
      <w:marTop w:val="0"/>
      <w:marBottom w:val="0"/>
      <w:divBdr>
        <w:top w:val="none" w:sz="0" w:space="0" w:color="auto"/>
        <w:left w:val="none" w:sz="0" w:space="0" w:color="auto"/>
        <w:bottom w:val="none" w:sz="0" w:space="0" w:color="auto"/>
        <w:right w:val="none" w:sz="0" w:space="0" w:color="auto"/>
      </w:divBdr>
    </w:div>
    <w:div w:id="149641812">
      <w:bodyDiv w:val="1"/>
      <w:marLeft w:val="0"/>
      <w:marRight w:val="0"/>
      <w:marTop w:val="0"/>
      <w:marBottom w:val="0"/>
      <w:divBdr>
        <w:top w:val="none" w:sz="0" w:space="0" w:color="auto"/>
        <w:left w:val="none" w:sz="0" w:space="0" w:color="auto"/>
        <w:bottom w:val="none" w:sz="0" w:space="0" w:color="auto"/>
        <w:right w:val="none" w:sz="0" w:space="0" w:color="auto"/>
      </w:divBdr>
    </w:div>
    <w:div w:id="184754420">
      <w:bodyDiv w:val="1"/>
      <w:marLeft w:val="0"/>
      <w:marRight w:val="0"/>
      <w:marTop w:val="0"/>
      <w:marBottom w:val="0"/>
      <w:divBdr>
        <w:top w:val="none" w:sz="0" w:space="0" w:color="auto"/>
        <w:left w:val="none" w:sz="0" w:space="0" w:color="auto"/>
        <w:bottom w:val="none" w:sz="0" w:space="0" w:color="auto"/>
        <w:right w:val="none" w:sz="0" w:space="0" w:color="auto"/>
      </w:divBdr>
    </w:div>
    <w:div w:id="216163412">
      <w:bodyDiv w:val="1"/>
      <w:marLeft w:val="0"/>
      <w:marRight w:val="0"/>
      <w:marTop w:val="0"/>
      <w:marBottom w:val="0"/>
      <w:divBdr>
        <w:top w:val="none" w:sz="0" w:space="0" w:color="auto"/>
        <w:left w:val="none" w:sz="0" w:space="0" w:color="auto"/>
        <w:bottom w:val="none" w:sz="0" w:space="0" w:color="auto"/>
        <w:right w:val="none" w:sz="0" w:space="0" w:color="auto"/>
      </w:divBdr>
    </w:div>
    <w:div w:id="216210597">
      <w:bodyDiv w:val="1"/>
      <w:marLeft w:val="0"/>
      <w:marRight w:val="0"/>
      <w:marTop w:val="0"/>
      <w:marBottom w:val="0"/>
      <w:divBdr>
        <w:top w:val="none" w:sz="0" w:space="0" w:color="auto"/>
        <w:left w:val="none" w:sz="0" w:space="0" w:color="auto"/>
        <w:bottom w:val="none" w:sz="0" w:space="0" w:color="auto"/>
        <w:right w:val="none" w:sz="0" w:space="0" w:color="auto"/>
      </w:divBdr>
    </w:div>
    <w:div w:id="239026498">
      <w:bodyDiv w:val="1"/>
      <w:marLeft w:val="0"/>
      <w:marRight w:val="0"/>
      <w:marTop w:val="0"/>
      <w:marBottom w:val="0"/>
      <w:divBdr>
        <w:top w:val="none" w:sz="0" w:space="0" w:color="auto"/>
        <w:left w:val="none" w:sz="0" w:space="0" w:color="auto"/>
        <w:bottom w:val="none" w:sz="0" w:space="0" w:color="auto"/>
        <w:right w:val="none" w:sz="0" w:space="0" w:color="auto"/>
      </w:divBdr>
    </w:div>
    <w:div w:id="340857500">
      <w:bodyDiv w:val="1"/>
      <w:marLeft w:val="0"/>
      <w:marRight w:val="0"/>
      <w:marTop w:val="0"/>
      <w:marBottom w:val="0"/>
      <w:divBdr>
        <w:top w:val="none" w:sz="0" w:space="0" w:color="auto"/>
        <w:left w:val="none" w:sz="0" w:space="0" w:color="auto"/>
        <w:bottom w:val="none" w:sz="0" w:space="0" w:color="auto"/>
        <w:right w:val="none" w:sz="0" w:space="0" w:color="auto"/>
      </w:divBdr>
    </w:div>
    <w:div w:id="375206153">
      <w:bodyDiv w:val="1"/>
      <w:marLeft w:val="0"/>
      <w:marRight w:val="0"/>
      <w:marTop w:val="0"/>
      <w:marBottom w:val="0"/>
      <w:divBdr>
        <w:top w:val="none" w:sz="0" w:space="0" w:color="auto"/>
        <w:left w:val="none" w:sz="0" w:space="0" w:color="auto"/>
        <w:bottom w:val="none" w:sz="0" w:space="0" w:color="auto"/>
        <w:right w:val="none" w:sz="0" w:space="0" w:color="auto"/>
      </w:divBdr>
    </w:div>
    <w:div w:id="407655271">
      <w:bodyDiv w:val="1"/>
      <w:marLeft w:val="0"/>
      <w:marRight w:val="0"/>
      <w:marTop w:val="0"/>
      <w:marBottom w:val="0"/>
      <w:divBdr>
        <w:top w:val="none" w:sz="0" w:space="0" w:color="auto"/>
        <w:left w:val="none" w:sz="0" w:space="0" w:color="auto"/>
        <w:bottom w:val="none" w:sz="0" w:space="0" w:color="auto"/>
        <w:right w:val="none" w:sz="0" w:space="0" w:color="auto"/>
      </w:divBdr>
    </w:div>
    <w:div w:id="481656796">
      <w:bodyDiv w:val="1"/>
      <w:marLeft w:val="0"/>
      <w:marRight w:val="0"/>
      <w:marTop w:val="0"/>
      <w:marBottom w:val="0"/>
      <w:divBdr>
        <w:top w:val="none" w:sz="0" w:space="0" w:color="auto"/>
        <w:left w:val="none" w:sz="0" w:space="0" w:color="auto"/>
        <w:bottom w:val="none" w:sz="0" w:space="0" w:color="auto"/>
        <w:right w:val="none" w:sz="0" w:space="0" w:color="auto"/>
      </w:divBdr>
    </w:div>
    <w:div w:id="493566301">
      <w:bodyDiv w:val="1"/>
      <w:marLeft w:val="0"/>
      <w:marRight w:val="0"/>
      <w:marTop w:val="0"/>
      <w:marBottom w:val="0"/>
      <w:divBdr>
        <w:top w:val="none" w:sz="0" w:space="0" w:color="auto"/>
        <w:left w:val="none" w:sz="0" w:space="0" w:color="auto"/>
        <w:bottom w:val="none" w:sz="0" w:space="0" w:color="auto"/>
        <w:right w:val="none" w:sz="0" w:space="0" w:color="auto"/>
      </w:divBdr>
    </w:div>
    <w:div w:id="594753992">
      <w:bodyDiv w:val="1"/>
      <w:marLeft w:val="0"/>
      <w:marRight w:val="0"/>
      <w:marTop w:val="0"/>
      <w:marBottom w:val="0"/>
      <w:divBdr>
        <w:top w:val="none" w:sz="0" w:space="0" w:color="auto"/>
        <w:left w:val="none" w:sz="0" w:space="0" w:color="auto"/>
        <w:bottom w:val="none" w:sz="0" w:space="0" w:color="auto"/>
        <w:right w:val="none" w:sz="0" w:space="0" w:color="auto"/>
      </w:divBdr>
    </w:div>
    <w:div w:id="614942536">
      <w:bodyDiv w:val="1"/>
      <w:marLeft w:val="0"/>
      <w:marRight w:val="0"/>
      <w:marTop w:val="0"/>
      <w:marBottom w:val="0"/>
      <w:divBdr>
        <w:top w:val="none" w:sz="0" w:space="0" w:color="auto"/>
        <w:left w:val="none" w:sz="0" w:space="0" w:color="auto"/>
        <w:bottom w:val="none" w:sz="0" w:space="0" w:color="auto"/>
        <w:right w:val="none" w:sz="0" w:space="0" w:color="auto"/>
      </w:divBdr>
    </w:div>
    <w:div w:id="714892278">
      <w:bodyDiv w:val="1"/>
      <w:marLeft w:val="0"/>
      <w:marRight w:val="0"/>
      <w:marTop w:val="0"/>
      <w:marBottom w:val="0"/>
      <w:divBdr>
        <w:top w:val="none" w:sz="0" w:space="0" w:color="auto"/>
        <w:left w:val="none" w:sz="0" w:space="0" w:color="auto"/>
        <w:bottom w:val="none" w:sz="0" w:space="0" w:color="auto"/>
        <w:right w:val="none" w:sz="0" w:space="0" w:color="auto"/>
      </w:divBdr>
    </w:div>
    <w:div w:id="977955163">
      <w:bodyDiv w:val="1"/>
      <w:marLeft w:val="0"/>
      <w:marRight w:val="0"/>
      <w:marTop w:val="0"/>
      <w:marBottom w:val="0"/>
      <w:divBdr>
        <w:top w:val="none" w:sz="0" w:space="0" w:color="auto"/>
        <w:left w:val="none" w:sz="0" w:space="0" w:color="auto"/>
        <w:bottom w:val="none" w:sz="0" w:space="0" w:color="auto"/>
        <w:right w:val="none" w:sz="0" w:space="0" w:color="auto"/>
      </w:divBdr>
      <w:divsChild>
        <w:div w:id="1573731310">
          <w:marLeft w:val="0"/>
          <w:marRight w:val="0"/>
          <w:marTop w:val="0"/>
          <w:marBottom w:val="0"/>
          <w:divBdr>
            <w:top w:val="none" w:sz="0" w:space="0" w:color="auto"/>
            <w:left w:val="none" w:sz="0" w:space="0" w:color="auto"/>
            <w:bottom w:val="none" w:sz="0" w:space="0" w:color="auto"/>
            <w:right w:val="none" w:sz="0" w:space="0" w:color="auto"/>
          </w:divBdr>
          <w:divsChild>
            <w:div w:id="214342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91985">
      <w:bodyDiv w:val="1"/>
      <w:marLeft w:val="0"/>
      <w:marRight w:val="0"/>
      <w:marTop w:val="0"/>
      <w:marBottom w:val="0"/>
      <w:divBdr>
        <w:top w:val="none" w:sz="0" w:space="0" w:color="auto"/>
        <w:left w:val="none" w:sz="0" w:space="0" w:color="auto"/>
        <w:bottom w:val="none" w:sz="0" w:space="0" w:color="auto"/>
        <w:right w:val="none" w:sz="0" w:space="0" w:color="auto"/>
      </w:divBdr>
    </w:div>
    <w:div w:id="1005523746">
      <w:bodyDiv w:val="1"/>
      <w:marLeft w:val="0"/>
      <w:marRight w:val="0"/>
      <w:marTop w:val="0"/>
      <w:marBottom w:val="0"/>
      <w:divBdr>
        <w:top w:val="none" w:sz="0" w:space="0" w:color="auto"/>
        <w:left w:val="none" w:sz="0" w:space="0" w:color="auto"/>
        <w:bottom w:val="none" w:sz="0" w:space="0" w:color="auto"/>
        <w:right w:val="none" w:sz="0" w:space="0" w:color="auto"/>
      </w:divBdr>
    </w:div>
    <w:div w:id="1090154933">
      <w:bodyDiv w:val="1"/>
      <w:marLeft w:val="0"/>
      <w:marRight w:val="0"/>
      <w:marTop w:val="0"/>
      <w:marBottom w:val="0"/>
      <w:divBdr>
        <w:top w:val="none" w:sz="0" w:space="0" w:color="auto"/>
        <w:left w:val="none" w:sz="0" w:space="0" w:color="auto"/>
        <w:bottom w:val="none" w:sz="0" w:space="0" w:color="auto"/>
        <w:right w:val="none" w:sz="0" w:space="0" w:color="auto"/>
      </w:divBdr>
    </w:div>
    <w:div w:id="1230769550">
      <w:bodyDiv w:val="1"/>
      <w:marLeft w:val="0"/>
      <w:marRight w:val="0"/>
      <w:marTop w:val="0"/>
      <w:marBottom w:val="0"/>
      <w:divBdr>
        <w:top w:val="none" w:sz="0" w:space="0" w:color="auto"/>
        <w:left w:val="none" w:sz="0" w:space="0" w:color="auto"/>
        <w:bottom w:val="none" w:sz="0" w:space="0" w:color="auto"/>
        <w:right w:val="none" w:sz="0" w:space="0" w:color="auto"/>
      </w:divBdr>
    </w:div>
    <w:div w:id="1360277413">
      <w:bodyDiv w:val="1"/>
      <w:marLeft w:val="0"/>
      <w:marRight w:val="0"/>
      <w:marTop w:val="0"/>
      <w:marBottom w:val="0"/>
      <w:divBdr>
        <w:top w:val="none" w:sz="0" w:space="0" w:color="auto"/>
        <w:left w:val="none" w:sz="0" w:space="0" w:color="auto"/>
        <w:bottom w:val="none" w:sz="0" w:space="0" w:color="auto"/>
        <w:right w:val="none" w:sz="0" w:space="0" w:color="auto"/>
      </w:divBdr>
    </w:div>
    <w:div w:id="1384863123">
      <w:bodyDiv w:val="1"/>
      <w:marLeft w:val="0"/>
      <w:marRight w:val="0"/>
      <w:marTop w:val="0"/>
      <w:marBottom w:val="0"/>
      <w:divBdr>
        <w:top w:val="none" w:sz="0" w:space="0" w:color="auto"/>
        <w:left w:val="none" w:sz="0" w:space="0" w:color="auto"/>
        <w:bottom w:val="none" w:sz="0" w:space="0" w:color="auto"/>
        <w:right w:val="none" w:sz="0" w:space="0" w:color="auto"/>
      </w:divBdr>
      <w:divsChild>
        <w:div w:id="1343631666">
          <w:marLeft w:val="0"/>
          <w:marRight w:val="0"/>
          <w:marTop w:val="0"/>
          <w:marBottom w:val="0"/>
          <w:divBdr>
            <w:top w:val="none" w:sz="0" w:space="0" w:color="auto"/>
            <w:left w:val="none" w:sz="0" w:space="0" w:color="auto"/>
            <w:bottom w:val="none" w:sz="0" w:space="0" w:color="auto"/>
            <w:right w:val="none" w:sz="0" w:space="0" w:color="auto"/>
          </w:divBdr>
          <w:divsChild>
            <w:div w:id="2554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23847">
      <w:bodyDiv w:val="1"/>
      <w:marLeft w:val="0"/>
      <w:marRight w:val="0"/>
      <w:marTop w:val="0"/>
      <w:marBottom w:val="0"/>
      <w:divBdr>
        <w:top w:val="none" w:sz="0" w:space="0" w:color="auto"/>
        <w:left w:val="none" w:sz="0" w:space="0" w:color="auto"/>
        <w:bottom w:val="none" w:sz="0" w:space="0" w:color="auto"/>
        <w:right w:val="none" w:sz="0" w:space="0" w:color="auto"/>
      </w:divBdr>
    </w:div>
    <w:div w:id="1617446659">
      <w:bodyDiv w:val="1"/>
      <w:marLeft w:val="0"/>
      <w:marRight w:val="0"/>
      <w:marTop w:val="0"/>
      <w:marBottom w:val="0"/>
      <w:divBdr>
        <w:top w:val="none" w:sz="0" w:space="0" w:color="auto"/>
        <w:left w:val="none" w:sz="0" w:space="0" w:color="auto"/>
        <w:bottom w:val="none" w:sz="0" w:space="0" w:color="auto"/>
        <w:right w:val="none" w:sz="0" w:space="0" w:color="auto"/>
      </w:divBdr>
    </w:div>
    <w:div w:id="1716079742">
      <w:bodyDiv w:val="1"/>
      <w:marLeft w:val="0"/>
      <w:marRight w:val="0"/>
      <w:marTop w:val="0"/>
      <w:marBottom w:val="0"/>
      <w:divBdr>
        <w:top w:val="none" w:sz="0" w:space="0" w:color="auto"/>
        <w:left w:val="none" w:sz="0" w:space="0" w:color="auto"/>
        <w:bottom w:val="none" w:sz="0" w:space="0" w:color="auto"/>
        <w:right w:val="none" w:sz="0" w:space="0" w:color="auto"/>
      </w:divBdr>
      <w:divsChild>
        <w:div w:id="814834060">
          <w:marLeft w:val="0"/>
          <w:marRight w:val="0"/>
          <w:marTop w:val="0"/>
          <w:marBottom w:val="0"/>
          <w:divBdr>
            <w:top w:val="none" w:sz="0" w:space="0" w:color="auto"/>
            <w:left w:val="none" w:sz="0" w:space="0" w:color="auto"/>
            <w:bottom w:val="none" w:sz="0" w:space="0" w:color="auto"/>
            <w:right w:val="none" w:sz="0" w:space="0" w:color="auto"/>
          </w:divBdr>
          <w:divsChild>
            <w:div w:id="1640305870">
              <w:marLeft w:val="0"/>
              <w:marRight w:val="0"/>
              <w:marTop w:val="0"/>
              <w:marBottom w:val="0"/>
              <w:divBdr>
                <w:top w:val="none" w:sz="0" w:space="0" w:color="auto"/>
                <w:left w:val="none" w:sz="0" w:space="0" w:color="auto"/>
                <w:bottom w:val="none" w:sz="0" w:space="0" w:color="auto"/>
                <w:right w:val="none" w:sz="0" w:space="0" w:color="auto"/>
              </w:divBdr>
              <w:divsChild>
                <w:div w:id="246110387">
                  <w:marLeft w:val="0"/>
                  <w:marRight w:val="0"/>
                  <w:marTop w:val="0"/>
                  <w:marBottom w:val="0"/>
                  <w:divBdr>
                    <w:top w:val="none" w:sz="0" w:space="0" w:color="auto"/>
                    <w:left w:val="none" w:sz="0" w:space="0" w:color="auto"/>
                    <w:bottom w:val="none" w:sz="0" w:space="0" w:color="auto"/>
                    <w:right w:val="none" w:sz="0" w:space="0" w:color="auto"/>
                  </w:divBdr>
                  <w:divsChild>
                    <w:div w:id="1006903328">
                      <w:marLeft w:val="0"/>
                      <w:marRight w:val="0"/>
                      <w:marTop w:val="0"/>
                      <w:marBottom w:val="0"/>
                      <w:divBdr>
                        <w:top w:val="none" w:sz="0" w:space="0" w:color="auto"/>
                        <w:left w:val="none" w:sz="0" w:space="0" w:color="auto"/>
                        <w:bottom w:val="none" w:sz="0" w:space="0" w:color="auto"/>
                        <w:right w:val="none" w:sz="0" w:space="0" w:color="auto"/>
                      </w:divBdr>
                      <w:divsChild>
                        <w:div w:id="1855997435">
                          <w:marLeft w:val="0"/>
                          <w:marRight w:val="0"/>
                          <w:marTop w:val="0"/>
                          <w:marBottom w:val="0"/>
                          <w:divBdr>
                            <w:top w:val="none" w:sz="0" w:space="0" w:color="auto"/>
                            <w:left w:val="none" w:sz="0" w:space="0" w:color="auto"/>
                            <w:bottom w:val="none" w:sz="0" w:space="0" w:color="auto"/>
                            <w:right w:val="none" w:sz="0" w:space="0" w:color="auto"/>
                          </w:divBdr>
                          <w:divsChild>
                            <w:div w:id="1482455962">
                              <w:marLeft w:val="0"/>
                              <w:marRight w:val="0"/>
                              <w:marTop w:val="0"/>
                              <w:marBottom w:val="0"/>
                              <w:divBdr>
                                <w:top w:val="none" w:sz="0" w:space="0" w:color="auto"/>
                                <w:left w:val="none" w:sz="0" w:space="0" w:color="auto"/>
                                <w:bottom w:val="none" w:sz="0" w:space="0" w:color="auto"/>
                                <w:right w:val="none" w:sz="0" w:space="0" w:color="auto"/>
                              </w:divBdr>
                              <w:divsChild>
                                <w:div w:id="370228260">
                                  <w:marLeft w:val="0"/>
                                  <w:marRight w:val="0"/>
                                  <w:marTop w:val="0"/>
                                  <w:marBottom w:val="0"/>
                                  <w:divBdr>
                                    <w:top w:val="none" w:sz="0" w:space="0" w:color="auto"/>
                                    <w:left w:val="none" w:sz="0" w:space="0" w:color="auto"/>
                                    <w:bottom w:val="none" w:sz="0" w:space="0" w:color="auto"/>
                                    <w:right w:val="none" w:sz="0" w:space="0" w:color="auto"/>
                                  </w:divBdr>
                                  <w:divsChild>
                                    <w:div w:id="27598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9764568">
      <w:bodyDiv w:val="1"/>
      <w:marLeft w:val="0"/>
      <w:marRight w:val="0"/>
      <w:marTop w:val="0"/>
      <w:marBottom w:val="0"/>
      <w:divBdr>
        <w:top w:val="none" w:sz="0" w:space="0" w:color="auto"/>
        <w:left w:val="none" w:sz="0" w:space="0" w:color="auto"/>
        <w:bottom w:val="none" w:sz="0" w:space="0" w:color="auto"/>
        <w:right w:val="none" w:sz="0" w:space="0" w:color="auto"/>
      </w:divBdr>
    </w:div>
    <w:div w:id="1954436653">
      <w:bodyDiv w:val="1"/>
      <w:marLeft w:val="0"/>
      <w:marRight w:val="0"/>
      <w:marTop w:val="0"/>
      <w:marBottom w:val="0"/>
      <w:divBdr>
        <w:top w:val="none" w:sz="0" w:space="0" w:color="auto"/>
        <w:left w:val="none" w:sz="0" w:space="0" w:color="auto"/>
        <w:bottom w:val="none" w:sz="0" w:space="0" w:color="auto"/>
        <w:right w:val="none" w:sz="0" w:space="0" w:color="auto"/>
      </w:divBdr>
    </w:div>
    <w:div w:id="2053769675">
      <w:bodyDiv w:val="1"/>
      <w:marLeft w:val="0"/>
      <w:marRight w:val="0"/>
      <w:marTop w:val="0"/>
      <w:marBottom w:val="0"/>
      <w:divBdr>
        <w:top w:val="none" w:sz="0" w:space="0" w:color="auto"/>
        <w:left w:val="none" w:sz="0" w:space="0" w:color="auto"/>
        <w:bottom w:val="none" w:sz="0" w:space="0" w:color="auto"/>
        <w:right w:val="none" w:sz="0" w:space="0" w:color="auto"/>
      </w:divBdr>
    </w:div>
    <w:div w:id="2062166415">
      <w:bodyDiv w:val="1"/>
      <w:marLeft w:val="0"/>
      <w:marRight w:val="0"/>
      <w:marTop w:val="0"/>
      <w:marBottom w:val="0"/>
      <w:divBdr>
        <w:top w:val="none" w:sz="0" w:space="0" w:color="auto"/>
        <w:left w:val="none" w:sz="0" w:space="0" w:color="auto"/>
        <w:bottom w:val="none" w:sz="0" w:space="0" w:color="auto"/>
        <w:right w:val="none" w:sz="0" w:space="0" w:color="auto"/>
      </w:divBdr>
    </w:div>
    <w:div w:id="2097360817">
      <w:bodyDiv w:val="1"/>
      <w:marLeft w:val="0"/>
      <w:marRight w:val="0"/>
      <w:marTop w:val="0"/>
      <w:marBottom w:val="0"/>
      <w:divBdr>
        <w:top w:val="none" w:sz="0" w:space="0" w:color="auto"/>
        <w:left w:val="none" w:sz="0" w:space="0" w:color="auto"/>
        <w:bottom w:val="none" w:sz="0" w:space="0" w:color="auto"/>
        <w:right w:val="none" w:sz="0" w:space="0" w:color="auto"/>
      </w:divBdr>
    </w:div>
    <w:div w:id="212002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67AEF3F-30B4-44F2-8A21-1C63FFB74C9D}">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37</TotalTime>
  <Pages>22</Pages>
  <Words>34607</Words>
  <Characters>197261</Characters>
  <Application>Microsoft Office Word</Application>
  <DocSecurity>0</DocSecurity>
  <Lines>1643</Lines>
  <Paragraphs>462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Editor-22</cp:lastModifiedBy>
  <cp:revision>7</cp:revision>
  <dcterms:created xsi:type="dcterms:W3CDTF">2025-06-24T19:26:00Z</dcterms:created>
  <dcterms:modified xsi:type="dcterms:W3CDTF">2025-06-26T08:18:00Z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id="5L7KA86I"/&gt;&lt;style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