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3B175" w14:textId="77777777" w:rsidR="00F43F8F" w:rsidRDefault="001E0A39" w:rsidP="001E0A39">
      <w:pPr>
        <w:spacing w:line="360" w:lineRule="auto"/>
        <w:jc w:val="center"/>
        <w:rPr>
          <w:rFonts w:ascii="Times New Roman" w:hAnsi="Times New Roman" w:cs="Times New Roman"/>
          <w:b/>
          <w:sz w:val="28"/>
          <w:szCs w:val="28"/>
        </w:rPr>
      </w:pPr>
      <w:r w:rsidRPr="001E0A39">
        <w:rPr>
          <w:rFonts w:ascii="Times New Roman" w:hAnsi="Times New Roman" w:cs="Times New Roman"/>
          <w:b/>
          <w:sz w:val="28"/>
          <w:szCs w:val="28"/>
        </w:rPr>
        <w:t xml:space="preserve">HEPATOTOXICITY ASSESSMENT OF UNRIPE </w:t>
      </w:r>
      <w:r w:rsidRPr="001E0A39">
        <w:rPr>
          <w:rStyle w:val="Emphasis"/>
          <w:rFonts w:ascii="Times New Roman" w:hAnsi="Times New Roman" w:cs="Times New Roman"/>
          <w:b/>
          <w:sz w:val="28"/>
          <w:szCs w:val="28"/>
        </w:rPr>
        <w:t>CARICA PAPAYA</w:t>
      </w:r>
      <w:r w:rsidRPr="001E0A39">
        <w:rPr>
          <w:rFonts w:ascii="Times New Roman" w:hAnsi="Times New Roman" w:cs="Times New Roman"/>
          <w:b/>
          <w:sz w:val="28"/>
          <w:szCs w:val="28"/>
        </w:rPr>
        <w:t xml:space="preserve"> </w:t>
      </w:r>
      <w:r w:rsidR="00057568">
        <w:rPr>
          <w:rFonts w:ascii="Times New Roman" w:hAnsi="Times New Roman" w:cs="Times New Roman"/>
          <w:b/>
          <w:sz w:val="28"/>
          <w:szCs w:val="28"/>
        </w:rPr>
        <w:t xml:space="preserve">(PAWPAW) </w:t>
      </w:r>
      <w:r w:rsidRPr="001E0A39">
        <w:rPr>
          <w:rFonts w:ascii="Times New Roman" w:hAnsi="Times New Roman" w:cs="Times New Roman"/>
          <w:b/>
          <w:sz w:val="28"/>
          <w:szCs w:val="28"/>
        </w:rPr>
        <w:t>SAP IN ADULT MALE WISTAR RATS</w:t>
      </w:r>
    </w:p>
    <w:p w14:paraId="185744D5" w14:textId="77777777" w:rsidR="00D54810" w:rsidRDefault="00D54810" w:rsidP="001E0A39">
      <w:pPr>
        <w:spacing w:line="360" w:lineRule="auto"/>
        <w:jc w:val="center"/>
        <w:rPr>
          <w:rFonts w:ascii="Times New Roman" w:eastAsia="Times New Roman" w:hAnsi="Times New Roman" w:cs="Times New Roman"/>
          <w:b/>
          <w:bCs/>
          <w:sz w:val="28"/>
          <w:szCs w:val="28"/>
        </w:rPr>
      </w:pPr>
    </w:p>
    <w:p w14:paraId="43351015" w14:textId="77777777" w:rsidR="00067C89" w:rsidRPr="001E0A39" w:rsidRDefault="00067C89" w:rsidP="001E0A39">
      <w:pPr>
        <w:spacing w:line="360" w:lineRule="auto"/>
        <w:jc w:val="center"/>
        <w:rPr>
          <w:rFonts w:ascii="Times New Roman" w:eastAsia="Times New Roman" w:hAnsi="Times New Roman" w:cs="Times New Roman"/>
          <w:b/>
          <w:bCs/>
          <w:sz w:val="28"/>
          <w:szCs w:val="28"/>
        </w:rPr>
      </w:pPr>
    </w:p>
    <w:p w14:paraId="66F84FDB" w14:textId="77777777" w:rsidR="001E0A39" w:rsidRDefault="00D5597A" w:rsidP="00504C86">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F1C7267" w14:textId="77777777" w:rsidR="00D5597A" w:rsidRDefault="00D5597A" w:rsidP="00504C86">
      <w:pPr>
        <w:spacing w:line="480" w:lineRule="auto"/>
        <w:jc w:val="both"/>
        <w:rPr>
          <w:rFonts w:ascii="Times New Roman" w:hAnsi="Times New Roman" w:cs="Times New Roman"/>
          <w:sz w:val="24"/>
          <w:szCs w:val="24"/>
        </w:rPr>
      </w:pPr>
      <w:r w:rsidRPr="00D5597A">
        <w:rPr>
          <w:rStyle w:val="Emphasis"/>
          <w:rFonts w:ascii="Times New Roman" w:hAnsi="Times New Roman" w:cs="Times New Roman"/>
          <w:b/>
          <w:i w:val="0"/>
          <w:sz w:val="24"/>
          <w:szCs w:val="24"/>
        </w:rPr>
        <w:t>Introduction:</w:t>
      </w:r>
      <w:r>
        <w:rPr>
          <w:rStyle w:val="Emphasis"/>
          <w:rFonts w:ascii="Times New Roman" w:hAnsi="Times New Roman" w:cs="Times New Roman"/>
          <w:i w:val="0"/>
          <w:sz w:val="24"/>
          <w:szCs w:val="24"/>
        </w:rPr>
        <w:t xml:space="preserve"> </w:t>
      </w:r>
      <w:r w:rsidR="001E0A39" w:rsidRPr="001E0A39">
        <w:rPr>
          <w:rStyle w:val="Emphasis"/>
          <w:rFonts w:ascii="Times New Roman" w:hAnsi="Times New Roman" w:cs="Times New Roman"/>
          <w:sz w:val="24"/>
          <w:szCs w:val="24"/>
        </w:rPr>
        <w:t>Carica papaya</w:t>
      </w:r>
      <w:r w:rsidR="001E0A39" w:rsidRPr="001E0A39">
        <w:rPr>
          <w:rFonts w:ascii="Times New Roman" w:hAnsi="Times New Roman" w:cs="Times New Roman"/>
          <w:sz w:val="24"/>
          <w:szCs w:val="24"/>
        </w:rPr>
        <w:t xml:space="preserve"> (pawpaw) is commonly used in traditional medicine for its nutritional and therapeutic benefits, yet the effects of its unripe sap on liver function remain poorly studied. This research aimed to assess the hepatotoxic or hepatoprotective properties of unripe </w:t>
      </w:r>
      <w:r w:rsidR="001E0A39" w:rsidRPr="001E0A39">
        <w:rPr>
          <w:rStyle w:val="Emphasis"/>
          <w:rFonts w:ascii="Times New Roman" w:hAnsi="Times New Roman" w:cs="Times New Roman"/>
          <w:sz w:val="24"/>
          <w:szCs w:val="24"/>
        </w:rPr>
        <w:t>Carica papaya</w:t>
      </w:r>
      <w:r w:rsidR="001E0A39" w:rsidRPr="001E0A39">
        <w:rPr>
          <w:rFonts w:ascii="Times New Roman" w:hAnsi="Times New Roman" w:cs="Times New Roman"/>
          <w:sz w:val="24"/>
          <w:szCs w:val="24"/>
        </w:rPr>
        <w:t xml:space="preserve"> sap in adult male Wistar rats through biochemical and histological evaluations.</w:t>
      </w:r>
    </w:p>
    <w:p w14:paraId="615DBE32" w14:textId="77777777" w:rsidR="00D5597A"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Methodology:</w:t>
      </w:r>
      <w:r>
        <w:rPr>
          <w:rFonts w:ascii="Times New Roman" w:hAnsi="Times New Roman" w:cs="Times New Roman"/>
          <w:sz w:val="24"/>
          <w:szCs w:val="24"/>
        </w:rPr>
        <w:t xml:space="preserve"> </w:t>
      </w:r>
      <w:r w:rsidR="001E0A39" w:rsidRPr="001E0A39">
        <w:rPr>
          <w:rFonts w:ascii="Times New Roman" w:hAnsi="Times New Roman" w:cs="Times New Roman"/>
          <w:sz w:val="24"/>
          <w:szCs w:val="24"/>
        </w:rPr>
        <w:t>Twenty-four male rats were randomly assigned into four groups of six: Group A (control) and Groups B, C</w:t>
      </w:r>
      <w:r w:rsidR="00057568">
        <w:rPr>
          <w:rFonts w:ascii="Times New Roman" w:hAnsi="Times New Roman" w:cs="Times New Roman"/>
          <w:sz w:val="24"/>
          <w:szCs w:val="24"/>
        </w:rPr>
        <w:t>, and D received oral doses of 100 mg/kg, 200 mg/kg, and 40</w:t>
      </w:r>
      <w:r w:rsidR="001E0A39" w:rsidRPr="001E0A39">
        <w:rPr>
          <w:rFonts w:ascii="Times New Roman" w:hAnsi="Times New Roman" w:cs="Times New Roman"/>
          <w:sz w:val="24"/>
          <w:szCs w:val="24"/>
        </w:rPr>
        <w:t xml:space="preserve">0 mg/kg of pawpaw sap, respectively, for 14 days. Acute toxicity (LD₅₀) was determined using </w:t>
      </w:r>
      <w:proofErr w:type="spellStart"/>
      <w:r w:rsidR="001E0A39" w:rsidRPr="001E0A39">
        <w:rPr>
          <w:rFonts w:ascii="Times New Roman" w:hAnsi="Times New Roman" w:cs="Times New Roman"/>
          <w:sz w:val="24"/>
          <w:szCs w:val="24"/>
        </w:rPr>
        <w:t>Lorke’s</w:t>
      </w:r>
      <w:proofErr w:type="spellEnd"/>
      <w:r w:rsidR="001E0A39" w:rsidRPr="001E0A39">
        <w:rPr>
          <w:rFonts w:ascii="Times New Roman" w:hAnsi="Times New Roman" w:cs="Times New Roman"/>
          <w:sz w:val="24"/>
          <w:szCs w:val="24"/>
        </w:rPr>
        <w:t xml:space="preserve"> method. Liver function was evaluated via serum aspartate aminotransferase (AST), alanine aminotransferase (ALT), and alkaline phosphatase (ALP) activities using WHO-recommended spectrophotometric methods. Histopathological examination of liver tissues was conducted post-treatment. </w:t>
      </w:r>
    </w:p>
    <w:p w14:paraId="645669C4" w14:textId="77777777" w:rsidR="00D5597A"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Results:</w:t>
      </w:r>
      <w:r>
        <w:rPr>
          <w:rFonts w:ascii="Times New Roman" w:hAnsi="Times New Roman" w:cs="Times New Roman"/>
          <w:sz w:val="24"/>
          <w:szCs w:val="24"/>
        </w:rPr>
        <w:t xml:space="preserve"> </w:t>
      </w:r>
      <w:r w:rsidR="001E0A39" w:rsidRPr="001E0A39">
        <w:rPr>
          <w:rFonts w:ascii="Times New Roman" w:hAnsi="Times New Roman" w:cs="Times New Roman"/>
          <w:sz w:val="24"/>
          <w:szCs w:val="24"/>
        </w:rPr>
        <w:t xml:space="preserve">Results showed no significant differences in body weight, while liver weight significantly decreased in the high-dose group (p = 0.006), indicating potential hepatotoxicity. AST levels were significantly elevated in the moderate- and high-dose groups, while ALT increased only in the moderate-dose group. ALP levels remained unchanged across all groups. Histology revealed mild liver damage at higher doses. </w:t>
      </w:r>
    </w:p>
    <w:p w14:paraId="622469BB" w14:textId="77777777" w:rsidR="001E0A39"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Conclusion:</w:t>
      </w:r>
      <w:r>
        <w:rPr>
          <w:rFonts w:ascii="Times New Roman" w:hAnsi="Times New Roman" w:cs="Times New Roman"/>
          <w:sz w:val="24"/>
          <w:szCs w:val="24"/>
        </w:rPr>
        <w:t xml:space="preserve"> </w:t>
      </w:r>
      <w:r w:rsidR="001E0A39" w:rsidRPr="001E0A39">
        <w:rPr>
          <w:rFonts w:ascii="Times New Roman" w:hAnsi="Times New Roman" w:cs="Times New Roman"/>
          <w:sz w:val="24"/>
          <w:szCs w:val="24"/>
        </w:rPr>
        <w:t xml:space="preserve">The findings suggest that unripe </w:t>
      </w:r>
      <w:r w:rsidR="001E0A39" w:rsidRPr="001E0A39">
        <w:rPr>
          <w:rStyle w:val="Emphasis"/>
          <w:rFonts w:ascii="Times New Roman" w:hAnsi="Times New Roman" w:cs="Times New Roman"/>
          <w:sz w:val="24"/>
          <w:szCs w:val="24"/>
        </w:rPr>
        <w:t>Carica papaya</w:t>
      </w:r>
      <w:r w:rsidR="001E0A39" w:rsidRPr="001E0A39">
        <w:rPr>
          <w:rFonts w:ascii="Times New Roman" w:hAnsi="Times New Roman" w:cs="Times New Roman"/>
          <w:sz w:val="24"/>
          <w:szCs w:val="24"/>
        </w:rPr>
        <w:t xml:space="preserve"> sap may exert mild, dose-dependent hepatotoxic effects, warranting cautious therapeutic use.</w:t>
      </w:r>
    </w:p>
    <w:p w14:paraId="29F9097F" w14:textId="77777777" w:rsidR="00844D19" w:rsidRPr="00D54810" w:rsidRDefault="00844D19" w:rsidP="00504C86">
      <w:pPr>
        <w:pStyle w:val="NormalWeb"/>
        <w:spacing w:line="480" w:lineRule="auto"/>
      </w:pPr>
      <w:r>
        <w:lastRenderedPageBreak/>
        <w:t xml:space="preserve">Keywords: </w:t>
      </w:r>
      <w:r w:rsidRPr="003A3960">
        <w:rPr>
          <w:bCs/>
          <w:i/>
        </w:rPr>
        <w:t>Carica papaya</w:t>
      </w:r>
      <w:r w:rsidRPr="00844D19">
        <w:rPr>
          <w:bCs/>
        </w:rPr>
        <w:t>, Liver function, Wistar rats, Hepatotoxicity</w:t>
      </w:r>
    </w:p>
    <w:p w14:paraId="51EE0974" w14:textId="77777777" w:rsidR="00D5597A" w:rsidRDefault="00D5597A" w:rsidP="00504C86">
      <w:pPr>
        <w:spacing w:line="480" w:lineRule="auto"/>
        <w:rPr>
          <w:rFonts w:ascii="Times New Roman" w:eastAsia="Times New Roman" w:hAnsi="Times New Roman" w:cs="Times New Roman"/>
          <w:b/>
          <w:bCs/>
          <w:sz w:val="24"/>
          <w:szCs w:val="24"/>
        </w:rPr>
      </w:pPr>
    </w:p>
    <w:p w14:paraId="33ED8973" w14:textId="77777777" w:rsidR="00F87345" w:rsidRPr="00F87345" w:rsidRDefault="00D5597A" w:rsidP="00504C86">
      <w:pPr>
        <w:spacing w:line="480" w:lineRule="auto"/>
        <w:rPr>
          <w:rFonts w:ascii="Times New Roman" w:eastAsia="Times New Roman" w:hAnsi="Times New Roman" w:cs="Times New Roman"/>
          <w:b/>
          <w:bCs/>
          <w:sz w:val="30"/>
          <w:szCs w:val="30"/>
        </w:rPr>
      </w:pPr>
      <w:r>
        <w:rPr>
          <w:rFonts w:ascii="Times New Roman" w:eastAsia="Times New Roman" w:hAnsi="Times New Roman" w:cs="Times New Roman"/>
          <w:b/>
          <w:bCs/>
          <w:sz w:val="24"/>
          <w:szCs w:val="24"/>
        </w:rPr>
        <w:t>1.0 INTRODUCTION</w:t>
      </w:r>
    </w:p>
    <w:p w14:paraId="3ABEC03E" w14:textId="77777777"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t xml:space="preserve">Plants and plant-based products have been utilized for disease prevention and treatment since ancient times. Globally, approximately 80% of the population depends directly on plants for primary health care (Tripathi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2003; WHO, 2000). In India, an estimated 45,000 plant species possess medicinal properties (Jain, 1994). Natural compounds from plants are often favored over synthetic drugs due to their affordability, availability, and minimal side effects (Wang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2007).</w:t>
      </w:r>
    </w:p>
    <w:p w14:paraId="42E1DE98" w14:textId="77777777" w:rsidR="00F87345" w:rsidRPr="00F87345" w:rsidRDefault="00F43F8F" w:rsidP="00504C86">
      <w:pPr>
        <w:spacing w:before="100" w:beforeAutospacing="1" w:after="100" w:afterAutospacing="1" w:line="480" w:lineRule="auto"/>
        <w:jc w:val="both"/>
        <w:rPr>
          <w:rFonts w:ascii="Times New Roman" w:eastAsia="Times New Roman" w:hAnsi="Times New Roman" w:cs="Times New Roman"/>
          <w:sz w:val="24"/>
          <w:szCs w:val="24"/>
        </w:rPr>
      </w:pPr>
      <w:r w:rsidRPr="00F43F8F">
        <w:rPr>
          <w:rFonts w:ascii="Times New Roman" w:eastAsia="Times New Roman" w:hAnsi="Times New Roman" w:cs="Times New Roman"/>
          <w:i/>
          <w:iCs/>
          <w:sz w:val="24"/>
          <w:szCs w:val="24"/>
        </w:rPr>
        <w:t>Carica papaya</w:t>
      </w:r>
      <w:r w:rsidR="00F87345" w:rsidRPr="00F87345">
        <w:rPr>
          <w:rFonts w:ascii="Times New Roman" w:eastAsia="Times New Roman" w:hAnsi="Times New Roman" w:cs="Times New Roman"/>
          <w:sz w:val="24"/>
          <w:szCs w:val="24"/>
        </w:rPr>
        <w:t xml:space="preserve"> Linn., commonly known as papaya, belongs to the </w:t>
      </w:r>
      <w:proofErr w:type="spellStart"/>
      <w:r w:rsidR="00F87345" w:rsidRPr="00F87345">
        <w:rPr>
          <w:rFonts w:ascii="Times New Roman" w:eastAsia="Times New Roman" w:hAnsi="Times New Roman" w:cs="Times New Roman"/>
          <w:sz w:val="24"/>
          <w:szCs w:val="24"/>
        </w:rPr>
        <w:t>Caricaceae</w:t>
      </w:r>
      <w:proofErr w:type="spellEnd"/>
      <w:r w:rsidR="00F87345" w:rsidRPr="00F87345">
        <w:rPr>
          <w:rFonts w:ascii="Times New Roman" w:eastAsia="Times New Roman" w:hAnsi="Times New Roman" w:cs="Times New Roman"/>
          <w:sz w:val="24"/>
          <w:szCs w:val="24"/>
        </w:rPr>
        <w:t xml:space="preserve"> family and is indigenous to Central America and southern Mexico. It is now widely cultivated in tropical countries including India and Nigeria for its nutritional and medicinal value (Aravind </w:t>
      </w:r>
      <w:r w:rsidRPr="00F43F8F">
        <w:rPr>
          <w:rFonts w:ascii="Times New Roman" w:eastAsia="Times New Roman" w:hAnsi="Times New Roman" w:cs="Times New Roman"/>
          <w:i/>
          <w:sz w:val="24"/>
          <w:szCs w:val="24"/>
        </w:rPr>
        <w:t>et al</w:t>
      </w:r>
      <w:r w:rsidR="00F87345" w:rsidRPr="00F87345">
        <w:rPr>
          <w:rFonts w:ascii="Times New Roman" w:eastAsia="Times New Roman" w:hAnsi="Times New Roman" w:cs="Times New Roman"/>
          <w:sz w:val="24"/>
          <w:szCs w:val="24"/>
        </w:rPr>
        <w:t xml:space="preserve">., 2013; </w:t>
      </w:r>
      <w:proofErr w:type="spellStart"/>
      <w:r w:rsidR="00F87345" w:rsidRPr="00F87345">
        <w:rPr>
          <w:rFonts w:ascii="Times New Roman" w:eastAsia="Times New Roman" w:hAnsi="Times New Roman" w:cs="Times New Roman"/>
          <w:sz w:val="24"/>
          <w:szCs w:val="24"/>
        </w:rPr>
        <w:t>Baiyewu</w:t>
      </w:r>
      <w:proofErr w:type="spellEnd"/>
      <w:r w:rsidR="00F87345" w:rsidRPr="00F87345">
        <w:rPr>
          <w:rFonts w:ascii="Times New Roman" w:eastAsia="Times New Roman" w:hAnsi="Times New Roman" w:cs="Times New Roman"/>
          <w:sz w:val="24"/>
          <w:szCs w:val="24"/>
        </w:rPr>
        <w:t xml:space="preserve"> &amp; Amusa, 2005). Various parts of the papaya plant—leaves, fruit, seeds, roots, and sap—are known for their therapeutic applications (Sharma </w:t>
      </w:r>
      <w:r w:rsidRPr="00F43F8F">
        <w:rPr>
          <w:rFonts w:ascii="Times New Roman" w:eastAsia="Times New Roman" w:hAnsi="Times New Roman" w:cs="Times New Roman"/>
          <w:i/>
          <w:sz w:val="24"/>
          <w:szCs w:val="24"/>
        </w:rPr>
        <w:t>et al</w:t>
      </w:r>
      <w:r w:rsidR="00F87345" w:rsidRPr="00F87345">
        <w:rPr>
          <w:rFonts w:ascii="Times New Roman" w:eastAsia="Times New Roman" w:hAnsi="Times New Roman" w:cs="Times New Roman"/>
          <w:sz w:val="24"/>
          <w:szCs w:val="24"/>
        </w:rPr>
        <w:t>., 2022). The plant contains important nutrients like vitamins A, B, C, calcium, and iron (Wall, 2006), and its seeds contain benzyl isothiocyanate, which exhibits antimicrobial properties (Tang, 1971).</w:t>
      </w:r>
    </w:p>
    <w:p w14:paraId="6E253F6A" w14:textId="77777777"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t xml:space="preserve">Papaya sap and leaf extracts have demonstrated significant antioxidant activity and contain enzymes such as papain, chymopapain, glycyl endopeptidase, and </w:t>
      </w:r>
      <w:proofErr w:type="spellStart"/>
      <w:r w:rsidRPr="00F87345">
        <w:rPr>
          <w:rFonts w:ascii="Times New Roman" w:eastAsia="Times New Roman" w:hAnsi="Times New Roman" w:cs="Times New Roman"/>
          <w:sz w:val="24"/>
          <w:szCs w:val="24"/>
        </w:rPr>
        <w:t>caricain</w:t>
      </w:r>
      <w:proofErr w:type="spellEnd"/>
      <w:r w:rsidRPr="00F87345">
        <w:rPr>
          <w:rFonts w:ascii="Times New Roman" w:eastAsia="Times New Roman" w:hAnsi="Times New Roman" w:cs="Times New Roman"/>
          <w:sz w:val="24"/>
          <w:szCs w:val="24"/>
        </w:rPr>
        <w:t xml:space="preserve"> (Rahmani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2016; Paul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2013). Several studies have highlighted the medicinal properties of papaya leaves in treating conditions such as dengue, jaundice, asthma, and various forms of cancer (Krishna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2008; Sarala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2014; Otsuki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2010; Hadadi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2018). Phytochemical studies have confirmed the presence of beneficial compounds such as flavonoids, tannins, alkaloids, and saponins in papaya leaves (</w:t>
      </w:r>
      <w:proofErr w:type="spellStart"/>
      <w:r w:rsidRPr="00F87345">
        <w:rPr>
          <w:rFonts w:ascii="Times New Roman" w:eastAsia="Times New Roman" w:hAnsi="Times New Roman" w:cs="Times New Roman"/>
          <w:sz w:val="24"/>
          <w:szCs w:val="24"/>
        </w:rPr>
        <w:t>Bamisaye</w:t>
      </w:r>
      <w:proofErr w:type="spellEnd"/>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2013; Nugroho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2017).</w:t>
      </w:r>
    </w:p>
    <w:p w14:paraId="25FEA950" w14:textId="77777777"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lastRenderedPageBreak/>
        <w:t xml:space="preserve">Despite widespread traditional use, limited scientific evidence exists regarding the effect of unripe pawpaw sap on liver health. Given the liver’s vital roles in detoxification and metabolism (Allen, 2002; </w:t>
      </w:r>
      <w:proofErr w:type="spellStart"/>
      <w:r w:rsidRPr="00F87345">
        <w:rPr>
          <w:rFonts w:ascii="Times New Roman" w:eastAsia="Times New Roman" w:hAnsi="Times New Roman" w:cs="Times New Roman"/>
          <w:sz w:val="24"/>
          <w:szCs w:val="24"/>
        </w:rPr>
        <w:t>Ozougwu</w:t>
      </w:r>
      <w:proofErr w:type="spellEnd"/>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2014), it is essential to evaluate potential hepatotoxic or hepatoprotective effects of pawpaw sap. This study investigates these effects in male Wistar rats to enhance understanding of papaya’s safety and potential therapeutic use (Sharma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2022; Fernandez-Checa &amp; Kaplowitz, 2005).</w:t>
      </w:r>
    </w:p>
    <w:p w14:paraId="35B239CE" w14:textId="77777777" w:rsidR="008F0FD2" w:rsidRDefault="008F0FD2" w:rsidP="00504C86">
      <w:pPr>
        <w:pStyle w:val="NormalWeb"/>
        <w:spacing w:before="0" w:beforeAutospacing="0" w:after="0" w:afterAutospacing="0" w:line="480" w:lineRule="auto"/>
        <w:jc w:val="both"/>
        <w:rPr>
          <w:b/>
        </w:rPr>
      </w:pPr>
    </w:p>
    <w:p w14:paraId="11606237" w14:textId="77777777" w:rsidR="00B9681C" w:rsidRPr="00B9681C" w:rsidRDefault="00D5597A" w:rsidP="00504C86">
      <w:pPr>
        <w:pStyle w:val="NormalWeb"/>
        <w:spacing w:line="480" w:lineRule="auto"/>
        <w:jc w:val="both"/>
        <w:rPr>
          <w:b/>
        </w:rPr>
      </w:pPr>
      <w:r>
        <w:rPr>
          <w:b/>
        </w:rPr>
        <w:t xml:space="preserve">2.0 </w:t>
      </w:r>
      <w:r w:rsidR="00B9681C" w:rsidRPr="00B9681C">
        <w:rPr>
          <w:b/>
        </w:rPr>
        <w:t>METHODS</w:t>
      </w:r>
    </w:p>
    <w:p w14:paraId="39A48B4F" w14:textId="77777777" w:rsidR="00B9681C" w:rsidRPr="003C5D8A" w:rsidRDefault="00D5597A" w:rsidP="00504C86">
      <w:pPr>
        <w:pStyle w:val="NormalWeb"/>
        <w:spacing w:line="480" w:lineRule="auto"/>
        <w:jc w:val="both"/>
        <w:rPr>
          <w:b/>
        </w:rPr>
      </w:pPr>
      <w:r>
        <w:rPr>
          <w:b/>
        </w:rPr>
        <w:t xml:space="preserve">2.1 </w:t>
      </w:r>
      <w:r w:rsidR="00B9681C" w:rsidRPr="003C5D8A">
        <w:rPr>
          <w:b/>
        </w:rPr>
        <w:t>Animal Procurement, Care and Treatment</w:t>
      </w:r>
    </w:p>
    <w:p w14:paraId="7881196E" w14:textId="77777777" w:rsidR="008F0FD2" w:rsidRPr="00D5597A" w:rsidRDefault="00B9681C" w:rsidP="00504C86">
      <w:pPr>
        <w:pStyle w:val="NormalWeb"/>
        <w:spacing w:line="480" w:lineRule="auto"/>
        <w:jc w:val="both"/>
      </w:pPr>
      <w:r w:rsidRPr="00B9681C">
        <w:t xml:space="preserve">Twenty-four male Wistar rats were purchased from Research Enterprise Farms, University of Ibadan, Oyo State. The animals were kept in the Animal House in the school compound of </w:t>
      </w:r>
      <w:proofErr w:type="spellStart"/>
      <w:r w:rsidRPr="00B9681C">
        <w:t>Okofia</w:t>
      </w:r>
      <w:proofErr w:type="spellEnd"/>
      <w:r w:rsidRPr="00B9681C">
        <w:t xml:space="preserve">, Nnewi campus. They were allowed to acclimatize over a period of two weeks. The animals were housed in well-ventilated iron cages under normal temperature (27-31 °C). They were fed </w:t>
      </w:r>
      <w:r w:rsidR="001B7ED4">
        <w:t>distilled water and rat</w:t>
      </w:r>
      <w:r w:rsidRPr="00B9681C">
        <w:t xml:space="preserve"> feed pellets from </w:t>
      </w:r>
      <w:proofErr w:type="spellStart"/>
      <w:r w:rsidRPr="00B9681C">
        <w:t>Agro</w:t>
      </w:r>
      <w:proofErr w:type="spellEnd"/>
      <w:r w:rsidRPr="00B9681C">
        <w:t xml:space="preserve"> Feed Mill Nigeria Ltd. </w:t>
      </w:r>
      <w:r w:rsidR="0084425D">
        <w:t xml:space="preserve">Ethical approval was obtained from the Ethical Committee of the Department of Anatomy, Faculty of Basic Medical Sciences, Nnamdi Azikiwe University, Nnewi Campus (ANA/EA/UG/AS/11/09/2024). </w:t>
      </w:r>
      <w:r w:rsidRPr="00B9681C">
        <w:t>All the animals were treated in accordance with the "Guide for the Care and Use of Laboratory Animals" prepared by the National Academy of Sciences and published by the National I</w:t>
      </w:r>
      <w:r w:rsidR="00D5597A">
        <w:t>nstitute of Health (NRC, 2011).</w:t>
      </w:r>
    </w:p>
    <w:p w14:paraId="0BB998F6" w14:textId="77777777" w:rsidR="00B9681C" w:rsidRPr="003C5D8A" w:rsidRDefault="00D5597A" w:rsidP="00504C86">
      <w:pPr>
        <w:pStyle w:val="NormalWeb"/>
        <w:spacing w:line="480" w:lineRule="auto"/>
        <w:jc w:val="both"/>
        <w:rPr>
          <w:b/>
        </w:rPr>
      </w:pPr>
      <w:r>
        <w:rPr>
          <w:b/>
        </w:rPr>
        <w:t xml:space="preserve">2.2 </w:t>
      </w:r>
      <w:r w:rsidR="00B9681C" w:rsidRPr="003C5D8A">
        <w:rPr>
          <w:b/>
        </w:rPr>
        <w:t>Colle</w:t>
      </w:r>
      <w:r w:rsidR="00C134DD">
        <w:rPr>
          <w:b/>
        </w:rPr>
        <w:t>ction of</w:t>
      </w:r>
      <w:r w:rsidR="00C134DD" w:rsidRPr="00C134DD">
        <w:rPr>
          <w:b/>
        </w:rPr>
        <w:t xml:space="preserve"> </w:t>
      </w:r>
      <w:r w:rsidR="00C134DD" w:rsidRPr="00C134DD">
        <w:rPr>
          <w:b/>
          <w:i/>
        </w:rPr>
        <w:t>Carica Papaya</w:t>
      </w:r>
      <w:r w:rsidR="00C134DD">
        <w:rPr>
          <w:b/>
        </w:rPr>
        <w:t xml:space="preserve"> Sap a</w:t>
      </w:r>
      <w:r w:rsidR="003A3960">
        <w:rPr>
          <w:b/>
        </w:rPr>
        <w:t>nd Preparation o</w:t>
      </w:r>
      <w:r w:rsidR="00C134DD" w:rsidRPr="00C134DD">
        <w:rPr>
          <w:b/>
        </w:rPr>
        <w:t>f Stock Solution</w:t>
      </w:r>
    </w:p>
    <w:p w14:paraId="6A2DBC8D" w14:textId="77777777" w:rsidR="00B9681C" w:rsidRDefault="00F43F8F" w:rsidP="00504C86">
      <w:pPr>
        <w:pStyle w:val="NormalWeb"/>
        <w:spacing w:line="480" w:lineRule="auto"/>
        <w:jc w:val="both"/>
      </w:pPr>
      <w:r w:rsidRPr="00F43F8F">
        <w:rPr>
          <w:i/>
        </w:rPr>
        <w:t>Carica papaya</w:t>
      </w:r>
      <w:r w:rsidR="002C1C3B">
        <w:t xml:space="preserve"> sap was obtained from matured </w:t>
      </w:r>
      <w:r w:rsidRPr="00F43F8F">
        <w:rPr>
          <w:i/>
        </w:rPr>
        <w:t>Carica papaya</w:t>
      </w:r>
      <w:r w:rsidR="002C1C3B">
        <w:t xml:space="preserve"> fruits planted within the Campus perimeters</w:t>
      </w:r>
      <w:r w:rsidR="00B9681C" w:rsidRPr="00B9681C">
        <w:t xml:space="preserve"> and authenticated at the Department of Botany, Nnamdi Azikiwe University, </w:t>
      </w:r>
      <w:proofErr w:type="spellStart"/>
      <w:r w:rsidR="00B9681C" w:rsidRPr="00B9681C">
        <w:t>Awka</w:t>
      </w:r>
      <w:proofErr w:type="spellEnd"/>
      <w:r w:rsidR="00B9681C" w:rsidRPr="00B9681C">
        <w:t>, Anambra State.</w:t>
      </w:r>
    </w:p>
    <w:p w14:paraId="77A76D59" w14:textId="77777777" w:rsidR="003A3960" w:rsidRDefault="003A3960" w:rsidP="00504C86">
      <w:pPr>
        <w:pStyle w:val="NormalWeb"/>
        <w:spacing w:line="480" w:lineRule="auto"/>
        <w:jc w:val="both"/>
      </w:pPr>
      <w:r>
        <w:lastRenderedPageBreak/>
        <w:t xml:space="preserve">A stock solution was prepared by drying 1 ml of </w:t>
      </w:r>
      <w:r w:rsidRPr="003A3960">
        <w:rPr>
          <w:i/>
        </w:rPr>
        <w:t>Carica papaya</w:t>
      </w:r>
      <w:r>
        <w:t xml:space="preserve"> sap using a thermostatic oven, yielding 0.0075 g (7.5 mg) of dry residue. This corresponds to a concentration of 75 mg/ml, indicating that each milliliter of sap solution contained 75 mg of solid extract.</w:t>
      </w:r>
    </w:p>
    <w:p w14:paraId="6D1AE065" w14:textId="77777777" w:rsidR="00B9681C" w:rsidRPr="003C5D8A" w:rsidRDefault="00D5597A" w:rsidP="00504C86">
      <w:pPr>
        <w:pStyle w:val="NormalWeb"/>
        <w:spacing w:line="480" w:lineRule="auto"/>
        <w:jc w:val="both"/>
        <w:rPr>
          <w:b/>
        </w:rPr>
      </w:pPr>
      <w:r>
        <w:rPr>
          <w:b/>
        </w:rPr>
        <w:t xml:space="preserve">2.3 </w:t>
      </w:r>
      <w:r w:rsidR="00B9681C" w:rsidRPr="003C5D8A">
        <w:rPr>
          <w:b/>
        </w:rPr>
        <w:t>Acute Toxicity Test (LD</w:t>
      </w:r>
      <w:r w:rsidR="00B9681C" w:rsidRPr="004C4D71">
        <w:rPr>
          <w:b/>
          <w:vertAlign w:val="subscript"/>
        </w:rPr>
        <w:t>50</w:t>
      </w:r>
      <w:r w:rsidR="00B9681C" w:rsidRPr="003C5D8A">
        <w:rPr>
          <w:b/>
        </w:rPr>
        <w:t xml:space="preserve">) of </w:t>
      </w:r>
      <w:r w:rsidR="00F43F8F" w:rsidRPr="00F43F8F">
        <w:rPr>
          <w:b/>
          <w:i/>
        </w:rPr>
        <w:t>Carica papaya</w:t>
      </w:r>
    </w:p>
    <w:p w14:paraId="3B1F86A4"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t xml:space="preserve">The median lethal dose (LD₅₀) of </w:t>
      </w:r>
      <w:r w:rsidRPr="0084425D">
        <w:rPr>
          <w:rFonts w:ascii="Times New Roman" w:eastAsia="Times New Roman" w:hAnsi="Times New Roman" w:cs="Times New Roman"/>
          <w:i/>
          <w:iCs/>
          <w:sz w:val="24"/>
          <w:szCs w:val="24"/>
        </w:rPr>
        <w:t>Carica papaya</w:t>
      </w:r>
      <w:r w:rsidRPr="0084425D">
        <w:rPr>
          <w:rFonts w:ascii="Times New Roman" w:eastAsia="Times New Roman" w:hAnsi="Times New Roman" w:cs="Times New Roman"/>
          <w:sz w:val="24"/>
          <w:szCs w:val="24"/>
        </w:rPr>
        <w:t xml:space="preserve"> (pawpaw) sap was determined using </w:t>
      </w:r>
      <w:r>
        <w:rPr>
          <w:rFonts w:ascii="Times New Roman" w:eastAsia="Times New Roman" w:hAnsi="Times New Roman" w:cs="Times New Roman"/>
          <w:sz w:val="24"/>
          <w:szCs w:val="24"/>
        </w:rPr>
        <w:t xml:space="preserve">the modified method of </w:t>
      </w:r>
      <w:proofErr w:type="spellStart"/>
      <w:r w:rsidRPr="0084425D">
        <w:rPr>
          <w:rFonts w:ascii="Times New Roman" w:eastAsia="Times New Roman" w:hAnsi="Times New Roman" w:cs="Times New Roman"/>
          <w:sz w:val="24"/>
          <w:szCs w:val="24"/>
        </w:rPr>
        <w:t>Lorke</w:t>
      </w:r>
      <w:proofErr w:type="spellEnd"/>
      <w:r w:rsidRPr="0084425D">
        <w:rPr>
          <w:rFonts w:ascii="Times New Roman" w:eastAsia="Times New Roman" w:hAnsi="Times New Roman" w:cs="Times New Roman"/>
          <w:sz w:val="24"/>
          <w:szCs w:val="24"/>
        </w:rPr>
        <w:t xml:space="preserve"> (1983) in the Department of Human Physiology, Faculty of Basic Medical Sciences, Nnamdi Azikiwe University, </w:t>
      </w:r>
      <w:proofErr w:type="spellStart"/>
      <w:r w:rsidRPr="0084425D">
        <w:rPr>
          <w:rFonts w:ascii="Times New Roman" w:eastAsia="Times New Roman" w:hAnsi="Times New Roman" w:cs="Times New Roman"/>
          <w:sz w:val="24"/>
          <w:szCs w:val="24"/>
        </w:rPr>
        <w:t>Okofia</w:t>
      </w:r>
      <w:proofErr w:type="spellEnd"/>
      <w:r w:rsidRPr="0084425D">
        <w:rPr>
          <w:rFonts w:ascii="Times New Roman" w:eastAsia="Times New Roman" w:hAnsi="Times New Roman" w:cs="Times New Roman"/>
          <w:sz w:val="24"/>
          <w:szCs w:val="24"/>
        </w:rPr>
        <w:t xml:space="preserve"> Campus. A total of thirteen rats were used for the study, which was conducted in two phases.</w:t>
      </w:r>
    </w:p>
    <w:p w14:paraId="437D1679"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t xml:space="preserve">In </w:t>
      </w:r>
      <w:r w:rsidRPr="0084425D">
        <w:rPr>
          <w:rFonts w:ascii="Times New Roman" w:eastAsia="Times New Roman" w:hAnsi="Times New Roman" w:cs="Times New Roman"/>
          <w:bCs/>
          <w:sz w:val="24"/>
          <w:szCs w:val="24"/>
        </w:rPr>
        <w:t>Phase I</w:t>
      </w:r>
      <w:r w:rsidRPr="0084425D">
        <w:rPr>
          <w:rFonts w:ascii="Times New Roman" w:eastAsia="Times New Roman" w:hAnsi="Times New Roman" w:cs="Times New Roman"/>
          <w:sz w:val="24"/>
          <w:szCs w:val="24"/>
        </w:rPr>
        <w:t xml:space="preserve">, nine rats were divided into three groups. Group 1 received 10 mg/kg of pawpaw sap, Group 2 received 100 mg/kg, and Group 3 received 1000 mg/kg. No mortality was observed in any of the groups after 24 hours; however, some of the </w:t>
      </w:r>
      <w:proofErr w:type="gramStart"/>
      <w:r w:rsidRPr="0084425D">
        <w:rPr>
          <w:rFonts w:ascii="Times New Roman" w:eastAsia="Times New Roman" w:hAnsi="Times New Roman" w:cs="Times New Roman"/>
          <w:sz w:val="24"/>
          <w:szCs w:val="24"/>
        </w:rPr>
        <w:t>animals</w:t>
      </w:r>
      <w:proofErr w:type="gramEnd"/>
      <w:r w:rsidRPr="0084425D">
        <w:rPr>
          <w:rFonts w:ascii="Times New Roman" w:eastAsia="Times New Roman" w:hAnsi="Times New Roman" w:cs="Times New Roman"/>
          <w:sz w:val="24"/>
          <w:szCs w:val="24"/>
        </w:rPr>
        <w:t xml:space="preserve"> showed signs of weakness, indicating mild physiological stress.</w:t>
      </w:r>
    </w:p>
    <w:p w14:paraId="30D3F214"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bCs/>
          <w:sz w:val="24"/>
          <w:szCs w:val="24"/>
        </w:rPr>
        <w:t>Phase II</w:t>
      </w:r>
      <w:r w:rsidRPr="0084425D">
        <w:rPr>
          <w:rFonts w:ascii="Times New Roman" w:eastAsia="Times New Roman" w:hAnsi="Times New Roman" w:cs="Times New Roman"/>
          <w:sz w:val="24"/>
          <w:szCs w:val="24"/>
        </w:rPr>
        <w:t xml:space="preserve"> involved four rats, each assigned to a separate group. Group 1 received 1200 mg/kg, Group 2 received 1600 mg/kg, Group 3 received 2900 mg/kg, and Group 4 received 5000 mg/kg of pawpaw sap. Only the rat in Group 4 died within 12 hours, while the others survived but displayed signs of weakness similar to those observed in Phase I.</w:t>
      </w:r>
    </w:p>
    <w:p w14:paraId="4DFAC61A" w14:textId="77777777" w:rsidR="0084425D" w:rsidRPr="00D5597A" w:rsidRDefault="0084425D" w:rsidP="00D5597A">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t xml:space="preserve">Using the formula LD₅₀ = </w:t>
      </w:r>
      <w:proofErr w:type="gramStart"/>
      <w:r w:rsidRPr="0084425D">
        <w:rPr>
          <w:rFonts w:ascii="Times New Roman" w:eastAsia="Times New Roman" w:hAnsi="Times New Roman" w:cs="Times New Roman"/>
          <w:sz w:val="24"/>
          <w:szCs w:val="24"/>
        </w:rPr>
        <w:t>√(</w:t>
      </w:r>
      <w:proofErr w:type="gramEnd"/>
      <w:r w:rsidRPr="0084425D">
        <w:rPr>
          <w:rFonts w:ascii="Times New Roman" w:eastAsia="Times New Roman" w:hAnsi="Times New Roman" w:cs="Times New Roman"/>
          <w:sz w:val="24"/>
          <w:szCs w:val="24"/>
        </w:rPr>
        <w:t xml:space="preserve">a × b), where </w:t>
      </w:r>
      <w:r w:rsidRPr="0084425D">
        <w:rPr>
          <w:rFonts w:ascii="Times New Roman" w:eastAsia="Times New Roman" w:hAnsi="Times New Roman" w:cs="Times New Roman"/>
          <w:i/>
          <w:iCs/>
          <w:sz w:val="24"/>
          <w:szCs w:val="24"/>
        </w:rPr>
        <w:t>a</w:t>
      </w:r>
      <w:r w:rsidRPr="0084425D">
        <w:rPr>
          <w:rFonts w:ascii="Times New Roman" w:eastAsia="Times New Roman" w:hAnsi="Times New Roman" w:cs="Times New Roman"/>
          <w:sz w:val="24"/>
          <w:szCs w:val="24"/>
        </w:rPr>
        <w:t xml:space="preserve"> is the maximum dose with 0% mortality (2900 mg/kg) and </w:t>
      </w:r>
      <w:r w:rsidRPr="0084425D">
        <w:rPr>
          <w:rFonts w:ascii="Times New Roman" w:eastAsia="Times New Roman" w:hAnsi="Times New Roman" w:cs="Times New Roman"/>
          <w:i/>
          <w:iCs/>
          <w:sz w:val="24"/>
          <w:szCs w:val="24"/>
        </w:rPr>
        <w:t>b</w:t>
      </w:r>
      <w:r w:rsidRPr="0084425D">
        <w:rPr>
          <w:rFonts w:ascii="Times New Roman" w:eastAsia="Times New Roman" w:hAnsi="Times New Roman" w:cs="Times New Roman"/>
          <w:sz w:val="24"/>
          <w:szCs w:val="24"/>
        </w:rPr>
        <w:t xml:space="preserve"> is the minimum dose with 100% mortality (5000 mg/kg), the calculated LD₅₀ was </w:t>
      </w:r>
      <w:proofErr w:type="gramStart"/>
      <w:r w:rsidRPr="0084425D">
        <w:rPr>
          <w:rFonts w:ascii="Times New Roman" w:eastAsia="Times New Roman" w:hAnsi="Times New Roman" w:cs="Times New Roman"/>
          <w:sz w:val="24"/>
          <w:szCs w:val="24"/>
        </w:rPr>
        <w:t>√(</w:t>
      </w:r>
      <w:proofErr w:type="gramEnd"/>
      <w:r w:rsidRPr="0084425D">
        <w:rPr>
          <w:rFonts w:ascii="Times New Roman" w:eastAsia="Times New Roman" w:hAnsi="Times New Roman" w:cs="Times New Roman"/>
          <w:sz w:val="24"/>
          <w:szCs w:val="24"/>
        </w:rPr>
        <w:t xml:space="preserve">2900 × 5000) = </w:t>
      </w:r>
      <w:r w:rsidRPr="0084425D">
        <w:rPr>
          <w:rFonts w:ascii="Times New Roman" w:eastAsia="Times New Roman" w:hAnsi="Times New Roman" w:cs="Times New Roman"/>
          <w:bCs/>
          <w:sz w:val="24"/>
          <w:szCs w:val="24"/>
        </w:rPr>
        <w:t>3807.89 mg/kg</w:t>
      </w:r>
      <w:r>
        <w:rPr>
          <w:rFonts w:ascii="Times New Roman" w:eastAsia="Times New Roman" w:hAnsi="Times New Roman" w:cs="Times New Roman"/>
          <w:bCs/>
          <w:sz w:val="24"/>
          <w:szCs w:val="24"/>
        </w:rPr>
        <w:t xml:space="preserve"> via oral route</w:t>
      </w:r>
      <w:r w:rsidR="00D5597A">
        <w:rPr>
          <w:rFonts w:ascii="Times New Roman" w:eastAsia="Times New Roman" w:hAnsi="Times New Roman" w:cs="Times New Roman"/>
          <w:sz w:val="24"/>
          <w:szCs w:val="24"/>
        </w:rPr>
        <w:t>.</w:t>
      </w:r>
    </w:p>
    <w:p w14:paraId="288EAF4F" w14:textId="77777777" w:rsidR="00B9681C" w:rsidRPr="003C5D8A" w:rsidRDefault="00D5597A" w:rsidP="00504C86">
      <w:pPr>
        <w:pStyle w:val="NormalWeb"/>
        <w:spacing w:line="480" w:lineRule="auto"/>
        <w:jc w:val="both"/>
        <w:rPr>
          <w:b/>
        </w:rPr>
      </w:pPr>
      <w:r>
        <w:rPr>
          <w:b/>
        </w:rPr>
        <w:t xml:space="preserve">2.4 </w:t>
      </w:r>
      <w:r w:rsidR="00B9681C" w:rsidRPr="003C5D8A">
        <w:rPr>
          <w:b/>
        </w:rPr>
        <w:t>Animal Grouping and Experimental Procedures</w:t>
      </w:r>
    </w:p>
    <w:p w14:paraId="04E837B4" w14:textId="77777777" w:rsidR="00B9681C" w:rsidRPr="00B9681C" w:rsidRDefault="00B9681C" w:rsidP="00504C86">
      <w:pPr>
        <w:pStyle w:val="NormalWeb"/>
        <w:spacing w:line="480" w:lineRule="auto"/>
        <w:jc w:val="both"/>
      </w:pPr>
      <w:r w:rsidRPr="00B9681C">
        <w:t>The animals were randomly divided int</w:t>
      </w:r>
      <w:r w:rsidR="005A3AE3">
        <w:t>o four groups of 6 animals each. Group A served as control and received only rat feed and distilled water.</w:t>
      </w:r>
      <w:r w:rsidR="003C5D8A">
        <w:t xml:space="preserve"> </w:t>
      </w:r>
      <w:r w:rsidR="005A3AE3">
        <w:t>Group B received 100mg/kg/</w:t>
      </w:r>
      <w:proofErr w:type="spellStart"/>
      <w:r w:rsidR="005A3AE3">
        <w:t>bw</w:t>
      </w:r>
      <w:proofErr w:type="spellEnd"/>
      <w:r w:rsidR="005A3AE3">
        <w:t xml:space="preserve"> of </w:t>
      </w:r>
      <w:r w:rsidR="005A3AE3" w:rsidRPr="005A3AE3">
        <w:t>pawpaw</w:t>
      </w:r>
      <w:r w:rsidR="005A3AE3">
        <w:t xml:space="preserve"> sap</w:t>
      </w:r>
      <w:r w:rsidR="003C5D8A">
        <w:t xml:space="preserve">, </w:t>
      </w:r>
      <w:r w:rsidR="005A3AE3">
        <w:lastRenderedPageBreak/>
        <w:t>Group C received 200mg/kg/</w:t>
      </w:r>
      <w:proofErr w:type="spellStart"/>
      <w:r w:rsidR="005A3AE3">
        <w:t>bw</w:t>
      </w:r>
      <w:proofErr w:type="spellEnd"/>
      <w:r w:rsidR="005A3AE3">
        <w:t xml:space="preserve"> of </w:t>
      </w:r>
      <w:r w:rsidR="005A3AE3" w:rsidRPr="00AA5B22">
        <w:t>pawpaw</w:t>
      </w:r>
      <w:r w:rsidR="005A3AE3">
        <w:t xml:space="preserve"> sap while Group D received 400mg/kg/</w:t>
      </w:r>
      <w:proofErr w:type="spellStart"/>
      <w:r w:rsidR="005A3AE3">
        <w:t>bw</w:t>
      </w:r>
      <w:proofErr w:type="spellEnd"/>
      <w:r w:rsidR="005A3AE3">
        <w:t xml:space="preserve"> of </w:t>
      </w:r>
      <w:r w:rsidR="005A3AE3" w:rsidRPr="005A3AE3">
        <w:t>pawpaw</w:t>
      </w:r>
      <w:r w:rsidR="005A3AE3">
        <w:t xml:space="preserve"> sap</w:t>
      </w:r>
      <w:r w:rsidR="003C5D8A">
        <w:t xml:space="preserve">. </w:t>
      </w:r>
      <w:r w:rsidR="005A3AE3">
        <w:t>P</w:t>
      </w:r>
      <w:r w:rsidRPr="00B9681C">
        <w:t xml:space="preserve">awpaw sap </w:t>
      </w:r>
      <w:r w:rsidR="005A3AE3">
        <w:t xml:space="preserve">was administered orally and once daily </w:t>
      </w:r>
      <w:r w:rsidRPr="00B9681C">
        <w:t>over two weeks.</w:t>
      </w:r>
      <w:r w:rsidR="005A7E9D">
        <w:t xml:space="preserve"> All experimental rats were allowed free access to rat feed and distilled water.</w:t>
      </w:r>
    </w:p>
    <w:p w14:paraId="5BADAB3D" w14:textId="77777777" w:rsidR="00E760FC" w:rsidRPr="00E760FC" w:rsidRDefault="00D5597A" w:rsidP="00504C8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2.5 </w:t>
      </w:r>
      <w:r w:rsidR="00E760FC">
        <w:rPr>
          <w:rFonts w:ascii="Times New Roman" w:eastAsia="Times New Roman" w:hAnsi="Times New Roman" w:cs="Times New Roman"/>
          <w:b/>
          <w:bCs/>
          <w:sz w:val="24"/>
          <w:szCs w:val="24"/>
        </w:rPr>
        <w:t xml:space="preserve">Termination of Experiment and </w:t>
      </w:r>
      <w:r w:rsidR="00E760FC" w:rsidRPr="00E760FC">
        <w:rPr>
          <w:rFonts w:ascii="Times New Roman" w:eastAsia="Times New Roman" w:hAnsi="Times New Roman" w:cs="Times New Roman"/>
          <w:b/>
          <w:bCs/>
          <w:sz w:val="24"/>
          <w:szCs w:val="24"/>
        </w:rPr>
        <w:t xml:space="preserve">Sample </w:t>
      </w:r>
      <w:r w:rsidR="00E760FC">
        <w:rPr>
          <w:rFonts w:ascii="Times New Roman" w:eastAsia="Times New Roman" w:hAnsi="Times New Roman" w:cs="Times New Roman"/>
          <w:b/>
          <w:bCs/>
          <w:sz w:val="24"/>
          <w:szCs w:val="24"/>
        </w:rPr>
        <w:t>Collection</w:t>
      </w:r>
    </w:p>
    <w:p w14:paraId="308F1B80" w14:textId="77777777" w:rsidR="00E760FC" w:rsidRPr="00E760FC" w:rsidRDefault="00E760FC" w:rsidP="00504C8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Twenty-four</w:t>
      </w:r>
      <w:r w:rsidRPr="00E760FC">
        <w:rPr>
          <w:rFonts w:ascii="Times New Roman" w:eastAsia="Times New Roman" w:hAnsi="Times New Roman" w:cs="Times New Roman"/>
          <w:sz w:val="24"/>
          <w:szCs w:val="24"/>
        </w:rPr>
        <w:t xml:space="preserve"> hours after the final administration, all animals were fasted overnight and subsequently anesthetized using ketamine hydrochloride. Blood samples were then drawn via ocul</w:t>
      </w:r>
      <w:r>
        <w:rPr>
          <w:rFonts w:ascii="Times New Roman" w:eastAsia="Times New Roman" w:hAnsi="Times New Roman" w:cs="Times New Roman"/>
          <w:sz w:val="24"/>
          <w:szCs w:val="24"/>
        </w:rPr>
        <w:t>ar puncture for liver function test</w:t>
      </w:r>
      <w:r w:rsidRPr="00E760FC">
        <w:rPr>
          <w:rFonts w:ascii="Times New Roman" w:eastAsia="Times New Roman" w:hAnsi="Times New Roman" w:cs="Times New Roman"/>
          <w:sz w:val="24"/>
          <w:szCs w:val="24"/>
        </w:rPr>
        <w:t xml:space="preserve"> and transferred into sterile, plain glass tubes without any anticoagulant. The collected blood was centrifuged using a New Life model laboratory ultracentrifuge, after which the serum was separated and stored under refrigeration until analysis.</w:t>
      </w:r>
    </w:p>
    <w:p w14:paraId="7D1EDD41" w14:textId="77777777" w:rsidR="00E760FC" w:rsidRPr="00D5597A" w:rsidRDefault="00E760FC" w:rsidP="00D5597A">
      <w:pPr>
        <w:spacing w:before="100" w:beforeAutospacing="1" w:after="100" w:afterAutospacing="1" w:line="480" w:lineRule="auto"/>
        <w:jc w:val="both"/>
        <w:rPr>
          <w:rFonts w:ascii="Times New Roman" w:eastAsia="Times New Roman" w:hAnsi="Times New Roman" w:cs="Times New Roman"/>
          <w:sz w:val="24"/>
          <w:szCs w:val="24"/>
        </w:rPr>
      </w:pPr>
      <w:r w:rsidRPr="00E760FC">
        <w:rPr>
          <w:rFonts w:ascii="Times New Roman" w:eastAsia="Times New Roman" w:hAnsi="Times New Roman" w:cs="Times New Roman"/>
          <w:sz w:val="24"/>
          <w:szCs w:val="24"/>
        </w:rPr>
        <w:t>While still under anesthesia, the animals were humanely euthanized. A midline incision was made in the abdominal region to access the interna</w:t>
      </w:r>
      <w:r>
        <w:rPr>
          <w:rFonts w:ascii="Times New Roman" w:eastAsia="Times New Roman" w:hAnsi="Times New Roman" w:cs="Times New Roman"/>
          <w:sz w:val="24"/>
          <w:szCs w:val="24"/>
        </w:rPr>
        <w:t>l organs. The livers were</w:t>
      </w:r>
      <w:r w:rsidRPr="00E760FC">
        <w:rPr>
          <w:rFonts w:ascii="Times New Roman" w:eastAsia="Times New Roman" w:hAnsi="Times New Roman" w:cs="Times New Roman"/>
          <w:sz w:val="24"/>
          <w:szCs w:val="24"/>
        </w:rPr>
        <w:t xml:space="preserve"> carefully removed, rinsed with normal saline to eliminate residual blood, gently blotted dry, weighed, and fixed in 10% formal saline solution inside universal bottles for histopathological assessment. The remains of the animals were then disposed of in accordance with approved i</w:t>
      </w:r>
      <w:r w:rsidR="00D5597A">
        <w:rPr>
          <w:rFonts w:ascii="Times New Roman" w:eastAsia="Times New Roman" w:hAnsi="Times New Roman" w:cs="Times New Roman"/>
          <w:sz w:val="24"/>
          <w:szCs w:val="24"/>
        </w:rPr>
        <w:t>nstitutional ethical protocols.</w:t>
      </w:r>
    </w:p>
    <w:p w14:paraId="241B0C10" w14:textId="77777777" w:rsidR="00DD3339" w:rsidRPr="008F0FD2" w:rsidRDefault="00D5597A" w:rsidP="00504C86">
      <w:pPr>
        <w:pStyle w:val="Heading3"/>
        <w:spacing w:line="480" w:lineRule="auto"/>
        <w:rPr>
          <w:sz w:val="24"/>
          <w:szCs w:val="24"/>
        </w:rPr>
      </w:pPr>
      <w:r>
        <w:rPr>
          <w:sz w:val="24"/>
          <w:szCs w:val="24"/>
        </w:rPr>
        <w:t xml:space="preserve">2.6 </w:t>
      </w:r>
      <w:r w:rsidR="00DD3339" w:rsidRPr="008F0FD2">
        <w:rPr>
          <w:sz w:val="24"/>
          <w:szCs w:val="24"/>
        </w:rPr>
        <w:t>Liver Function Tests</w:t>
      </w:r>
    </w:p>
    <w:p w14:paraId="3CAA889F" w14:textId="77777777" w:rsidR="00DD3339" w:rsidRPr="00DD3339" w:rsidRDefault="00D5597A" w:rsidP="00504C86">
      <w:pPr>
        <w:pStyle w:val="NormalWeb"/>
        <w:spacing w:after="0" w:afterAutospacing="0" w:line="480" w:lineRule="auto"/>
        <w:rPr>
          <w:sz w:val="14"/>
        </w:rPr>
      </w:pPr>
      <w:r>
        <w:rPr>
          <w:rStyle w:val="Strong"/>
        </w:rPr>
        <w:t xml:space="preserve">2.6.1 </w:t>
      </w:r>
      <w:r w:rsidR="00DD3339">
        <w:rPr>
          <w:rStyle w:val="Strong"/>
        </w:rPr>
        <w:t>Aspartate Aminotransferase (AST) Activity</w:t>
      </w:r>
    </w:p>
    <w:p w14:paraId="75480830" w14:textId="77777777" w:rsidR="00DD3339" w:rsidRDefault="00DD3339" w:rsidP="00504C86">
      <w:pPr>
        <w:pStyle w:val="NormalWeb"/>
        <w:spacing w:line="480" w:lineRule="auto"/>
        <w:jc w:val="both"/>
      </w:pPr>
      <w:r>
        <w:t>The activity of serum AST was determined using the spectrophotometric method recommended by the World Health Organization (WHO, 2004). AST catalyzes the transfer of an amino group from L-aspartate to alpha-oxoglutarate, producing oxaloacetate. The resulting oxaloacetate reacts with NADH to form NAD⁺, and enzyme activity is measured based on the rate of NADH oxidation.</w:t>
      </w:r>
    </w:p>
    <w:p w14:paraId="676EFDC4" w14:textId="77777777" w:rsidR="00DD3339" w:rsidRDefault="00DD3339" w:rsidP="00504C86">
      <w:pPr>
        <w:pStyle w:val="NormalWeb"/>
        <w:spacing w:line="480" w:lineRule="auto"/>
        <w:jc w:val="both"/>
      </w:pPr>
      <w:r>
        <w:t xml:space="preserve">For the assay, 100 µl of serum was added to a test tube containing 0.5 ml of AST reagent 1. After incubation at 37°C for 30 minutes, 0.5 ml of AST reagent 2 was added. Following a 20-minute </w:t>
      </w:r>
      <w:r>
        <w:lastRenderedPageBreak/>
        <w:t>reaction at room temperature, sodium hydroxide was introduced, and absorbance was measured at 546 nm.</w:t>
      </w:r>
    </w:p>
    <w:p w14:paraId="280A2A70" w14:textId="77777777" w:rsidR="00DD3339" w:rsidRPr="00DD3339" w:rsidRDefault="00D5597A" w:rsidP="00504C86">
      <w:pPr>
        <w:pStyle w:val="NormalWeb"/>
        <w:spacing w:after="0" w:afterAutospacing="0" w:line="480" w:lineRule="auto"/>
        <w:rPr>
          <w:sz w:val="10"/>
        </w:rPr>
      </w:pPr>
      <w:r>
        <w:rPr>
          <w:rStyle w:val="Strong"/>
        </w:rPr>
        <w:t xml:space="preserve">2.6.2 </w:t>
      </w:r>
      <w:r w:rsidR="00DD3339">
        <w:rPr>
          <w:rStyle w:val="Strong"/>
        </w:rPr>
        <w:t>Alanine Aminotransferase (ALT) Activity</w:t>
      </w:r>
      <w:r w:rsidR="00DD3339">
        <w:br/>
      </w:r>
    </w:p>
    <w:p w14:paraId="290AC32F" w14:textId="77777777" w:rsidR="00DD3339" w:rsidRDefault="00DD3339" w:rsidP="00504C86">
      <w:pPr>
        <w:pStyle w:val="NormalWeb"/>
        <w:spacing w:before="0" w:beforeAutospacing="0" w:line="480" w:lineRule="auto"/>
        <w:jc w:val="both"/>
      </w:pPr>
      <w:r>
        <w:t>Serum ALT levels were also determined following the WHO (2004) spectrophotometric method. ALT catalyzes the transfer of an amino group from alanine to oxoglutarate, producing pyruvate and L-glutamate. Pyruvate is then reduced by NADH to lactate, and the reduction in NADH absorbance is used to quantify enzyme activity.</w:t>
      </w:r>
    </w:p>
    <w:p w14:paraId="1CEEBA44" w14:textId="77777777" w:rsidR="00DD3339" w:rsidRDefault="00DD3339" w:rsidP="00504C86">
      <w:pPr>
        <w:pStyle w:val="NormalWeb"/>
        <w:spacing w:line="480" w:lineRule="auto"/>
        <w:jc w:val="both"/>
      </w:pPr>
      <w:r>
        <w:t>The same procedure used for AST was followed for ALT determination.</w:t>
      </w:r>
    </w:p>
    <w:p w14:paraId="0D6C9487" w14:textId="77777777" w:rsidR="00DD3339" w:rsidRPr="00DD3339" w:rsidRDefault="00D5597A" w:rsidP="00504C86">
      <w:pPr>
        <w:pStyle w:val="NormalWeb"/>
        <w:spacing w:after="0" w:afterAutospacing="0" w:line="480" w:lineRule="auto"/>
        <w:rPr>
          <w:sz w:val="12"/>
        </w:rPr>
      </w:pPr>
      <w:r>
        <w:rPr>
          <w:rStyle w:val="Strong"/>
        </w:rPr>
        <w:t xml:space="preserve">2.6.3 </w:t>
      </w:r>
      <w:r w:rsidR="00DD3339">
        <w:rPr>
          <w:rStyle w:val="Strong"/>
        </w:rPr>
        <w:t>Alkaline Phosphatase (ALP) Activity</w:t>
      </w:r>
    </w:p>
    <w:p w14:paraId="198AC002" w14:textId="77777777" w:rsidR="00DD3339" w:rsidRDefault="00DD3339" w:rsidP="00504C86">
      <w:pPr>
        <w:pStyle w:val="NormalWeb"/>
        <w:spacing w:before="0" w:beforeAutospacing="0" w:line="480" w:lineRule="auto"/>
        <w:jc w:val="both"/>
      </w:pPr>
      <w:r>
        <w:t>Serum ALP activity was measured using the WHO standard method (2004). ALP hydrolyzes p-nitrophenyl phosphate into p-nitrophenol and phosphate. The concentration of p-nitrophenol, which is directly proportional to enzyme activity, was measured spectrophotometrically.</w:t>
      </w:r>
    </w:p>
    <w:p w14:paraId="7AF4D2B5" w14:textId="77777777" w:rsidR="008F0FD2" w:rsidRPr="00D5597A" w:rsidRDefault="00DD3339" w:rsidP="00D5597A">
      <w:pPr>
        <w:pStyle w:val="NormalWeb"/>
        <w:spacing w:line="480" w:lineRule="auto"/>
        <w:jc w:val="both"/>
      </w:pPr>
      <w:r>
        <w:t>A 20 µl serum sample was added to test tubes containing ALP reagent. Absorbance was recorded at 1, 2, and 3-minute intervals. Enzyme activity was calculated using the formula:</w:t>
      </w:r>
      <w:r>
        <w:br/>
      </w:r>
      <w:r w:rsidRPr="00DD3339">
        <w:rPr>
          <w:rStyle w:val="Strong"/>
          <w:b w:val="0"/>
        </w:rPr>
        <w:t>U/L = 2760 × ΔA</w:t>
      </w:r>
    </w:p>
    <w:p w14:paraId="1D445C9F" w14:textId="77777777" w:rsidR="00B9681C" w:rsidRPr="003C5D8A" w:rsidRDefault="00D5597A" w:rsidP="00504C86">
      <w:pPr>
        <w:pStyle w:val="NormalWeb"/>
        <w:spacing w:line="480" w:lineRule="auto"/>
        <w:jc w:val="both"/>
        <w:rPr>
          <w:b/>
        </w:rPr>
      </w:pPr>
      <w:r>
        <w:rPr>
          <w:b/>
        </w:rPr>
        <w:t xml:space="preserve">2.7 </w:t>
      </w:r>
      <w:r w:rsidR="00B9681C" w:rsidRPr="003C5D8A">
        <w:rPr>
          <w:b/>
        </w:rPr>
        <w:t>Tissue Processing</w:t>
      </w:r>
    </w:p>
    <w:p w14:paraId="62A204C5" w14:textId="77777777" w:rsidR="00B9681C" w:rsidRPr="00B9681C" w:rsidRDefault="00B9681C" w:rsidP="00504C86">
      <w:pPr>
        <w:pStyle w:val="NormalWeb"/>
        <w:spacing w:line="480" w:lineRule="auto"/>
        <w:jc w:val="both"/>
      </w:pPr>
      <w:r w:rsidRPr="00B9681C">
        <w:t xml:space="preserve">Tissues </w:t>
      </w:r>
      <w:r w:rsidR="003C5D8A">
        <w:t xml:space="preserve">(liver) </w:t>
      </w:r>
      <w:r w:rsidRPr="00B9681C">
        <w:t xml:space="preserve">were processed </w:t>
      </w:r>
      <w:r w:rsidR="003C5D8A">
        <w:t xml:space="preserve">via H&amp;E method </w:t>
      </w:r>
      <w:r w:rsidRPr="00B9681C">
        <w:t>through fixation, dehydration, clearing, infiltration, embedding, sectioning, and staining. Fixation was done in 10% neutral buffered formalin. Dehydration used increasing alcohol concentrations, clearing in xylene, and infiltration in paraffin wax. Sections were obtained after embedding.</w:t>
      </w:r>
      <w:r w:rsidR="0024149B">
        <w:t xml:space="preserve"> </w:t>
      </w:r>
      <w:r w:rsidRPr="00B9681C">
        <w:t>Sections were dewaxed in xylene, rehydrated through descending alcohol grades, washed in water, stained with hematoxylin (20 min</w:t>
      </w:r>
      <w:r w:rsidR="004C3A26">
        <w:t>utes</w:t>
      </w:r>
      <w:r w:rsidRPr="00B9681C">
        <w:t>), differen</w:t>
      </w:r>
      <w:r w:rsidR="00045A51">
        <w:t>tiated in 2% acid alcohol</w:t>
      </w:r>
      <w:r w:rsidRPr="00B9681C">
        <w:t xml:space="preserve"> and counterstained with eosin (30 sec</w:t>
      </w:r>
      <w:r w:rsidR="00045A51">
        <w:t>onds</w:t>
      </w:r>
      <w:r w:rsidRPr="00B9681C">
        <w:t xml:space="preserve">). They were </w:t>
      </w:r>
      <w:r w:rsidRPr="00B9681C">
        <w:lastRenderedPageBreak/>
        <w:t>dehydrated, cleared, and mounted using DPX.</w:t>
      </w:r>
      <w:r w:rsidR="0024149B">
        <w:t xml:space="preserve"> </w:t>
      </w:r>
      <w:r w:rsidRPr="00B9681C">
        <w:t>Tissues were viewed with a digital light microscope. Photomicrographs were taken at x400 magnification using OMAX software. NIH ImageJ software was used for digital analysis (</w:t>
      </w:r>
      <w:proofErr w:type="spellStart"/>
      <w:r w:rsidRPr="00B9681C">
        <w:t>Erukainure</w:t>
      </w:r>
      <w:proofErr w:type="spellEnd"/>
      <w:r w:rsidRPr="00B9681C">
        <w:t xml:space="preserve"> </w:t>
      </w:r>
      <w:r w:rsidR="00F43F8F" w:rsidRPr="00F43F8F">
        <w:rPr>
          <w:i/>
        </w:rPr>
        <w:t>et al</w:t>
      </w:r>
      <w:r w:rsidRPr="00B9681C">
        <w:t>., 2019).</w:t>
      </w:r>
    </w:p>
    <w:p w14:paraId="7C9DDE91" w14:textId="77777777" w:rsidR="00B9681C" w:rsidRPr="0024149B" w:rsidRDefault="00D5597A" w:rsidP="00504C86">
      <w:pPr>
        <w:pStyle w:val="NormalWeb"/>
        <w:spacing w:line="480" w:lineRule="auto"/>
        <w:jc w:val="both"/>
        <w:rPr>
          <w:b/>
        </w:rPr>
      </w:pPr>
      <w:r>
        <w:rPr>
          <w:b/>
        </w:rPr>
        <w:t xml:space="preserve">2.8 </w:t>
      </w:r>
      <w:r w:rsidR="00B9681C" w:rsidRPr="0024149B">
        <w:rPr>
          <w:b/>
        </w:rPr>
        <w:t>Data Analysis</w:t>
      </w:r>
    </w:p>
    <w:p w14:paraId="4F705B2F" w14:textId="77777777" w:rsidR="00F87345" w:rsidRPr="00DD3339" w:rsidRDefault="00B9681C" w:rsidP="00504C86">
      <w:pPr>
        <w:pStyle w:val="NormalWeb"/>
        <w:spacing w:line="480" w:lineRule="auto"/>
        <w:jc w:val="both"/>
      </w:pPr>
      <w:r w:rsidRPr="00B9681C">
        <w:t>Data were analyzed using SPSS version 27.0.1. Results were presented as Mean ± Standard Deviation (SD). One-way ANOVA was used for comparisons, with p ≤ 0.05 considered statistically significant.</w:t>
      </w:r>
    </w:p>
    <w:p w14:paraId="2466F351" w14:textId="77777777" w:rsidR="00F87345" w:rsidRPr="00F87345" w:rsidRDefault="00F87345" w:rsidP="00504C86">
      <w:pPr>
        <w:spacing w:line="480" w:lineRule="auto"/>
        <w:jc w:val="center"/>
        <w:rPr>
          <w:rFonts w:ascii="Times New Roman" w:hAnsi="Times New Roman" w:cs="Times New Roman"/>
          <w:b/>
          <w:sz w:val="24"/>
          <w:szCs w:val="24"/>
        </w:rPr>
      </w:pPr>
    </w:p>
    <w:p w14:paraId="1C912AB7" w14:textId="77777777" w:rsidR="00F87345" w:rsidRPr="00F87345" w:rsidRDefault="00D5597A" w:rsidP="00504C86">
      <w:pPr>
        <w:spacing w:after="0"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t xml:space="preserve">3.0 </w:t>
      </w:r>
      <w:r w:rsidR="00F87345" w:rsidRPr="00F87345">
        <w:rPr>
          <w:rFonts w:ascii="Times New Roman" w:hAnsi="Times New Roman" w:cs="Times New Roman"/>
          <w:b/>
          <w:sz w:val="24"/>
          <w:szCs w:val="24"/>
          <w:lang w:bidi="en-US"/>
        </w:rPr>
        <w:t>RESULTS</w:t>
      </w:r>
    </w:p>
    <w:p w14:paraId="0820827B" w14:textId="77777777" w:rsidR="00F87345" w:rsidRPr="00F87345" w:rsidRDefault="00D5597A" w:rsidP="00504C86">
      <w:pPr>
        <w:spacing w:line="480" w:lineRule="auto"/>
        <w:jc w:val="both"/>
        <w:rPr>
          <w:rFonts w:ascii="Times New Roman" w:eastAsia="SimSun" w:hAnsi="Times New Roman" w:cs="Times New Roman"/>
          <w:b/>
          <w:bCs/>
          <w:color w:val="000000"/>
          <w:sz w:val="24"/>
          <w:szCs w:val="24"/>
          <w:lang w:eastAsia="zh-CN"/>
        </w:rPr>
      </w:pPr>
      <w:r>
        <w:rPr>
          <w:rFonts w:ascii="Times New Roman" w:eastAsia="SimSun" w:hAnsi="Times New Roman" w:cs="Times New Roman"/>
          <w:b/>
          <w:bCs/>
          <w:color w:val="000000"/>
          <w:sz w:val="24"/>
          <w:szCs w:val="24"/>
          <w:lang w:eastAsia="zh-CN"/>
        </w:rPr>
        <w:t xml:space="preserve">3.1 </w:t>
      </w:r>
      <w:r w:rsidR="00F87345" w:rsidRPr="00F87345">
        <w:rPr>
          <w:rFonts w:ascii="Times New Roman" w:eastAsia="SimSun" w:hAnsi="Times New Roman" w:cs="Times New Roman"/>
          <w:b/>
          <w:bCs/>
          <w:color w:val="000000"/>
          <w:sz w:val="24"/>
          <w:szCs w:val="24"/>
          <w:lang w:eastAsia="zh-CN"/>
        </w:rPr>
        <w:t>Effect of Pawpaw sap on the Animal Body Weight</w:t>
      </w:r>
    </w:p>
    <w:p w14:paraId="623A4D8C" w14:textId="77777777" w:rsidR="008716EE" w:rsidRPr="008716EE" w:rsidRDefault="008716EE" w:rsidP="00504C8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8716EE">
        <w:rPr>
          <w:rFonts w:ascii="Times New Roman" w:hAnsi="Times New Roman" w:cs="Times New Roman"/>
          <w:sz w:val="24"/>
          <w:szCs w:val="24"/>
        </w:rPr>
        <w:t>able</w:t>
      </w:r>
      <w:r>
        <w:rPr>
          <w:rFonts w:ascii="Times New Roman" w:hAnsi="Times New Roman" w:cs="Times New Roman"/>
          <w:sz w:val="24"/>
          <w:szCs w:val="24"/>
        </w:rPr>
        <w:t xml:space="preserve"> 1.0</w:t>
      </w:r>
      <w:r w:rsidRPr="008716EE">
        <w:rPr>
          <w:rFonts w:ascii="Times New Roman" w:hAnsi="Times New Roman" w:cs="Times New Roman"/>
          <w:sz w:val="24"/>
          <w:szCs w:val="24"/>
        </w:rPr>
        <w:t xml:space="preserve"> compares the body weights of Wistar rats before and after administration of </w:t>
      </w:r>
      <w:r w:rsidR="00F43F8F" w:rsidRPr="00F43F8F">
        <w:rPr>
          <w:rFonts w:ascii="Times New Roman" w:hAnsi="Times New Roman" w:cs="Times New Roman"/>
          <w:i/>
          <w:sz w:val="24"/>
          <w:szCs w:val="24"/>
        </w:rPr>
        <w:t>Carica papaya</w:t>
      </w:r>
      <w:r w:rsidRPr="008716EE">
        <w:rPr>
          <w:rFonts w:ascii="Times New Roman" w:hAnsi="Times New Roman" w:cs="Times New Roman"/>
          <w:sz w:val="24"/>
          <w:szCs w:val="24"/>
        </w:rPr>
        <w:t xml:space="preserve"> sap. Across all groups, there were no statistically significant differences in body weight (p &gt; 0.05), indicating that the sap did not significantly affect overall body mass during the treatment period. This suggests that, within the given doses and duration, pawpaw sap does not alter weight gain or loss in male Wistar rats.</w:t>
      </w:r>
    </w:p>
    <w:p w14:paraId="71BDDBC8" w14:textId="77777777" w:rsidR="00AA31D0" w:rsidRPr="001C3857" w:rsidRDefault="001C3857" w:rsidP="00504C86">
      <w:pPr>
        <w:spacing w:before="240" w:after="0" w:line="480" w:lineRule="auto"/>
        <w:rPr>
          <w:rFonts w:ascii="Times New Roman" w:eastAsia="SimSun" w:hAnsi="Times New Roman" w:cs="Times New Roman"/>
          <w:bCs/>
          <w:color w:val="000000"/>
          <w:sz w:val="24"/>
          <w:szCs w:val="24"/>
          <w:lang w:eastAsia="zh-CN"/>
        </w:rPr>
      </w:pPr>
      <w:r w:rsidRPr="001C3857">
        <w:rPr>
          <w:rFonts w:ascii="Times New Roman" w:hAnsi="Times New Roman" w:cs="Times New Roman"/>
          <w:sz w:val="24"/>
          <w:szCs w:val="24"/>
          <w:lang w:eastAsia="zh-CN"/>
        </w:rPr>
        <w:t xml:space="preserve">Table </w:t>
      </w:r>
      <w:r w:rsidR="00F87345" w:rsidRPr="001C3857">
        <w:rPr>
          <w:rFonts w:ascii="Times New Roman" w:hAnsi="Times New Roman" w:cs="Times New Roman"/>
          <w:sz w:val="24"/>
          <w:szCs w:val="24"/>
          <w:lang w:eastAsia="zh-CN"/>
        </w:rPr>
        <w:t>1</w:t>
      </w:r>
      <w:r w:rsidRPr="001C3857">
        <w:rPr>
          <w:rFonts w:ascii="Times New Roman" w:hAnsi="Times New Roman" w:cs="Times New Roman"/>
          <w:sz w:val="24"/>
          <w:szCs w:val="24"/>
          <w:lang w:eastAsia="zh-CN"/>
        </w:rPr>
        <w:t>.0: E</w:t>
      </w:r>
      <w:r w:rsidR="00F87345" w:rsidRPr="001C3857">
        <w:rPr>
          <w:rFonts w:ascii="Times New Roman" w:hAnsi="Times New Roman" w:cs="Times New Roman"/>
          <w:sz w:val="24"/>
          <w:szCs w:val="24"/>
          <w:lang w:eastAsia="zh-CN"/>
        </w:rPr>
        <w:t xml:space="preserve">ffect of </w:t>
      </w:r>
      <w:r w:rsidR="00F87345" w:rsidRPr="001C3857">
        <w:rPr>
          <w:rFonts w:ascii="Times New Roman" w:eastAsia="SimSun" w:hAnsi="Times New Roman" w:cs="Times New Roman"/>
          <w:bCs/>
          <w:color w:val="000000"/>
          <w:sz w:val="24"/>
          <w:szCs w:val="24"/>
          <w:lang w:eastAsia="zh-CN"/>
        </w:rPr>
        <w:t>pawpaw sap on the body weight</w:t>
      </w:r>
    </w:p>
    <w:tbl>
      <w:tblPr>
        <w:tblStyle w:val="TableGrid"/>
        <w:tblW w:w="9355" w:type="dxa"/>
        <w:tblBorders>
          <w:left w:val="none" w:sz="0" w:space="0" w:color="auto"/>
          <w:right w:val="none" w:sz="0" w:space="0" w:color="auto"/>
          <w:insideV w:val="none" w:sz="0" w:space="0" w:color="auto"/>
        </w:tblBorders>
        <w:tblLook w:val="04A0" w:firstRow="1" w:lastRow="0" w:firstColumn="1" w:lastColumn="0" w:noHBand="0" w:noVBand="1"/>
      </w:tblPr>
      <w:tblGrid>
        <w:gridCol w:w="1870"/>
        <w:gridCol w:w="3345"/>
        <w:gridCol w:w="2700"/>
        <w:gridCol w:w="1440"/>
      </w:tblGrid>
      <w:tr w:rsidR="00AA31D0" w14:paraId="017E9A8A" w14:textId="77777777" w:rsidTr="00AA31D0">
        <w:tc>
          <w:tcPr>
            <w:tcW w:w="1870" w:type="dxa"/>
            <w:tcBorders>
              <w:bottom w:val="single" w:sz="4" w:space="0" w:color="auto"/>
            </w:tcBorders>
          </w:tcPr>
          <w:p w14:paraId="1BA58563" w14:textId="77777777" w:rsidR="00AA31D0" w:rsidRPr="00045A51" w:rsidRDefault="00AA31D0" w:rsidP="00504C86">
            <w:pPr>
              <w:spacing w:line="480" w:lineRule="auto"/>
            </w:pPr>
            <w:r>
              <w:t>Groups</w:t>
            </w:r>
          </w:p>
        </w:tc>
        <w:tc>
          <w:tcPr>
            <w:tcW w:w="3345" w:type="dxa"/>
            <w:tcBorders>
              <w:bottom w:val="single" w:sz="4" w:space="0" w:color="auto"/>
            </w:tcBorders>
          </w:tcPr>
          <w:p w14:paraId="37FAF903" w14:textId="77777777" w:rsidR="00AA31D0" w:rsidRPr="00045A51" w:rsidRDefault="00AA31D0" w:rsidP="00504C86">
            <w:pPr>
              <w:spacing w:line="480" w:lineRule="auto"/>
            </w:pPr>
            <w:r>
              <w:t>Administration</w:t>
            </w:r>
          </w:p>
        </w:tc>
        <w:tc>
          <w:tcPr>
            <w:tcW w:w="2700" w:type="dxa"/>
            <w:tcBorders>
              <w:bottom w:val="single" w:sz="4" w:space="0" w:color="auto"/>
            </w:tcBorders>
          </w:tcPr>
          <w:p w14:paraId="322FBDF5" w14:textId="77777777" w:rsidR="00AA31D0" w:rsidRPr="00045A51" w:rsidRDefault="00AA31D0" w:rsidP="00504C86">
            <w:pPr>
              <w:spacing w:line="480" w:lineRule="auto"/>
            </w:pPr>
            <w:proofErr w:type="spellStart"/>
            <w:r w:rsidRPr="00045A51">
              <w:t>Mean±Std</w:t>
            </w:r>
            <w:proofErr w:type="spellEnd"/>
            <w:r w:rsidRPr="00045A51">
              <w:t>. Error</w:t>
            </w:r>
          </w:p>
        </w:tc>
        <w:tc>
          <w:tcPr>
            <w:tcW w:w="1440" w:type="dxa"/>
            <w:tcBorders>
              <w:bottom w:val="single" w:sz="4" w:space="0" w:color="auto"/>
            </w:tcBorders>
          </w:tcPr>
          <w:p w14:paraId="6C973FFC" w14:textId="77777777" w:rsidR="00AA31D0" w:rsidRPr="00045A51" w:rsidRDefault="00AA31D0" w:rsidP="00504C86">
            <w:pPr>
              <w:spacing w:line="480" w:lineRule="auto"/>
            </w:pPr>
            <w:r>
              <w:t>P value</w:t>
            </w:r>
          </w:p>
        </w:tc>
      </w:tr>
      <w:tr w:rsidR="00AA31D0" w14:paraId="15D34E0A" w14:textId="77777777" w:rsidTr="00AA31D0">
        <w:tc>
          <w:tcPr>
            <w:tcW w:w="1870" w:type="dxa"/>
            <w:vMerge w:val="restart"/>
            <w:tcBorders>
              <w:bottom w:val="nil"/>
            </w:tcBorders>
          </w:tcPr>
          <w:p w14:paraId="70FB5A80" w14:textId="77777777" w:rsidR="00AA31D0" w:rsidRPr="00045A51" w:rsidRDefault="00AA31D0" w:rsidP="00504C86">
            <w:pPr>
              <w:spacing w:line="480" w:lineRule="auto"/>
            </w:pPr>
            <w:r w:rsidRPr="00045A51">
              <w:t xml:space="preserve">Group A </w:t>
            </w:r>
          </w:p>
        </w:tc>
        <w:tc>
          <w:tcPr>
            <w:tcW w:w="3345" w:type="dxa"/>
            <w:tcBorders>
              <w:bottom w:val="nil"/>
            </w:tcBorders>
          </w:tcPr>
          <w:p w14:paraId="75CBCD72" w14:textId="77777777" w:rsidR="00AA31D0" w:rsidRPr="00045A51" w:rsidRDefault="00AA31D0" w:rsidP="00504C86">
            <w:pPr>
              <w:spacing w:line="480" w:lineRule="auto"/>
            </w:pPr>
            <w:r w:rsidRPr="00045A51">
              <w:t>Pre-Administration Weight</w:t>
            </w:r>
          </w:p>
        </w:tc>
        <w:tc>
          <w:tcPr>
            <w:tcW w:w="2700" w:type="dxa"/>
            <w:tcBorders>
              <w:bottom w:val="nil"/>
            </w:tcBorders>
          </w:tcPr>
          <w:p w14:paraId="269577D7" w14:textId="77777777" w:rsidR="00AA31D0" w:rsidRPr="00045A51" w:rsidRDefault="00AA31D0" w:rsidP="00504C86">
            <w:pPr>
              <w:spacing w:line="480" w:lineRule="auto"/>
            </w:pPr>
            <w:r w:rsidRPr="00045A51">
              <w:t>160.00±13.61</w:t>
            </w:r>
          </w:p>
        </w:tc>
        <w:tc>
          <w:tcPr>
            <w:tcW w:w="1440" w:type="dxa"/>
            <w:tcBorders>
              <w:bottom w:val="nil"/>
            </w:tcBorders>
          </w:tcPr>
          <w:p w14:paraId="4F233C76" w14:textId="77777777" w:rsidR="00AA31D0" w:rsidRPr="00045A51" w:rsidRDefault="00AA31D0" w:rsidP="00504C86">
            <w:pPr>
              <w:spacing w:line="480" w:lineRule="auto"/>
            </w:pPr>
          </w:p>
        </w:tc>
      </w:tr>
      <w:tr w:rsidR="00AA31D0" w14:paraId="20AF09E6" w14:textId="77777777" w:rsidTr="00AA31D0">
        <w:tc>
          <w:tcPr>
            <w:tcW w:w="1870" w:type="dxa"/>
            <w:vMerge/>
            <w:tcBorders>
              <w:top w:val="nil"/>
              <w:bottom w:val="nil"/>
            </w:tcBorders>
          </w:tcPr>
          <w:p w14:paraId="6665A0EF" w14:textId="77777777" w:rsidR="00AA31D0"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63DBDFB7" w14:textId="77777777" w:rsidR="00AA31D0" w:rsidRDefault="00AA31D0" w:rsidP="00504C86">
            <w:pPr>
              <w:spacing w:line="480" w:lineRule="auto"/>
              <w:rPr>
                <w:rFonts w:ascii="Times New Roman" w:hAnsi="Times New Roman" w:cs="Times New Roman"/>
                <w:sz w:val="24"/>
                <w:szCs w:val="24"/>
              </w:rPr>
            </w:pPr>
            <w:r w:rsidRPr="00045A51">
              <w:t>Post- Administration Weight</w:t>
            </w:r>
          </w:p>
        </w:tc>
        <w:tc>
          <w:tcPr>
            <w:tcW w:w="2700" w:type="dxa"/>
            <w:tcBorders>
              <w:top w:val="nil"/>
              <w:bottom w:val="nil"/>
            </w:tcBorders>
          </w:tcPr>
          <w:p w14:paraId="05226918" w14:textId="77777777" w:rsidR="00AA31D0" w:rsidRDefault="00AA31D0" w:rsidP="00504C86">
            <w:pPr>
              <w:spacing w:line="480" w:lineRule="auto"/>
              <w:rPr>
                <w:rFonts w:ascii="Times New Roman" w:hAnsi="Times New Roman" w:cs="Times New Roman"/>
                <w:sz w:val="24"/>
                <w:szCs w:val="24"/>
              </w:rPr>
            </w:pPr>
            <w:r w:rsidRPr="00045A51">
              <w:t>159.20±40.70</w:t>
            </w:r>
          </w:p>
        </w:tc>
        <w:tc>
          <w:tcPr>
            <w:tcW w:w="1440" w:type="dxa"/>
            <w:tcBorders>
              <w:top w:val="nil"/>
              <w:bottom w:val="nil"/>
            </w:tcBorders>
          </w:tcPr>
          <w:p w14:paraId="142669A1" w14:textId="77777777" w:rsidR="00AA31D0" w:rsidRDefault="00AA31D0" w:rsidP="00504C86">
            <w:pPr>
              <w:spacing w:line="480" w:lineRule="auto"/>
              <w:rPr>
                <w:rFonts w:ascii="Times New Roman" w:hAnsi="Times New Roman" w:cs="Times New Roman"/>
                <w:sz w:val="24"/>
                <w:szCs w:val="24"/>
              </w:rPr>
            </w:pPr>
            <w:r w:rsidRPr="00045A51">
              <w:t>0.976</w:t>
            </w:r>
          </w:p>
        </w:tc>
      </w:tr>
      <w:tr w:rsidR="00AA31D0" w14:paraId="659D506B" w14:textId="77777777" w:rsidTr="00AA31D0">
        <w:tc>
          <w:tcPr>
            <w:tcW w:w="1870" w:type="dxa"/>
            <w:vMerge w:val="restart"/>
            <w:tcBorders>
              <w:top w:val="nil"/>
              <w:bottom w:val="nil"/>
            </w:tcBorders>
          </w:tcPr>
          <w:p w14:paraId="761B902C" w14:textId="77777777" w:rsidR="00AA31D0" w:rsidRPr="00045A51" w:rsidRDefault="00AA31D0" w:rsidP="00504C86">
            <w:pPr>
              <w:spacing w:line="480" w:lineRule="auto"/>
            </w:pPr>
            <w:r w:rsidRPr="00045A51">
              <w:t>Group B</w:t>
            </w:r>
          </w:p>
        </w:tc>
        <w:tc>
          <w:tcPr>
            <w:tcW w:w="3345" w:type="dxa"/>
            <w:tcBorders>
              <w:top w:val="nil"/>
              <w:bottom w:val="nil"/>
            </w:tcBorders>
          </w:tcPr>
          <w:p w14:paraId="1A76DD1A" w14:textId="77777777" w:rsidR="00AA31D0" w:rsidRPr="00045A51" w:rsidRDefault="00AA31D0" w:rsidP="00504C86">
            <w:pPr>
              <w:spacing w:line="480" w:lineRule="auto"/>
            </w:pPr>
            <w:r w:rsidRPr="00045A51">
              <w:t>Pre-Administration Weight</w:t>
            </w:r>
          </w:p>
        </w:tc>
        <w:tc>
          <w:tcPr>
            <w:tcW w:w="2700" w:type="dxa"/>
            <w:tcBorders>
              <w:top w:val="nil"/>
              <w:bottom w:val="nil"/>
            </w:tcBorders>
          </w:tcPr>
          <w:p w14:paraId="5D0CDE53" w14:textId="77777777" w:rsidR="00AA31D0" w:rsidRPr="00045A51" w:rsidRDefault="00AA31D0" w:rsidP="00504C86">
            <w:pPr>
              <w:spacing w:line="480" w:lineRule="auto"/>
            </w:pPr>
            <w:r w:rsidRPr="00045A51">
              <w:t>188.00±4.34</w:t>
            </w:r>
          </w:p>
        </w:tc>
        <w:tc>
          <w:tcPr>
            <w:tcW w:w="1440" w:type="dxa"/>
            <w:tcBorders>
              <w:top w:val="nil"/>
              <w:bottom w:val="nil"/>
            </w:tcBorders>
          </w:tcPr>
          <w:p w14:paraId="51B9F29D" w14:textId="77777777" w:rsidR="00AA31D0" w:rsidRPr="00045A51" w:rsidRDefault="00AA31D0" w:rsidP="00504C86">
            <w:pPr>
              <w:spacing w:line="480" w:lineRule="auto"/>
            </w:pPr>
          </w:p>
        </w:tc>
      </w:tr>
      <w:tr w:rsidR="00AA31D0" w14:paraId="24C61D75" w14:textId="77777777" w:rsidTr="00AA31D0">
        <w:tc>
          <w:tcPr>
            <w:tcW w:w="1870" w:type="dxa"/>
            <w:vMerge/>
            <w:tcBorders>
              <w:top w:val="nil"/>
              <w:bottom w:val="nil"/>
            </w:tcBorders>
          </w:tcPr>
          <w:p w14:paraId="5F22FB7A" w14:textId="77777777" w:rsidR="00AA31D0"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5C1652A8" w14:textId="77777777" w:rsidR="00AA31D0" w:rsidRDefault="00AA31D0" w:rsidP="00504C86">
            <w:pPr>
              <w:spacing w:line="480" w:lineRule="auto"/>
              <w:rPr>
                <w:rFonts w:ascii="Times New Roman" w:hAnsi="Times New Roman" w:cs="Times New Roman"/>
                <w:sz w:val="24"/>
                <w:szCs w:val="24"/>
              </w:rPr>
            </w:pPr>
            <w:r w:rsidRPr="00045A51">
              <w:t>Post- Administration Weight</w:t>
            </w:r>
          </w:p>
        </w:tc>
        <w:tc>
          <w:tcPr>
            <w:tcW w:w="2700" w:type="dxa"/>
            <w:tcBorders>
              <w:top w:val="nil"/>
              <w:bottom w:val="nil"/>
            </w:tcBorders>
          </w:tcPr>
          <w:p w14:paraId="5F6DE0FA" w14:textId="77777777" w:rsidR="00AA31D0" w:rsidRDefault="00AA31D0" w:rsidP="00504C86">
            <w:pPr>
              <w:spacing w:line="480" w:lineRule="auto"/>
              <w:rPr>
                <w:rFonts w:ascii="Times New Roman" w:hAnsi="Times New Roman" w:cs="Times New Roman"/>
                <w:sz w:val="24"/>
                <w:szCs w:val="24"/>
              </w:rPr>
            </w:pPr>
            <w:r w:rsidRPr="00045A51">
              <w:t>191.40±1.97</w:t>
            </w:r>
          </w:p>
        </w:tc>
        <w:tc>
          <w:tcPr>
            <w:tcW w:w="1440" w:type="dxa"/>
            <w:tcBorders>
              <w:top w:val="nil"/>
              <w:bottom w:val="nil"/>
            </w:tcBorders>
          </w:tcPr>
          <w:p w14:paraId="155CD0E2" w14:textId="77777777" w:rsidR="00AA31D0" w:rsidRDefault="00AA31D0" w:rsidP="00504C86">
            <w:pPr>
              <w:spacing w:line="480" w:lineRule="auto"/>
              <w:rPr>
                <w:rFonts w:ascii="Times New Roman" w:hAnsi="Times New Roman" w:cs="Times New Roman"/>
                <w:sz w:val="24"/>
                <w:szCs w:val="24"/>
              </w:rPr>
            </w:pPr>
            <w:r w:rsidRPr="00045A51">
              <w:t>0.548</w:t>
            </w:r>
          </w:p>
        </w:tc>
      </w:tr>
      <w:tr w:rsidR="00AA31D0" w14:paraId="42115B2B" w14:textId="77777777" w:rsidTr="00AA31D0">
        <w:tc>
          <w:tcPr>
            <w:tcW w:w="1870" w:type="dxa"/>
            <w:vMerge w:val="restart"/>
            <w:tcBorders>
              <w:top w:val="nil"/>
              <w:bottom w:val="nil"/>
            </w:tcBorders>
          </w:tcPr>
          <w:p w14:paraId="5F64E38C" w14:textId="77777777" w:rsidR="00AA31D0" w:rsidRPr="00045A51" w:rsidRDefault="00AA31D0" w:rsidP="00504C86">
            <w:pPr>
              <w:spacing w:line="480" w:lineRule="auto"/>
            </w:pPr>
            <w:r w:rsidRPr="00045A51">
              <w:t>Group C</w:t>
            </w:r>
          </w:p>
        </w:tc>
        <w:tc>
          <w:tcPr>
            <w:tcW w:w="3345" w:type="dxa"/>
            <w:tcBorders>
              <w:top w:val="nil"/>
              <w:bottom w:val="nil"/>
            </w:tcBorders>
          </w:tcPr>
          <w:p w14:paraId="3C7A6E17" w14:textId="77777777" w:rsidR="00AA31D0" w:rsidRPr="00045A51" w:rsidRDefault="00AA31D0" w:rsidP="00504C86">
            <w:pPr>
              <w:spacing w:line="480" w:lineRule="auto"/>
            </w:pPr>
            <w:r w:rsidRPr="00045A51">
              <w:t>Pre-Administration Weight</w:t>
            </w:r>
          </w:p>
        </w:tc>
        <w:tc>
          <w:tcPr>
            <w:tcW w:w="2700" w:type="dxa"/>
            <w:tcBorders>
              <w:top w:val="nil"/>
              <w:bottom w:val="nil"/>
            </w:tcBorders>
          </w:tcPr>
          <w:p w14:paraId="3FDE4857" w14:textId="77777777" w:rsidR="00AA31D0" w:rsidRPr="00045A51" w:rsidRDefault="00AA31D0" w:rsidP="00504C86">
            <w:pPr>
              <w:spacing w:line="480" w:lineRule="auto"/>
            </w:pPr>
            <w:r w:rsidRPr="00045A51">
              <w:t>185.50±5.89</w:t>
            </w:r>
          </w:p>
        </w:tc>
        <w:tc>
          <w:tcPr>
            <w:tcW w:w="1440" w:type="dxa"/>
            <w:tcBorders>
              <w:top w:val="nil"/>
              <w:bottom w:val="nil"/>
            </w:tcBorders>
          </w:tcPr>
          <w:p w14:paraId="4D89FF3B" w14:textId="77777777" w:rsidR="00AA31D0" w:rsidRPr="00045A51" w:rsidRDefault="00AA31D0" w:rsidP="00504C86">
            <w:pPr>
              <w:spacing w:line="480" w:lineRule="auto"/>
            </w:pPr>
          </w:p>
        </w:tc>
      </w:tr>
      <w:tr w:rsidR="00AA31D0" w14:paraId="539E6D33" w14:textId="77777777" w:rsidTr="00AA31D0">
        <w:tc>
          <w:tcPr>
            <w:tcW w:w="1870" w:type="dxa"/>
            <w:vMerge/>
            <w:tcBorders>
              <w:top w:val="nil"/>
              <w:bottom w:val="nil"/>
            </w:tcBorders>
          </w:tcPr>
          <w:p w14:paraId="2EE34734" w14:textId="77777777" w:rsidR="00AA31D0"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602F73C6" w14:textId="77777777" w:rsidR="00AA31D0" w:rsidRDefault="00AA31D0" w:rsidP="00504C86">
            <w:pPr>
              <w:spacing w:line="480" w:lineRule="auto"/>
              <w:rPr>
                <w:rFonts w:ascii="Times New Roman" w:hAnsi="Times New Roman" w:cs="Times New Roman"/>
                <w:sz w:val="24"/>
                <w:szCs w:val="24"/>
              </w:rPr>
            </w:pPr>
            <w:r w:rsidRPr="00045A51">
              <w:t>Post- Administration Weight</w:t>
            </w:r>
          </w:p>
        </w:tc>
        <w:tc>
          <w:tcPr>
            <w:tcW w:w="2700" w:type="dxa"/>
            <w:tcBorders>
              <w:top w:val="nil"/>
              <w:bottom w:val="nil"/>
            </w:tcBorders>
          </w:tcPr>
          <w:p w14:paraId="177963A0" w14:textId="77777777" w:rsidR="00AA31D0" w:rsidRDefault="00AA31D0" w:rsidP="00504C86">
            <w:pPr>
              <w:spacing w:line="480" w:lineRule="auto"/>
              <w:rPr>
                <w:rFonts w:ascii="Times New Roman" w:hAnsi="Times New Roman" w:cs="Times New Roman"/>
                <w:sz w:val="24"/>
                <w:szCs w:val="24"/>
              </w:rPr>
            </w:pPr>
            <w:r w:rsidRPr="00045A51">
              <w:t>186.23±13.69</w:t>
            </w:r>
          </w:p>
        </w:tc>
        <w:tc>
          <w:tcPr>
            <w:tcW w:w="1440" w:type="dxa"/>
            <w:tcBorders>
              <w:top w:val="nil"/>
              <w:bottom w:val="nil"/>
            </w:tcBorders>
          </w:tcPr>
          <w:p w14:paraId="26EFABCC" w14:textId="77777777" w:rsidR="00AA31D0" w:rsidRDefault="00AA31D0" w:rsidP="00504C86">
            <w:pPr>
              <w:spacing w:line="480" w:lineRule="auto"/>
              <w:rPr>
                <w:rFonts w:ascii="Times New Roman" w:hAnsi="Times New Roman" w:cs="Times New Roman"/>
                <w:sz w:val="24"/>
                <w:szCs w:val="24"/>
              </w:rPr>
            </w:pPr>
            <w:r w:rsidRPr="00045A51">
              <w:t>0.933</w:t>
            </w:r>
          </w:p>
        </w:tc>
      </w:tr>
      <w:tr w:rsidR="00AA31D0" w14:paraId="12C429FC" w14:textId="77777777" w:rsidTr="00AA31D0">
        <w:tc>
          <w:tcPr>
            <w:tcW w:w="1870" w:type="dxa"/>
            <w:vMerge w:val="restart"/>
            <w:tcBorders>
              <w:top w:val="nil"/>
              <w:bottom w:val="nil"/>
            </w:tcBorders>
          </w:tcPr>
          <w:p w14:paraId="7FD0314A" w14:textId="77777777" w:rsidR="00AA31D0" w:rsidRPr="00045A51" w:rsidRDefault="00AA31D0" w:rsidP="00504C86">
            <w:pPr>
              <w:spacing w:line="480" w:lineRule="auto"/>
            </w:pPr>
            <w:r w:rsidRPr="00045A51">
              <w:t>Group D</w:t>
            </w:r>
          </w:p>
        </w:tc>
        <w:tc>
          <w:tcPr>
            <w:tcW w:w="3345" w:type="dxa"/>
            <w:tcBorders>
              <w:top w:val="nil"/>
              <w:bottom w:val="nil"/>
            </w:tcBorders>
          </w:tcPr>
          <w:p w14:paraId="70FFD612" w14:textId="77777777" w:rsidR="00AA31D0" w:rsidRPr="00045A51" w:rsidRDefault="00AA31D0" w:rsidP="00504C86">
            <w:pPr>
              <w:spacing w:line="480" w:lineRule="auto"/>
            </w:pPr>
            <w:r w:rsidRPr="00045A51">
              <w:t>Pre-Administration Weight</w:t>
            </w:r>
          </w:p>
        </w:tc>
        <w:tc>
          <w:tcPr>
            <w:tcW w:w="2700" w:type="dxa"/>
            <w:tcBorders>
              <w:top w:val="nil"/>
              <w:bottom w:val="nil"/>
            </w:tcBorders>
          </w:tcPr>
          <w:p w14:paraId="21C469DA" w14:textId="77777777" w:rsidR="00AA31D0" w:rsidRPr="00045A51" w:rsidRDefault="00AA31D0" w:rsidP="00504C86">
            <w:pPr>
              <w:spacing w:line="480" w:lineRule="auto"/>
            </w:pPr>
            <w:r w:rsidRPr="00045A51">
              <w:t>174.00±17.08</w:t>
            </w:r>
          </w:p>
        </w:tc>
        <w:tc>
          <w:tcPr>
            <w:tcW w:w="1440" w:type="dxa"/>
            <w:tcBorders>
              <w:top w:val="nil"/>
              <w:bottom w:val="nil"/>
            </w:tcBorders>
          </w:tcPr>
          <w:p w14:paraId="071D86AC" w14:textId="77777777" w:rsidR="00AA31D0" w:rsidRPr="00045A51" w:rsidRDefault="00AA31D0" w:rsidP="00504C86">
            <w:pPr>
              <w:spacing w:line="480" w:lineRule="auto"/>
            </w:pPr>
          </w:p>
        </w:tc>
      </w:tr>
      <w:tr w:rsidR="00AA31D0" w14:paraId="0C4AAA39" w14:textId="77777777" w:rsidTr="00AA31D0">
        <w:tc>
          <w:tcPr>
            <w:tcW w:w="1870" w:type="dxa"/>
            <w:vMerge/>
            <w:tcBorders>
              <w:top w:val="nil"/>
            </w:tcBorders>
          </w:tcPr>
          <w:p w14:paraId="0A8B768D" w14:textId="77777777" w:rsidR="00AA31D0" w:rsidRDefault="00AA31D0" w:rsidP="00504C86">
            <w:pPr>
              <w:spacing w:line="480" w:lineRule="auto"/>
              <w:rPr>
                <w:rFonts w:ascii="Times New Roman" w:hAnsi="Times New Roman" w:cs="Times New Roman"/>
                <w:sz w:val="24"/>
                <w:szCs w:val="24"/>
              </w:rPr>
            </w:pPr>
          </w:p>
        </w:tc>
        <w:tc>
          <w:tcPr>
            <w:tcW w:w="3345" w:type="dxa"/>
            <w:tcBorders>
              <w:top w:val="nil"/>
            </w:tcBorders>
          </w:tcPr>
          <w:p w14:paraId="234FB612" w14:textId="77777777" w:rsidR="00AA31D0" w:rsidRDefault="00AA31D0" w:rsidP="00504C86">
            <w:pPr>
              <w:spacing w:line="480" w:lineRule="auto"/>
              <w:rPr>
                <w:rFonts w:ascii="Times New Roman" w:hAnsi="Times New Roman" w:cs="Times New Roman"/>
                <w:sz w:val="24"/>
                <w:szCs w:val="24"/>
              </w:rPr>
            </w:pPr>
            <w:r w:rsidRPr="00045A51">
              <w:t>Post- Administration Weight</w:t>
            </w:r>
          </w:p>
        </w:tc>
        <w:tc>
          <w:tcPr>
            <w:tcW w:w="2700" w:type="dxa"/>
            <w:tcBorders>
              <w:top w:val="nil"/>
            </w:tcBorders>
          </w:tcPr>
          <w:p w14:paraId="4408A8E1" w14:textId="77777777" w:rsidR="00AA31D0" w:rsidRDefault="00AA31D0" w:rsidP="00504C86">
            <w:pPr>
              <w:spacing w:line="480" w:lineRule="auto"/>
              <w:rPr>
                <w:rFonts w:ascii="Times New Roman" w:hAnsi="Times New Roman" w:cs="Times New Roman"/>
                <w:sz w:val="24"/>
                <w:szCs w:val="24"/>
              </w:rPr>
            </w:pPr>
            <w:r w:rsidRPr="00045A51">
              <w:t>189.47±10.89</w:t>
            </w:r>
          </w:p>
        </w:tc>
        <w:tc>
          <w:tcPr>
            <w:tcW w:w="1440" w:type="dxa"/>
            <w:tcBorders>
              <w:top w:val="nil"/>
            </w:tcBorders>
          </w:tcPr>
          <w:p w14:paraId="1B439F80" w14:textId="77777777" w:rsidR="00AA31D0" w:rsidRDefault="00AA31D0" w:rsidP="00504C86">
            <w:pPr>
              <w:spacing w:line="480" w:lineRule="auto"/>
              <w:rPr>
                <w:rFonts w:ascii="Times New Roman" w:hAnsi="Times New Roman" w:cs="Times New Roman"/>
                <w:sz w:val="24"/>
                <w:szCs w:val="24"/>
              </w:rPr>
            </w:pPr>
            <w:r w:rsidRPr="00045A51">
              <w:t>0.947</w:t>
            </w:r>
          </w:p>
        </w:tc>
      </w:tr>
    </w:tbl>
    <w:p w14:paraId="27711371" w14:textId="77777777" w:rsidR="00F87345" w:rsidRPr="00F87345" w:rsidRDefault="00F87345" w:rsidP="00504C86">
      <w:pPr>
        <w:spacing w:line="480" w:lineRule="auto"/>
        <w:jc w:val="both"/>
        <w:rPr>
          <w:rFonts w:ascii="Times New Roman" w:hAnsi="Times New Roman" w:cs="Times New Roman"/>
          <w:sz w:val="24"/>
          <w:szCs w:val="24"/>
        </w:rPr>
      </w:pPr>
      <w:r w:rsidRPr="00F87345">
        <w:rPr>
          <w:rFonts w:ascii="Times New Roman" w:hAnsi="Times New Roman" w:cs="Times New Roman"/>
          <w:sz w:val="24"/>
          <w:szCs w:val="24"/>
        </w:rPr>
        <w:t>Data was analyzed using paired sampled t-test, and values were considered significant at p &lt; 0.05*</w:t>
      </w:r>
    </w:p>
    <w:p w14:paraId="38039B83" w14:textId="77777777" w:rsidR="00447EB7" w:rsidRDefault="00447EB7" w:rsidP="00504C86">
      <w:pPr>
        <w:spacing w:line="480" w:lineRule="auto"/>
        <w:rPr>
          <w:rFonts w:ascii="Times New Roman" w:hAnsi="Times New Roman" w:cs="Times New Roman"/>
          <w:b/>
          <w:bCs/>
          <w:sz w:val="24"/>
          <w:szCs w:val="24"/>
          <w:lang w:val="en-GB"/>
        </w:rPr>
      </w:pPr>
    </w:p>
    <w:p w14:paraId="7D71B2AC" w14:textId="77777777" w:rsidR="00F87345" w:rsidRPr="0003697C" w:rsidRDefault="00D5597A" w:rsidP="00504C86">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03697C" w:rsidRPr="0003697C">
        <w:rPr>
          <w:rFonts w:ascii="Times New Roman" w:hAnsi="Times New Roman" w:cs="Times New Roman"/>
          <w:b/>
          <w:sz w:val="24"/>
          <w:szCs w:val="24"/>
        </w:rPr>
        <w:t xml:space="preserve">Effect </w:t>
      </w:r>
      <w:r w:rsidR="0003697C">
        <w:rPr>
          <w:rFonts w:ascii="Times New Roman" w:hAnsi="Times New Roman" w:cs="Times New Roman"/>
          <w:b/>
          <w:sz w:val="24"/>
          <w:szCs w:val="24"/>
        </w:rPr>
        <w:t>o</w:t>
      </w:r>
      <w:r w:rsidR="0003697C" w:rsidRPr="0003697C">
        <w:rPr>
          <w:rFonts w:ascii="Times New Roman" w:hAnsi="Times New Roman" w:cs="Times New Roman"/>
          <w:b/>
          <w:sz w:val="24"/>
          <w:szCs w:val="24"/>
        </w:rPr>
        <w:t xml:space="preserve">f </w:t>
      </w:r>
      <w:r w:rsidR="00F43F8F" w:rsidRPr="00F43F8F">
        <w:rPr>
          <w:rFonts w:ascii="Times New Roman" w:hAnsi="Times New Roman" w:cs="Times New Roman"/>
          <w:b/>
          <w:i/>
          <w:sz w:val="24"/>
          <w:szCs w:val="24"/>
        </w:rPr>
        <w:t>Carica papaya</w:t>
      </w:r>
      <w:r w:rsidR="0003697C" w:rsidRPr="0003697C">
        <w:rPr>
          <w:rFonts w:ascii="Times New Roman" w:hAnsi="Times New Roman" w:cs="Times New Roman"/>
          <w:b/>
          <w:sz w:val="24"/>
          <w:szCs w:val="24"/>
        </w:rPr>
        <w:t xml:space="preserve"> (</w:t>
      </w:r>
      <w:r w:rsidR="005A3AE3" w:rsidRPr="005A3AE3">
        <w:rPr>
          <w:rFonts w:ascii="Times New Roman" w:hAnsi="Times New Roman" w:cs="Times New Roman"/>
          <w:b/>
          <w:i/>
          <w:sz w:val="24"/>
          <w:szCs w:val="24"/>
        </w:rPr>
        <w:t>Pawpaw</w:t>
      </w:r>
      <w:r w:rsidR="0003697C" w:rsidRPr="0003697C">
        <w:rPr>
          <w:rFonts w:ascii="Times New Roman" w:hAnsi="Times New Roman" w:cs="Times New Roman"/>
          <w:b/>
          <w:sz w:val="24"/>
          <w:szCs w:val="24"/>
        </w:rPr>
        <w:t xml:space="preserve">) </w:t>
      </w:r>
      <w:r w:rsidR="0003697C">
        <w:rPr>
          <w:rFonts w:ascii="Times New Roman" w:hAnsi="Times New Roman" w:cs="Times New Roman"/>
          <w:b/>
          <w:sz w:val="24"/>
          <w:szCs w:val="24"/>
        </w:rPr>
        <w:t>Sap on t</w:t>
      </w:r>
      <w:r w:rsidR="0003697C" w:rsidRPr="0003697C">
        <w:rPr>
          <w:rFonts w:ascii="Times New Roman" w:hAnsi="Times New Roman" w:cs="Times New Roman"/>
          <w:b/>
          <w:sz w:val="24"/>
          <w:szCs w:val="24"/>
        </w:rPr>
        <w:t>he Relative Liver Weight</w:t>
      </w:r>
    </w:p>
    <w:p w14:paraId="0DE078A2" w14:textId="77777777" w:rsidR="008716EE" w:rsidRPr="0003697C" w:rsidRDefault="008716EE" w:rsidP="00504C86">
      <w:pPr>
        <w:spacing w:line="480" w:lineRule="auto"/>
        <w:jc w:val="both"/>
        <w:rPr>
          <w:rFonts w:ascii="Times New Roman" w:hAnsi="Times New Roman" w:cs="Times New Roman"/>
          <w:sz w:val="24"/>
          <w:szCs w:val="24"/>
        </w:rPr>
      </w:pPr>
      <w:r w:rsidRPr="0003697C">
        <w:rPr>
          <w:rFonts w:ascii="Times New Roman" w:hAnsi="Times New Roman" w:cs="Times New Roman"/>
          <w:sz w:val="24"/>
          <w:szCs w:val="24"/>
        </w:rPr>
        <w:t xml:space="preserve">The relative liver weight was highest in the control group (Group A) at 6.05 ± 0.15 g/100 g body weight. Groups B and C, which received lower and moderate doses of </w:t>
      </w:r>
      <w:r w:rsidR="00F43F8F" w:rsidRPr="00F43F8F">
        <w:rPr>
          <w:rFonts w:ascii="Times New Roman" w:hAnsi="Times New Roman" w:cs="Times New Roman"/>
          <w:i/>
          <w:sz w:val="24"/>
          <w:szCs w:val="24"/>
        </w:rPr>
        <w:t>Carica papaya</w:t>
      </w:r>
      <w:r w:rsidRPr="0003697C">
        <w:rPr>
          <w:rFonts w:ascii="Times New Roman" w:hAnsi="Times New Roman" w:cs="Times New Roman"/>
          <w:sz w:val="24"/>
          <w:szCs w:val="24"/>
        </w:rPr>
        <w:t xml:space="preserve"> sap, showed non-significant decreases in relative liver weight (5.83 ± 0.32 and 5.70 ± 0.31, with p-values 0.547 and 0.332, respectively). However, Group D (high dose) showed a statistically significant reduction in relative liver weight (4.83 ± 0.72, p = 0.006) compared to the control</w:t>
      </w:r>
      <w:r w:rsidR="0003697C">
        <w:rPr>
          <w:rFonts w:ascii="Times New Roman" w:hAnsi="Times New Roman" w:cs="Times New Roman"/>
          <w:sz w:val="24"/>
          <w:szCs w:val="24"/>
        </w:rPr>
        <w:t xml:space="preserve"> as shown in table 2.0</w:t>
      </w:r>
      <w:r w:rsidRPr="0003697C">
        <w:rPr>
          <w:rFonts w:ascii="Times New Roman" w:hAnsi="Times New Roman" w:cs="Times New Roman"/>
          <w:sz w:val="24"/>
          <w:szCs w:val="24"/>
        </w:rPr>
        <w:t>.</w:t>
      </w:r>
    </w:p>
    <w:p w14:paraId="778093F9" w14:textId="77777777" w:rsidR="00E92163" w:rsidRPr="0003697C" w:rsidRDefault="008716EE" w:rsidP="00504C86">
      <w:pPr>
        <w:spacing w:line="480" w:lineRule="auto"/>
        <w:jc w:val="both"/>
        <w:rPr>
          <w:rFonts w:ascii="Times New Roman" w:hAnsi="Times New Roman" w:cs="Times New Roman"/>
          <w:sz w:val="24"/>
          <w:szCs w:val="24"/>
        </w:rPr>
      </w:pPr>
      <w:r w:rsidRPr="0003697C">
        <w:rPr>
          <w:rFonts w:ascii="Times New Roman" w:hAnsi="Times New Roman" w:cs="Times New Roman"/>
          <w:sz w:val="24"/>
          <w:szCs w:val="24"/>
        </w:rPr>
        <w:t>This suggests that high doses of pawpaw sap may induce liver shrinkage or atrophy, indicating potential hepatotoxic effects at elevated exposure levels.</w:t>
      </w:r>
    </w:p>
    <w:p w14:paraId="1AB9AF58" w14:textId="77777777" w:rsidR="008716EE" w:rsidRPr="0003697C" w:rsidRDefault="0003697C" w:rsidP="00504C86">
      <w:pPr>
        <w:spacing w:before="240" w:after="0" w:line="480" w:lineRule="auto"/>
        <w:rPr>
          <w:rFonts w:ascii="Times New Roman" w:hAnsi="Times New Roman" w:cs="Times New Roman"/>
          <w:b/>
          <w:sz w:val="24"/>
          <w:szCs w:val="24"/>
        </w:rPr>
      </w:pPr>
      <w:r>
        <w:rPr>
          <w:rFonts w:ascii="Times New Roman" w:hAnsi="Times New Roman" w:cs="Times New Roman"/>
          <w:sz w:val="24"/>
          <w:szCs w:val="24"/>
        </w:rPr>
        <w:t>Table 2.0:</w:t>
      </w:r>
      <w:r w:rsidRPr="0003697C">
        <w:rPr>
          <w:rFonts w:ascii="Times New Roman" w:hAnsi="Times New Roman" w:cs="Times New Roman"/>
          <w:b/>
          <w:sz w:val="24"/>
          <w:szCs w:val="24"/>
        </w:rPr>
        <w:t xml:space="preserve"> </w:t>
      </w:r>
      <w:r w:rsidRPr="0003697C">
        <w:rPr>
          <w:rFonts w:ascii="Times New Roman" w:hAnsi="Times New Roman" w:cs="Times New Roman"/>
          <w:sz w:val="24"/>
          <w:szCs w:val="24"/>
        </w:rPr>
        <w:t xml:space="preserve">Effect of </w:t>
      </w:r>
      <w:r w:rsidR="00F43F8F" w:rsidRPr="00F43F8F">
        <w:rPr>
          <w:rFonts w:ascii="Times New Roman" w:hAnsi="Times New Roman" w:cs="Times New Roman"/>
          <w:i/>
          <w:sz w:val="24"/>
          <w:szCs w:val="24"/>
        </w:rPr>
        <w:t>Carica papaya</w:t>
      </w:r>
      <w:r w:rsidRPr="0003697C">
        <w:rPr>
          <w:rFonts w:ascii="Times New Roman" w:hAnsi="Times New Roman" w:cs="Times New Roman"/>
          <w:sz w:val="24"/>
          <w:szCs w:val="24"/>
        </w:rPr>
        <w:t xml:space="preserve"> </w:t>
      </w:r>
      <w:r>
        <w:rPr>
          <w:rFonts w:ascii="Times New Roman" w:hAnsi="Times New Roman" w:cs="Times New Roman"/>
          <w:sz w:val="24"/>
          <w:szCs w:val="24"/>
        </w:rPr>
        <w:t>(</w:t>
      </w:r>
      <w:r w:rsidR="005A3AE3" w:rsidRPr="005A3AE3">
        <w:rPr>
          <w:rFonts w:ascii="Times New Roman" w:hAnsi="Times New Roman" w:cs="Times New Roman"/>
          <w:i/>
          <w:sz w:val="24"/>
          <w:szCs w:val="24"/>
        </w:rPr>
        <w:t>Pawpaw</w:t>
      </w:r>
      <w:r>
        <w:rPr>
          <w:rFonts w:ascii="Times New Roman" w:hAnsi="Times New Roman" w:cs="Times New Roman"/>
          <w:sz w:val="24"/>
          <w:szCs w:val="24"/>
        </w:rPr>
        <w:t>) sap on the relative liver</w:t>
      </w:r>
      <w:r w:rsidRPr="0003697C">
        <w:rPr>
          <w:rFonts w:ascii="Times New Roman" w:hAnsi="Times New Roman" w:cs="Times New Roman"/>
          <w:sz w:val="24"/>
          <w:szCs w:val="24"/>
        </w:rPr>
        <w:t xml:space="preserve"> weight</w:t>
      </w:r>
      <w:r>
        <w:rPr>
          <w:rFonts w:ascii="Times New Roman" w:hAnsi="Times New Roman" w:cs="Times New Roman"/>
          <w:sz w:val="24"/>
          <w:szCs w:val="24"/>
        </w:rPr>
        <w:t xml:space="preserve"> </w:t>
      </w:r>
    </w:p>
    <w:tbl>
      <w:tblPr>
        <w:tblStyle w:val="TableGrid"/>
        <w:tblW w:w="50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37"/>
        <w:gridCol w:w="5226"/>
        <w:gridCol w:w="1797"/>
      </w:tblGrid>
      <w:tr w:rsidR="00F87345" w:rsidRPr="008716EE" w14:paraId="6CBADCC9" w14:textId="77777777" w:rsidTr="00B27B81">
        <w:trPr>
          <w:trHeight w:val="537"/>
          <w:jc w:val="center"/>
        </w:trPr>
        <w:tc>
          <w:tcPr>
            <w:tcW w:w="2335" w:type="dxa"/>
            <w:tcBorders>
              <w:bottom w:val="single" w:sz="4" w:space="0" w:color="auto"/>
            </w:tcBorders>
          </w:tcPr>
          <w:p w14:paraId="60888E6B" w14:textId="77777777" w:rsidR="00F87345" w:rsidRPr="008716EE" w:rsidRDefault="00F87345" w:rsidP="00504C86">
            <w:pPr>
              <w:autoSpaceDE w:val="0"/>
              <w:autoSpaceDN w:val="0"/>
              <w:adjustRightInd w:val="0"/>
              <w:spacing w:line="480" w:lineRule="auto"/>
              <w:rPr>
                <w:rFonts w:ascii="Times New Roman" w:hAnsi="Times New Roman" w:cs="Times New Roman"/>
                <w:sz w:val="24"/>
                <w:szCs w:val="24"/>
              </w:rPr>
            </w:pPr>
            <w:r w:rsidRPr="008716EE">
              <w:rPr>
                <w:rFonts w:ascii="Times New Roman" w:hAnsi="Times New Roman" w:cs="Times New Roman"/>
                <w:sz w:val="24"/>
                <w:szCs w:val="24"/>
              </w:rPr>
              <w:t xml:space="preserve">Groups </w:t>
            </w:r>
          </w:p>
        </w:tc>
        <w:tc>
          <w:tcPr>
            <w:tcW w:w="5220" w:type="dxa"/>
            <w:tcBorders>
              <w:bottom w:val="single" w:sz="4" w:space="0" w:color="auto"/>
            </w:tcBorders>
          </w:tcPr>
          <w:p w14:paraId="71CC9BB3" w14:textId="77777777" w:rsidR="00F87345" w:rsidRPr="008716EE" w:rsidRDefault="008716EE" w:rsidP="00504C86">
            <w:pPr>
              <w:autoSpaceDE w:val="0"/>
              <w:autoSpaceDN w:val="0"/>
              <w:adjustRightInd w:val="0"/>
              <w:spacing w:line="480" w:lineRule="auto"/>
              <w:ind w:left="60" w:right="60"/>
              <w:jc w:val="center"/>
              <w:rPr>
                <w:rFonts w:ascii="Times New Roman" w:hAnsi="Times New Roman" w:cs="Times New Roman"/>
                <w:b/>
                <w:sz w:val="24"/>
                <w:szCs w:val="24"/>
              </w:rPr>
            </w:pPr>
            <w:r w:rsidRPr="008716EE">
              <w:rPr>
                <w:rFonts w:ascii="Times New Roman" w:hAnsi="Times New Roman" w:cs="Times New Roman"/>
                <w:sz w:val="24"/>
                <w:szCs w:val="24"/>
              </w:rPr>
              <w:t>Relative Liver Weight (g/100g body weight)</w:t>
            </w:r>
          </w:p>
        </w:tc>
        <w:tc>
          <w:tcPr>
            <w:tcW w:w="1795" w:type="dxa"/>
            <w:tcBorders>
              <w:bottom w:val="single" w:sz="4" w:space="0" w:color="auto"/>
            </w:tcBorders>
          </w:tcPr>
          <w:p w14:paraId="517E1365"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P value</w:t>
            </w:r>
          </w:p>
        </w:tc>
      </w:tr>
      <w:tr w:rsidR="00F87345" w:rsidRPr="008716EE" w14:paraId="36E81185" w14:textId="77777777" w:rsidTr="00B27B81">
        <w:trPr>
          <w:jc w:val="center"/>
        </w:trPr>
        <w:tc>
          <w:tcPr>
            <w:tcW w:w="2335" w:type="dxa"/>
            <w:tcBorders>
              <w:bottom w:val="nil"/>
            </w:tcBorders>
          </w:tcPr>
          <w:p w14:paraId="57B4F5B7"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A</w:t>
            </w:r>
          </w:p>
        </w:tc>
        <w:tc>
          <w:tcPr>
            <w:tcW w:w="5220" w:type="dxa"/>
            <w:tcBorders>
              <w:bottom w:val="nil"/>
            </w:tcBorders>
          </w:tcPr>
          <w:p w14:paraId="5443607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6.05±0.15</w:t>
            </w:r>
          </w:p>
        </w:tc>
        <w:tc>
          <w:tcPr>
            <w:tcW w:w="1795" w:type="dxa"/>
            <w:tcBorders>
              <w:bottom w:val="nil"/>
            </w:tcBorders>
          </w:tcPr>
          <w:p w14:paraId="37D9BB02" w14:textId="77777777" w:rsidR="00F87345" w:rsidRPr="008716EE" w:rsidRDefault="00F87345" w:rsidP="00504C86">
            <w:pPr>
              <w:autoSpaceDE w:val="0"/>
              <w:autoSpaceDN w:val="0"/>
              <w:adjustRightInd w:val="0"/>
              <w:spacing w:line="480" w:lineRule="auto"/>
              <w:ind w:left="60" w:right="60"/>
              <w:jc w:val="right"/>
              <w:rPr>
                <w:rFonts w:ascii="Times New Roman" w:hAnsi="Times New Roman" w:cs="Times New Roman"/>
                <w:sz w:val="24"/>
                <w:szCs w:val="24"/>
              </w:rPr>
            </w:pPr>
          </w:p>
        </w:tc>
      </w:tr>
      <w:tr w:rsidR="00F87345" w:rsidRPr="008716EE" w14:paraId="0130B31A" w14:textId="77777777" w:rsidTr="00B27B81">
        <w:trPr>
          <w:jc w:val="center"/>
        </w:trPr>
        <w:tc>
          <w:tcPr>
            <w:tcW w:w="2335" w:type="dxa"/>
            <w:tcBorders>
              <w:top w:val="nil"/>
              <w:bottom w:val="nil"/>
            </w:tcBorders>
          </w:tcPr>
          <w:p w14:paraId="7FF4F454"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B</w:t>
            </w:r>
          </w:p>
        </w:tc>
        <w:tc>
          <w:tcPr>
            <w:tcW w:w="5220" w:type="dxa"/>
            <w:tcBorders>
              <w:top w:val="nil"/>
              <w:bottom w:val="nil"/>
            </w:tcBorders>
          </w:tcPr>
          <w:p w14:paraId="734E329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5.83±0.32</w:t>
            </w:r>
          </w:p>
        </w:tc>
        <w:tc>
          <w:tcPr>
            <w:tcW w:w="1795" w:type="dxa"/>
            <w:tcBorders>
              <w:top w:val="nil"/>
              <w:bottom w:val="nil"/>
            </w:tcBorders>
          </w:tcPr>
          <w:p w14:paraId="19F9048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0.547</w:t>
            </w:r>
          </w:p>
        </w:tc>
      </w:tr>
      <w:tr w:rsidR="00F87345" w:rsidRPr="008716EE" w14:paraId="03C21A07" w14:textId="77777777" w:rsidTr="00B27B81">
        <w:trPr>
          <w:jc w:val="center"/>
        </w:trPr>
        <w:tc>
          <w:tcPr>
            <w:tcW w:w="2335" w:type="dxa"/>
            <w:tcBorders>
              <w:top w:val="nil"/>
              <w:bottom w:val="nil"/>
            </w:tcBorders>
          </w:tcPr>
          <w:p w14:paraId="4453950E"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C</w:t>
            </w:r>
          </w:p>
        </w:tc>
        <w:tc>
          <w:tcPr>
            <w:tcW w:w="5220" w:type="dxa"/>
            <w:tcBorders>
              <w:top w:val="nil"/>
              <w:bottom w:val="nil"/>
            </w:tcBorders>
          </w:tcPr>
          <w:p w14:paraId="558A2529"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5.70±0.31</w:t>
            </w:r>
          </w:p>
        </w:tc>
        <w:tc>
          <w:tcPr>
            <w:tcW w:w="1795" w:type="dxa"/>
            <w:tcBorders>
              <w:top w:val="nil"/>
              <w:bottom w:val="nil"/>
            </w:tcBorders>
          </w:tcPr>
          <w:p w14:paraId="2FC06A7D"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0.332</w:t>
            </w:r>
          </w:p>
        </w:tc>
      </w:tr>
      <w:tr w:rsidR="00F87345" w:rsidRPr="008716EE" w14:paraId="46632A9A" w14:textId="77777777" w:rsidTr="00B27B81">
        <w:trPr>
          <w:jc w:val="center"/>
        </w:trPr>
        <w:tc>
          <w:tcPr>
            <w:tcW w:w="2335" w:type="dxa"/>
            <w:tcBorders>
              <w:top w:val="nil"/>
            </w:tcBorders>
          </w:tcPr>
          <w:p w14:paraId="486D1F23"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D</w:t>
            </w:r>
          </w:p>
        </w:tc>
        <w:tc>
          <w:tcPr>
            <w:tcW w:w="5220" w:type="dxa"/>
            <w:tcBorders>
              <w:top w:val="nil"/>
            </w:tcBorders>
          </w:tcPr>
          <w:p w14:paraId="1D505C15"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4.83±0.72</w:t>
            </w:r>
          </w:p>
        </w:tc>
        <w:tc>
          <w:tcPr>
            <w:tcW w:w="1795" w:type="dxa"/>
            <w:tcBorders>
              <w:top w:val="nil"/>
            </w:tcBorders>
          </w:tcPr>
          <w:p w14:paraId="2EE9475B"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0.006</w:t>
            </w:r>
          </w:p>
        </w:tc>
      </w:tr>
    </w:tbl>
    <w:p w14:paraId="656626CA" w14:textId="77777777" w:rsidR="00F87345" w:rsidRPr="00E92163" w:rsidRDefault="00F87345" w:rsidP="00504C86">
      <w:pPr>
        <w:spacing w:line="480" w:lineRule="auto"/>
        <w:rPr>
          <w:rFonts w:ascii="Times New Roman" w:hAnsi="Times New Roman" w:cs="Times New Roman"/>
          <w:sz w:val="24"/>
          <w:szCs w:val="24"/>
        </w:rPr>
      </w:pPr>
      <w:r w:rsidRPr="00F87345">
        <w:rPr>
          <w:rFonts w:ascii="Times New Roman" w:hAnsi="Times New Roman" w:cs="Times New Roman"/>
          <w:sz w:val="24"/>
          <w:szCs w:val="24"/>
        </w:rPr>
        <w:t xml:space="preserve">Data was analyzed using </w:t>
      </w:r>
      <w:r w:rsidR="00AA5B22" w:rsidRPr="00F87345">
        <w:rPr>
          <w:rFonts w:ascii="Times New Roman" w:hAnsi="Times New Roman" w:cs="Times New Roman"/>
          <w:sz w:val="24"/>
          <w:szCs w:val="24"/>
        </w:rPr>
        <w:t>one-way</w:t>
      </w:r>
      <w:r w:rsidRPr="00F87345">
        <w:rPr>
          <w:rFonts w:ascii="Times New Roman" w:hAnsi="Times New Roman" w:cs="Times New Roman"/>
          <w:sz w:val="24"/>
          <w:szCs w:val="24"/>
        </w:rPr>
        <w:t xml:space="preserve"> ANOVA, and values were considered significant at p &lt; 0.05*</w:t>
      </w:r>
    </w:p>
    <w:p w14:paraId="1AEB1337" w14:textId="77777777" w:rsidR="00F87345" w:rsidRPr="001D0FA3" w:rsidRDefault="00D5597A" w:rsidP="00504C8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1D0FA3">
        <w:rPr>
          <w:rFonts w:ascii="Times New Roman" w:hAnsi="Times New Roman" w:cs="Times New Roman"/>
          <w:b/>
          <w:sz w:val="24"/>
          <w:szCs w:val="24"/>
        </w:rPr>
        <w:t xml:space="preserve">Effect of </w:t>
      </w:r>
      <w:r w:rsidR="00F43F8F" w:rsidRPr="00F43F8F">
        <w:rPr>
          <w:rFonts w:ascii="Times New Roman" w:hAnsi="Times New Roman" w:cs="Times New Roman"/>
          <w:b/>
          <w:i/>
          <w:sz w:val="24"/>
          <w:szCs w:val="24"/>
        </w:rPr>
        <w:t>Carica papaya</w:t>
      </w:r>
      <w:r w:rsidR="001D0FA3">
        <w:rPr>
          <w:rFonts w:ascii="Times New Roman" w:hAnsi="Times New Roman" w:cs="Times New Roman"/>
          <w:b/>
          <w:sz w:val="24"/>
          <w:szCs w:val="24"/>
        </w:rPr>
        <w:t xml:space="preserve"> (</w:t>
      </w:r>
      <w:r w:rsidR="005A3AE3" w:rsidRPr="005A3AE3">
        <w:rPr>
          <w:rFonts w:ascii="Times New Roman" w:hAnsi="Times New Roman" w:cs="Times New Roman"/>
          <w:b/>
          <w:i/>
          <w:sz w:val="24"/>
          <w:szCs w:val="24"/>
        </w:rPr>
        <w:t>Pawpaw</w:t>
      </w:r>
      <w:r w:rsidR="001D0FA3">
        <w:rPr>
          <w:rFonts w:ascii="Times New Roman" w:hAnsi="Times New Roman" w:cs="Times New Roman"/>
          <w:b/>
          <w:sz w:val="24"/>
          <w:szCs w:val="24"/>
        </w:rPr>
        <w:t xml:space="preserve">) sap on liver </w:t>
      </w:r>
      <w:r w:rsidR="00F87345" w:rsidRPr="00F87345">
        <w:rPr>
          <w:rFonts w:ascii="Times New Roman" w:hAnsi="Times New Roman" w:cs="Times New Roman"/>
          <w:b/>
          <w:sz w:val="24"/>
          <w:szCs w:val="24"/>
        </w:rPr>
        <w:t>biochemical markers</w:t>
      </w:r>
    </w:p>
    <w:p w14:paraId="474CD3CF" w14:textId="77777777" w:rsidR="001D0FA3" w:rsidRDefault="001D0FA3" w:rsidP="00504C86">
      <w:pPr>
        <w:spacing w:line="480" w:lineRule="auto"/>
        <w:jc w:val="both"/>
        <w:rPr>
          <w:rFonts w:ascii="Times New Roman" w:hAnsi="Times New Roman" w:cs="Times New Roman"/>
          <w:sz w:val="24"/>
          <w:szCs w:val="24"/>
        </w:rPr>
      </w:pPr>
      <w:r w:rsidRPr="001D0FA3">
        <w:rPr>
          <w:rFonts w:ascii="Times New Roman" w:hAnsi="Times New Roman" w:cs="Times New Roman"/>
          <w:sz w:val="24"/>
          <w:szCs w:val="24"/>
        </w:rPr>
        <w:lastRenderedPageBreak/>
        <w:t xml:space="preserve">This table shows the effects of </w:t>
      </w:r>
      <w:r w:rsidR="00F43F8F" w:rsidRPr="00F43F8F">
        <w:rPr>
          <w:rFonts w:ascii="Times New Roman" w:hAnsi="Times New Roman" w:cs="Times New Roman"/>
          <w:i/>
          <w:sz w:val="24"/>
          <w:szCs w:val="24"/>
        </w:rPr>
        <w:t>Carica papaya</w:t>
      </w:r>
      <w:r w:rsidRPr="001D0FA3">
        <w:rPr>
          <w:rFonts w:ascii="Times New Roman" w:hAnsi="Times New Roman" w:cs="Times New Roman"/>
          <w:sz w:val="24"/>
          <w:szCs w:val="24"/>
        </w:rPr>
        <w:t xml:space="preserve"> sap on liver enzyme activities (AST, ALT, and ALP) in Wistar rats. A significant increase in AST was observed in Groups C and D (p = 0.001 and 0.002), indicating potential dose-dependent hepatocellular injury, while ALT showed a significant rise only in Group B (p = 0.016), suggesting mild liver stress at lower doses. ALP activity showed no significant differences across all groups (p &gt; 0.05), implying no biliary or cholestatic dysfunction</w:t>
      </w:r>
      <w:r>
        <w:rPr>
          <w:rFonts w:ascii="Times New Roman" w:hAnsi="Times New Roman" w:cs="Times New Roman"/>
          <w:sz w:val="24"/>
          <w:szCs w:val="24"/>
        </w:rPr>
        <w:t xml:space="preserve"> as shown in table 3.0</w:t>
      </w:r>
      <w:r w:rsidRPr="001D0FA3">
        <w:rPr>
          <w:rFonts w:ascii="Times New Roman" w:hAnsi="Times New Roman" w:cs="Times New Roman"/>
          <w:sz w:val="24"/>
          <w:szCs w:val="24"/>
        </w:rPr>
        <w:t>.</w:t>
      </w:r>
    </w:p>
    <w:p w14:paraId="69669A31" w14:textId="77777777" w:rsidR="001D0FA3" w:rsidRDefault="001D0FA3" w:rsidP="00504C86">
      <w:pPr>
        <w:spacing w:line="480" w:lineRule="auto"/>
        <w:jc w:val="both"/>
        <w:rPr>
          <w:rFonts w:ascii="Times New Roman" w:hAnsi="Times New Roman" w:cs="Times New Roman"/>
          <w:sz w:val="24"/>
          <w:szCs w:val="24"/>
        </w:rPr>
      </w:pPr>
    </w:p>
    <w:p w14:paraId="20363C85" w14:textId="77777777" w:rsidR="00D5597A" w:rsidRDefault="00D5597A" w:rsidP="00504C86">
      <w:pPr>
        <w:spacing w:line="480" w:lineRule="auto"/>
        <w:jc w:val="both"/>
        <w:rPr>
          <w:rFonts w:ascii="Times New Roman" w:hAnsi="Times New Roman" w:cs="Times New Roman"/>
          <w:sz w:val="24"/>
          <w:szCs w:val="24"/>
        </w:rPr>
      </w:pPr>
    </w:p>
    <w:p w14:paraId="5BBC7150" w14:textId="77777777" w:rsidR="00D5597A" w:rsidRDefault="00D5597A" w:rsidP="00504C86">
      <w:pPr>
        <w:spacing w:line="480" w:lineRule="auto"/>
        <w:jc w:val="both"/>
        <w:rPr>
          <w:rFonts w:ascii="Times New Roman" w:hAnsi="Times New Roman" w:cs="Times New Roman"/>
          <w:sz w:val="24"/>
          <w:szCs w:val="24"/>
        </w:rPr>
      </w:pPr>
    </w:p>
    <w:p w14:paraId="6753F056" w14:textId="77777777" w:rsidR="00D5597A" w:rsidRDefault="00D5597A" w:rsidP="00504C86">
      <w:pPr>
        <w:spacing w:line="480" w:lineRule="auto"/>
        <w:jc w:val="both"/>
        <w:rPr>
          <w:rFonts w:ascii="Times New Roman" w:hAnsi="Times New Roman" w:cs="Times New Roman"/>
          <w:sz w:val="24"/>
          <w:szCs w:val="24"/>
        </w:rPr>
      </w:pPr>
    </w:p>
    <w:p w14:paraId="1A381120" w14:textId="77777777" w:rsidR="001D0FA3" w:rsidRPr="001D0FA3" w:rsidRDefault="001D0FA3" w:rsidP="00504C8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Table 3.0: </w:t>
      </w:r>
      <w:r w:rsidRPr="001D0FA3">
        <w:rPr>
          <w:rFonts w:ascii="Times New Roman" w:hAnsi="Times New Roman" w:cs="Times New Roman"/>
          <w:sz w:val="24"/>
          <w:szCs w:val="24"/>
        </w:rPr>
        <w:t xml:space="preserve">Effect of </w:t>
      </w:r>
      <w:r w:rsidR="00F43F8F" w:rsidRPr="00F43F8F">
        <w:rPr>
          <w:rFonts w:ascii="Times New Roman" w:hAnsi="Times New Roman" w:cs="Times New Roman"/>
          <w:i/>
          <w:sz w:val="24"/>
          <w:szCs w:val="24"/>
        </w:rPr>
        <w:t>Carica papaya</w:t>
      </w:r>
      <w:r w:rsidRPr="001D0FA3">
        <w:rPr>
          <w:rFonts w:ascii="Times New Roman" w:hAnsi="Times New Roman" w:cs="Times New Roman"/>
          <w:sz w:val="24"/>
          <w:szCs w:val="24"/>
        </w:rPr>
        <w:t xml:space="preserve"> (</w:t>
      </w:r>
      <w:r w:rsidR="005A3AE3" w:rsidRPr="005A3AE3">
        <w:rPr>
          <w:rFonts w:ascii="Times New Roman" w:hAnsi="Times New Roman" w:cs="Times New Roman"/>
          <w:i/>
          <w:sz w:val="24"/>
          <w:szCs w:val="24"/>
        </w:rPr>
        <w:t>Pawpaw</w:t>
      </w:r>
      <w:r w:rsidRPr="001D0FA3">
        <w:rPr>
          <w:rFonts w:ascii="Times New Roman" w:hAnsi="Times New Roman" w:cs="Times New Roman"/>
          <w:sz w:val="24"/>
          <w:szCs w:val="24"/>
        </w:rPr>
        <w:t>) sap on liver biochemical markers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5"/>
        <w:gridCol w:w="2520"/>
        <w:gridCol w:w="1890"/>
        <w:gridCol w:w="1345"/>
      </w:tblGrid>
      <w:tr w:rsidR="00626B8F" w:rsidRPr="001D0FA3" w14:paraId="1334673A" w14:textId="77777777" w:rsidTr="001D0FA3">
        <w:tc>
          <w:tcPr>
            <w:tcW w:w="3595" w:type="dxa"/>
            <w:tcBorders>
              <w:bottom w:val="single" w:sz="4" w:space="0" w:color="auto"/>
            </w:tcBorders>
          </w:tcPr>
          <w:p w14:paraId="73F5B21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Parameter</w:t>
            </w:r>
          </w:p>
        </w:tc>
        <w:tc>
          <w:tcPr>
            <w:tcW w:w="2520" w:type="dxa"/>
            <w:tcBorders>
              <w:bottom w:val="single" w:sz="4" w:space="0" w:color="auto"/>
            </w:tcBorders>
          </w:tcPr>
          <w:p w14:paraId="33BE28C6"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w:t>
            </w:r>
          </w:p>
        </w:tc>
        <w:tc>
          <w:tcPr>
            <w:tcW w:w="1890" w:type="dxa"/>
            <w:tcBorders>
              <w:bottom w:val="single" w:sz="4" w:space="0" w:color="auto"/>
            </w:tcBorders>
          </w:tcPr>
          <w:p w14:paraId="212EF6B1"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Value (u/l)</w:t>
            </w:r>
          </w:p>
        </w:tc>
        <w:tc>
          <w:tcPr>
            <w:tcW w:w="1345" w:type="dxa"/>
            <w:tcBorders>
              <w:bottom w:val="single" w:sz="4" w:space="0" w:color="auto"/>
            </w:tcBorders>
          </w:tcPr>
          <w:p w14:paraId="21BAB81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P value</w:t>
            </w:r>
          </w:p>
        </w:tc>
      </w:tr>
      <w:tr w:rsidR="00626B8F" w:rsidRPr="001D0FA3" w14:paraId="38B00D40" w14:textId="77777777" w:rsidTr="001D0FA3">
        <w:tc>
          <w:tcPr>
            <w:tcW w:w="3595" w:type="dxa"/>
            <w:vMerge w:val="restart"/>
            <w:tcBorders>
              <w:bottom w:val="nil"/>
            </w:tcBorders>
          </w:tcPr>
          <w:p w14:paraId="5C68E9FF"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Serum Aspartate Aminotransferase (AST) Activities (u/l)</w:t>
            </w:r>
          </w:p>
        </w:tc>
        <w:tc>
          <w:tcPr>
            <w:tcW w:w="2520" w:type="dxa"/>
            <w:tcBorders>
              <w:bottom w:val="nil"/>
            </w:tcBorders>
          </w:tcPr>
          <w:p w14:paraId="3FE5B1E1"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w:t>
            </w:r>
            <w:r w:rsidR="001D0FA3">
              <w:rPr>
                <w:rFonts w:ascii="Times New Roman" w:hAnsi="Times New Roman" w:cs="Times New Roman"/>
                <w:sz w:val="24"/>
                <w:szCs w:val="24"/>
              </w:rPr>
              <w:t xml:space="preserve"> </w:t>
            </w:r>
            <w:r w:rsidRPr="001D0FA3">
              <w:rPr>
                <w:rFonts w:ascii="Times New Roman" w:hAnsi="Times New Roman" w:cs="Times New Roman"/>
                <w:sz w:val="24"/>
                <w:szCs w:val="24"/>
              </w:rPr>
              <w:t>A)</w:t>
            </w:r>
          </w:p>
        </w:tc>
        <w:tc>
          <w:tcPr>
            <w:tcW w:w="1890" w:type="dxa"/>
            <w:tcBorders>
              <w:bottom w:val="nil"/>
            </w:tcBorders>
          </w:tcPr>
          <w:p w14:paraId="69E5E13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31.00±0.00</w:t>
            </w:r>
          </w:p>
        </w:tc>
        <w:tc>
          <w:tcPr>
            <w:tcW w:w="1345" w:type="dxa"/>
            <w:tcBorders>
              <w:bottom w:val="nil"/>
            </w:tcBorders>
          </w:tcPr>
          <w:p w14:paraId="32FD40EA"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3AA29FCD" w14:textId="77777777" w:rsidTr="001D0FA3">
        <w:tc>
          <w:tcPr>
            <w:tcW w:w="3595" w:type="dxa"/>
            <w:vMerge/>
            <w:tcBorders>
              <w:top w:val="nil"/>
              <w:bottom w:val="nil"/>
            </w:tcBorders>
          </w:tcPr>
          <w:p w14:paraId="54F92B96"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60A0370"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7932D9B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32.67±1.20</w:t>
            </w:r>
          </w:p>
        </w:tc>
        <w:tc>
          <w:tcPr>
            <w:tcW w:w="1345" w:type="dxa"/>
            <w:tcBorders>
              <w:top w:val="nil"/>
              <w:bottom w:val="nil"/>
            </w:tcBorders>
          </w:tcPr>
          <w:p w14:paraId="2ED84A2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0.238</w:t>
            </w:r>
          </w:p>
        </w:tc>
      </w:tr>
      <w:tr w:rsidR="00626B8F" w:rsidRPr="001D0FA3" w14:paraId="2CA9867A" w14:textId="77777777" w:rsidTr="001D0FA3">
        <w:tc>
          <w:tcPr>
            <w:tcW w:w="3595" w:type="dxa"/>
            <w:vMerge/>
            <w:tcBorders>
              <w:top w:val="nil"/>
              <w:bottom w:val="nil"/>
            </w:tcBorders>
          </w:tcPr>
          <w:p w14:paraId="0BD9543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2B7F91AD"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5804645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34.33±0.33</w:t>
            </w:r>
          </w:p>
        </w:tc>
        <w:tc>
          <w:tcPr>
            <w:tcW w:w="1345" w:type="dxa"/>
            <w:tcBorders>
              <w:top w:val="nil"/>
              <w:bottom w:val="nil"/>
            </w:tcBorders>
          </w:tcPr>
          <w:p w14:paraId="3B89B31F"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0.001</w:t>
            </w:r>
          </w:p>
        </w:tc>
      </w:tr>
      <w:tr w:rsidR="00626B8F" w:rsidRPr="001D0FA3" w14:paraId="3B00558A" w14:textId="77777777" w:rsidTr="001D0FA3">
        <w:tc>
          <w:tcPr>
            <w:tcW w:w="3595" w:type="dxa"/>
            <w:vMerge/>
            <w:tcBorders>
              <w:top w:val="nil"/>
              <w:bottom w:val="nil"/>
            </w:tcBorders>
          </w:tcPr>
          <w:p w14:paraId="7E98C478"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45B61AB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bottom w:val="nil"/>
            </w:tcBorders>
          </w:tcPr>
          <w:p w14:paraId="762CBB45"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35.00±0.58</w:t>
            </w:r>
          </w:p>
        </w:tc>
        <w:tc>
          <w:tcPr>
            <w:tcW w:w="1345" w:type="dxa"/>
            <w:tcBorders>
              <w:top w:val="nil"/>
              <w:bottom w:val="nil"/>
            </w:tcBorders>
          </w:tcPr>
          <w:p w14:paraId="2D19348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0.002</w:t>
            </w:r>
          </w:p>
        </w:tc>
      </w:tr>
      <w:tr w:rsidR="00626B8F" w:rsidRPr="001D0FA3" w14:paraId="38D29631" w14:textId="77777777" w:rsidTr="001D0FA3">
        <w:tc>
          <w:tcPr>
            <w:tcW w:w="3595" w:type="dxa"/>
            <w:vMerge w:val="restart"/>
            <w:tcBorders>
              <w:top w:val="nil"/>
              <w:bottom w:val="nil"/>
            </w:tcBorders>
          </w:tcPr>
          <w:p w14:paraId="16DE61B5"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Serum Alanine Aminotransferase (ALT) Activities (u/l)</w:t>
            </w:r>
          </w:p>
        </w:tc>
        <w:tc>
          <w:tcPr>
            <w:tcW w:w="2520" w:type="dxa"/>
            <w:tcBorders>
              <w:top w:val="nil"/>
              <w:bottom w:val="nil"/>
            </w:tcBorders>
          </w:tcPr>
          <w:p w14:paraId="6C5716AC"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 A)</w:t>
            </w:r>
          </w:p>
        </w:tc>
        <w:tc>
          <w:tcPr>
            <w:tcW w:w="1890" w:type="dxa"/>
            <w:tcBorders>
              <w:top w:val="nil"/>
              <w:bottom w:val="nil"/>
            </w:tcBorders>
          </w:tcPr>
          <w:p w14:paraId="640DADF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13.00±0.00</w:t>
            </w:r>
          </w:p>
        </w:tc>
        <w:tc>
          <w:tcPr>
            <w:tcW w:w="1345" w:type="dxa"/>
            <w:tcBorders>
              <w:top w:val="nil"/>
              <w:bottom w:val="nil"/>
            </w:tcBorders>
          </w:tcPr>
          <w:p w14:paraId="7BD86CCB"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0FEA1B2E" w14:textId="77777777" w:rsidTr="001D0FA3">
        <w:tc>
          <w:tcPr>
            <w:tcW w:w="3595" w:type="dxa"/>
            <w:vMerge/>
            <w:tcBorders>
              <w:top w:val="nil"/>
              <w:bottom w:val="nil"/>
            </w:tcBorders>
          </w:tcPr>
          <w:p w14:paraId="01D8A5C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6F5B8952"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25AFEF1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14.33±0.33</w:t>
            </w:r>
          </w:p>
        </w:tc>
        <w:tc>
          <w:tcPr>
            <w:tcW w:w="1345" w:type="dxa"/>
            <w:tcBorders>
              <w:top w:val="nil"/>
              <w:bottom w:val="nil"/>
            </w:tcBorders>
          </w:tcPr>
          <w:p w14:paraId="6973860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0.016</w:t>
            </w:r>
          </w:p>
        </w:tc>
      </w:tr>
      <w:tr w:rsidR="00626B8F" w:rsidRPr="001D0FA3" w14:paraId="24CE786C" w14:textId="77777777" w:rsidTr="001D0FA3">
        <w:tc>
          <w:tcPr>
            <w:tcW w:w="3595" w:type="dxa"/>
            <w:vMerge/>
            <w:tcBorders>
              <w:top w:val="nil"/>
              <w:bottom w:val="nil"/>
            </w:tcBorders>
          </w:tcPr>
          <w:p w14:paraId="23217C9E"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56B6891F"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33B74E4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12.67±0.33</w:t>
            </w:r>
          </w:p>
        </w:tc>
        <w:tc>
          <w:tcPr>
            <w:tcW w:w="1345" w:type="dxa"/>
            <w:tcBorders>
              <w:top w:val="nil"/>
              <w:bottom w:val="nil"/>
            </w:tcBorders>
          </w:tcPr>
          <w:p w14:paraId="1A43598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0.374</w:t>
            </w:r>
          </w:p>
        </w:tc>
      </w:tr>
      <w:tr w:rsidR="00626B8F" w:rsidRPr="001D0FA3" w14:paraId="3D50A715" w14:textId="77777777" w:rsidTr="001D0FA3">
        <w:tc>
          <w:tcPr>
            <w:tcW w:w="3595" w:type="dxa"/>
            <w:vMerge/>
            <w:tcBorders>
              <w:top w:val="nil"/>
              <w:bottom w:val="nil"/>
            </w:tcBorders>
          </w:tcPr>
          <w:p w14:paraId="1FEE7BB0"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1B0BC81C"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bottom w:val="nil"/>
            </w:tcBorders>
          </w:tcPr>
          <w:p w14:paraId="2E08A45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12.67±0.33</w:t>
            </w:r>
          </w:p>
        </w:tc>
        <w:tc>
          <w:tcPr>
            <w:tcW w:w="1345" w:type="dxa"/>
            <w:tcBorders>
              <w:top w:val="nil"/>
              <w:bottom w:val="nil"/>
            </w:tcBorders>
          </w:tcPr>
          <w:p w14:paraId="1C95E3C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0.374</w:t>
            </w:r>
          </w:p>
        </w:tc>
      </w:tr>
      <w:tr w:rsidR="00626B8F" w:rsidRPr="001D0FA3" w14:paraId="04E7B1BA" w14:textId="77777777" w:rsidTr="001D0FA3">
        <w:tc>
          <w:tcPr>
            <w:tcW w:w="3595" w:type="dxa"/>
            <w:vMerge w:val="restart"/>
            <w:tcBorders>
              <w:top w:val="nil"/>
              <w:bottom w:val="nil"/>
            </w:tcBorders>
          </w:tcPr>
          <w:p w14:paraId="5A269D47"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Serum Alkaline Phosphatase (ALP) Activities (u/l)</w:t>
            </w:r>
          </w:p>
        </w:tc>
        <w:tc>
          <w:tcPr>
            <w:tcW w:w="2520" w:type="dxa"/>
            <w:tcBorders>
              <w:top w:val="nil"/>
              <w:bottom w:val="nil"/>
            </w:tcBorders>
          </w:tcPr>
          <w:p w14:paraId="166CA60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 A)</w:t>
            </w:r>
          </w:p>
        </w:tc>
        <w:tc>
          <w:tcPr>
            <w:tcW w:w="1890" w:type="dxa"/>
            <w:tcBorders>
              <w:top w:val="nil"/>
              <w:bottom w:val="nil"/>
            </w:tcBorders>
          </w:tcPr>
          <w:p w14:paraId="612A3056"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78.68±0.45</w:t>
            </w:r>
          </w:p>
        </w:tc>
        <w:tc>
          <w:tcPr>
            <w:tcW w:w="1345" w:type="dxa"/>
            <w:tcBorders>
              <w:top w:val="nil"/>
              <w:bottom w:val="nil"/>
            </w:tcBorders>
          </w:tcPr>
          <w:p w14:paraId="2A8D2C42"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66423D98" w14:textId="77777777" w:rsidTr="001D0FA3">
        <w:tc>
          <w:tcPr>
            <w:tcW w:w="3595" w:type="dxa"/>
            <w:vMerge/>
            <w:tcBorders>
              <w:top w:val="nil"/>
              <w:bottom w:val="nil"/>
            </w:tcBorders>
          </w:tcPr>
          <w:p w14:paraId="4799E69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62F12C7"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06F04EC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79.60±0.39</w:t>
            </w:r>
          </w:p>
        </w:tc>
        <w:tc>
          <w:tcPr>
            <w:tcW w:w="1345" w:type="dxa"/>
            <w:tcBorders>
              <w:top w:val="nil"/>
              <w:bottom w:val="nil"/>
            </w:tcBorders>
          </w:tcPr>
          <w:p w14:paraId="4C0B3D7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0.122</w:t>
            </w:r>
          </w:p>
        </w:tc>
      </w:tr>
      <w:tr w:rsidR="00626B8F" w:rsidRPr="001D0FA3" w14:paraId="068137C5" w14:textId="77777777" w:rsidTr="001D0FA3">
        <w:tc>
          <w:tcPr>
            <w:tcW w:w="3595" w:type="dxa"/>
            <w:vMerge/>
            <w:tcBorders>
              <w:top w:val="nil"/>
              <w:bottom w:val="nil"/>
            </w:tcBorders>
          </w:tcPr>
          <w:p w14:paraId="1641ECFA"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A2CF6DA"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2A0706B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80.07±0.58</w:t>
            </w:r>
          </w:p>
        </w:tc>
        <w:tc>
          <w:tcPr>
            <w:tcW w:w="1345" w:type="dxa"/>
            <w:tcBorders>
              <w:top w:val="nil"/>
              <w:bottom w:val="nil"/>
            </w:tcBorders>
          </w:tcPr>
          <w:p w14:paraId="6A98E47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0.092</w:t>
            </w:r>
          </w:p>
        </w:tc>
      </w:tr>
      <w:tr w:rsidR="00626B8F" w:rsidRPr="001D0FA3" w14:paraId="6E4ADBB1" w14:textId="77777777" w:rsidTr="001D0FA3">
        <w:tc>
          <w:tcPr>
            <w:tcW w:w="3595" w:type="dxa"/>
            <w:vMerge/>
            <w:tcBorders>
              <w:top w:val="nil"/>
            </w:tcBorders>
          </w:tcPr>
          <w:p w14:paraId="26453D2F"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tcBorders>
          </w:tcPr>
          <w:p w14:paraId="49490BE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tcBorders>
          </w:tcPr>
          <w:p w14:paraId="1259FF2D"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80.48±1.02</w:t>
            </w:r>
          </w:p>
        </w:tc>
        <w:tc>
          <w:tcPr>
            <w:tcW w:w="1345" w:type="dxa"/>
            <w:tcBorders>
              <w:top w:val="nil"/>
            </w:tcBorders>
          </w:tcPr>
          <w:p w14:paraId="219F108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0.162</w:t>
            </w:r>
          </w:p>
        </w:tc>
      </w:tr>
    </w:tbl>
    <w:p w14:paraId="48DB19C6" w14:textId="77777777" w:rsidR="00F87345" w:rsidRPr="00F87345" w:rsidRDefault="00F87345" w:rsidP="00504C86">
      <w:pPr>
        <w:spacing w:line="480" w:lineRule="auto"/>
        <w:rPr>
          <w:rFonts w:ascii="Times New Roman" w:hAnsi="Times New Roman" w:cs="Times New Roman"/>
          <w:b/>
          <w:sz w:val="24"/>
          <w:szCs w:val="24"/>
        </w:rPr>
      </w:pPr>
    </w:p>
    <w:p w14:paraId="1878A02B" w14:textId="77777777" w:rsidR="00F87345" w:rsidRDefault="00F87345" w:rsidP="00F87345">
      <w:pPr>
        <w:spacing w:line="480" w:lineRule="auto"/>
        <w:rPr>
          <w:rFonts w:ascii="Times New Roman" w:hAnsi="Times New Roman" w:cs="Times New Roman"/>
          <w:b/>
          <w:sz w:val="24"/>
          <w:szCs w:val="24"/>
          <w:lang w:val="en-GB"/>
        </w:rPr>
      </w:pPr>
    </w:p>
    <w:p w14:paraId="66A53FED" w14:textId="77777777" w:rsidR="00783CC0" w:rsidRPr="00F87345" w:rsidRDefault="00783CC0" w:rsidP="00F87345">
      <w:pPr>
        <w:spacing w:line="480" w:lineRule="auto"/>
        <w:rPr>
          <w:rFonts w:ascii="Times New Roman" w:hAnsi="Times New Roman" w:cs="Times New Roman"/>
          <w:b/>
          <w:sz w:val="24"/>
          <w:szCs w:val="24"/>
          <w:lang w:val="en-GB"/>
        </w:rPr>
      </w:pPr>
    </w:p>
    <w:p w14:paraId="6C924AAD" w14:textId="77777777" w:rsidR="002E7976" w:rsidRDefault="002E7976" w:rsidP="00F87345">
      <w:pPr>
        <w:spacing w:line="480" w:lineRule="auto"/>
        <w:rPr>
          <w:rFonts w:ascii="Times New Roman" w:hAnsi="Times New Roman" w:cs="Times New Roman"/>
          <w:b/>
          <w:sz w:val="24"/>
          <w:szCs w:val="24"/>
          <w:lang w:val="en-GB"/>
        </w:rPr>
      </w:pPr>
    </w:p>
    <w:p w14:paraId="4347B80C" w14:textId="77777777" w:rsidR="00D5597A" w:rsidRDefault="00D5597A" w:rsidP="00F87345">
      <w:pPr>
        <w:spacing w:line="480" w:lineRule="auto"/>
        <w:rPr>
          <w:rFonts w:ascii="Times New Roman" w:hAnsi="Times New Roman" w:cs="Times New Roman"/>
          <w:b/>
          <w:sz w:val="24"/>
          <w:szCs w:val="24"/>
          <w:lang w:val="en-GB"/>
        </w:rPr>
      </w:pPr>
    </w:p>
    <w:p w14:paraId="316C7F19" w14:textId="77777777" w:rsidR="00D5597A" w:rsidRDefault="00D5597A" w:rsidP="00F87345">
      <w:pPr>
        <w:spacing w:line="480" w:lineRule="auto"/>
        <w:rPr>
          <w:rFonts w:ascii="Times New Roman" w:hAnsi="Times New Roman" w:cs="Times New Roman"/>
          <w:b/>
          <w:sz w:val="24"/>
          <w:szCs w:val="24"/>
          <w:lang w:val="en-GB"/>
        </w:rPr>
      </w:pPr>
    </w:p>
    <w:p w14:paraId="2A54BAA6" w14:textId="77777777" w:rsidR="00D5597A" w:rsidRDefault="00D5597A" w:rsidP="00F87345">
      <w:pPr>
        <w:spacing w:line="480" w:lineRule="auto"/>
        <w:rPr>
          <w:rFonts w:ascii="Times New Roman" w:hAnsi="Times New Roman" w:cs="Times New Roman"/>
          <w:b/>
          <w:sz w:val="24"/>
          <w:szCs w:val="24"/>
          <w:lang w:val="en-GB"/>
        </w:rPr>
      </w:pPr>
    </w:p>
    <w:p w14:paraId="0F89409C" w14:textId="77777777" w:rsidR="00D5597A" w:rsidRDefault="00D5597A" w:rsidP="00F87345">
      <w:pPr>
        <w:spacing w:line="480" w:lineRule="auto"/>
        <w:rPr>
          <w:rFonts w:ascii="Times New Roman" w:hAnsi="Times New Roman" w:cs="Times New Roman"/>
          <w:b/>
          <w:sz w:val="24"/>
          <w:szCs w:val="24"/>
          <w:lang w:val="en-GB"/>
        </w:rPr>
      </w:pPr>
    </w:p>
    <w:p w14:paraId="1F804D08" w14:textId="77777777" w:rsidR="00D5597A" w:rsidRDefault="00D5597A" w:rsidP="00F87345">
      <w:pPr>
        <w:spacing w:line="480" w:lineRule="auto"/>
        <w:rPr>
          <w:rFonts w:ascii="Times New Roman" w:hAnsi="Times New Roman" w:cs="Times New Roman"/>
          <w:b/>
          <w:sz w:val="24"/>
          <w:szCs w:val="24"/>
          <w:lang w:val="en-GB"/>
        </w:rPr>
      </w:pPr>
    </w:p>
    <w:p w14:paraId="1817F3C4" w14:textId="77777777" w:rsidR="00F87345" w:rsidRPr="002E7976" w:rsidRDefault="00D5597A" w:rsidP="00F87345">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3.4 </w:t>
      </w:r>
      <w:r w:rsidR="002E7976">
        <w:rPr>
          <w:rFonts w:ascii="Times New Roman" w:hAnsi="Times New Roman" w:cs="Times New Roman"/>
          <w:b/>
          <w:sz w:val="24"/>
          <w:szCs w:val="24"/>
          <w:lang w:val="en-GB"/>
        </w:rPr>
        <w:t>Histological Findings</w:t>
      </w:r>
    </w:p>
    <w:p w14:paraId="69EF6118" w14:textId="77777777" w:rsidR="00E463D2" w:rsidRDefault="00E54BAC" w:rsidP="00F87345">
      <w:pPr>
        <w:spacing w:line="480" w:lineRule="auto"/>
        <w:rPr>
          <w:rFonts w:ascii="Times New Roman" w:hAnsi="Times New Roman" w:cs="Times New Roman"/>
          <w:sz w:val="24"/>
          <w:szCs w:val="24"/>
        </w:rPr>
      </w:pPr>
      <w:r w:rsidRPr="00E54BAC">
        <w:rPr>
          <w:rFonts w:ascii="Times New Roman" w:hAnsi="Times New Roman" w:cs="Times New Roman"/>
          <w:noProof/>
          <w:sz w:val="24"/>
          <w:szCs w:val="24"/>
        </w:rPr>
        <w:drawing>
          <wp:inline distT="0" distB="0" distL="0" distR="0" wp14:anchorId="32CA8A71" wp14:editId="1F2DD0F8">
            <wp:extent cx="5920740" cy="3749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2" r="5060"/>
                    <a:stretch/>
                  </pic:blipFill>
                  <pic:spPr bwMode="auto">
                    <a:xfrm>
                      <a:off x="0" y="0"/>
                      <a:ext cx="5920740" cy="3749040"/>
                    </a:xfrm>
                    <a:prstGeom prst="rect">
                      <a:avLst/>
                    </a:prstGeom>
                    <a:ln>
                      <a:noFill/>
                    </a:ln>
                    <a:extLst>
                      <a:ext uri="{53640926-AAD7-44D8-BBD7-CCE9431645EC}">
                        <a14:shadowObscured xmlns:a14="http://schemas.microsoft.com/office/drawing/2010/main"/>
                      </a:ext>
                    </a:extLst>
                  </pic:spPr>
                </pic:pic>
              </a:graphicData>
            </a:graphic>
          </wp:inline>
        </w:drawing>
      </w:r>
    </w:p>
    <w:p w14:paraId="1F6CCD15" w14:textId="77777777" w:rsidR="00F87345" w:rsidRDefault="00D47F77" w:rsidP="002E7976">
      <w:pPr>
        <w:spacing w:line="480" w:lineRule="auto"/>
        <w:rPr>
          <w:rFonts w:ascii="Times New Roman" w:hAnsi="Times New Roman" w:cs="Times New Roman"/>
          <w:b/>
          <w:noProof/>
          <w:sz w:val="24"/>
          <w:szCs w:val="24"/>
        </w:rPr>
      </w:pPr>
      <w:r w:rsidRPr="00D47F77">
        <w:rPr>
          <w:rFonts w:ascii="Times New Roman" w:hAnsi="Times New Roman" w:cs="Times New Roman"/>
          <w:b/>
          <w:noProof/>
          <w:sz w:val="24"/>
          <w:szCs w:val="24"/>
        </w:rPr>
        <w:lastRenderedPageBreak/>
        <w:drawing>
          <wp:inline distT="0" distB="0" distL="0" distR="0" wp14:anchorId="3BB66B3F" wp14:editId="603D2FB8">
            <wp:extent cx="5867400" cy="3741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6" t="3191" r="5640" b="-760"/>
                    <a:stretch/>
                  </pic:blipFill>
                  <pic:spPr bwMode="auto">
                    <a:xfrm>
                      <a:off x="0" y="0"/>
                      <a:ext cx="5867400" cy="3741420"/>
                    </a:xfrm>
                    <a:prstGeom prst="rect">
                      <a:avLst/>
                    </a:prstGeom>
                    <a:ln>
                      <a:noFill/>
                    </a:ln>
                    <a:extLst>
                      <a:ext uri="{53640926-AAD7-44D8-BBD7-CCE9431645EC}">
                        <a14:shadowObscured xmlns:a14="http://schemas.microsoft.com/office/drawing/2010/main"/>
                      </a:ext>
                    </a:extLst>
                  </pic:spPr>
                </pic:pic>
              </a:graphicData>
            </a:graphic>
          </wp:inline>
        </w:drawing>
      </w:r>
    </w:p>
    <w:p w14:paraId="2C045FAB" w14:textId="77777777" w:rsidR="00783CC0" w:rsidRDefault="00783CC0" w:rsidP="002E7976">
      <w:pPr>
        <w:spacing w:line="480" w:lineRule="auto"/>
        <w:rPr>
          <w:rFonts w:ascii="Times New Roman" w:hAnsi="Times New Roman" w:cs="Times New Roman"/>
          <w:b/>
          <w:noProof/>
          <w:sz w:val="24"/>
          <w:szCs w:val="24"/>
        </w:rPr>
      </w:pPr>
    </w:p>
    <w:p w14:paraId="3ED6F013" w14:textId="77777777" w:rsidR="00783CC0" w:rsidRPr="00F87345" w:rsidRDefault="00263BDA" w:rsidP="002E7976">
      <w:pPr>
        <w:spacing w:line="480" w:lineRule="auto"/>
        <w:rPr>
          <w:rFonts w:ascii="Times New Roman" w:hAnsi="Times New Roman" w:cs="Times New Roman"/>
          <w:b/>
          <w:sz w:val="24"/>
          <w:szCs w:val="24"/>
        </w:rPr>
      </w:pPr>
      <w:r w:rsidRPr="00263BDA">
        <w:rPr>
          <w:rFonts w:ascii="Times New Roman" w:hAnsi="Times New Roman" w:cs="Times New Roman"/>
          <w:b/>
          <w:noProof/>
          <w:sz w:val="24"/>
          <w:szCs w:val="24"/>
        </w:rPr>
        <w:drawing>
          <wp:inline distT="0" distB="0" distL="0" distR="0" wp14:anchorId="265C8BE6" wp14:editId="476FB92A">
            <wp:extent cx="5913120" cy="379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3" t="7524" r="8462" b="3571"/>
                    <a:stretch/>
                  </pic:blipFill>
                  <pic:spPr bwMode="auto">
                    <a:xfrm>
                      <a:off x="0" y="0"/>
                      <a:ext cx="5913120" cy="3794760"/>
                    </a:xfrm>
                    <a:prstGeom prst="rect">
                      <a:avLst/>
                    </a:prstGeom>
                    <a:ln>
                      <a:noFill/>
                    </a:ln>
                    <a:extLst>
                      <a:ext uri="{53640926-AAD7-44D8-BBD7-CCE9431645EC}">
                        <a14:shadowObscured xmlns:a14="http://schemas.microsoft.com/office/drawing/2010/main"/>
                      </a:ext>
                    </a:extLst>
                  </pic:spPr>
                </pic:pic>
              </a:graphicData>
            </a:graphic>
          </wp:inline>
        </w:drawing>
      </w:r>
    </w:p>
    <w:p w14:paraId="56C4D148" w14:textId="77777777" w:rsidR="00F87345" w:rsidRDefault="00F87345" w:rsidP="00F87345">
      <w:pPr>
        <w:spacing w:line="480" w:lineRule="auto"/>
        <w:rPr>
          <w:rFonts w:ascii="Times New Roman" w:hAnsi="Times New Roman" w:cs="Times New Roman"/>
          <w:b/>
          <w:sz w:val="24"/>
          <w:szCs w:val="24"/>
        </w:rPr>
      </w:pPr>
    </w:p>
    <w:p w14:paraId="579DA2D4" w14:textId="77777777" w:rsidR="00783CC0" w:rsidRPr="00F87345" w:rsidRDefault="00263BDA" w:rsidP="00F87345">
      <w:pPr>
        <w:spacing w:line="480" w:lineRule="auto"/>
        <w:rPr>
          <w:rFonts w:ascii="Times New Roman" w:hAnsi="Times New Roman" w:cs="Times New Roman"/>
          <w:b/>
          <w:sz w:val="24"/>
          <w:szCs w:val="24"/>
        </w:rPr>
      </w:pPr>
      <w:r w:rsidRPr="00263BDA">
        <w:rPr>
          <w:rFonts w:ascii="Times New Roman" w:hAnsi="Times New Roman" w:cs="Times New Roman"/>
          <w:b/>
          <w:noProof/>
          <w:sz w:val="24"/>
          <w:szCs w:val="24"/>
        </w:rPr>
        <w:drawing>
          <wp:inline distT="0" distB="0" distL="0" distR="0" wp14:anchorId="241F6C75" wp14:editId="64908311">
            <wp:extent cx="6019800" cy="3383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54" t="6611" r="6538" b="6079"/>
                    <a:stretch/>
                  </pic:blipFill>
                  <pic:spPr bwMode="auto">
                    <a:xfrm>
                      <a:off x="0" y="0"/>
                      <a:ext cx="6019800" cy="3383280"/>
                    </a:xfrm>
                    <a:prstGeom prst="rect">
                      <a:avLst/>
                    </a:prstGeom>
                    <a:ln>
                      <a:noFill/>
                    </a:ln>
                    <a:extLst>
                      <a:ext uri="{53640926-AAD7-44D8-BBD7-CCE9431645EC}">
                        <a14:shadowObscured xmlns:a14="http://schemas.microsoft.com/office/drawing/2010/main"/>
                      </a:ext>
                    </a:extLst>
                  </pic:spPr>
                </pic:pic>
              </a:graphicData>
            </a:graphic>
          </wp:inline>
        </w:drawing>
      </w:r>
    </w:p>
    <w:p w14:paraId="557C7987" w14:textId="77777777" w:rsidR="00263BDA" w:rsidRDefault="00263BDA" w:rsidP="00562DD7">
      <w:pPr>
        <w:spacing w:before="100" w:beforeAutospacing="1" w:after="100" w:afterAutospacing="1" w:line="240" w:lineRule="auto"/>
        <w:jc w:val="both"/>
        <w:rPr>
          <w:rFonts w:ascii="Times New Roman" w:eastAsia="Times New Roman" w:hAnsi="Times New Roman" w:cs="Times New Roman"/>
          <w:b/>
          <w:bCs/>
          <w:sz w:val="24"/>
          <w:szCs w:val="24"/>
        </w:rPr>
      </w:pPr>
    </w:p>
    <w:p w14:paraId="234F1A12" w14:textId="77777777" w:rsidR="00263BDA" w:rsidRDefault="00263BDA" w:rsidP="00562DD7">
      <w:pPr>
        <w:spacing w:before="100" w:beforeAutospacing="1" w:after="100" w:afterAutospacing="1" w:line="240" w:lineRule="auto"/>
        <w:jc w:val="both"/>
        <w:rPr>
          <w:rFonts w:ascii="Times New Roman" w:eastAsia="Times New Roman" w:hAnsi="Times New Roman" w:cs="Times New Roman"/>
          <w:b/>
          <w:bCs/>
          <w:sz w:val="24"/>
          <w:szCs w:val="24"/>
        </w:rPr>
      </w:pPr>
    </w:p>
    <w:p w14:paraId="2CA7D8D7" w14:textId="77777777" w:rsidR="004C4D71" w:rsidRDefault="00D5597A" w:rsidP="00504C86">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4.0 </w:t>
      </w:r>
      <w:r w:rsidR="004C4D71">
        <w:rPr>
          <w:rFonts w:ascii="Times New Roman" w:eastAsia="Times New Roman" w:hAnsi="Times New Roman" w:cs="Times New Roman"/>
          <w:b/>
          <w:bCs/>
          <w:sz w:val="24"/>
          <w:szCs w:val="24"/>
        </w:rPr>
        <w:t xml:space="preserve">DISCUSSION </w:t>
      </w:r>
    </w:p>
    <w:p w14:paraId="3E3681B4"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This study investigated the effects of </w:t>
      </w:r>
      <w:r w:rsidRPr="00AA5B22">
        <w:rPr>
          <w:rFonts w:ascii="Times New Roman" w:eastAsia="Times New Roman" w:hAnsi="Times New Roman" w:cs="Times New Roman"/>
          <w:i/>
          <w:iCs/>
          <w:sz w:val="24"/>
          <w:szCs w:val="24"/>
        </w:rPr>
        <w:t>Carica papaya</w:t>
      </w:r>
      <w:r w:rsidRPr="00AA5B22">
        <w:rPr>
          <w:rFonts w:ascii="Times New Roman" w:eastAsia="Times New Roman" w:hAnsi="Times New Roman" w:cs="Times New Roman"/>
          <w:sz w:val="24"/>
          <w:szCs w:val="24"/>
        </w:rPr>
        <w:t xml:space="preserve"> (pawpaw) sap on liver function in adult male Wistar rats by assessing body and organ weights, liver enzyme activity, and histopathological changes. The goal was to evaluate the safety profile and potential hepatotoxic effects of pawpaw sap, thereby contributing to its pharmacological understanding for both traditional and modern medicinal applications.</w:t>
      </w:r>
    </w:p>
    <w:p w14:paraId="4C1AA8D0"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No statistically significant differences were observed in body weight across all experimental groups. While the control group exhibited a slight but non-significant decrease (p = 0.976), the treated groups showed non-significant increases in weight (p &gt; 0.05). These findings suggest that </w:t>
      </w:r>
      <w:r w:rsidRPr="00AA5B22">
        <w:rPr>
          <w:rFonts w:ascii="Times New Roman" w:eastAsia="Times New Roman" w:hAnsi="Times New Roman" w:cs="Times New Roman"/>
          <w:i/>
          <w:iCs/>
          <w:sz w:val="24"/>
          <w:szCs w:val="24"/>
        </w:rPr>
        <w:t>Carica papaya</w:t>
      </w:r>
      <w:r w:rsidRPr="00AA5B22">
        <w:rPr>
          <w:rFonts w:ascii="Times New Roman" w:eastAsia="Times New Roman" w:hAnsi="Times New Roman" w:cs="Times New Roman"/>
          <w:sz w:val="24"/>
          <w:szCs w:val="24"/>
        </w:rPr>
        <w:t xml:space="preserve"> sap, at the administered doses and treatment duration, does not substantially affect </w:t>
      </w:r>
      <w:r w:rsidRPr="00AA5B22">
        <w:rPr>
          <w:rFonts w:ascii="Times New Roman" w:eastAsia="Times New Roman" w:hAnsi="Times New Roman" w:cs="Times New Roman"/>
          <w:sz w:val="24"/>
          <w:szCs w:val="24"/>
        </w:rPr>
        <w:lastRenderedPageBreak/>
        <w:t>the body mass of adult male Wistar rats. This is consistent with previous studies on various plant extracts, which similarly reported negligible effects on weight during short-term exposure</w:t>
      </w:r>
      <w:r w:rsidR="00761B9F">
        <w:rPr>
          <w:rFonts w:ascii="Times New Roman" w:eastAsia="Times New Roman" w:hAnsi="Times New Roman" w:cs="Times New Roman"/>
          <w:sz w:val="24"/>
          <w:szCs w:val="24"/>
        </w:rPr>
        <w:t xml:space="preserve"> </w:t>
      </w:r>
      <w:r w:rsidRPr="00AA5B22">
        <w:rPr>
          <w:rFonts w:ascii="Times New Roman" w:eastAsia="Times New Roman" w:hAnsi="Times New Roman" w:cs="Times New Roman"/>
          <w:sz w:val="24"/>
          <w:szCs w:val="24"/>
        </w:rPr>
        <w:t>(</w:t>
      </w:r>
      <w:proofErr w:type="spellStart"/>
      <w:r w:rsidR="00761B9F">
        <w:rPr>
          <w:rFonts w:ascii="Times New Roman" w:eastAsia="Times New Roman" w:hAnsi="Times New Roman" w:cs="Times New Roman"/>
          <w:sz w:val="24"/>
          <w:szCs w:val="24"/>
        </w:rPr>
        <w:t>Ofoego</w:t>
      </w:r>
      <w:proofErr w:type="spellEnd"/>
      <w:r w:rsidR="00761B9F">
        <w:rPr>
          <w:rFonts w:ascii="Times New Roman" w:eastAsia="Times New Roman" w:hAnsi="Times New Roman" w:cs="Times New Roman"/>
          <w:sz w:val="24"/>
          <w:szCs w:val="24"/>
        </w:rPr>
        <w:t xml:space="preserve"> </w:t>
      </w:r>
      <w:r w:rsidR="00761B9F" w:rsidRPr="00761B9F">
        <w:rPr>
          <w:rFonts w:ascii="Times New Roman" w:eastAsia="Times New Roman" w:hAnsi="Times New Roman" w:cs="Times New Roman"/>
          <w:i/>
          <w:sz w:val="24"/>
          <w:szCs w:val="24"/>
        </w:rPr>
        <w:t>et al</w:t>
      </w:r>
      <w:r w:rsidR="00761B9F">
        <w:rPr>
          <w:rFonts w:ascii="Times New Roman" w:eastAsia="Times New Roman" w:hAnsi="Times New Roman" w:cs="Times New Roman"/>
          <w:sz w:val="24"/>
          <w:szCs w:val="24"/>
        </w:rPr>
        <w:t xml:space="preserve">., 2017; </w:t>
      </w:r>
      <w:r w:rsidRPr="00AA5B22">
        <w:rPr>
          <w:rFonts w:ascii="Times New Roman" w:eastAsia="Times New Roman" w:hAnsi="Times New Roman" w:cs="Times New Roman"/>
          <w:sz w:val="24"/>
          <w:szCs w:val="24"/>
        </w:rPr>
        <w:t>Smith, Johnson, &amp; Lee, 2019; Garcia, Martinez, &amp; Zhang, 2020). Although other investigations have observed metabolic effects—such as weight gain or loss—after exposure to herbal compounds (</w:t>
      </w:r>
      <w:proofErr w:type="spellStart"/>
      <w:r w:rsidR="00761B9F">
        <w:rPr>
          <w:rFonts w:ascii="Times New Roman" w:eastAsia="Times New Roman" w:hAnsi="Times New Roman" w:cs="Times New Roman"/>
          <w:sz w:val="24"/>
          <w:szCs w:val="24"/>
        </w:rPr>
        <w:t>Ofoego</w:t>
      </w:r>
      <w:proofErr w:type="spellEnd"/>
      <w:r w:rsidR="00761B9F">
        <w:rPr>
          <w:rFonts w:ascii="Times New Roman" w:eastAsia="Times New Roman" w:hAnsi="Times New Roman" w:cs="Times New Roman"/>
          <w:sz w:val="24"/>
          <w:szCs w:val="24"/>
        </w:rPr>
        <w:t xml:space="preserve"> </w:t>
      </w:r>
      <w:r w:rsidR="00761B9F" w:rsidRPr="00761B9F">
        <w:rPr>
          <w:rFonts w:ascii="Times New Roman" w:eastAsia="Times New Roman" w:hAnsi="Times New Roman" w:cs="Times New Roman"/>
          <w:i/>
          <w:sz w:val="24"/>
          <w:szCs w:val="24"/>
        </w:rPr>
        <w:t>et al</w:t>
      </w:r>
      <w:r w:rsidR="00761B9F">
        <w:rPr>
          <w:rFonts w:ascii="Times New Roman" w:eastAsia="Times New Roman" w:hAnsi="Times New Roman" w:cs="Times New Roman"/>
          <w:sz w:val="24"/>
          <w:szCs w:val="24"/>
        </w:rPr>
        <w:t xml:space="preserve">., 2020; </w:t>
      </w:r>
      <w:r w:rsidRPr="00AA5B22">
        <w:rPr>
          <w:rFonts w:ascii="Times New Roman" w:eastAsia="Times New Roman" w:hAnsi="Times New Roman" w:cs="Times New Roman"/>
          <w:sz w:val="24"/>
          <w:szCs w:val="24"/>
        </w:rPr>
        <w:t>Jiang, Liu, &amp; Wang, 2021), the current results indicate no marked metabolic disruption due to pawpaw sap within the study window.</w:t>
      </w:r>
    </w:p>
    <w:p w14:paraId="35CB05E9"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A significant reduction in liver weight was observed in the high-dose group (p = 0.006), suggesting possible tissue damage or metabolic alteration due to higher sap exposure. Conversely, the low- and moderate-dose groups did not exhibit significant changes in liver weight, pointing to a dose-dependent pattern of hepatotoxicity. This trend aligns with earlier research on plant-derived substances, where high doses were often required to elicit significant changes in organ weight (Nabi, Khan, &amp; Iqbal, 2022; Chikezie, Olanrewaju, &amp; Alabi, 2021).</w:t>
      </w:r>
    </w:p>
    <w:p w14:paraId="48AE8706"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Liver function was assessed using key serum enzymes—AST, ALT, and ALP. AST levels increased non-significantly in the low-dose group (p = 0.238), but rose significantly in both the moderate- and high-dose groups (p = 0.001 and p = 0.002, respectively), implying potential hepatocellular damage at higher concentrations. Elevated AST activity is typically linked to liver cell membrane disruption and hepatocellular injury (Jameel, Ahmad, &amp; Siddiqui, 2018), reinforcing the evidence of dose-related hepatotoxicity from pawpaw sap, a pattern echoed in studies on other phytochemicals (Abdel-Daim, El-</w:t>
      </w:r>
      <w:proofErr w:type="spellStart"/>
      <w:r w:rsidRPr="00AA5B22">
        <w:rPr>
          <w:rFonts w:ascii="Times New Roman" w:eastAsia="Times New Roman" w:hAnsi="Times New Roman" w:cs="Times New Roman"/>
          <w:sz w:val="24"/>
          <w:szCs w:val="24"/>
        </w:rPr>
        <w:t>Khodary</w:t>
      </w:r>
      <w:proofErr w:type="spellEnd"/>
      <w:r w:rsidRPr="00AA5B22">
        <w:rPr>
          <w:rFonts w:ascii="Times New Roman" w:eastAsia="Times New Roman" w:hAnsi="Times New Roman" w:cs="Times New Roman"/>
          <w:sz w:val="24"/>
          <w:szCs w:val="24"/>
        </w:rPr>
        <w:t>, &amp; Farag, 2017</w:t>
      </w:r>
      <w:r w:rsidR="009C060B">
        <w:rPr>
          <w:rFonts w:ascii="Times New Roman" w:eastAsia="Times New Roman" w:hAnsi="Times New Roman" w:cs="Times New Roman"/>
          <w:sz w:val="24"/>
          <w:szCs w:val="24"/>
        </w:rPr>
        <w:t xml:space="preserve">; </w:t>
      </w:r>
      <w:proofErr w:type="spellStart"/>
      <w:r w:rsidR="009C060B">
        <w:rPr>
          <w:rFonts w:ascii="Times New Roman" w:eastAsia="Times New Roman" w:hAnsi="Times New Roman" w:cs="Times New Roman"/>
          <w:sz w:val="24"/>
          <w:szCs w:val="24"/>
        </w:rPr>
        <w:t>Ofoego</w:t>
      </w:r>
      <w:proofErr w:type="spellEnd"/>
      <w:r w:rsidR="009C060B">
        <w:rPr>
          <w:rFonts w:ascii="Times New Roman" w:eastAsia="Times New Roman" w:hAnsi="Times New Roman" w:cs="Times New Roman"/>
          <w:sz w:val="24"/>
          <w:szCs w:val="24"/>
        </w:rPr>
        <w:t xml:space="preserve"> </w:t>
      </w:r>
      <w:r w:rsidR="009C060B" w:rsidRPr="009C060B">
        <w:rPr>
          <w:rFonts w:ascii="Times New Roman" w:eastAsia="Times New Roman" w:hAnsi="Times New Roman" w:cs="Times New Roman"/>
          <w:i/>
          <w:sz w:val="24"/>
          <w:szCs w:val="24"/>
        </w:rPr>
        <w:t>et al</w:t>
      </w:r>
      <w:r w:rsidR="009C060B">
        <w:rPr>
          <w:rFonts w:ascii="Times New Roman" w:eastAsia="Times New Roman" w:hAnsi="Times New Roman" w:cs="Times New Roman"/>
          <w:sz w:val="24"/>
          <w:szCs w:val="24"/>
        </w:rPr>
        <w:t>., 2025</w:t>
      </w:r>
      <w:r w:rsidRPr="00AA5B22">
        <w:rPr>
          <w:rFonts w:ascii="Times New Roman" w:eastAsia="Times New Roman" w:hAnsi="Times New Roman" w:cs="Times New Roman"/>
          <w:sz w:val="24"/>
          <w:szCs w:val="24"/>
        </w:rPr>
        <w:t>).</w:t>
      </w:r>
    </w:p>
    <w:p w14:paraId="6A7EC0AD"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Interestingly, ALT—a more liver-specific enzyme—showed a significant increase only in the moderate-dose group (p = 0.016), while no significant changes were observed in the high-dose group (p &gt; 0.05). This selective elevation may indicate mild or early-stage hepatocellular injury, consistent with literature noting ALT's role as a sensitive early biomarker (Schweizer, Bertsch, &amp; </w:t>
      </w:r>
      <w:r w:rsidRPr="00AA5B22">
        <w:rPr>
          <w:rFonts w:ascii="Times New Roman" w:eastAsia="Times New Roman" w:hAnsi="Times New Roman" w:cs="Times New Roman"/>
          <w:sz w:val="24"/>
          <w:szCs w:val="24"/>
        </w:rPr>
        <w:lastRenderedPageBreak/>
        <w:t>Rojas, 2019</w:t>
      </w:r>
      <w:r w:rsidR="009C060B">
        <w:rPr>
          <w:rFonts w:ascii="Times New Roman" w:eastAsia="Times New Roman" w:hAnsi="Times New Roman" w:cs="Times New Roman"/>
          <w:sz w:val="24"/>
          <w:szCs w:val="24"/>
        </w:rPr>
        <w:t xml:space="preserve">; </w:t>
      </w:r>
      <w:proofErr w:type="spellStart"/>
      <w:r w:rsidR="009C060B">
        <w:rPr>
          <w:rFonts w:ascii="Times New Roman" w:eastAsia="Times New Roman" w:hAnsi="Times New Roman" w:cs="Times New Roman"/>
          <w:sz w:val="24"/>
          <w:szCs w:val="24"/>
        </w:rPr>
        <w:t>Ejioku</w:t>
      </w:r>
      <w:proofErr w:type="spellEnd"/>
      <w:r w:rsidR="009C060B">
        <w:rPr>
          <w:rFonts w:ascii="Times New Roman" w:eastAsia="Times New Roman" w:hAnsi="Times New Roman" w:cs="Times New Roman"/>
          <w:sz w:val="24"/>
          <w:szCs w:val="24"/>
        </w:rPr>
        <w:t xml:space="preserve"> </w:t>
      </w:r>
      <w:r w:rsidR="009C060B" w:rsidRPr="009C060B">
        <w:rPr>
          <w:rFonts w:ascii="Times New Roman" w:eastAsia="Times New Roman" w:hAnsi="Times New Roman" w:cs="Times New Roman"/>
          <w:i/>
          <w:sz w:val="24"/>
          <w:szCs w:val="24"/>
        </w:rPr>
        <w:t>et al</w:t>
      </w:r>
      <w:r w:rsidR="009C060B">
        <w:rPr>
          <w:rFonts w:ascii="Times New Roman" w:eastAsia="Times New Roman" w:hAnsi="Times New Roman" w:cs="Times New Roman"/>
          <w:sz w:val="24"/>
          <w:szCs w:val="24"/>
        </w:rPr>
        <w:t>., 2015</w:t>
      </w:r>
      <w:r w:rsidRPr="00AA5B22">
        <w:rPr>
          <w:rFonts w:ascii="Times New Roman" w:eastAsia="Times New Roman" w:hAnsi="Times New Roman" w:cs="Times New Roman"/>
          <w:sz w:val="24"/>
          <w:szCs w:val="24"/>
        </w:rPr>
        <w:t>). The lack of further ALT elevation at the highest dose might suggest a plateau effect or the activation of compensatory mechanisms, as has been proposed in previous studies involving high-dose herbal exposures (Zhang, Li, &amp; Zhang, 2020).</w:t>
      </w:r>
    </w:p>
    <w:p w14:paraId="1BB2A256"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No significant differences were found in ALP activity among all groups (p &gt; 0.05), implying that bile duct function and biliary flow were not adversely affected by pawpaw sap. Since ALP is often elevated in cases of cholestasis or biliary obstruction, its stability in this study suggests an absence of such conditions (Hosseini, Jamshidi, &amp; </w:t>
      </w:r>
      <w:proofErr w:type="spellStart"/>
      <w:r w:rsidRPr="00AA5B22">
        <w:rPr>
          <w:rFonts w:ascii="Times New Roman" w:eastAsia="Times New Roman" w:hAnsi="Times New Roman" w:cs="Times New Roman"/>
          <w:sz w:val="24"/>
          <w:szCs w:val="24"/>
        </w:rPr>
        <w:t>Shaterian</w:t>
      </w:r>
      <w:proofErr w:type="spellEnd"/>
      <w:r w:rsidRPr="00AA5B22">
        <w:rPr>
          <w:rFonts w:ascii="Times New Roman" w:eastAsia="Times New Roman" w:hAnsi="Times New Roman" w:cs="Times New Roman"/>
          <w:sz w:val="24"/>
          <w:szCs w:val="24"/>
        </w:rPr>
        <w:t>, 2020).</w:t>
      </w:r>
    </w:p>
    <w:p w14:paraId="2F0A8FE4"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While the biochemical data point to potential liver injury, particularly at higher doses, histopathological evaluation is crucial to confirm these findings. Elevated AST and ALT levels are often correlated with structural liver abnormalities, including hepatocellular necrosis, inflammation, and fatty degeneration (Ahmad, Hassan, &amp; Khan, 2021). The significant reduction in liver weight in the high-dose group may further reflect underlying histological changes such as tissue atrophy or cellular degeneration (Alhassan, Jamil, &amp; Nasser, 2022), emphasizing the need for integrated biochemical and histological assessments when evaluating plant-based toxicities.</w:t>
      </w:r>
    </w:p>
    <w:p w14:paraId="433EDEB7" w14:textId="77777777" w:rsidR="00075237" w:rsidRDefault="00D5597A" w:rsidP="00504C86">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5.0 </w:t>
      </w:r>
      <w:r w:rsidR="004C4D71" w:rsidRPr="00075237">
        <w:rPr>
          <w:rFonts w:ascii="Times New Roman" w:eastAsia="Times New Roman" w:hAnsi="Times New Roman" w:cs="Times New Roman"/>
          <w:b/>
          <w:sz w:val="24"/>
          <w:szCs w:val="24"/>
        </w:rPr>
        <w:t>CONCLUSION</w:t>
      </w:r>
    </w:p>
    <w:p w14:paraId="5DF2F7DB" w14:textId="77777777" w:rsidR="00562DD7" w:rsidRDefault="00075237" w:rsidP="00504C8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562DD7" w:rsidRPr="00562DD7">
        <w:rPr>
          <w:rFonts w:ascii="Times New Roman" w:eastAsia="Times New Roman" w:hAnsi="Times New Roman" w:cs="Times New Roman"/>
          <w:sz w:val="24"/>
          <w:szCs w:val="24"/>
        </w:rPr>
        <w:t xml:space="preserve">esults of this study suggest that </w:t>
      </w:r>
      <w:r w:rsidR="00F43F8F" w:rsidRPr="00F43F8F">
        <w:rPr>
          <w:rFonts w:ascii="Times New Roman" w:eastAsia="Times New Roman" w:hAnsi="Times New Roman" w:cs="Times New Roman"/>
          <w:i/>
          <w:iCs/>
          <w:sz w:val="24"/>
          <w:szCs w:val="24"/>
        </w:rPr>
        <w:t>Carica papaya</w:t>
      </w:r>
      <w:r w:rsidR="00562DD7" w:rsidRPr="00562DD7">
        <w:rPr>
          <w:rFonts w:ascii="Times New Roman" w:eastAsia="Times New Roman" w:hAnsi="Times New Roman" w:cs="Times New Roman"/>
          <w:sz w:val="24"/>
          <w:szCs w:val="24"/>
        </w:rPr>
        <w:t xml:space="preserve"> sap may exert mild hepatotoxic effects in adult male Wistar rats, particularly at higher doses. Significant increases in AST and ALT levels, along with decreased liver weight in the high-dose group, point to potential hepatic injury. However, the absence of significant changes in body weight and ALP levels indicates no overt systemic or biliary toxicity. These results are consistent with previous literature on dose-dependent hepatotoxicity of plant-derived substances (Ali, Mohammed, &amp; Liu, 2019). Further research is recommended to explore the long-term effects of pawpaw sap and to conduct detailed histopathological studies to provide deeper insight into its mechanism of toxicity and establish safer dosage guidelines.</w:t>
      </w:r>
    </w:p>
    <w:p w14:paraId="3C0D3483" w14:textId="77777777" w:rsidR="00D22443" w:rsidRPr="00D22443" w:rsidRDefault="00D22443" w:rsidP="00D22443">
      <w:pPr>
        <w:tabs>
          <w:tab w:val="left" w:pos="2520"/>
        </w:tabs>
        <w:jc w:val="both"/>
        <w:rPr>
          <w:rFonts w:ascii="Times New Roman" w:hAnsi="Times New Roman" w:cs="Times New Roman"/>
          <w:sz w:val="24"/>
          <w:szCs w:val="24"/>
        </w:rPr>
      </w:pPr>
    </w:p>
    <w:p w14:paraId="61A4540A" w14:textId="77777777" w:rsidR="00F87345" w:rsidRPr="00F87345" w:rsidRDefault="00F87345" w:rsidP="00504C86">
      <w:pPr>
        <w:tabs>
          <w:tab w:val="left" w:pos="1770"/>
        </w:tabs>
        <w:spacing w:line="480" w:lineRule="auto"/>
        <w:jc w:val="both"/>
        <w:rPr>
          <w:rFonts w:ascii="Times New Roman" w:hAnsi="Times New Roman" w:cs="Times New Roman"/>
          <w:b/>
          <w:bCs/>
          <w:sz w:val="24"/>
          <w:szCs w:val="24"/>
        </w:rPr>
      </w:pPr>
    </w:p>
    <w:p w14:paraId="7838E44A" w14:textId="77777777" w:rsidR="00504C86" w:rsidRPr="00504C86" w:rsidRDefault="00504C86" w:rsidP="00504C86">
      <w:pPr>
        <w:spacing w:before="100" w:beforeAutospacing="1" w:after="100" w:afterAutospacing="1" w:line="480" w:lineRule="auto"/>
        <w:rPr>
          <w:rFonts w:ascii="Times New Roman" w:eastAsia="Times New Roman" w:hAnsi="Times New Roman" w:cs="Times New Roman"/>
          <w:sz w:val="24"/>
          <w:szCs w:val="24"/>
        </w:rPr>
      </w:pPr>
      <w:r w:rsidRPr="00504C86">
        <w:rPr>
          <w:rFonts w:ascii="Times New Roman" w:eastAsia="Times New Roman" w:hAnsi="Times New Roman" w:cs="Times New Roman"/>
          <w:b/>
          <w:bCs/>
          <w:sz w:val="24"/>
          <w:szCs w:val="24"/>
        </w:rPr>
        <w:t>References</w:t>
      </w:r>
    </w:p>
    <w:p w14:paraId="399AD0DC"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Abdel-Daim, M. M., El-</w:t>
      </w:r>
      <w:proofErr w:type="spellStart"/>
      <w:r w:rsidRPr="00504C86">
        <w:rPr>
          <w:rFonts w:ascii="Times New Roman" w:eastAsia="Times New Roman" w:hAnsi="Times New Roman" w:cs="Times New Roman"/>
          <w:sz w:val="24"/>
          <w:szCs w:val="24"/>
        </w:rPr>
        <w:t>Khodary</w:t>
      </w:r>
      <w:proofErr w:type="spellEnd"/>
      <w:r w:rsidRPr="00504C86">
        <w:rPr>
          <w:rFonts w:ascii="Times New Roman" w:eastAsia="Times New Roman" w:hAnsi="Times New Roman" w:cs="Times New Roman"/>
          <w:sz w:val="24"/>
          <w:szCs w:val="24"/>
        </w:rPr>
        <w:t xml:space="preserve">, S. A., &amp; Farag, M. R. (2017). Hepatoprotective role of plant-derived </w:t>
      </w:r>
      <w:proofErr w:type="spellStart"/>
      <w:r w:rsidRPr="00504C86">
        <w:rPr>
          <w:rFonts w:ascii="Times New Roman" w:eastAsia="Times New Roman" w:hAnsi="Times New Roman" w:cs="Times New Roman"/>
          <w:sz w:val="24"/>
          <w:szCs w:val="24"/>
        </w:rPr>
        <w:t>bioactives</w:t>
      </w:r>
      <w:proofErr w:type="spellEnd"/>
      <w:r w:rsidRPr="00504C86">
        <w:rPr>
          <w:rFonts w:ascii="Times New Roman" w:eastAsia="Times New Roman" w:hAnsi="Times New Roman" w:cs="Times New Roman"/>
          <w:sz w:val="24"/>
          <w:szCs w:val="24"/>
        </w:rPr>
        <w:t xml:space="preserve">: Mechanistic insights and future directions. </w:t>
      </w:r>
      <w:r w:rsidRPr="002E6DEA">
        <w:rPr>
          <w:rFonts w:ascii="Times New Roman" w:eastAsia="Times New Roman" w:hAnsi="Times New Roman" w:cs="Times New Roman"/>
          <w:i/>
          <w:iCs/>
          <w:sz w:val="24"/>
          <w:szCs w:val="24"/>
        </w:rPr>
        <w:t>Environmental Toxicology and Pharmacology</w:t>
      </w:r>
      <w:r w:rsidRPr="00504C86">
        <w:rPr>
          <w:rFonts w:ascii="Times New Roman" w:eastAsia="Times New Roman" w:hAnsi="Times New Roman" w:cs="Times New Roman"/>
          <w:sz w:val="24"/>
          <w:szCs w:val="24"/>
        </w:rPr>
        <w:t>, 51, 166–171.</w:t>
      </w:r>
    </w:p>
    <w:p w14:paraId="034B6A02"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Ahmad, T., Hassan, M., &amp; Khan, R. A. (2021). Liver histopathology and biochemical markers of hepatotoxicity: A comparative review. </w:t>
      </w:r>
      <w:r w:rsidRPr="002E6DEA">
        <w:rPr>
          <w:rFonts w:ascii="Times New Roman" w:eastAsia="Times New Roman" w:hAnsi="Times New Roman" w:cs="Times New Roman"/>
          <w:i/>
          <w:iCs/>
          <w:sz w:val="24"/>
          <w:szCs w:val="24"/>
        </w:rPr>
        <w:t>Journal of Toxicologic Pathology</w:t>
      </w:r>
      <w:r w:rsidRPr="00504C86">
        <w:rPr>
          <w:rFonts w:ascii="Times New Roman" w:eastAsia="Times New Roman" w:hAnsi="Times New Roman" w:cs="Times New Roman"/>
          <w:sz w:val="24"/>
          <w:szCs w:val="24"/>
        </w:rPr>
        <w:t>, 34(4), 275–287.</w:t>
      </w:r>
    </w:p>
    <w:p w14:paraId="7F2E7948"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Alhassan, A. M., Jamil, A. B., &amp; Nasser, H. M. (2022). Hepatic cell degeneration due to medicinal plant extracts: A histopathological overview. </w:t>
      </w:r>
      <w:r w:rsidRPr="002E6DEA">
        <w:rPr>
          <w:rFonts w:ascii="Times New Roman" w:eastAsia="Times New Roman" w:hAnsi="Times New Roman" w:cs="Times New Roman"/>
          <w:i/>
          <w:iCs/>
          <w:sz w:val="24"/>
          <w:szCs w:val="24"/>
        </w:rPr>
        <w:t>Journal of Natural Remedies</w:t>
      </w:r>
      <w:r w:rsidRPr="00504C86">
        <w:rPr>
          <w:rFonts w:ascii="Times New Roman" w:eastAsia="Times New Roman" w:hAnsi="Times New Roman" w:cs="Times New Roman"/>
          <w:sz w:val="24"/>
          <w:szCs w:val="24"/>
        </w:rPr>
        <w:t>, 22(1), 34–42.</w:t>
      </w:r>
    </w:p>
    <w:p w14:paraId="34EFC5F5"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Ali, H. A., Mohammed, S. A., &amp; Liu, Z. (2019). Dose-dependent effects of plant-based </w:t>
      </w:r>
      <w:proofErr w:type="spellStart"/>
      <w:r w:rsidRPr="00504C86">
        <w:rPr>
          <w:rFonts w:ascii="Times New Roman" w:eastAsia="Times New Roman" w:hAnsi="Times New Roman" w:cs="Times New Roman"/>
          <w:sz w:val="24"/>
          <w:szCs w:val="24"/>
        </w:rPr>
        <w:t>bioactives</w:t>
      </w:r>
      <w:proofErr w:type="spellEnd"/>
      <w:r w:rsidRPr="00504C86">
        <w:rPr>
          <w:rFonts w:ascii="Times New Roman" w:eastAsia="Times New Roman" w:hAnsi="Times New Roman" w:cs="Times New Roman"/>
          <w:sz w:val="24"/>
          <w:szCs w:val="24"/>
        </w:rPr>
        <w:t xml:space="preserve"> on liver function: A meta-analytical review. </w:t>
      </w:r>
      <w:r w:rsidRPr="002E6DEA">
        <w:rPr>
          <w:rFonts w:ascii="Times New Roman" w:eastAsia="Times New Roman" w:hAnsi="Times New Roman" w:cs="Times New Roman"/>
          <w:i/>
          <w:iCs/>
          <w:sz w:val="24"/>
          <w:szCs w:val="24"/>
        </w:rPr>
        <w:t>Phytomedicine</w:t>
      </w:r>
      <w:r w:rsidRPr="00504C86">
        <w:rPr>
          <w:rFonts w:ascii="Times New Roman" w:eastAsia="Times New Roman" w:hAnsi="Times New Roman" w:cs="Times New Roman"/>
          <w:sz w:val="24"/>
          <w:szCs w:val="24"/>
        </w:rPr>
        <w:t>, 64, 153055.</w:t>
      </w:r>
    </w:p>
    <w:p w14:paraId="6D8A09B7"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Allen, D. G. (2002). Role of the liver in detoxification. </w:t>
      </w:r>
      <w:r w:rsidRPr="002E6DEA">
        <w:rPr>
          <w:rFonts w:ascii="Times New Roman" w:eastAsia="Times New Roman" w:hAnsi="Times New Roman" w:cs="Times New Roman"/>
          <w:i/>
          <w:iCs/>
          <w:sz w:val="24"/>
          <w:szCs w:val="24"/>
        </w:rPr>
        <w:t>Journal of Hepatic Research</w:t>
      </w:r>
      <w:r w:rsidRPr="00504C86">
        <w:rPr>
          <w:rFonts w:ascii="Times New Roman" w:eastAsia="Times New Roman" w:hAnsi="Times New Roman" w:cs="Times New Roman"/>
          <w:sz w:val="24"/>
          <w:szCs w:val="24"/>
        </w:rPr>
        <w:t>, 15(3), 145–154.</w:t>
      </w:r>
    </w:p>
    <w:p w14:paraId="63A396C8"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Aravind, G., Bhowmik, D., </w:t>
      </w:r>
      <w:proofErr w:type="spellStart"/>
      <w:r w:rsidRPr="00504C86">
        <w:rPr>
          <w:rFonts w:ascii="Times New Roman" w:eastAsia="Times New Roman" w:hAnsi="Times New Roman" w:cs="Times New Roman"/>
          <w:sz w:val="24"/>
          <w:szCs w:val="24"/>
        </w:rPr>
        <w:t>Duraivel</w:t>
      </w:r>
      <w:proofErr w:type="spellEnd"/>
      <w:r w:rsidRPr="00504C86">
        <w:rPr>
          <w:rFonts w:ascii="Times New Roman" w:eastAsia="Times New Roman" w:hAnsi="Times New Roman" w:cs="Times New Roman"/>
          <w:sz w:val="24"/>
          <w:szCs w:val="24"/>
        </w:rPr>
        <w:t xml:space="preserve">, S., &amp; Harish, G. (2013). Traditional and medicinal uses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w:t>
      </w:r>
      <w:r w:rsidRPr="002E6DEA">
        <w:rPr>
          <w:rFonts w:ascii="Times New Roman" w:eastAsia="Times New Roman" w:hAnsi="Times New Roman" w:cs="Times New Roman"/>
          <w:i/>
          <w:iCs/>
          <w:sz w:val="24"/>
          <w:szCs w:val="24"/>
        </w:rPr>
        <w:t>Journal of Medicinal Plants Studies</w:t>
      </w:r>
      <w:r w:rsidRPr="00504C86">
        <w:rPr>
          <w:rFonts w:ascii="Times New Roman" w:eastAsia="Times New Roman" w:hAnsi="Times New Roman" w:cs="Times New Roman"/>
          <w:sz w:val="24"/>
          <w:szCs w:val="24"/>
        </w:rPr>
        <w:t>, 1(1), 7–15.</w:t>
      </w:r>
    </w:p>
    <w:p w14:paraId="15DC66AD"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Baiyewu</w:t>
      </w:r>
      <w:proofErr w:type="spellEnd"/>
      <w:r w:rsidRPr="00504C86">
        <w:rPr>
          <w:rFonts w:ascii="Times New Roman" w:eastAsia="Times New Roman" w:hAnsi="Times New Roman" w:cs="Times New Roman"/>
          <w:sz w:val="24"/>
          <w:szCs w:val="24"/>
        </w:rPr>
        <w:t xml:space="preserve">, R. A., &amp; Amusa, N. A. (2005). The microbiological quality of pawpaw fruits sold in Nigerian markets. </w:t>
      </w:r>
      <w:r w:rsidRPr="002E6DEA">
        <w:rPr>
          <w:rFonts w:ascii="Times New Roman" w:eastAsia="Times New Roman" w:hAnsi="Times New Roman" w:cs="Times New Roman"/>
          <w:i/>
          <w:iCs/>
          <w:sz w:val="24"/>
          <w:szCs w:val="24"/>
        </w:rPr>
        <w:t>African Journal of Biotechnology</w:t>
      </w:r>
      <w:r w:rsidRPr="00504C86">
        <w:rPr>
          <w:rFonts w:ascii="Times New Roman" w:eastAsia="Times New Roman" w:hAnsi="Times New Roman" w:cs="Times New Roman"/>
          <w:sz w:val="24"/>
          <w:szCs w:val="24"/>
        </w:rPr>
        <w:t>, 4(9), 944–949.</w:t>
      </w:r>
    </w:p>
    <w:p w14:paraId="435BC387"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Bamisaye</w:t>
      </w:r>
      <w:proofErr w:type="spellEnd"/>
      <w:r w:rsidRPr="00504C86">
        <w:rPr>
          <w:rFonts w:ascii="Times New Roman" w:eastAsia="Times New Roman" w:hAnsi="Times New Roman" w:cs="Times New Roman"/>
          <w:sz w:val="24"/>
          <w:szCs w:val="24"/>
        </w:rPr>
        <w:t xml:space="preserve">, F. A., </w:t>
      </w:r>
      <w:proofErr w:type="spellStart"/>
      <w:r w:rsidRPr="00504C86">
        <w:rPr>
          <w:rFonts w:ascii="Times New Roman" w:eastAsia="Times New Roman" w:hAnsi="Times New Roman" w:cs="Times New Roman"/>
          <w:sz w:val="24"/>
          <w:szCs w:val="24"/>
        </w:rPr>
        <w:t>Fagbohun</w:t>
      </w:r>
      <w:proofErr w:type="spellEnd"/>
      <w:r w:rsidRPr="00504C86">
        <w:rPr>
          <w:rFonts w:ascii="Times New Roman" w:eastAsia="Times New Roman" w:hAnsi="Times New Roman" w:cs="Times New Roman"/>
          <w:sz w:val="24"/>
          <w:szCs w:val="24"/>
        </w:rPr>
        <w:t xml:space="preserve">, E. D., &amp; </w:t>
      </w:r>
      <w:proofErr w:type="spellStart"/>
      <w:r w:rsidRPr="00504C86">
        <w:rPr>
          <w:rFonts w:ascii="Times New Roman" w:eastAsia="Times New Roman" w:hAnsi="Times New Roman" w:cs="Times New Roman"/>
          <w:sz w:val="24"/>
          <w:szCs w:val="24"/>
        </w:rPr>
        <w:t>Aladejana</w:t>
      </w:r>
      <w:proofErr w:type="spellEnd"/>
      <w:r w:rsidRPr="00504C86">
        <w:rPr>
          <w:rFonts w:ascii="Times New Roman" w:eastAsia="Times New Roman" w:hAnsi="Times New Roman" w:cs="Times New Roman"/>
          <w:sz w:val="24"/>
          <w:szCs w:val="24"/>
        </w:rPr>
        <w:t xml:space="preserve">, A. M. (2013). Phytochemical and antimicrobial properties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leaf extract. </w:t>
      </w:r>
      <w:r w:rsidRPr="002E6DEA">
        <w:rPr>
          <w:rFonts w:ascii="Times New Roman" w:eastAsia="Times New Roman" w:hAnsi="Times New Roman" w:cs="Times New Roman"/>
          <w:i/>
          <w:iCs/>
          <w:sz w:val="24"/>
          <w:szCs w:val="24"/>
        </w:rPr>
        <w:t>Journal of Medicinal Plants Research</w:t>
      </w:r>
      <w:r w:rsidRPr="00504C86">
        <w:rPr>
          <w:rFonts w:ascii="Times New Roman" w:eastAsia="Times New Roman" w:hAnsi="Times New Roman" w:cs="Times New Roman"/>
          <w:sz w:val="24"/>
          <w:szCs w:val="24"/>
        </w:rPr>
        <w:t>, 7(18), 1201–1206.</w:t>
      </w:r>
    </w:p>
    <w:p w14:paraId="3268F33A"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lastRenderedPageBreak/>
        <w:t xml:space="preserve">Chikezie, P. C., Olanrewaju, E. O., &amp; Alabi, O. A. (2021). Toxicity profile of aqueous leaf extract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on liver function in Wistar rats. </w:t>
      </w:r>
      <w:r w:rsidRPr="002E6DEA">
        <w:rPr>
          <w:rFonts w:ascii="Times New Roman" w:eastAsia="Times New Roman" w:hAnsi="Times New Roman" w:cs="Times New Roman"/>
          <w:i/>
          <w:iCs/>
          <w:sz w:val="24"/>
          <w:szCs w:val="24"/>
        </w:rPr>
        <w:t>African Journal of Biochemistry Research</w:t>
      </w:r>
      <w:r w:rsidRPr="00504C86">
        <w:rPr>
          <w:rFonts w:ascii="Times New Roman" w:eastAsia="Times New Roman" w:hAnsi="Times New Roman" w:cs="Times New Roman"/>
          <w:sz w:val="24"/>
          <w:szCs w:val="24"/>
        </w:rPr>
        <w:t>, 15(2), 31–38.</w:t>
      </w:r>
    </w:p>
    <w:p w14:paraId="7F47C219"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Elioku</w:t>
      </w:r>
      <w:proofErr w:type="spellEnd"/>
      <w:r w:rsidRPr="00504C86">
        <w:rPr>
          <w:rFonts w:ascii="Times New Roman" w:eastAsia="Times New Roman" w:hAnsi="Times New Roman" w:cs="Times New Roman"/>
          <w:sz w:val="24"/>
          <w:szCs w:val="24"/>
        </w:rPr>
        <w:t xml:space="preserve">, G. O., </w:t>
      </w:r>
      <w:proofErr w:type="spellStart"/>
      <w:r w:rsidRPr="00504C86">
        <w:rPr>
          <w:rFonts w:ascii="Times New Roman" w:eastAsia="Times New Roman" w:hAnsi="Times New Roman" w:cs="Times New Roman"/>
          <w:sz w:val="24"/>
          <w:szCs w:val="24"/>
        </w:rPr>
        <w:t>Anyabolu</w:t>
      </w:r>
      <w:proofErr w:type="spellEnd"/>
      <w:r w:rsidRPr="00504C86">
        <w:rPr>
          <w:rFonts w:ascii="Times New Roman" w:eastAsia="Times New Roman" w:hAnsi="Times New Roman" w:cs="Times New Roman"/>
          <w:sz w:val="24"/>
          <w:szCs w:val="24"/>
        </w:rPr>
        <w:t xml:space="preserve">, A. E.,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U. C., &amp; Okafor, I. A. (2015). A histological study of the ameliorative effect of turmeric (</w:t>
      </w:r>
      <w:r w:rsidRPr="002E6DEA">
        <w:rPr>
          <w:rFonts w:ascii="Times New Roman" w:eastAsia="Times New Roman" w:hAnsi="Times New Roman" w:cs="Times New Roman"/>
          <w:i/>
          <w:iCs/>
          <w:sz w:val="24"/>
          <w:szCs w:val="24"/>
        </w:rPr>
        <w:t>Curcuma longa</w:t>
      </w:r>
      <w:r w:rsidRPr="00504C86">
        <w:rPr>
          <w:rFonts w:ascii="Times New Roman" w:eastAsia="Times New Roman" w:hAnsi="Times New Roman" w:cs="Times New Roman"/>
          <w:sz w:val="24"/>
          <w:szCs w:val="24"/>
        </w:rPr>
        <w:t xml:space="preserve">) on the liver of metronidazole-treated albino Wistar rats. </w:t>
      </w:r>
      <w:r w:rsidRPr="002E6DEA">
        <w:rPr>
          <w:rFonts w:ascii="Times New Roman" w:eastAsia="Times New Roman" w:hAnsi="Times New Roman" w:cs="Times New Roman"/>
          <w:i/>
          <w:iCs/>
          <w:sz w:val="24"/>
          <w:szCs w:val="24"/>
        </w:rPr>
        <w:t>World Journal of Pharmaceutical Research</w:t>
      </w:r>
      <w:r w:rsidRPr="00504C86">
        <w:rPr>
          <w:rFonts w:ascii="Times New Roman" w:eastAsia="Times New Roman" w:hAnsi="Times New Roman" w:cs="Times New Roman"/>
          <w:sz w:val="24"/>
          <w:szCs w:val="24"/>
        </w:rPr>
        <w:t>, 4(9), 311–320.</w:t>
      </w:r>
    </w:p>
    <w:p w14:paraId="7EEE249A"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Erukainure</w:t>
      </w:r>
      <w:proofErr w:type="spellEnd"/>
      <w:r w:rsidRPr="00504C86">
        <w:rPr>
          <w:rFonts w:ascii="Times New Roman" w:eastAsia="Times New Roman" w:hAnsi="Times New Roman" w:cs="Times New Roman"/>
          <w:sz w:val="24"/>
          <w:szCs w:val="24"/>
        </w:rPr>
        <w:t xml:space="preserve">, O. L., </w:t>
      </w:r>
      <w:proofErr w:type="spellStart"/>
      <w:r w:rsidRPr="00504C86">
        <w:rPr>
          <w:rFonts w:ascii="Times New Roman" w:eastAsia="Times New Roman" w:hAnsi="Times New Roman" w:cs="Times New Roman"/>
          <w:sz w:val="24"/>
          <w:szCs w:val="24"/>
        </w:rPr>
        <w:t>Elemo</w:t>
      </w:r>
      <w:proofErr w:type="spellEnd"/>
      <w:r w:rsidRPr="00504C86">
        <w:rPr>
          <w:rFonts w:ascii="Times New Roman" w:eastAsia="Times New Roman" w:hAnsi="Times New Roman" w:cs="Times New Roman"/>
          <w:sz w:val="24"/>
          <w:szCs w:val="24"/>
        </w:rPr>
        <w:t xml:space="preserve">, G. N., </w:t>
      </w:r>
      <w:proofErr w:type="spellStart"/>
      <w:r w:rsidRPr="00504C86">
        <w:rPr>
          <w:rFonts w:ascii="Times New Roman" w:eastAsia="Times New Roman" w:hAnsi="Times New Roman" w:cs="Times New Roman"/>
          <w:sz w:val="24"/>
          <w:szCs w:val="24"/>
        </w:rPr>
        <w:t>Elemo</w:t>
      </w:r>
      <w:proofErr w:type="spellEnd"/>
      <w:r w:rsidRPr="00504C86">
        <w:rPr>
          <w:rFonts w:ascii="Times New Roman" w:eastAsia="Times New Roman" w:hAnsi="Times New Roman" w:cs="Times New Roman"/>
          <w:sz w:val="24"/>
          <w:szCs w:val="24"/>
        </w:rPr>
        <w:t xml:space="preserve">, B. O., Adeboyejo, F. O., &amp; Islam, M. S. (2019).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leaves improve oxidative stress and hepatic damage in diabetic rats. </w:t>
      </w:r>
      <w:r w:rsidRPr="002E6DEA">
        <w:rPr>
          <w:rFonts w:ascii="Times New Roman" w:eastAsia="Times New Roman" w:hAnsi="Times New Roman" w:cs="Times New Roman"/>
          <w:i/>
          <w:iCs/>
          <w:sz w:val="24"/>
          <w:szCs w:val="24"/>
        </w:rPr>
        <w:t>Journal of Ethnopharmacology</w:t>
      </w:r>
      <w:r w:rsidRPr="00504C86">
        <w:rPr>
          <w:rFonts w:ascii="Times New Roman" w:eastAsia="Times New Roman" w:hAnsi="Times New Roman" w:cs="Times New Roman"/>
          <w:sz w:val="24"/>
          <w:szCs w:val="24"/>
        </w:rPr>
        <w:t>, 239, 111893.</w:t>
      </w:r>
    </w:p>
    <w:p w14:paraId="10FF1AF7"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Fernandez-Checa, J. C., &amp; Kaplowitz, N. (2005). Hepatic oxidative stress and alcoholic liver disease. </w:t>
      </w:r>
      <w:r w:rsidRPr="002E6DEA">
        <w:rPr>
          <w:rFonts w:ascii="Times New Roman" w:eastAsia="Times New Roman" w:hAnsi="Times New Roman" w:cs="Times New Roman"/>
          <w:i/>
          <w:iCs/>
          <w:sz w:val="24"/>
          <w:szCs w:val="24"/>
        </w:rPr>
        <w:t>Hepatology</w:t>
      </w:r>
      <w:r w:rsidRPr="00504C86">
        <w:rPr>
          <w:rFonts w:ascii="Times New Roman" w:eastAsia="Times New Roman" w:hAnsi="Times New Roman" w:cs="Times New Roman"/>
          <w:sz w:val="24"/>
          <w:szCs w:val="24"/>
        </w:rPr>
        <w:t>, 42(Suppl 1), S85–S91.</w:t>
      </w:r>
    </w:p>
    <w:p w14:paraId="25BA2251"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Garcia, R. T., Martinez, F. A., &amp; Zhang, Y. (2020). Metabolic implications of medicinal plant extracts in rodents: An overview. </w:t>
      </w:r>
      <w:r w:rsidRPr="002E6DEA">
        <w:rPr>
          <w:rFonts w:ascii="Times New Roman" w:eastAsia="Times New Roman" w:hAnsi="Times New Roman" w:cs="Times New Roman"/>
          <w:i/>
          <w:iCs/>
          <w:sz w:val="24"/>
          <w:szCs w:val="24"/>
        </w:rPr>
        <w:t>BMC Complementary Medicine and Therapies</w:t>
      </w:r>
      <w:r w:rsidRPr="00504C86">
        <w:rPr>
          <w:rFonts w:ascii="Times New Roman" w:eastAsia="Times New Roman" w:hAnsi="Times New Roman" w:cs="Times New Roman"/>
          <w:sz w:val="24"/>
          <w:szCs w:val="24"/>
        </w:rPr>
        <w:t>, 20(1), 290.</w:t>
      </w:r>
    </w:p>
    <w:p w14:paraId="70C333D2"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Hadadi, A., Shafiei, M., &amp; Emadi, A. (2018).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leaf extract in the treatment of dengue fever: A systematic review. </w:t>
      </w:r>
      <w:r w:rsidRPr="002E6DEA">
        <w:rPr>
          <w:rFonts w:ascii="Times New Roman" w:eastAsia="Times New Roman" w:hAnsi="Times New Roman" w:cs="Times New Roman"/>
          <w:i/>
          <w:iCs/>
          <w:sz w:val="24"/>
          <w:szCs w:val="24"/>
        </w:rPr>
        <w:t>Phytotherapy Research</w:t>
      </w:r>
      <w:r w:rsidRPr="00504C86">
        <w:rPr>
          <w:rFonts w:ascii="Times New Roman" w:eastAsia="Times New Roman" w:hAnsi="Times New Roman" w:cs="Times New Roman"/>
          <w:sz w:val="24"/>
          <w:szCs w:val="24"/>
        </w:rPr>
        <w:t>, 32(6), 929–934.</w:t>
      </w:r>
    </w:p>
    <w:p w14:paraId="0BA7FA8D"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Hosseini, A., Jamshidi, M., &amp; </w:t>
      </w:r>
      <w:proofErr w:type="spellStart"/>
      <w:r w:rsidRPr="00504C86">
        <w:rPr>
          <w:rFonts w:ascii="Times New Roman" w:eastAsia="Times New Roman" w:hAnsi="Times New Roman" w:cs="Times New Roman"/>
          <w:sz w:val="24"/>
          <w:szCs w:val="24"/>
        </w:rPr>
        <w:t>Shaterian</w:t>
      </w:r>
      <w:proofErr w:type="spellEnd"/>
      <w:r w:rsidRPr="00504C86">
        <w:rPr>
          <w:rFonts w:ascii="Times New Roman" w:eastAsia="Times New Roman" w:hAnsi="Times New Roman" w:cs="Times New Roman"/>
          <w:sz w:val="24"/>
          <w:szCs w:val="24"/>
        </w:rPr>
        <w:t xml:space="preserve">, M. (2020). Role of alkaline phosphatase in diagnosis of hepatobiliary diseases. </w:t>
      </w:r>
      <w:r w:rsidRPr="002E6DEA">
        <w:rPr>
          <w:rFonts w:ascii="Times New Roman" w:eastAsia="Times New Roman" w:hAnsi="Times New Roman" w:cs="Times New Roman"/>
          <w:i/>
          <w:iCs/>
          <w:sz w:val="24"/>
          <w:szCs w:val="24"/>
        </w:rPr>
        <w:t>Hepatology International</w:t>
      </w:r>
      <w:r w:rsidRPr="00504C86">
        <w:rPr>
          <w:rFonts w:ascii="Times New Roman" w:eastAsia="Times New Roman" w:hAnsi="Times New Roman" w:cs="Times New Roman"/>
          <w:sz w:val="24"/>
          <w:szCs w:val="24"/>
        </w:rPr>
        <w:t>, 14(2), 130–138.</w:t>
      </w:r>
    </w:p>
    <w:p w14:paraId="46439F0E"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Jain, S. K. (1994). Ethnobotany and research in medicinal plants in India. </w:t>
      </w:r>
      <w:r w:rsidRPr="002E6DEA">
        <w:rPr>
          <w:rFonts w:ascii="Times New Roman" w:eastAsia="Times New Roman" w:hAnsi="Times New Roman" w:cs="Times New Roman"/>
          <w:i/>
          <w:iCs/>
          <w:sz w:val="24"/>
          <w:szCs w:val="24"/>
        </w:rPr>
        <w:t>Ethnobotany</w:t>
      </w:r>
      <w:r w:rsidRPr="00504C86">
        <w:rPr>
          <w:rFonts w:ascii="Times New Roman" w:eastAsia="Times New Roman" w:hAnsi="Times New Roman" w:cs="Times New Roman"/>
          <w:sz w:val="24"/>
          <w:szCs w:val="24"/>
        </w:rPr>
        <w:t>, 6(1), 1–9.</w:t>
      </w:r>
    </w:p>
    <w:p w14:paraId="2B39BFE4"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Jameel, A., Ahmad, F., &amp; Siddiqui, M. Z. (2018). Biochemical markers in hepatocellular injury and evaluation of liver damage. </w:t>
      </w:r>
      <w:r w:rsidRPr="002E6DEA">
        <w:rPr>
          <w:rFonts w:ascii="Times New Roman" w:eastAsia="Times New Roman" w:hAnsi="Times New Roman" w:cs="Times New Roman"/>
          <w:i/>
          <w:iCs/>
          <w:sz w:val="24"/>
          <w:szCs w:val="24"/>
        </w:rPr>
        <w:t>International Journal of Biochemistry Research &amp; Review</w:t>
      </w:r>
      <w:r w:rsidRPr="00504C86">
        <w:rPr>
          <w:rFonts w:ascii="Times New Roman" w:eastAsia="Times New Roman" w:hAnsi="Times New Roman" w:cs="Times New Roman"/>
          <w:sz w:val="24"/>
          <w:szCs w:val="24"/>
        </w:rPr>
        <w:t>, 22(3), 1–10.</w:t>
      </w:r>
    </w:p>
    <w:p w14:paraId="61836591"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Jiang, Y., Liu, L., &amp; Wang, Q. (2021). Effects of herbal extracts on body weight and metabolism in rodents. </w:t>
      </w:r>
      <w:r w:rsidRPr="002E6DEA">
        <w:rPr>
          <w:rFonts w:ascii="Times New Roman" w:eastAsia="Times New Roman" w:hAnsi="Times New Roman" w:cs="Times New Roman"/>
          <w:i/>
          <w:iCs/>
          <w:sz w:val="24"/>
          <w:szCs w:val="24"/>
        </w:rPr>
        <w:t>Pharmaceutical Biology</w:t>
      </w:r>
      <w:r w:rsidRPr="00504C86">
        <w:rPr>
          <w:rFonts w:ascii="Times New Roman" w:eastAsia="Times New Roman" w:hAnsi="Times New Roman" w:cs="Times New Roman"/>
          <w:sz w:val="24"/>
          <w:szCs w:val="24"/>
        </w:rPr>
        <w:t>, 59(1), 310–319.</w:t>
      </w:r>
    </w:p>
    <w:p w14:paraId="08DC606B"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lastRenderedPageBreak/>
        <w:t xml:space="preserve">Krishna, K. L., </w:t>
      </w:r>
      <w:proofErr w:type="spellStart"/>
      <w:r w:rsidRPr="00504C86">
        <w:rPr>
          <w:rFonts w:ascii="Times New Roman" w:eastAsia="Times New Roman" w:hAnsi="Times New Roman" w:cs="Times New Roman"/>
          <w:sz w:val="24"/>
          <w:szCs w:val="24"/>
        </w:rPr>
        <w:t>Paridhavi</w:t>
      </w:r>
      <w:proofErr w:type="spellEnd"/>
      <w:r w:rsidRPr="00504C86">
        <w:rPr>
          <w:rFonts w:ascii="Times New Roman" w:eastAsia="Times New Roman" w:hAnsi="Times New Roman" w:cs="Times New Roman"/>
          <w:sz w:val="24"/>
          <w:szCs w:val="24"/>
        </w:rPr>
        <w:t xml:space="preserve">, M., &amp; Patel, J. A. (2008). Review on nutritional, medicinal and pharmacological properties of papaya. </w:t>
      </w:r>
      <w:r w:rsidRPr="002E6DEA">
        <w:rPr>
          <w:rFonts w:ascii="Times New Roman" w:eastAsia="Times New Roman" w:hAnsi="Times New Roman" w:cs="Times New Roman"/>
          <w:i/>
          <w:iCs/>
          <w:sz w:val="24"/>
          <w:szCs w:val="24"/>
        </w:rPr>
        <w:t>Natural Product Radiance</w:t>
      </w:r>
      <w:r w:rsidRPr="00504C86">
        <w:rPr>
          <w:rFonts w:ascii="Times New Roman" w:eastAsia="Times New Roman" w:hAnsi="Times New Roman" w:cs="Times New Roman"/>
          <w:sz w:val="24"/>
          <w:szCs w:val="24"/>
        </w:rPr>
        <w:t>, 7(4), 364–373.</w:t>
      </w:r>
    </w:p>
    <w:p w14:paraId="096B9C33"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Lorke</w:t>
      </w:r>
      <w:proofErr w:type="spellEnd"/>
      <w:r w:rsidRPr="00504C86">
        <w:rPr>
          <w:rFonts w:ascii="Times New Roman" w:eastAsia="Times New Roman" w:hAnsi="Times New Roman" w:cs="Times New Roman"/>
          <w:sz w:val="24"/>
          <w:szCs w:val="24"/>
        </w:rPr>
        <w:t xml:space="preserve">, D. (1983). A new approach to practical acute toxicity testing. </w:t>
      </w:r>
      <w:r w:rsidRPr="002E6DEA">
        <w:rPr>
          <w:rFonts w:ascii="Times New Roman" w:eastAsia="Times New Roman" w:hAnsi="Times New Roman" w:cs="Times New Roman"/>
          <w:i/>
          <w:iCs/>
          <w:sz w:val="24"/>
          <w:szCs w:val="24"/>
        </w:rPr>
        <w:t>Archives of Toxicology</w:t>
      </w:r>
      <w:r w:rsidRPr="00504C86">
        <w:rPr>
          <w:rFonts w:ascii="Times New Roman" w:eastAsia="Times New Roman" w:hAnsi="Times New Roman" w:cs="Times New Roman"/>
          <w:sz w:val="24"/>
          <w:szCs w:val="24"/>
        </w:rPr>
        <w:t>, 54(4), 275–287.</w:t>
      </w:r>
    </w:p>
    <w:p w14:paraId="00541444"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Nabi, G., Khan, H., &amp; Iqbal, Z. (2022). Dose-related changes in liver function parameters after herbal extract exposure in Wistar rats. </w:t>
      </w:r>
      <w:r w:rsidRPr="002E6DEA">
        <w:rPr>
          <w:rFonts w:ascii="Times New Roman" w:eastAsia="Times New Roman" w:hAnsi="Times New Roman" w:cs="Times New Roman"/>
          <w:i/>
          <w:iCs/>
          <w:sz w:val="24"/>
          <w:szCs w:val="24"/>
        </w:rPr>
        <w:t>Toxicology Reports</w:t>
      </w:r>
      <w:r w:rsidRPr="00504C86">
        <w:rPr>
          <w:rFonts w:ascii="Times New Roman" w:eastAsia="Times New Roman" w:hAnsi="Times New Roman" w:cs="Times New Roman"/>
          <w:sz w:val="24"/>
          <w:szCs w:val="24"/>
        </w:rPr>
        <w:t>, 9, 270–276.</w:t>
      </w:r>
    </w:p>
    <w:p w14:paraId="349A2FF9"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National Research Council. (2011). </w:t>
      </w:r>
      <w:r w:rsidRPr="002E6DEA">
        <w:rPr>
          <w:rFonts w:ascii="Times New Roman" w:eastAsia="Times New Roman" w:hAnsi="Times New Roman" w:cs="Times New Roman"/>
          <w:i/>
          <w:iCs/>
          <w:sz w:val="24"/>
          <w:szCs w:val="24"/>
        </w:rPr>
        <w:t>Guide for the care and use of laboratory animals</w:t>
      </w:r>
      <w:r w:rsidRPr="00504C86">
        <w:rPr>
          <w:rFonts w:ascii="Times New Roman" w:eastAsia="Times New Roman" w:hAnsi="Times New Roman" w:cs="Times New Roman"/>
          <w:sz w:val="24"/>
          <w:szCs w:val="24"/>
        </w:rPr>
        <w:t xml:space="preserve"> (8th ed.). Washington, DC: National Academies Press.</w:t>
      </w:r>
    </w:p>
    <w:p w14:paraId="1A2F30F0"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Nugroho, A. E., </w:t>
      </w:r>
      <w:proofErr w:type="spellStart"/>
      <w:r w:rsidRPr="00504C86">
        <w:rPr>
          <w:rFonts w:ascii="Times New Roman" w:eastAsia="Times New Roman" w:hAnsi="Times New Roman" w:cs="Times New Roman"/>
          <w:sz w:val="24"/>
          <w:szCs w:val="24"/>
        </w:rPr>
        <w:t>Lindawati</w:t>
      </w:r>
      <w:proofErr w:type="spellEnd"/>
      <w:r w:rsidRPr="00504C86">
        <w:rPr>
          <w:rFonts w:ascii="Times New Roman" w:eastAsia="Times New Roman" w:hAnsi="Times New Roman" w:cs="Times New Roman"/>
          <w:sz w:val="24"/>
          <w:szCs w:val="24"/>
        </w:rPr>
        <w:t xml:space="preserve">, N. Y., </w:t>
      </w:r>
      <w:proofErr w:type="spellStart"/>
      <w:r w:rsidRPr="00504C86">
        <w:rPr>
          <w:rFonts w:ascii="Times New Roman" w:eastAsia="Times New Roman" w:hAnsi="Times New Roman" w:cs="Times New Roman"/>
          <w:sz w:val="24"/>
          <w:szCs w:val="24"/>
        </w:rPr>
        <w:t>Herlyanti</w:t>
      </w:r>
      <w:proofErr w:type="spellEnd"/>
      <w:r w:rsidRPr="00504C86">
        <w:rPr>
          <w:rFonts w:ascii="Times New Roman" w:eastAsia="Times New Roman" w:hAnsi="Times New Roman" w:cs="Times New Roman"/>
          <w:sz w:val="24"/>
          <w:szCs w:val="24"/>
        </w:rPr>
        <w:t xml:space="preserve">, K., </w:t>
      </w:r>
      <w:proofErr w:type="spellStart"/>
      <w:r w:rsidRPr="00504C86">
        <w:rPr>
          <w:rFonts w:ascii="Times New Roman" w:eastAsia="Times New Roman" w:hAnsi="Times New Roman" w:cs="Times New Roman"/>
          <w:sz w:val="24"/>
          <w:szCs w:val="24"/>
        </w:rPr>
        <w:t>Widyastuti</w:t>
      </w:r>
      <w:proofErr w:type="spellEnd"/>
      <w:r w:rsidRPr="00504C86">
        <w:rPr>
          <w:rFonts w:ascii="Times New Roman" w:eastAsia="Times New Roman" w:hAnsi="Times New Roman" w:cs="Times New Roman"/>
          <w:sz w:val="24"/>
          <w:szCs w:val="24"/>
        </w:rPr>
        <w:t xml:space="preserve">, L., &amp; </w:t>
      </w:r>
      <w:proofErr w:type="spellStart"/>
      <w:r w:rsidRPr="00504C86">
        <w:rPr>
          <w:rFonts w:ascii="Times New Roman" w:eastAsia="Times New Roman" w:hAnsi="Times New Roman" w:cs="Times New Roman"/>
          <w:sz w:val="24"/>
          <w:szCs w:val="24"/>
        </w:rPr>
        <w:t>Pramono</w:t>
      </w:r>
      <w:proofErr w:type="spellEnd"/>
      <w:r w:rsidRPr="00504C86">
        <w:rPr>
          <w:rFonts w:ascii="Times New Roman" w:eastAsia="Times New Roman" w:hAnsi="Times New Roman" w:cs="Times New Roman"/>
          <w:sz w:val="24"/>
          <w:szCs w:val="24"/>
        </w:rPr>
        <w:t xml:space="preserve">, S. (2017). Antioxidant and hepatoprotective effects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leaf extract in paracetamol-induced liver injury in rats. </w:t>
      </w:r>
      <w:r w:rsidRPr="002E6DEA">
        <w:rPr>
          <w:rFonts w:ascii="Times New Roman" w:eastAsia="Times New Roman" w:hAnsi="Times New Roman" w:cs="Times New Roman"/>
          <w:i/>
          <w:iCs/>
          <w:sz w:val="24"/>
          <w:szCs w:val="24"/>
        </w:rPr>
        <w:t>Asian Pacific Journal of Tropical Biomedicine</w:t>
      </w:r>
      <w:r w:rsidRPr="00504C86">
        <w:rPr>
          <w:rFonts w:ascii="Times New Roman" w:eastAsia="Times New Roman" w:hAnsi="Times New Roman" w:cs="Times New Roman"/>
          <w:sz w:val="24"/>
          <w:szCs w:val="24"/>
        </w:rPr>
        <w:t>, 7(6), 532–535.</w:t>
      </w:r>
    </w:p>
    <w:p w14:paraId="1F752202"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C.,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U., &amp; Ireka, M. I. (2020). Ameliorative effect of </w:t>
      </w:r>
      <w:proofErr w:type="spellStart"/>
      <w:r w:rsidRPr="002E6DEA">
        <w:rPr>
          <w:rFonts w:ascii="Times New Roman" w:eastAsia="Times New Roman" w:hAnsi="Times New Roman" w:cs="Times New Roman"/>
          <w:i/>
          <w:iCs/>
          <w:sz w:val="24"/>
          <w:szCs w:val="24"/>
        </w:rPr>
        <w:t>Aframomum</w:t>
      </w:r>
      <w:proofErr w:type="spellEnd"/>
      <w:r w:rsidRPr="002E6DEA">
        <w:rPr>
          <w:rFonts w:ascii="Times New Roman" w:eastAsia="Times New Roman" w:hAnsi="Times New Roman" w:cs="Times New Roman"/>
          <w:i/>
          <w:iCs/>
          <w:sz w:val="24"/>
          <w:szCs w:val="24"/>
        </w:rPr>
        <w:t xml:space="preserve"> </w:t>
      </w:r>
      <w:proofErr w:type="spellStart"/>
      <w:r w:rsidRPr="002E6DEA">
        <w:rPr>
          <w:rFonts w:ascii="Times New Roman" w:eastAsia="Times New Roman" w:hAnsi="Times New Roman" w:cs="Times New Roman"/>
          <w:i/>
          <w:iCs/>
          <w:sz w:val="24"/>
          <w:szCs w:val="24"/>
        </w:rPr>
        <w:t>melegueta</w:t>
      </w:r>
      <w:proofErr w:type="spellEnd"/>
      <w:r w:rsidRPr="00504C86">
        <w:rPr>
          <w:rFonts w:ascii="Times New Roman" w:eastAsia="Times New Roman" w:hAnsi="Times New Roman" w:cs="Times New Roman"/>
          <w:sz w:val="24"/>
          <w:szCs w:val="24"/>
        </w:rPr>
        <w:t xml:space="preserve"> (alligator pepper) against paraquat-induced testicular damage. </w:t>
      </w:r>
      <w:r w:rsidRPr="002E6DEA">
        <w:rPr>
          <w:rFonts w:ascii="Times New Roman" w:eastAsia="Times New Roman" w:hAnsi="Times New Roman" w:cs="Times New Roman"/>
          <w:i/>
          <w:iCs/>
          <w:sz w:val="24"/>
          <w:szCs w:val="24"/>
        </w:rPr>
        <w:t>World Journal of Pharmaceutical Research</w:t>
      </w:r>
      <w:r w:rsidRPr="00504C86">
        <w:rPr>
          <w:rFonts w:ascii="Times New Roman" w:eastAsia="Times New Roman" w:hAnsi="Times New Roman" w:cs="Times New Roman"/>
          <w:sz w:val="24"/>
          <w:szCs w:val="24"/>
        </w:rPr>
        <w:t>, 9(5), 2105–2124.</w:t>
      </w:r>
    </w:p>
    <w:p w14:paraId="6BA670C1"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C., </w:t>
      </w:r>
      <w:proofErr w:type="spellStart"/>
      <w:r w:rsidRPr="00504C86">
        <w:rPr>
          <w:rFonts w:ascii="Times New Roman" w:eastAsia="Times New Roman" w:hAnsi="Times New Roman" w:cs="Times New Roman"/>
          <w:sz w:val="24"/>
          <w:szCs w:val="24"/>
        </w:rPr>
        <w:t>Mokwe</w:t>
      </w:r>
      <w:proofErr w:type="spellEnd"/>
      <w:r w:rsidRPr="00504C86">
        <w:rPr>
          <w:rFonts w:ascii="Times New Roman" w:eastAsia="Times New Roman" w:hAnsi="Times New Roman" w:cs="Times New Roman"/>
          <w:sz w:val="24"/>
          <w:szCs w:val="24"/>
        </w:rPr>
        <w:t xml:space="preserve">, R. O., </w:t>
      </w:r>
      <w:proofErr w:type="spellStart"/>
      <w:r w:rsidRPr="00504C86">
        <w:rPr>
          <w:rFonts w:ascii="Times New Roman" w:eastAsia="Times New Roman" w:hAnsi="Times New Roman" w:cs="Times New Roman"/>
          <w:sz w:val="24"/>
          <w:szCs w:val="24"/>
        </w:rPr>
        <w:t>Enemuo</w:t>
      </w:r>
      <w:proofErr w:type="spellEnd"/>
      <w:r w:rsidRPr="00504C86">
        <w:rPr>
          <w:rFonts w:ascii="Times New Roman" w:eastAsia="Times New Roman" w:hAnsi="Times New Roman" w:cs="Times New Roman"/>
          <w:sz w:val="24"/>
          <w:szCs w:val="24"/>
        </w:rPr>
        <w:t xml:space="preserve">, I. C.,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U.,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A. N., &amp; </w:t>
      </w:r>
      <w:proofErr w:type="spellStart"/>
      <w:r w:rsidRPr="00504C86">
        <w:rPr>
          <w:rFonts w:ascii="Times New Roman" w:eastAsia="Times New Roman" w:hAnsi="Times New Roman" w:cs="Times New Roman"/>
          <w:sz w:val="24"/>
          <w:szCs w:val="24"/>
        </w:rPr>
        <w:t>Ezeagu</w:t>
      </w:r>
      <w:proofErr w:type="spellEnd"/>
      <w:r w:rsidRPr="00504C86">
        <w:rPr>
          <w:rFonts w:ascii="Times New Roman" w:eastAsia="Times New Roman" w:hAnsi="Times New Roman" w:cs="Times New Roman"/>
          <w:sz w:val="24"/>
          <w:szCs w:val="24"/>
        </w:rPr>
        <w:t xml:space="preserve">, D. K. (2025). Protective role of </w:t>
      </w:r>
      <w:r w:rsidRPr="002E6DEA">
        <w:rPr>
          <w:rFonts w:ascii="Times New Roman" w:eastAsia="Times New Roman" w:hAnsi="Times New Roman" w:cs="Times New Roman"/>
          <w:i/>
          <w:iCs/>
          <w:sz w:val="24"/>
          <w:szCs w:val="24"/>
        </w:rPr>
        <w:t xml:space="preserve">Corchorus </w:t>
      </w:r>
      <w:proofErr w:type="spellStart"/>
      <w:r w:rsidRPr="002E6DEA">
        <w:rPr>
          <w:rFonts w:ascii="Times New Roman" w:eastAsia="Times New Roman" w:hAnsi="Times New Roman" w:cs="Times New Roman"/>
          <w:i/>
          <w:iCs/>
          <w:sz w:val="24"/>
          <w:szCs w:val="24"/>
        </w:rPr>
        <w:t>olitorius</w:t>
      </w:r>
      <w:proofErr w:type="spellEnd"/>
      <w:r w:rsidRPr="00504C86">
        <w:rPr>
          <w:rFonts w:ascii="Times New Roman" w:eastAsia="Times New Roman" w:hAnsi="Times New Roman" w:cs="Times New Roman"/>
          <w:sz w:val="24"/>
          <w:szCs w:val="24"/>
        </w:rPr>
        <w:t xml:space="preserve"> (</w:t>
      </w:r>
      <w:proofErr w:type="spellStart"/>
      <w:r w:rsidRPr="00504C86">
        <w:rPr>
          <w:rFonts w:ascii="Times New Roman" w:eastAsia="Times New Roman" w:hAnsi="Times New Roman" w:cs="Times New Roman"/>
          <w:sz w:val="24"/>
          <w:szCs w:val="24"/>
        </w:rPr>
        <w:t>ewedu</w:t>
      </w:r>
      <w:proofErr w:type="spellEnd"/>
      <w:r w:rsidRPr="00504C86">
        <w:rPr>
          <w:rFonts w:ascii="Times New Roman" w:eastAsia="Times New Roman" w:hAnsi="Times New Roman" w:cs="Times New Roman"/>
          <w:sz w:val="24"/>
          <w:szCs w:val="24"/>
        </w:rPr>
        <w:t xml:space="preserve">) leaf in mercury chloride-induced liver damage. </w:t>
      </w:r>
      <w:r w:rsidRPr="002E6DEA">
        <w:rPr>
          <w:rFonts w:ascii="Times New Roman" w:eastAsia="Times New Roman" w:hAnsi="Times New Roman" w:cs="Times New Roman"/>
          <w:i/>
          <w:iCs/>
          <w:sz w:val="24"/>
          <w:szCs w:val="24"/>
        </w:rPr>
        <w:t>World Journal of Pharmacy and Pharmaceutical Sciences</w:t>
      </w:r>
      <w:r w:rsidRPr="00504C86">
        <w:rPr>
          <w:rFonts w:ascii="Times New Roman" w:eastAsia="Times New Roman" w:hAnsi="Times New Roman" w:cs="Times New Roman"/>
          <w:sz w:val="24"/>
          <w:szCs w:val="24"/>
        </w:rPr>
        <w:t>, 14(4), 14–27.</w:t>
      </w:r>
    </w:p>
    <w:p w14:paraId="6B4087A2"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Nwachukwu, O.,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Mbagwu, S., Nwakanma, A., Nweke, O., &amp;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A. (2017). Ethanolic seed extract of </w:t>
      </w:r>
      <w:r w:rsidRPr="002E6DEA">
        <w:rPr>
          <w:rFonts w:ascii="Times New Roman" w:eastAsia="Times New Roman" w:hAnsi="Times New Roman" w:cs="Times New Roman"/>
          <w:i/>
          <w:iCs/>
          <w:sz w:val="24"/>
          <w:szCs w:val="24"/>
        </w:rPr>
        <w:t>Cucurbita pepo</w:t>
      </w:r>
      <w:r w:rsidRPr="00504C86">
        <w:rPr>
          <w:rFonts w:ascii="Times New Roman" w:eastAsia="Times New Roman" w:hAnsi="Times New Roman" w:cs="Times New Roman"/>
          <w:sz w:val="24"/>
          <w:szCs w:val="24"/>
        </w:rPr>
        <w:t xml:space="preserve"> (pumpkin) protects the testis from </w:t>
      </w:r>
      <w:proofErr w:type="spellStart"/>
      <w:r w:rsidRPr="002E6DEA">
        <w:rPr>
          <w:rFonts w:ascii="Times New Roman" w:eastAsia="Times New Roman" w:hAnsi="Times New Roman" w:cs="Times New Roman"/>
          <w:i/>
          <w:iCs/>
          <w:sz w:val="24"/>
          <w:szCs w:val="24"/>
        </w:rPr>
        <w:t>Azadirachta</w:t>
      </w:r>
      <w:proofErr w:type="spellEnd"/>
      <w:r w:rsidRPr="002E6DEA">
        <w:rPr>
          <w:rFonts w:ascii="Times New Roman" w:eastAsia="Times New Roman" w:hAnsi="Times New Roman" w:cs="Times New Roman"/>
          <w:i/>
          <w:iCs/>
          <w:sz w:val="24"/>
          <w:szCs w:val="24"/>
        </w:rPr>
        <w:t xml:space="preserve"> indica</w:t>
      </w:r>
      <w:r w:rsidRPr="00504C86">
        <w:rPr>
          <w:rFonts w:ascii="Times New Roman" w:eastAsia="Times New Roman" w:hAnsi="Times New Roman" w:cs="Times New Roman"/>
          <w:sz w:val="24"/>
          <w:szCs w:val="24"/>
        </w:rPr>
        <w:t xml:space="preserve"> (neem) induced damage. </w:t>
      </w:r>
      <w:r w:rsidRPr="002E6DEA">
        <w:rPr>
          <w:rFonts w:ascii="Times New Roman" w:eastAsia="Times New Roman" w:hAnsi="Times New Roman" w:cs="Times New Roman"/>
          <w:i/>
          <w:iCs/>
          <w:sz w:val="24"/>
          <w:szCs w:val="24"/>
        </w:rPr>
        <w:t>Journal of Natural Sciences Research</w:t>
      </w:r>
      <w:r w:rsidRPr="00504C86">
        <w:rPr>
          <w:rFonts w:ascii="Times New Roman" w:eastAsia="Times New Roman" w:hAnsi="Times New Roman" w:cs="Times New Roman"/>
          <w:sz w:val="24"/>
          <w:szCs w:val="24"/>
        </w:rPr>
        <w:t>, 7(24), 120–131.</w:t>
      </w:r>
    </w:p>
    <w:p w14:paraId="25A044DE"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Otsuki, N., Dang, N. H., Kumagai, E., Kondo, A., Iwata, S., &amp; Morimoto, C. (2010). Aqueous extract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leaves exhibits anti-tumor activity and immunomodulatory effects. </w:t>
      </w:r>
      <w:r w:rsidRPr="002E6DEA">
        <w:rPr>
          <w:rFonts w:ascii="Times New Roman" w:eastAsia="Times New Roman" w:hAnsi="Times New Roman" w:cs="Times New Roman"/>
          <w:i/>
          <w:iCs/>
          <w:sz w:val="24"/>
          <w:szCs w:val="24"/>
        </w:rPr>
        <w:t>Journal of Ethnopharmacology</w:t>
      </w:r>
      <w:r w:rsidRPr="00504C86">
        <w:rPr>
          <w:rFonts w:ascii="Times New Roman" w:eastAsia="Times New Roman" w:hAnsi="Times New Roman" w:cs="Times New Roman"/>
          <w:sz w:val="24"/>
          <w:szCs w:val="24"/>
        </w:rPr>
        <w:t>, 127(3), 760–767.</w:t>
      </w:r>
    </w:p>
    <w:p w14:paraId="107ECB99"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lastRenderedPageBreak/>
        <w:t>Ozougwu</w:t>
      </w:r>
      <w:proofErr w:type="spellEnd"/>
      <w:r w:rsidRPr="00504C86">
        <w:rPr>
          <w:rFonts w:ascii="Times New Roman" w:eastAsia="Times New Roman" w:hAnsi="Times New Roman" w:cs="Times New Roman"/>
          <w:sz w:val="24"/>
          <w:szCs w:val="24"/>
        </w:rPr>
        <w:t xml:space="preserve">, J. C., Eyo, J. E., &amp; </w:t>
      </w:r>
      <w:proofErr w:type="spellStart"/>
      <w:r w:rsidRPr="00504C86">
        <w:rPr>
          <w:rFonts w:ascii="Times New Roman" w:eastAsia="Times New Roman" w:hAnsi="Times New Roman" w:cs="Times New Roman"/>
          <w:sz w:val="24"/>
          <w:szCs w:val="24"/>
        </w:rPr>
        <w:t>Eteng</w:t>
      </w:r>
      <w:proofErr w:type="spellEnd"/>
      <w:r w:rsidRPr="00504C86">
        <w:rPr>
          <w:rFonts w:ascii="Times New Roman" w:eastAsia="Times New Roman" w:hAnsi="Times New Roman" w:cs="Times New Roman"/>
          <w:sz w:val="24"/>
          <w:szCs w:val="24"/>
        </w:rPr>
        <w:t xml:space="preserve">, M. U. (2014). Hepatic biomarkers of toxicity and the liver. </w:t>
      </w:r>
      <w:r w:rsidRPr="002E6DEA">
        <w:rPr>
          <w:rFonts w:ascii="Times New Roman" w:eastAsia="Times New Roman" w:hAnsi="Times New Roman" w:cs="Times New Roman"/>
          <w:i/>
          <w:iCs/>
          <w:sz w:val="24"/>
          <w:szCs w:val="24"/>
        </w:rPr>
        <w:t>Journal of Chemical and Pharmaceutical Research</w:t>
      </w:r>
      <w:r w:rsidRPr="00504C86">
        <w:rPr>
          <w:rFonts w:ascii="Times New Roman" w:eastAsia="Times New Roman" w:hAnsi="Times New Roman" w:cs="Times New Roman"/>
          <w:sz w:val="24"/>
          <w:szCs w:val="24"/>
        </w:rPr>
        <w:t>, 6(6), 107–111.</w:t>
      </w:r>
    </w:p>
    <w:p w14:paraId="6B5562FA"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Paul, R. E., Behera, S. K., &amp; Panda, P. C. (2013). Enzymatic and antioxidant properties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latex. </w:t>
      </w:r>
      <w:r w:rsidRPr="002E6DEA">
        <w:rPr>
          <w:rFonts w:ascii="Times New Roman" w:eastAsia="Times New Roman" w:hAnsi="Times New Roman" w:cs="Times New Roman"/>
          <w:i/>
          <w:iCs/>
          <w:sz w:val="24"/>
          <w:szCs w:val="24"/>
        </w:rPr>
        <w:t>International Journal of Pharmacy and Pharmaceutical Sciences</w:t>
      </w:r>
      <w:r w:rsidRPr="00504C86">
        <w:rPr>
          <w:rFonts w:ascii="Times New Roman" w:eastAsia="Times New Roman" w:hAnsi="Times New Roman" w:cs="Times New Roman"/>
          <w:sz w:val="24"/>
          <w:szCs w:val="24"/>
        </w:rPr>
        <w:t>, 5(2), 25–28.</w:t>
      </w:r>
    </w:p>
    <w:p w14:paraId="45C30C14"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Rahmani, A. H., Aly, S. M., Ali, H., Babiker, A. Y., Srikar, S., &amp; Khan, A. A. (2016). Therapeutic effects of papaya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and its bioactive compounds on diseases prevention: A review. </w:t>
      </w:r>
      <w:r w:rsidRPr="002E6DEA">
        <w:rPr>
          <w:rFonts w:ascii="Times New Roman" w:eastAsia="Times New Roman" w:hAnsi="Times New Roman" w:cs="Times New Roman"/>
          <w:i/>
          <w:iCs/>
          <w:sz w:val="24"/>
          <w:szCs w:val="24"/>
        </w:rPr>
        <w:t>International Journal of Clinical and Experimental Medicine</w:t>
      </w:r>
      <w:r w:rsidRPr="00504C86">
        <w:rPr>
          <w:rFonts w:ascii="Times New Roman" w:eastAsia="Times New Roman" w:hAnsi="Times New Roman" w:cs="Times New Roman"/>
          <w:sz w:val="24"/>
          <w:szCs w:val="24"/>
        </w:rPr>
        <w:t>, 7(2), 72–80.</w:t>
      </w:r>
    </w:p>
    <w:p w14:paraId="66B32D76"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Sarala, N., </w:t>
      </w:r>
      <w:proofErr w:type="spellStart"/>
      <w:r w:rsidRPr="00504C86">
        <w:rPr>
          <w:rFonts w:ascii="Times New Roman" w:eastAsia="Times New Roman" w:hAnsi="Times New Roman" w:cs="Times New Roman"/>
          <w:sz w:val="24"/>
          <w:szCs w:val="24"/>
        </w:rPr>
        <w:t>Paknikar</w:t>
      </w:r>
      <w:proofErr w:type="spellEnd"/>
      <w:r w:rsidRPr="00504C86">
        <w:rPr>
          <w:rFonts w:ascii="Times New Roman" w:eastAsia="Times New Roman" w:hAnsi="Times New Roman" w:cs="Times New Roman"/>
          <w:sz w:val="24"/>
          <w:szCs w:val="24"/>
        </w:rPr>
        <w:t xml:space="preserve">, S. S., &amp; Kulkarni, M. J. (2014). Papaya extract to treat dengue: A case report. </w:t>
      </w:r>
      <w:r w:rsidRPr="002E6DEA">
        <w:rPr>
          <w:rFonts w:ascii="Times New Roman" w:eastAsia="Times New Roman" w:hAnsi="Times New Roman" w:cs="Times New Roman"/>
          <w:i/>
          <w:iCs/>
          <w:sz w:val="24"/>
          <w:szCs w:val="24"/>
        </w:rPr>
        <w:t>Indian Journal of Pharmacology</w:t>
      </w:r>
      <w:r w:rsidRPr="00504C86">
        <w:rPr>
          <w:rFonts w:ascii="Times New Roman" w:eastAsia="Times New Roman" w:hAnsi="Times New Roman" w:cs="Times New Roman"/>
          <w:sz w:val="24"/>
          <w:szCs w:val="24"/>
        </w:rPr>
        <w:t>, 45(2), 240–241.</w:t>
      </w:r>
    </w:p>
    <w:p w14:paraId="02E3EBAD"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Schweitzer, M. T., Bertsch, S., &amp; Rojas, J. (2019). ALT and AST as indicators of hepatocellular injury. </w:t>
      </w:r>
      <w:r w:rsidRPr="002E6DEA">
        <w:rPr>
          <w:rFonts w:ascii="Times New Roman" w:eastAsia="Times New Roman" w:hAnsi="Times New Roman" w:cs="Times New Roman"/>
          <w:i/>
          <w:iCs/>
          <w:sz w:val="24"/>
          <w:szCs w:val="24"/>
        </w:rPr>
        <w:t>Current Medical Research and Opinion</w:t>
      </w:r>
      <w:r w:rsidRPr="00504C86">
        <w:rPr>
          <w:rFonts w:ascii="Times New Roman" w:eastAsia="Times New Roman" w:hAnsi="Times New Roman" w:cs="Times New Roman"/>
          <w:sz w:val="24"/>
          <w:szCs w:val="24"/>
        </w:rPr>
        <w:t>, 35(4), 593–602.</w:t>
      </w:r>
    </w:p>
    <w:p w14:paraId="7CD4FD39"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Sharma, A., Shukla, S., Mehta, A., &amp; Pandey, A. (2022). Pharmacological evaluation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for hepatoprotective activities. </w:t>
      </w:r>
      <w:r w:rsidRPr="002E6DEA">
        <w:rPr>
          <w:rFonts w:ascii="Times New Roman" w:eastAsia="Times New Roman" w:hAnsi="Times New Roman" w:cs="Times New Roman"/>
          <w:i/>
          <w:iCs/>
          <w:sz w:val="24"/>
          <w:szCs w:val="24"/>
        </w:rPr>
        <w:t xml:space="preserve">Journal of Pharmacy and </w:t>
      </w:r>
      <w:proofErr w:type="spellStart"/>
      <w:r w:rsidRPr="002E6DEA">
        <w:rPr>
          <w:rFonts w:ascii="Times New Roman" w:eastAsia="Times New Roman" w:hAnsi="Times New Roman" w:cs="Times New Roman"/>
          <w:i/>
          <w:iCs/>
          <w:sz w:val="24"/>
          <w:szCs w:val="24"/>
        </w:rPr>
        <w:t>Bioallied</w:t>
      </w:r>
      <w:proofErr w:type="spellEnd"/>
      <w:r w:rsidRPr="002E6DEA">
        <w:rPr>
          <w:rFonts w:ascii="Times New Roman" w:eastAsia="Times New Roman" w:hAnsi="Times New Roman" w:cs="Times New Roman"/>
          <w:i/>
          <w:iCs/>
          <w:sz w:val="24"/>
          <w:szCs w:val="24"/>
        </w:rPr>
        <w:t xml:space="preserve"> Sciences</w:t>
      </w:r>
      <w:r w:rsidRPr="00504C86">
        <w:rPr>
          <w:rFonts w:ascii="Times New Roman" w:eastAsia="Times New Roman" w:hAnsi="Times New Roman" w:cs="Times New Roman"/>
          <w:sz w:val="24"/>
          <w:szCs w:val="24"/>
        </w:rPr>
        <w:t>, 14(1), 8–13.</w:t>
      </w:r>
    </w:p>
    <w:p w14:paraId="12036873"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Smith, R. T., Johnson, M. E., &amp; Lee, H. J. (2019). Body weight effects of herbal preparations in Wistar rats. </w:t>
      </w:r>
      <w:r w:rsidRPr="002E6DEA">
        <w:rPr>
          <w:rFonts w:ascii="Times New Roman" w:eastAsia="Times New Roman" w:hAnsi="Times New Roman" w:cs="Times New Roman"/>
          <w:i/>
          <w:iCs/>
          <w:sz w:val="24"/>
          <w:szCs w:val="24"/>
        </w:rPr>
        <w:t>Physiology Reports</w:t>
      </w:r>
      <w:r w:rsidRPr="00504C86">
        <w:rPr>
          <w:rFonts w:ascii="Times New Roman" w:eastAsia="Times New Roman" w:hAnsi="Times New Roman" w:cs="Times New Roman"/>
          <w:sz w:val="24"/>
          <w:szCs w:val="24"/>
        </w:rPr>
        <w:t>, 7(14), e14190.</w:t>
      </w:r>
    </w:p>
    <w:p w14:paraId="27CACE2F"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Tang, C. S. (1971). Benzyl isothiocyanate: A potent antimicrobial agent from papaya seeds. </w:t>
      </w:r>
      <w:r w:rsidRPr="002E6DEA">
        <w:rPr>
          <w:rFonts w:ascii="Times New Roman" w:eastAsia="Times New Roman" w:hAnsi="Times New Roman" w:cs="Times New Roman"/>
          <w:i/>
          <w:iCs/>
          <w:sz w:val="24"/>
          <w:szCs w:val="24"/>
        </w:rPr>
        <w:t>Journal of Food Science</w:t>
      </w:r>
      <w:r w:rsidRPr="00504C86">
        <w:rPr>
          <w:rFonts w:ascii="Times New Roman" w:eastAsia="Times New Roman" w:hAnsi="Times New Roman" w:cs="Times New Roman"/>
          <w:sz w:val="24"/>
          <w:szCs w:val="24"/>
        </w:rPr>
        <w:t>, 36(6), 877–879.</w:t>
      </w:r>
    </w:p>
    <w:p w14:paraId="2A54A2B7"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Tripathi, Y. C., Maheshwari, J. K., &amp; Dwivedi, S. (2003). Medicinal plants of India: Their conservation and sustainable use. </w:t>
      </w:r>
      <w:r w:rsidRPr="002E6DEA">
        <w:rPr>
          <w:rFonts w:ascii="Times New Roman" w:eastAsia="Times New Roman" w:hAnsi="Times New Roman" w:cs="Times New Roman"/>
          <w:i/>
          <w:iCs/>
          <w:sz w:val="24"/>
          <w:szCs w:val="24"/>
        </w:rPr>
        <w:t>Medicinal Plants Conservation</w:t>
      </w:r>
      <w:r w:rsidRPr="00504C86">
        <w:rPr>
          <w:rFonts w:ascii="Times New Roman" w:eastAsia="Times New Roman" w:hAnsi="Times New Roman" w:cs="Times New Roman"/>
          <w:sz w:val="24"/>
          <w:szCs w:val="24"/>
        </w:rPr>
        <w:t>, 9, 23–29.</w:t>
      </w:r>
    </w:p>
    <w:p w14:paraId="0BF2FE75"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Wall, M. M. (2006). Ascorbic acid, vitamin A, and mineral composition of banana (</w:t>
      </w:r>
      <w:r w:rsidRPr="002E6DEA">
        <w:rPr>
          <w:rFonts w:ascii="Times New Roman" w:eastAsia="Times New Roman" w:hAnsi="Times New Roman" w:cs="Times New Roman"/>
          <w:i/>
          <w:iCs/>
          <w:sz w:val="24"/>
          <w:szCs w:val="24"/>
        </w:rPr>
        <w:t>Musa</w:t>
      </w:r>
      <w:r w:rsidRPr="00504C86">
        <w:rPr>
          <w:rFonts w:ascii="Times New Roman" w:eastAsia="Times New Roman" w:hAnsi="Times New Roman" w:cs="Times New Roman"/>
          <w:sz w:val="24"/>
          <w:szCs w:val="24"/>
        </w:rPr>
        <w:t xml:space="preserve"> sp.) and papaya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cultivars grown in Hawaii. </w:t>
      </w:r>
      <w:r w:rsidRPr="002E6DEA">
        <w:rPr>
          <w:rFonts w:ascii="Times New Roman" w:eastAsia="Times New Roman" w:hAnsi="Times New Roman" w:cs="Times New Roman"/>
          <w:i/>
          <w:iCs/>
          <w:sz w:val="24"/>
          <w:szCs w:val="24"/>
        </w:rPr>
        <w:t>Journal of Food Composition and Analysis</w:t>
      </w:r>
      <w:r w:rsidRPr="00504C86">
        <w:rPr>
          <w:rFonts w:ascii="Times New Roman" w:eastAsia="Times New Roman" w:hAnsi="Times New Roman" w:cs="Times New Roman"/>
          <w:sz w:val="24"/>
          <w:szCs w:val="24"/>
        </w:rPr>
        <w:t>, 19(5), 434–445.</w:t>
      </w:r>
    </w:p>
    <w:p w14:paraId="041875EC"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lastRenderedPageBreak/>
        <w:t xml:space="preserve">Wang, L., Zhang, C., Zhang, Y., &amp; Zhang, B. (2007). Comparison of synthetic and natural antioxidants in food safety. </w:t>
      </w:r>
      <w:r w:rsidRPr="002E6DEA">
        <w:rPr>
          <w:rFonts w:ascii="Times New Roman" w:eastAsia="Times New Roman" w:hAnsi="Times New Roman" w:cs="Times New Roman"/>
          <w:i/>
          <w:iCs/>
          <w:sz w:val="24"/>
          <w:szCs w:val="24"/>
        </w:rPr>
        <w:t>Food Chemistry</w:t>
      </w:r>
      <w:r w:rsidRPr="00504C86">
        <w:rPr>
          <w:rFonts w:ascii="Times New Roman" w:eastAsia="Times New Roman" w:hAnsi="Times New Roman" w:cs="Times New Roman"/>
          <w:sz w:val="24"/>
          <w:szCs w:val="24"/>
        </w:rPr>
        <w:t>, 105(1), 260–265.</w:t>
      </w:r>
    </w:p>
    <w:p w14:paraId="397080AD"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World Health Organization. (2000). </w:t>
      </w:r>
      <w:r w:rsidRPr="002E6DEA">
        <w:rPr>
          <w:rFonts w:ascii="Times New Roman" w:eastAsia="Times New Roman" w:hAnsi="Times New Roman" w:cs="Times New Roman"/>
          <w:i/>
          <w:iCs/>
          <w:sz w:val="24"/>
          <w:szCs w:val="24"/>
        </w:rPr>
        <w:t>General guidelines for methodologies on research and evaluation of traditional medicine</w:t>
      </w:r>
      <w:r w:rsidRPr="00504C86">
        <w:rPr>
          <w:rFonts w:ascii="Times New Roman" w:eastAsia="Times New Roman" w:hAnsi="Times New Roman" w:cs="Times New Roman"/>
          <w:sz w:val="24"/>
          <w:szCs w:val="24"/>
        </w:rPr>
        <w:t>. Geneva: World Health Organization.</w:t>
      </w:r>
    </w:p>
    <w:p w14:paraId="2C05518E"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World Health Organization. (2004). </w:t>
      </w:r>
      <w:r w:rsidRPr="002E6DEA">
        <w:rPr>
          <w:rFonts w:ascii="Times New Roman" w:eastAsia="Times New Roman" w:hAnsi="Times New Roman" w:cs="Times New Roman"/>
          <w:i/>
          <w:iCs/>
          <w:sz w:val="24"/>
          <w:szCs w:val="24"/>
        </w:rPr>
        <w:t>Manual for the laboratory diagnosis of liver function disorders</w:t>
      </w:r>
      <w:r w:rsidRPr="00504C86">
        <w:rPr>
          <w:rFonts w:ascii="Times New Roman" w:eastAsia="Times New Roman" w:hAnsi="Times New Roman" w:cs="Times New Roman"/>
          <w:sz w:val="24"/>
          <w:szCs w:val="24"/>
        </w:rPr>
        <w:t>. Geneva: World Health Organization.</w:t>
      </w:r>
    </w:p>
    <w:p w14:paraId="63166CDB" w14:textId="77777777" w:rsidR="00504C86" w:rsidRPr="00504C86" w:rsidRDefault="00504C86"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Zhang, X., Li, Y., &amp; Zhang, H. (2020). Assessment of hepatotoxicity of traditional Chinese medicines. </w:t>
      </w:r>
      <w:r w:rsidRPr="002E6DEA">
        <w:rPr>
          <w:rFonts w:ascii="Times New Roman" w:eastAsia="Times New Roman" w:hAnsi="Times New Roman" w:cs="Times New Roman"/>
          <w:i/>
          <w:iCs/>
          <w:sz w:val="24"/>
          <w:szCs w:val="24"/>
        </w:rPr>
        <w:t>Toxicology Mechanisms and Methods</w:t>
      </w:r>
      <w:r w:rsidRPr="00504C86">
        <w:rPr>
          <w:rFonts w:ascii="Times New Roman" w:eastAsia="Times New Roman" w:hAnsi="Times New Roman" w:cs="Times New Roman"/>
          <w:sz w:val="24"/>
          <w:szCs w:val="24"/>
        </w:rPr>
        <w:t>, 30(7), 475–483.</w:t>
      </w:r>
    </w:p>
    <w:p w14:paraId="6E5AF734" w14:textId="77777777" w:rsidR="00F87345" w:rsidRPr="002E6DEA" w:rsidRDefault="00F87345">
      <w:pPr>
        <w:rPr>
          <w:rFonts w:ascii="Times New Roman" w:hAnsi="Times New Roman" w:cs="Times New Roman"/>
          <w:b/>
          <w:sz w:val="24"/>
          <w:szCs w:val="24"/>
        </w:rPr>
      </w:pPr>
    </w:p>
    <w:sectPr w:rsidR="00F87345" w:rsidRPr="002E6DEA" w:rsidSect="002E7976">
      <w:headerReference w:type="even" r:id="rId11"/>
      <w:headerReference w:type="default" r:id="rId12"/>
      <w:footerReference w:type="even" r:id="rId13"/>
      <w:footerReference w:type="default" r:id="rId14"/>
      <w:headerReference w:type="first" r:id="rId15"/>
      <w:footerReference w:type="first" r:id="rId16"/>
      <w:pgSz w:w="12240" w:h="15840"/>
      <w:pgMar w:top="810" w:right="1440" w:bottom="117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22C02" w14:textId="77777777" w:rsidR="00460987" w:rsidRDefault="00460987" w:rsidP="002E7976">
      <w:pPr>
        <w:spacing w:after="0" w:line="240" w:lineRule="auto"/>
      </w:pPr>
      <w:r>
        <w:separator/>
      </w:r>
    </w:p>
  </w:endnote>
  <w:endnote w:type="continuationSeparator" w:id="0">
    <w:p w14:paraId="44C0543E" w14:textId="77777777" w:rsidR="00460987" w:rsidRDefault="00460987" w:rsidP="002E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B196" w14:textId="77777777" w:rsidR="00067C89" w:rsidRDefault="00067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923708"/>
      <w:docPartObj>
        <w:docPartGallery w:val="Page Numbers (Bottom of Page)"/>
        <w:docPartUnique/>
      </w:docPartObj>
    </w:sdtPr>
    <w:sdtEndPr>
      <w:rPr>
        <w:noProof/>
      </w:rPr>
    </w:sdtEndPr>
    <w:sdtContent>
      <w:p w14:paraId="117F36B3" w14:textId="77777777" w:rsidR="00761B9F" w:rsidRDefault="00761B9F">
        <w:pPr>
          <w:pStyle w:val="Footer"/>
          <w:jc w:val="center"/>
        </w:pPr>
        <w:r>
          <w:fldChar w:fldCharType="begin"/>
        </w:r>
        <w:r>
          <w:instrText xml:space="preserve"> PAGE   \* MERGEFORMAT </w:instrText>
        </w:r>
        <w:r>
          <w:fldChar w:fldCharType="separate"/>
        </w:r>
        <w:r w:rsidR="00430DEB">
          <w:rPr>
            <w:noProof/>
          </w:rPr>
          <w:t>1</w:t>
        </w:r>
        <w:r>
          <w:rPr>
            <w:noProof/>
          </w:rPr>
          <w:fldChar w:fldCharType="end"/>
        </w:r>
      </w:p>
    </w:sdtContent>
  </w:sdt>
  <w:p w14:paraId="58621E95" w14:textId="77777777" w:rsidR="00761B9F" w:rsidRDefault="00761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0F531" w14:textId="77777777" w:rsidR="00067C89" w:rsidRDefault="00067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F629" w14:textId="77777777" w:rsidR="00460987" w:rsidRDefault="00460987" w:rsidP="002E7976">
      <w:pPr>
        <w:spacing w:after="0" w:line="240" w:lineRule="auto"/>
      </w:pPr>
      <w:r>
        <w:separator/>
      </w:r>
    </w:p>
  </w:footnote>
  <w:footnote w:type="continuationSeparator" w:id="0">
    <w:p w14:paraId="25DF9252" w14:textId="77777777" w:rsidR="00460987" w:rsidRDefault="00460987" w:rsidP="002E7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C9D3" w14:textId="2A02B4F8" w:rsidR="00067C89" w:rsidRDefault="00067C89">
    <w:pPr>
      <w:pStyle w:val="Header"/>
    </w:pPr>
    <w:r>
      <w:rPr>
        <w:noProof/>
      </w:rPr>
      <w:pict w14:anchorId="00B48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F811" w14:textId="2177E20C" w:rsidR="00067C89" w:rsidRDefault="00067C89">
    <w:pPr>
      <w:pStyle w:val="Header"/>
    </w:pPr>
    <w:r>
      <w:rPr>
        <w:noProof/>
      </w:rPr>
      <w:pict w14:anchorId="366D7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2EC8" w14:textId="4476C70C" w:rsidR="00067C89" w:rsidRDefault="00067C89">
    <w:pPr>
      <w:pStyle w:val="Header"/>
    </w:pPr>
    <w:r>
      <w:rPr>
        <w:noProof/>
      </w:rPr>
      <w:pict w14:anchorId="5287F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D0680"/>
    <w:multiLevelType w:val="multilevel"/>
    <w:tmpl w:val="3E14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5B72AA"/>
    <w:multiLevelType w:val="multilevel"/>
    <w:tmpl w:val="4D5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CB6CD4"/>
    <w:multiLevelType w:val="multilevel"/>
    <w:tmpl w:val="A898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E94A5A"/>
    <w:multiLevelType w:val="hybridMultilevel"/>
    <w:tmpl w:val="5302F7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76A9D"/>
    <w:multiLevelType w:val="multilevel"/>
    <w:tmpl w:val="9AD8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3942F9"/>
    <w:multiLevelType w:val="multilevel"/>
    <w:tmpl w:val="763942F9"/>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BCC1D30"/>
    <w:multiLevelType w:val="multilevel"/>
    <w:tmpl w:val="0680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8380577">
    <w:abstractNumId w:val="5"/>
  </w:num>
  <w:num w:numId="2" w16cid:durableId="1532304206">
    <w:abstractNumId w:val="6"/>
  </w:num>
  <w:num w:numId="3" w16cid:durableId="49766110">
    <w:abstractNumId w:val="4"/>
  </w:num>
  <w:num w:numId="4" w16cid:durableId="251738885">
    <w:abstractNumId w:val="1"/>
  </w:num>
  <w:num w:numId="5" w16cid:durableId="1886260769">
    <w:abstractNumId w:val="3"/>
  </w:num>
  <w:num w:numId="6" w16cid:durableId="1385175328">
    <w:abstractNumId w:val="2"/>
  </w:num>
  <w:num w:numId="7" w16cid:durableId="1671911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345"/>
    <w:rsid w:val="0003697C"/>
    <w:rsid w:val="00045A51"/>
    <w:rsid w:val="00057568"/>
    <w:rsid w:val="00067C89"/>
    <w:rsid w:val="00075237"/>
    <w:rsid w:val="000E4D80"/>
    <w:rsid w:val="001B7ED4"/>
    <w:rsid w:val="001C3857"/>
    <w:rsid w:val="001D0FA3"/>
    <w:rsid w:val="001E0A39"/>
    <w:rsid w:val="0024149B"/>
    <w:rsid w:val="00263BDA"/>
    <w:rsid w:val="002C1C3B"/>
    <w:rsid w:val="002E6DEA"/>
    <w:rsid w:val="002E7976"/>
    <w:rsid w:val="003243D0"/>
    <w:rsid w:val="003A3960"/>
    <w:rsid w:val="003C5D8A"/>
    <w:rsid w:val="003E43B9"/>
    <w:rsid w:val="00430DEB"/>
    <w:rsid w:val="00447EB7"/>
    <w:rsid w:val="00460987"/>
    <w:rsid w:val="004664B6"/>
    <w:rsid w:val="004835E8"/>
    <w:rsid w:val="004C3A26"/>
    <w:rsid w:val="004C4D71"/>
    <w:rsid w:val="00504C86"/>
    <w:rsid w:val="00562DD7"/>
    <w:rsid w:val="005A3AE3"/>
    <w:rsid w:val="005A7E9D"/>
    <w:rsid w:val="00626715"/>
    <w:rsid w:val="00626B8F"/>
    <w:rsid w:val="00716E00"/>
    <w:rsid w:val="00761B9F"/>
    <w:rsid w:val="00783CC0"/>
    <w:rsid w:val="007D5C8E"/>
    <w:rsid w:val="0084425D"/>
    <w:rsid w:val="00844D19"/>
    <w:rsid w:val="008716EE"/>
    <w:rsid w:val="008F0FD2"/>
    <w:rsid w:val="009313C5"/>
    <w:rsid w:val="009C060B"/>
    <w:rsid w:val="00A800EC"/>
    <w:rsid w:val="00A930FB"/>
    <w:rsid w:val="00AA31D0"/>
    <w:rsid w:val="00AA5B22"/>
    <w:rsid w:val="00AF284F"/>
    <w:rsid w:val="00B27B81"/>
    <w:rsid w:val="00B81BF5"/>
    <w:rsid w:val="00B9681C"/>
    <w:rsid w:val="00C134DD"/>
    <w:rsid w:val="00D22443"/>
    <w:rsid w:val="00D47F77"/>
    <w:rsid w:val="00D54810"/>
    <w:rsid w:val="00D5597A"/>
    <w:rsid w:val="00D659F7"/>
    <w:rsid w:val="00DD3339"/>
    <w:rsid w:val="00E463D2"/>
    <w:rsid w:val="00E54BAC"/>
    <w:rsid w:val="00E760FC"/>
    <w:rsid w:val="00E92163"/>
    <w:rsid w:val="00EB5B41"/>
    <w:rsid w:val="00F43F8F"/>
    <w:rsid w:val="00F87345"/>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18CDE"/>
  <w15:chartTrackingRefBased/>
  <w15:docId w15:val="{BEF5BF33-B9B1-4424-AB49-5EF3B88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873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345"/>
    <w:rPr>
      <w:rFonts w:ascii="Times New Roman" w:eastAsia="Times New Roman" w:hAnsi="Times New Roman" w:cs="Times New Roman"/>
      <w:b/>
      <w:bCs/>
      <w:sz w:val="27"/>
      <w:szCs w:val="27"/>
    </w:rPr>
  </w:style>
  <w:style w:type="paragraph" w:styleId="NormalWeb">
    <w:name w:val="Normal (Web)"/>
    <w:basedOn w:val="Normal"/>
    <w:uiPriority w:val="99"/>
    <w:unhideWhenUsed/>
    <w:rsid w:val="00F873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7345"/>
    <w:rPr>
      <w:i/>
      <w:iCs/>
    </w:rPr>
  </w:style>
  <w:style w:type="table" w:styleId="TableGrid">
    <w:name w:val="Table Grid"/>
    <w:basedOn w:val="TableNormal"/>
    <w:uiPriority w:val="39"/>
    <w:rsid w:val="00F8734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rsid w:val="00F87345"/>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paragraph" w:customStyle="1" w:styleId="ListParagraph1">
    <w:name w:val="List Paragraph1"/>
    <w:basedOn w:val="Normal"/>
    <w:uiPriority w:val="34"/>
    <w:qFormat/>
    <w:rsid w:val="00F87345"/>
    <w:pPr>
      <w:spacing w:after="200" w:line="276" w:lineRule="auto"/>
      <w:ind w:left="720"/>
      <w:contextualSpacing/>
    </w:pPr>
  </w:style>
  <w:style w:type="paragraph" w:customStyle="1" w:styleId="NoSpacing1">
    <w:name w:val="No Spacing1"/>
    <w:uiPriority w:val="1"/>
    <w:qFormat/>
    <w:rsid w:val="00F87345"/>
    <w:pPr>
      <w:autoSpaceDN w:val="0"/>
      <w:spacing w:after="0"/>
    </w:pPr>
    <w:rPr>
      <w:rFonts w:ascii="Calibri" w:eastAsia="Times New Roman" w:hAnsi="Calibri" w:cs="SimSun"/>
      <w:lang w:bidi="en-US"/>
    </w:rPr>
  </w:style>
  <w:style w:type="table" w:customStyle="1" w:styleId="LightList1">
    <w:name w:val="Light List1"/>
    <w:basedOn w:val="TableNormal"/>
    <w:uiPriority w:val="61"/>
    <w:rsid w:val="00F87345"/>
    <w:pPr>
      <w:spacing w:after="0" w:line="240" w:lineRule="auto"/>
    </w:pPr>
    <w:rPr>
      <w:rFonts w:ascii="Calibri" w:eastAsia="Calibri" w:hAnsi="Calibri" w:cs="SimSu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562DD7"/>
    <w:rPr>
      <w:b/>
      <w:bCs/>
    </w:rPr>
  </w:style>
  <w:style w:type="paragraph" w:styleId="Header">
    <w:name w:val="header"/>
    <w:basedOn w:val="Normal"/>
    <w:link w:val="HeaderChar"/>
    <w:uiPriority w:val="99"/>
    <w:unhideWhenUsed/>
    <w:rsid w:val="002E7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976"/>
  </w:style>
  <w:style w:type="paragraph" w:styleId="Footer">
    <w:name w:val="footer"/>
    <w:basedOn w:val="Normal"/>
    <w:link w:val="FooterChar"/>
    <w:uiPriority w:val="99"/>
    <w:unhideWhenUsed/>
    <w:rsid w:val="002E7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976"/>
  </w:style>
  <w:style w:type="character" w:styleId="Hyperlink">
    <w:name w:val="Hyperlink"/>
    <w:basedOn w:val="DefaultParagraphFont"/>
    <w:uiPriority w:val="99"/>
    <w:unhideWhenUsed/>
    <w:rsid w:val="00D54810"/>
    <w:rPr>
      <w:color w:val="0563C1" w:themeColor="hyperlink"/>
      <w:u w:val="single"/>
    </w:rPr>
  </w:style>
  <w:style w:type="paragraph" w:styleId="ListParagraph">
    <w:name w:val="List Paragraph"/>
    <w:basedOn w:val="Normal"/>
    <w:uiPriority w:val="34"/>
    <w:qFormat/>
    <w:rsid w:val="00761B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80434">
      <w:bodyDiv w:val="1"/>
      <w:marLeft w:val="0"/>
      <w:marRight w:val="0"/>
      <w:marTop w:val="0"/>
      <w:marBottom w:val="0"/>
      <w:divBdr>
        <w:top w:val="none" w:sz="0" w:space="0" w:color="auto"/>
        <w:left w:val="none" w:sz="0" w:space="0" w:color="auto"/>
        <w:bottom w:val="none" w:sz="0" w:space="0" w:color="auto"/>
        <w:right w:val="none" w:sz="0" w:space="0" w:color="auto"/>
      </w:divBdr>
    </w:div>
    <w:div w:id="752241602">
      <w:bodyDiv w:val="1"/>
      <w:marLeft w:val="0"/>
      <w:marRight w:val="0"/>
      <w:marTop w:val="0"/>
      <w:marBottom w:val="0"/>
      <w:divBdr>
        <w:top w:val="none" w:sz="0" w:space="0" w:color="auto"/>
        <w:left w:val="none" w:sz="0" w:space="0" w:color="auto"/>
        <w:bottom w:val="none" w:sz="0" w:space="0" w:color="auto"/>
        <w:right w:val="none" w:sz="0" w:space="0" w:color="auto"/>
      </w:divBdr>
    </w:div>
    <w:div w:id="756949953">
      <w:bodyDiv w:val="1"/>
      <w:marLeft w:val="0"/>
      <w:marRight w:val="0"/>
      <w:marTop w:val="0"/>
      <w:marBottom w:val="0"/>
      <w:divBdr>
        <w:top w:val="none" w:sz="0" w:space="0" w:color="auto"/>
        <w:left w:val="none" w:sz="0" w:space="0" w:color="auto"/>
        <w:bottom w:val="none" w:sz="0" w:space="0" w:color="auto"/>
        <w:right w:val="none" w:sz="0" w:space="0" w:color="auto"/>
      </w:divBdr>
    </w:div>
    <w:div w:id="1024475203">
      <w:bodyDiv w:val="1"/>
      <w:marLeft w:val="0"/>
      <w:marRight w:val="0"/>
      <w:marTop w:val="0"/>
      <w:marBottom w:val="0"/>
      <w:divBdr>
        <w:top w:val="none" w:sz="0" w:space="0" w:color="auto"/>
        <w:left w:val="none" w:sz="0" w:space="0" w:color="auto"/>
        <w:bottom w:val="none" w:sz="0" w:space="0" w:color="auto"/>
        <w:right w:val="none" w:sz="0" w:space="0" w:color="auto"/>
      </w:divBdr>
    </w:div>
    <w:div w:id="1097409417">
      <w:bodyDiv w:val="1"/>
      <w:marLeft w:val="0"/>
      <w:marRight w:val="0"/>
      <w:marTop w:val="0"/>
      <w:marBottom w:val="0"/>
      <w:divBdr>
        <w:top w:val="none" w:sz="0" w:space="0" w:color="auto"/>
        <w:left w:val="none" w:sz="0" w:space="0" w:color="auto"/>
        <w:bottom w:val="none" w:sz="0" w:space="0" w:color="auto"/>
        <w:right w:val="none" w:sz="0" w:space="0" w:color="auto"/>
      </w:divBdr>
    </w:div>
    <w:div w:id="1378116297">
      <w:bodyDiv w:val="1"/>
      <w:marLeft w:val="0"/>
      <w:marRight w:val="0"/>
      <w:marTop w:val="0"/>
      <w:marBottom w:val="0"/>
      <w:divBdr>
        <w:top w:val="none" w:sz="0" w:space="0" w:color="auto"/>
        <w:left w:val="none" w:sz="0" w:space="0" w:color="auto"/>
        <w:bottom w:val="none" w:sz="0" w:space="0" w:color="auto"/>
        <w:right w:val="none" w:sz="0" w:space="0" w:color="auto"/>
      </w:divBdr>
    </w:div>
    <w:div w:id="1508203899">
      <w:bodyDiv w:val="1"/>
      <w:marLeft w:val="0"/>
      <w:marRight w:val="0"/>
      <w:marTop w:val="0"/>
      <w:marBottom w:val="0"/>
      <w:divBdr>
        <w:top w:val="none" w:sz="0" w:space="0" w:color="auto"/>
        <w:left w:val="none" w:sz="0" w:space="0" w:color="auto"/>
        <w:bottom w:val="none" w:sz="0" w:space="0" w:color="auto"/>
        <w:right w:val="none" w:sz="0" w:space="0" w:color="auto"/>
      </w:divBdr>
    </w:div>
    <w:div w:id="1704207973">
      <w:bodyDiv w:val="1"/>
      <w:marLeft w:val="0"/>
      <w:marRight w:val="0"/>
      <w:marTop w:val="0"/>
      <w:marBottom w:val="0"/>
      <w:divBdr>
        <w:top w:val="none" w:sz="0" w:space="0" w:color="auto"/>
        <w:left w:val="none" w:sz="0" w:space="0" w:color="auto"/>
        <w:bottom w:val="none" w:sz="0" w:space="0" w:color="auto"/>
        <w:right w:val="none" w:sz="0" w:space="0" w:color="auto"/>
      </w:divBdr>
    </w:div>
    <w:div w:id="1744839944">
      <w:bodyDiv w:val="1"/>
      <w:marLeft w:val="0"/>
      <w:marRight w:val="0"/>
      <w:marTop w:val="0"/>
      <w:marBottom w:val="0"/>
      <w:divBdr>
        <w:top w:val="none" w:sz="0" w:space="0" w:color="auto"/>
        <w:left w:val="none" w:sz="0" w:space="0" w:color="auto"/>
        <w:bottom w:val="none" w:sz="0" w:space="0" w:color="auto"/>
        <w:right w:val="none" w:sz="0" w:space="0" w:color="auto"/>
      </w:divBdr>
    </w:div>
    <w:div w:id="1879777616">
      <w:bodyDiv w:val="1"/>
      <w:marLeft w:val="0"/>
      <w:marRight w:val="0"/>
      <w:marTop w:val="0"/>
      <w:marBottom w:val="0"/>
      <w:divBdr>
        <w:top w:val="none" w:sz="0" w:space="0" w:color="auto"/>
        <w:left w:val="none" w:sz="0" w:space="0" w:color="auto"/>
        <w:bottom w:val="none" w:sz="0" w:space="0" w:color="auto"/>
        <w:right w:val="none" w:sz="0" w:space="0" w:color="auto"/>
      </w:divBdr>
    </w:div>
    <w:div w:id="1975212072">
      <w:bodyDiv w:val="1"/>
      <w:marLeft w:val="0"/>
      <w:marRight w:val="0"/>
      <w:marTop w:val="0"/>
      <w:marBottom w:val="0"/>
      <w:divBdr>
        <w:top w:val="none" w:sz="0" w:space="0" w:color="auto"/>
        <w:left w:val="none" w:sz="0" w:space="0" w:color="auto"/>
        <w:bottom w:val="none" w:sz="0" w:space="0" w:color="auto"/>
        <w:right w:val="none" w:sz="0" w:space="0" w:color="auto"/>
      </w:divBdr>
    </w:div>
    <w:div w:id="19940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3961</Words>
  <Characters>22582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3</cp:revision>
  <dcterms:created xsi:type="dcterms:W3CDTF">2025-05-28T15:22:00Z</dcterms:created>
  <dcterms:modified xsi:type="dcterms:W3CDTF">2025-05-29T10:11:00Z</dcterms:modified>
</cp:coreProperties>
</file>