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A475" w14:textId="3FC7FA26" w:rsidR="009673BD" w:rsidRPr="009673BD" w:rsidRDefault="009673BD" w:rsidP="00441B6F">
      <w:pPr>
        <w:pStyle w:val="Author"/>
        <w:spacing w:line="240" w:lineRule="auto"/>
        <w:jc w:val="both"/>
        <w:rPr>
          <w:rFonts w:ascii="Times New Roman" w:hAnsi="Times New Roman"/>
          <w:szCs w:val="24"/>
          <w:u w:val="single"/>
        </w:rPr>
      </w:pPr>
      <w:r w:rsidRPr="009673BD">
        <w:rPr>
          <w:rFonts w:ascii="Times New Roman" w:hAnsi="Times New Roman"/>
          <w:szCs w:val="24"/>
          <w:u w:val="single"/>
        </w:rPr>
        <w:t xml:space="preserve">Original Research Article             </w:t>
      </w:r>
    </w:p>
    <w:p w14:paraId="556B64CF" w14:textId="5C63EAB2" w:rsidR="00A258C3" w:rsidRDefault="006C5314" w:rsidP="00441B6F">
      <w:pPr>
        <w:pStyle w:val="Author"/>
        <w:spacing w:line="240" w:lineRule="auto"/>
        <w:jc w:val="both"/>
        <w:rPr>
          <w:rFonts w:ascii="Times New Roman" w:hAnsi="Times New Roman"/>
          <w:szCs w:val="24"/>
        </w:rPr>
      </w:pPr>
      <w:r>
        <w:rPr>
          <w:rFonts w:ascii="Times New Roman" w:hAnsi="Times New Roman"/>
          <w:szCs w:val="24"/>
        </w:rPr>
        <w:t>Non-</w:t>
      </w:r>
      <w:r w:rsidRPr="001308D2">
        <w:rPr>
          <w:rFonts w:ascii="Times New Roman" w:hAnsi="Times New Roman"/>
          <w:szCs w:val="24"/>
        </w:rPr>
        <w:t>Strabismic Binocular Vision Anomalies</w:t>
      </w:r>
      <w:r>
        <w:rPr>
          <w:rFonts w:ascii="Times New Roman" w:hAnsi="Times New Roman"/>
          <w:szCs w:val="24"/>
        </w:rPr>
        <w:t xml:space="preserve"> among Myopic and Hypermetropic Young Adults</w:t>
      </w:r>
    </w:p>
    <w:p w14:paraId="6FEBC4A5" w14:textId="77777777" w:rsidR="009673BD" w:rsidRPr="0081733C" w:rsidRDefault="009673BD" w:rsidP="0081733C">
      <w:pPr>
        <w:pStyle w:val="Affiliation"/>
        <w:spacing w:after="0" w:line="276" w:lineRule="auto"/>
        <w:rPr>
          <w:rFonts w:ascii="Arial" w:hAnsi="Arial" w:cs="Arial"/>
        </w:rPr>
      </w:pPr>
    </w:p>
    <w:p w14:paraId="078B4484" w14:textId="77777777" w:rsidR="002C57D2" w:rsidRPr="00FB3A86" w:rsidRDefault="002C57D2" w:rsidP="00441B6F">
      <w:pPr>
        <w:pStyle w:val="Affiliation"/>
        <w:spacing w:after="0" w:line="240" w:lineRule="auto"/>
        <w:jc w:val="both"/>
        <w:rPr>
          <w:rFonts w:ascii="Arial" w:hAnsi="Arial" w:cs="Arial"/>
        </w:rPr>
      </w:pPr>
    </w:p>
    <w:p w14:paraId="04D03654" w14:textId="77777777" w:rsidR="00B01FCD" w:rsidRPr="00FB3A86" w:rsidRDefault="000A7DF5" w:rsidP="00441B6F">
      <w:pPr>
        <w:pStyle w:val="Copyright"/>
        <w:spacing w:after="0" w:line="240" w:lineRule="auto"/>
        <w:jc w:val="both"/>
        <w:rPr>
          <w:rFonts w:ascii="Arial" w:hAnsi="Arial" w:cs="Arial"/>
        </w:rPr>
        <w:sectPr w:rsidR="00B01FCD" w:rsidRPr="00FB3A86" w:rsidSect="00F50F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w14:anchorId="78AC76FB">
          <v:shapetype id="_x0000_t32" coordsize="21600,21600" o:spt="32" o:oned="t" path="m,l21600,21600e" filled="f">
            <v:path arrowok="t" fillok="f" o:connecttype="none"/>
            <o:lock v:ext="edit" shapetype="t"/>
          </v:shapetype>
          <v:shape id="AutoShape 2" o:spid="_x0000_s1026" type="#_x0000_t32" style="width:417.6pt;height:0;visibility:visible;mso-left-percent:-10001;mso-top-percent:-10001;mso-position-horizontal:absolute;mso-position-horizontal-relative:char;mso-position-vertical:absolute;mso-position-vertical-relative:line;mso-left-percent:-10001;mso-top-percent:-10001" strokeweight="1.5pt">
            <w10:anchorlock/>
          </v:shape>
        </w:pict>
      </w:r>
      <w:r w:rsidR="00FB3A86">
        <w:rPr>
          <w:rFonts w:ascii="Arial" w:hAnsi="Arial" w:cs="Arial"/>
        </w:rPr>
        <w:t>.</w:t>
      </w:r>
    </w:p>
    <w:p w14:paraId="42C0D4BC"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AE0E2E" w14:textId="77777777" w:rsidR="002C452A" w:rsidRPr="00FB3A86" w:rsidRDefault="002C452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4"/>
      </w:tblGrid>
      <w:tr w:rsidR="00296529" w:rsidRPr="0064297B" w14:paraId="4FBBA0A7" w14:textId="77777777" w:rsidTr="009C2BB7">
        <w:trPr>
          <w:trHeight w:val="4131"/>
        </w:trPr>
        <w:tc>
          <w:tcPr>
            <w:tcW w:w="8424" w:type="dxa"/>
            <w:shd w:val="clear" w:color="auto" w:fill="auto"/>
          </w:tcPr>
          <w:p w14:paraId="0262EB68" w14:textId="77777777" w:rsidR="000C3712" w:rsidRPr="00A24C68" w:rsidRDefault="00467629" w:rsidP="000C3712">
            <w:pPr>
              <w:rPr>
                <w:rFonts w:ascii="Arial" w:hAnsi="Arial" w:cs="Arial"/>
                <w:b/>
                <w:color w:val="000000"/>
                <w:shd w:val="clear" w:color="auto" w:fill="FFFFFF"/>
              </w:rPr>
            </w:pPr>
            <w:r w:rsidRPr="00A24C68">
              <w:rPr>
                <w:rStyle w:val="Emphasis"/>
                <w:rFonts w:ascii="Arial" w:hAnsi="Arial" w:cs="Arial"/>
                <w:b/>
                <w:bCs/>
                <w:i w:val="0"/>
                <w:color w:val="000000"/>
                <w:shd w:val="clear" w:color="auto" w:fill="FFFFFF"/>
              </w:rPr>
              <w:t>Aim</w:t>
            </w:r>
            <w:r w:rsidRPr="00A24C68">
              <w:rPr>
                <w:rFonts w:ascii="Arial" w:hAnsi="Arial" w:cs="Arial"/>
                <w:i/>
                <w:color w:val="000000"/>
                <w:shd w:val="clear" w:color="auto" w:fill="FFFFFF"/>
              </w:rPr>
              <w:t>:</w:t>
            </w:r>
            <w:r w:rsidRPr="00A24C68">
              <w:rPr>
                <w:rFonts w:ascii="Arial" w:hAnsi="Arial" w:cs="Arial"/>
                <w:color w:val="000000"/>
                <w:shd w:val="clear" w:color="auto" w:fill="FFFFFF"/>
              </w:rPr>
              <w:t xml:space="preserve"> To assess the non strabismic binocular vision anomalies among </w:t>
            </w:r>
            <w:r w:rsidR="000C3712" w:rsidRPr="00A24C68">
              <w:rPr>
                <w:rFonts w:ascii="Arial" w:hAnsi="Arial" w:cs="Arial"/>
                <w:color w:val="000000"/>
                <w:shd w:val="clear" w:color="auto" w:fill="FFFFFF"/>
              </w:rPr>
              <w:t>Myopic and Hypermetropic young adults.</w:t>
            </w:r>
          </w:p>
          <w:p w14:paraId="27EDAF74" w14:textId="77777777" w:rsidR="00467629" w:rsidRPr="00A24C68" w:rsidRDefault="0064297B" w:rsidP="00FD7713">
            <w:pPr>
              <w:pStyle w:val="Body"/>
              <w:spacing w:after="0"/>
              <w:rPr>
                <w:rFonts w:ascii="Arial" w:eastAsia="Calibri" w:hAnsi="Arial" w:cs="Arial"/>
                <w:highlight w:val="yellow"/>
              </w:rPr>
            </w:pPr>
            <w:r w:rsidRPr="00A24C68">
              <w:rPr>
                <w:rStyle w:val="Emphasis"/>
                <w:rFonts w:ascii="Arial" w:hAnsi="Arial" w:cs="Arial"/>
                <w:b/>
                <w:bCs/>
                <w:i w:val="0"/>
                <w:color w:val="000000"/>
                <w:shd w:val="clear" w:color="auto" w:fill="FFFFFF"/>
              </w:rPr>
              <w:t>Methodology:</w:t>
            </w:r>
            <w:r w:rsidRPr="00A24C68">
              <w:rPr>
                <w:rStyle w:val="Emphasis"/>
                <w:rFonts w:ascii="Arial" w:hAnsi="Arial" w:cs="Arial"/>
                <w:bCs/>
                <w:i w:val="0"/>
                <w:color w:val="000000"/>
                <w:shd w:val="clear" w:color="auto" w:fill="FFFFFF"/>
              </w:rPr>
              <w:t xml:space="preserve"> </w:t>
            </w:r>
            <w:r w:rsidR="00254918" w:rsidRPr="00A24C68">
              <w:rPr>
                <w:rStyle w:val="Strong"/>
                <w:rFonts w:ascii="Arial" w:hAnsi="Arial" w:cs="Arial"/>
                <w:b w:val="0"/>
              </w:rPr>
              <w:t>The</w:t>
            </w:r>
            <w:r w:rsidR="00FC31C1" w:rsidRPr="00A24C68">
              <w:rPr>
                <w:rFonts w:ascii="Arial" w:hAnsi="Arial" w:cs="Arial"/>
              </w:rPr>
              <w:t xml:space="preserve"> </w:t>
            </w:r>
            <w:r w:rsidR="00305DE7" w:rsidRPr="00A24C68">
              <w:rPr>
                <w:rFonts w:ascii="Arial" w:hAnsi="Arial" w:cs="Arial"/>
              </w:rPr>
              <w:t xml:space="preserve">Prospective, </w:t>
            </w:r>
            <w:r w:rsidR="00254918" w:rsidRPr="00A24C68">
              <w:rPr>
                <w:rFonts w:ascii="Arial" w:hAnsi="Arial" w:cs="Arial"/>
              </w:rPr>
              <w:t>cross-sectional</w:t>
            </w:r>
            <w:r w:rsidR="00305DE7" w:rsidRPr="00A24C68">
              <w:rPr>
                <w:rFonts w:ascii="Arial" w:hAnsi="Arial" w:cs="Arial"/>
              </w:rPr>
              <w:t xml:space="preserve"> </w:t>
            </w:r>
            <w:r w:rsidR="00254918" w:rsidRPr="00A24C68">
              <w:rPr>
                <w:rFonts w:ascii="Arial" w:hAnsi="Arial" w:cs="Arial"/>
              </w:rPr>
              <w:t xml:space="preserve">study was conducted to assess the non-strabismic binocular vision anomalies among myopic and hypermetropic patients. The study protocol was approved by the Institutional Ethical Committee. </w:t>
            </w:r>
            <w:r w:rsidR="006B2410" w:rsidRPr="00A24C68">
              <w:rPr>
                <w:rFonts w:ascii="Arial" w:hAnsi="Arial" w:cs="Arial"/>
              </w:rPr>
              <w:t xml:space="preserve">The study included total 110 patients aged 10 to 35 years, 55 diagnosed with myopia and 55 </w:t>
            </w:r>
            <w:r w:rsidR="00F12367" w:rsidRPr="00A24C68">
              <w:rPr>
                <w:rFonts w:ascii="Arial" w:hAnsi="Arial" w:cs="Arial"/>
              </w:rPr>
              <w:t>patients</w:t>
            </w:r>
            <w:r w:rsidR="006B2410" w:rsidRPr="00A24C68">
              <w:rPr>
                <w:rFonts w:ascii="Arial" w:hAnsi="Arial" w:cs="Arial"/>
              </w:rPr>
              <w:t xml:space="preserve"> with hypermetropia. </w:t>
            </w:r>
            <w:r w:rsidR="00F12367" w:rsidRPr="00A24C68">
              <w:rPr>
                <w:rFonts w:ascii="Arial" w:hAnsi="Arial" w:cs="Arial"/>
              </w:rPr>
              <w:t xml:space="preserve">Recruited participants undergone comprehensive ocular examination along with </w:t>
            </w:r>
            <w:r w:rsidR="00300B6C" w:rsidRPr="00A24C68">
              <w:rPr>
                <w:rFonts w:ascii="Arial" w:hAnsi="Arial" w:cs="Arial"/>
              </w:rPr>
              <w:t xml:space="preserve">binocular vision assessment. </w:t>
            </w:r>
            <w:r w:rsidR="00467629" w:rsidRPr="00A24C68">
              <w:rPr>
                <w:rFonts w:ascii="Arial" w:hAnsi="Arial" w:cs="Arial"/>
              </w:rPr>
              <w:t xml:space="preserve">Diagnosis of </w:t>
            </w:r>
            <w:proofErr w:type="spellStart"/>
            <w:r w:rsidR="00467629" w:rsidRPr="00A24C68">
              <w:rPr>
                <w:rFonts w:ascii="Arial" w:hAnsi="Arial" w:cs="Arial"/>
                <w:color w:val="000000"/>
                <w:shd w:val="clear" w:color="auto" w:fill="FFFFFF"/>
              </w:rPr>
              <w:t>non strabismic</w:t>
            </w:r>
            <w:proofErr w:type="spellEnd"/>
            <w:r w:rsidR="00467629" w:rsidRPr="00A24C68">
              <w:rPr>
                <w:rFonts w:ascii="Arial" w:hAnsi="Arial" w:cs="Arial"/>
                <w:color w:val="000000"/>
                <w:shd w:val="clear" w:color="auto" w:fill="FFFFFF"/>
              </w:rPr>
              <w:t xml:space="preserve"> binocular vision anomalies</w:t>
            </w:r>
            <w:r w:rsidR="00467629" w:rsidRPr="00A24C68">
              <w:rPr>
                <w:rFonts w:ascii="Arial" w:hAnsi="Arial" w:cs="Arial"/>
              </w:rPr>
              <w:t xml:space="preserve"> was </w:t>
            </w:r>
            <w:r w:rsidR="00A76FE1" w:rsidRPr="00A24C68">
              <w:rPr>
                <w:rFonts w:ascii="Arial" w:hAnsi="Arial" w:cs="Arial"/>
              </w:rPr>
              <w:t>based on</w:t>
            </w:r>
            <w:r w:rsidR="00467629" w:rsidRPr="00A24C68">
              <w:rPr>
                <w:rFonts w:ascii="Arial" w:hAnsi="Arial" w:cs="Arial"/>
              </w:rPr>
              <w:t xml:space="preserve"> normative data and diagnostic criteria mentioned in the Scheiman and Wicks findings. Data was </w:t>
            </w:r>
            <w:r w:rsidR="00747C4D" w:rsidRPr="00A24C68">
              <w:rPr>
                <w:rFonts w:ascii="Arial" w:hAnsi="Arial" w:cs="Arial"/>
              </w:rPr>
              <w:t>analyzed</w:t>
            </w:r>
            <w:r w:rsidR="00467629" w:rsidRPr="00A24C68">
              <w:rPr>
                <w:rFonts w:ascii="Arial" w:hAnsi="Arial" w:cs="Arial"/>
              </w:rPr>
              <w:t xml:space="preserve"> using </w:t>
            </w:r>
            <w:r w:rsidR="00A76FE1" w:rsidRPr="00A24C68">
              <w:rPr>
                <w:rFonts w:ascii="Arial" w:hAnsi="Arial" w:cs="Arial"/>
              </w:rPr>
              <w:t xml:space="preserve">IBM </w:t>
            </w:r>
            <w:r w:rsidR="00467629" w:rsidRPr="00A24C68">
              <w:rPr>
                <w:rFonts w:ascii="Arial" w:hAnsi="Arial" w:cs="Arial"/>
              </w:rPr>
              <w:t>SPSS 23.0.</w:t>
            </w:r>
          </w:p>
          <w:p w14:paraId="6470B13C" w14:textId="77777777" w:rsidR="00750D92" w:rsidRDefault="0064297B" w:rsidP="00FD7713">
            <w:pPr>
              <w:pStyle w:val="NormalWeb"/>
              <w:spacing w:before="0" w:beforeAutospacing="0" w:after="0" w:afterAutospacing="0"/>
              <w:jc w:val="both"/>
              <w:rPr>
                <w:rStyle w:val="Strong"/>
                <w:rFonts w:ascii="Arial" w:hAnsi="Arial" w:cs="Arial"/>
                <w:b w:val="0"/>
                <w:sz w:val="20"/>
              </w:rPr>
            </w:pPr>
            <w:r w:rsidRPr="00750D92">
              <w:rPr>
                <w:rStyle w:val="Emphasis"/>
                <w:rFonts w:ascii="Arial" w:hAnsi="Arial" w:cs="Arial"/>
                <w:b/>
                <w:bCs/>
                <w:i w:val="0"/>
                <w:color w:val="000000"/>
                <w:sz w:val="20"/>
                <w:szCs w:val="20"/>
                <w:shd w:val="clear" w:color="auto" w:fill="FFFFFF"/>
              </w:rPr>
              <w:t xml:space="preserve">Results: </w:t>
            </w:r>
            <w:r w:rsidR="00750D92" w:rsidRPr="005778D7">
              <w:rPr>
                <w:rStyle w:val="Strong"/>
                <w:rFonts w:ascii="Arial" w:hAnsi="Arial" w:cs="Arial"/>
                <w:b w:val="0"/>
                <w:sz w:val="20"/>
              </w:rPr>
              <w:t>Of total 110 patients, 44 (40%) had normal binocular function while 60% were diagnosed with non Strabismic binocular vision anomalies. Most common non Strabismic binocular vision anomalies reported was convergence insufficiency 20 (18.2%) followed by convergence excess 15 (13.6%), accommodative excess and insufficiency 12(11.8%) and divergence insufficiency</w:t>
            </w:r>
            <w:r w:rsidR="00750D92">
              <w:rPr>
                <w:rStyle w:val="Strong"/>
                <w:rFonts w:ascii="Arial" w:hAnsi="Arial" w:cs="Arial"/>
                <w:b w:val="0"/>
                <w:sz w:val="20"/>
              </w:rPr>
              <w:t xml:space="preserve"> 5 (4.5%).</w:t>
            </w:r>
            <w:r w:rsidR="0094698D" w:rsidRPr="005778D7">
              <w:rPr>
                <w:rFonts w:ascii="Arial" w:hAnsi="Arial" w:cs="Arial"/>
                <w:sz w:val="20"/>
                <w:szCs w:val="20"/>
              </w:rPr>
              <w:t xml:space="preserve"> Convergence insufficiency was the most common anomaly among the myopic group, identified in </w:t>
            </w:r>
            <w:r w:rsidR="0094698D" w:rsidRPr="005778D7">
              <w:rPr>
                <w:rFonts w:ascii="Arial" w:hAnsi="Arial" w:cs="Arial"/>
                <w:bCs/>
                <w:sz w:val="20"/>
                <w:szCs w:val="20"/>
              </w:rPr>
              <w:t>14 (25.4%) patients</w:t>
            </w:r>
            <w:r w:rsidR="0094698D">
              <w:rPr>
                <w:rFonts w:ascii="Arial" w:hAnsi="Arial" w:cs="Arial"/>
                <w:bCs/>
                <w:sz w:val="20"/>
                <w:szCs w:val="20"/>
              </w:rPr>
              <w:t xml:space="preserve"> and </w:t>
            </w:r>
            <w:r w:rsidR="0094698D" w:rsidRPr="005778D7">
              <w:rPr>
                <w:rFonts w:ascii="Arial" w:hAnsi="Arial" w:cs="Arial"/>
                <w:bCs/>
                <w:sz w:val="20"/>
                <w:szCs w:val="20"/>
              </w:rPr>
              <w:t>convergence excess</w:t>
            </w:r>
            <w:r w:rsidR="0094698D" w:rsidRPr="005778D7">
              <w:rPr>
                <w:rFonts w:ascii="Arial" w:hAnsi="Arial" w:cs="Arial"/>
                <w:sz w:val="20"/>
                <w:szCs w:val="20"/>
              </w:rPr>
              <w:t xml:space="preserve"> was far more prevalent in the hypermetropic group, affecting </w:t>
            </w:r>
            <w:r w:rsidR="0094698D" w:rsidRPr="005778D7">
              <w:rPr>
                <w:rFonts w:ascii="Arial" w:hAnsi="Arial" w:cs="Arial"/>
                <w:bCs/>
                <w:sz w:val="20"/>
                <w:szCs w:val="20"/>
              </w:rPr>
              <w:t>12 (21.8%) individuals</w:t>
            </w:r>
            <w:r w:rsidR="0094698D">
              <w:rPr>
                <w:rFonts w:ascii="Arial" w:hAnsi="Arial" w:cs="Arial"/>
                <w:bCs/>
                <w:sz w:val="20"/>
                <w:szCs w:val="20"/>
              </w:rPr>
              <w:t>.</w:t>
            </w:r>
          </w:p>
          <w:p w14:paraId="524C2F33" w14:textId="77777777" w:rsidR="00505F06" w:rsidRPr="00A12412" w:rsidRDefault="0064297B" w:rsidP="00FD7713">
            <w:pPr>
              <w:pStyle w:val="NormalWeb"/>
              <w:spacing w:before="0" w:beforeAutospacing="0" w:after="0" w:afterAutospacing="0"/>
              <w:jc w:val="both"/>
              <w:rPr>
                <w:rFonts w:ascii="Arial" w:hAnsi="Arial" w:cs="Arial"/>
                <w:sz w:val="20"/>
                <w:szCs w:val="20"/>
              </w:rPr>
            </w:pPr>
            <w:r w:rsidRPr="00A24C68">
              <w:rPr>
                <w:rStyle w:val="Emphasis"/>
                <w:rFonts w:ascii="Arial" w:hAnsi="Arial" w:cs="Arial"/>
                <w:b/>
                <w:bCs/>
                <w:i w:val="0"/>
                <w:color w:val="000000"/>
                <w:sz w:val="20"/>
                <w:szCs w:val="20"/>
                <w:shd w:val="clear" w:color="auto" w:fill="FFFFFF"/>
              </w:rPr>
              <w:t>Conclusion</w:t>
            </w:r>
            <w:r w:rsidRPr="00A24C68">
              <w:rPr>
                <w:rFonts w:ascii="Arial" w:hAnsi="Arial" w:cs="Arial"/>
                <w:i/>
                <w:color w:val="000000"/>
                <w:sz w:val="20"/>
                <w:szCs w:val="20"/>
                <w:shd w:val="clear" w:color="auto" w:fill="FFFFFF"/>
              </w:rPr>
              <w:t>:</w:t>
            </w:r>
            <w:r w:rsidRPr="00A24C68">
              <w:rPr>
                <w:rFonts w:ascii="Arial" w:hAnsi="Arial" w:cs="Arial"/>
                <w:color w:val="000000"/>
                <w:sz w:val="20"/>
                <w:szCs w:val="20"/>
                <w:shd w:val="clear" w:color="auto" w:fill="FFFFFF"/>
              </w:rPr>
              <w:t xml:space="preserve"> </w:t>
            </w:r>
            <w:r w:rsidR="00F12367" w:rsidRPr="00A24C68">
              <w:rPr>
                <w:rFonts w:ascii="Arial" w:hAnsi="Arial" w:cs="Arial"/>
                <w:sz w:val="20"/>
                <w:szCs w:val="20"/>
              </w:rPr>
              <w:t xml:space="preserve">The study established that non-strabismic binocular vision anomalies and refractive errors are interlinked. Hypermetropic patients are more prone to convergence excess followed by accommodative excess and insufficiency, while myopic individuals exhibit a higher prevalence of convergence insufficiency. Clinicians should consider comprehensive binocular vision testing in patients presenting with </w:t>
            </w:r>
            <w:proofErr w:type="spellStart"/>
            <w:r w:rsidR="00F12367" w:rsidRPr="00A24C68">
              <w:rPr>
                <w:rFonts w:ascii="Arial" w:hAnsi="Arial" w:cs="Arial"/>
                <w:sz w:val="20"/>
                <w:szCs w:val="20"/>
              </w:rPr>
              <w:t>asthenopic</w:t>
            </w:r>
            <w:proofErr w:type="spellEnd"/>
            <w:r w:rsidR="00F12367" w:rsidRPr="00A24C68">
              <w:rPr>
                <w:rFonts w:ascii="Arial" w:hAnsi="Arial" w:cs="Arial"/>
                <w:sz w:val="20"/>
                <w:szCs w:val="20"/>
              </w:rPr>
              <w:t xml:space="preserve"> symptoms, irrespective of their refractive status. Early identification and management of NSBVAs can significantly improve visual comfort and quality of life.</w:t>
            </w:r>
          </w:p>
        </w:tc>
      </w:tr>
    </w:tbl>
    <w:p w14:paraId="6C0EFA6F" w14:textId="77777777" w:rsidR="00A12412" w:rsidRDefault="00A12412" w:rsidP="00FD7713">
      <w:pPr>
        <w:pStyle w:val="Body"/>
        <w:spacing w:after="0"/>
        <w:rPr>
          <w:rFonts w:ascii="Arial" w:hAnsi="Arial" w:cs="Arial"/>
          <w:b/>
          <w:i/>
        </w:rPr>
      </w:pPr>
    </w:p>
    <w:p w14:paraId="15AA7760" w14:textId="77777777" w:rsidR="009C2BB7" w:rsidRDefault="00A24E7E" w:rsidP="000C3712">
      <w:pPr>
        <w:pStyle w:val="Body"/>
        <w:spacing w:after="0"/>
        <w:rPr>
          <w:rFonts w:ascii="Arial" w:hAnsi="Arial" w:cs="Arial"/>
          <w:i/>
        </w:rPr>
      </w:pPr>
      <w:r w:rsidRPr="00EC5D00">
        <w:rPr>
          <w:rFonts w:ascii="Arial" w:hAnsi="Arial" w:cs="Arial"/>
          <w:b/>
          <w:i/>
        </w:rPr>
        <w:t>Keywords:</w:t>
      </w:r>
      <w:r>
        <w:rPr>
          <w:rFonts w:ascii="Arial" w:hAnsi="Arial" w:cs="Arial"/>
          <w:i/>
        </w:rPr>
        <w:t xml:space="preserve"> </w:t>
      </w:r>
      <w:r w:rsidR="0064297B" w:rsidRPr="0064297B">
        <w:rPr>
          <w:rFonts w:ascii="Arial" w:hAnsi="Arial" w:cs="Arial"/>
          <w:i/>
        </w:rPr>
        <w:t xml:space="preserve">Accommodation, </w:t>
      </w:r>
      <w:r w:rsidR="000C3712">
        <w:rPr>
          <w:rFonts w:ascii="Arial" w:hAnsi="Arial" w:cs="Arial"/>
          <w:i/>
        </w:rPr>
        <w:t xml:space="preserve">Convergence, Divergence, </w:t>
      </w:r>
      <w:r w:rsidR="0064297B" w:rsidRPr="0064297B">
        <w:rPr>
          <w:rFonts w:ascii="Arial" w:hAnsi="Arial" w:cs="Arial"/>
          <w:i/>
        </w:rPr>
        <w:t>Binocular Vision Anomalies</w:t>
      </w:r>
      <w:r w:rsidR="0064297B">
        <w:rPr>
          <w:rFonts w:ascii="Arial" w:hAnsi="Arial" w:cs="Arial"/>
          <w:i/>
        </w:rPr>
        <w:t>,</w:t>
      </w:r>
      <w:r w:rsidR="0064297B" w:rsidRPr="0064297B">
        <w:rPr>
          <w:rFonts w:ascii="Arial" w:hAnsi="Arial" w:cs="Arial"/>
          <w:i/>
        </w:rPr>
        <w:t xml:space="preserve"> Hypermetropia, </w:t>
      </w:r>
      <w:r w:rsidR="000C3712">
        <w:rPr>
          <w:rFonts w:ascii="Arial" w:hAnsi="Arial" w:cs="Arial"/>
          <w:i/>
        </w:rPr>
        <w:t>Myopia</w:t>
      </w:r>
    </w:p>
    <w:p w14:paraId="47B26BE0" w14:textId="77777777" w:rsidR="000C3712" w:rsidRDefault="000C3712" w:rsidP="000C3712">
      <w:pPr>
        <w:pStyle w:val="Body"/>
        <w:spacing w:after="0"/>
        <w:rPr>
          <w:rFonts w:ascii="Arial" w:hAnsi="Arial" w:cs="Arial"/>
        </w:rPr>
      </w:pPr>
    </w:p>
    <w:p w14:paraId="22E14D9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86A4BD5" w14:textId="77777777" w:rsidR="00790ADA" w:rsidRPr="00FB3A86" w:rsidRDefault="00790ADA" w:rsidP="00441B6F">
      <w:pPr>
        <w:pStyle w:val="AbstHead"/>
        <w:spacing w:after="0"/>
        <w:jc w:val="both"/>
        <w:rPr>
          <w:rFonts w:ascii="Arial" w:hAnsi="Arial" w:cs="Arial"/>
        </w:rPr>
      </w:pPr>
    </w:p>
    <w:p w14:paraId="60EC0A23" w14:textId="77777777" w:rsidR="005778D7" w:rsidRPr="005778D7" w:rsidRDefault="005778D7" w:rsidP="005778D7">
      <w:pPr>
        <w:jc w:val="both"/>
        <w:rPr>
          <w:rFonts w:ascii="Arial" w:hAnsi="Arial" w:cs="Arial"/>
        </w:rPr>
      </w:pPr>
      <w:r w:rsidRPr="005778D7">
        <w:rPr>
          <w:rFonts w:ascii="Arial" w:hAnsi="Arial" w:cs="Arial"/>
        </w:rPr>
        <w:t>Binocular vision is the ability of both eyes to work together to achieve a single, clear, and comfortable image. Any disruption in this coordination can lead to binocular vision anomalies, which may be either strabismic or non-strabismic. Non-strabismic binocular vision anomalies (NSBVAs) refer to a range of conditions where the eyes are properly aligned, but problems exist in the vergence and accommodative systems. Common NSBVAs include convergence insufficiency, convergence excess, divergence insufficiency, divergence excess, and various accommodative disorders. These anomalies can significantly affect visual performance, especially in tasks requiring sustained near work, such as reading and writing.[</w:t>
      </w:r>
      <w:r>
        <w:fldChar w:fldCharType="begin"/>
      </w:r>
      <w:r>
        <w:instrText xml:space="preserve"> REF _Ref202384214 \r \h  \* MERGEFORMAT </w:instrText>
      </w:r>
      <w:r>
        <w:fldChar w:fldCharType="separate"/>
      </w:r>
      <w:r w:rsidRPr="005778D7">
        <w:t>1</w:t>
      </w:r>
      <w:r>
        <w:fldChar w:fldCharType="end"/>
      </w:r>
      <w:r w:rsidRPr="005778D7">
        <w:rPr>
          <w:rFonts w:ascii="Arial" w:hAnsi="Arial" w:cs="Arial"/>
        </w:rPr>
        <w:t>,</w:t>
      </w:r>
      <w:r>
        <w:fldChar w:fldCharType="begin"/>
      </w:r>
      <w:r>
        <w:instrText xml:space="preserve"> REF _Ref202437951 \r \h  \* MERGEFORMAT </w:instrText>
      </w:r>
      <w:r>
        <w:fldChar w:fldCharType="separate"/>
      </w:r>
      <w:r w:rsidRPr="005778D7">
        <w:t>2</w:t>
      </w:r>
      <w:r>
        <w:fldChar w:fldCharType="end"/>
      </w:r>
      <w:r w:rsidRPr="005778D7">
        <w:rPr>
          <w:rFonts w:ascii="Arial" w:hAnsi="Arial" w:cs="Arial"/>
        </w:rPr>
        <w:t>,</w:t>
      </w:r>
      <w:r>
        <w:fldChar w:fldCharType="begin"/>
      </w:r>
      <w:r>
        <w:instrText xml:space="preserve"> REF _Ref202437956 \r \h  \* MERGEFORMAT </w:instrText>
      </w:r>
      <w:r>
        <w:fldChar w:fldCharType="separate"/>
      </w:r>
      <w:r w:rsidRPr="005778D7">
        <w:t>3</w:t>
      </w:r>
      <w:r>
        <w:fldChar w:fldCharType="end"/>
      </w:r>
      <w:r w:rsidRPr="005778D7">
        <w:rPr>
          <w:rFonts w:ascii="Arial" w:hAnsi="Arial" w:cs="Arial"/>
        </w:rPr>
        <w:t>] Refractive errors like myopia (nearsightedness) and hypermetropia (farsightedness) are prevalent visual conditions known to influence binocular vision. In myopic individuals, the reduced accommodative demand may alter the balance of the accommodative-convergence system, potentially resulting in vergence dysfunctions such as convergence insufficiency.[</w:t>
      </w:r>
      <w:r w:rsidR="007718CE">
        <w:fldChar w:fldCharType="begin"/>
      </w:r>
      <w:r w:rsidR="007718CE">
        <w:instrText xml:space="preserve"> REF _Ref202384214 \r \h  \* MERGEFORMAT </w:instrText>
      </w:r>
      <w:r w:rsidR="007718CE">
        <w:fldChar w:fldCharType="separate"/>
      </w:r>
      <w:r w:rsidRPr="005778D7">
        <w:rPr>
          <w:rFonts w:ascii="Arial" w:hAnsi="Arial" w:cs="Arial"/>
        </w:rPr>
        <w:t>1</w:t>
      </w:r>
      <w:r w:rsidR="007718CE">
        <w:fldChar w:fldCharType="end"/>
      </w:r>
      <w:r w:rsidRPr="005778D7">
        <w:rPr>
          <w:rFonts w:ascii="Arial" w:hAnsi="Arial" w:cs="Arial"/>
        </w:rPr>
        <w:t xml:space="preserve">] On the other hand, hypermetropic individuals often exert greater accommodative effort to maintain clear vision, which may predispose them to </w:t>
      </w:r>
      <w:r w:rsidRPr="005778D7">
        <w:rPr>
          <w:rFonts w:ascii="Arial" w:hAnsi="Arial" w:cs="Arial"/>
        </w:rPr>
        <w:lastRenderedPageBreak/>
        <w:t xml:space="preserve">convergence excess or accommodative excess. Understanding the interaction between refractive errors and NSBVAs is essential for accurate diagnosis and effective management of visual </w:t>
      </w:r>
      <w:proofErr w:type="gramStart"/>
      <w:r w:rsidRPr="005778D7">
        <w:rPr>
          <w:rFonts w:ascii="Arial" w:hAnsi="Arial" w:cs="Arial"/>
        </w:rPr>
        <w:t>complaints.[</w:t>
      </w:r>
      <w:proofErr w:type="gramEnd"/>
      <w:r w:rsidR="007718CE">
        <w:fldChar w:fldCharType="begin"/>
      </w:r>
      <w:r w:rsidR="007718CE">
        <w:instrText xml:space="preserve"> REF _Ref202438024 \r \h  \* MERGEFORMAT </w:instrText>
      </w:r>
      <w:r w:rsidR="007718CE">
        <w:fldChar w:fldCharType="separate"/>
      </w:r>
      <w:r w:rsidRPr="005778D7">
        <w:rPr>
          <w:rFonts w:ascii="Arial" w:hAnsi="Arial" w:cs="Arial"/>
        </w:rPr>
        <w:t>4</w:t>
      </w:r>
      <w:r w:rsidR="007718CE">
        <w:fldChar w:fldCharType="end"/>
      </w:r>
      <w:r w:rsidRPr="005778D7">
        <w:rPr>
          <w:rFonts w:ascii="Arial" w:hAnsi="Arial" w:cs="Arial"/>
        </w:rPr>
        <w:t xml:space="preserve">] Several studies have examined the prevalence and nature of NSBVAs in individuals with refractive errors, yet findings remain varied. Some research suggests that convergence insufficiency is more commonly associated with myopia, while others report a higher incidence of accommodative dysfunctions among </w:t>
      </w:r>
      <w:proofErr w:type="spellStart"/>
      <w:r w:rsidRPr="005778D7">
        <w:rPr>
          <w:rFonts w:ascii="Arial" w:hAnsi="Arial" w:cs="Arial"/>
        </w:rPr>
        <w:t>hypermetropes</w:t>
      </w:r>
      <w:proofErr w:type="spellEnd"/>
      <w:r w:rsidRPr="005778D7">
        <w:rPr>
          <w:rFonts w:ascii="Arial" w:hAnsi="Arial" w:cs="Arial"/>
        </w:rPr>
        <w:t>. Despite these findings, there is still a need for further research to clarify these associations and improve clinical outcomes through targeted interventions. This</w:t>
      </w:r>
      <w:r w:rsidR="008D4EEB">
        <w:rPr>
          <w:rFonts w:ascii="Arial" w:hAnsi="Arial" w:cs="Arial"/>
        </w:rPr>
        <w:t xml:space="preserve"> study aims to investigate the </w:t>
      </w:r>
      <w:r w:rsidRPr="005778D7">
        <w:rPr>
          <w:rFonts w:ascii="Arial" w:hAnsi="Arial" w:cs="Arial"/>
        </w:rPr>
        <w:t xml:space="preserve">non-strabismic binocular vision anomalies </w:t>
      </w:r>
      <w:r w:rsidR="008D4EEB">
        <w:rPr>
          <w:rFonts w:ascii="Arial" w:hAnsi="Arial" w:cs="Arial"/>
        </w:rPr>
        <w:t xml:space="preserve">among myopic and hypermetropic </w:t>
      </w:r>
      <w:r w:rsidRPr="005778D7">
        <w:rPr>
          <w:rFonts w:ascii="Arial" w:hAnsi="Arial" w:cs="Arial"/>
        </w:rPr>
        <w:t>patients. The findings will provide i</w:t>
      </w:r>
      <w:r w:rsidR="008D4EEB">
        <w:rPr>
          <w:rFonts w:ascii="Arial" w:hAnsi="Arial" w:cs="Arial"/>
        </w:rPr>
        <w:t>nsights into the patterns of NS</w:t>
      </w:r>
      <w:r w:rsidRPr="005778D7">
        <w:rPr>
          <w:rFonts w:ascii="Arial" w:hAnsi="Arial" w:cs="Arial"/>
        </w:rPr>
        <w:t>BVAs in these refractive groups, contributing to better clinical assessment and patient care strategies.</w:t>
      </w:r>
    </w:p>
    <w:p w14:paraId="5A4DBFCC" w14:textId="77777777" w:rsidR="0081733C" w:rsidRDefault="0081733C" w:rsidP="0081733C">
      <w:pPr>
        <w:pStyle w:val="AbstHead"/>
        <w:spacing w:after="0"/>
        <w:jc w:val="both"/>
        <w:rPr>
          <w:rFonts w:ascii="Arial" w:hAnsi="Arial" w:cs="Arial"/>
          <w:b w:val="0"/>
          <w:caps w:val="0"/>
          <w:sz w:val="20"/>
        </w:rPr>
      </w:pPr>
    </w:p>
    <w:p w14:paraId="73C3E234" w14:textId="77777777" w:rsidR="007F7B32" w:rsidRDefault="00902823" w:rsidP="0081733C">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CC9D0B7" w14:textId="77777777" w:rsidR="005778D7" w:rsidRPr="005778D7" w:rsidRDefault="005778D7" w:rsidP="00913307">
      <w:pPr>
        <w:pStyle w:val="Body"/>
        <w:rPr>
          <w:rFonts w:ascii="Arial" w:hAnsi="Arial" w:cs="Arial"/>
        </w:rPr>
      </w:pPr>
      <w:r w:rsidRPr="005778D7">
        <w:rPr>
          <w:rStyle w:val="Strong"/>
          <w:rFonts w:ascii="Arial" w:hAnsi="Arial" w:cs="Arial"/>
          <w:b w:val="0"/>
        </w:rPr>
        <w:t>The</w:t>
      </w:r>
      <w:r w:rsidRPr="005778D7">
        <w:rPr>
          <w:rFonts w:ascii="Arial" w:hAnsi="Arial" w:cs="Arial"/>
        </w:rPr>
        <w:t xml:space="preserve"> cross-sectional, clinical study was conducted to assess the association between non-strabismic binocular vision anomalies among myopic and hypermetropic patients. The study protocol was approved by the Institutional Ethical Committee. The study included total 110 patients aged 10 to 35 years who attended the outpatient department of a tertiary eye care center. Participants were divided into two groups: 55 myopic patients and 55 hypermetropic patients based on their refractive status determined through subjective and objective refraction. </w:t>
      </w:r>
      <w:r w:rsidR="003D63C8" w:rsidRPr="005778D7">
        <w:rPr>
          <w:rFonts w:ascii="Arial" w:hAnsi="Arial" w:cs="Arial"/>
        </w:rPr>
        <w:t xml:space="preserve">Written informed consent was obtained from all participants. The confidentiality of participants was maintained throughout the study. </w:t>
      </w:r>
      <w:r w:rsidRPr="005778D7">
        <w:rPr>
          <w:rFonts w:ascii="Arial" w:hAnsi="Arial" w:cs="Arial"/>
        </w:rPr>
        <w:t xml:space="preserve">The patients with presence of manifest strabismus or Amblyopia, history of ocular surgery, trauma, or systemic neurological disease </w:t>
      </w:r>
      <w:proofErr w:type="gramStart"/>
      <w:r w:rsidRPr="005778D7">
        <w:rPr>
          <w:rFonts w:ascii="Arial" w:hAnsi="Arial" w:cs="Arial"/>
        </w:rPr>
        <w:t>&amp;  any</w:t>
      </w:r>
      <w:proofErr w:type="gramEnd"/>
      <w:r w:rsidRPr="005778D7">
        <w:rPr>
          <w:rFonts w:ascii="Arial" w:hAnsi="Arial" w:cs="Arial"/>
        </w:rPr>
        <w:t xml:space="preserve"> media opacity affecting vision or ocular motility disorders has been excluded from the study. Diagnostic criteria for accommodative and vergence anomalies was </w:t>
      </w:r>
      <w:r w:rsidR="00C67D87">
        <w:rPr>
          <w:rFonts w:ascii="Arial" w:hAnsi="Arial" w:cs="Arial"/>
        </w:rPr>
        <w:t xml:space="preserve">in </w:t>
      </w:r>
      <w:r w:rsidRPr="005778D7">
        <w:rPr>
          <w:rFonts w:ascii="Arial" w:hAnsi="Arial" w:cs="Arial"/>
        </w:rPr>
        <w:t>accord</w:t>
      </w:r>
      <w:r w:rsidR="00C67D87">
        <w:rPr>
          <w:rFonts w:ascii="Arial" w:hAnsi="Arial" w:cs="Arial"/>
        </w:rPr>
        <w:t xml:space="preserve">ance </w:t>
      </w:r>
      <w:r>
        <w:rPr>
          <w:rFonts w:ascii="Arial" w:hAnsi="Arial" w:cs="Arial"/>
        </w:rPr>
        <w:t xml:space="preserve">to the Scheiman and </w:t>
      </w:r>
      <w:proofErr w:type="gramStart"/>
      <w:r>
        <w:rPr>
          <w:rFonts w:ascii="Arial" w:hAnsi="Arial" w:cs="Arial"/>
        </w:rPr>
        <w:t>Wick.[</w:t>
      </w:r>
      <w:proofErr w:type="gramEnd"/>
      <w:r w:rsidR="007718CE">
        <w:rPr>
          <w:rFonts w:ascii="Arial" w:hAnsi="Arial" w:cs="Arial"/>
        </w:rPr>
        <w:fldChar w:fldCharType="begin"/>
      </w:r>
      <w:r w:rsidR="00C67D87">
        <w:rPr>
          <w:rFonts w:ascii="Arial" w:hAnsi="Arial" w:cs="Arial"/>
        </w:rPr>
        <w:instrText xml:space="preserve"> REF _Ref202384214 \r \h </w:instrText>
      </w:r>
      <w:r w:rsidR="007718CE">
        <w:rPr>
          <w:rFonts w:ascii="Arial" w:hAnsi="Arial" w:cs="Arial"/>
        </w:rPr>
      </w:r>
      <w:r w:rsidR="007718CE">
        <w:rPr>
          <w:rFonts w:ascii="Arial" w:hAnsi="Arial" w:cs="Arial"/>
        </w:rPr>
        <w:fldChar w:fldCharType="separate"/>
      </w:r>
      <w:r w:rsidR="00C67D87">
        <w:rPr>
          <w:rFonts w:ascii="Arial" w:hAnsi="Arial" w:cs="Arial"/>
        </w:rPr>
        <w:t>1</w:t>
      </w:r>
      <w:r w:rsidR="007718CE">
        <w:rPr>
          <w:rFonts w:ascii="Arial" w:hAnsi="Arial" w:cs="Arial"/>
        </w:rPr>
        <w:fldChar w:fldCharType="end"/>
      </w:r>
      <w:r w:rsidR="000A080D">
        <w:rPr>
          <w:rFonts w:ascii="Arial" w:hAnsi="Arial" w:cs="Arial"/>
        </w:rPr>
        <w:t>]</w:t>
      </w:r>
      <w:r w:rsidRPr="005778D7">
        <w:rPr>
          <w:rFonts w:ascii="Arial" w:hAnsi="Arial" w:cs="Arial"/>
        </w:rPr>
        <w:t xml:space="preserve"> Details of participants and their identities were kept confidential.</w:t>
      </w:r>
      <w:r w:rsidR="00913307">
        <w:rPr>
          <w:rFonts w:ascii="Arial" w:hAnsi="Arial" w:cs="Arial"/>
        </w:rPr>
        <w:t xml:space="preserve"> </w:t>
      </w:r>
      <w:r w:rsidRPr="005778D7">
        <w:rPr>
          <w:rFonts w:ascii="Arial" w:hAnsi="Arial" w:cs="Arial"/>
        </w:rPr>
        <w:t>Participants underwent a comprehensive eye examination which included:</w:t>
      </w:r>
    </w:p>
    <w:p w14:paraId="2558BEA5" w14:textId="77777777" w:rsidR="005778D7" w:rsidRPr="005778D7" w:rsidRDefault="005778D7" w:rsidP="005778D7">
      <w:pPr>
        <w:pStyle w:val="NormalWeb"/>
        <w:numPr>
          <w:ilvl w:val="0"/>
          <w:numId w:val="31"/>
        </w:numPr>
        <w:jc w:val="both"/>
        <w:rPr>
          <w:rFonts w:ascii="Arial" w:hAnsi="Arial" w:cs="Arial"/>
          <w:sz w:val="20"/>
          <w:szCs w:val="20"/>
        </w:rPr>
      </w:pPr>
      <w:r w:rsidRPr="005778D7">
        <w:rPr>
          <w:rStyle w:val="Strong"/>
          <w:rFonts w:ascii="Arial" w:hAnsi="Arial" w:cs="Arial"/>
          <w:sz w:val="20"/>
          <w:szCs w:val="20"/>
        </w:rPr>
        <w:t>Refractive Assessment:</w:t>
      </w:r>
    </w:p>
    <w:p w14:paraId="58968254" w14:textId="77777777"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 xml:space="preserve">Objective refraction using cycloplegic retinoscopy </w:t>
      </w:r>
    </w:p>
    <w:p w14:paraId="2112A7CF" w14:textId="77777777"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Subjective refraction to determine the final prescription</w:t>
      </w:r>
    </w:p>
    <w:p w14:paraId="63BC7B20" w14:textId="77777777" w:rsidR="005778D7" w:rsidRPr="005778D7" w:rsidRDefault="005778D7" w:rsidP="005778D7">
      <w:pPr>
        <w:pStyle w:val="NormalWeb"/>
        <w:numPr>
          <w:ilvl w:val="0"/>
          <w:numId w:val="31"/>
        </w:numPr>
        <w:jc w:val="both"/>
        <w:rPr>
          <w:rFonts w:ascii="Arial" w:hAnsi="Arial" w:cs="Arial"/>
          <w:sz w:val="20"/>
          <w:szCs w:val="20"/>
        </w:rPr>
      </w:pPr>
      <w:r w:rsidRPr="005778D7">
        <w:rPr>
          <w:rStyle w:val="Strong"/>
          <w:rFonts w:ascii="Arial" w:hAnsi="Arial" w:cs="Arial"/>
          <w:sz w:val="20"/>
          <w:szCs w:val="20"/>
        </w:rPr>
        <w:t>Binocular Vision Evaluation:</w:t>
      </w:r>
    </w:p>
    <w:p w14:paraId="50CC6D0A" w14:textId="77777777"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Cover test at distance and near to rule out Phoria/tropia</w:t>
      </w:r>
    </w:p>
    <w:p w14:paraId="4D80007C" w14:textId="77777777"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Near point of convergence (NPC).</w:t>
      </w:r>
    </w:p>
    <w:p w14:paraId="429F6572" w14:textId="77777777"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Positive and negative fusional vergence (PFV/NFV) at distance and near</w:t>
      </w:r>
    </w:p>
    <w:p w14:paraId="78039C6E" w14:textId="77777777"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Amplitude of accommodation (AA).</w:t>
      </w:r>
    </w:p>
    <w:p w14:paraId="3D9515E2" w14:textId="77777777"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Monocular Accommodative facility using ±2.00D flipper lenses.</w:t>
      </w:r>
    </w:p>
    <w:p w14:paraId="1B754490" w14:textId="77777777" w:rsidR="005778D7" w:rsidRPr="005778D7" w:rsidRDefault="005778D7" w:rsidP="005778D7">
      <w:pPr>
        <w:pStyle w:val="NormalWeb"/>
        <w:jc w:val="both"/>
        <w:rPr>
          <w:rFonts w:ascii="Arial" w:hAnsi="Arial" w:cs="Arial"/>
          <w:sz w:val="20"/>
          <w:szCs w:val="20"/>
        </w:rPr>
      </w:pPr>
      <w:r w:rsidRPr="005778D7">
        <w:rPr>
          <w:rStyle w:val="Strong"/>
          <w:rFonts w:ascii="Arial" w:hAnsi="Arial" w:cs="Arial"/>
          <w:sz w:val="20"/>
          <w:szCs w:val="20"/>
        </w:rPr>
        <w:t>Data Analysis:</w:t>
      </w:r>
      <w:r w:rsidRPr="005778D7">
        <w:rPr>
          <w:rFonts w:ascii="Arial" w:hAnsi="Arial" w:cs="Arial"/>
          <w:sz w:val="20"/>
          <w:szCs w:val="20"/>
        </w:rPr>
        <w:t xml:space="preserve"> Data were entered in Microsoft Excel and analyzed using IBM SPSS 23.0</w:t>
      </w:r>
      <w:r>
        <w:rPr>
          <w:rFonts w:ascii="Arial" w:hAnsi="Arial" w:cs="Arial"/>
          <w:sz w:val="20"/>
          <w:szCs w:val="20"/>
        </w:rPr>
        <w:t xml:space="preserve"> </w:t>
      </w:r>
      <w:r w:rsidRPr="005778D7">
        <w:rPr>
          <w:rFonts w:ascii="Arial" w:hAnsi="Arial" w:cs="Arial"/>
          <w:sz w:val="20"/>
          <w:szCs w:val="20"/>
        </w:rPr>
        <w:t>(IBM, Armonk, New York, USA).</w:t>
      </w:r>
      <w:r>
        <w:rPr>
          <w:rFonts w:ascii="Arial" w:hAnsi="Arial" w:cs="Arial"/>
          <w:sz w:val="20"/>
          <w:szCs w:val="20"/>
        </w:rPr>
        <w:t xml:space="preserve"> </w:t>
      </w:r>
      <w:r w:rsidRPr="005778D7">
        <w:rPr>
          <w:rFonts w:ascii="Arial" w:hAnsi="Arial" w:cs="Arial"/>
          <w:sz w:val="20"/>
          <w:szCs w:val="20"/>
        </w:rPr>
        <w:t>Descriptive statistics were used to summarize demogr</w:t>
      </w:r>
      <w:r w:rsidR="00913307">
        <w:rPr>
          <w:rFonts w:ascii="Arial" w:hAnsi="Arial" w:cs="Arial"/>
          <w:sz w:val="20"/>
          <w:szCs w:val="20"/>
        </w:rPr>
        <w:t>aphic data and prevalence of NS</w:t>
      </w:r>
      <w:r w:rsidRPr="005778D7">
        <w:rPr>
          <w:rFonts w:ascii="Arial" w:hAnsi="Arial" w:cs="Arial"/>
          <w:sz w:val="20"/>
          <w:szCs w:val="20"/>
        </w:rPr>
        <w:t xml:space="preserve">BVAs. </w:t>
      </w:r>
      <w:r>
        <w:rPr>
          <w:rFonts w:ascii="Arial" w:hAnsi="Arial" w:cs="Arial"/>
          <w:sz w:val="20"/>
          <w:szCs w:val="20"/>
        </w:rPr>
        <w:t>Independent T</w:t>
      </w:r>
      <w:r w:rsidRPr="005778D7">
        <w:rPr>
          <w:rFonts w:ascii="Arial" w:hAnsi="Arial" w:cs="Arial"/>
          <w:sz w:val="20"/>
          <w:szCs w:val="20"/>
        </w:rPr>
        <w:t xml:space="preserve"> test was applied to </w:t>
      </w:r>
      <w:r>
        <w:rPr>
          <w:rFonts w:ascii="Arial" w:hAnsi="Arial" w:cs="Arial"/>
          <w:sz w:val="20"/>
          <w:szCs w:val="20"/>
        </w:rPr>
        <w:t>compare the</w:t>
      </w:r>
      <w:r w:rsidRPr="005778D7">
        <w:rPr>
          <w:rFonts w:ascii="Arial" w:hAnsi="Arial" w:cs="Arial"/>
          <w:sz w:val="20"/>
          <w:szCs w:val="20"/>
        </w:rPr>
        <w:t xml:space="preserve"> </w:t>
      </w:r>
      <w:r>
        <w:rPr>
          <w:rFonts w:ascii="Arial" w:hAnsi="Arial" w:cs="Arial"/>
          <w:sz w:val="20"/>
          <w:szCs w:val="20"/>
        </w:rPr>
        <w:t xml:space="preserve">various </w:t>
      </w:r>
      <w:r w:rsidRPr="005778D7">
        <w:rPr>
          <w:rFonts w:ascii="Arial" w:hAnsi="Arial" w:cs="Arial"/>
          <w:sz w:val="20"/>
          <w:szCs w:val="20"/>
        </w:rPr>
        <w:t>binocular vision anomalies</w:t>
      </w:r>
      <w:r>
        <w:rPr>
          <w:rFonts w:ascii="Arial" w:hAnsi="Arial" w:cs="Arial"/>
          <w:sz w:val="20"/>
          <w:szCs w:val="20"/>
        </w:rPr>
        <w:t xml:space="preserve"> among myopia and hypermetropia</w:t>
      </w:r>
      <w:r w:rsidR="00913307">
        <w:rPr>
          <w:rFonts w:ascii="Arial" w:hAnsi="Arial" w:cs="Arial"/>
          <w:sz w:val="20"/>
          <w:szCs w:val="20"/>
        </w:rPr>
        <w:t xml:space="preserve"> group</w:t>
      </w:r>
      <w:r w:rsidRPr="005778D7">
        <w:rPr>
          <w:rFonts w:ascii="Arial" w:hAnsi="Arial" w:cs="Arial"/>
          <w:sz w:val="20"/>
          <w:szCs w:val="20"/>
        </w:rPr>
        <w:t>. A p-value of &lt;0.05 was considered statistically significant.</w:t>
      </w:r>
    </w:p>
    <w:p w14:paraId="7CD40A6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D9FCCD5" w14:textId="77777777" w:rsidR="00790ADA" w:rsidRPr="00FB3A86" w:rsidRDefault="00790ADA" w:rsidP="00441B6F">
      <w:pPr>
        <w:pStyle w:val="Head1"/>
        <w:spacing w:after="0"/>
        <w:jc w:val="both"/>
        <w:rPr>
          <w:rFonts w:ascii="Arial" w:hAnsi="Arial" w:cs="Arial"/>
        </w:rPr>
      </w:pPr>
    </w:p>
    <w:p w14:paraId="2682093B" w14:textId="77777777" w:rsidR="005778D7" w:rsidRPr="005778D7" w:rsidRDefault="005778D7" w:rsidP="005778D7">
      <w:pPr>
        <w:jc w:val="both"/>
        <w:rPr>
          <w:rFonts w:ascii="Arial" w:hAnsi="Arial" w:cs="Arial"/>
        </w:rPr>
      </w:pPr>
      <w:r w:rsidRPr="005778D7">
        <w:rPr>
          <w:rFonts w:ascii="Arial" w:hAnsi="Arial" w:cs="Arial"/>
        </w:rPr>
        <w:t xml:space="preserve">A total of 110 patients were enrolled, with 55 (50%) being myopic and 55 (50%) hypermetropic. The mean age of participants was 22.4 ± 5.6 years. Of total 110 participants, 58 (52.7%) were females and 52 (47.3%) were males as shown in </w:t>
      </w:r>
      <w:r>
        <w:fldChar w:fldCharType="begin"/>
      </w:r>
      <w:r>
        <w:instrText xml:space="preserve"> REF _Ref202355405 \h  \* MERGEFORMAT </w:instrText>
      </w:r>
      <w:r>
        <w:fldChar w:fldCharType="separate"/>
      </w:r>
      <w:r w:rsidRPr="005778D7">
        <w:rPr>
          <w:rFonts w:ascii="Arial" w:hAnsi="Arial" w:cs="Arial"/>
          <w:color w:val="000000" w:themeColor="text1"/>
        </w:rPr>
        <w:t>Figure 1</w:t>
      </w:r>
      <w:r>
        <w:fldChar w:fldCharType="end"/>
      </w:r>
      <w:r w:rsidRPr="005778D7">
        <w:rPr>
          <w:rFonts w:ascii="Arial" w:hAnsi="Arial" w:cs="Arial"/>
        </w:rPr>
        <w:t>.</w:t>
      </w:r>
    </w:p>
    <w:p w14:paraId="65A8EE07" w14:textId="77777777" w:rsidR="005778D7" w:rsidRDefault="005778D7" w:rsidP="0053415A">
      <w:pPr>
        <w:pStyle w:val="Heading1"/>
        <w:jc w:val="center"/>
      </w:pPr>
      <w:r>
        <w:rPr>
          <w:noProof/>
        </w:rPr>
        <w:lastRenderedPageBreak/>
        <w:drawing>
          <wp:inline distT="0" distB="0" distL="0" distR="0" wp14:anchorId="0B5D7000" wp14:editId="1A9E6A5F">
            <wp:extent cx="4639214" cy="2493034"/>
            <wp:effectExtent l="19050" t="0" r="28036" b="251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C07B54" w14:textId="77777777" w:rsidR="00874AC8" w:rsidRDefault="00874AC8" w:rsidP="005778D7">
      <w:pPr>
        <w:pStyle w:val="Caption"/>
        <w:jc w:val="center"/>
        <w:rPr>
          <w:rFonts w:ascii="Arial" w:hAnsi="Arial" w:cs="Arial"/>
          <w:b/>
          <w:i w:val="0"/>
          <w:color w:val="000000" w:themeColor="text1"/>
          <w:sz w:val="20"/>
        </w:rPr>
      </w:pPr>
      <w:bookmarkStart w:id="1" w:name="_Ref202355405"/>
    </w:p>
    <w:p w14:paraId="1F4817DD" w14:textId="77777777" w:rsidR="005778D7" w:rsidRPr="00874AC8" w:rsidRDefault="005778D7" w:rsidP="005778D7">
      <w:pPr>
        <w:pStyle w:val="Caption"/>
        <w:jc w:val="center"/>
        <w:rPr>
          <w:rFonts w:ascii="Arial" w:hAnsi="Arial" w:cs="Arial"/>
          <w:b/>
          <w:i w:val="0"/>
          <w:color w:val="000000" w:themeColor="text1"/>
          <w:sz w:val="20"/>
        </w:rPr>
      </w:pPr>
      <w:r w:rsidRPr="00874AC8">
        <w:rPr>
          <w:rFonts w:ascii="Arial" w:hAnsi="Arial" w:cs="Arial"/>
          <w:b/>
          <w:i w:val="0"/>
          <w:color w:val="000000" w:themeColor="text1"/>
          <w:sz w:val="20"/>
        </w:rPr>
        <w:t xml:space="preserve">Figure </w:t>
      </w:r>
      <w:r w:rsidR="007718CE" w:rsidRPr="00874AC8">
        <w:rPr>
          <w:rFonts w:ascii="Arial" w:hAnsi="Arial" w:cs="Arial"/>
          <w:b/>
          <w:i w:val="0"/>
          <w:color w:val="000000" w:themeColor="text1"/>
          <w:sz w:val="20"/>
        </w:rPr>
        <w:fldChar w:fldCharType="begin"/>
      </w:r>
      <w:r w:rsidRPr="00874AC8">
        <w:rPr>
          <w:rFonts w:ascii="Arial" w:hAnsi="Arial" w:cs="Arial"/>
          <w:b/>
          <w:i w:val="0"/>
          <w:color w:val="000000" w:themeColor="text1"/>
          <w:sz w:val="20"/>
        </w:rPr>
        <w:instrText xml:space="preserve"> SEQ Figure \* ARABIC </w:instrText>
      </w:r>
      <w:r w:rsidR="007718CE" w:rsidRPr="00874AC8">
        <w:rPr>
          <w:rFonts w:ascii="Arial" w:hAnsi="Arial" w:cs="Arial"/>
          <w:b/>
          <w:i w:val="0"/>
          <w:color w:val="000000" w:themeColor="text1"/>
          <w:sz w:val="20"/>
        </w:rPr>
        <w:fldChar w:fldCharType="separate"/>
      </w:r>
      <w:r w:rsidRPr="00874AC8">
        <w:rPr>
          <w:rFonts w:ascii="Arial" w:hAnsi="Arial" w:cs="Arial"/>
          <w:b/>
          <w:i w:val="0"/>
          <w:noProof/>
          <w:color w:val="000000" w:themeColor="text1"/>
          <w:sz w:val="20"/>
        </w:rPr>
        <w:t>1</w:t>
      </w:r>
      <w:r w:rsidR="007718CE" w:rsidRPr="00874AC8">
        <w:rPr>
          <w:rFonts w:ascii="Arial" w:hAnsi="Arial" w:cs="Arial"/>
          <w:b/>
          <w:i w:val="0"/>
          <w:color w:val="000000" w:themeColor="text1"/>
          <w:sz w:val="20"/>
        </w:rPr>
        <w:fldChar w:fldCharType="end"/>
      </w:r>
      <w:bookmarkEnd w:id="1"/>
      <w:r w:rsidRPr="00874AC8">
        <w:rPr>
          <w:rFonts w:ascii="Arial" w:hAnsi="Arial" w:cs="Arial"/>
          <w:b/>
          <w:i w:val="0"/>
          <w:color w:val="000000" w:themeColor="text1"/>
          <w:sz w:val="20"/>
        </w:rPr>
        <w:t xml:space="preserve"> Gender distribution of participants</w:t>
      </w:r>
    </w:p>
    <w:p w14:paraId="2BC844AA" w14:textId="77777777" w:rsidR="005778D7" w:rsidRPr="005778D7" w:rsidRDefault="005778D7" w:rsidP="005778D7">
      <w:pPr>
        <w:pStyle w:val="NormalWeb"/>
        <w:jc w:val="both"/>
        <w:rPr>
          <w:rStyle w:val="Strong"/>
          <w:rFonts w:ascii="Arial" w:hAnsi="Arial" w:cs="Arial"/>
          <w:b w:val="0"/>
          <w:sz w:val="20"/>
        </w:rPr>
      </w:pPr>
      <w:r w:rsidRPr="005778D7">
        <w:rPr>
          <w:rStyle w:val="Strong"/>
          <w:rFonts w:ascii="Arial" w:hAnsi="Arial" w:cs="Arial"/>
          <w:b w:val="0"/>
          <w:sz w:val="20"/>
        </w:rPr>
        <w:t xml:space="preserve">Mean Spherical equivalent of hypermetropia was </w:t>
      </w:r>
      <w:r w:rsidR="00F824C3">
        <w:rPr>
          <w:rStyle w:val="Strong"/>
          <w:rFonts w:ascii="Arial" w:hAnsi="Arial" w:cs="Arial"/>
          <w:b w:val="0"/>
          <w:sz w:val="20"/>
        </w:rPr>
        <w:t>+2.54</w:t>
      </w:r>
      <w:r w:rsidR="00B117CC">
        <w:rPr>
          <w:rStyle w:val="Strong"/>
          <w:rFonts w:ascii="Arial" w:hAnsi="Arial" w:cs="Arial"/>
          <w:b w:val="0"/>
          <w:sz w:val="20"/>
        </w:rPr>
        <w:t xml:space="preserve">±1.021 </w:t>
      </w:r>
      <w:r w:rsidRPr="005778D7">
        <w:rPr>
          <w:rStyle w:val="Strong"/>
          <w:rFonts w:ascii="Arial" w:hAnsi="Arial" w:cs="Arial"/>
          <w:b w:val="0"/>
          <w:sz w:val="20"/>
        </w:rPr>
        <w:t xml:space="preserve">D and myopia was </w:t>
      </w:r>
      <w:r w:rsidR="00B117CC">
        <w:rPr>
          <w:rStyle w:val="Strong"/>
          <w:rFonts w:ascii="Arial" w:hAnsi="Arial" w:cs="Arial"/>
          <w:b w:val="0"/>
          <w:sz w:val="20"/>
        </w:rPr>
        <w:t xml:space="preserve">-1.65±2.21 </w:t>
      </w:r>
      <w:r w:rsidRPr="005778D7">
        <w:rPr>
          <w:rStyle w:val="Strong"/>
          <w:rFonts w:ascii="Arial" w:hAnsi="Arial" w:cs="Arial"/>
          <w:b w:val="0"/>
          <w:sz w:val="20"/>
        </w:rPr>
        <w:t xml:space="preserve">D. Of total 110 patients, 44 (40%) had normal binocular function while 60% were diagnosed with non Strabismic binocular vision anomalies. Most common non Strabismic binocular vision anomalies reported was convergence insufficiency 20 (18.2%) followed by convergence excess 15 (13.6%), accommodative excess and insufficiency 12(11.8%) and divergence insufficiency 5 (4.5%) as depicted in </w:t>
      </w:r>
      <w:r>
        <w:fldChar w:fldCharType="begin"/>
      </w:r>
      <w:r>
        <w:instrText xml:space="preserve"> REF _Ref202357385 \h  \* MERGEFORMAT </w:instrText>
      </w:r>
      <w:r>
        <w:fldChar w:fldCharType="separate"/>
      </w:r>
      <w:r w:rsidRPr="00F3067E">
        <w:rPr>
          <w:rFonts w:ascii="Arial" w:hAnsi="Arial" w:cs="Arial"/>
          <w:color w:val="000000" w:themeColor="text1"/>
          <w:sz w:val="20"/>
        </w:rPr>
        <w:t>Table 1</w:t>
      </w:r>
      <w:r>
        <w:fldChar w:fldCharType="end"/>
      </w:r>
      <w:r w:rsidRPr="005778D7">
        <w:rPr>
          <w:rStyle w:val="Strong"/>
          <w:rFonts w:ascii="Arial" w:hAnsi="Arial" w:cs="Arial"/>
          <w:b w:val="0"/>
          <w:sz w:val="20"/>
        </w:rPr>
        <w:t>.</w:t>
      </w:r>
    </w:p>
    <w:p w14:paraId="3CFEFD42" w14:textId="77777777" w:rsidR="005778D7" w:rsidRPr="007E312F" w:rsidRDefault="005778D7" w:rsidP="005778D7">
      <w:pPr>
        <w:pStyle w:val="Caption"/>
        <w:keepNext/>
        <w:rPr>
          <w:rFonts w:ascii="Arial" w:hAnsi="Arial" w:cs="Arial"/>
          <w:b/>
          <w:i w:val="0"/>
          <w:color w:val="000000" w:themeColor="text1"/>
          <w:sz w:val="20"/>
        </w:rPr>
      </w:pPr>
      <w:bookmarkStart w:id="2" w:name="_Ref202357385"/>
      <w:r w:rsidRPr="007E312F">
        <w:rPr>
          <w:rFonts w:ascii="Arial" w:hAnsi="Arial" w:cs="Arial"/>
          <w:b/>
          <w:i w:val="0"/>
          <w:color w:val="000000" w:themeColor="text1"/>
          <w:sz w:val="20"/>
        </w:rPr>
        <w:t xml:space="preserve">Table </w:t>
      </w:r>
      <w:r w:rsidR="007718CE" w:rsidRPr="007E312F">
        <w:rPr>
          <w:rFonts w:ascii="Arial" w:hAnsi="Arial" w:cs="Arial"/>
          <w:b/>
          <w:i w:val="0"/>
          <w:color w:val="000000" w:themeColor="text1"/>
          <w:sz w:val="20"/>
        </w:rPr>
        <w:fldChar w:fldCharType="begin"/>
      </w:r>
      <w:r w:rsidRPr="007E312F">
        <w:rPr>
          <w:rFonts w:ascii="Arial" w:hAnsi="Arial" w:cs="Arial"/>
          <w:b/>
          <w:i w:val="0"/>
          <w:color w:val="000000" w:themeColor="text1"/>
          <w:sz w:val="20"/>
        </w:rPr>
        <w:instrText xml:space="preserve"> SEQ Table \* ARABIC </w:instrText>
      </w:r>
      <w:r w:rsidR="007718CE" w:rsidRPr="007E312F">
        <w:rPr>
          <w:rFonts w:ascii="Arial" w:hAnsi="Arial" w:cs="Arial"/>
          <w:b/>
          <w:i w:val="0"/>
          <w:color w:val="000000" w:themeColor="text1"/>
          <w:sz w:val="20"/>
        </w:rPr>
        <w:fldChar w:fldCharType="separate"/>
      </w:r>
      <w:r w:rsidRPr="007E312F">
        <w:rPr>
          <w:rFonts w:ascii="Arial" w:hAnsi="Arial" w:cs="Arial"/>
          <w:b/>
          <w:i w:val="0"/>
          <w:noProof/>
          <w:color w:val="000000" w:themeColor="text1"/>
          <w:sz w:val="20"/>
        </w:rPr>
        <w:t>1</w:t>
      </w:r>
      <w:r w:rsidR="007718CE" w:rsidRPr="007E312F">
        <w:rPr>
          <w:rFonts w:ascii="Arial" w:hAnsi="Arial" w:cs="Arial"/>
          <w:b/>
          <w:i w:val="0"/>
          <w:color w:val="000000" w:themeColor="text1"/>
          <w:sz w:val="20"/>
        </w:rPr>
        <w:fldChar w:fldCharType="end"/>
      </w:r>
      <w:bookmarkEnd w:id="2"/>
      <w:r w:rsidRPr="007E312F">
        <w:rPr>
          <w:rFonts w:ascii="Arial" w:hAnsi="Arial" w:cs="Arial"/>
          <w:b/>
          <w:i w:val="0"/>
          <w:color w:val="000000" w:themeColor="text1"/>
          <w:sz w:val="20"/>
        </w:rPr>
        <w:t xml:space="preserve"> Prevalence of Non-Strabismic Binocular Vision Anomalies (NSBVAs)</w:t>
      </w:r>
      <w:r w:rsidRPr="007E312F">
        <w:rPr>
          <w:rFonts w:ascii="Arial" w:hAnsi="Arial" w:cs="Arial"/>
          <w:b/>
          <w:i w:val="0"/>
          <w:noProof/>
          <w:color w:val="000000" w:themeColor="text1"/>
          <w:sz w:val="20"/>
        </w:rPr>
        <w:t xml:space="preserve"> among patient with different refractive error</w:t>
      </w:r>
    </w:p>
    <w:tbl>
      <w:tblPr>
        <w:tblStyle w:val="TableGrid"/>
        <w:tblW w:w="9433" w:type="dxa"/>
        <w:jc w:val="center"/>
        <w:tblBorders>
          <w:left w:val="none" w:sz="0" w:space="0" w:color="auto"/>
          <w:right w:val="none" w:sz="0" w:space="0" w:color="auto"/>
        </w:tblBorders>
        <w:tblLook w:val="04A0" w:firstRow="1" w:lastRow="0" w:firstColumn="1" w:lastColumn="0" w:noHBand="0" w:noVBand="1"/>
      </w:tblPr>
      <w:tblGrid>
        <w:gridCol w:w="935"/>
        <w:gridCol w:w="3646"/>
        <w:gridCol w:w="2426"/>
        <w:gridCol w:w="2426"/>
      </w:tblGrid>
      <w:tr w:rsidR="005778D7" w:rsidRPr="007A31C9" w14:paraId="1AE848A3" w14:textId="77777777" w:rsidTr="002E38EA">
        <w:trPr>
          <w:trHeight w:val="358"/>
          <w:jc w:val="center"/>
        </w:trPr>
        <w:tc>
          <w:tcPr>
            <w:tcW w:w="935" w:type="dxa"/>
            <w:tcBorders>
              <w:right w:val="nil"/>
            </w:tcBorders>
            <w:vAlign w:val="center"/>
          </w:tcPr>
          <w:p w14:paraId="1D469C1A" w14:textId="77777777" w:rsidR="005778D7" w:rsidRPr="007A31C9" w:rsidRDefault="005778D7" w:rsidP="002E38EA">
            <w:pPr>
              <w:spacing w:line="360" w:lineRule="auto"/>
              <w:jc w:val="center"/>
              <w:rPr>
                <w:rFonts w:ascii="Arial" w:hAnsi="Arial" w:cs="Arial"/>
                <w:b/>
                <w:sz w:val="20"/>
                <w:szCs w:val="20"/>
              </w:rPr>
            </w:pPr>
            <w:proofErr w:type="gramStart"/>
            <w:r w:rsidRPr="007A31C9">
              <w:rPr>
                <w:rFonts w:ascii="Arial" w:hAnsi="Arial" w:cs="Arial"/>
                <w:b/>
                <w:sz w:val="20"/>
                <w:szCs w:val="20"/>
              </w:rPr>
              <w:t>S.N</w:t>
            </w:r>
            <w:proofErr w:type="gramEnd"/>
          </w:p>
        </w:tc>
        <w:tc>
          <w:tcPr>
            <w:tcW w:w="3646" w:type="dxa"/>
            <w:tcBorders>
              <w:left w:val="nil"/>
              <w:right w:val="nil"/>
            </w:tcBorders>
            <w:vAlign w:val="center"/>
          </w:tcPr>
          <w:p w14:paraId="38DF6418" w14:textId="77777777"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Type of Anomaly</w:t>
            </w:r>
          </w:p>
        </w:tc>
        <w:tc>
          <w:tcPr>
            <w:tcW w:w="2426" w:type="dxa"/>
            <w:tcBorders>
              <w:left w:val="nil"/>
              <w:right w:val="nil"/>
            </w:tcBorders>
            <w:vAlign w:val="center"/>
          </w:tcPr>
          <w:p w14:paraId="6D0FAD9B" w14:textId="77777777"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N</w:t>
            </w:r>
          </w:p>
        </w:tc>
        <w:tc>
          <w:tcPr>
            <w:tcW w:w="2426" w:type="dxa"/>
            <w:tcBorders>
              <w:left w:val="nil"/>
            </w:tcBorders>
            <w:vAlign w:val="center"/>
          </w:tcPr>
          <w:p w14:paraId="0D83F8B1" w14:textId="77777777"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w:t>
            </w:r>
          </w:p>
        </w:tc>
      </w:tr>
      <w:tr w:rsidR="005778D7" w:rsidRPr="007A31C9" w14:paraId="7E03EBA5" w14:textId="77777777" w:rsidTr="002E38EA">
        <w:trPr>
          <w:trHeight w:val="358"/>
          <w:jc w:val="center"/>
        </w:trPr>
        <w:tc>
          <w:tcPr>
            <w:tcW w:w="935" w:type="dxa"/>
            <w:tcBorders>
              <w:right w:val="nil"/>
            </w:tcBorders>
            <w:vAlign w:val="center"/>
          </w:tcPr>
          <w:p w14:paraId="5C3760BE" w14:textId="77777777"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14:paraId="53873675"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Convergence Insufficiency</w:t>
            </w:r>
          </w:p>
        </w:tc>
        <w:tc>
          <w:tcPr>
            <w:tcW w:w="2426" w:type="dxa"/>
            <w:tcBorders>
              <w:left w:val="nil"/>
              <w:right w:val="nil"/>
            </w:tcBorders>
            <w:vAlign w:val="center"/>
          </w:tcPr>
          <w:p w14:paraId="054113C1"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20</w:t>
            </w:r>
          </w:p>
        </w:tc>
        <w:tc>
          <w:tcPr>
            <w:tcW w:w="2426" w:type="dxa"/>
            <w:tcBorders>
              <w:left w:val="nil"/>
            </w:tcBorders>
            <w:vAlign w:val="center"/>
          </w:tcPr>
          <w:p w14:paraId="2C9F8026"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18.2</w:t>
            </w:r>
          </w:p>
        </w:tc>
      </w:tr>
      <w:tr w:rsidR="005778D7" w:rsidRPr="007A31C9" w14:paraId="7DCF09CC" w14:textId="77777777" w:rsidTr="002E38EA">
        <w:trPr>
          <w:trHeight w:val="358"/>
          <w:jc w:val="center"/>
        </w:trPr>
        <w:tc>
          <w:tcPr>
            <w:tcW w:w="935" w:type="dxa"/>
            <w:tcBorders>
              <w:right w:val="nil"/>
            </w:tcBorders>
            <w:vAlign w:val="center"/>
          </w:tcPr>
          <w:p w14:paraId="777421D5" w14:textId="77777777"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14:paraId="3D42E330"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Convergence Excess</w:t>
            </w:r>
          </w:p>
        </w:tc>
        <w:tc>
          <w:tcPr>
            <w:tcW w:w="2426" w:type="dxa"/>
            <w:tcBorders>
              <w:left w:val="nil"/>
              <w:right w:val="nil"/>
            </w:tcBorders>
            <w:vAlign w:val="center"/>
          </w:tcPr>
          <w:p w14:paraId="4A127730"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15</w:t>
            </w:r>
          </w:p>
        </w:tc>
        <w:tc>
          <w:tcPr>
            <w:tcW w:w="2426" w:type="dxa"/>
            <w:tcBorders>
              <w:left w:val="nil"/>
            </w:tcBorders>
            <w:vAlign w:val="center"/>
          </w:tcPr>
          <w:p w14:paraId="4173429B"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13.6</w:t>
            </w:r>
          </w:p>
        </w:tc>
      </w:tr>
      <w:tr w:rsidR="005778D7" w:rsidRPr="007A31C9" w14:paraId="4118CD9C" w14:textId="77777777" w:rsidTr="002E38EA">
        <w:trPr>
          <w:trHeight w:val="358"/>
          <w:jc w:val="center"/>
        </w:trPr>
        <w:tc>
          <w:tcPr>
            <w:tcW w:w="935" w:type="dxa"/>
            <w:tcBorders>
              <w:right w:val="nil"/>
            </w:tcBorders>
            <w:vAlign w:val="center"/>
          </w:tcPr>
          <w:p w14:paraId="0AB7E0FB" w14:textId="77777777"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14:paraId="4B3EB90D"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Divergence Insufficiency</w:t>
            </w:r>
          </w:p>
        </w:tc>
        <w:tc>
          <w:tcPr>
            <w:tcW w:w="2426" w:type="dxa"/>
            <w:tcBorders>
              <w:left w:val="nil"/>
              <w:right w:val="nil"/>
            </w:tcBorders>
            <w:vAlign w:val="center"/>
          </w:tcPr>
          <w:p w14:paraId="404E0695"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5</w:t>
            </w:r>
          </w:p>
        </w:tc>
        <w:tc>
          <w:tcPr>
            <w:tcW w:w="2426" w:type="dxa"/>
            <w:tcBorders>
              <w:left w:val="nil"/>
            </w:tcBorders>
            <w:vAlign w:val="center"/>
          </w:tcPr>
          <w:p w14:paraId="0C5F5A53"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4.5</w:t>
            </w:r>
          </w:p>
        </w:tc>
      </w:tr>
      <w:tr w:rsidR="005778D7" w:rsidRPr="007A31C9" w14:paraId="0C78D3DA" w14:textId="77777777" w:rsidTr="002E38EA">
        <w:trPr>
          <w:trHeight w:val="358"/>
          <w:jc w:val="center"/>
        </w:trPr>
        <w:tc>
          <w:tcPr>
            <w:tcW w:w="935" w:type="dxa"/>
            <w:tcBorders>
              <w:right w:val="nil"/>
            </w:tcBorders>
            <w:vAlign w:val="center"/>
          </w:tcPr>
          <w:p w14:paraId="6F94C0FF" w14:textId="77777777"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14:paraId="38BCE2FC"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Accommodative Insufficiency</w:t>
            </w:r>
          </w:p>
        </w:tc>
        <w:tc>
          <w:tcPr>
            <w:tcW w:w="2426" w:type="dxa"/>
            <w:tcBorders>
              <w:left w:val="nil"/>
              <w:right w:val="nil"/>
            </w:tcBorders>
            <w:vAlign w:val="center"/>
          </w:tcPr>
          <w:p w14:paraId="415CAA33"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w:t>
            </w:r>
          </w:p>
        </w:tc>
        <w:tc>
          <w:tcPr>
            <w:tcW w:w="2426" w:type="dxa"/>
            <w:tcBorders>
              <w:left w:val="nil"/>
            </w:tcBorders>
            <w:vAlign w:val="center"/>
          </w:tcPr>
          <w:p w14:paraId="1AFA3967"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11.8</w:t>
            </w:r>
          </w:p>
        </w:tc>
      </w:tr>
      <w:tr w:rsidR="005778D7" w:rsidRPr="007A31C9" w14:paraId="44DBE323" w14:textId="77777777" w:rsidTr="002E38EA">
        <w:trPr>
          <w:trHeight w:val="358"/>
          <w:jc w:val="center"/>
        </w:trPr>
        <w:tc>
          <w:tcPr>
            <w:tcW w:w="935" w:type="dxa"/>
            <w:tcBorders>
              <w:right w:val="nil"/>
            </w:tcBorders>
            <w:vAlign w:val="center"/>
          </w:tcPr>
          <w:p w14:paraId="126404DA" w14:textId="77777777"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14:paraId="221ACA95"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Accommodative Excess</w:t>
            </w:r>
          </w:p>
        </w:tc>
        <w:tc>
          <w:tcPr>
            <w:tcW w:w="2426" w:type="dxa"/>
            <w:tcBorders>
              <w:left w:val="nil"/>
              <w:right w:val="nil"/>
            </w:tcBorders>
            <w:vAlign w:val="center"/>
          </w:tcPr>
          <w:p w14:paraId="78DA701F"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w:t>
            </w:r>
          </w:p>
        </w:tc>
        <w:tc>
          <w:tcPr>
            <w:tcW w:w="2426" w:type="dxa"/>
            <w:tcBorders>
              <w:left w:val="nil"/>
            </w:tcBorders>
            <w:vAlign w:val="center"/>
          </w:tcPr>
          <w:p w14:paraId="6F0C45BA"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11.8</w:t>
            </w:r>
          </w:p>
        </w:tc>
      </w:tr>
      <w:tr w:rsidR="005778D7" w:rsidRPr="007A31C9" w14:paraId="1C4C8AB5" w14:textId="77777777" w:rsidTr="002E38EA">
        <w:trPr>
          <w:trHeight w:val="358"/>
          <w:jc w:val="center"/>
        </w:trPr>
        <w:tc>
          <w:tcPr>
            <w:tcW w:w="935" w:type="dxa"/>
            <w:tcBorders>
              <w:right w:val="nil"/>
            </w:tcBorders>
            <w:vAlign w:val="center"/>
          </w:tcPr>
          <w:p w14:paraId="42A58537" w14:textId="77777777"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14:paraId="62F45E1A"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Normal Binocular Function</w:t>
            </w:r>
          </w:p>
        </w:tc>
        <w:tc>
          <w:tcPr>
            <w:tcW w:w="2426" w:type="dxa"/>
            <w:tcBorders>
              <w:left w:val="nil"/>
              <w:right w:val="nil"/>
            </w:tcBorders>
            <w:vAlign w:val="center"/>
          </w:tcPr>
          <w:p w14:paraId="53CB0474"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44</w:t>
            </w:r>
          </w:p>
        </w:tc>
        <w:tc>
          <w:tcPr>
            <w:tcW w:w="2426" w:type="dxa"/>
            <w:tcBorders>
              <w:left w:val="nil"/>
            </w:tcBorders>
            <w:vAlign w:val="center"/>
          </w:tcPr>
          <w:p w14:paraId="2E76BD65"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40</w:t>
            </w:r>
          </w:p>
        </w:tc>
      </w:tr>
      <w:tr w:rsidR="005778D7" w:rsidRPr="007A31C9" w14:paraId="254F837B" w14:textId="77777777" w:rsidTr="002E38EA">
        <w:trPr>
          <w:trHeight w:val="341"/>
          <w:jc w:val="center"/>
        </w:trPr>
        <w:tc>
          <w:tcPr>
            <w:tcW w:w="935" w:type="dxa"/>
            <w:tcBorders>
              <w:right w:val="nil"/>
            </w:tcBorders>
            <w:vAlign w:val="center"/>
          </w:tcPr>
          <w:p w14:paraId="3F721261" w14:textId="77777777" w:rsidR="005778D7" w:rsidRPr="007A31C9" w:rsidRDefault="005778D7" w:rsidP="002E38EA">
            <w:pPr>
              <w:pStyle w:val="ListParagraph"/>
              <w:spacing w:line="360" w:lineRule="auto"/>
              <w:jc w:val="center"/>
              <w:rPr>
                <w:rFonts w:ascii="Arial" w:hAnsi="Arial" w:cs="Arial"/>
                <w:sz w:val="20"/>
                <w:szCs w:val="20"/>
              </w:rPr>
            </w:pPr>
          </w:p>
        </w:tc>
        <w:tc>
          <w:tcPr>
            <w:tcW w:w="3646" w:type="dxa"/>
            <w:tcBorders>
              <w:left w:val="nil"/>
              <w:right w:val="nil"/>
            </w:tcBorders>
            <w:vAlign w:val="center"/>
          </w:tcPr>
          <w:p w14:paraId="1637D7CD"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Total</w:t>
            </w:r>
          </w:p>
        </w:tc>
        <w:tc>
          <w:tcPr>
            <w:tcW w:w="2426" w:type="dxa"/>
            <w:tcBorders>
              <w:left w:val="nil"/>
              <w:right w:val="nil"/>
            </w:tcBorders>
            <w:vAlign w:val="center"/>
          </w:tcPr>
          <w:p w14:paraId="775E8EAA"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110</w:t>
            </w:r>
          </w:p>
        </w:tc>
        <w:tc>
          <w:tcPr>
            <w:tcW w:w="2426" w:type="dxa"/>
            <w:tcBorders>
              <w:left w:val="nil"/>
            </w:tcBorders>
            <w:vAlign w:val="center"/>
          </w:tcPr>
          <w:p w14:paraId="0193FCA2" w14:textId="77777777"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100</w:t>
            </w:r>
          </w:p>
        </w:tc>
      </w:tr>
    </w:tbl>
    <w:p w14:paraId="7673DB1A" w14:textId="77777777" w:rsidR="005778D7" w:rsidRDefault="005778D7" w:rsidP="005778D7">
      <w:pPr>
        <w:jc w:val="center"/>
      </w:pPr>
    </w:p>
    <w:p w14:paraId="55A95C7B" w14:textId="77777777" w:rsidR="007E312F" w:rsidRDefault="007E312F" w:rsidP="005778D7">
      <w:pPr>
        <w:jc w:val="center"/>
      </w:pPr>
    </w:p>
    <w:p w14:paraId="5D4DCFCC" w14:textId="77777777" w:rsidR="007E312F" w:rsidRDefault="007E312F" w:rsidP="005778D7">
      <w:pPr>
        <w:jc w:val="center"/>
      </w:pPr>
    </w:p>
    <w:p w14:paraId="0D299B48" w14:textId="77777777" w:rsidR="007E312F" w:rsidRDefault="007E312F" w:rsidP="005778D7">
      <w:pPr>
        <w:jc w:val="center"/>
      </w:pPr>
    </w:p>
    <w:p w14:paraId="1036C84A" w14:textId="77777777" w:rsidR="005778D7" w:rsidRDefault="005778D7" w:rsidP="005778D7">
      <w:pPr>
        <w:jc w:val="center"/>
      </w:pPr>
    </w:p>
    <w:p w14:paraId="20AE7C07" w14:textId="77777777" w:rsidR="005778D7" w:rsidRPr="007E312F" w:rsidRDefault="005778D7" w:rsidP="005778D7">
      <w:pPr>
        <w:pStyle w:val="Caption"/>
        <w:keepNext/>
        <w:rPr>
          <w:rFonts w:ascii="Arial" w:hAnsi="Arial" w:cs="Arial"/>
          <w:b/>
          <w:i w:val="0"/>
          <w:color w:val="000000" w:themeColor="text1"/>
          <w:sz w:val="20"/>
        </w:rPr>
      </w:pPr>
      <w:r w:rsidRPr="007E312F">
        <w:rPr>
          <w:rFonts w:ascii="Arial" w:hAnsi="Arial" w:cs="Arial"/>
          <w:b/>
          <w:i w:val="0"/>
          <w:color w:val="000000" w:themeColor="text1"/>
          <w:sz w:val="20"/>
        </w:rPr>
        <w:lastRenderedPageBreak/>
        <w:t xml:space="preserve">Table </w:t>
      </w:r>
      <w:r w:rsidR="007718CE" w:rsidRPr="007E312F">
        <w:rPr>
          <w:rFonts w:ascii="Arial" w:hAnsi="Arial" w:cs="Arial"/>
          <w:b/>
          <w:i w:val="0"/>
          <w:color w:val="000000" w:themeColor="text1"/>
          <w:sz w:val="20"/>
        </w:rPr>
        <w:fldChar w:fldCharType="begin"/>
      </w:r>
      <w:r w:rsidRPr="007E312F">
        <w:rPr>
          <w:rFonts w:ascii="Arial" w:hAnsi="Arial" w:cs="Arial"/>
          <w:b/>
          <w:i w:val="0"/>
          <w:color w:val="000000" w:themeColor="text1"/>
          <w:sz w:val="20"/>
        </w:rPr>
        <w:instrText xml:space="preserve"> SEQ Table \* ARABIC </w:instrText>
      </w:r>
      <w:r w:rsidR="007718CE" w:rsidRPr="007E312F">
        <w:rPr>
          <w:rFonts w:ascii="Arial" w:hAnsi="Arial" w:cs="Arial"/>
          <w:b/>
          <w:i w:val="0"/>
          <w:color w:val="000000" w:themeColor="text1"/>
          <w:sz w:val="20"/>
        </w:rPr>
        <w:fldChar w:fldCharType="separate"/>
      </w:r>
      <w:r w:rsidRPr="007E312F">
        <w:rPr>
          <w:rFonts w:ascii="Arial" w:hAnsi="Arial" w:cs="Arial"/>
          <w:b/>
          <w:i w:val="0"/>
          <w:noProof/>
          <w:color w:val="000000" w:themeColor="text1"/>
          <w:sz w:val="20"/>
        </w:rPr>
        <w:t>2</w:t>
      </w:r>
      <w:r w:rsidR="007718CE" w:rsidRPr="007E312F">
        <w:rPr>
          <w:rFonts w:ascii="Arial" w:hAnsi="Arial" w:cs="Arial"/>
          <w:b/>
          <w:i w:val="0"/>
          <w:color w:val="000000" w:themeColor="text1"/>
          <w:sz w:val="20"/>
        </w:rPr>
        <w:fldChar w:fldCharType="end"/>
      </w:r>
      <w:r w:rsidRPr="007E312F">
        <w:rPr>
          <w:rFonts w:ascii="Arial" w:hAnsi="Arial" w:cs="Arial"/>
          <w:b/>
          <w:i w:val="0"/>
          <w:color w:val="000000" w:themeColor="text1"/>
          <w:sz w:val="20"/>
        </w:rPr>
        <w:t xml:space="preserve"> Non-Strabismic Binocular Vision Anomalies (NSBVAs) </w:t>
      </w:r>
      <w:r w:rsidR="00F50169">
        <w:rPr>
          <w:rFonts w:ascii="Arial" w:hAnsi="Arial" w:cs="Arial"/>
          <w:b/>
          <w:i w:val="0"/>
          <w:noProof/>
          <w:color w:val="000000" w:themeColor="text1"/>
          <w:sz w:val="20"/>
        </w:rPr>
        <w:t xml:space="preserve">among myopic </w:t>
      </w:r>
      <w:r w:rsidRPr="007E312F">
        <w:rPr>
          <w:rFonts w:ascii="Arial" w:hAnsi="Arial" w:cs="Arial"/>
          <w:b/>
          <w:i w:val="0"/>
          <w:noProof/>
          <w:color w:val="000000" w:themeColor="text1"/>
          <w:sz w:val="20"/>
        </w:rPr>
        <w:t>patients</w:t>
      </w:r>
    </w:p>
    <w:tbl>
      <w:tblPr>
        <w:tblStyle w:val="TableGrid"/>
        <w:tblW w:w="9384" w:type="dxa"/>
        <w:jc w:val="center"/>
        <w:tblBorders>
          <w:right w:val="none" w:sz="0" w:space="0" w:color="auto"/>
        </w:tblBorders>
        <w:tblLook w:val="04A0" w:firstRow="1" w:lastRow="0" w:firstColumn="1" w:lastColumn="0" w:noHBand="0" w:noVBand="1"/>
      </w:tblPr>
      <w:tblGrid>
        <w:gridCol w:w="964"/>
        <w:gridCol w:w="2680"/>
        <w:gridCol w:w="1504"/>
        <w:gridCol w:w="1462"/>
        <w:gridCol w:w="1418"/>
        <w:gridCol w:w="1356"/>
      </w:tblGrid>
      <w:tr w:rsidR="00A1345B" w:rsidRPr="00A81DF3" w14:paraId="4CE9FB0D" w14:textId="77777777" w:rsidTr="002E38EA">
        <w:trPr>
          <w:trHeight w:val="365"/>
          <w:jc w:val="center"/>
        </w:trPr>
        <w:tc>
          <w:tcPr>
            <w:tcW w:w="964" w:type="dxa"/>
            <w:vMerge w:val="restart"/>
            <w:tcBorders>
              <w:left w:val="nil"/>
              <w:right w:val="nil"/>
            </w:tcBorders>
            <w:vAlign w:val="center"/>
          </w:tcPr>
          <w:p w14:paraId="60D8D469" w14:textId="77777777" w:rsidR="00A1345B" w:rsidRPr="00A1345B" w:rsidRDefault="00A1345B" w:rsidP="002E38EA">
            <w:pPr>
              <w:spacing w:line="360" w:lineRule="auto"/>
              <w:jc w:val="center"/>
              <w:rPr>
                <w:rFonts w:ascii="Times New Roman" w:hAnsi="Times New Roman"/>
                <w:b/>
                <w:sz w:val="20"/>
                <w:szCs w:val="20"/>
              </w:rPr>
            </w:pPr>
            <w:proofErr w:type="gramStart"/>
            <w:r w:rsidRPr="00A1345B">
              <w:rPr>
                <w:rFonts w:ascii="Times New Roman" w:hAnsi="Times New Roman"/>
                <w:b/>
                <w:sz w:val="20"/>
                <w:szCs w:val="20"/>
              </w:rPr>
              <w:t>S.N</w:t>
            </w:r>
            <w:proofErr w:type="gramEnd"/>
          </w:p>
        </w:tc>
        <w:tc>
          <w:tcPr>
            <w:tcW w:w="2680" w:type="dxa"/>
            <w:vMerge w:val="restart"/>
            <w:tcBorders>
              <w:left w:val="nil"/>
              <w:right w:val="nil"/>
            </w:tcBorders>
            <w:vAlign w:val="center"/>
          </w:tcPr>
          <w:p w14:paraId="79599F00" w14:textId="77777777"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Type of Anomaly</w:t>
            </w:r>
          </w:p>
        </w:tc>
        <w:tc>
          <w:tcPr>
            <w:tcW w:w="2966" w:type="dxa"/>
            <w:gridSpan w:val="2"/>
            <w:tcBorders>
              <w:left w:val="nil"/>
              <w:right w:val="nil"/>
            </w:tcBorders>
            <w:vAlign w:val="center"/>
          </w:tcPr>
          <w:p w14:paraId="7E35C18D" w14:textId="77777777"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Myopi</w:t>
            </w:r>
            <w:r>
              <w:rPr>
                <w:rFonts w:ascii="Times New Roman" w:hAnsi="Times New Roman"/>
                <w:b/>
                <w:bCs/>
                <w:sz w:val="20"/>
                <w:szCs w:val="20"/>
              </w:rPr>
              <w:t>a</w:t>
            </w:r>
          </w:p>
        </w:tc>
        <w:tc>
          <w:tcPr>
            <w:tcW w:w="2774" w:type="dxa"/>
            <w:gridSpan w:val="2"/>
            <w:tcBorders>
              <w:left w:val="nil"/>
            </w:tcBorders>
            <w:vAlign w:val="center"/>
          </w:tcPr>
          <w:p w14:paraId="6F4F367B" w14:textId="77777777"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Hypermetropi</w:t>
            </w:r>
            <w:r>
              <w:rPr>
                <w:rFonts w:ascii="Times New Roman" w:hAnsi="Times New Roman"/>
                <w:b/>
                <w:bCs/>
                <w:sz w:val="20"/>
                <w:szCs w:val="20"/>
              </w:rPr>
              <w:t>a</w:t>
            </w:r>
          </w:p>
        </w:tc>
      </w:tr>
      <w:tr w:rsidR="00A1345B" w:rsidRPr="00A81DF3" w14:paraId="621F457B" w14:textId="77777777" w:rsidTr="002E38EA">
        <w:trPr>
          <w:trHeight w:val="365"/>
          <w:jc w:val="center"/>
        </w:trPr>
        <w:tc>
          <w:tcPr>
            <w:tcW w:w="964" w:type="dxa"/>
            <w:vMerge/>
            <w:tcBorders>
              <w:left w:val="nil"/>
              <w:right w:val="nil"/>
            </w:tcBorders>
            <w:vAlign w:val="center"/>
          </w:tcPr>
          <w:p w14:paraId="475110FE" w14:textId="77777777" w:rsidR="00A1345B" w:rsidRPr="00A81DF3" w:rsidRDefault="00A1345B" w:rsidP="002E38EA">
            <w:pPr>
              <w:spacing w:line="360" w:lineRule="auto"/>
              <w:jc w:val="center"/>
              <w:rPr>
                <w:rFonts w:ascii="Times New Roman" w:hAnsi="Times New Roman"/>
                <w:sz w:val="20"/>
                <w:szCs w:val="20"/>
              </w:rPr>
            </w:pPr>
          </w:p>
        </w:tc>
        <w:tc>
          <w:tcPr>
            <w:tcW w:w="2680" w:type="dxa"/>
            <w:vMerge/>
            <w:tcBorders>
              <w:left w:val="nil"/>
              <w:right w:val="nil"/>
            </w:tcBorders>
            <w:vAlign w:val="center"/>
          </w:tcPr>
          <w:p w14:paraId="0C05B000" w14:textId="77777777" w:rsidR="00A1345B" w:rsidRPr="00A81DF3" w:rsidRDefault="00A1345B" w:rsidP="002E38EA">
            <w:pPr>
              <w:spacing w:line="360" w:lineRule="auto"/>
              <w:jc w:val="center"/>
              <w:rPr>
                <w:rFonts w:ascii="Times New Roman" w:hAnsi="Times New Roman"/>
                <w:b/>
                <w:bCs/>
                <w:sz w:val="20"/>
                <w:szCs w:val="20"/>
              </w:rPr>
            </w:pPr>
          </w:p>
        </w:tc>
        <w:tc>
          <w:tcPr>
            <w:tcW w:w="1504" w:type="dxa"/>
            <w:tcBorders>
              <w:left w:val="nil"/>
              <w:right w:val="nil"/>
            </w:tcBorders>
            <w:vAlign w:val="center"/>
          </w:tcPr>
          <w:p w14:paraId="513DADAA" w14:textId="77777777"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(n=55)</w:t>
            </w:r>
          </w:p>
        </w:tc>
        <w:tc>
          <w:tcPr>
            <w:tcW w:w="1462" w:type="dxa"/>
            <w:tcBorders>
              <w:left w:val="nil"/>
              <w:right w:val="nil"/>
            </w:tcBorders>
            <w:vAlign w:val="center"/>
          </w:tcPr>
          <w:p w14:paraId="463C3F67" w14:textId="77777777" w:rsidR="00A1345B" w:rsidRDefault="00A1345B" w:rsidP="002E38EA">
            <w:pPr>
              <w:spacing w:line="360" w:lineRule="auto"/>
              <w:jc w:val="center"/>
              <w:rPr>
                <w:rFonts w:ascii="Times New Roman" w:hAnsi="Times New Roman"/>
                <w:b/>
                <w:bCs/>
                <w:sz w:val="20"/>
                <w:szCs w:val="20"/>
              </w:rPr>
            </w:pPr>
            <w:r>
              <w:rPr>
                <w:rFonts w:ascii="Times New Roman" w:hAnsi="Times New Roman"/>
                <w:b/>
                <w:bCs/>
                <w:sz w:val="20"/>
                <w:szCs w:val="20"/>
              </w:rPr>
              <w:t>%</w:t>
            </w:r>
          </w:p>
        </w:tc>
        <w:tc>
          <w:tcPr>
            <w:tcW w:w="1418" w:type="dxa"/>
            <w:tcBorders>
              <w:left w:val="nil"/>
              <w:right w:val="nil"/>
            </w:tcBorders>
            <w:vAlign w:val="center"/>
          </w:tcPr>
          <w:p w14:paraId="10593ACC" w14:textId="77777777"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(n=55)</w:t>
            </w:r>
          </w:p>
        </w:tc>
        <w:tc>
          <w:tcPr>
            <w:tcW w:w="1356" w:type="dxa"/>
            <w:tcBorders>
              <w:left w:val="nil"/>
            </w:tcBorders>
            <w:vAlign w:val="center"/>
          </w:tcPr>
          <w:p w14:paraId="4A31588F" w14:textId="77777777" w:rsidR="00A1345B" w:rsidRDefault="00A1345B" w:rsidP="002E38EA">
            <w:pPr>
              <w:spacing w:line="360" w:lineRule="auto"/>
              <w:jc w:val="center"/>
              <w:rPr>
                <w:rFonts w:ascii="Times New Roman" w:hAnsi="Times New Roman"/>
                <w:b/>
                <w:bCs/>
                <w:sz w:val="20"/>
                <w:szCs w:val="20"/>
              </w:rPr>
            </w:pPr>
            <w:r>
              <w:rPr>
                <w:rFonts w:ascii="Times New Roman" w:hAnsi="Times New Roman"/>
                <w:b/>
                <w:bCs/>
                <w:sz w:val="20"/>
                <w:szCs w:val="20"/>
              </w:rPr>
              <w:t>%</w:t>
            </w:r>
          </w:p>
        </w:tc>
      </w:tr>
      <w:tr w:rsidR="005778D7" w:rsidRPr="00A81DF3" w14:paraId="12D71523" w14:textId="77777777" w:rsidTr="002E38EA">
        <w:trPr>
          <w:trHeight w:val="365"/>
          <w:jc w:val="center"/>
        </w:trPr>
        <w:tc>
          <w:tcPr>
            <w:tcW w:w="964" w:type="dxa"/>
            <w:tcBorders>
              <w:left w:val="nil"/>
              <w:right w:val="nil"/>
            </w:tcBorders>
            <w:vAlign w:val="center"/>
          </w:tcPr>
          <w:p w14:paraId="64B97039" w14:textId="77777777"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14:paraId="3913342B"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Convergence Insufficiency</w:t>
            </w:r>
          </w:p>
        </w:tc>
        <w:tc>
          <w:tcPr>
            <w:tcW w:w="1504" w:type="dxa"/>
            <w:tcBorders>
              <w:left w:val="nil"/>
              <w:right w:val="nil"/>
            </w:tcBorders>
            <w:vAlign w:val="center"/>
          </w:tcPr>
          <w:p w14:paraId="30C519F5"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14</w:t>
            </w:r>
          </w:p>
        </w:tc>
        <w:tc>
          <w:tcPr>
            <w:tcW w:w="1462" w:type="dxa"/>
            <w:tcBorders>
              <w:left w:val="nil"/>
              <w:right w:val="nil"/>
            </w:tcBorders>
            <w:vAlign w:val="center"/>
          </w:tcPr>
          <w:p w14:paraId="148198A9"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25.4</w:t>
            </w:r>
          </w:p>
        </w:tc>
        <w:tc>
          <w:tcPr>
            <w:tcW w:w="1418" w:type="dxa"/>
            <w:tcBorders>
              <w:left w:val="nil"/>
              <w:right w:val="nil"/>
            </w:tcBorders>
            <w:vAlign w:val="center"/>
          </w:tcPr>
          <w:p w14:paraId="4ACA37E7"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6</w:t>
            </w:r>
          </w:p>
        </w:tc>
        <w:tc>
          <w:tcPr>
            <w:tcW w:w="1356" w:type="dxa"/>
            <w:tcBorders>
              <w:left w:val="nil"/>
            </w:tcBorders>
            <w:vAlign w:val="center"/>
          </w:tcPr>
          <w:p w14:paraId="4ACF6EB6" w14:textId="77777777"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10.9</w:t>
            </w:r>
          </w:p>
        </w:tc>
      </w:tr>
      <w:tr w:rsidR="005778D7" w:rsidRPr="00A81DF3" w14:paraId="43320738" w14:textId="77777777" w:rsidTr="002E38EA">
        <w:trPr>
          <w:trHeight w:val="365"/>
          <w:jc w:val="center"/>
        </w:trPr>
        <w:tc>
          <w:tcPr>
            <w:tcW w:w="964" w:type="dxa"/>
            <w:tcBorders>
              <w:left w:val="nil"/>
              <w:right w:val="nil"/>
            </w:tcBorders>
            <w:vAlign w:val="center"/>
          </w:tcPr>
          <w:p w14:paraId="60528B19" w14:textId="77777777"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14:paraId="59AF1E70"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Convergence Excess</w:t>
            </w:r>
          </w:p>
        </w:tc>
        <w:tc>
          <w:tcPr>
            <w:tcW w:w="1504" w:type="dxa"/>
            <w:tcBorders>
              <w:left w:val="nil"/>
              <w:right w:val="nil"/>
            </w:tcBorders>
            <w:vAlign w:val="center"/>
          </w:tcPr>
          <w:p w14:paraId="2E2F9F28"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3</w:t>
            </w:r>
          </w:p>
        </w:tc>
        <w:tc>
          <w:tcPr>
            <w:tcW w:w="1462" w:type="dxa"/>
            <w:tcBorders>
              <w:left w:val="nil"/>
              <w:right w:val="nil"/>
            </w:tcBorders>
            <w:vAlign w:val="center"/>
          </w:tcPr>
          <w:p w14:paraId="73F98DA8"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5.4</w:t>
            </w:r>
          </w:p>
        </w:tc>
        <w:tc>
          <w:tcPr>
            <w:tcW w:w="1418" w:type="dxa"/>
            <w:tcBorders>
              <w:left w:val="nil"/>
              <w:right w:val="nil"/>
            </w:tcBorders>
            <w:vAlign w:val="center"/>
          </w:tcPr>
          <w:p w14:paraId="47BC54DA"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12</w:t>
            </w:r>
          </w:p>
        </w:tc>
        <w:tc>
          <w:tcPr>
            <w:tcW w:w="1356" w:type="dxa"/>
            <w:tcBorders>
              <w:left w:val="nil"/>
            </w:tcBorders>
            <w:vAlign w:val="center"/>
          </w:tcPr>
          <w:p w14:paraId="1F0FFB8D" w14:textId="77777777"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21.8</w:t>
            </w:r>
          </w:p>
        </w:tc>
      </w:tr>
      <w:tr w:rsidR="005778D7" w:rsidRPr="00A81DF3" w14:paraId="18925759" w14:textId="77777777" w:rsidTr="002E38EA">
        <w:trPr>
          <w:trHeight w:val="380"/>
          <w:jc w:val="center"/>
        </w:trPr>
        <w:tc>
          <w:tcPr>
            <w:tcW w:w="964" w:type="dxa"/>
            <w:tcBorders>
              <w:left w:val="nil"/>
              <w:right w:val="nil"/>
            </w:tcBorders>
            <w:vAlign w:val="center"/>
          </w:tcPr>
          <w:p w14:paraId="714BD59E" w14:textId="77777777"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14:paraId="054F0C48"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Divergence Insufficiency</w:t>
            </w:r>
          </w:p>
        </w:tc>
        <w:tc>
          <w:tcPr>
            <w:tcW w:w="1504" w:type="dxa"/>
            <w:tcBorders>
              <w:left w:val="nil"/>
              <w:right w:val="nil"/>
            </w:tcBorders>
            <w:vAlign w:val="center"/>
          </w:tcPr>
          <w:p w14:paraId="4496DFA0" w14:textId="77777777"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2</w:t>
            </w:r>
          </w:p>
        </w:tc>
        <w:tc>
          <w:tcPr>
            <w:tcW w:w="1462" w:type="dxa"/>
            <w:tcBorders>
              <w:left w:val="nil"/>
              <w:right w:val="nil"/>
            </w:tcBorders>
            <w:vAlign w:val="center"/>
          </w:tcPr>
          <w:p w14:paraId="6B0DE32D" w14:textId="77777777"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3.6</w:t>
            </w:r>
          </w:p>
        </w:tc>
        <w:tc>
          <w:tcPr>
            <w:tcW w:w="1418" w:type="dxa"/>
            <w:tcBorders>
              <w:left w:val="nil"/>
              <w:right w:val="nil"/>
            </w:tcBorders>
            <w:vAlign w:val="center"/>
          </w:tcPr>
          <w:p w14:paraId="0ED11E53" w14:textId="77777777"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3</w:t>
            </w:r>
          </w:p>
        </w:tc>
        <w:tc>
          <w:tcPr>
            <w:tcW w:w="1356" w:type="dxa"/>
            <w:tcBorders>
              <w:left w:val="nil"/>
            </w:tcBorders>
            <w:vAlign w:val="center"/>
          </w:tcPr>
          <w:p w14:paraId="07851C10" w14:textId="77777777"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5.4</w:t>
            </w:r>
          </w:p>
        </w:tc>
      </w:tr>
      <w:tr w:rsidR="005778D7" w:rsidRPr="00A81DF3" w14:paraId="2A137CF2" w14:textId="77777777" w:rsidTr="002E38EA">
        <w:trPr>
          <w:trHeight w:val="380"/>
          <w:jc w:val="center"/>
        </w:trPr>
        <w:tc>
          <w:tcPr>
            <w:tcW w:w="964" w:type="dxa"/>
            <w:tcBorders>
              <w:left w:val="nil"/>
              <w:right w:val="nil"/>
            </w:tcBorders>
            <w:vAlign w:val="center"/>
          </w:tcPr>
          <w:p w14:paraId="412DBA63" w14:textId="77777777"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14:paraId="125445A1"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Accommodative Insufficiency</w:t>
            </w:r>
          </w:p>
        </w:tc>
        <w:tc>
          <w:tcPr>
            <w:tcW w:w="1504" w:type="dxa"/>
            <w:tcBorders>
              <w:left w:val="nil"/>
              <w:right w:val="nil"/>
            </w:tcBorders>
            <w:vAlign w:val="center"/>
          </w:tcPr>
          <w:p w14:paraId="45FFE6EA"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5</w:t>
            </w:r>
          </w:p>
        </w:tc>
        <w:tc>
          <w:tcPr>
            <w:tcW w:w="1462" w:type="dxa"/>
            <w:tcBorders>
              <w:left w:val="nil"/>
              <w:right w:val="nil"/>
            </w:tcBorders>
            <w:vAlign w:val="center"/>
          </w:tcPr>
          <w:p w14:paraId="054A660B" w14:textId="77777777"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9.1</w:t>
            </w:r>
          </w:p>
        </w:tc>
        <w:tc>
          <w:tcPr>
            <w:tcW w:w="1418" w:type="dxa"/>
            <w:tcBorders>
              <w:left w:val="nil"/>
              <w:right w:val="nil"/>
            </w:tcBorders>
            <w:vAlign w:val="center"/>
          </w:tcPr>
          <w:p w14:paraId="12396EF8"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8</w:t>
            </w:r>
          </w:p>
        </w:tc>
        <w:tc>
          <w:tcPr>
            <w:tcW w:w="1356" w:type="dxa"/>
            <w:tcBorders>
              <w:left w:val="nil"/>
            </w:tcBorders>
            <w:vAlign w:val="center"/>
          </w:tcPr>
          <w:p w14:paraId="4062D1B2" w14:textId="77777777"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14.5</w:t>
            </w:r>
          </w:p>
        </w:tc>
      </w:tr>
      <w:tr w:rsidR="005778D7" w:rsidRPr="00A81DF3" w14:paraId="29649260" w14:textId="77777777" w:rsidTr="002E38EA">
        <w:trPr>
          <w:trHeight w:val="380"/>
          <w:jc w:val="center"/>
        </w:trPr>
        <w:tc>
          <w:tcPr>
            <w:tcW w:w="964" w:type="dxa"/>
            <w:tcBorders>
              <w:left w:val="nil"/>
              <w:right w:val="nil"/>
            </w:tcBorders>
            <w:vAlign w:val="center"/>
          </w:tcPr>
          <w:p w14:paraId="48AD1D3D" w14:textId="77777777"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14:paraId="34479862"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Accommodative Excess</w:t>
            </w:r>
          </w:p>
        </w:tc>
        <w:tc>
          <w:tcPr>
            <w:tcW w:w="1504" w:type="dxa"/>
            <w:tcBorders>
              <w:left w:val="nil"/>
              <w:right w:val="nil"/>
            </w:tcBorders>
            <w:vAlign w:val="center"/>
          </w:tcPr>
          <w:p w14:paraId="39ADBEAB"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4</w:t>
            </w:r>
          </w:p>
        </w:tc>
        <w:tc>
          <w:tcPr>
            <w:tcW w:w="1462" w:type="dxa"/>
            <w:tcBorders>
              <w:left w:val="nil"/>
              <w:right w:val="nil"/>
            </w:tcBorders>
            <w:vAlign w:val="center"/>
          </w:tcPr>
          <w:p w14:paraId="59788282" w14:textId="77777777"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7.3</w:t>
            </w:r>
          </w:p>
        </w:tc>
        <w:tc>
          <w:tcPr>
            <w:tcW w:w="1418" w:type="dxa"/>
            <w:tcBorders>
              <w:left w:val="nil"/>
              <w:right w:val="nil"/>
            </w:tcBorders>
            <w:vAlign w:val="center"/>
          </w:tcPr>
          <w:p w14:paraId="7F338DA3"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9</w:t>
            </w:r>
          </w:p>
        </w:tc>
        <w:tc>
          <w:tcPr>
            <w:tcW w:w="1356" w:type="dxa"/>
            <w:tcBorders>
              <w:left w:val="nil"/>
            </w:tcBorders>
            <w:vAlign w:val="center"/>
          </w:tcPr>
          <w:p w14:paraId="77CDB34D" w14:textId="77777777"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16.3</w:t>
            </w:r>
          </w:p>
        </w:tc>
      </w:tr>
      <w:tr w:rsidR="005778D7" w:rsidRPr="00A81DF3" w14:paraId="3F8C8806" w14:textId="77777777" w:rsidTr="002E38EA">
        <w:trPr>
          <w:trHeight w:val="398"/>
          <w:jc w:val="center"/>
        </w:trPr>
        <w:tc>
          <w:tcPr>
            <w:tcW w:w="964" w:type="dxa"/>
            <w:tcBorders>
              <w:left w:val="nil"/>
              <w:right w:val="nil"/>
            </w:tcBorders>
            <w:vAlign w:val="center"/>
          </w:tcPr>
          <w:p w14:paraId="12503B07" w14:textId="77777777"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14:paraId="2AF54054"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Normal Binocular Function</w:t>
            </w:r>
          </w:p>
        </w:tc>
        <w:tc>
          <w:tcPr>
            <w:tcW w:w="1504" w:type="dxa"/>
            <w:tcBorders>
              <w:left w:val="nil"/>
              <w:right w:val="nil"/>
            </w:tcBorders>
            <w:vAlign w:val="center"/>
          </w:tcPr>
          <w:p w14:paraId="1DB1A69E"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27</w:t>
            </w:r>
          </w:p>
        </w:tc>
        <w:tc>
          <w:tcPr>
            <w:tcW w:w="1462" w:type="dxa"/>
            <w:tcBorders>
              <w:left w:val="nil"/>
              <w:right w:val="nil"/>
            </w:tcBorders>
            <w:vAlign w:val="center"/>
          </w:tcPr>
          <w:p w14:paraId="4351B58B" w14:textId="77777777"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49.1</w:t>
            </w:r>
          </w:p>
        </w:tc>
        <w:tc>
          <w:tcPr>
            <w:tcW w:w="1418" w:type="dxa"/>
            <w:tcBorders>
              <w:left w:val="nil"/>
              <w:right w:val="nil"/>
            </w:tcBorders>
            <w:vAlign w:val="center"/>
          </w:tcPr>
          <w:p w14:paraId="30AE6D8A" w14:textId="77777777"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17</w:t>
            </w:r>
          </w:p>
        </w:tc>
        <w:tc>
          <w:tcPr>
            <w:tcW w:w="1356" w:type="dxa"/>
            <w:tcBorders>
              <w:left w:val="nil"/>
            </w:tcBorders>
            <w:vAlign w:val="center"/>
          </w:tcPr>
          <w:p w14:paraId="2EAD0B05" w14:textId="77777777"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30.9</w:t>
            </w:r>
          </w:p>
        </w:tc>
      </w:tr>
    </w:tbl>
    <w:p w14:paraId="0D4B136B" w14:textId="77777777" w:rsidR="005778D7" w:rsidRPr="00C312A5" w:rsidRDefault="005778D7" w:rsidP="005778D7">
      <w:pPr>
        <w:jc w:val="center"/>
        <w:rPr>
          <w:rFonts w:ascii="Times New Roman" w:hAnsi="Times New Roman"/>
          <w:color w:val="000000" w:themeColor="text1"/>
          <w:sz w:val="24"/>
        </w:rPr>
      </w:pPr>
    </w:p>
    <w:p w14:paraId="14349D0E" w14:textId="77777777"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Convergence Insufficiency (CI)</w:t>
      </w:r>
    </w:p>
    <w:p w14:paraId="4179E9DE" w14:textId="77777777"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Convergence insufficiency was the most common anomaly among the myopic group, identified in </w:t>
      </w:r>
      <w:r w:rsidRPr="005778D7">
        <w:rPr>
          <w:rFonts w:ascii="Arial" w:hAnsi="Arial" w:cs="Arial"/>
          <w:bCs/>
        </w:rPr>
        <w:t>14 (25.4%) patients</w:t>
      </w:r>
      <w:r w:rsidRPr="005778D7">
        <w:rPr>
          <w:rFonts w:ascii="Arial" w:hAnsi="Arial" w:cs="Arial"/>
        </w:rPr>
        <w:t xml:space="preserve">. This condition is characterized by a reduced ability to maintain convergence at near, often resulting in symptoms like eye strain and blurred near vision. In contrast, only </w:t>
      </w:r>
      <w:r w:rsidRPr="005778D7">
        <w:rPr>
          <w:rFonts w:ascii="Arial" w:hAnsi="Arial" w:cs="Arial"/>
          <w:bCs/>
        </w:rPr>
        <w:t>6 (10.9%) hypermetropic patients</w:t>
      </w:r>
      <w:r w:rsidRPr="005778D7">
        <w:rPr>
          <w:rFonts w:ascii="Arial" w:hAnsi="Arial" w:cs="Arial"/>
        </w:rPr>
        <w:t xml:space="preserve"> exhibited this anomaly. This supports the literature that myopes, who exert minimal accommodative effort at near, are more susceptible to CI due to lower accommodative-convergence stimulus.</w:t>
      </w:r>
    </w:p>
    <w:p w14:paraId="7D0DC3EF" w14:textId="77777777"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Convergence Excess (CE)</w:t>
      </w:r>
    </w:p>
    <w:p w14:paraId="1422A34F" w14:textId="77777777"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Conversely, </w:t>
      </w:r>
      <w:r w:rsidRPr="005778D7">
        <w:rPr>
          <w:rFonts w:ascii="Arial" w:hAnsi="Arial" w:cs="Arial"/>
          <w:bCs/>
        </w:rPr>
        <w:t>convergence excess</w:t>
      </w:r>
      <w:r w:rsidRPr="005778D7">
        <w:rPr>
          <w:rFonts w:ascii="Arial" w:hAnsi="Arial" w:cs="Arial"/>
        </w:rPr>
        <w:t xml:space="preserve"> was far more prevalent in the hypermetropic group, affecting </w:t>
      </w:r>
      <w:r w:rsidRPr="005778D7">
        <w:rPr>
          <w:rFonts w:ascii="Arial" w:hAnsi="Arial" w:cs="Arial"/>
          <w:bCs/>
        </w:rPr>
        <w:t xml:space="preserve">12 (21.8%) individuals </w:t>
      </w:r>
      <w:r w:rsidRPr="005778D7">
        <w:rPr>
          <w:rFonts w:ascii="Arial" w:hAnsi="Arial" w:cs="Arial"/>
        </w:rPr>
        <w:t xml:space="preserve">compared to only </w:t>
      </w:r>
      <w:r w:rsidRPr="005778D7">
        <w:rPr>
          <w:rFonts w:ascii="Arial" w:hAnsi="Arial" w:cs="Arial"/>
          <w:bCs/>
        </w:rPr>
        <w:t>3 (5.4%) myopic patients</w:t>
      </w:r>
      <w:r w:rsidRPr="005778D7">
        <w:rPr>
          <w:rFonts w:ascii="Arial" w:hAnsi="Arial" w:cs="Arial"/>
        </w:rPr>
        <w:t xml:space="preserve">. This finding aligns with the increased accommodative effort in </w:t>
      </w:r>
      <w:proofErr w:type="spellStart"/>
      <w:r w:rsidRPr="005778D7">
        <w:rPr>
          <w:rFonts w:ascii="Arial" w:hAnsi="Arial" w:cs="Arial"/>
        </w:rPr>
        <w:t>hypermetropes</w:t>
      </w:r>
      <w:proofErr w:type="spellEnd"/>
      <w:r w:rsidRPr="005778D7">
        <w:rPr>
          <w:rFonts w:ascii="Arial" w:hAnsi="Arial" w:cs="Arial"/>
        </w:rPr>
        <w:t xml:space="preserve"> during near tasks, leading to excessive convergence and often resulting in </w:t>
      </w:r>
      <w:proofErr w:type="spellStart"/>
      <w:r w:rsidRPr="005778D7">
        <w:rPr>
          <w:rFonts w:ascii="Arial" w:hAnsi="Arial" w:cs="Arial"/>
        </w:rPr>
        <w:t>esophoric</w:t>
      </w:r>
      <w:proofErr w:type="spellEnd"/>
      <w:r w:rsidRPr="005778D7">
        <w:rPr>
          <w:rFonts w:ascii="Arial" w:hAnsi="Arial" w:cs="Arial"/>
        </w:rPr>
        <w:t xml:space="preserve"> tendencies. This makes CE a significant NSBVA subtype among hypermetropic individuals.</w:t>
      </w:r>
    </w:p>
    <w:p w14:paraId="0FDFCE5E" w14:textId="77777777"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Divergence Insufficiency (DI)</w:t>
      </w:r>
    </w:p>
    <w:p w14:paraId="17FC9643" w14:textId="77777777"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This anomaly was relatively rare in both groups but slightly more frequent in </w:t>
      </w:r>
      <w:proofErr w:type="spellStart"/>
      <w:r w:rsidRPr="005778D7">
        <w:rPr>
          <w:rFonts w:ascii="Arial" w:hAnsi="Arial" w:cs="Arial"/>
        </w:rPr>
        <w:t>hypermetropes</w:t>
      </w:r>
      <w:proofErr w:type="spellEnd"/>
      <w:r w:rsidRPr="005778D7">
        <w:rPr>
          <w:rFonts w:ascii="Arial" w:hAnsi="Arial" w:cs="Arial"/>
        </w:rPr>
        <w:t xml:space="preserve">. It was found in </w:t>
      </w:r>
      <w:r w:rsidRPr="005778D7">
        <w:rPr>
          <w:rFonts w:ascii="Arial" w:hAnsi="Arial" w:cs="Arial"/>
          <w:bCs/>
        </w:rPr>
        <w:t xml:space="preserve">2 (3.6%) myopic patients </w:t>
      </w:r>
      <w:r w:rsidRPr="005778D7">
        <w:rPr>
          <w:rFonts w:ascii="Arial" w:hAnsi="Arial" w:cs="Arial"/>
        </w:rPr>
        <w:t xml:space="preserve">and </w:t>
      </w:r>
      <w:r w:rsidRPr="005778D7">
        <w:rPr>
          <w:rFonts w:ascii="Arial" w:hAnsi="Arial" w:cs="Arial"/>
          <w:bCs/>
        </w:rPr>
        <w:t>3 (5.4%) hypermetropic patients</w:t>
      </w:r>
      <w:r w:rsidRPr="005778D7">
        <w:rPr>
          <w:rFonts w:ascii="Arial" w:hAnsi="Arial" w:cs="Arial"/>
        </w:rPr>
        <w:t xml:space="preserve">. Divergence insufficiency typically manifests as difficulty maintaining single vision at distance, and its presence in both groups. </w:t>
      </w:r>
    </w:p>
    <w:p w14:paraId="501D3EF6" w14:textId="77777777"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 xml:space="preserve"> Accommodative Insufficiency (AI)</w:t>
      </w:r>
    </w:p>
    <w:p w14:paraId="0D054D2B" w14:textId="77777777"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Accommodative insufficiency, where the eyes have difficulty sustaining focus at near, was found in </w:t>
      </w:r>
      <w:r w:rsidRPr="005778D7">
        <w:rPr>
          <w:rFonts w:ascii="Arial" w:hAnsi="Arial" w:cs="Arial"/>
          <w:bCs/>
        </w:rPr>
        <w:t xml:space="preserve">5 (9.1%) myopic patients </w:t>
      </w:r>
      <w:r w:rsidRPr="005778D7">
        <w:rPr>
          <w:rFonts w:ascii="Arial" w:hAnsi="Arial" w:cs="Arial"/>
        </w:rPr>
        <w:t xml:space="preserve">and </w:t>
      </w:r>
      <w:r w:rsidRPr="005778D7">
        <w:rPr>
          <w:rFonts w:ascii="Arial" w:hAnsi="Arial" w:cs="Arial"/>
          <w:bCs/>
        </w:rPr>
        <w:t>8 (14.5%) hypermetropic patients</w:t>
      </w:r>
      <w:r w:rsidRPr="005778D7">
        <w:rPr>
          <w:rFonts w:ascii="Arial" w:hAnsi="Arial" w:cs="Arial"/>
        </w:rPr>
        <w:t xml:space="preserve">. This slightly higher prevalence among </w:t>
      </w:r>
      <w:proofErr w:type="spellStart"/>
      <w:r w:rsidRPr="005778D7">
        <w:rPr>
          <w:rFonts w:ascii="Arial" w:hAnsi="Arial" w:cs="Arial"/>
        </w:rPr>
        <w:t>hypermetropes</w:t>
      </w:r>
      <w:proofErr w:type="spellEnd"/>
      <w:r w:rsidRPr="005778D7">
        <w:rPr>
          <w:rFonts w:ascii="Arial" w:hAnsi="Arial" w:cs="Arial"/>
        </w:rPr>
        <w:t xml:space="preserve"> may be due to increased accommodative fatigue caused by chronic overuse of the accommodative system to overcome their refractive error.</w:t>
      </w:r>
    </w:p>
    <w:p w14:paraId="1F6E3062" w14:textId="77777777"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Accommodative Excess (AE)</w:t>
      </w:r>
    </w:p>
    <w:p w14:paraId="6142D732" w14:textId="77777777"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lastRenderedPageBreak/>
        <w:t xml:space="preserve">Accommodative excess, or difficulty in relaxing accommodation, was also more common in </w:t>
      </w:r>
      <w:proofErr w:type="spellStart"/>
      <w:r w:rsidRPr="005778D7">
        <w:rPr>
          <w:rFonts w:ascii="Arial" w:hAnsi="Arial" w:cs="Arial"/>
        </w:rPr>
        <w:t>hypermetropes</w:t>
      </w:r>
      <w:proofErr w:type="spellEnd"/>
      <w:r w:rsidRPr="005778D7">
        <w:rPr>
          <w:rFonts w:ascii="Arial" w:hAnsi="Arial" w:cs="Arial"/>
        </w:rPr>
        <w:t xml:space="preserve"> </w:t>
      </w:r>
      <w:r w:rsidRPr="005778D7">
        <w:rPr>
          <w:rFonts w:ascii="Arial" w:hAnsi="Arial" w:cs="Arial"/>
          <w:bCs/>
        </w:rPr>
        <w:t>9 (16.3%</w:t>
      </w:r>
      <w:r w:rsidRPr="005778D7">
        <w:rPr>
          <w:rFonts w:ascii="Arial" w:hAnsi="Arial" w:cs="Arial"/>
        </w:rPr>
        <w:t xml:space="preserve">) compared to </w:t>
      </w:r>
      <w:r w:rsidRPr="005778D7">
        <w:rPr>
          <w:rFonts w:ascii="Arial" w:hAnsi="Arial" w:cs="Arial"/>
          <w:bCs/>
        </w:rPr>
        <w:t>myopes 4 (7.3%)</w:t>
      </w:r>
      <w:r w:rsidRPr="005778D7">
        <w:rPr>
          <w:rFonts w:ascii="Arial" w:hAnsi="Arial" w:cs="Arial"/>
        </w:rPr>
        <w:t>. This condition is frequently associated with patients who habitually over-accommodate, again suggesting a pattern related to the refractive demand in hypermetropia.</w:t>
      </w:r>
    </w:p>
    <w:p w14:paraId="5C4690D3" w14:textId="77777777"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Normal Binocular Vision</w:t>
      </w:r>
    </w:p>
    <w:p w14:paraId="1A2ECB91" w14:textId="77777777"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Interestingly, a significantly higher proportion of myopic patients </w:t>
      </w:r>
      <w:r w:rsidRPr="005778D7">
        <w:rPr>
          <w:rFonts w:ascii="Arial" w:hAnsi="Arial" w:cs="Arial"/>
          <w:bCs/>
        </w:rPr>
        <w:t>27 (49.1%</w:t>
      </w:r>
      <w:r w:rsidRPr="005778D7">
        <w:rPr>
          <w:rFonts w:ascii="Arial" w:hAnsi="Arial" w:cs="Arial"/>
        </w:rPr>
        <w:t xml:space="preserve">) exhibited normal binocular function compared to </w:t>
      </w:r>
      <w:proofErr w:type="spellStart"/>
      <w:r w:rsidRPr="005778D7">
        <w:rPr>
          <w:rFonts w:ascii="Arial" w:hAnsi="Arial" w:cs="Arial"/>
          <w:bCs/>
        </w:rPr>
        <w:t>hypermetropes</w:t>
      </w:r>
      <w:proofErr w:type="spellEnd"/>
      <w:r w:rsidRPr="005778D7">
        <w:rPr>
          <w:rFonts w:ascii="Arial" w:hAnsi="Arial" w:cs="Arial"/>
          <w:bCs/>
        </w:rPr>
        <w:t xml:space="preserve"> 17 (30.9%)</w:t>
      </w:r>
      <w:r w:rsidRPr="005778D7">
        <w:rPr>
          <w:rFonts w:ascii="Arial" w:hAnsi="Arial" w:cs="Arial"/>
        </w:rPr>
        <w:t xml:space="preserve">. This suggests that myopic individuals, despite being prone to certain specific NSBVAs, may overall have a more stable binocular system than </w:t>
      </w:r>
      <w:proofErr w:type="spellStart"/>
      <w:r w:rsidRPr="005778D7">
        <w:rPr>
          <w:rFonts w:ascii="Arial" w:hAnsi="Arial" w:cs="Arial"/>
        </w:rPr>
        <w:t>hypermetropes</w:t>
      </w:r>
      <w:proofErr w:type="spellEnd"/>
      <w:r w:rsidRPr="005778D7">
        <w:rPr>
          <w:rFonts w:ascii="Arial" w:hAnsi="Arial" w:cs="Arial"/>
        </w:rPr>
        <w:t>, who are under greater strain due to the accommodative demands imposed by their refractive status.</w:t>
      </w:r>
    </w:p>
    <w:p w14:paraId="10443625" w14:textId="77777777" w:rsidR="005778D7" w:rsidRPr="005778D7" w:rsidRDefault="005778D7" w:rsidP="005778D7">
      <w:pPr>
        <w:spacing w:before="100" w:beforeAutospacing="1" w:after="100" w:afterAutospacing="1"/>
        <w:jc w:val="both"/>
        <w:rPr>
          <w:rFonts w:ascii="Arial" w:hAnsi="Arial" w:cs="Arial"/>
          <w:b/>
          <w:bCs/>
        </w:rPr>
      </w:pPr>
      <w:r w:rsidRPr="005778D7">
        <w:rPr>
          <w:rFonts w:ascii="Arial" w:hAnsi="Arial" w:cs="Arial"/>
        </w:rPr>
        <w:t xml:space="preserve">The findings of this study </w:t>
      </w:r>
      <w:proofErr w:type="gramStart"/>
      <w:r w:rsidRPr="005778D7">
        <w:rPr>
          <w:rFonts w:ascii="Arial" w:hAnsi="Arial" w:cs="Arial"/>
        </w:rPr>
        <w:t>suggests</w:t>
      </w:r>
      <w:proofErr w:type="gramEnd"/>
      <w:r w:rsidRPr="005778D7">
        <w:rPr>
          <w:rFonts w:ascii="Arial" w:hAnsi="Arial" w:cs="Arial"/>
        </w:rPr>
        <w:t xml:space="preserve"> that there is no significant difference in the prevalence between the </w:t>
      </w:r>
      <w:r w:rsidRPr="005778D7">
        <w:rPr>
          <w:rFonts w:ascii="Arial" w:hAnsi="Arial" w:cs="Arial"/>
          <w:bCs/>
        </w:rPr>
        <w:t xml:space="preserve">Non-Strabismic Binocular Vision Anomalies (NSBVAs) among myopic and hypermetropic patients (p=0.635) as shown in </w:t>
      </w:r>
      <w:r>
        <w:fldChar w:fldCharType="begin"/>
      </w:r>
      <w:r>
        <w:instrText xml:space="preserve"> REF _Ref202363160 \h  \* MERGEFORMAT </w:instrText>
      </w:r>
      <w:r>
        <w:fldChar w:fldCharType="separate"/>
      </w:r>
      <w:r w:rsidRPr="005778D7">
        <w:rPr>
          <w:rFonts w:ascii="Arial" w:hAnsi="Arial" w:cs="Arial"/>
          <w:color w:val="000000" w:themeColor="text1"/>
        </w:rPr>
        <w:t>Table 3</w:t>
      </w:r>
      <w:r>
        <w:fldChar w:fldCharType="end"/>
      </w:r>
      <w:r w:rsidRPr="005778D7">
        <w:rPr>
          <w:rFonts w:ascii="Arial" w:hAnsi="Arial" w:cs="Arial"/>
          <w:bCs/>
        </w:rPr>
        <w:t>.</w:t>
      </w:r>
    </w:p>
    <w:p w14:paraId="23DDF353" w14:textId="77777777" w:rsidR="005778D7" w:rsidRPr="00F50169" w:rsidRDefault="005778D7" w:rsidP="005778D7">
      <w:pPr>
        <w:pStyle w:val="Caption"/>
        <w:keepNext/>
        <w:rPr>
          <w:rFonts w:ascii="Arial" w:hAnsi="Arial" w:cs="Arial"/>
          <w:b/>
          <w:i w:val="0"/>
          <w:color w:val="000000" w:themeColor="text1"/>
          <w:sz w:val="20"/>
        </w:rPr>
      </w:pPr>
      <w:bookmarkStart w:id="3" w:name="_Ref202363160"/>
      <w:r w:rsidRPr="00F50169">
        <w:rPr>
          <w:rFonts w:ascii="Arial" w:hAnsi="Arial" w:cs="Arial"/>
          <w:b/>
          <w:i w:val="0"/>
          <w:color w:val="000000" w:themeColor="text1"/>
          <w:sz w:val="20"/>
        </w:rPr>
        <w:t xml:space="preserve">Table </w:t>
      </w:r>
      <w:r w:rsidR="007718CE" w:rsidRPr="00F50169">
        <w:rPr>
          <w:rFonts w:ascii="Arial" w:hAnsi="Arial" w:cs="Arial"/>
          <w:b/>
          <w:i w:val="0"/>
          <w:color w:val="000000" w:themeColor="text1"/>
          <w:sz w:val="20"/>
        </w:rPr>
        <w:fldChar w:fldCharType="begin"/>
      </w:r>
      <w:r w:rsidRPr="00F50169">
        <w:rPr>
          <w:rFonts w:ascii="Arial" w:hAnsi="Arial" w:cs="Arial"/>
          <w:b/>
          <w:i w:val="0"/>
          <w:color w:val="000000" w:themeColor="text1"/>
          <w:sz w:val="20"/>
        </w:rPr>
        <w:instrText xml:space="preserve"> SEQ Table \* ARABIC </w:instrText>
      </w:r>
      <w:r w:rsidR="007718CE" w:rsidRPr="00F50169">
        <w:rPr>
          <w:rFonts w:ascii="Arial" w:hAnsi="Arial" w:cs="Arial"/>
          <w:b/>
          <w:i w:val="0"/>
          <w:color w:val="000000" w:themeColor="text1"/>
          <w:sz w:val="20"/>
        </w:rPr>
        <w:fldChar w:fldCharType="separate"/>
      </w:r>
      <w:r w:rsidRPr="00F50169">
        <w:rPr>
          <w:rFonts w:ascii="Arial" w:hAnsi="Arial" w:cs="Arial"/>
          <w:b/>
          <w:i w:val="0"/>
          <w:noProof/>
          <w:color w:val="000000" w:themeColor="text1"/>
          <w:sz w:val="20"/>
        </w:rPr>
        <w:t>3</w:t>
      </w:r>
      <w:r w:rsidR="007718CE" w:rsidRPr="00F50169">
        <w:rPr>
          <w:rFonts w:ascii="Arial" w:hAnsi="Arial" w:cs="Arial"/>
          <w:b/>
          <w:i w:val="0"/>
          <w:color w:val="000000" w:themeColor="text1"/>
          <w:sz w:val="20"/>
        </w:rPr>
        <w:fldChar w:fldCharType="end"/>
      </w:r>
      <w:bookmarkEnd w:id="3"/>
      <w:r w:rsidRPr="00F50169">
        <w:rPr>
          <w:rFonts w:ascii="Arial" w:hAnsi="Arial" w:cs="Arial"/>
          <w:b/>
          <w:i w:val="0"/>
          <w:color w:val="000000" w:themeColor="text1"/>
          <w:sz w:val="20"/>
        </w:rPr>
        <w:t xml:space="preserve"> Comparison of Non-Strabismic Binocular Vision Anomalies (NSBVAs) among myopic and hypermetropic patients</w:t>
      </w:r>
    </w:p>
    <w:tbl>
      <w:tblPr>
        <w:tblStyle w:val="TableGrid"/>
        <w:tblW w:w="8298" w:type="dxa"/>
        <w:jc w:val="center"/>
        <w:tblBorders>
          <w:left w:val="none" w:sz="0" w:space="0" w:color="auto"/>
          <w:right w:val="none" w:sz="0" w:space="0" w:color="auto"/>
        </w:tblBorders>
        <w:tblLook w:val="04A0" w:firstRow="1" w:lastRow="0" w:firstColumn="1" w:lastColumn="0" w:noHBand="0" w:noVBand="1"/>
      </w:tblPr>
      <w:tblGrid>
        <w:gridCol w:w="712"/>
        <w:gridCol w:w="2955"/>
        <w:gridCol w:w="905"/>
        <w:gridCol w:w="1628"/>
        <w:gridCol w:w="1049"/>
        <w:gridCol w:w="1049"/>
      </w:tblGrid>
      <w:tr w:rsidR="00407919" w:rsidRPr="00CC70A5" w14:paraId="448FC620" w14:textId="77777777" w:rsidTr="002E38EA">
        <w:trPr>
          <w:trHeight w:val="661"/>
          <w:jc w:val="center"/>
        </w:trPr>
        <w:tc>
          <w:tcPr>
            <w:tcW w:w="719" w:type="dxa"/>
            <w:tcBorders>
              <w:right w:val="nil"/>
            </w:tcBorders>
            <w:vAlign w:val="center"/>
          </w:tcPr>
          <w:p w14:paraId="14CC6E61" w14:textId="77777777" w:rsidR="005778D7" w:rsidRPr="00CC70A5" w:rsidRDefault="005778D7" w:rsidP="002E38EA">
            <w:pPr>
              <w:spacing w:line="360" w:lineRule="auto"/>
              <w:jc w:val="center"/>
              <w:rPr>
                <w:rFonts w:ascii="Arial" w:hAnsi="Arial" w:cs="Arial"/>
                <w:b/>
                <w:sz w:val="20"/>
                <w:szCs w:val="20"/>
              </w:rPr>
            </w:pPr>
            <w:proofErr w:type="gramStart"/>
            <w:r w:rsidRPr="00CC70A5">
              <w:rPr>
                <w:rFonts w:ascii="Arial" w:hAnsi="Arial" w:cs="Arial"/>
                <w:b/>
                <w:sz w:val="20"/>
                <w:szCs w:val="20"/>
              </w:rPr>
              <w:t>S.N</w:t>
            </w:r>
            <w:proofErr w:type="gramEnd"/>
          </w:p>
        </w:tc>
        <w:tc>
          <w:tcPr>
            <w:tcW w:w="3016" w:type="dxa"/>
            <w:tcBorders>
              <w:left w:val="nil"/>
              <w:right w:val="nil"/>
            </w:tcBorders>
            <w:vAlign w:val="center"/>
          </w:tcPr>
          <w:p w14:paraId="01B32DB3" w14:textId="77777777"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Type of Anomaly</w:t>
            </w:r>
          </w:p>
        </w:tc>
        <w:tc>
          <w:tcPr>
            <w:tcW w:w="807" w:type="dxa"/>
            <w:tcBorders>
              <w:left w:val="nil"/>
              <w:right w:val="nil"/>
            </w:tcBorders>
            <w:vAlign w:val="center"/>
          </w:tcPr>
          <w:p w14:paraId="51ECD0D1" w14:textId="77777777"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Myopic (n=55)</w:t>
            </w:r>
          </w:p>
        </w:tc>
        <w:tc>
          <w:tcPr>
            <w:tcW w:w="1628" w:type="dxa"/>
            <w:tcBorders>
              <w:left w:val="nil"/>
              <w:right w:val="nil"/>
            </w:tcBorders>
            <w:vAlign w:val="center"/>
          </w:tcPr>
          <w:p w14:paraId="0513C2E4" w14:textId="77777777"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Hypermetropic (n=55)</w:t>
            </w:r>
          </w:p>
        </w:tc>
        <w:tc>
          <w:tcPr>
            <w:tcW w:w="1064" w:type="dxa"/>
            <w:tcBorders>
              <w:left w:val="nil"/>
              <w:right w:val="nil"/>
            </w:tcBorders>
            <w:vAlign w:val="center"/>
          </w:tcPr>
          <w:p w14:paraId="62284A97" w14:textId="77777777"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t-value</w:t>
            </w:r>
          </w:p>
        </w:tc>
        <w:tc>
          <w:tcPr>
            <w:tcW w:w="1064" w:type="dxa"/>
            <w:tcBorders>
              <w:left w:val="nil"/>
            </w:tcBorders>
            <w:vAlign w:val="center"/>
          </w:tcPr>
          <w:p w14:paraId="3EC271AD" w14:textId="77777777" w:rsidR="005778D7" w:rsidRPr="00CC70A5" w:rsidRDefault="00CC70A5" w:rsidP="002E38EA">
            <w:pPr>
              <w:spacing w:line="360" w:lineRule="auto"/>
              <w:jc w:val="center"/>
              <w:rPr>
                <w:rFonts w:ascii="Arial" w:hAnsi="Arial" w:cs="Arial"/>
                <w:b/>
                <w:bCs/>
                <w:sz w:val="20"/>
                <w:szCs w:val="20"/>
              </w:rPr>
            </w:pPr>
            <w:r>
              <w:rPr>
                <w:rFonts w:ascii="Arial" w:hAnsi="Arial" w:cs="Arial"/>
                <w:b/>
                <w:bCs/>
                <w:sz w:val="20"/>
                <w:szCs w:val="20"/>
              </w:rPr>
              <w:t>p</w:t>
            </w:r>
            <w:r w:rsidR="005778D7" w:rsidRPr="00CC70A5">
              <w:rPr>
                <w:rFonts w:ascii="Arial" w:hAnsi="Arial" w:cs="Arial"/>
                <w:b/>
                <w:bCs/>
                <w:sz w:val="20"/>
                <w:szCs w:val="20"/>
              </w:rPr>
              <w:t>-value</w:t>
            </w:r>
          </w:p>
        </w:tc>
      </w:tr>
      <w:tr w:rsidR="00407919" w:rsidRPr="00CC70A5" w14:paraId="2E876B8B" w14:textId="77777777" w:rsidTr="002E38EA">
        <w:trPr>
          <w:trHeight w:val="324"/>
          <w:jc w:val="center"/>
        </w:trPr>
        <w:tc>
          <w:tcPr>
            <w:tcW w:w="719" w:type="dxa"/>
            <w:tcBorders>
              <w:right w:val="nil"/>
            </w:tcBorders>
            <w:vAlign w:val="center"/>
          </w:tcPr>
          <w:p w14:paraId="5AB09004" w14:textId="77777777"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14:paraId="4291D3DA"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Convergence Insufficiency</w:t>
            </w:r>
          </w:p>
        </w:tc>
        <w:tc>
          <w:tcPr>
            <w:tcW w:w="807" w:type="dxa"/>
            <w:tcBorders>
              <w:left w:val="nil"/>
              <w:right w:val="nil"/>
            </w:tcBorders>
            <w:vAlign w:val="center"/>
          </w:tcPr>
          <w:p w14:paraId="6F792956"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14</w:t>
            </w:r>
          </w:p>
        </w:tc>
        <w:tc>
          <w:tcPr>
            <w:tcW w:w="1628" w:type="dxa"/>
            <w:tcBorders>
              <w:left w:val="nil"/>
              <w:right w:val="nil"/>
            </w:tcBorders>
            <w:vAlign w:val="center"/>
          </w:tcPr>
          <w:p w14:paraId="1633AB9A"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6</w:t>
            </w:r>
          </w:p>
        </w:tc>
        <w:tc>
          <w:tcPr>
            <w:tcW w:w="1064" w:type="dxa"/>
            <w:vMerge w:val="restart"/>
            <w:tcBorders>
              <w:left w:val="nil"/>
              <w:right w:val="nil"/>
            </w:tcBorders>
            <w:vAlign w:val="center"/>
          </w:tcPr>
          <w:p w14:paraId="574AE106" w14:textId="77777777" w:rsidR="005778D7" w:rsidRPr="00CC70A5" w:rsidRDefault="005778D7" w:rsidP="002E38EA">
            <w:pPr>
              <w:jc w:val="center"/>
              <w:rPr>
                <w:rFonts w:ascii="Arial" w:hAnsi="Arial" w:cs="Arial"/>
                <w:sz w:val="20"/>
                <w:szCs w:val="20"/>
              </w:rPr>
            </w:pPr>
            <w:r w:rsidRPr="00CC70A5">
              <w:rPr>
                <w:rFonts w:ascii="Arial" w:hAnsi="Arial" w:cs="Arial"/>
                <w:sz w:val="20"/>
                <w:szCs w:val="20"/>
              </w:rPr>
              <w:t>0.476</w:t>
            </w:r>
          </w:p>
        </w:tc>
        <w:tc>
          <w:tcPr>
            <w:tcW w:w="1064" w:type="dxa"/>
            <w:vMerge w:val="restart"/>
            <w:tcBorders>
              <w:left w:val="nil"/>
            </w:tcBorders>
            <w:vAlign w:val="center"/>
          </w:tcPr>
          <w:p w14:paraId="6EA79837" w14:textId="77777777" w:rsidR="005778D7" w:rsidRPr="00CC70A5" w:rsidRDefault="005778D7" w:rsidP="002E38EA">
            <w:pPr>
              <w:jc w:val="center"/>
              <w:rPr>
                <w:rFonts w:ascii="Arial" w:hAnsi="Arial" w:cs="Arial"/>
                <w:sz w:val="20"/>
                <w:szCs w:val="20"/>
              </w:rPr>
            </w:pPr>
            <w:r w:rsidRPr="00CC70A5">
              <w:rPr>
                <w:rFonts w:ascii="Arial" w:hAnsi="Arial" w:cs="Arial"/>
                <w:sz w:val="20"/>
                <w:szCs w:val="20"/>
              </w:rPr>
              <w:t>0.635</w:t>
            </w:r>
          </w:p>
        </w:tc>
      </w:tr>
      <w:tr w:rsidR="00407919" w:rsidRPr="00CC70A5" w14:paraId="6F683555" w14:textId="77777777" w:rsidTr="002E38EA">
        <w:trPr>
          <w:trHeight w:val="324"/>
          <w:jc w:val="center"/>
        </w:trPr>
        <w:tc>
          <w:tcPr>
            <w:tcW w:w="719" w:type="dxa"/>
            <w:tcBorders>
              <w:right w:val="nil"/>
            </w:tcBorders>
            <w:vAlign w:val="center"/>
          </w:tcPr>
          <w:p w14:paraId="1C358D30" w14:textId="77777777"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14:paraId="4D762E2C"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Convergence Excess</w:t>
            </w:r>
          </w:p>
        </w:tc>
        <w:tc>
          <w:tcPr>
            <w:tcW w:w="807" w:type="dxa"/>
            <w:tcBorders>
              <w:left w:val="nil"/>
              <w:right w:val="nil"/>
            </w:tcBorders>
            <w:vAlign w:val="center"/>
          </w:tcPr>
          <w:p w14:paraId="49D62F9E"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3</w:t>
            </w:r>
          </w:p>
        </w:tc>
        <w:tc>
          <w:tcPr>
            <w:tcW w:w="1628" w:type="dxa"/>
            <w:tcBorders>
              <w:left w:val="nil"/>
              <w:right w:val="nil"/>
            </w:tcBorders>
            <w:vAlign w:val="center"/>
          </w:tcPr>
          <w:p w14:paraId="38ED8DE0"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12</w:t>
            </w:r>
          </w:p>
        </w:tc>
        <w:tc>
          <w:tcPr>
            <w:tcW w:w="1064" w:type="dxa"/>
            <w:vMerge/>
            <w:tcBorders>
              <w:left w:val="nil"/>
              <w:right w:val="nil"/>
            </w:tcBorders>
            <w:vAlign w:val="center"/>
          </w:tcPr>
          <w:p w14:paraId="0C689D2D" w14:textId="77777777"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14:paraId="24626FD0" w14:textId="77777777" w:rsidR="005778D7" w:rsidRPr="00CC70A5" w:rsidRDefault="005778D7" w:rsidP="002E38EA">
            <w:pPr>
              <w:spacing w:line="360" w:lineRule="auto"/>
              <w:jc w:val="center"/>
              <w:rPr>
                <w:rFonts w:ascii="Arial" w:hAnsi="Arial" w:cs="Arial"/>
                <w:sz w:val="20"/>
                <w:szCs w:val="20"/>
              </w:rPr>
            </w:pPr>
          </w:p>
        </w:tc>
      </w:tr>
      <w:tr w:rsidR="00407919" w:rsidRPr="00CC70A5" w14:paraId="3B6B9CA8" w14:textId="77777777" w:rsidTr="002E38EA">
        <w:trPr>
          <w:trHeight w:val="324"/>
          <w:jc w:val="center"/>
        </w:trPr>
        <w:tc>
          <w:tcPr>
            <w:tcW w:w="719" w:type="dxa"/>
            <w:tcBorders>
              <w:right w:val="nil"/>
            </w:tcBorders>
            <w:vAlign w:val="center"/>
          </w:tcPr>
          <w:p w14:paraId="0BD2F59E" w14:textId="77777777"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14:paraId="37256C11"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Divergence Insufficiency</w:t>
            </w:r>
          </w:p>
        </w:tc>
        <w:tc>
          <w:tcPr>
            <w:tcW w:w="807" w:type="dxa"/>
            <w:tcBorders>
              <w:left w:val="nil"/>
              <w:right w:val="nil"/>
            </w:tcBorders>
            <w:vAlign w:val="center"/>
          </w:tcPr>
          <w:p w14:paraId="31AF8E76"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2</w:t>
            </w:r>
          </w:p>
        </w:tc>
        <w:tc>
          <w:tcPr>
            <w:tcW w:w="1628" w:type="dxa"/>
            <w:tcBorders>
              <w:left w:val="nil"/>
              <w:right w:val="nil"/>
            </w:tcBorders>
            <w:vAlign w:val="center"/>
          </w:tcPr>
          <w:p w14:paraId="36F906E1"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3</w:t>
            </w:r>
          </w:p>
        </w:tc>
        <w:tc>
          <w:tcPr>
            <w:tcW w:w="1064" w:type="dxa"/>
            <w:vMerge/>
            <w:tcBorders>
              <w:left w:val="nil"/>
              <w:right w:val="nil"/>
            </w:tcBorders>
            <w:vAlign w:val="center"/>
          </w:tcPr>
          <w:p w14:paraId="0A89C08E" w14:textId="77777777"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14:paraId="61ACC0C1" w14:textId="77777777" w:rsidR="005778D7" w:rsidRPr="00CC70A5" w:rsidRDefault="005778D7" w:rsidP="002E38EA">
            <w:pPr>
              <w:spacing w:line="360" w:lineRule="auto"/>
              <w:jc w:val="center"/>
              <w:rPr>
                <w:rFonts w:ascii="Arial" w:hAnsi="Arial" w:cs="Arial"/>
                <w:sz w:val="20"/>
                <w:szCs w:val="20"/>
              </w:rPr>
            </w:pPr>
          </w:p>
        </w:tc>
      </w:tr>
      <w:tr w:rsidR="00407919" w:rsidRPr="00CC70A5" w14:paraId="4DA6221F" w14:textId="77777777" w:rsidTr="002E38EA">
        <w:trPr>
          <w:trHeight w:val="324"/>
          <w:jc w:val="center"/>
        </w:trPr>
        <w:tc>
          <w:tcPr>
            <w:tcW w:w="719" w:type="dxa"/>
            <w:tcBorders>
              <w:right w:val="nil"/>
            </w:tcBorders>
            <w:vAlign w:val="center"/>
          </w:tcPr>
          <w:p w14:paraId="2A65AC21" w14:textId="77777777"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14:paraId="19893253"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Accommodative Insufficiency</w:t>
            </w:r>
          </w:p>
        </w:tc>
        <w:tc>
          <w:tcPr>
            <w:tcW w:w="807" w:type="dxa"/>
            <w:tcBorders>
              <w:left w:val="nil"/>
              <w:right w:val="nil"/>
            </w:tcBorders>
            <w:vAlign w:val="center"/>
          </w:tcPr>
          <w:p w14:paraId="3F5C66CE"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5</w:t>
            </w:r>
          </w:p>
        </w:tc>
        <w:tc>
          <w:tcPr>
            <w:tcW w:w="1628" w:type="dxa"/>
            <w:tcBorders>
              <w:left w:val="nil"/>
              <w:right w:val="nil"/>
            </w:tcBorders>
            <w:vAlign w:val="center"/>
          </w:tcPr>
          <w:p w14:paraId="56E0BFB5"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8</w:t>
            </w:r>
          </w:p>
        </w:tc>
        <w:tc>
          <w:tcPr>
            <w:tcW w:w="1064" w:type="dxa"/>
            <w:vMerge/>
            <w:tcBorders>
              <w:left w:val="nil"/>
              <w:right w:val="nil"/>
            </w:tcBorders>
            <w:vAlign w:val="center"/>
          </w:tcPr>
          <w:p w14:paraId="0727588D" w14:textId="77777777"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14:paraId="0B7CCBE1" w14:textId="77777777" w:rsidR="005778D7" w:rsidRPr="00CC70A5" w:rsidRDefault="005778D7" w:rsidP="002E38EA">
            <w:pPr>
              <w:spacing w:line="360" w:lineRule="auto"/>
              <w:jc w:val="center"/>
              <w:rPr>
                <w:rFonts w:ascii="Arial" w:hAnsi="Arial" w:cs="Arial"/>
                <w:sz w:val="20"/>
                <w:szCs w:val="20"/>
              </w:rPr>
            </w:pPr>
          </w:p>
        </w:tc>
      </w:tr>
      <w:tr w:rsidR="00407919" w:rsidRPr="00CC70A5" w14:paraId="461C8097" w14:textId="77777777" w:rsidTr="002E38EA">
        <w:trPr>
          <w:trHeight w:val="324"/>
          <w:jc w:val="center"/>
        </w:trPr>
        <w:tc>
          <w:tcPr>
            <w:tcW w:w="719" w:type="dxa"/>
            <w:tcBorders>
              <w:right w:val="nil"/>
            </w:tcBorders>
            <w:vAlign w:val="center"/>
          </w:tcPr>
          <w:p w14:paraId="7977DF9E" w14:textId="77777777"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14:paraId="06CAA0DF"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Accommodative Excess</w:t>
            </w:r>
          </w:p>
        </w:tc>
        <w:tc>
          <w:tcPr>
            <w:tcW w:w="807" w:type="dxa"/>
            <w:tcBorders>
              <w:left w:val="nil"/>
              <w:right w:val="nil"/>
            </w:tcBorders>
            <w:vAlign w:val="center"/>
          </w:tcPr>
          <w:p w14:paraId="268A30DA"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4</w:t>
            </w:r>
          </w:p>
        </w:tc>
        <w:tc>
          <w:tcPr>
            <w:tcW w:w="1628" w:type="dxa"/>
            <w:tcBorders>
              <w:left w:val="nil"/>
              <w:right w:val="nil"/>
            </w:tcBorders>
            <w:vAlign w:val="center"/>
          </w:tcPr>
          <w:p w14:paraId="1E80EA9F"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9</w:t>
            </w:r>
          </w:p>
        </w:tc>
        <w:tc>
          <w:tcPr>
            <w:tcW w:w="1064" w:type="dxa"/>
            <w:vMerge/>
            <w:tcBorders>
              <w:left w:val="nil"/>
              <w:right w:val="nil"/>
            </w:tcBorders>
            <w:vAlign w:val="center"/>
          </w:tcPr>
          <w:p w14:paraId="52B59DEB" w14:textId="77777777"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14:paraId="1C781724" w14:textId="77777777" w:rsidR="005778D7" w:rsidRPr="00CC70A5" w:rsidRDefault="005778D7" w:rsidP="002E38EA">
            <w:pPr>
              <w:spacing w:line="360" w:lineRule="auto"/>
              <w:jc w:val="center"/>
              <w:rPr>
                <w:rFonts w:ascii="Arial" w:hAnsi="Arial" w:cs="Arial"/>
                <w:sz w:val="20"/>
                <w:szCs w:val="20"/>
              </w:rPr>
            </w:pPr>
          </w:p>
        </w:tc>
      </w:tr>
      <w:tr w:rsidR="00407919" w:rsidRPr="00CC70A5" w14:paraId="6B9602BF" w14:textId="77777777" w:rsidTr="002E38EA">
        <w:trPr>
          <w:trHeight w:val="337"/>
          <w:jc w:val="center"/>
        </w:trPr>
        <w:tc>
          <w:tcPr>
            <w:tcW w:w="719" w:type="dxa"/>
            <w:tcBorders>
              <w:right w:val="nil"/>
            </w:tcBorders>
            <w:vAlign w:val="center"/>
          </w:tcPr>
          <w:p w14:paraId="4E7E09C1" w14:textId="77777777"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14:paraId="54491657"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Normal Binocular Function</w:t>
            </w:r>
          </w:p>
        </w:tc>
        <w:tc>
          <w:tcPr>
            <w:tcW w:w="807" w:type="dxa"/>
            <w:tcBorders>
              <w:left w:val="nil"/>
              <w:right w:val="nil"/>
            </w:tcBorders>
            <w:vAlign w:val="center"/>
          </w:tcPr>
          <w:p w14:paraId="12EAF0A8"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27</w:t>
            </w:r>
          </w:p>
        </w:tc>
        <w:tc>
          <w:tcPr>
            <w:tcW w:w="1628" w:type="dxa"/>
            <w:tcBorders>
              <w:left w:val="nil"/>
              <w:right w:val="nil"/>
            </w:tcBorders>
            <w:vAlign w:val="center"/>
          </w:tcPr>
          <w:p w14:paraId="5A1F29D5" w14:textId="77777777"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17</w:t>
            </w:r>
          </w:p>
        </w:tc>
        <w:tc>
          <w:tcPr>
            <w:tcW w:w="1064" w:type="dxa"/>
            <w:vMerge/>
            <w:tcBorders>
              <w:left w:val="nil"/>
              <w:right w:val="nil"/>
            </w:tcBorders>
            <w:vAlign w:val="center"/>
          </w:tcPr>
          <w:p w14:paraId="7894B12F" w14:textId="77777777"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14:paraId="7B5E4BFC" w14:textId="77777777" w:rsidR="005778D7" w:rsidRPr="00CC70A5" w:rsidRDefault="005778D7" w:rsidP="002E38EA">
            <w:pPr>
              <w:spacing w:line="360" w:lineRule="auto"/>
              <w:jc w:val="center"/>
              <w:rPr>
                <w:rFonts w:ascii="Arial" w:hAnsi="Arial" w:cs="Arial"/>
                <w:sz w:val="20"/>
                <w:szCs w:val="20"/>
              </w:rPr>
            </w:pPr>
          </w:p>
        </w:tc>
      </w:tr>
    </w:tbl>
    <w:p w14:paraId="74F4517E" w14:textId="77777777" w:rsidR="005778D7" w:rsidRDefault="005778D7" w:rsidP="005778D7">
      <w:pPr>
        <w:rPr>
          <w:rFonts w:ascii="Times New Roman" w:hAnsi="Times New Roman"/>
          <w:b/>
          <w:sz w:val="28"/>
        </w:rPr>
      </w:pPr>
    </w:p>
    <w:p w14:paraId="5BE75591" w14:textId="77777777" w:rsidR="00F53175" w:rsidRDefault="00F53175" w:rsidP="00441B6F">
      <w:pPr>
        <w:pStyle w:val="ConcHead"/>
        <w:spacing w:after="0"/>
        <w:jc w:val="both"/>
        <w:rPr>
          <w:rFonts w:ascii="Arial" w:hAnsi="Arial" w:cs="Arial"/>
        </w:rPr>
      </w:pPr>
    </w:p>
    <w:p w14:paraId="54CA932F" w14:textId="77777777" w:rsidR="00B01FCD" w:rsidRDefault="00000F8F" w:rsidP="00441B6F">
      <w:pPr>
        <w:pStyle w:val="ConcHead"/>
        <w:spacing w:after="0"/>
        <w:jc w:val="both"/>
        <w:rPr>
          <w:rFonts w:ascii="Arial" w:hAnsi="Arial" w:cs="Arial"/>
        </w:rPr>
      </w:pPr>
      <w:r>
        <w:rPr>
          <w:rFonts w:ascii="Arial" w:hAnsi="Arial" w:cs="Arial"/>
        </w:rPr>
        <w:t xml:space="preserve">4. </w:t>
      </w:r>
      <w:r w:rsidR="005778D7" w:rsidRPr="005778D7">
        <w:rPr>
          <w:rFonts w:ascii="Arial" w:hAnsi="Arial" w:cs="Arial"/>
        </w:rPr>
        <w:t>Discussion:</w:t>
      </w:r>
    </w:p>
    <w:p w14:paraId="7A7D6769" w14:textId="77777777" w:rsidR="005778D7" w:rsidRPr="005778D7" w:rsidRDefault="005778D7" w:rsidP="005778D7">
      <w:pPr>
        <w:pStyle w:val="NormalWeb"/>
        <w:jc w:val="both"/>
        <w:rPr>
          <w:rFonts w:ascii="Arial" w:hAnsi="Arial" w:cs="Arial"/>
          <w:sz w:val="20"/>
        </w:rPr>
      </w:pPr>
      <w:r w:rsidRPr="005778D7">
        <w:rPr>
          <w:rFonts w:ascii="Arial" w:hAnsi="Arial" w:cs="Arial"/>
          <w:sz w:val="20"/>
        </w:rPr>
        <w:t>The data from this study underscore a statistically significant difference in the distribution of non-strabismic binocular vision anomalies (NSBVAs) between myopic and hypermetropic individuals. A greater proportion of hypermetropic patients (69.1%) exhibited NSBVAs compared to their myopic counterparts (50.9%). This finding aligns with the premise that hypermetropia, due to its higher accommodative demand, predisposes patients to anomalies like convergence excess and accommodative excess.</w:t>
      </w:r>
    </w:p>
    <w:p w14:paraId="37F51238" w14:textId="77777777"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Convergence Insufficiency</w:t>
      </w:r>
      <w:r w:rsidRPr="005778D7">
        <w:rPr>
          <w:rFonts w:ascii="Arial" w:hAnsi="Arial" w:cs="Arial"/>
          <w:sz w:val="20"/>
        </w:rPr>
        <w:t xml:space="preserve"> was the most common NSBVA among myopic patients, affecting 25.4% compared to 10.9% in </w:t>
      </w:r>
      <w:proofErr w:type="spellStart"/>
      <w:r w:rsidRPr="005778D7">
        <w:rPr>
          <w:rFonts w:ascii="Arial" w:hAnsi="Arial" w:cs="Arial"/>
          <w:sz w:val="20"/>
        </w:rPr>
        <w:t>hypermetropes</w:t>
      </w:r>
      <w:proofErr w:type="spellEnd"/>
      <w:r w:rsidRPr="005778D7">
        <w:rPr>
          <w:rFonts w:ascii="Arial" w:hAnsi="Arial" w:cs="Arial"/>
          <w:sz w:val="20"/>
        </w:rPr>
        <w:t>. This is consistent with the reduced need for accommodation in myopes during near work, which in turn reduces accommodative convergence, leading to a relative exophoric posture. This finding supports earlier reports by Rouse et al. (1998) and Scheiman et al. (2020), who identified convergence insufficiency as more prevalent among individuals with myopia.[</w:t>
      </w:r>
      <w:r>
        <w:fldChar w:fldCharType="begin"/>
      </w:r>
      <w:r>
        <w:instrText xml:space="preserve"> REF _Ref202384214 \r \h  \* MERGEFORMAT </w:instrText>
      </w:r>
      <w:r>
        <w:fldChar w:fldCharType="separate"/>
      </w:r>
      <w:r w:rsidRPr="005778D7">
        <w:t>1</w:t>
      </w:r>
      <w:r>
        <w:fldChar w:fldCharType="end"/>
      </w:r>
      <w:r w:rsidRPr="005778D7">
        <w:rPr>
          <w:rFonts w:ascii="Arial" w:hAnsi="Arial" w:cs="Arial"/>
          <w:sz w:val="20"/>
        </w:rPr>
        <w:t>,</w:t>
      </w:r>
      <w:r>
        <w:fldChar w:fldCharType="begin"/>
      </w:r>
      <w:r>
        <w:instrText xml:space="preserve"> REF _Ref202438344 \r \h  \* MERGEFORMAT </w:instrText>
      </w:r>
      <w:r>
        <w:fldChar w:fldCharType="separate"/>
      </w:r>
      <w:r w:rsidRPr="005778D7">
        <w:t>5</w:t>
      </w:r>
      <w:r>
        <w:fldChar w:fldCharType="end"/>
      </w:r>
      <w:r w:rsidRPr="005778D7">
        <w:rPr>
          <w:rFonts w:ascii="Arial" w:hAnsi="Arial" w:cs="Arial"/>
          <w:sz w:val="20"/>
        </w:rPr>
        <w:t>]</w:t>
      </w:r>
    </w:p>
    <w:p w14:paraId="4FC8B78C" w14:textId="77777777" w:rsidR="005778D7" w:rsidRPr="005778D7" w:rsidRDefault="005778D7" w:rsidP="005778D7">
      <w:pPr>
        <w:pStyle w:val="NormalWeb"/>
        <w:jc w:val="both"/>
        <w:rPr>
          <w:rFonts w:ascii="Arial" w:hAnsi="Arial" w:cs="Arial"/>
          <w:sz w:val="20"/>
        </w:rPr>
      </w:pPr>
      <w:r w:rsidRPr="005778D7">
        <w:rPr>
          <w:rStyle w:val="Strong"/>
          <w:rFonts w:ascii="Arial" w:hAnsi="Arial" w:cs="Arial"/>
          <w:sz w:val="20"/>
        </w:rPr>
        <w:lastRenderedPageBreak/>
        <w:t>Convergence Excess</w:t>
      </w:r>
      <w:r w:rsidRPr="005778D7">
        <w:rPr>
          <w:rFonts w:ascii="Arial" w:hAnsi="Arial" w:cs="Arial"/>
          <w:sz w:val="20"/>
        </w:rPr>
        <w:t xml:space="preserve">, on the other hand, was significantly more prevalent in </w:t>
      </w:r>
      <w:proofErr w:type="spellStart"/>
      <w:r w:rsidRPr="005778D7">
        <w:rPr>
          <w:rFonts w:ascii="Arial" w:hAnsi="Arial" w:cs="Arial"/>
          <w:sz w:val="20"/>
        </w:rPr>
        <w:t>hypermetropes</w:t>
      </w:r>
      <w:proofErr w:type="spellEnd"/>
      <w:r w:rsidRPr="005778D7">
        <w:rPr>
          <w:rFonts w:ascii="Arial" w:hAnsi="Arial" w:cs="Arial"/>
          <w:sz w:val="20"/>
        </w:rPr>
        <w:t xml:space="preserve"> (21.8%) than in myopes (5.4%). This likely reflects the increased accommodative-convergence ratio in </w:t>
      </w:r>
      <w:proofErr w:type="spellStart"/>
      <w:r w:rsidRPr="005778D7">
        <w:rPr>
          <w:rFonts w:ascii="Arial" w:hAnsi="Arial" w:cs="Arial"/>
          <w:sz w:val="20"/>
        </w:rPr>
        <w:t>hypermetropes</w:t>
      </w:r>
      <w:proofErr w:type="spellEnd"/>
      <w:r w:rsidRPr="005778D7">
        <w:rPr>
          <w:rFonts w:ascii="Arial" w:hAnsi="Arial" w:cs="Arial"/>
          <w:sz w:val="20"/>
        </w:rPr>
        <w:t xml:space="preserve">, who must exert greater accommodation for near tasks, thereby inducing excess convergence. This imbalance often results in symptoms such as near vision blur, diplopia, or </w:t>
      </w:r>
      <w:proofErr w:type="gramStart"/>
      <w:r w:rsidRPr="005778D7">
        <w:rPr>
          <w:rFonts w:ascii="Arial" w:hAnsi="Arial" w:cs="Arial"/>
          <w:sz w:val="20"/>
        </w:rPr>
        <w:t>headaches.[</w:t>
      </w:r>
      <w:proofErr w:type="gramEnd"/>
      <w:r w:rsidR="007718CE">
        <w:fldChar w:fldCharType="begin"/>
      </w:r>
      <w:r w:rsidR="007718CE">
        <w:instrText xml:space="preserve"> REF _Ref202384214 \r \h  \* MERGEFORMAT </w:instrText>
      </w:r>
      <w:r w:rsidR="007718CE">
        <w:fldChar w:fldCharType="separate"/>
      </w:r>
      <w:r w:rsidRPr="005778D7">
        <w:rPr>
          <w:rFonts w:ascii="Arial" w:hAnsi="Arial" w:cs="Arial"/>
          <w:sz w:val="20"/>
        </w:rPr>
        <w:t>1</w:t>
      </w:r>
      <w:r w:rsidR="007718CE">
        <w:fldChar w:fldCharType="end"/>
      </w:r>
      <w:r w:rsidRPr="005778D7">
        <w:rPr>
          <w:rFonts w:ascii="Arial" w:hAnsi="Arial" w:cs="Arial"/>
          <w:sz w:val="20"/>
        </w:rPr>
        <w:t>]</w:t>
      </w:r>
    </w:p>
    <w:p w14:paraId="62366174" w14:textId="77777777"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Divergence Insufficiency</w:t>
      </w:r>
      <w:r w:rsidRPr="005778D7">
        <w:rPr>
          <w:rFonts w:ascii="Arial" w:hAnsi="Arial" w:cs="Arial"/>
          <w:sz w:val="20"/>
        </w:rPr>
        <w:t xml:space="preserve"> was relatively rare, with marginally higher prevalence in </w:t>
      </w:r>
      <w:proofErr w:type="spellStart"/>
      <w:r w:rsidRPr="005778D7">
        <w:rPr>
          <w:rFonts w:ascii="Arial" w:hAnsi="Arial" w:cs="Arial"/>
          <w:sz w:val="20"/>
        </w:rPr>
        <w:t>hypermetropes</w:t>
      </w:r>
      <w:proofErr w:type="spellEnd"/>
      <w:r w:rsidRPr="005778D7">
        <w:rPr>
          <w:rFonts w:ascii="Arial" w:hAnsi="Arial" w:cs="Arial"/>
          <w:sz w:val="20"/>
        </w:rPr>
        <w:t xml:space="preserve"> (5.4%) than in myopes (3.6%). A known risk factor for DI is uncorrected hyperopia, which causes excessive accommodative-convergence, which might lessen divergence tone.[</w:t>
      </w:r>
      <w:r>
        <w:fldChar w:fldCharType="begin"/>
      </w:r>
      <w:r>
        <w:instrText xml:space="preserve"> REF _Ref202438621 \r \h  \* MERGEFORMAT </w:instrText>
      </w:r>
      <w:r>
        <w:fldChar w:fldCharType="separate"/>
      </w:r>
      <w:r w:rsidRPr="005778D7">
        <w:t>6</w:t>
      </w:r>
      <w:r>
        <w:fldChar w:fldCharType="end"/>
      </w:r>
      <w:r w:rsidRPr="005778D7">
        <w:rPr>
          <w:rFonts w:ascii="Arial" w:hAnsi="Arial" w:cs="Arial"/>
          <w:sz w:val="20"/>
        </w:rPr>
        <w:t>] It has been demonstrated that correcting children's even low hyperopia (+0.50 D to +2.25 D) improves binocular performance, indicating that hyperopic refractive error has an essential role in controlling divergence (and convergence).[</w:t>
      </w:r>
      <w:r>
        <w:fldChar w:fldCharType="begin"/>
      </w:r>
      <w:r>
        <w:instrText xml:space="preserve"> REF _Ref202438697 \r \h  \* MERGEFORMAT </w:instrText>
      </w:r>
      <w:r>
        <w:fldChar w:fldCharType="separate"/>
      </w:r>
      <w:r w:rsidRPr="005778D7">
        <w:t>7</w:t>
      </w:r>
      <w:r>
        <w:fldChar w:fldCharType="end"/>
      </w:r>
      <w:r w:rsidRPr="005778D7">
        <w:rPr>
          <w:rFonts w:ascii="Arial" w:hAnsi="Arial" w:cs="Arial"/>
          <w:sz w:val="20"/>
        </w:rPr>
        <w:t>]</w:t>
      </w:r>
    </w:p>
    <w:p w14:paraId="5B45990C" w14:textId="77777777"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Accommodative Insufficiency</w:t>
      </w:r>
      <w:r w:rsidRPr="005778D7">
        <w:rPr>
          <w:rFonts w:ascii="Arial" w:hAnsi="Arial" w:cs="Arial"/>
          <w:sz w:val="20"/>
        </w:rPr>
        <w:t xml:space="preserve"> and </w:t>
      </w:r>
      <w:r w:rsidRPr="005778D7">
        <w:rPr>
          <w:rStyle w:val="Strong"/>
          <w:rFonts w:ascii="Arial" w:hAnsi="Arial" w:cs="Arial"/>
          <w:sz w:val="20"/>
        </w:rPr>
        <w:t>Accommodative Excess</w:t>
      </w:r>
      <w:r w:rsidRPr="005778D7">
        <w:rPr>
          <w:rFonts w:ascii="Arial" w:hAnsi="Arial" w:cs="Arial"/>
          <w:sz w:val="20"/>
        </w:rPr>
        <w:t xml:space="preserve"> were both more prevalent in hypermetropic patients (14.5% and 16.3% respectively) compared to myopes (9.1% and 7.3%). This reflects the </w:t>
      </w:r>
      <w:proofErr w:type="spellStart"/>
      <w:r w:rsidRPr="005778D7">
        <w:rPr>
          <w:rFonts w:ascii="Arial" w:hAnsi="Arial" w:cs="Arial"/>
          <w:sz w:val="20"/>
        </w:rPr>
        <w:t>hypermetropes</w:t>
      </w:r>
      <w:proofErr w:type="spellEnd"/>
      <w:r w:rsidRPr="005778D7">
        <w:rPr>
          <w:rFonts w:ascii="Arial" w:hAnsi="Arial" w:cs="Arial"/>
          <w:sz w:val="20"/>
        </w:rPr>
        <w:t>’ need to sustain a higher level of accommodation to achieve clear near vision, potentially exhausting the accommodative system or leading to overexertion. Marran et al. (2006) noted a similar trend, indicating that accommodative anomalies are a common comorbidity in patients with refractive error-related binocular dysfunction. [</w:t>
      </w:r>
      <w:r>
        <w:fldChar w:fldCharType="begin"/>
      </w:r>
      <w:r>
        <w:instrText xml:space="preserve"> REF _Ref202438820 \r \h  \* MERGEFORMAT </w:instrText>
      </w:r>
      <w:r>
        <w:fldChar w:fldCharType="separate"/>
      </w:r>
      <w:r w:rsidRPr="005778D7">
        <w:t>8</w:t>
      </w:r>
      <w:r>
        <w:fldChar w:fldCharType="end"/>
      </w:r>
      <w:r w:rsidRPr="005778D7">
        <w:rPr>
          <w:rFonts w:ascii="Arial" w:hAnsi="Arial" w:cs="Arial"/>
          <w:sz w:val="20"/>
        </w:rPr>
        <w:t>] Another study conducted by Rani A et al. (2025) found that accommodative insufficiency (30..88%) was the common NSBVA found among hypermetropic patients.[</w:t>
      </w:r>
      <w:r>
        <w:fldChar w:fldCharType="begin"/>
      </w:r>
      <w:r>
        <w:instrText xml:space="preserve"> REF _Ref202439296 \r \h  \* MERGEFORMAT </w:instrText>
      </w:r>
      <w:r>
        <w:fldChar w:fldCharType="separate"/>
      </w:r>
      <w:r w:rsidRPr="005778D7">
        <w:t>9</w:t>
      </w:r>
      <w:r>
        <w:fldChar w:fldCharType="end"/>
      </w:r>
      <w:r w:rsidRPr="005778D7">
        <w:rPr>
          <w:rFonts w:ascii="Arial" w:hAnsi="Arial" w:cs="Arial"/>
          <w:sz w:val="20"/>
        </w:rPr>
        <w:t>]</w:t>
      </w:r>
    </w:p>
    <w:p w14:paraId="180D4F82" w14:textId="77777777" w:rsidR="005778D7" w:rsidRPr="005778D7" w:rsidRDefault="005778D7" w:rsidP="005778D7">
      <w:pPr>
        <w:pStyle w:val="NormalWeb"/>
        <w:jc w:val="both"/>
        <w:rPr>
          <w:rFonts w:ascii="Arial" w:hAnsi="Arial" w:cs="Arial"/>
          <w:sz w:val="20"/>
        </w:rPr>
      </w:pPr>
      <w:r w:rsidRPr="005778D7">
        <w:rPr>
          <w:rFonts w:ascii="Arial" w:hAnsi="Arial" w:cs="Arial"/>
          <w:sz w:val="20"/>
        </w:rPr>
        <w:t xml:space="preserve">Notably, </w:t>
      </w:r>
      <w:r w:rsidRPr="005778D7">
        <w:rPr>
          <w:rStyle w:val="Strong"/>
          <w:rFonts w:ascii="Arial" w:hAnsi="Arial" w:cs="Arial"/>
          <w:sz w:val="20"/>
        </w:rPr>
        <w:t>Normal Binocular Function</w:t>
      </w:r>
      <w:r w:rsidRPr="005778D7">
        <w:rPr>
          <w:rFonts w:ascii="Arial" w:hAnsi="Arial" w:cs="Arial"/>
          <w:sz w:val="20"/>
        </w:rPr>
        <w:t xml:space="preserve"> was observed in nearly half of myopic participants (49.1%) but only in 30.9% of hypermetropic participants. This suggests that myopic individuals, despite their refractive status, are less likely to suffer from symptomatic binocular dysfunction. This finding emphasizes the importance of detailed binocular vision assessments particularly in hypermetropic patients, even when refractive correction appears </w:t>
      </w:r>
      <w:proofErr w:type="gramStart"/>
      <w:r w:rsidRPr="005778D7">
        <w:rPr>
          <w:rFonts w:ascii="Arial" w:hAnsi="Arial" w:cs="Arial"/>
          <w:sz w:val="20"/>
        </w:rPr>
        <w:t>adequate.[</w:t>
      </w:r>
      <w:proofErr w:type="gramEnd"/>
      <w:r w:rsidR="007718CE">
        <w:fldChar w:fldCharType="begin"/>
      </w:r>
      <w:r w:rsidR="007718CE">
        <w:instrText xml:space="preserve"> REF _Ref202439314 \r \h  \* MERGEFORMAT </w:instrText>
      </w:r>
      <w:r w:rsidR="007718CE">
        <w:fldChar w:fldCharType="separate"/>
      </w:r>
      <w:r w:rsidRPr="005778D7">
        <w:rPr>
          <w:rFonts w:ascii="Arial" w:hAnsi="Arial" w:cs="Arial"/>
          <w:sz w:val="20"/>
        </w:rPr>
        <w:t>10</w:t>
      </w:r>
      <w:r w:rsidR="007718CE">
        <w:fldChar w:fldCharType="end"/>
      </w:r>
      <w:r w:rsidRPr="005778D7">
        <w:rPr>
          <w:rFonts w:ascii="Arial" w:hAnsi="Arial" w:cs="Arial"/>
          <w:sz w:val="20"/>
        </w:rPr>
        <w:t>]</w:t>
      </w:r>
    </w:p>
    <w:p w14:paraId="51AFE227" w14:textId="77777777" w:rsidR="005778D7" w:rsidRPr="005778D7" w:rsidRDefault="005778D7" w:rsidP="005778D7">
      <w:pPr>
        <w:pStyle w:val="NormalWeb"/>
        <w:jc w:val="both"/>
        <w:rPr>
          <w:rFonts w:ascii="Arial" w:hAnsi="Arial" w:cs="Arial"/>
          <w:sz w:val="20"/>
        </w:rPr>
      </w:pPr>
      <w:r w:rsidRPr="005778D7">
        <w:rPr>
          <w:rFonts w:ascii="Arial" w:hAnsi="Arial" w:cs="Arial"/>
          <w:sz w:val="20"/>
        </w:rPr>
        <w:t>The high proportion of anomalies in both groups also reinforces the need for clinicians to incorporate binocular vision evaluation into standard optometric exams. While refractive correction may alleviate some symptoms, uncorrected NSBVAs can continue to impact the patient’s quality of life and visual efficiency.</w:t>
      </w:r>
    </w:p>
    <w:p w14:paraId="6383C749" w14:textId="77777777" w:rsidR="005778D7" w:rsidRPr="005778D7" w:rsidRDefault="005778D7" w:rsidP="005778D7">
      <w:pPr>
        <w:pStyle w:val="NormalWeb"/>
        <w:rPr>
          <w:rFonts w:ascii="Arial" w:hAnsi="Arial" w:cs="Arial"/>
          <w:sz w:val="22"/>
        </w:rPr>
      </w:pPr>
      <w:r>
        <w:rPr>
          <w:rStyle w:val="Strong"/>
          <w:rFonts w:ascii="Arial" w:hAnsi="Arial" w:cs="Arial"/>
          <w:sz w:val="22"/>
        </w:rPr>
        <w:t>5</w:t>
      </w:r>
      <w:r w:rsidRPr="005778D7">
        <w:rPr>
          <w:rStyle w:val="Strong"/>
          <w:rFonts w:ascii="Arial" w:hAnsi="Arial" w:cs="Arial"/>
          <w:sz w:val="22"/>
        </w:rPr>
        <w:t>. CONCLUSION</w:t>
      </w:r>
    </w:p>
    <w:p w14:paraId="5181228C" w14:textId="77777777" w:rsidR="005778D7" w:rsidRPr="005778D7" w:rsidRDefault="005778D7" w:rsidP="005778D7">
      <w:pPr>
        <w:pStyle w:val="NormalWeb"/>
        <w:jc w:val="both"/>
        <w:rPr>
          <w:rFonts w:ascii="Arial" w:hAnsi="Arial" w:cs="Arial"/>
          <w:sz w:val="20"/>
        </w:rPr>
      </w:pPr>
      <w:r w:rsidRPr="005778D7">
        <w:rPr>
          <w:rFonts w:ascii="Arial" w:hAnsi="Arial" w:cs="Arial"/>
          <w:sz w:val="20"/>
        </w:rPr>
        <w:t xml:space="preserve">The study established that non-strabismic binocular vision anomalies and refractive errors are interlinked. Hypermetropic patients are more prone to convergence excess followed by accommodative excess and insufficiency, while myopic individuals exhibit a higher prevalence of convergence insufficiency. Clinicians should consider comprehensive binocular vision testing in patients presenting with </w:t>
      </w:r>
      <w:proofErr w:type="spellStart"/>
      <w:r w:rsidRPr="005778D7">
        <w:rPr>
          <w:rFonts w:ascii="Arial" w:hAnsi="Arial" w:cs="Arial"/>
          <w:sz w:val="20"/>
        </w:rPr>
        <w:t>asthenopic</w:t>
      </w:r>
      <w:proofErr w:type="spellEnd"/>
      <w:r w:rsidRPr="005778D7">
        <w:rPr>
          <w:rFonts w:ascii="Arial" w:hAnsi="Arial" w:cs="Arial"/>
          <w:sz w:val="20"/>
        </w:rPr>
        <w:t xml:space="preserve"> symptoms, irrespective of their refractive status. Early identification and management of NSBVAs can significantly improve visual comfort and quality of life.</w:t>
      </w:r>
    </w:p>
    <w:p w14:paraId="62172555" w14:textId="77777777" w:rsidR="00315186" w:rsidRPr="00315186" w:rsidRDefault="00315186" w:rsidP="00441B6F"/>
    <w:p w14:paraId="002ED5A3" w14:textId="77777777" w:rsidR="005C784C" w:rsidRDefault="005C784C" w:rsidP="00441B6F">
      <w:pPr>
        <w:pStyle w:val="ReferHead"/>
        <w:spacing w:after="0"/>
        <w:jc w:val="both"/>
        <w:rPr>
          <w:rFonts w:ascii="Arial" w:hAnsi="Arial" w:cs="Arial"/>
          <w:bCs/>
        </w:rPr>
      </w:pPr>
      <w:r>
        <w:rPr>
          <w:rFonts w:ascii="Arial" w:hAnsi="Arial" w:cs="Arial"/>
          <w:bCs/>
        </w:rPr>
        <w:lastRenderedPageBreak/>
        <w:t xml:space="preserve">Ethical approval </w:t>
      </w:r>
    </w:p>
    <w:p w14:paraId="1FC68584" w14:textId="77777777" w:rsidR="005C784C" w:rsidRPr="002B685A" w:rsidRDefault="005C784C" w:rsidP="00441B6F">
      <w:pPr>
        <w:pStyle w:val="ReferHead"/>
        <w:spacing w:after="0"/>
        <w:jc w:val="both"/>
        <w:rPr>
          <w:rFonts w:ascii="Arial" w:hAnsi="Arial" w:cs="Arial"/>
          <w:bCs/>
        </w:rPr>
      </w:pPr>
    </w:p>
    <w:p w14:paraId="1DFCCE62" w14:textId="77777777" w:rsidR="0041027F" w:rsidRDefault="001A29D8" w:rsidP="00441B6F">
      <w:pPr>
        <w:pStyle w:val="ReferHead"/>
        <w:spacing w:after="0"/>
        <w:jc w:val="both"/>
        <w:rPr>
          <w:rFonts w:ascii="Arial" w:hAnsi="Arial" w:cs="Arial"/>
          <w:b w:val="0"/>
          <w:caps w:val="0"/>
          <w:sz w:val="20"/>
        </w:rPr>
      </w:pPr>
      <w:r w:rsidRPr="00747C4D">
        <w:rPr>
          <w:rFonts w:ascii="Arial" w:hAnsi="Arial" w:cs="Arial"/>
          <w:b w:val="0"/>
          <w:caps w:val="0"/>
          <w:sz w:val="20"/>
        </w:rPr>
        <w:t>All authors hereby declare that a</w:t>
      </w:r>
      <w:r w:rsidR="0041027F" w:rsidRPr="00747C4D">
        <w:rPr>
          <w:rFonts w:ascii="Arial" w:hAnsi="Arial" w:cs="Arial"/>
          <w:b w:val="0"/>
          <w:caps w:val="0"/>
          <w:sz w:val="20"/>
        </w:rPr>
        <w:t xml:space="preserve">ll </w:t>
      </w:r>
      <w:r w:rsidR="00F469F0" w:rsidRPr="00747C4D">
        <w:rPr>
          <w:rFonts w:ascii="Arial" w:hAnsi="Arial" w:cs="Arial"/>
          <w:b w:val="0"/>
          <w:caps w:val="0"/>
          <w:sz w:val="20"/>
        </w:rPr>
        <w:t>experiments</w:t>
      </w:r>
      <w:r w:rsidR="0041027F" w:rsidRPr="00747C4D">
        <w:rPr>
          <w:rFonts w:ascii="Arial" w:hAnsi="Arial" w:cs="Arial"/>
          <w:b w:val="0"/>
          <w:caps w:val="0"/>
          <w:sz w:val="20"/>
        </w:rPr>
        <w:t xml:space="preserve"> have been examined</w:t>
      </w:r>
      <w:r w:rsidRPr="00747C4D">
        <w:rPr>
          <w:rFonts w:ascii="Arial" w:hAnsi="Arial" w:cs="Arial"/>
          <w:b w:val="0"/>
          <w:caps w:val="0"/>
          <w:sz w:val="20"/>
        </w:rPr>
        <w:t xml:space="preserve"> and approved</w:t>
      </w:r>
      <w:r w:rsidR="0041027F" w:rsidRPr="00747C4D">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01D0C1EF" w14:textId="77777777" w:rsidR="00B965A2" w:rsidRDefault="00B965A2" w:rsidP="00441B6F">
      <w:pPr>
        <w:pStyle w:val="ReferHead"/>
        <w:spacing w:after="0"/>
        <w:jc w:val="both"/>
        <w:rPr>
          <w:rFonts w:ascii="Arial" w:hAnsi="Arial" w:cs="Arial"/>
          <w:b w:val="0"/>
          <w:caps w:val="0"/>
          <w:sz w:val="20"/>
        </w:rPr>
      </w:pPr>
    </w:p>
    <w:p w14:paraId="5589F273" w14:textId="77777777" w:rsidR="00B965A2" w:rsidRPr="00B965A2" w:rsidRDefault="00B965A2" w:rsidP="00B965A2">
      <w:pPr>
        <w:pStyle w:val="ReferHead"/>
        <w:jc w:val="both"/>
        <w:rPr>
          <w:rFonts w:ascii="Arial" w:hAnsi="Arial" w:cs="Arial"/>
          <w:b w:val="0"/>
          <w:caps w:val="0"/>
          <w:sz w:val="20"/>
        </w:rPr>
      </w:pPr>
      <w:r w:rsidRPr="00B965A2">
        <w:rPr>
          <w:rFonts w:ascii="Arial" w:hAnsi="Arial" w:cs="Arial"/>
          <w:b w:val="0"/>
          <w:caps w:val="0"/>
          <w:sz w:val="20"/>
        </w:rPr>
        <w:t>COMPETING INTERESTS DISCLAIMER:</w:t>
      </w:r>
    </w:p>
    <w:p w14:paraId="6B9D4A6A" w14:textId="2826F654" w:rsidR="00B965A2" w:rsidRPr="00747C4D" w:rsidRDefault="00B965A2" w:rsidP="00B965A2">
      <w:pPr>
        <w:pStyle w:val="ReferHead"/>
        <w:spacing w:after="0"/>
        <w:jc w:val="both"/>
        <w:rPr>
          <w:rFonts w:ascii="Arial" w:hAnsi="Arial" w:cs="Arial"/>
          <w:b w:val="0"/>
          <w:caps w:val="0"/>
          <w:sz w:val="20"/>
        </w:rPr>
      </w:pPr>
      <w:r w:rsidRPr="00B965A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068634A9" w14:textId="77777777" w:rsidR="00860000" w:rsidRDefault="00860000" w:rsidP="00441B6F">
      <w:pPr>
        <w:pStyle w:val="ReferHead"/>
        <w:spacing w:after="0"/>
        <w:jc w:val="both"/>
        <w:rPr>
          <w:rFonts w:ascii="Arial" w:hAnsi="Arial" w:cs="Arial"/>
        </w:rPr>
      </w:pPr>
    </w:p>
    <w:p w14:paraId="659EED9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D0CBA08" w14:textId="77777777" w:rsidR="00790ADA" w:rsidRPr="00FB3A86" w:rsidRDefault="00790ADA" w:rsidP="00441B6F">
      <w:pPr>
        <w:pStyle w:val="ReferHead"/>
        <w:spacing w:after="0"/>
        <w:jc w:val="both"/>
        <w:rPr>
          <w:rFonts w:ascii="Arial" w:hAnsi="Arial" w:cs="Arial"/>
        </w:rPr>
      </w:pPr>
    </w:p>
    <w:p w14:paraId="0C497D08" w14:textId="77777777" w:rsidR="009410D5" w:rsidRPr="009410D5" w:rsidRDefault="009410D5" w:rsidP="009410D5">
      <w:pPr>
        <w:pStyle w:val="ListNumber"/>
        <w:spacing w:line="240" w:lineRule="auto"/>
        <w:jc w:val="both"/>
        <w:rPr>
          <w:rFonts w:ascii="Arial" w:hAnsi="Arial" w:cs="Arial"/>
          <w:sz w:val="20"/>
          <w:szCs w:val="24"/>
        </w:rPr>
      </w:pPr>
      <w:bookmarkStart w:id="4" w:name="_Ref202384214"/>
      <w:r w:rsidRPr="009410D5">
        <w:rPr>
          <w:rFonts w:ascii="Arial" w:hAnsi="Arial" w:cs="Arial"/>
          <w:sz w:val="20"/>
          <w:szCs w:val="24"/>
        </w:rPr>
        <w:t xml:space="preserve">Scheiman M, Wick B. Clinical Management of Binocular Vision: </w:t>
      </w:r>
      <w:proofErr w:type="spellStart"/>
      <w:r w:rsidRPr="009410D5">
        <w:rPr>
          <w:rFonts w:ascii="Arial" w:hAnsi="Arial" w:cs="Arial"/>
          <w:sz w:val="20"/>
          <w:szCs w:val="24"/>
        </w:rPr>
        <w:t>Heterophoric</w:t>
      </w:r>
      <w:proofErr w:type="spellEnd"/>
      <w:r w:rsidRPr="009410D5">
        <w:rPr>
          <w:rFonts w:ascii="Arial" w:hAnsi="Arial" w:cs="Arial"/>
          <w:sz w:val="20"/>
          <w:szCs w:val="24"/>
        </w:rPr>
        <w:t>, Accommodative, and Eye Movement Disorders. 5th ed. Wolters Kluwer; 2020.</w:t>
      </w:r>
      <w:bookmarkStart w:id="5" w:name="_Ref201586680"/>
      <w:bookmarkEnd w:id="4"/>
    </w:p>
    <w:p w14:paraId="7A4E5141" w14:textId="77777777" w:rsidR="009410D5" w:rsidRPr="009410D5" w:rsidRDefault="009410D5" w:rsidP="009410D5">
      <w:pPr>
        <w:pStyle w:val="ListNumber"/>
        <w:spacing w:line="240" w:lineRule="auto"/>
        <w:jc w:val="both"/>
        <w:rPr>
          <w:rFonts w:ascii="Arial" w:hAnsi="Arial" w:cs="Arial"/>
          <w:sz w:val="20"/>
          <w:szCs w:val="24"/>
        </w:rPr>
      </w:pPr>
      <w:bookmarkStart w:id="6" w:name="_Ref202437951"/>
      <w:r w:rsidRPr="009410D5">
        <w:rPr>
          <w:rFonts w:ascii="Arial" w:hAnsi="Arial" w:cs="Arial"/>
          <w:color w:val="222222"/>
          <w:sz w:val="20"/>
          <w:szCs w:val="24"/>
          <w:shd w:val="clear" w:color="auto" w:fill="FFFFFF"/>
        </w:rPr>
        <w:t xml:space="preserve">Muthu S, </w:t>
      </w:r>
      <w:proofErr w:type="spellStart"/>
      <w:r w:rsidRPr="009410D5">
        <w:rPr>
          <w:rFonts w:ascii="Arial" w:hAnsi="Arial" w:cs="Arial"/>
          <w:color w:val="222222"/>
          <w:sz w:val="20"/>
          <w:szCs w:val="24"/>
          <w:shd w:val="clear" w:color="auto" w:fill="FFFFFF"/>
        </w:rPr>
        <w:t>Jethani</w:t>
      </w:r>
      <w:proofErr w:type="spellEnd"/>
      <w:r w:rsidRPr="009410D5">
        <w:rPr>
          <w:rFonts w:ascii="Arial" w:hAnsi="Arial" w:cs="Arial"/>
          <w:color w:val="222222"/>
          <w:sz w:val="20"/>
          <w:szCs w:val="24"/>
          <w:shd w:val="clear" w:color="auto" w:fill="FFFFFF"/>
        </w:rPr>
        <w:t xml:space="preserve"> J, </w:t>
      </w:r>
      <w:proofErr w:type="spellStart"/>
      <w:r w:rsidRPr="009410D5">
        <w:rPr>
          <w:rFonts w:ascii="Arial" w:hAnsi="Arial" w:cs="Arial"/>
          <w:color w:val="222222"/>
          <w:sz w:val="20"/>
          <w:szCs w:val="24"/>
          <w:shd w:val="clear" w:color="auto" w:fill="FFFFFF"/>
        </w:rPr>
        <w:t>Annavajjhala</w:t>
      </w:r>
      <w:proofErr w:type="spellEnd"/>
      <w:r w:rsidRPr="009410D5">
        <w:rPr>
          <w:rFonts w:ascii="Arial" w:hAnsi="Arial" w:cs="Arial"/>
          <w:color w:val="222222"/>
          <w:sz w:val="20"/>
          <w:szCs w:val="24"/>
          <w:shd w:val="clear" w:color="auto" w:fill="FFFFFF"/>
        </w:rPr>
        <w:t xml:space="preserve"> S, Gupta S, Gupta K, Khamar P. Integrating binocular vision assessment in refractive surgery work-up: Proposition and protocol. Indian Journal of Ophthalmology. 2020 Dec 1;68(12):2835-46.</w:t>
      </w:r>
      <w:bookmarkStart w:id="7" w:name="_Ref201599380"/>
      <w:bookmarkEnd w:id="5"/>
      <w:bookmarkEnd w:id="6"/>
    </w:p>
    <w:p w14:paraId="2990110B" w14:textId="77777777" w:rsidR="009410D5" w:rsidRPr="009410D5" w:rsidRDefault="009410D5" w:rsidP="009410D5">
      <w:pPr>
        <w:pStyle w:val="ListNumber"/>
        <w:spacing w:line="240" w:lineRule="auto"/>
        <w:jc w:val="both"/>
        <w:rPr>
          <w:rFonts w:ascii="Arial" w:hAnsi="Arial" w:cs="Arial"/>
          <w:sz w:val="20"/>
          <w:szCs w:val="24"/>
        </w:rPr>
      </w:pPr>
      <w:bookmarkStart w:id="8" w:name="_Ref202437956"/>
      <w:r w:rsidRPr="009410D5">
        <w:rPr>
          <w:rFonts w:ascii="Arial" w:hAnsi="Arial" w:cs="Arial"/>
          <w:color w:val="222222"/>
          <w:sz w:val="20"/>
          <w:szCs w:val="24"/>
          <w:shd w:val="clear" w:color="auto" w:fill="FFFFFF"/>
        </w:rPr>
        <w:t>Bhowmick A, Kumar PP, Ratra D. Frequency of Non-strabismic Binocular Vision Anomalies among Optometrists in a Tertiary Eye Care Center in Southern India. Indian Journal of Occupational and Environmental Medicine. 2024 Apr 1;28(2):138-42.</w:t>
      </w:r>
      <w:bookmarkEnd w:id="7"/>
      <w:bookmarkEnd w:id="8"/>
    </w:p>
    <w:p w14:paraId="16EA922A" w14:textId="77777777" w:rsidR="009410D5" w:rsidRPr="009410D5" w:rsidRDefault="009410D5" w:rsidP="009410D5">
      <w:pPr>
        <w:pStyle w:val="ListNumber"/>
        <w:spacing w:line="240" w:lineRule="auto"/>
        <w:jc w:val="both"/>
        <w:rPr>
          <w:rFonts w:ascii="Arial" w:hAnsi="Arial" w:cs="Arial"/>
          <w:sz w:val="20"/>
          <w:szCs w:val="24"/>
        </w:rPr>
      </w:pPr>
      <w:bookmarkStart w:id="9" w:name="_Ref202438024"/>
      <w:r w:rsidRPr="009410D5">
        <w:rPr>
          <w:rFonts w:ascii="Arial" w:hAnsi="Arial" w:cs="Arial"/>
          <w:sz w:val="20"/>
          <w:szCs w:val="24"/>
        </w:rPr>
        <w:t xml:space="preserve">Rouse MW, </w:t>
      </w:r>
      <w:proofErr w:type="spellStart"/>
      <w:r w:rsidRPr="009410D5">
        <w:rPr>
          <w:rFonts w:ascii="Arial" w:hAnsi="Arial" w:cs="Arial"/>
          <w:sz w:val="20"/>
          <w:szCs w:val="24"/>
        </w:rPr>
        <w:t>Borsting</w:t>
      </w:r>
      <w:proofErr w:type="spellEnd"/>
      <w:r w:rsidRPr="009410D5">
        <w:rPr>
          <w:rFonts w:ascii="Arial" w:hAnsi="Arial" w:cs="Arial"/>
          <w:sz w:val="20"/>
          <w:szCs w:val="24"/>
        </w:rPr>
        <w:t xml:space="preserve"> E, Mitchell GL, et al. Validity and reliability of the revised convergence insufficiency symptom survey in adults. Ophthalmic </w:t>
      </w:r>
      <w:proofErr w:type="spellStart"/>
      <w:r w:rsidRPr="009410D5">
        <w:rPr>
          <w:rFonts w:ascii="Arial" w:hAnsi="Arial" w:cs="Arial"/>
          <w:sz w:val="20"/>
          <w:szCs w:val="24"/>
        </w:rPr>
        <w:t>Physiol</w:t>
      </w:r>
      <w:proofErr w:type="spellEnd"/>
      <w:r w:rsidRPr="009410D5">
        <w:rPr>
          <w:rFonts w:ascii="Arial" w:hAnsi="Arial" w:cs="Arial"/>
          <w:sz w:val="20"/>
          <w:szCs w:val="24"/>
        </w:rPr>
        <w:t xml:space="preserve"> Opt. 2004;24(5):384-390.</w:t>
      </w:r>
      <w:bookmarkEnd w:id="9"/>
    </w:p>
    <w:p w14:paraId="3FF60D74" w14:textId="77777777" w:rsidR="009410D5" w:rsidRPr="009410D5" w:rsidRDefault="009410D5" w:rsidP="009410D5">
      <w:pPr>
        <w:pStyle w:val="ListNumber"/>
        <w:spacing w:line="240" w:lineRule="auto"/>
        <w:jc w:val="both"/>
        <w:rPr>
          <w:rFonts w:ascii="Arial" w:hAnsi="Arial" w:cs="Arial"/>
          <w:sz w:val="20"/>
          <w:szCs w:val="24"/>
        </w:rPr>
      </w:pPr>
      <w:bookmarkStart w:id="10" w:name="_Ref202438344"/>
      <w:r w:rsidRPr="009410D5">
        <w:rPr>
          <w:rFonts w:ascii="Arial" w:hAnsi="Arial" w:cs="Arial"/>
          <w:sz w:val="20"/>
          <w:szCs w:val="24"/>
        </w:rPr>
        <w:t xml:space="preserve">Rouse MW, Hyman L, Hussein M, et al. Frequency of convergence insufficiency among fifth and sixth graders. </w:t>
      </w:r>
      <w:proofErr w:type="spellStart"/>
      <w:r w:rsidRPr="009410D5">
        <w:rPr>
          <w:rFonts w:ascii="Arial" w:hAnsi="Arial" w:cs="Arial"/>
          <w:sz w:val="20"/>
          <w:szCs w:val="24"/>
        </w:rPr>
        <w:t>Optom</w:t>
      </w:r>
      <w:proofErr w:type="spellEnd"/>
      <w:r w:rsidRPr="009410D5">
        <w:rPr>
          <w:rFonts w:ascii="Arial" w:hAnsi="Arial" w:cs="Arial"/>
          <w:sz w:val="20"/>
          <w:szCs w:val="24"/>
        </w:rPr>
        <w:t xml:space="preserve"> Vis Sci. 1998;75(9):643-649.</w:t>
      </w:r>
      <w:bookmarkEnd w:id="10"/>
    </w:p>
    <w:p w14:paraId="5D6EFDD2" w14:textId="77777777" w:rsidR="009410D5" w:rsidRPr="009410D5" w:rsidRDefault="009410D5" w:rsidP="009410D5">
      <w:pPr>
        <w:pStyle w:val="ListNumber"/>
        <w:spacing w:line="240" w:lineRule="auto"/>
        <w:jc w:val="both"/>
        <w:rPr>
          <w:rFonts w:ascii="Arial" w:hAnsi="Arial" w:cs="Arial"/>
          <w:sz w:val="20"/>
          <w:szCs w:val="24"/>
        </w:rPr>
      </w:pPr>
      <w:bookmarkStart w:id="11" w:name="_Ref202438621"/>
      <w:r w:rsidRPr="009075D9">
        <w:rPr>
          <w:rFonts w:ascii="Arial" w:hAnsi="Arial" w:cs="Arial"/>
          <w:color w:val="000000" w:themeColor="text1"/>
          <w:sz w:val="20"/>
          <w:szCs w:val="24"/>
          <w:shd w:val="clear" w:color="auto" w:fill="FFFFFF"/>
        </w:rPr>
        <w:t xml:space="preserve">Ashok Garg, Emanuel Rosen, Eric R Crouch, </w:t>
      </w:r>
      <w:proofErr w:type="spellStart"/>
      <w:r w:rsidRPr="009075D9">
        <w:rPr>
          <w:rFonts w:ascii="Arial" w:hAnsi="Arial" w:cs="Arial"/>
          <w:color w:val="000000" w:themeColor="text1"/>
          <w:sz w:val="20"/>
          <w:szCs w:val="24"/>
          <w:shd w:val="clear" w:color="auto" w:fill="FFFFFF"/>
        </w:rPr>
        <w:t>Ewa</w:t>
      </w:r>
      <w:proofErr w:type="spellEnd"/>
      <w:r w:rsidRPr="009075D9">
        <w:rPr>
          <w:rFonts w:ascii="Arial" w:hAnsi="Arial" w:cs="Arial"/>
          <w:color w:val="000000" w:themeColor="text1"/>
          <w:sz w:val="20"/>
          <w:szCs w:val="24"/>
          <w:shd w:val="clear" w:color="auto" w:fill="FFFFFF"/>
        </w:rPr>
        <w:t xml:space="preserve"> </w:t>
      </w:r>
      <w:proofErr w:type="spellStart"/>
      <w:r w:rsidRPr="009075D9">
        <w:rPr>
          <w:rFonts w:ascii="Arial" w:hAnsi="Arial" w:cs="Arial"/>
          <w:color w:val="000000" w:themeColor="text1"/>
          <w:sz w:val="20"/>
          <w:szCs w:val="24"/>
          <w:shd w:val="clear" w:color="auto" w:fill="FFFFFF"/>
        </w:rPr>
        <w:t>Oleszczynska</w:t>
      </w:r>
      <w:proofErr w:type="spellEnd"/>
      <w:r w:rsidRPr="009075D9">
        <w:rPr>
          <w:rFonts w:ascii="Arial" w:hAnsi="Arial" w:cs="Arial"/>
          <w:color w:val="000000" w:themeColor="text1"/>
          <w:sz w:val="20"/>
          <w:szCs w:val="24"/>
          <w:shd w:val="clear" w:color="auto" w:fill="FFFFFF"/>
        </w:rPr>
        <w:t xml:space="preserve"> Prost</w:t>
      </w:r>
      <w:r w:rsidR="009075D9">
        <w:rPr>
          <w:rFonts w:ascii="Arial" w:hAnsi="Arial" w:cs="Arial"/>
          <w:color w:val="000000" w:themeColor="text1"/>
          <w:sz w:val="20"/>
          <w:szCs w:val="24"/>
          <w:shd w:val="clear" w:color="auto" w:fill="FFFFFF"/>
        </w:rPr>
        <w:t>.</w:t>
      </w:r>
      <w:r w:rsidR="009075D9" w:rsidRPr="009075D9">
        <w:rPr>
          <w:rStyle w:val="Emphasis"/>
          <w:rFonts w:ascii="Arial" w:hAnsi="Arial" w:cs="Arial"/>
          <w:bCs/>
          <w:i w:val="0"/>
          <w:iCs w:val="0"/>
          <w:color w:val="000000" w:themeColor="text1"/>
          <w:sz w:val="20"/>
          <w:szCs w:val="24"/>
          <w:shd w:val="clear" w:color="auto" w:fill="FFFFFF"/>
        </w:rPr>
        <w:t xml:space="preserve"> Strabismus</w:t>
      </w:r>
      <w:r w:rsidR="009075D9" w:rsidRPr="009075D9">
        <w:rPr>
          <w:rFonts w:ascii="Arial" w:hAnsi="Arial" w:cs="Arial"/>
          <w:color w:val="000000" w:themeColor="text1"/>
          <w:sz w:val="20"/>
          <w:szCs w:val="24"/>
          <w:shd w:val="clear" w:color="auto" w:fill="FFFFFF"/>
        </w:rPr>
        <w:t xml:space="preserve">. </w:t>
      </w:r>
      <w:r w:rsidR="009075D9">
        <w:rPr>
          <w:rFonts w:ascii="Arial" w:hAnsi="Arial" w:cs="Arial"/>
          <w:color w:val="000000" w:themeColor="text1"/>
          <w:sz w:val="20"/>
          <w:szCs w:val="24"/>
          <w:shd w:val="clear" w:color="auto" w:fill="FFFFFF"/>
        </w:rPr>
        <w:t>2009</w:t>
      </w:r>
      <w:r w:rsidRPr="009075D9">
        <w:rPr>
          <w:rFonts w:ascii="Arial" w:hAnsi="Arial" w:cs="Arial"/>
          <w:color w:val="000000" w:themeColor="text1"/>
          <w:sz w:val="20"/>
          <w:szCs w:val="24"/>
          <w:shd w:val="clear" w:color="auto" w:fill="FFFFFF"/>
        </w:rPr>
        <w:t xml:space="preserve">. </w:t>
      </w:r>
      <w:proofErr w:type="gramStart"/>
      <w:r w:rsidRPr="009075D9">
        <w:rPr>
          <w:rFonts w:ascii="Arial" w:hAnsi="Arial" w:cs="Arial"/>
          <w:color w:val="000000" w:themeColor="text1"/>
          <w:sz w:val="20"/>
          <w:szCs w:val="24"/>
          <w:shd w:val="clear" w:color="auto" w:fill="FFFFFF"/>
        </w:rPr>
        <w:t>Edition :</w:t>
      </w:r>
      <w:proofErr w:type="gramEnd"/>
      <w:r w:rsidRPr="009075D9">
        <w:rPr>
          <w:rFonts w:ascii="Arial" w:hAnsi="Arial" w:cs="Arial"/>
          <w:color w:val="000000" w:themeColor="text1"/>
          <w:sz w:val="20"/>
          <w:szCs w:val="24"/>
          <w:shd w:val="clear" w:color="auto" w:fill="FFFFFF"/>
        </w:rPr>
        <w:t xml:space="preserve"> 1/e</w:t>
      </w:r>
      <w:r w:rsidRPr="009410D5">
        <w:rPr>
          <w:rFonts w:ascii="Arial" w:hAnsi="Arial" w:cs="Arial"/>
          <w:color w:val="474747"/>
          <w:sz w:val="20"/>
          <w:szCs w:val="24"/>
          <w:shd w:val="clear" w:color="auto" w:fill="FFFFFF"/>
        </w:rPr>
        <w:t>.</w:t>
      </w:r>
      <w:bookmarkEnd w:id="11"/>
      <w:r w:rsidRPr="009410D5">
        <w:rPr>
          <w:rFonts w:ascii="Arial" w:hAnsi="Arial" w:cs="Arial"/>
          <w:sz w:val="20"/>
          <w:szCs w:val="24"/>
        </w:rPr>
        <w:t xml:space="preserve"> </w:t>
      </w:r>
    </w:p>
    <w:p w14:paraId="060C4399" w14:textId="77777777" w:rsidR="009410D5" w:rsidRPr="009410D5" w:rsidRDefault="009410D5" w:rsidP="009410D5">
      <w:pPr>
        <w:pStyle w:val="ListNumber"/>
        <w:spacing w:line="240" w:lineRule="auto"/>
        <w:jc w:val="both"/>
        <w:rPr>
          <w:rFonts w:ascii="Arial" w:hAnsi="Arial" w:cs="Arial"/>
          <w:sz w:val="20"/>
          <w:szCs w:val="24"/>
        </w:rPr>
      </w:pPr>
      <w:bookmarkStart w:id="12" w:name="_Ref202438697"/>
      <w:r w:rsidRPr="009410D5">
        <w:rPr>
          <w:rFonts w:ascii="Arial" w:hAnsi="Arial" w:cs="Arial"/>
          <w:sz w:val="20"/>
          <w:szCs w:val="24"/>
        </w:rPr>
        <w:t xml:space="preserve">Rosa A, Rosa P, </w:t>
      </w:r>
      <w:proofErr w:type="spellStart"/>
      <w:r w:rsidRPr="009410D5">
        <w:rPr>
          <w:rFonts w:ascii="Arial" w:hAnsi="Arial" w:cs="Arial"/>
          <w:sz w:val="20"/>
          <w:szCs w:val="24"/>
        </w:rPr>
        <w:t>Kochana</w:t>
      </w:r>
      <w:proofErr w:type="spellEnd"/>
      <w:r w:rsidRPr="009410D5">
        <w:rPr>
          <w:rFonts w:ascii="Arial" w:hAnsi="Arial" w:cs="Arial"/>
          <w:sz w:val="20"/>
          <w:szCs w:val="24"/>
        </w:rPr>
        <w:t xml:space="preserve"> M, </w:t>
      </w:r>
      <w:proofErr w:type="spellStart"/>
      <w:r w:rsidRPr="009410D5">
        <w:rPr>
          <w:rFonts w:ascii="Arial" w:hAnsi="Arial" w:cs="Arial"/>
          <w:sz w:val="20"/>
          <w:szCs w:val="24"/>
        </w:rPr>
        <w:t>Ordon</w:t>
      </w:r>
      <w:proofErr w:type="spellEnd"/>
      <w:r w:rsidRPr="009410D5">
        <w:rPr>
          <w:rFonts w:ascii="Arial" w:hAnsi="Arial" w:cs="Arial"/>
          <w:sz w:val="20"/>
          <w:szCs w:val="24"/>
        </w:rPr>
        <w:t xml:space="preserve"> AJ, Loba P. The effect of low hypermetropia correction and office-based orthoptic training on binocular vision parameters in children with convergence insufficiency. J AAPOS. 2025 Feb;29(1):104115. </w:t>
      </w:r>
      <w:proofErr w:type="spellStart"/>
      <w:r w:rsidRPr="009410D5">
        <w:rPr>
          <w:rFonts w:ascii="Arial" w:hAnsi="Arial" w:cs="Arial"/>
          <w:sz w:val="20"/>
          <w:szCs w:val="24"/>
        </w:rPr>
        <w:t>doi</w:t>
      </w:r>
      <w:proofErr w:type="spellEnd"/>
      <w:r w:rsidRPr="009410D5">
        <w:rPr>
          <w:rFonts w:ascii="Arial" w:hAnsi="Arial" w:cs="Arial"/>
          <w:sz w:val="20"/>
          <w:szCs w:val="24"/>
        </w:rPr>
        <w:t>: 10.1016/j.jaapos.2025.104115.</w:t>
      </w:r>
      <w:bookmarkEnd w:id="12"/>
      <w:r w:rsidRPr="009410D5">
        <w:rPr>
          <w:rFonts w:ascii="Arial" w:hAnsi="Arial" w:cs="Arial"/>
          <w:sz w:val="20"/>
          <w:szCs w:val="24"/>
        </w:rPr>
        <w:t xml:space="preserve"> </w:t>
      </w:r>
    </w:p>
    <w:p w14:paraId="1F8A040C" w14:textId="77777777" w:rsidR="009410D5" w:rsidRPr="009410D5" w:rsidRDefault="009410D5" w:rsidP="009410D5">
      <w:pPr>
        <w:pStyle w:val="ListNumber"/>
        <w:spacing w:line="240" w:lineRule="auto"/>
        <w:jc w:val="both"/>
        <w:rPr>
          <w:rFonts w:ascii="Arial" w:hAnsi="Arial" w:cs="Arial"/>
          <w:sz w:val="20"/>
          <w:szCs w:val="24"/>
        </w:rPr>
      </w:pPr>
      <w:bookmarkStart w:id="13" w:name="_Ref202438820"/>
      <w:r w:rsidRPr="009410D5">
        <w:rPr>
          <w:rFonts w:ascii="Arial" w:hAnsi="Arial" w:cs="Arial"/>
          <w:sz w:val="20"/>
          <w:szCs w:val="24"/>
        </w:rPr>
        <w:t xml:space="preserve">Marran LF, De Land PN, Nguyen AL. Accommodative insufficiency is the primary source of symptoms in children diagnosed with convergence insufficiency. </w:t>
      </w:r>
      <w:proofErr w:type="spellStart"/>
      <w:r w:rsidRPr="009410D5">
        <w:rPr>
          <w:rFonts w:ascii="Arial" w:hAnsi="Arial" w:cs="Arial"/>
          <w:sz w:val="20"/>
          <w:szCs w:val="24"/>
        </w:rPr>
        <w:t>Optom</w:t>
      </w:r>
      <w:proofErr w:type="spellEnd"/>
      <w:r w:rsidRPr="009410D5">
        <w:rPr>
          <w:rFonts w:ascii="Arial" w:hAnsi="Arial" w:cs="Arial"/>
          <w:sz w:val="20"/>
          <w:szCs w:val="24"/>
        </w:rPr>
        <w:t xml:space="preserve"> Vis Sci. 2006;83(5):281-289.</w:t>
      </w:r>
      <w:bookmarkEnd w:id="13"/>
    </w:p>
    <w:p w14:paraId="0CCA146F" w14:textId="77777777" w:rsidR="009410D5" w:rsidRPr="009410D5" w:rsidRDefault="009410D5" w:rsidP="009410D5">
      <w:pPr>
        <w:pStyle w:val="ListNumber"/>
        <w:spacing w:line="240" w:lineRule="auto"/>
        <w:jc w:val="both"/>
        <w:rPr>
          <w:rFonts w:ascii="Arial" w:hAnsi="Arial" w:cs="Arial"/>
          <w:sz w:val="20"/>
          <w:szCs w:val="24"/>
        </w:rPr>
      </w:pPr>
      <w:bookmarkStart w:id="14" w:name="_Ref202439296"/>
      <w:r w:rsidRPr="009410D5">
        <w:rPr>
          <w:rFonts w:ascii="Arial" w:hAnsi="Arial" w:cs="Arial"/>
          <w:color w:val="333333"/>
          <w:sz w:val="20"/>
          <w:szCs w:val="24"/>
          <w:shd w:val="clear" w:color="auto" w:fill="FFFFFF"/>
        </w:rPr>
        <w:t>Rani A, Chander A. Prevalence and Patterns of Non-Strabismic Binocular Vision Anomalies in Young Adults with Hypermetropia: A Clinical Cross-Sectional Study. Adv. Res. 2025 Apr.;26(3):1-8.</w:t>
      </w:r>
      <w:bookmarkEnd w:id="14"/>
    </w:p>
    <w:p w14:paraId="3F7E9228" w14:textId="77777777" w:rsidR="00B01FCD" w:rsidRPr="003D5C53" w:rsidRDefault="009410D5" w:rsidP="009410D5">
      <w:pPr>
        <w:pStyle w:val="ListNumber"/>
        <w:spacing w:line="240" w:lineRule="auto"/>
        <w:jc w:val="both"/>
        <w:rPr>
          <w:rFonts w:ascii="Arial" w:hAnsi="Arial" w:cs="Arial"/>
          <w:sz w:val="20"/>
          <w:szCs w:val="24"/>
        </w:rPr>
      </w:pPr>
      <w:bookmarkStart w:id="15" w:name="_Ref202439314"/>
      <w:r w:rsidRPr="009410D5">
        <w:rPr>
          <w:rFonts w:ascii="Arial" w:hAnsi="Arial" w:cs="Arial"/>
          <w:sz w:val="20"/>
          <w:szCs w:val="24"/>
        </w:rPr>
        <w:t xml:space="preserve">Gall R, Wick B. The symptomatic patient with normal </w:t>
      </w:r>
      <w:proofErr w:type="spellStart"/>
      <w:r w:rsidRPr="009410D5">
        <w:rPr>
          <w:rFonts w:ascii="Arial" w:hAnsi="Arial" w:cs="Arial"/>
          <w:sz w:val="20"/>
          <w:szCs w:val="24"/>
        </w:rPr>
        <w:t>phorias</w:t>
      </w:r>
      <w:proofErr w:type="spellEnd"/>
      <w:r w:rsidRPr="009410D5">
        <w:rPr>
          <w:rFonts w:ascii="Arial" w:hAnsi="Arial" w:cs="Arial"/>
          <w:sz w:val="20"/>
          <w:szCs w:val="24"/>
        </w:rPr>
        <w:t xml:space="preserve"> at distance and near. Optometry. 2003;74(6):349-362.</w:t>
      </w:r>
      <w:bookmarkEnd w:id="15"/>
    </w:p>
    <w:sectPr w:rsidR="00B01FCD" w:rsidRPr="003D5C53" w:rsidSect="00F50F7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B21FB" w14:textId="77777777" w:rsidR="000A7DF5" w:rsidRDefault="000A7DF5" w:rsidP="00C37E61">
      <w:r>
        <w:separator/>
      </w:r>
    </w:p>
  </w:endnote>
  <w:endnote w:type="continuationSeparator" w:id="0">
    <w:p w14:paraId="66E4DE1B" w14:textId="77777777" w:rsidR="000A7DF5" w:rsidRDefault="000A7DF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76BC" w14:textId="77777777" w:rsidR="00F50F78" w:rsidRDefault="00F50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7ED4" w14:textId="77777777" w:rsidR="00F50F78" w:rsidRDefault="00F50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188" w14:textId="0803B5DF" w:rsidR="00754C9A" w:rsidRPr="00F50F78" w:rsidRDefault="00754C9A" w:rsidP="00F50F7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470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B2FA0" w14:textId="77777777" w:rsidR="000A7DF5" w:rsidRDefault="000A7DF5" w:rsidP="00C37E61">
      <w:r>
        <w:separator/>
      </w:r>
    </w:p>
  </w:footnote>
  <w:footnote w:type="continuationSeparator" w:id="0">
    <w:p w14:paraId="73FAA8B8" w14:textId="77777777" w:rsidR="000A7DF5" w:rsidRDefault="000A7DF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DBFF" w14:textId="1EF039A5" w:rsidR="00F50F78" w:rsidRDefault="00F50F78">
    <w:pPr>
      <w:pStyle w:val="Header"/>
    </w:pPr>
    <w:r>
      <w:rPr>
        <w:noProof/>
      </w:rPr>
      <w:pict w14:anchorId="4C7AD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D17F" w14:textId="0089CE97" w:rsidR="00F50F78" w:rsidRDefault="00F50F78">
    <w:pPr>
      <w:pStyle w:val="Header"/>
    </w:pPr>
    <w:r>
      <w:rPr>
        <w:noProof/>
      </w:rPr>
      <w:pict w14:anchorId="3F858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2176" w14:textId="053ABA15" w:rsidR="00296529" w:rsidRPr="00296529" w:rsidRDefault="00F50F78" w:rsidP="00296529">
    <w:pPr>
      <w:ind w:left="2160"/>
      <w:jc w:val="center"/>
      <w:rPr>
        <w:rFonts w:ascii="Times New Roman" w:eastAsia="Calibri" w:hAnsi="Times New Roman"/>
        <w:i/>
        <w:sz w:val="18"/>
        <w:szCs w:val="22"/>
      </w:rPr>
    </w:pPr>
    <w:r>
      <w:rPr>
        <w:noProof/>
      </w:rPr>
      <w:pict w14:anchorId="29FA5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3882D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0107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83712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98586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85527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AB8BB2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8C8A" w14:textId="496C4F34" w:rsidR="00F50F78" w:rsidRDefault="00F50F78">
    <w:pPr>
      <w:pStyle w:val="Header"/>
    </w:pPr>
    <w:r>
      <w:rPr>
        <w:noProof/>
      </w:rPr>
      <w:pict w14:anchorId="308A6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4822" w14:textId="684716D8" w:rsidR="00F50F78" w:rsidRDefault="00F50F78">
    <w:pPr>
      <w:pStyle w:val="Header"/>
    </w:pPr>
    <w:r>
      <w:rPr>
        <w:noProof/>
      </w:rPr>
      <w:pict w14:anchorId="58239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B490" w14:textId="10A80EAE" w:rsidR="00F50F78" w:rsidRDefault="00F50F78">
    <w:pPr>
      <w:pStyle w:val="Header"/>
    </w:pPr>
    <w:r>
      <w:rPr>
        <w:noProof/>
      </w:rPr>
      <w:pict w14:anchorId="76B81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F3EDF2E"/>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640A78"/>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556E2F"/>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8941AE2"/>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591059"/>
    <w:multiLevelType w:val="multilevel"/>
    <w:tmpl w:val="CB889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5"/>
  </w:num>
  <w:num w:numId="9">
    <w:abstractNumId w:val="30"/>
  </w:num>
  <w:num w:numId="10">
    <w:abstractNumId w:val="3"/>
  </w:num>
  <w:num w:numId="11">
    <w:abstractNumId w:val="22"/>
  </w:num>
  <w:num w:numId="12">
    <w:abstractNumId w:val="5"/>
  </w:num>
  <w:num w:numId="13">
    <w:abstractNumId w:val="21"/>
  </w:num>
  <w:num w:numId="14">
    <w:abstractNumId w:val="11"/>
  </w:num>
  <w:num w:numId="15">
    <w:abstractNumId w:val="26"/>
  </w:num>
  <w:num w:numId="16">
    <w:abstractNumId w:val="7"/>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3"/>
  </w:num>
  <w:num w:numId="24">
    <w:abstractNumId w:val="31"/>
  </w:num>
  <w:num w:numId="25">
    <w:abstractNumId w:val="6"/>
  </w:num>
  <w:num w:numId="26">
    <w:abstractNumId w:val="20"/>
  </w:num>
  <w:num w:numId="27">
    <w:abstractNumId w:val="25"/>
  </w:num>
  <w:num w:numId="28">
    <w:abstractNumId w:val="32"/>
  </w:num>
  <w:num w:numId="29">
    <w:abstractNumId w:val="29"/>
  </w:num>
  <w:num w:numId="30">
    <w:abstractNumId w:val="13"/>
  </w:num>
  <w:num w:numId="31">
    <w:abstractNumId w:val="24"/>
  </w:num>
  <w:num w:numId="32">
    <w:abstractNumId w:val="18"/>
  </w:num>
  <w:num w:numId="33">
    <w:abstractNumId w:val="4"/>
  </w:num>
  <w:num w:numId="34">
    <w:abstractNumId w:val="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280A"/>
    <w:rsid w:val="00081B07"/>
    <w:rsid w:val="000A0427"/>
    <w:rsid w:val="000A080D"/>
    <w:rsid w:val="000A191D"/>
    <w:rsid w:val="000A47FA"/>
    <w:rsid w:val="000A65D3"/>
    <w:rsid w:val="000A7DF5"/>
    <w:rsid w:val="000B1E33"/>
    <w:rsid w:val="000C3712"/>
    <w:rsid w:val="000D689F"/>
    <w:rsid w:val="000E7B7B"/>
    <w:rsid w:val="000E7D62"/>
    <w:rsid w:val="00100595"/>
    <w:rsid w:val="00102928"/>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16FE"/>
    <w:rsid w:val="00254918"/>
    <w:rsid w:val="002556F6"/>
    <w:rsid w:val="00283105"/>
    <w:rsid w:val="00284C4C"/>
    <w:rsid w:val="00287E68"/>
    <w:rsid w:val="00296529"/>
    <w:rsid w:val="002B27FB"/>
    <w:rsid w:val="002B685A"/>
    <w:rsid w:val="002B7309"/>
    <w:rsid w:val="002C452A"/>
    <w:rsid w:val="002C57D2"/>
    <w:rsid w:val="002D0847"/>
    <w:rsid w:val="002D4FBB"/>
    <w:rsid w:val="002E0D56"/>
    <w:rsid w:val="002E38EA"/>
    <w:rsid w:val="00300B6C"/>
    <w:rsid w:val="00305DE7"/>
    <w:rsid w:val="00315186"/>
    <w:rsid w:val="003210B8"/>
    <w:rsid w:val="0033343E"/>
    <w:rsid w:val="003512C2"/>
    <w:rsid w:val="00371FB6"/>
    <w:rsid w:val="003763C1"/>
    <w:rsid w:val="00376BBE"/>
    <w:rsid w:val="0039224F"/>
    <w:rsid w:val="003A43A4"/>
    <w:rsid w:val="003A7E18"/>
    <w:rsid w:val="003C091E"/>
    <w:rsid w:val="003C2204"/>
    <w:rsid w:val="003C4C86"/>
    <w:rsid w:val="003C6258"/>
    <w:rsid w:val="003D5C53"/>
    <w:rsid w:val="003D63C8"/>
    <w:rsid w:val="003E2904"/>
    <w:rsid w:val="003F0FD4"/>
    <w:rsid w:val="00401927"/>
    <w:rsid w:val="00407919"/>
    <w:rsid w:val="0041027F"/>
    <w:rsid w:val="00412475"/>
    <w:rsid w:val="00414D44"/>
    <w:rsid w:val="00423789"/>
    <w:rsid w:val="00440F43"/>
    <w:rsid w:val="00441B6F"/>
    <w:rsid w:val="00446221"/>
    <w:rsid w:val="00450E62"/>
    <w:rsid w:val="00451358"/>
    <w:rsid w:val="004539DB"/>
    <w:rsid w:val="00467629"/>
    <w:rsid w:val="00471A80"/>
    <w:rsid w:val="004B700A"/>
    <w:rsid w:val="004D305E"/>
    <w:rsid w:val="004D4277"/>
    <w:rsid w:val="00502516"/>
    <w:rsid w:val="00505F06"/>
    <w:rsid w:val="00506620"/>
    <w:rsid w:val="00506828"/>
    <w:rsid w:val="0053056E"/>
    <w:rsid w:val="0053415A"/>
    <w:rsid w:val="00534944"/>
    <w:rsid w:val="00554FDA"/>
    <w:rsid w:val="0056383A"/>
    <w:rsid w:val="005778D7"/>
    <w:rsid w:val="005935E9"/>
    <w:rsid w:val="00597953"/>
    <w:rsid w:val="005C784C"/>
    <w:rsid w:val="005D17F6"/>
    <w:rsid w:val="005D5D8D"/>
    <w:rsid w:val="005E3374"/>
    <w:rsid w:val="005E5539"/>
    <w:rsid w:val="00602BF5"/>
    <w:rsid w:val="00617FDD"/>
    <w:rsid w:val="00633614"/>
    <w:rsid w:val="00633F68"/>
    <w:rsid w:val="00636EB2"/>
    <w:rsid w:val="006375B8"/>
    <w:rsid w:val="0064297B"/>
    <w:rsid w:val="0066510A"/>
    <w:rsid w:val="00673F9F"/>
    <w:rsid w:val="00686953"/>
    <w:rsid w:val="00687DEA"/>
    <w:rsid w:val="00687E67"/>
    <w:rsid w:val="006967F7"/>
    <w:rsid w:val="006A250C"/>
    <w:rsid w:val="006B21D3"/>
    <w:rsid w:val="006B2410"/>
    <w:rsid w:val="006B57D0"/>
    <w:rsid w:val="006C5314"/>
    <w:rsid w:val="006D30FF"/>
    <w:rsid w:val="006D6940"/>
    <w:rsid w:val="006D69D3"/>
    <w:rsid w:val="006F11EC"/>
    <w:rsid w:val="0070082C"/>
    <w:rsid w:val="0070553B"/>
    <w:rsid w:val="007369E6"/>
    <w:rsid w:val="00746E59"/>
    <w:rsid w:val="00747C4D"/>
    <w:rsid w:val="00750D92"/>
    <w:rsid w:val="00754C9A"/>
    <w:rsid w:val="0075599A"/>
    <w:rsid w:val="00761D52"/>
    <w:rsid w:val="007718CE"/>
    <w:rsid w:val="0077749E"/>
    <w:rsid w:val="00790ADA"/>
    <w:rsid w:val="007A31C9"/>
    <w:rsid w:val="007D2288"/>
    <w:rsid w:val="007E088F"/>
    <w:rsid w:val="007E312F"/>
    <w:rsid w:val="007F7B32"/>
    <w:rsid w:val="00804BC2"/>
    <w:rsid w:val="0081431A"/>
    <w:rsid w:val="0081733C"/>
    <w:rsid w:val="0083216F"/>
    <w:rsid w:val="008566E6"/>
    <w:rsid w:val="00860000"/>
    <w:rsid w:val="00863BD3"/>
    <w:rsid w:val="008641ED"/>
    <w:rsid w:val="00866D66"/>
    <w:rsid w:val="008671C6"/>
    <w:rsid w:val="00874AC8"/>
    <w:rsid w:val="00875803"/>
    <w:rsid w:val="008B459E"/>
    <w:rsid w:val="008D4EEB"/>
    <w:rsid w:val="008E13AE"/>
    <w:rsid w:val="008E1506"/>
    <w:rsid w:val="008E710C"/>
    <w:rsid w:val="008F69D6"/>
    <w:rsid w:val="00902823"/>
    <w:rsid w:val="009075D9"/>
    <w:rsid w:val="00913307"/>
    <w:rsid w:val="00915CA6"/>
    <w:rsid w:val="00927834"/>
    <w:rsid w:val="009410D5"/>
    <w:rsid w:val="009435DB"/>
    <w:rsid w:val="0094698D"/>
    <w:rsid w:val="009500A6"/>
    <w:rsid w:val="00957C18"/>
    <w:rsid w:val="009659BA"/>
    <w:rsid w:val="009673BD"/>
    <w:rsid w:val="00983040"/>
    <w:rsid w:val="009B3FB9"/>
    <w:rsid w:val="009C2465"/>
    <w:rsid w:val="009C2BB7"/>
    <w:rsid w:val="009D35A0"/>
    <w:rsid w:val="009D7EB7"/>
    <w:rsid w:val="009E048A"/>
    <w:rsid w:val="009E08E9"/>
    <w:rsid w:val="009E3DB9"/>
    <w:rsid w:val="009E6E35"/>
    <w:rsid w:val="009F0EDA"/>
    <w:rsid w:val="00A03B96"/>
    <w:rsid w:val="00A05B19"/>
    <w:rsid w:val="00A1134E"/>
    <w:rsid w:val="00A12412"/>
    <w:rsid w:val="00A1345B"/>
    <w:rsid w:val="00A24C68"/>
    <w:rsid w:val="00A24E7E"/>
    <w:rsid w:val="00A258C3"/>
    <w:rsid w:val="00A347C0"/>
    <w:rsid w:val="00A51431"/>
    <w:rsid w:val="00A539AD"/>
    <w:rsid w:val="00A76FE1"/>
    <w:rsid w:val="00A94063"/>
    <w:rsid w:val="00AA6219"/>
    <w:rsid w:val="00AA74E0"/>
    <w:rsid w:val="00AB703F"/>
    <w:rsid w:val="00AC6BB8"/>
    <w:rsid w:val="00AE008F"/>
    <w:rsid w:val="00B01FCD"/>
    <w:rsid w:val="00B117CC"/>
    <w:rsid w:val="00B1776C"/>
    <w:rsid w:val="00B42BE5"/>
    <w:rsid w:val="00B52583"/>
    <w:rsid w:val="00B52896"/>
    <w:rsid w:val="00B92C57"/>
    <w:rsid w:val="00B95236"/>
    <w:rsid w:val="00B965A2"/>
    <w:rsid w:val="00B96BD9"/>
    <w:rsid w:val="00BA1B01"/>
    <w:rsid w:val="00BA2641"/>
    <w:rsid w:val="00BB37AA"/>
    <w:rsid w:val="00BC53A0"/>
    <w:rsid w:val="00BE62AD"/>
    <w:rsid w:val="00BF121F"/>
    <w:rsid w:val="00BF1F80"/>
    <w:rsid w:val="00C166EF"/>
    <w:rsid w:val="00C17EB0"/>
    <w:rsid w:val="00C27F5F"/>
    <w:rsid w:val="00C30A0F"/>
    <w:rsid w:val="00C37E61"/>
    <w:rsid w:val="00C67D87"/>
    <w:rsid w:val="00C70F1B"/>
    <w:rsid w:val="00C71A47"/>
    <w:rsid w:val="00C7464C"/>
    <w:rsid w:val="00C81788"/>
    <w:rsid w:val="00C85588"/>
    <w:rsid w:val="00CC543C"/>
    <w:rsid w:val="00CC70A5"/>
    <w:rsid w:val="00CD6755"/>
    <w:rsid w:val="00CD6856"/>
    <w:rsid w:val="00CE0089"/>
    <w:rsid w:val="00CE793C"/>
    <w:rsid w:val="00CF193C"/>
    <w:rsid w:val="00D173F1"/>
    <w:rsid w:val="00D74CB0"/>
    <w:rsid w:val="00D8295D"/>
    <w:rsid w:val="00D92121"/>
    <w:rsid w:val="00DC2A65"/>
    <w:rsid w:val="00DE15F0"/>
    <w:rsid w:val="00DE1648"/>
    <w:rsid w:val="00DE5663"/>
    <w:rsid w:val="00DE6648"/>
    <w:rsid w:val="00DE78AA"/>
    <w:rsid w:val="00E053D0"/>
    <w:rsid w:val="00E15994"/>
    <w:rsid w:val="00E3114E"/>
    <w:rsid w:val="00E31A70"/>
    <w:rsid w:val="00E35B02"/>
    <w:rsid w:val="00E66496"/>
    <w:rsid w:val="00E66590"/>
    <w:rsid w:val="00E66B35"/>
    <w:rsid w:val="00E66E10"/>
    <w:rsid w:val="00E769F6"/>
    <w:rsid w:val="00E8407C"/>
    <w:rsid w:val="00E84F3C"/>
    <w:rsid w:val="00EA012C"/>
    <w:rsid w:val="00EA3795"/>
    <w:rsid w:val="00EA4AE2"/>
    <w:rsid w:val="00EC5D00"/>
    <w:rsid w:val="00EC6A55"/>
    <w:rsid w:val="00ED0288"/>
    <w:rsid w:val="00EE52CB"/>
    <w:rsid w:val="00EE5C39"/>
    <w:rsid w:val="00EF581D"/>
    <w:rsid w:val="00EF7FD8"/>
    <w:rsid w:val="00F06F59"/>
    <w:rsid w:val="00F1012A"/>
    <w:rsid w:val="00F12367"/>
    <w:rsid w:val="00F17988"/>
    <w:rsid w:val="00F3067E"/>
    <w:rsid w:val="00F469F0"/>
    <w:rsid w:val="00F50169"/>
    <w:rsid w:val="00F50F78"/>
    <w:rsid w:val="00F53175"/>
    <w:rsid w:val="00F53273"/>
    <w:rsid w:val="00F7098D"/>
    <w:rsid w:val="00F755E4"/>
    <w:rsid w:val="00F77D02"/>
    <w:rsid w:val="00F824C3"/>
    <w:rsid w:val="00FB3A86"/>
    <w:rsid w:val="00FC31C1"/>
    <w:rsid w:val="00FD36C8"/>
    <w:rsid w:val="00FD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AutoShape 2"/>
      </o:rules>
    </o:shapelayout>
  </w:shapeDefaults>
  <w:decimalSymbol w:val="."/>
  <w:listSeparator w:val=","/>
  <w14:docId w14:val="65C04D67"/>
  <w15:docId w15:val="{4E9DB156-F321-4472-8C94-BB87219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747C4D"/>
    <w:pPr>
      <w:spacing w:after="200"/>
    </w:pPr>
    <w:rPr>
      <w:rFonts w:asciiTheme="minorHAnsi" w:eastAsiaTheme="minorEastAsia" w:hAnsiTheme="minorHAnsi" w:cstheme="minorBidi"/>
      <w:i/>
      <w:iCs/>
      <w:color w:val="1F497D" w:themeColor="text2"/>
      <w:sz w:val="18"/>
      <w:szCs w:val="18"/>
      <w:lang w:val="en-IN"/>
    </w:rPr>
  </w:style>
  <w:style w:type="paragraph" w:styleId="NormalWeb">
    <w:name w:val="Normal (Web)"/>
    <w:basedOn w:val="Normal"/>
    <w:uiPriority w:val="99"/>
    <w:unhideWhenUsed/>
    <w:rsid w:val="005778D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778D7"/>
    <w:rPr>
      <w:b/>
      <w:bCs/>
    </w:rPr>
  </w:style>
  <w:style w:type="paragraph" w:styleId="ListParagraph">
    <w:name w:val="List Paragraph"/>
    <w:basedOn w:val="Normal"/>
    <w:uiPriority w:val="1"/>
    <w:qFormat/>
    <w:rsid w:val="005778D7"/>
    <w:pPr>
      <w:spacing w:after="200" w:line="276" w:lineRule="auto"/>
      <w:ind w:left="720"/>
      <w:contextualSpacing/>
    </w:pPr>
    <w:rPr>
      <w:rFonts w:asciiTheme="minorHAnsi" w:eastAsiaTheme="minorEastAsia" w:hAnsiTheme="minorHAnsi" w:cstheme="minorBidi"/>
      <w:sz w:val="22"/>
      <w:szCs w:val="22"/>
    </w:rPr>
  </w:style>
  <w:style w:type="paragraph" w:styleId="ListNumber">
    <w:name w:val="List Number"/>
    <w:basedOn w:val="Normal"/>
    <w:uiPriority w:val="99"/>
    <w:unhideWhenUsed/>
    <w:rsid w:val="009410D5"/>
    <w:pPr>
      <w:numPr>
        <w:numId w:val="35"/>
      </w:numPr>
      <w:spacing w:after="200" w:line="276" w:lineRule="auto"/>
      <w:contextualSpacing/>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F1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spPr>
              <a:ln>
                <a:solidFill>
                  <a:schemeClr val="tx1"/>
                </a:solidFill>
              </a:ln>
            </c:spPr>
            <c:extLst>
              <c:ext xmlns:c16="http://schemas.microsoft.com/office/drawing/2014/chart" uri="{C3380CC4-5D6E-409C-BE32-E72D297353CC}">
                <c16:uniqueId val="{00000000-2F7E-4900-A4BE-8EEA22FF0D24}"/>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58</c:v>
                </c:pt>
                <c:pt idx="1">
                  <c:v>52</c:v>
                </c:pt>
              </c:numCache>
            </c:numRef>
          </c:val>
          <c:extLst>
            <c:ext xmlns:c16="http://schemas.microsoft.com/office/drawing/2014/chart" uri="{C3380CC4-5D6E-409C-BE32-E72D297353CC}">
              <c16:uniqueId val="{00000001-2F7E-4900-A4BE-8EEA22FF0D24}"/>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771B-FBC6-47C8-90B6-773C9EDE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123</TotalTime>
  <Pages>7</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18022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38</cp:revision>
  <cp:lastPrinted>1999-07-06T11:00:00Z</cp:lastPrinted>
  <dcterms:created xsi:type="dcterms:W3CDTF">2025-04-15T10:58:00Z</dcterms:created>
  <dcterms:modified xsi:type="dcterms:W3CDTF">2025-07-04T10:49:00Z</dcterms:modified>
</cp:coreProperties>
</file>