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3927" w14:textId="77777777" w:rsidR="00616F5F" w:rsidRDefault="00616F5F" w:rsidP="005E0F29">
      <w:pPr>
        <w:spacing w:line="240" w:lineRule="auto"/>
        <w:jc w:val="right"/>
        <w:rPr>
          <w:rFonts w:ascii="Arial" w:hAnsi="Arial" w:cs="Arial"/>
          <w:b/>
        </w:rPr>
      </w:pPr>
      <w:r w:rsidRPr="00616F5F">
        <w:rPr>
          <w:rFonts w:ascii="Arial" w:hAnsi="Arial" w:cs="Arial"/>
          <w:b/>
        </w:rPr>
        <w:t>Original Research Article</w:t>
      </w:r>
    </w:p>
    <w:p w14:paraId="6A4E684A" w14:textId="77777777" w:rsidR="00616F5F" w:rsidRDefault="00616F5F" w:rsidP="005E0F29">
      <w:pPr>
        <w:spacing w:line="240" w:lineRule="auto"/>
        <w:jc w:val="right"/>
        <w:rPr>
          <w:rFonts w:ascii="Arial" w:hAnsi="Arial" w:cs="Arial"/>
          <w:b/>
        </w:rPr>
      </w:pPr>
    </w:p>
    <w:p w14:paraId="43DAF457" w14:textId="3D9A7A30" w:rsidR="00CF0FCA" w:rsidRPr="00485CDA" w:rsidRDefault="00CF0FCA" w:rsidP="005E0F29">
      <w:pPr>
        <w:spacing w:line="240" w:lineRule="auto"/>
        <w:jc w:val="right"/>
        <w:rPr>
          <w:rFonts w:ascii="Arial" w:hAnsi="Arial" w:cs="Arial"/>
          <w:b/>
        </w:rPr>
      </w:pPr>
      <w:r w:rsidRPr="00485CDA">
        <w:rPr>
          <w:rFonts w:ascii="Arial" w:hAnsi="Arial" w:cs="Arial"/>
          <w:b/>
        </w:rPr>
        <w:t xml:space="preserve">Exploring Native Actinomycetes of </w:t>
      </w:r>
      <w:r w:rsidRPr="00485CDA">
        <w:rPr>
          <w:rFonts w:ascii="Arial" w:hAnsi="Arial" w:cs="Arial"/>
          <w:b/>
          <w:i/>
        </w:rPr>
        <w:t xml:space="preserve">Streptomyces </w:t>
      </w:r>
      <w:proofErr w:type="spellStart"/>
      <w:r w:rsidRPr="00485CDA">
        <w:rPr>
          <w:rFonts w:ascii="Arial" w:hAnsi="Arial" w:cs="Arial"/>
          <w:b/>
          <w:i/>
        </w:rPr>
        <w:t>albofaciens</w:t>
      </w:r>
      <w:proofErr w:type="spellEnd"/>
      <w:r w:rsidRPr="00485CDA">
        <w:rPr>
          <w:rFonts w:ascii="Arial" w:hAnsi="Arial" w:cs="Arial"/>
          <w:b/>
        </w:rPr>
        <w:t xml:space="preserve"> for the Sustainable Management of Mango Anthracnose</w:t>
      </w:r>
    </w:p>
    <w:p w14:paraId="5EB39FA1" w14:textId="77777777" w:rsidR="001F79BD" w:rsidRDefault="001F79BD" w:rsidP="003A15E3">
      <w:pPr>
        <w:spacing w:line="360" w:lineRule="auto"/>
        <w:rPr>
          <w:rFonts w:ascii="Arial" w:hAnsi="Arial" w:cs="Arial"/>
          <w:b/>
        </w:rPr>
      </w:pPr>
    </w:p>
    <w:bookmarkStart w:id="0" w:name="_GoBack"/>
    <w:bookmarkEnd w:id="0"/>
    <w:p w14:paraId="32F57673" w14:textId="40DC4E46" w:rsidR="005E0F29" w:rsidRPr="00485CDA" w:rsidRDefault="005E0F29" w:rsidP="003A15E3">
      <w:pPr>
        <w:spacing w:line="360" w:lineRule="auto"/>
        <w:rPr>
          <w:rFonts w:ascii="Arial" w:hAnsi="Arial" w:cs="Arial"/>
          <w:b/>
        </w:rPr>
      </w:pPr>
      <w:r w:rsidRPr="00485CDA">
        <w:rPr>
          <w:rFonts w:ascii="Arial" w:hAnsi="Arial" w:cs="Arial"/>
          <w:b/>
          <w:noProof/>
        </w:rPr>
        <mc:AlternateContent>
          <mc:Choice Requires="wps">
            <w:drawing>
              <wp:inline distT="0" distB="0" distL="0" distR="0" wp14:anchorId="6973B70D" wp14:editId="17424A30">
                <wp:extent cx="5935980" cy="45719"/>
                <wp:effectExtent l="0" t="0" r="26670" b="31115"/>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598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51F7AA8" id="_x0000_t32" coordsize="21600,21600" o:spt="32" o:oned="t" path="m,l21600,21600e" filled="f">
                <v:path arrowok="t" fillok="f" o:connecttype="none"/>
                <o:lock v:ext="edit" shapetype="t"/>
              </v:shapetype>
              <v:shape id="Straight Arrow Connector 5" o:spid="_x0000_s1026" type="#_x0000_t32" style="width:467.4pt;height:3.6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" strokeweight="1.5pt">
                <w10:anchor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5E0F29" w:rsidRPr="00485CDA" w14:paraId="7788AF6E" w14:textId="77777777" w:rsidTr="00520C42">
        <w:tc>
          <w:tcPr>
            <w:tcW w:w="9576" w:type="dxa"/>
            <w:shd w:val="clear" w:color="auto" w:fill="F2F2F2"/>
          </w:tcPr>
          <w:p w14:paraId="0DCDECA7" w14:textId="77777777" w:rsidR="005E0F29" w:rsidRPr="00485CDA" w:rsidRDefault="005E0F29" w:rsidP="005E0F29">
            <w:pPr>
              <w:spacing w:line="240" w:lineRule="auto"/>
              <w:jc w:val="both"/>
              <w:rPr>
                <w:rFonts w:ascii="Arial" w:hAnsi="Arial" w:cs="Arial"/>
                <w:b/>
              </w:rPr>
            </w:pPr>
            <w:r w:rsidRPr="00485CDA">
              <w:rPr>
                <w:rFonts w:ascii="Arial" w:hAnsi="Arial" w:cs="Arial"/>
                <w:b/>
              </w:rPr>
              <w:t>Abstract</w:t>
            </w:r>
          </w:p>
          <w:p w14:paraId="02074AD5" w14:textId="6ECAB9F1" w:rsidR="005E0F29" w:rsidRPr="001D0409" w:rsidRDefault="005E0F29" w:rsidP="001D0409">
            <w:pPr>
              <w:spacing w:line="240" w:lineRule="auto"/>
              <w:ind w:firstLine="720"/>
              <w:jc w:val="both"/>
              <w:rPr>
                <w:rFonts w:ascii="Arial" w:hAnsi="Arial" w:cs="Arial"/>
              </w:rPr>
            </w:pPr>
            <w:r w:rsidRPr="00485CDA">
              <w:rPr>
                <w:rFonts w:ascii="Arial" w:hAnsi="Arial" w:cs="Arial"/>
              </w:rPr>
              <w:t>Mango (</w:t>
            </w:r>
            <w:r w:rsidRPr="00485CDA">
              <w:rPr>
                <w:rFonts w:ascii="Arial" w:hAnsi="Arial" w:cs="Arial"/>
                <w:i/>
              </w:rPr>
              <w:t>Mangifera</w:t>
            </w:r>
            <w:r w:rsidRPr="00485CDA">
              <w:rPr>
                <w:rFonts w:ascii="Arial" w:hAnsi="Arial" w:cs="Arial"/>
              </w:rPr>
              <w:t xml:space="preserve"> </w:t>
            </w:r>
            <w:r w:rsidRPr="00485CDA">
              <w:rPr>
                <w:rFonts w:ascii="Arial" w:hAnsi="Arial" w:cs="Arial"/>
                <w:i/>
              </w:rPr>
              <w:t>indica</w:t>
            </w:r>
            <w:r w:rsidRPr="00485CDA">
              <w:rPr>
                <w:rFonts w:ascii="Arial" w:hAnsi="Arial" w:cs="Arial"/>
              </w:rPr>
              <w:t xml:space="preserve"> L.), a commercially significant </w:t>
            </w:r>
            <w:r w:rsidRPr="00485CDA">
              <w:rPr>
                <w:rFonts w:ascii="Arial" w:hAnsi="Arial" w:cs="Arial"/>
                <w:i/>
              </w:rPr>
              <w:t>climacteric</w:t>
            </w:r>
            <w:r w:rsidRPr="00485CDA">
              <w:rPr>
                <w:rFonts w:ascii="Arial" w:hAnsi="Arial" w:cs="Arial"/>
              </w:rPr>
              <w:t xml:space="preserve"> fruit, is highly susceptible to anthracnose incited by </w:t>
            </w:r>
            <w:r w:rsidRPr="00485CDA">
              <w:rPr>
                <w:rFonts w:ascii="Arial" w:hAnsi="Arial" w:cs="Arial"/>
                <w:i/>
              </w:rPr>
              <w:t>Colletotrichum gloeosporioides</w:t>
            </w:r>
            <w:r w:rsidRPr="00485CDA">
              <w:rPr>
                <w:rFonts w:ascii="Arial" w:hAnsi="Arial" w:cs="Arial"/>
              </w:rPr>
              <w:t xml:space="preserve">. In pursuit of sustainable alternatives to chemical fungicides, the present study involved the isolation and characterization of native actinomycetes, particularly </w:t>
            </w:r>
            <w:r w:rsidRPr="00485CDA">
              <w:rPr>
                <w:rFonts w:ascii="Arial" w:hAnsi="Arial" w:cs="Arial"/>
                <w:i/>
              </w:rPr>
              <w:t>Streptomyces</w:t>
            </w:r>
            <w:r w:rsidRPr="00485CDA">
              <w:rPr>
                <w:rFonts w:ascii="Arial" w:hAnsi="Arial" w:cs="Arial"/>
              </w:rPr>
              <w:t xml:space="preserve"> spp., from mango rhizosphere soils across Tamil Nadu and Puducherry. Ten isolates (AUSA</w:t>
            </w:r>
            <w:r w:rsidRPr="00485CDA">
              <w:rPr>
                <w:rFonts w:ascii="Arial" w:hAnsi="Arial" w:cs="Arial"/>
                <w:vertAlign w:val="subscript"/>
              </w:rPr>
              <w:t>1</w:t>
            </w:r>
            <w:r w:rsidRPr="00485CDA">
              <w:rPr>
                <w:rFonts w:ascii="Arial" w:hAnsi="Arial" w:cs="Arial"/>
              </w:rPr>
              <w:t>-AUSA</w:t>
            </w:r>
            <w:r w:rsidRPr="00485CDA">
              <w:rPr>
                <w:rFonts w:ascii="Arial" w:hAnsi="Arial" w:cs="Arial"/>
                <w:vertAlign w:val="subscript"/>
              </w:rPr>
              <w:t>10</w:t>
            </w:r>
            <w:r w:rsidRPr="00485CDA">
              <w:rPr>
                <w:rFonts w:ascii="Arial" w:hAnsi="Arial" w:cs="Arial"/>
              </w:rPr>
              <w:t>) were morphologically and microscopically characterized, with AUSA</w:t>
            </w:r>
            <w:r w:rsidRPr="00485CDA">
              <w:rPr>
                <w:rFonts w:ascii="Arial" w:hAnsi="Arial" w:cs="Arial"/>
                <w:vertAlign w:val="subscript"/>
              </w:rPr>
              <w:t>3</w:t>
            </w:r>
            <w:r w:rsidRPr="00485CDA">
              <w:rPr>
                <w:rFonts w:ascii="Arial" w:hAnsi="Arial" w:cs="Arial"/>
              </w:rPr>
              <w:t xml:space="preserve"> exhibiting the highest antagonistic activity against </w:t>
            </w:r>
            <w:r w:rsidRPr="00485CDA">
              <w:rPr>
                <w:rFonts w:ascii="Arial" w:hAnsi="Arial" w:cs="Arial"/>
                <w:i/>
              </w:rPr>
              <w:t>C. gloeosporioides</w:t>
            </w:r>
            <w:r w:rsidRPr="00485CDA">
              <w:rPr>
                <w:rFonts w:ascii="Arial" w:hAnsi="Arial" w:cs="Arial"/>
              </w:rPr>
              <w:t xml:space="preserve"> in dual culture assays, recording 79.72% mycelial inhibition. Scanning Electron Microscopy revealed smooth, rod-shaped spores, while molecular identification through 16S rRNA gene sequencing confirmed AUSA</w:t>
            </w:r>
            <w:r w:rsidRPr="00485CDA">
              <w:rPr>
                <w:rFonts w:ascii="Arial" w:hAnsi="Arial" w:cs="Arial"/>
                <w:vertAlign w:val="subscript"/>
              </w:rPr>
              <w:t>3</w:t>
            </w:r>
            <w:r w:rsidRPr="00485CDA">
              <w:rPr>
                <w:rFonts w:ascii="Arial" w:hAnsi="Arial" w:cs="Arial"/>
              </w:rPr>
              <w:t xml:space="preserve"> as </w:t>
            </w:r>
            <w:r w:rsidRPr="00485CDA">
              <w:rPr>
                <w:rFonts w:ascii="Arial" w:hAnsi="Arial" w:cs="Arial"/>
                <w:i/>
              </w:rPr>
              <w:t>Streptomyces albofaciens</w:t>
            </w:r>
            <w:r w:rsidRPr="00485CDA">
              <w:rPr>
                <w:rFonts w:ascii="Arial" w:hAnsi="Arial" w:cs="Arial"/>
              </w:rPr>
              <w:t xml:space="preserve"> with 100% similarity. These findings suggest that native </w:t>
            </w:r>
            <w:r w:rsidRPr="00485CDA">
              <w:rPr>
                <w:rFonts w:ascii="Arial" w:hAnsi="Arial" w:cs="Arial"/>
                <w:i/>
              </w:rPr>
              <w:t>S. albofaciens</w:t>
            </w:r>
            <w:r w:rsidRPr="00485CDA">
              <w:rPr>
                <w:rFonts w:ascii="Arial" w:hAnsi="Arial" w:cs="Arial"/>
              </w:rPr>
              <w:t xml:space="preserve"> exhibits strong potential as an eco-friendly biocontrol agent against mango anthracnose.</w:t>
            </w:r>
          </w:p>
          <w:p w14:paraId="6CCE8760" w14:textId="77777777" w:rsidR="005E0F29" w:rsidRPr="00485CDA" w:rsidRDefault="005E0F29" w:rsidP="005E0F29">
            <w:pPr>
              <w:pStyle w:val="Body"/>
              <w:spacing w:after="0"/>
              <w:rPr>
                <w:rFonts w:ascii="Arial" w:eastAsia="Calibri" w:hAnsi="Arial" w:cs="Arial"/>
                <w:sz w:val="22"/>
                <w:szCs w:val="22"/>
              </w:rPr>
            </w:pPr>
            <w:r w:rsidRPr="00485CDA">
              <w:rPr>
                <w:rFonts w:ascii="Arial" w:eastAsia="Calibri" w:hAnsi="Arial" w:cs="Arial"/>
                <w:b/>
                <w:sz w:val="22"/>
                <w:szCs w:val="22"/>
              </w:rPr>
              <w:t xml:space="preserve">Aims: </w:t>
            </w:r>
            <w:r w:rsidRPr="00485CDA">
              <w:rPr>
                <w:rFonts w:ascii="Arial" w:eastAsia="Calibri" w:hAnsi="Arial" w:cs="Arial"/>
                <w:sz w:val="22"/>
                <w:szCs w:val="22"/>
              </w:rPr>
              <w:t xml:space="preserve">To isolate, characterize, and evaluate native Streptomyces spp. from mango rhizosphere soils for their antagonistic potential against </w:t>
            </w:r>
            <w:r w:rsidRPr="00485CDA">
              <w:rPr>
                <w:rFonts w:ascii="Arial" w:eastAsia="Calibri" w:hAnsi="Arial" w:cs="Arial"/>
                <w:i/>
                <w:sz w:val="22"/>
                <w:szCs w:val="22"/>
              </w:rPr>
              <w:t>Colletotrichum gloeosporioides</w:t>
            </w:r>
            <w:r w:rsidRPr="00485CDA">
              <w:rPr>
                <w:rFonts w:ascii="Arial" w:eastAsia="Calibri" w:hAnsi="Arial" w:cs="Arial"/>
                <w:sz w:val="22"/>
                <w:szCs w:val="22"/>
              </w:rPr>
              <w:t>, the causal agent of mango anthracnose.</w:t>
            </w:r>
          </w:p>
          <w:p w14:paraId="4A2C4EFA" w14:textId="77777777" w:rsidR="005E0F29" w:rsidRPr="00485CDA" w:rsidRDefault="005E0F29" w:rsidP="005E0F29">
            <w:pPr>
              <w:pStyle w:val="Body"/>
              <w:spacing w:after="0"/>
              <w:rPr>
                <w:rFonts w:ascii="Arial" w:eastAsia="Calibri" w:hAnsi="Arial" w:cs="Arial"/>
                <w:sz w:val="22"/>
                <w:szCs w:val="22"/>
              </w:rPr>
            </w:pPr>
            <w:r w:rsidRPr="00485CDA">
              <w:rPr>
                <w:rFonts w:ascii="Arial" w:eastAsia="Calibri" w:hAnsi="Arial" w:cs="Arial"/>
                <w:b/>
                <w:sz w:val="22"/>
                <w:szCs w:val="22"/>
              </w:rPr>
              <w:t>Study design:</w:t>
            </w:r>
            <w:r w:rsidRPr="00485CDA">
              <w:rPr>
                <w:rFonts w:ascii="Arial" w:eastAsia="Calibri" w:hAnsi="Arial" w:cs="Arial"/>
                <w:sz w:val="22"/>
                <w:szCs w:val="22"/>
              </w:rPr>
              <w:t xml:space="preserve">  Experimental study involving in vitro and molecular evaluation of actinomycete isolates.</w:t>
            </w:r>
          </w:p>
          <w:p w14:paraId="20DEAEC1" w14:textId="77777777" w:rsidR="005E0F29" w:rsidRPr="00485CDA" w:rsidRDefault="005E0F29" w:rsidP="005E0F29">
            <w:pPr>
              <w:pStyle w:val="Body"/>
              <w:spacing w:after="0"/>
              <w:rPr>
                <w:rFonts w:ascii="Arial" w:eastAsia="Calibri" w:hAnsi="Arial" w:cs="Arial"/>
                <w:sz w:val="22"/>
                <w:szCs w:val="22"/>
              </w:rPr>
            </w:pPr>
            <w:r w:rsidRPr="00485CDA">
              <w:rPr>
                <w:rFonts w:ascii="Arial" w:eastAsia="Calibri" w:hAnsi="Arial" w:cs="Arial"/>
                <w:b/>
                <w:sz w:val="22"/>
                <w:szCs w:val="22"/>
              </w:rPr>
              <w:t>Place and Duration of Study:</w:t>
            </w:r>
            <w:r w:rsidRPr="00485CDA">
              <w:rPr>
                <w:rFonts w:ascii="Arial" w:eastAsia="Calibri" w:hAnsi="Arial" w:cs="Arial"/>
                <w:sz w:val="22"/>
                <w:szCs w:val="22"/>
              </w:rPr>
              <w:t xml:space="preserve"> Department of Plant Pathology, Faculty of Agriculture, Annamalai University, Tamil Nadu, and Rice Research Station, Ambasamudram, Tamil Nadu, conducted between July 2023 and May 2024</w:t>
            </w:r>
          </w:p>
          <w:p w14:paraId="19E2E51A" w14:textId="77777777" w:rsidR="005E0F29" w:rsidRPr="00485CDA" w:rsidRDefault="005E0F29" w:rsidP="005E0F29">
            <w:pPr>
              <w:pStyle w:val="Body"/>
              <w:spacing w:after="0"/>
              <w:rPr>
                <w:rFonts w:ascii="Arial" w:eastAsia="Calibri" w:hAnsi="Arial" w:cs="Arial"/>
                <w:sz w:val="22"/>
                <w:szCs w:val="22"/>
              </w:rPr>
            </w:pPr>
            <w:r w:rsidRPr="00485CDA">
              <w:rPr>
                <w:rFonts w:ascii="Arial" w:eastAsia="Calibri" w:hAnsi="Arial" w:cs="Arial"/>
                <w:b/>
                <w:bCs/>
                <w:sz w:val="22"/>
                <w:szCs w:val="22"/>
              </w:rPr>
              <w:t>Methodology:</w:t>
            </w:r>
            <w:r w:rsidRPr="00485CDA">
              <w:rPr>
                <w:rFonts w:ascii="Arial" w:eastAsia="Calibri" w:hAnsi="Arial" w:cs="Arial"/>
                <w:sz w:val="22"/>
                <w:szCs w:val="22"/>
              </w:rPr>
              <w:t xml:space="preserve"> Ten actinomycete isolates (AUSA</w:t>
            </w:r>
            <w:r w:rsidRPr="00485CDA">
              <w:rPr>
                <w:rFonts w:ascii="Arial" w:eastAsia="Calibri" w:hAnsi="Arial" w:cs="Arial"/>
                <w:sz w:val="22"/>
                <w:szCs w:val="22"/>
                <w:vertAlign w:val="subscript"/>
              </w:rPr>
              <w:t>1</w:t>
            </w:r>
            <w:r w:rsidR="00485CDA" w:rsidRPr="00485CDA">
              <w:rPr>
                <w:rFonts w:ascii="Arial" w:eastAsia="Calibri" w:hAnsi="Arial" w:cs="Arial"/>
                <w:sz w:val="22"/>
                <w:szCs w:val="22"/>
              </w:rPr>
              <w:t>-</w:t>
            </w:r>
            <w:r w:rsidRPr="00485CDA">
              <w:rPr>
                <w:rFonts w:ascii="Arial" w:eastAsia="Calibri" w:hAnsi="Arial" w:cs="Arial"/>
                <w:sz w:val="22"/>
                <w:szCs w:val="22"/>
              </w:rPr>
              <w:t>AUSA</w:t>
            </w:r>
            <w:r w:rsidRPr="00485CDA">
              <w:rPr>
                <w:rFonts w:ascii="Arial" w:eastAsia="Calibri" w:hAnsi="Arial" w:cs="Arial"/>
                <w:sz w:val="22"/>
                <w:szCs w:val="22"/>
                <w:vertAlign w:val="subscript"/>
              </w:rPr>
              <w:t>10</w:t>
            </w:r>
            <w:r w:rsidRPr="00485CDA">
              <w:rPr>
                <w:rFonts w:ascii="Arial" w:eastAsia="Calibri" w:hAnsi="Arial" w:cs="Arial"/>
                <w:sz w:val="22"/>
                <w:szCs w:val="22"/>
              </w:rPr>
              <w:t xml:space="preserve">) were obtained using the soil dilution plate method on Actinomycetes Isolation Agar from mango rhizosphere soils of Tamil Nadu and Puducherry. Isolates were morphologically characterized by macroscopic and microscopic features. Antagonistic activity against </w:t>
            </w:r>
            <w:r w:rsidRPr="00485CDA">
              <w:rPr>
                <w:rFonts w:ascii="Arial" w:eastAsia="Calibri" w:hAnsi="Arial" w:cs="Arial"/>
                <w:i/>
                <w:sz w:val="22"/>
                <w:szCs w:val="22"/>
              </w:rPr>
              <w:t>C. gloeosporioides</w:t>
            </w:r>
            <w:r w:rsidRPr="00485CDA">
              <w:rPr>
                <w:rFonts w:ascii="Arial" w:eastAsia="Calibri" w:hAnsi="Arial" w:cs="Arial"/>
                <w:sz w:val="22"/>
                <w:szCs w:val="22"/>
              </w:rPr>
              <w:t xml:space="preserve"> was evaluated through dual culture assays on PDA. The most effective isolate, AUSA</w:t>
            </w:r>
            <w:r w:rsidRPr="00485CDA">
              <w:rPr>
                <w:rFonts w:ascii="Arial" w:eastAsia="Calibri" w:hAnsi="Arial" w:cs="Arial"/>
                <w:sz w:val="22"/>
                <w:szCs w:val="22"/>
                <w:vertAlign w:val="subscript"/>
              </w:rPr>
              <w:t>3</w:t>
            </w:r>
            <w:r w:rsidRPr="00485CDA">
              <w:rPr>
                <w:rFonts w:ascii="Arial" w:eastAsia="Calibri" w:hAnsi="Arial" w:cs="Arial"/>
                <w:sz w:val="22"/>
                <w:szCs w:val="22"/>
              </w:rPr>
              <w:t xml:space="preserve">, was further characterized using Scanning Electron Microscopy and molecularly identified via 16S rRNA gene sequencing. DNA was extracted using </w:t>
            </w:r>
            <w:proofErr w:type="gramStart"/>
            <w:r w:rsidRPr="00485CDA">
              <w:rPr>
                <w:rFonts w:ascii="Arial" w:eastAsia="Calibri" w:hAnsi="Arial" w:cs="Arial"/>
                <w:sz w:val="22"/>
                <w:szCs w:val="22"/>
              </w:rPr>
              <w:t>phenol:chloroform</w:t>
            </w:r>
            <w:proofErr w:type="gramEnd"/>
            <w:r w:rsidRPr="00485CDA">
              <w:rPr>
                <w:rFonts w:ascii="Arial" w:eastAsia="Calibri" w:hAnsi="Arial" w:cs="Arial"/>
                <w:sz w:val="22"/>
                <w:szCs w:val="22"/>
              </w:rPr>
              <w:t>:isoamyl alcohol protocol, and PCR amplification was performed with universal primers (27F and 1492R).</w:t>
            </w:r>
          </w:p>
          <w:p w14:paraId="307BD8C2" w14:textId="77777777" w:rsidR="005E0F29" w:rsidRPr="00485CDA" w:rsidRDefault="005E0F29" w:rsidP="005E0F29">
            <w:pPr>
              <w:pStyle w:val="Body"/>
              <w:spacing w:after="0"/>
              <w:rPr>
                <w:rFonts w:ascii="Arial" w:eastAsia="Calibri" w:hAnsi="Arial" w:cs="Arial"/>
                <w:sz w:val="22"/>
                <w:szCs w:val="22"/>
              </w:rPr>
            </w:pPr>
          </w:p>
          <w:p w14:paraId="1A375ACD" w14:textId="77777777" w:rsidR="005E0F29" w:rsidRPr="00485CDA" w:rsidRDefault="005E0F29" w:rsidP="005E0F29">
            <w:pPr>
              <w:pStyle w:val="Body"/>
              <w:spacing w:after="0"/>
              <w:rPr>
                <w:rFonts w:ascii="Arial" w:eastAsia="Calibri" w:hAnsi="Arial" w:cs="Arial"/>
                <w:b/>
                <w:bCs/>
                <w:sz w:val="22"/>
                <w:szCs w:val="22"/>
              </w:rPr>
            </w:pPr>
            <w:r w:rsidRPr="00485CDA">
              <w:rPr>
                <w:rFonts w:ascii="Arial" w:eastAsia="Calibri" w:hAnsi="Arial" w:cs="Arial"/>
                <w:b/>
                <w:bCs/>
                <w:sz w:val="22"/>
                <w:szCs w:val="22"/>
              </w:rPr>
              <w:t>Results:</w:t>
            </w:r>
            <w:r w:rsidRPr="00485CDA">
              <w:rPr>
                <w:rFonts w:ascii="Arial" w:eastAsia="Calibri" w:hAnsi="Arial" w:cs="Arial"/>
                <w:sz w:val="22"/>
                <w:szCs w:val="22"/>
              </w:rPr>
              <w:t xml:space="preserve"> Among the isolates, AUSA</w:t>
            </w:r>
            <w:r w:rsidRPr="00485CDA">
              <w:rPr>
                <w:rFonts w:ascii="Arial" w:eastAsia="Calibri" w:hAnsi="Arial" w:cs="Arial"/>
                <w:sz w:val="22"/>
                <w:szCs w:val="22"/>
                <w:vertAlign w:val="subscript"/>
              </w:rPr>
              <w:t>3</w:t>
            </w:r>
            <w:r w:rsidRPr="00485CDA">
              <w:rPr>
                <w:rFonts w:ascii="Arial" w:eastAsia="Calibri" w:hAnsi="Arial" w:cs="Arial"/>
                <w:sz w:val="22"/>
                <w:szCs w:val="22"/>
              </w:rPr>
              <w:t xml:space="preserve"> exhibited the highest mycelial growth inhibition (79.72%) of </w:t>
            </w:r>
            <w:r w:rsidRPr="00485CDA">
              <w:rPr>
                <w:rFonts w:ascii="Arial" w:eastAsia="Calibri" w:hAnsi="Arial" w:cs="Arial"/>
                <w:i/>
                <w:sz w:val="22"/>
                <w:szCs w:val="22"/>
              </w:rPr>
              <w:t>C. gloeosporioides</w:t>
            </w:r>
            <w:r w:rsidRPr="00485CDA">
              <w:rPr>
                <w:rFonts w:ascii="Arial" w:eastAsia="Calibri" w:hAnsi="Arial" w:cs="Arial"/>
                <w:sz w:val="22"/>
                <w:szCs w:val="22"/>
              </w:rPr>
              <w:t>, followed by AUSA</w:t>
            </w:r>
            <w:r w:rsidRPr="00485CDA">
              <w:rPr>
                <w:rFonts w:ascii="Arial" w:eastAsia="Calibri" w:hAnsi="Arial" w:cs="Arial"/>
                <w:sz w:val="22"/>
                <w:szCs w:val="22"/>
                <w:vertAlign w:val="subscript"/>
              </w:rPr>
              <w:t>7</w:t>
            </w:r>
            <w:r w:rsidRPr="00485CDA">
              <w:rPr>
                <w:rFonts w:ascii="Arial" w:eastAsia="Calibri" w:hAnsi="Arial" w:cs="Arial"/>
                <w:sz w:val="22"/>
                <w:szCs w:val="22"/>
              </w:rPr>
              <w:t xml:space="preserve"> (76.36%). Morphologically, AUSA</w:t>
            </w:r>
            <w:r w:rsidRPr="00485CDA">
              <w:rPr>
                <w:rFonts w:ascii="Arial" w:eastAsia="Calibri" w:hAnsi="Arial" w:cs="Arial"/>
                <w:sz w:val="22"/>
                <w:szCs w:val="22"/>
                <w:vertAlign w:val="subscript"/>
              </w:rPr>
              <w:t>3</w:t>
            </w:r>
            <w:r w:rsidRPr="00485CDA">
              <w:rPr>
                <w:rFonts w:ascii="Arial" w:eastAsia="Calibri" w:hAnsi="Arial" w:cs="Arial"/>
                <w:sz w:val="22"/>
                <w:szCs w:val="22"/>
              </w:rPr>
              <w:t xml:space="preserve"> displayed a bright yellow substrate mycelium, powdery surface, and rod-shaped smooth spores. SEM analysis confirmed its spore structure. Molecular identification revealed 100% sequence similarity to Streptomyces albofaciens, and the sequence was submitted to GenBank (Accession No. PV603281).</w:t>
            </w:r>
          </w:p>
          <w:p w14:paraId="58A33985" w14:textId="3B7C394E" w:rsidR="005E0F29" w:rsidRDefault="005E0F29" w:rsidP="005E0F29">
            <w:pPr>
              <w:pStyle w:val="Body"/>
              <w:spacing w:after="0"/>
              <w:rPr>
                <w:rFonts w:ascii="Arial" w:eastAsia="Calibri" w:hAnsi="Arial" w:cs="Arial"/>
                <w:sz w:val="22"/>
                <w:szCs w:val="22"/>
              </w:rPr>
            </w:pPr>
            <w:r w:rsidRPr="00485CDA">
              <w:rPr>
                <w:rFonts w:ascii="Arial" w:eastAsia="Calibri" w:hAnsi="Arial" w:cs="Arial"/>
                <w:b/>
                <w:bCs/>
                <w:sz w:val="22"/>
                <w:szCs w:val="22"/>
              </w:rPr>
              <w:t>Conclusion:</w:t>
            </w:r>
            <w:r w:rsidRPr="00485CDA">
              <w:rPr>
                <w:rFonts w:ascii="Arial" w:eastAsia="Calibri" w:hAnsi="Arial" w:cs="Arial"/>
                <w:sz w:val="22"/>
                <w:szCs w:val="22"/>
              </w:rPr>
              <w:t xml:space="preserve"> The study confirms that native </w:t>
            </w:r>
            <w:r w:rsidRPr="00485CDA">
              <w:rPr>
                <w:rFonts w:ascii="Arial" w:eastAsia="Calibri" w:hAnsi="Arial" w:cs="Arial"/>
                <w:i/>
                <w:sz w:val="22"/>
                <w:szCs w:val="22"/>
              </w:rPr>
              <w:t>Streptomyces albofaciens</w:t>
            </w:r>
            <w:r w:rsidRPr="00485CDA">
              <w:rPr>
                <w:rFonts w:ascii="Arial" w:eastAsia="Calibri" w:hAnsi="Arial" w:cs="Arial"/>
                <w:sz w:val="22"/>
                <w:szCs w:val="22"/>
              </w:rPr>
              <w:t xml:space="preserve"> (AUSA</w:t>
            </w:r>
            <w:r w:rsidRPr="00485CDA">
              <w:rPr>
                <w:rFonts w:ascii="Arial" w:eastAsia="Calibri" w:hAnsi="Arial" w:cs="Arial"/>
                <w:sz w:val="22"/>
                <w:szCs w:val="22"/>
                <w:vertAlign w:val="subscript"/>
              </w:rPr>
              <w:t>3</w:t>
            </w:r>
            <w:r w:rsidRPr="00485CDA">
              <w:rPr>
                <w:rFonts w:ascii="Arial" w:eastAsia="Calibri" w:hAnsi="Arial" w:cs="Arial"/>
                <w:sz w:val="22"/>
                <w:szCs w:val="22"/>
              </w:rPr>
              <w:t xml:space="preserve">) possesses strong in vitro antagonistic activity against </w:t>
            </w:r>
            <w:r w:rsidRPr="00485CDA">
              <w:rPr>
                <w:rFonts w:ascii="Arial" w:eastAsia="Calibri" w:hAnsi="Arial" w:cs="Arial"/>
                <w:i/>
                <w:sz w:val="22"/>
                <w:szCs w:val="22"/>
              </w:rPr>
              <w:t>C. gloeosporioides</w:t>
            </w:r>
            <w:r w:rsidRPr="00485CDA">
              <w:rPr>
                <w:rFonts w:ascii="Arial" w:eastAsia="Calibri" w:hAnsi="Arial" w:cs="Arial"/>
                <w:sz w:val="22"/>
                <w:szCs w:val="22"/>
              </w:rPr>
              <w:t xml:space="preserve"> and holds promise as a sustainable biocontrol agent for mango anthracnose management. Its deployment could reduce </w:t>
            </w:r>
            <w:r w:rsidRPr="00485CDA">
              <w:rPr>
                <w:rFonts w:ascii="Arial" w:eastAsia="Calibri" w:hAnsi="Arial" w:cs="Arial"/>
                <w:sz w:val="22"/>
                <w:szCs w:val="22"/>
              </w:rPr>
              <w:lastRenderedPageBreak/>
              <w:t>dependence on synthetic fungicides and promote eco-friendly disease control strategies in mango cultivation.</w:t>
            </w:r>
          </w:p>
          <w:p w14:paraId="27AF26AD" w14:textId="77777777" w:rsidR="001D0409" w:rsidRDefault="001D0409" w:rsidP="005E0F29">
            <w:pPr>
              <w:pStyle w:val="Body"/>
              <w:spacing w:after="0"/>
              <w:rPr>
                <w:rFonts w:ascii="Arial" w:eastAsia="Calibri" w:hAnsi="Arial" w:cs="Arial"/>
                <w:sz w:val="22"/>
                <w:szCs w:val="22"/>
              </w:rPr>
            </w:pPr>
          </w:p>
          <w:p w14:paraId="71FECB3D" w14:textId="056B7D50" w:rsidR="001D0409" w:rsidRPr="001D0409" w:rsidRDefault="001D0409" w:rsidP="001D0409">
            <w:pPr>
              <w:spacing w:line="240" w:lineRule="auto"/>
              <w:jc w:val="both"/>
              <w:rPr>
                <w:rFonts w:ascii="Arial" w:hAnsi="Arial" w:cs="Arial"/>
                <w:i/>
              </w:rPr>
            </w:pPr>
            <w:r w:rsidRPr="00485CDA">
              <w:rPr>
                <w:rFonts w:ascii="Arial" w:hAnsi="Arial" w:cs="Arial"/>
                <w:b/>
              </w:rPr>
              <w:t>Keywords:</w:t>
            </w:r>
            <w:r w:rsidRPr="00485CDA">
              <w:rPr>
                <w:rFonts w:ascii="Arial" w:hAnsi="Arial" w:cs="Arial"/>
              </w:rPr>
              <w:t xml:space="preserve"> </w:t>
            </w:r>
            <w:r w:rsidRPr="00485CDA">
              <w:rPr>
                <w:rFonts w:ascii="Arial" w:hAnsi="Arial" w:cs="Arial"/>
                <w:i/>
              </w:rPr>
              <w:t xml:space="preserve">Streptomyces </w:t>
            </w:r>
            <w:proofErr w:type="spellStart"/>
            <w:r w:rsidRPr="00485CDA">
              <w:rPr>
                <w:rFonts w:ascii="Arial" w:hAnsi="Arial" w:cs="Arial"/>
                <w:i/>
              </w:rPr>
              <w:t>albofaciens</w:t>
            </w:r>
            <w:proofErr w:type="spellEnd"/>
            <w:r w:rsidRPr="00485CDA">
              <w:rPr>
                <w:rFonts w:ascii="Arial" w:hAnsi="Arial" w:cs="Arial"/>
              </w:rPr>
              <w:t xml:space="preserve">, Actinomycetes, Mango anthracnose, </w:t>
            </w:r>
            <w:r w:rsidRPr="00485CDA">
              <w:rPr>
                <w:rFonts w:ascii="Arial" w:hAnsi="Arial" w:cs="Arial"/>
                <w:i/>
              </w:rPr>
              <w:t xml:space="preserve">Colletotrichum </w:t>
            </w:r>
            <w:proofErr w:type="spellStart"/>
            <w:r w:rsidRPr="00485CDA">
              <w:rPr>
                <w:rFonts w:ascii="Arial" w:hAnsi="Arial" w:cs="Arial"/>
                <w:i/>
              </w:rPr>
              <w:t>gloeosporioides</w:t>
            </w:r>
            <w:proofErr w:type="spellEnd"/>
            <w:r w:rsidRPr="00485CDA">
              <w:rPr>
                <w:rFonts w:ascii="Arial" w:hAnsi="Arial" w:cs="Arial"/>
                <w:i/>
              </w:rPr>
              <w:t>.</w:t>
            </w:r>
          </w:p>
          <w:p w14:paraId="08E2955C" w14:textId="77777777" w:rsidR="005E0F29" w:rsidRPr="00485CDA" w:rsidRDefault="005E0F29" w:rsidP="00520C42">
            <w:pPr>
              <w:pStyle w:val="Body"/>
              <w:spacing w:after="0"/>
              <w:rPr>
                <w:rFonts w:ascii="Arial" w:eastAsia="Calibri" w:hAnsi="Arial" w:cs="Arial"/>
                <w:sz w:val="22"/>
                <w:szCs w:val="22"/>
              </w:rPr>
            </w:pPr>
          </w:p>
        </w:tc>
      </w:tr>
    </w:tbl>
    <w:p w14:paraId="25A21EE0" w14:textId="77777777" w:rsidR="00CF0FCA" w:rsidRPr="00485CDA" w:rsidRDefault="00CF0FCA" w:rsidP="00CF0FCA">
      <w:pPr>
        <w:spacing w:line="360" w:lineRule="auto"/>
        <w:jc w:val="both"/>
        <w:rPr>
          <w:rFonts w:ascii="Arial" w:hAnsi="Arial" w:cs="Arial"/>
          <w:b/>
        </w:rPr>
      </w:pPr>
      <w:r w:rsidRPr="00485CDA">
        <w:rPr>
          <w:rFonts w:ascii="Arial" w:hAnsi="Arial" w:cs="Arial"/>
          <w:b/>
        </w:rPr>
        <w:lastRenderedPageBreak/>
        <w:t>Introduction</w:t>
      </w:r>
    </w:p>
    <w:p w14:paraId="5787508A" w14:textId="77777777" w:rsidR="00CF0FCA" w:rsidRPr="00485CDA" w:rsidRDefault="00CF0FCA" w:rsidP="00CF0FCA">
      <w:pPr>
        <w:spacing w:line="360" w:lineRule="auto"/>
        <w:ind w:firstLine="720"/>
        <w:jc w:val="both"/>
        <w:rPr>
          <w:rFonts w:ascii="Arial" w:hAnsi="Arial" w:cs="Arial"/>
        </w:rPr>
      </w:pPr>
      <w:r w:rsidRPr="00485CDA">
        <w:rPr>
          <w:rFonts w:ascii="Arial" w:hAnsi="Arial" w:cs="Arial"/>
        </w:rPr>
        <w:t>Mango (</w:t>
      </w:r>
      <w:r w:rsidRPr="00485CDA">
        <w:rPr>
          <w:rFonts w:ascii="Arial" w:hAnsi="Arial" w:cs="Arial"/>
          <w:i/>
        </w:rPr>
        <w:t>Mangifera</w:t>
      </w:r>
      <w:r w:rsidRPr="00485CDA">
        <w:rPr>
          <w:rFonts w:ascii="Arial" w:hAnsi="Arial" w:cs="Arial"/>
        </w:rPr>
        <w:t xml:space="preserve"> </w:t>
      </w:r>
      <w:r w:rsidRPr="00485CDA">
        <w:rPr>
          <w:rFonts w:ascii="Arial" w:hAnsi="Arial" w:cs="Arial"/>
          <w:i/>
        </w:rPr>
        <w:t>indica</w:t>
      </w:r>
      <w:r w:rsidRPr="00485CDA">
        <w:rPr>
          <w:rFonts w:ascii="Arial" w:hAnsi="Arial" w:cs="Arial"/>
        </w:rPr>
        <w:t xml:space="preserve"> L.), acclaimed as the "King of fruits", is a major tropical climacteric fruit crop in the family Anacardiaceae. It is globally valued for its distinctive organoleptic properties and high phytonutrient content </w:t>
      </w:r>
      <w:r w:rsidRPr="00485CDA">
        <w:rPr>
          <w:rFonts w:ascii="Arial" w:hAnsi="Arial" w:cs="Arial"/>
        </w:rPr>
        <w:fldChar w:fldCharType="begin"/>
      </w:r>
      <w:r w:rsidR="003B494A" w:rsidRPr="00485CDA">
        <w:rPr>
          <w:rFonts w:ascii="Arial" w:hAnsi="Arial" w:cs="Arial"/>
        </w:rPr>
        <w:instrText xml:space="preserve"> ADDIN ZOTERO_ITEM CSL_CITATION {"citationID":"egE8U28k","properties":{"formattedCitation":"(Jeevanantham et al. 2024)","plainCitation":"(Jeevanantham et al. 2024)","noteIndex":0},"citationItems":[{"id":189,"uris":["http://zotero.org/users/local/PoYNsWqG/items/XGMH54M6"],"itemData":{"id":189,"type":"article-journal","abstract":"Mango (Mangifera indica L.) is an edible stone fruit most widely grown in tropical and sub-tropical regions. It is been cultivated in South Asia around 4000 years. The genus Mangifera consists totally 49 species, but only 41 species are considerable. Mango is the most cultivated and important fruit around the world especially in India. Since ages, the people from ancient India describe mango tree as ‘Kalpavriksha’ which means wish granting tree. Mango is the eight most important fruit crop grown throughout the world which it contains the nutritive values, minerals, vitamins and dietary fibers. Mango is highly perishable due to climacteric nature of the fruit, it produces high amount of ethylene which is known as ‘Ripening hormone’. However, the fruit quality and commercialization were drastically reduced by the fungus anthracnose incited by Colletotrichum gloeosporioides; it causes the post-harvest losses of about 35 to 40 percentage, becaming a major post-harvest disease of mango. Many pre-harvest and post-harvest management practices have been practiced to control mango anthracnose including chemical methods. This review summarizes an overview on exhibiting of this disease, the factors influencing them and the recent management approaches to sustain the fruit quality and maintain the supply chain of mango.","container-title":"Archives of Current Research International","DOI":"10.9734/acri/2024/v24i2637","ISSN":"2454-7077","issue":"2","journalAbbreviation":"ACRI","page":"106-115","source":"DOI.org (Crossref)","title":"Post Harvest Anthracnose of Mango Caused by Colletotrichum gloeosporioides: A Review","title-short":"Post Harvest Anthracnose of Mango Caused by Colletotrichum gloeosporioides","volume":"24","author":[{"family":"Jeevanantham","given":"S."},{"family":"Praveen","given":"A."},{"family":"Livitha","given":"R."},{"family":"Balamurugan","given":"K."}],"issued":{"date-parts":[["2024",2,17]]}}}],"schema":"https://github.com/citation-style-language/schema/raw/master/csl-citation.json"} </w:instrText>
      </w:r>
      <w:r w:rsidRPr="00485CDA">
        <w:rPr>
          <w:rFonts w:ascii="Arial" w:hAnsi="Arial" w:cs="Arial"/>
        </w:rPr>
        <w:fldChar w:fldCharType="separate"/>
      </w:r>
      <w:r w:rsidR="003B494A" w:rsidRPr="00485CDA">
        <w:rPr>
          <w:rFonts w:ascii="Arial" w:hAnsi="Arial" w:cs="Arial"/>
        </w:rPr>
        <w:t>(Jeevanantham et al. 2024)</w:t>
      </w:r>
      <w:r w:rsidRPr="00485CDA">
        <w:rPr>
          <w:rFonts w:ascii="Arial" w:hAnsi="Arial" w:cs="Arial"/>
        </w:rPr>
        <w:fldChar w:fldCharType="end"/>
      </w:r>
      <w:r w:rsidRPr="00485CDA">
        <w:rPr>
          <w:rFonts w:ascii="Arial" w:hAnsi="Arial" w:cs="Arial"/>
        </w:rPr>
        <w:t xml:space="preserve">. However, mango is highly susceptible to a wide range of biotic and abiotic stresses across phenological stages, which adversely affect physiological functions, yield, and post-harvest quality </w:t>
      </w:r>
      <w:r w:rsidRPr="00485CDA">
        <w:rPr>
          <w:rFonts w:ascii="Arial" w:hAnsi="Arial" w:cs="Arial"/>
        </w:rPr>
        <w:fldChar w:fldCharType="begin"/>
      </w:r>
      <w:r w:rsidR="003B494A" w:rsidRPr="00485CDA">
        <w:rPr>
          <w:rFonts w:ascii="Arial" w:hAnsi="Arial" w:cs="Arial"/>
        </w:rPr>
        <w:instrText xml:space="preserve"> ADDIN ZOTERO_ITEM CSL_CITATION {"citationID":"M9aIVGgY","properties":{"formattedCitation":"(Balamurugan et al. 2025)","plainCitation":"(Balamurugan et al. 2025)","noteIndex":0},"citationItems":[{"id":287,"uris":["http://zotero.org/users/local/PoYNsWqG/items/IXNMWMCD"],"itemData":{"id":287,"type":"article-journal","container-title":"Annals of Phytomedicine An International Journal","DOI":"10.54085/ap.2025.14.1.114","ISSN":"2278-9839, 2393-9885","issue":"1","journalAbbreviation":"Ann. Phytomed.","note":"publisher: Ukaaz Publications","source":"Crossref","title":"Molecular characterization and cross-pathogenicity analysis of Colletotrichum gloeosporioides (Penz.) Penz. &amp; Sacc. associated with Mango anthracnose","URL":"https://www.ukaazpublications.com/publications/?sdm_process_download=1&amp;download_id=12486","volume":"14","author":[{"family":"Balamurugan","given":"K."},{"family":"Christopher","given":"D. John"},{"family":"Jaiganesh","given":"V."}],"accessed":{"date-parts":[["2025",7,17]]},"issued":{"date-parts":[["2025",6]]}}}],"schema":"https://github.com/citation-style-language/schema/raw/master/csl-citation.json"} </w:instrText>
      </w:r>
      <w:r w:rsidRPr="00485CDA">
        <w:rPr>
          <w:rFonts w:ascii="Arial" w:hAnsi="Arial" w:cs="Arial"/>
        </w:rPr>
        <w:fldChar w:fldCharType="separate"/>
      </w:r>
      <w:r w:rsidR="003B494A" w:rsidRPr="00485CDA">
        <w:rPr>
          <w:rFonts w:ascii="Arial" w:hAnsi="Arial" w:cs="Arial"/>
        </w:rPr>
        <w:t>(Balamurugan et al. 2025)</w:t>
      </w:r>
      <w:r w:rsidRPr="00485CDA">
        <w:rPr>
          <w:rFonts w:ascii="Arial" w:hAnsi="Arial" w:cs="Arial"/>
        </w:rPr>
        <w:fldChar w:fldCharType="end"/>
      </w:r>
      <w:r w:rsidRPr="00485CDA">
        <w:rPr>
          <w:rFonts w:ascii="Arial" w:hAnsi="Arial" w:cs="Arial"/>
        </w:rPr>
        <w:t>.</w:t>
      </w:r>
      <w:r w:rsidR="00897F2B" w:rsidRPr="00485CDA">
        <w:rPr>
          <w:rFonts w:ascii="Arial" w:hAnsi="Arial" w:cs="Arial"/>
        </w:rPr>
        <w:t xml:space="preserve"> </w:t>
      </w:r>
      <w:r w:rsidRPr="00485CDA">
        <w:rPr>
          <w:rFonts w:ascii="Arial" w:hAnsi="Arial" w:cs="Arial"/>
        </w:rPr>
        <w:t>For many years, safeguarding mango trees against anthracnose diseases has traditionally depended on the extensive use of synthetic fungicides, a practice deeply implemented in agricultural conventions</w:t>
      </w:r>
      <w:r w:rsidR="00897F2B" w:rsidRPr="00485CDA">
        <w:rPr>
          <w:rFonts w:ascii="Arial" w:hAnsi="Arial" w:cs="Arial"/>
        </w:rPr>
        <w:t xml:space="preserve"> </w:t>
      </w:r>
      <w:r w:rsidR="00897F2B" w:rsidRPr="00485CDA">
        <w:rPr>
          <w:rFonts w:ascii="Arial" w:hAnsi="Arial" w:cs="Arial"/>
        </w:rPr>
        <w:fldChar w:fldCharType="begin"/>
      </w:r>
      <w:r w:rsidR="003B494A" w:rsidRPr="00485CDA">
        <w:rPr>
          <w:rFonts w:ascii="Arial" w:hAnsi="Arial" w:cs="Arial"/>
        </w:rPr>
        <w:instrText xml:space="preserve"> ADDIN ZOTERO_ITEM CSL_CITATION {"citationID":"J8ldlHzW","properties":{"formattedCitation":"(Iqbal et al. 2022)","plainCitation":"(Iqbal et al. 2022)","noteIndex":0},"citationItems":[{"id":296,"uris":["http://zotero.org/users/local/PoYNsWqG/items/PD5MH4B4"],"itemData":{"id":296,"type":"article-journal","abstract":"Mango anthracnose is the most ravaging biotic stress to the successful production of mango fruit across the globe. Colletotrichum gloeosporioides is an etiological agent of this disease that adversely affects the quality as well as quantity of produce.The occurrence of disease at pre- and postharvest conditions is a common phenomenon which is responsible for potential economic losses. It has been studied that the hot and humid climatic conditions are conducive for the outbreak of disease. Therefore, integrated management of mango anthracnose is essential. It has been estimated that approximately 25 to 30% loses in mango production are due to anthracnose and stem end rot. Previous investigations revealed that the disease incidence may reach up to 100% on fruits under humid conditions. Many management strategies such as chemical control, biocontrol, use of Phyto-extracts and nanotechnological approaches have been introduced to combat this disease. The synthetic fungicides are used to curb the disease incidence. Pathogen have developed resistance against various chemicals that are generally utilized to overcome this disease. Because of its antifungal potential against mango anthracnose, among these strategies, nanotechnology is a rapidly evolving discipline that is gaining the attention of researchers.","container-title":"Journal of Innovative Sciences","DOI":"10.17582/journal.jis/2022/8.2.222.235","ISSN":"2411-2240","issue":"2","journalAbbreviation":"JIS","language":"en","note":"publisher: ResearchersLinks Ltd","source":"Crossref","title":"Mango Anthracnose: Global Status and the Way Forward for Disease Management","title-short":"Mango Anthracnose","URL":"http://researcherslinks.com/current-issues/Mango-Anthracnose-Global-Status-Way-Forward%20-Disease-Management/27/8/5502/html","volume":"8","author":[{"family":"Iqbal","given":"Shahid"},{"family":"Khan","given":"Muhammad Aslam"},{"family":"Atiq","given":"Muhammad"},{"family":"Rajput","given":"Nasir Ahmed"},{"family":"Usman","given":"Muhammad"},{"family":"Nawaz","given":"Ahmad"},{"family":"Kachelo","given":"Ghalib Ayaz"},{"family":"Akram","given":"Azeem"},{"family":"Ahmad","given":"Hadeed"}],"accessed":{"date-parts":[["2025",7,17]]},"issued":{"date-parts":[["2022"]]}}}],"schema":"https://github.com/citation-style-language/schema/raw/master/csl-citation.json"} </w:instrText>
      </w:r>
      <w:r w:rsidR="00897F2B" w:rsidRPr="00485CDA">
        <w:rPr>
          <w:rFonts w:ascii="Arial" w:hAnsi="Arial" w:cs="Arial"/>
        </w:rPr>
        <w:fldChar w:fldCharType="separate"/>
      </w:r>
      <w:r w:rsidR="003B494A" w:rsidRPr="00485CDA">
        <w:rPr>
          <w:rFonts w:ascii="Arial" w:hAnsi="Arial" w:cs="Arial"/>
        </w:rPr>
        <w:t>(Iqbal et al. 2022)</w:t>
      </w:r>
      <w:r w:rsidR="00897F2B" w:rsidRPr="00485CDA">
        <w:rPr>
          <w:rFonts w:ascii="Arial" w:hAnsi="Arial" w:cs="Arial"/>
        </w:rPr>
        <w:fldChar w:fldCharType="end"/>
      </w:r>
      <w:r w:rsidRPr="00485CDA">
        <w:rPr>
          <w:rFonts w:ascii="Arial" w:hAnsi="Arial" w:cs="Arial"/>
        </w:rPr>
        <w:t>.</w:t>
      </w:r>
      <w:r w:rsidR="00897F2B" w:rsidRPr="00485CDA">
        <w:rPr>
          <w:rFonts w:ascii="Arial" w:hAnsi="Arial" w:cs="Arial"/>
        </w:rPr>
        <w:t xml:space="preserve"> </w:t>
      </w:r>
      <w:r w:rsidRPr="00485CDA">
        <w:rPr>
          <w:rFonts w:ascii="Arial" w:hAnsi="Arial" w:cs="Arial"/>
        </w:rPr>
        <w:t>In response to escalating concerns over chemical residues and pathogen resistance, the quest for eco-friendly solutions to manage mango anthracnose has become more urgent than ever</w:t>
      </w:r>
      <w:r w:rsidR="00897F2B" w:rsidRPr="00485CDA">
        <w:rPr>
          <w:rFonts w:ascii="Arial" w:hAnsi="Arial" w:cs="Arial"/>
        </w:rPr>
        <w:t xml:space="preserve"> </w:t>
      </w:r>
      <w:r w:rsidR="00897F2B" w:rsidRPr="00485CDA">
        <w:rPr>
          <w:rFonts w:ascii="Arial" w:hAnsi="Arial" w:cs="Arial"/>
        </w:rPr>
        <w:fldChar w:fldCharType="begin"/>
      </w:r>
      <w:r w:rsidR="003B494A" w:rsidRPr="00485CDA">
        <w:rPr>
          <w:rFonts w:ascii="Arial" w:hAnsi="Arial" w:cs="Arial"/>
        </w:rPr>
        <w:instrText xml:space="preserve"> ADDIN ZOTERO_ITEM CSL_CITATION {"citationID":"DASmSezp","properties":{"formattedCitation":"(Dofuor et al. 2023)","plainCitation":"(Dofuor et al. 2023)","noteIndex":0},"citationItems":[{"id":132,"uris":["http://zotero.org/users/local/PoYNsWqG/items/ZSALJL62"],"itemData":{"id":132,"type":"article-journal","abstract":"Mango anthracnose disease (MAD) is a destructive disease of mangoes, with estimated yield losses of up to 100% in unmanaged plantations. Several strains that constitute\n              Colletotrichum\n              complexes are implicated in MAD worldwide. All mangoes grown for commercial purposes are susceptible, and a resistant cultivar for all strains is not presently available on the market. The infection can widely spread before being detected since the disease is invincible until after a protracted latent period. The detection of multiple strains of the pathogen in Mexico, Brazil, and China has prompted a significant increase in research on the disease. Synthetic pesticide application is the primary management technique used to manage the disease. However, newly observed declines in anthracnose susceptibility to many fungicides highlight the need for more environmentally friendly approaches. Recent progress in understanding the host range, molecular and phenotypic characterization, and susceptibility of the disease in several mango cultivars is discussed in this review. It provides updates on the mode of transmission, infection biology and contemporary management strategies. We suggest an integrated and ecologically sound approach to managing MAD.","container-title":"Frontiers in Microbiology","DOI":"10.3389/fmicb.2023.1168203","ISSN":"1664-302X","journalAbbreviation":"Front. Microbiol.","page":"1168203","source":"DOI.org (Crossref)","title":"Mango anthracnose disease: the current situation and direction for future research","title-short":"Mango anthracnose disease","volume":"14","author":[{"family":"Dofuor","given":"Aboagye Kwarteng"},{"family":"Quartey","given":"Naa Kwarley-Aba"},{"family":"Osabutey","given":"Angelina Fathia"},{"family":"Antwi-Agyakwa","given":"Akua Konadu"},{"family":"Asante","given":"Kwasi"},{"family":"Boateng","given":"Belinda Obenewa"},{"family":"Ablormeti","given":"Fred Kormla"},{"family":"Lutuf","given":"Hanif"},{"family":"Osei-Owusu","given":"Jonathan"},{"family":"Osei","given":"Joseph Harold Nyarko"},{"family":"Ekloh","given":"William"},{"family":"Loh","given":"Seyram Kofi"},{"family":"Honger","given":"Joseph Okani"},{"family":"Aidoo","given":"Owusu Fordjour"},{"family":"Ninsin","given":"Kodwo Dadzie"}],"issued":{"date-parts":[["2023",8,24]]}}}],"schema":"https://github.com/citation-style-language/schema/raw/master/csl-citation.json"} </w:instrText>
      </w:r>
      <w:r w:rsidR="00897F2B" w:rsidRPr="00485CDA">
        <w:rPr>
          <w:rFonts w:ascii="Arial" w:hAnsi="Arial" w:cs="Arial"/>
        </w:rPr>
        <w:fldChar w:fldCharType="separate"/>
      </w:r>
      <w:r w:rsidR="003B494A" w:rsidRPr="00485CDA">
        <w:rPr>
          <w:rFonts w:ascii="Arial" w:hAnsi="Arial" w:cs="Arial"/>
        </w:rPr>
        <w:t>(Dofuor et al. 2023)</w:t>
      </w:r>
      <w:r w:rsidR="00897F2B" w:rsidRPr="00485CDA">
        <w:rPr>
          <w:rFonts w:ascii="Arial" w:hAnsi="Arial" w:cs="Arial"/>
        </w:rPr>
        <w:fldChar w:fldCharType="end"/>
      </w:r>
      <w:r w:rsidRPr="00485CDA">
        <w:rPr>
          <w:rFonts w:ascii="Arial" w:hAnsi="Arial" w:cs="Arial"/>
        </w:rPr>
        <w:t>. In this context, the microbiota have attracted considerable interest for their role in promoting plant health and improving nutrient dynamics</w:t>
      </w:r>
      <w:r w:rsidR="00897F2B" w:rsidRPr="00485CDA">
        <w:rPr>
          <w:rFonts w:ascii="Arial" w:hAnsi="Arial" w:cs="Arial"/>
        </w:rPr>
        <w:t xml:space="preserve"> </w:t>
      </w:r>
      <w:r w:rsidR="00897F2B" w:rsidRPr="00485CDA">
        <w:rPr>
          <w:rFonts w:ascii="Arial" w:hAnsi="Arial" w:cs="Arial"/>
        </w:rPr>
        <w:fldChar w:fldCharType="begin"/>
      </w:r>
      <w:r w:rsidR="003B494A" w:rsidRPr="00485CDA">
        <w:rPr>
          <w:rFonts w:ascii="Arial" w:hAnsi="Arial" w:cs="Arial"/>
        </w:rPr>
        <w:instrText xml:space="preserve"> ADDIN ZOTERO_ITEM CSL_CITATION {"citationID":"QtAG9YP6","properties":{"formattedCitation":"(Suman et al. 2022)","plainCitation":"(Suman et al. 2022)","noteIndex":0},"citationItems":[{"id":397,"uris":["http://zotero.org/users/local/PoYNsWqG/items/FS3R75GG"],"itemData":{"id":397,"type":"article-journal","abstract":"The aggregate of microorganisms in the soil environment is a microbiome that emerged as a vital component of sustainable agriculture in the recent past. These beneficial microorganisms perform multiple plant growth-promoting activities including fixation, mineralization, solubilization, and mobilization of nutrients, production of siderophores, antagonistic substances, antibiotics, and release of plant growth-promoting substances, such as auxin and gibberellin hormones, mediated by interactions between host plant roots and microbes in the rhizosphere. Numerous plant species forms symbiotic association with microbes and draw the benefit of mineral nutrient supply with the expense of minimal energy, and their distribution is governed by nature and the number of root exudates, crop species, and cultivars. On the other hand, microorganisms with critical roles in the microbiome can be isolated, formulated, and developed as a new biological product called biofertilizers. Agriculturally, important microbes with Fe- and Zn-solubilizing attributes can be used for the biofortification of micronutrients in different cereal crops. Regardless of the approach to be used, innovations with the use of microbiomes represent the future of sustainable agriculture. Probiotic microbes, such as Lactobacillus, etc., are increasingly being used as dietary supplements in functional food products. Effective utilization of microbiome aids in promoting sustainable agriculture that accomplishes a safe environment, which in turn manifests positively on human health.","container-title":"Frontiers in Soil Science","DOI":"10.3389/fsoil.2022.821589","ISSN":"2673-8619","journalAbbreviation":"Front. Soil Sci.","language":"English","note":"publisher: Frontiers","source":"Frontiers","title":"Microbiome as a Key Player in Sustainable Agriculture and Human Health","URL":"https://www.frontiersin.org/journals/soil-science/articles/10.3389/fsoil.2022.821589/full","volume":"2","author":[{"family":"Suman","given":"Jarupula"},{"family":"Rakshit","given":"Amitava"},{"family":"Ogireddy","given":"Siva Devika"},{"family":"Singh","given":"Sonam"},{"family":"Gupta","given":"Chinmay"},{"family":"Chandrakala","given":"J."}],"accessed":{"date-parts":[["2025",7,19]]},"issued":{"date-parts":[["2022",4,11]]}}}],"schema":"https://github.com/citation-style-language/schema/raw/master/csl-citation.json"} </w:instrText>
      </w:r>
      <w:r w:rsidR="00897F2B" w:rsidRPr="00485CDA">
        <w:rPr>
          <w:rFonts w:ascii="Arial" w:hAnsi="Arial" w:cs="Arial"/>
        </w:rPr>
        <w:fldChar w:fldCharType="separate"/>
      </w:r>
      <w:r w:rsidR="003B494A" w:rsidRPr="00485CDA">
        <w:rPr>
          <w:rFonts w:ascii="Arial" w:hAnsi="Arial" w:cs="Arial"/>
        </w:rPr>
        <w:t>(Suman et al. 2022)</w:t>
      </w:r>
      <w:r w:rsidR="00897F2B" w:rsidRPr="00485CDA">
        <w:rPr>
          <w:rFonts w:ascii="Arial" w:hAnsi="Arial" w:cs="Arial"/>
        </w:rPr>
        <w:fldChar w:fldCharType="end"/>
      </w:r>
      <w:r w:rsidRPr="00485CDA">
        <w:rPr>
          <w:rFonts w:ascii="Arial" w:hAnsi="Arial" w:cs="Arial"/>
        </w:rPr>
        <w:t xml:space="preserve">. Among these beneficial microbes, actinomycetes particularly </w:t>
      </w:r>
      <w:r w:rsidRPr="00485CDA">
        <w:rPr>
          <w:rFonts w:ascii="Arial" w:hAnsi="Arial" w:cs="Arial"/>
          <w:i/>
        </w:rPr>
        <w:t>Streptomyces</w:t>
      </w:r>
      <w:r w:rsidRPr="00485CDA">
        <w:rPr>
          <w:rFonts w:ascii="Arial" w:hAnsi="Arial" w:cs="Arial"/>
        </w:rPr>
        <w:t xml:space="preserve"> spp. stand out for their ecological versatility and remarkable biocontrol potential</w:t>
      </w:r>
      <w:r w:rsidR="00897F2B" w:rsidRPr="00485CDA">
        <w:rPr>
          <w:rFonts w:ascii="Arial" w:hAnsi="Arial" w:cs="Arial"/>
        </w:rPr>
        <w:t xml:space="preserve"> </w:t>
      </w:r>
      <w:r w:rsidR="00897F2B" w:rsidRPr="00485CDA">
        <w:rPr>
          <w:rFonts w:ascii="Arial" w:hAnsi="Arial" w:cs="Arial"/>
        </w:rPr>
        <w:fldChar w:fldCharType="begin"/>
      </w:r>
      <w:r w:rsidR="003B494A" w:rsidRPr="00485CDA">
        <w:rPr>
          <w:rFonts w:ascii="Arial" w:hAnsi="Arial" w:cs="Arial"/>
        </w:rPr>
        <w:instrText xml:space="preserve"> ADDIN ZOTERO_ITEM CSL_CITATION {"citationID":"H2iYAYZc","properties":{"formattedCitation":"(Khan et al. 2023)","plainCitation":"(Khan et al. 2023)","noteIndex":0},"citationItems":[{"id":400,"uris":["http://zotero.org/users/local/PoYNsWqG/items/R5EPTET6"],"itemData":{"id":400,"type":"article-journal","abstract":"Plant diseases caused by pathogenic microorganisms in agriculture present a considerable obstacle, resulting in approximately 30–40% crop damage. The use of conventional techniques to manage these microorganisms, i.e., applying chemical pesticides and antimicrobials, has been discovered to have adverse effects on human health and the environment. Furthermore, these methods have contributed to the emergence of resistance among phytopathogens. Consequently, it has become imperative to investigate natural alternatives to address this issue. The Streptomyces genus of gram-positive bacteria is a potentially viable natural alternative that has been extensively researched due to its capacity to generate diverse antimicrobial compounds, such as metabolites and organic compounds. Scientists globally use diverse approaches and methodologies to extract new bioactive compounds from these bacteria. The efficacy of bioactive compounds in mitigating various phytopathogens that pose a significant threat to crops and plants has been demonstrated. Hence, the Streptomyces genus exhibits potential as a biological control agent for combating plant pathogens. This review article aims to provide further insight into the Streptomyces genus as a source of antimicrobial compounds that can potentially be a biological control against plant pathogens. The investigation of various bioactive compounds synthesized by this genus can enhance our comprehension of their prospective utilization in agriculture.","container-title":"Frontiers in Microbiology","DOI":"10.3389/fmicb.2023.1285543","ISSN":"1664-302X","journalAbbreviation":"Front. Microbiol.","language":"English","note":"publisher: Frontiers","source":"Frontiers","title":"Streptomyces as a promising biological control agents for plant pathogens","URL":"https://www.frontiersin.org/journals/microbiology/articles/10.3389/fmicb.2023.1285543/full","volume":"14","author":[{"family":"Khan","given":"Shaista"},{"family":"Srivastava","given":"Seweta"},{"family":"Karnwal","given":"Arun"},{"family":"Malik","given":"Tabarak"}],"accessed":{"date-parts":[["2025",7,19]]},"issued":{"date-parts":[["2023",11,14]]}}}],"schema":"https://github.com/citation-style-language/schema/raw/master/csl-citation.json"} </w:instrText>
      </w:r>
      <w:r w:rsidR="00897F2B" w:rsidRPr="00485CDA">
        <w:rPr>
          <w:rFonts w:ascii="Arial" w:hAnsi="Arial" w:cs="Arial"/>
        </w:rPr>
        <w:fldChar w:fldCharType="separate"/>
      </w:r>
      <w:r w:rsidR="003B494A" w:rsidRPr="00485CDA">
        <w:rPr>
          <w:rFonts w:ascii="Arial" w:hAnsi="Arial" w:cs="Arial"/>
        </w:rPr>
        <w:t>(Khan et al. 2023)</w:t>
      </w:r>
      <w:r w:rsidR="00897F2B" w:rsidRPr="00485CDA">
        <w:rPr>
          <w:rFonts w:ascii="Arial" w:hAnsi="Arial" w:cs="Arial"/>
        </w:rPr>
        <w:fldChar w:fldCharType="end"/>
      </w:r>
      <w:r w:rsidRPr="00485CDA">
        <w:rPr>
          <w:rFonts w:ascii="Arial" w:hAnsi="Arial" w:cs="Arial"/>
        </w:rPr>
        <w:t xml:space="preserve">. These Gram-positive, filamentous actinobacteria are prolific producers </w:t>
      </w:r>
      <w:r w:rsidR="00CD5B76" w:rsidRPr="00485CDA">
        <w:rPr>
          <w:rFonts w:ascii="Arial" w:hAnsi="Arial" w:cs="Arial"/>
        </w:rPr>
        <w:t>of secondary metabolites including</w:t>
      </w:r>
      <w:r w:rsidRPr="00485CDA">
        <w:rPr>
          <w:rFonts w:ascii="Arial" w:hAnsi="Arial" w:cs="Arial"/>
        </w:rPr>
        <w:t xml:space="preserve"> antibiotics, siderophores, hydrolytic enzymes, and antifungal compounds. Streptomyces spp. apply on foliage, outcompete pathogens, and secrete bioactive molecules, positioning them as promising candidates for the sustainable management of mango anthracnose</w:t>
      </w:r>
      <w:r w:rsidR="00897F2B" w:rsidRPr="00485CDA">
        <w:rPr>
          <w:rFonts w:ascii="Arial" w:hAnsi="Arial" w:cs="Arial"/>
        </w:rPr>
        <w:t xml:space="preserve"> </w:t>
      </w:r>
      <w:r w:rsidR="00897F2B" w:rsidRPr="00485CDA">
        <w:rPr>
          <w:rFonts w:ascii="Arial" w:hAnsi="Arial" w:cs="Arial"/>
        </w:rPr>
        <w:fldChar w:fldCharType="begin"/>
      </w:r>
      <w:r w:rsidR="003B494A" w:rsidRPr="00485CDA">
        <w:rPr>
          <w:rFonts w:ascii="Arial" w:hAnsi="Arial" w:cs="Arial"/>
        </w:rPr>
        <w:instrText xml:space="preserve"> ADDIN ZOTERO_ITEM CSL_CITATION {"citationID":"5bSKYPcB","properties":{"formattedCitation":"(Kaur et al. 2023)","plainCitation":"(Kaur et al. 2023)","noteIndex":0},"citationItems":[{"id":403,"uris":["http://zotero.org/users/local/PoYNsWqG/items/UKVN576E"],"itemData":{"id":403,"type":"article-journal","abstract":"AbstractWorldwide mounting demand for better food production to nurture exasperating population emphasizes on reduced crop losses. The incidence of pathogens into the agricultural fields has tend to dwindle plethora of cereal, vegetable, and other fodder crops. This, in turn, has seriously impacted the economic losses on global scale. Apart from this, it is quite challenging to feed the posterity in the coming decades. To counteract this problem, various agrochemicals have been commercialized in the market that no doubt shows positive results but along with adversely affecting the ecosystem. Therefore, the excessive ill</w:instrText>
      </w:r>
      <w:r w:rsidR="003B494A" w:rsidRPr="00485CDA">
        <w:rPr>
          <w:rFonts w:ascii="Cambria Math" w:hAnsi="Cambria Math" w:cs="Cambria Math"/>
        </w:rPr>
        <w:instrText>‐</w:instrText>
      </w:r>
      <w:r w:rsidR="003B494A" w:rsidRPr="00485CDA">
        <w:rPr>
          <w:rFonts w:ascii="Arial" w:hAnsi="Arial" w:cs="Arial"/>
        </w:rPr>
        <w:instrText>fated use of agrochemicals to combat the plant pests and diseases highlights that alternatives to chemical pesticides are need of the hour. In recent days, management of plant diseases using plant</w:instrText>
      </w:r>
      <w:r w:rsidR="003B494A" w:rsidRPr="00485CDA">
        <w:rPr>
          <w:rFonts w:ascii="Cambria Math" w:hAnsi="Cambria Math" w:cs="Cambria Math"/>
        </w:rPr>
        <w:instrText>‐</w:instrText>
      </w:r>
      <w:r w:rsidR="003B494A" w:rsidRPr="00485CDA">
        <w:rPr>
          <w:rFonts w:ascii="Arial" w:hAnsi="Arial" w:cs="Arial"/>
        </w:rPr>
        <w:instrText xml:space="preserve">beneficial microbes is gaining interest as safer and potent alternatives to replace chemically based pesticides. Among these beneficial microbes, actinobacteria especially streptomycetes play considerable role in combating plant diseases along with promoting the plant growth and development along with their productivity and yield. The mechanisms exhibited by actinobacteria include antibiosis (antimicrobial compounds and hydrolytic enzymes), mycoparasitism, nutrient competition, and induction of resistance in plants. Thus, in cognizance with potential of actinobacteria as potent biocontrol agents, this review summarizes role of actinobacteria and the multifarious mechanisms exhibited by actinobacteria for commercial applications.","container-title":"Journal of Basic Microbiology","DOI":"10.1002/jobm.202300027","ISSN":"0233-111X, 1521-4028","issue":"11","journalAbbreviation":"J Basic Microbiol","language":"en","license":"http://onlinelibrary.wiley.com/termsAndConditions#vor","note":"publisher: Wiley","page":"1196-1218","source":"Crossref","title":"Mechanistic insights into the role of actinobacteria as potential biocontrol candidates against fungal phytopathogens","volume":"63","author":[{"family":"Kaur","given":"Talwinder"},{"family":"Khanna","given":"Kanika"},{"family":"Sharma","given":"Sonika"},{"family":"Manhas","given":"Rajesh K."}],"issued":{"date-parts":[["2023",11]]}}}],"schema":"https://github.com/citation-style-language/schema/raw/master/csl-citation.json"} </w:instrText>
      </w:r>
      <w:r w:rsidR="00897F2B" w:rsidRPr="00485CDA">
        <w:rPr>
          <w:rFonts w:ascii="Arial" w:hAnsi="Arial" w:cs="Arial"/>
        </w:rPr>
        <w:fldChar w:fldCharType="separate"/>
      </w:r>
      <w:r w:rsidR="003B494A" w:rsidRPr="00485CDA">
        <w:rPr>
          <w:rFonts w:ascii="Arial" w:hAnsi="Arial" w:cs="Arial"/>
        </w:rPr>
        <w:t>(Kaur et al. 2023)</w:t>
      </w:r>
      <w:r w:rsidR="00897F2B" w:rsidRPr="00485CDA">
        <w:rPr>
          <w:rFonts w:ascii="Arial" w:hAnsi="Arial" w:cs="Arial"/>
        </w:rPr>
        <w:fldChar w:fldCharType="end"/>
      </w:r>
      <w:r w:rsidRPr="00485CDA">
        <w:rPr>
          <w:rFonts w:ascii="Arial" w:hAnsi="Arial" w:cs="Arial"/>
        </w:rPr>
        <w:t xml:space="preserve">. In this context, the </w:t>
      </w:r>
      <w:r w:rsidR="00CD5B76" w:rsidRPr="00485CDA">
        <w:rPr>
          <w:rFonts w:ascii="Arial" w:hAnsi="Arial" w:cs="Arial"/>
        </w:rPr>
        <w:t>current investigation aimed to isolate and characterize</w:t>
      </w:r>
      <w:r w:rsidRPr="00485CDA">
        <w:rPr>
          <w:rFonts w:ascii="Arial" w:hAnsi="Arial" w:cs="Arial"/>
        </w:rPr>
        <w:t xml:space="preserve"> native </w:t>
      </w:r>
      <w:r w:rsidRPr="00485CDA">
        <w:rPr>
          <w:rFonts w:ascii="Arial" w:hAnsi="Arial" w:cs="Arial"/>
          <w:i/>
        </w:rPr>
        <w:t>Streptomyces</w:t>
      </w:r>
      <w:r w:rsidRPr="00485CDA">
        <w:rPr>
          <w:rFonts w:ascii="Arial" w:hAnsi="Arial" w:cs="Arial"/>
        </w:rPr>
        <w:t xml:space="preserve"> spp. from diverse agro-climatic zones of Tamil Nadu and Puducherry, and identification of potent isolates for the management of mango anthracnose.</w:t>
      </w:r>
    </w:p>
    <w:p w14:paraId="7D299DD0" w14:textId="77777777" w:rsidR="00CF0FCA" w:rsidRPr="00485CDA" w:rsidRDefault="00CF0FCA" w:rsidP="00CF0FCA">
      <w:pPr>
        <w:spacing w:line="360" w:lineRule="auto"/>
        <w:jc w:val="both"/>
        <w:rPr>
          <w:rFonts w:ascii="Arial" w:hAnsi="Arial" w:cs="Arial"/>
          <w:b/>
        </w:rPr>
      </w:pPr>
      <w:r w:rsidRPr="00485CDA">
        <w:rPr>
          <w:rFonts w:ascii="Arial" w:hAnsi="Arial" w:cs="Arial"/>
          <w:b/>
        </w:rPr>
        <w:t>2. Materials and Methods</w:t>
      </w:r>
    </w:p>
    <w:p w14:paraId="4098330B" w14:textId="77777777" w:rsidR="00CF0FCA" w:rsidRPr="00485CDA" w:rsidRDefault="00CF0FCA" w:rsidP="00CF0FCA">
      <w:pPr>
        <w:spacing w:line="360" w:lineRule="auto"/>
        <w:jc w:val="both"/>
        <w:rPr>
          <w:rFonts w:ascii="Arial" w:hAnsi="Arial" w:cs="Arial"/>
          <w:b/>
        </w:rPr>
      </w:pPr>
      <w:r w:rsidRPr="00485CDA">
        <w:rPr>
          <w:rFonts w:ascii="Arial" w:hAnsi="Arial" w:cs="Arial"/>
          <w:b/>
        </w:rPr>
        <w:t>2.1 Isolation of Actinomycetes</w:t>
      </w:r>
    </w:p>
    <w:p w14:paraId="29EAF7DA" w14:textId="77777777" w:rsidR="00CF0FCA" w:rsidRPr="00485CDA" w:rsidRDefault="00CD5B76" w:rsidP="00897F2B">
      <w:pPr>
        <w:spacing w:line="360" w:lineRule="auto"/>
        <w:ind w:firstLine="720"/>
        <w:jc w:val="both"/>
        <w:rPr>
          <w:rFonts w:ascii="Arial" w:hAnsi="Arial" w:cs="Arial"/>
        </w:rPr>
      </w:pPr>
      <w:r w:rsidRPr="00485CDA">
        <w:rPr>
          <w:rFonts w:ascii="Arial" w:hAnsi="Arial" w:cs="Arial"/>
        </w:rPr>
        <w:t xml:space="preserve">Soil </w:t>
      </w:r>
      <w:r w:rsidR="00CF0FCA" w:rsidRPr="00485CDA">
        <w:rPr>
          <w:rFonts w:ascii="Arial" w:hAnsi="Arial" w:cs="Arial"/>
        </w:rPr>
        <w:t xml:space="preserve">samples </w:t>
      </w:r>
      <w:r w:rsidRPr="00485CDA">
        <w:rPr>
          <w:rFonts w:ascii="Arial" w:hAnsi="Arial" w:cs="Arial"/>
        </w:rPr>
        <w:t>from the rhizosphere of</w:t>
      </w:r>
      <w:r w:rsidR="00CF0FCA" w:rsidRPr="00485CDA">
        <w:rPr>
          <w:rFonts w:ascii="Arial" w:hAnsi="Arial" w:cs="Arial"/>
        </w:rPr>
        <w:t xml:space="preserve"> healthy mango trees across </w:t>
      </w:r>
      <w:r w:rsidRPr="00485CDA">
        <w:rPr>
          <w:rFonts w:ascii="Arial" w:hAnsi="Arial" w:cs="Arial"/>
        </w:rPr>
        <w:t>were collected from prominent</w:t>
      </w:r>
      <w:r w:rsidR="00CF0FCA" w:rsidRPr="00485CDA">
        <w:rPr>
          <w:rFonts w:ascii="Arial" w:hAnsi="Arial" w:cs="Arial"/>
        </w:rPr>
        <w:t xml:space="preserve"> mango </w:t>
      </w:r>
      <w:r w:rsidRPr="00485CDA">
        <w:rPr>
          <w:rFonts w:ascii="Arial" w:hAnsi="Arial" w:cs="Arial"/>
        </w:rPr>
        <w:t>cultivation areas in</w:t>
      </w:r>
      <w:r w:rsidR="00CF0FCA" w:rsidRPr="00485CDA">
        <w:rPr>
          <w:rFonts w:ascii="Arial" w:hAnsi="Arial" w:cs="Arial"/>
        </w:rPr>
        <w:t xml:space="preserve"> Tamil Nadu and Puducherry. Ten </w:t>
      </w:r>
      <w:r w:rsidR="00CF0FCA" w:rsidRPr="00485CDA">
        <w:rPr>
          <w:rFonts w:ascii="Arial" w:hAnsi="Arial" w:cs="Arial"/>
          <w:i/>
        </w:rPr>
        <w:t>Streptomyces</w:t>
      </w:r>
      <w:r w:rsidR="00CF0FCA" w:rsidRPr="00485CDA">
        <w:rPr>
          <w:rFonts w:ascii="Arial" w:hAnsi="Arial" w:cs="Arial"/>
        </w:rPr>
        <w:t xml:space="preserve"> spp. were isolated using the soil dilution plate technique on Actinomycetes Isolation Agar (AIA). Samples were air-dried, pulverized, sieved</w:t>
      </w:r>
      <w:r w:rsidR="00897F2B" w:rsidRPr="00485CDA">
        <w:rPr>
          <w:rFonts w:ascii="Arial" w:hAnsi="Arial" w:cs="Arial"/>
        </w:rPr>
        <w:t>, and serially diluted up to 10</w:t>
      </w:r>
      <w:r w:rsidR="00897F2B" w:rsidRPr="00485CDA">
        <w:rPr>
          <w:rFonts w:ascii="Arial" w:hAnsi="Arial" w:cs="Arial"/>
          <w:vertAlign w:val="superscript"/>
        </w:rPr>
        <w:t>-</w:t>
      </w:r>
      <w:r w:rsidR="00CF0FCA" w:rsidRPr="00485CDA">
        <w:rPr>
          <w:rFonts w:ascii="Arial" w:hAnsi="Arial" w:cs="Arial"/>
        </w:rPr>
        <w:t>⁶ in sterile di</w:t>
      </w:r>
      <w:r w:rsidR="00897F2B" w:rsidRPr="00485CDA">
        <w:rPr>
          <w:rFonts w:ascii="Arial" w:hAnsi="Arial" w:cs="Arial"/>
        </w:rPr>
        <w:t xml:space="preserve">stilled water. Aliquots </w:t>
      </w:r>
      <w:r w:rsidR="00897F2B" w:rsidRPr="00485CDA">
        <w:rPr>
          <w:rFonts w:ascii="Arial" w:hAnsi="Arial" w:cs="Arial"/>
        </w:rPr>
        <w:lastRenderedPageBreak/>
        <w:t>from 10</w:t>
      </w:r>
      <w:r w:rsidR="00897F2B" w:rsidRPr="00485CDA">
        <w:rPr>
          <w:rFonts w:ascii="Arial" w:hAnsi="Arial" w:cs="Arial"/>
          <w:vertAlign w:val="superscript"/>
        </w:rPr>
        <w:t>-</w:t>
      </w:r>
      <w:r w:rsidR="00897F2B" w:rsidRPr="00485CDA">
        <w:rPr>
          <w:rFonts w:ascii="Arial" w:hAnsi="Arial" w:cs="Arial"/>
        </w:rPr>
        <w:t>³ to 10</w:t>
      </w:r>
      <w:r w:rsidR="00897F2B" w:rsidRPr="00485CDA">
        <w:rPr>
          <w:rFonts w:ascii="Arial" w:hAnsi="Arial" w:cs="Arial"/>
          <w:vertAlign w:val="superscript"/>
        </w:rPr>
        <w:t>-</w:t>
      </w:r>
      <w:r w:rsidR="00CF0FCA" w:rsidRPr="00485CDA">
        <w:rPr>
          <w:rFonts w:ascii="Arial" w:hAnsi="Arial" w:cs="Arial"/>
        </w:rPr>
        <w:t>⁶ dilutions were aseptic</w:t>
      </w:r>
      <w:r w:rsidR="00897F2B" w:rsidRPr="00485CDA">
        <w:rPr>
          <w:rFonts w:ascii="Arial" w:hAnsi="Arial" w:cs="Arial"/>
        </w:rPr>
        <w:t>ally plated and incubated at 28°C for 7-</w:t>
      </w:r>
      <w:r w:rsidR="00CF0FCA" w:rsidRPr="00485CDA">
        <w:rPr>
          <w:rFonts w:ascii="Arial" w:hAnsi="Arial" w:cs="Arial"/>
        </w:rPr>
        <w:t>14 days. Colonies exhibiting typical actinomycetes morphology were subcultured using the single hyphal tip meth</w:t>
      </w:r>
      <w:r w:rsidR="00897F2B" w:rsidRPr="00485CDA">
        <w:rPr>
          <w:rFonts w:ascii="Arial" w:hAnsi="Arial" w:cs="Arial"/>
        </w:rPr>
        <w:t>od and preserved on slants at 4</w:t>
      </w:r>
      <w:r w:rsidR="00CF0FCA" w:rsidRPr="00485CDA">
        <w:rPr>
          <w:rFonts w:ascii="Arial" w:hAnsi="Arial" w:cs="Arial"/>
        </w:rPr>
        <w:t>°C. Isolates were characterized based on macroscopic, microscopic, and molecular parameters to confirm their taxonomic identity.</w:t>
      </w:r>
    </w:p>
    <w:p w14:paraId="36332B48" w14:textId="77777777" w:rsidR="00CF0FCA" w:rsidRPr="00485CDA" w:rsidRDefault="00CF0FCA" w:rsidP="00CF0FCA">
      <w:pPr>
        <w:spacing w:line="360" w:lineRule="auto"/>
        <w:jc w:val="both"/>
        <w:rPr>
          <w:rFonts w:ascii="Arial" w:hAnsi="Arial" w:cs="Arial"/>
          <w:b/>
        </w:rPr>
      </w:pPr>
      <w:r w:rsidRPr="00485CDA">
        <w:rPr>
          <w:rFonts w:ascii="Arial" w:hAnsi="Arial" w:cs="Arial"/>
          <w:b/>
        </w:rPr>
        <w:t>2.2 Morphological characterization of Actinomycetes</w:t>
      </w:r>
    </w:p>
    <w:p w14:paraId="64102EC3" w14:textId="77777777" w:rsidR="00CF0FCA" w:rsidRPr="00485CDA" w:rsidRDefault="00CF0FCA" w:rsidP="00897F2B">
      <w:pPr>
        <w:spacing w:line="360" w:lineRule="auto"/>
        <w:ind w:firstLine="720"/>
        <w:jc w:val="both"/>
        <w:rPr>
          <w:rFonts w:ascii="Arial" w:hAnsi="Arial" w:cs="Arial"/>
        </w:rPr>
      </w:pPr>
      <w:r w:rsidRPr="00485CDA">
        <w:rPr>
          <w:rFonts w:ascii="Arial" w:hAnsi="Arial" w:cs="Arial"/>
        </w:rPr>
        <w:t>The morphological characterizations of actinomycetes involved both macroscopic and microscopic evaluations. Macroscopically, isolates were assessed based on aerial and substrate mycelium pigmentation, colony morphology, and growth rate</w:t>
      </w:r>
      <w:r w:rsidR="00910FEA" w:rsidRPr="00485CDA">
        <w:rPr>
          <w:rFonts w:ascii="Arial" w:hAnsi="Arial" w:cs="Arial"/>
        </w:rPr>
        <w:t xml:space="preserve"> </w:t>
      </w:r>
      <w:r w:rsidR="00910FEA" w:rsidRPr="00485CDA">
        <w:rPr>
          <w:rFonts w:ascii="Arial" w:hAnsi="Arial" w:cs="Arial"/>
        </w:rPr>
        <w:fldChar w:fldCharType="begin"/>
      </w:r>
      <w:r w:rsidR="003B494A" w:rsidRPr="00485CDA">
        <w:rPr>
          <w:rFonts w:ascii="Arial" w:hAnsi="Arial" w:cs="Arial"/>
        </w:rPr>
        <w:instrText xml:space="preserve"> ADDIN ZOTERO_ITEM CSL_CITATION {"citationID":"g7Q7ULkc","properties":{"formattedCitation":"(Eppard et al. 1996)","plainCitation":"(Eppard et al. 1996)","noteIndex":0},"citationItems":[{"id":407,"uris":["http://zotero.org/users/local/PoYNsWqG/items/6VR2QU9I"],"itemData":{"id":407,"type":"article-journal","abstract":"In an extended study on the biodiversity of rock-dwelling bacteria, the colony and cell morphology, physiology, protein patterns, and 16S rDNA sequences of 17 bacterial strains isolated from different surfaces of rocks, stones, and monuments and from various geographical locations were characterized. All except one strain, which was found to be a Bacillus, were members of the order Actinomycetales. The majority of the strains either were closely related to Geodermatophilus obscurus, which was also analyzed in this study, or formed a closely related sister taxon. All of these strains were isolated from the surface of marble in Namibia and Greece and from limestone from the Negev desert, Israel. One strain, G10, of Namibia origin was equidistantly related to Geodermatophilus obscurus, Frankia alni, Sporichthya polymorpha, and Acidothermus cellulolyticus. Three strains from rock varnish in the Mojave desert, California, were found to be highly related to Arthrobacter (formerly Micrococcus) agilis. All clusters could be confirmed from results of studies on morphological and physiological properties and from banding patterns of whole cell proteins. Based on the results of tests, four additional strains were assigned to the lineage defined by strain G10.","container-title":"Archives of Microbiology","DOI":"10.1007/s002030050350","ISSN":"1432-072X","issue":"1","journalAbbreviation":"Arch Microbiol","language":"en","page":"12-22","source":"Springer Link","title":"Morphological, physiological, and molecular characterization  of actinomycetes isolated from dry soil, rocks, and monument surfaces","volume":"166","author":[{"family":"Eppard","given":"Martin"},{"family":"Krumbein","given":"W. E."},{"family":"Koch","given":"Cathrin"},{"family":"Rhiel","given":"Erhard"},{"family":"Staley","given":"James T."},{"family":"Stackebrandt","given":"Erko"}],"issued":{"date-parts":[["1996",7,1]]}}}],"schema":"https://github.com/citation-style-language/schema/raw/master/csl-citation.json"} </w:instrText>
      </w:r>
      <w:r w:rsidR="00910FEA" w:rsidRPr="00485CDA">
        <w:rPr>
          <w:rFonts w:ascii="Arial" w:hAnsi="Arial" w:cs="Arial"/>
        </w:rPr>
        <w:fldChar w:fldCharType="separate"/>
      </w:r>
      <w:r w:rsidR="003B494A" w:rsidRPr="00485CDA">
        <w:rPr>
          <w:rFonts w:ascii="Arial" w:hAnsi="Arial" w:cs="Arial"/>
        </w:rPr>
        <w:t>(Eppard et al. 1996)</w:t>
      </w:r>
      <w:r w:rsidR="00910FEA" w:rsidRPr="00485CDA">
        <w:rPr>
          <w:rFonts w:ascii="Arial" w:hAnsi="Arial" w:cs="Arial"/>
        </w:rPr>
        <w:fldChar w:fldCharType="end"/>
      </w:r>
      <w:r w:rsidRPr="00485CDA">
        <w:rPr>
          <w:rFonts w:ascii="Arial" w:hAnsi="Arial" w:cs="Arial"/>
        </w:rPr>
        <w:t>. Microscopic analysis using the slide culture method</w:t>
      </w:r>
      <w:r w:rsidR="00910FEA" w:rsidRPr="00485CDA">
        <w:rPr>
          <w:rFonts w:ascii="Arial" w:hAnsi="Arial" w:cs="Arial"/>
        </w:rPr>
        <w:t xml:space="preserve"> </w:t>
      </w:r>
      <w:r w:rsidRPr="00485CDA">
        <w:rPr>
          <w:rFonts w:ascii="Arial" w:hAnsi="Arial" w:cs="Arial"/>
        </w:rPr>
        <w:t xml:space="preserve">enabled observation of spore morphology and arrangement under a light microscope at 100× magnification. For detailed structural analysis, spore surface features and chain arrangements were further examined using Scanning Electron Microscopy (SEM). Morphological traits were compared with standard taxonomic descriptions provided in </w:t>
      </w:r>
      <w:r w:rsidRPr="00485CDA">
        <w:rPr>
          <w:rFonts w:ascii="Arial" w:hAnsi="Arial" w:cs="Arial"/>
          <w:i/>
        </w:rPr>
        <w:t>Bergey’s Manual of Systematic Bacteriology</w:t>
      </w:r>
      <w:r w:rsidR="00910FEA" w:rsidRPr="00485CDA">
        <w:rPr>
          <w:rFonts w:ascii="Arial" w:hAnsi="Arial" w:cs="Arial"/>
        </w:rPr>
        <w:t xml:space="preserve"> </w:t>
      </w:r>
      <w:r w:rsidR="00910FEA" w:rsidRPr="00485CDA">
        <w:rPr>
          <w:rFonts w:ascii="Arial" w:hAnsi="Arial" w:cs="Arial"/>
        </w:rPr>
        <w:fldChar w:fldCharType="begin"/>
      </w:r>
      <w:r w:rsidR="003B494A" w:rsidRPr="00485CDA">
        <w:rPr>
          <w:rFonts w:ascii="Arial" w:hAnsi="Arial" w:cs="Arial"/>
        </w:rPr>
        <w:instrText xml:space="preserve"> ADDIN ZOTERO_ITEM CSL_CITATION {"citationID":"OCkNi6V0","properties":{"formattedCitation":"(K\\uc0\\u228{}mpfer 2006)","plainCitation":"(Kämpfer 2006)","noteIndex":0},"citationItems":[{"id":409,"uris":["http://zotero.org/users/local/PoYNsWqG/items/DI3VJNB3"],"itemData":{"id":409,"type":"chapter","abstract":"'The Family Streptomycetaceae, Part I: Taxonomy' published in 'The Prokaryotes'","container-title":"The Prokaryotes","ISBN":"978-0-387-30743-5","language":"en","note":"DOI: 10.1007/0-387-30743-5_22","page":"538-604","publisher":"Springer, New York, NY","source":"link.springer.com","title":"The Family Streptomycetaceae, Part I: Taxonomy","title-short":"The Family Streptomycetaceae, Part I","URL":"https://link.springer.com/rwe/10.1007/0-387-30743-5_22","author":[{"family":"Kämpfer","given":"Peter"}],"accessed":{"date-parts":[["2025",7,19]]},"issued":{"date-parts":[["2006"]]}}}],"schema":"https://github.com/citation-style-language/schema/raw/master/csl-citation.json"} </w:instrText>
      </w:r>
      <w:r w:rsidR="00910FEA" w:rsidRPr="00485CDA">
        <w:rPr>
          <w:rFonts w:ascii="Arial" w:hAnsi="Arial" w:cs="Arial"/>
        </w:rPr>
        <w:fldChar w:fldCharType="separate"/>
      </w:r>
      <w:r w:rsidR="003B494A" w:rsidRPr="00485CDA">
        <w:rPr>
          <w:rFonts w:ascii="Arial" w:hAnsi="Arial" w:cs="Arial"/>
        </w:rPr>
        <w:t>(Kämpfer 2006)</w:t>
      </w:r>
      <w:r w:rsidR="00910FEA" w:rsidRPr="00485CDA">
        <w:rPr>
          <w:rFonts w:ascii="Arial" w:hAnsi="Arial" w:cs="Arial"/>
        </w:rPr>
        <w:fldChar w:fldCharType="end"/>
      </w:r>
      <w:r w:rsidR="00910FEA" w:rsidRPr="00485CDA">
        <w:rPr>
          <w:rFonts w:ascii="Arial" w:hAnsi="Arial" w:cs="Arial"/>
        </w:rPr>
        <w:t xml:space="preserve"> </w:t>
      </w:r>
      <w:r w:rsidRPr="00485CDA">
        <w:rPr>
          <w:rFonts w:ascii="Arial" w:hAnsi="Arial" w:cs="Arial"/>
        </w:rPr>
        <w:t>for presumptive identification.</w:t>
      </w:r>
    </w:p>
    <w:p w14:paraId="5BDEE53A" w14:textId="77777777" w:rsidR="00CF0FCA" w:rsidRPr="00485CDA" w:rsidRDefault="00CF0FCA" w:rsidP="00CF0FCA">
      <w:pPr>
        <w:spacing w:line="360" w:lineRule="auto"/>
        <w:jc w:val="both"/>
        <w:rPr>
          <w:rFonts w:ascii="Arial" w:hAnsi="Arial" w:cs="Arial"/>
        </w:rPr>
      </w:pPr>
      <w:r w:rsidRPr="00485CDA">
        <w:rPr>
          <w:rFonts w:ascii="Arial" w:hAnsi="Arial" w:cs="Arial"/>
          <w:b/>
        </w:rPr>
        <w:t xml:space="preserve">2.3 Evaluation of invitro efficacy of different isolates of actinomycetes against </w:t>
      </w:r>
      <w:r w:rsidRPr="00485CDA">
        <w:rPr>
          <w:rFonts w:ascii="Arial" w:hAnsi="Arial" w:cs="Arial"/>
          <w:b/>
          <w:i/>
        </w:rPr>
        <w:t>C. gloeosporiodes</w:t>
      </w:r>
      <w:r w:rsidRPr="00485CDA">
        <w:rPr>
          <w:rFonts w:ascii="Arial" w:hAnsi="Arial" w:cs="Arial"/>
          <w:b/>
        </w:rPr>
        <w:t xml:space="preserve"> (Dual culture)</w:t>
      </w:r>
    </w:p>
    <w:p w14:paraId="110CBB9D" w14:textId="77777777" w:rsidR="00CF0FCA" w:rsidRPr="00485CDA" w:rsidRDefault="00CF0FCA" w:rsidP="00910FEA">
      <w:pPr>
        <w:spacing w:line="360" w:lineRule="auto"/>
        <w:ind w:firstLine="720"/>
        <w:jc w:val="both"/>
        <w:rPr>
          <w:rFonts w:ascii="Arial" w:hAnsi="Arial" w:cs="Arial"/>
        </w:rPr>
      </w:pPr>
      <w:r w:rsidRPr="00485CDA">
        <w:rPr>
          <w:rFonts w:ascii="Arial" w:hAnsi="Arial" w:cs="Arial"/>
        </w:rPr>
        <w:t xml:space="preserve">The </w:t>
      </w:r>
      <w:r w:rsidR="00253E28" w:rsidRPr="00485CDA">
        <w:rPr>
          <w:rFonts w:ascii="Arial" w:hAnsi="Arial" w:cs="Arial"/>
        </w:rPr>
        <w:t>inhibitory activity of</w:t>
      </w:r>
      <w:r w:rsidRPr="00485CDA">
        <w:rPr>
          <w:rFonts w:ascii="Arial" w:hAnsi="Arial" w:cs="Arial"/>
        </w:rPr>
        <w:t xml:space="preserve"> </w:t>
      </w:r>
      <w:r w:rsidRPr="00485CDA">
        <w:rPr>
          <w:rFonts w:ascii="Arial" w:hAnsi="Arial" w:cs="Arial"/>
          <w:i/>
        </w:rPr>
        <w:t>Streptomyces</w:t>
      </w:r>
      <w:r w:rsidRPr="00485CDA">
        <w:rPr>
          <w:rFonts w:ascii="Arial" w:hAnsi="Arial" w:cs="Arial"/>
        </w:rPr>
        <w:t xml:space="preserve"> spp. against </w:t>
      </w:r>
      <w:r w:rsidRPr="00485CDA">
        <w:rPr>
          <w:rFonts w:ascii="Arial" w:hAnsi="Arial" w:cs="Arial"/>
          <w:i/>
        </w:rPr>
        <w:t>C. gloeosporioides</w:t>
      </w:r>
      <w:r w:rsidRPr="00485CDA">
        <w:rPr>
          <w:rFonts w:ascii="Arial" w:hAnsi="Arial" w:cs="Arial"/>
        </w:rPr>
        <w:t xml:space="preserve"> was assessed using the dual culture techniqu</w:t>
      </w:r>
      <w:r w:rsidR="00910FEA" w:rsidRPr="00485CDA">
        <w:rPr>
          <w:rFonts w:ascii="Arial" w:hAnsi="Arial" w:cs="Arial"/>
        </w:rPr>
        <w:t xml:space="preserve">e </w:t>
      </w:r>
      <w:r w:rsidR="00910FEA" w:rsidRPr="00485CDA">
        <w:rPr>
          <w:rFonts w:ascii="Arial" w:hAnsi="Arial" w:cs="Arial"/>
        </w:rPr>
        <w:fldChar w:fldCharType="begin"/>
      </w:r>
      <w:r w:rsidR="003B494A" w:rsidRPr="00485CDA">
        <w:rPr>
          <w:rFonts w:ascii="Arial" w:hAnsi="Arial" w:cs="Arial"/>
        </w:rPr>
        <w:instrText xml:space="preserve"> ADDIN ZOTERO_ITEM CSL_CITATION {"citationID":"0iMaZTq2","properties":{"formattedCitation":"(Palaniyandi et al. 2011)","plainCitation":"(Palaniyandi et al. 2011)","noteIndex":0},"citationItems":[{"id":411,"uris":["http://zotero.org/users/local/PoYNsWqG/items/4M3SX4P6"],"itemData":{"id":411,"type":"article-journal","abstract":"Aim: To find a suitable biocontrol agent for yam anthracnose caused by Colletotrichum gloeosporioides.Methods and Results: An actinobacterial strain, MJM5763, showing strong antifungal activity, multiple biocontrol and plant growth</w:instrText>
      </w:r>
      <w:r w:rsidR="003B494A" w:rsidRPr="00485CDA">
        <w:rPr>
          <w:rFonts w:ascii="Cambria Math" w:hAnsi="Cambria Math" w:cs="Cambria Math"/>
        </w:rPr>
        <w:instrText>‐</w:instrText>
      </w:r>
      <w:r w:rsidR="003B494A" w:rsidRPr="00485CDA">
        <w:rPr>
          <w:rFonts w:ascii="Arial" w:hAnsi="Arial" w:cs="Arial"/>
        </w:rPr>
        <w:instrText>promoting traits was isolated from a yam cultivation field in Yeoju, South Korea. Based on morphological and physiological characteristics and analysis of the 16S rDNA sequence, strain MJM5763 was identified as a novel strain of Streptomyces and was designated as Streptomyces sp. MJM5763. Treatment with MJM5763 and the crude culture filtrate extract (CCFE) was effective in suppressing anthracnose in detached yam leaves in vitro and reduced incidence and severity of anthracnose in yam plants under greenhouse conditions. The CCFE treatment was the most effective of all the treatments and reduced the anthracnose severity by 85–88% and the incidence by 79–81%, 90 days after inoculation with the pathogen. CCFE treatment was also effective under field conditions and showed a reduction of 86 and 75% of anthracnose severity and incidence, respectively.Conclusion:  Streptomyces sp. strain MJM5763 was effective in biocontrolling anthracnose in yam caused by C. gloeosporioides.Significance and Impact of the Study:  Streptomyces sp. MJM5763 is a potential alternative to chemical fungicides for reducing yield losses to anthracnose in yam.","container-title":"Journal of Applied Microbiology","DOI":"10.1111/j.1365-2672.2011.05048.x","ISSN":"1364-5072","issue":"2","journalAbbreviation":"Journal of Applied Microbiology","page":"443-455","source":"Silverchair","title":"Biological control of anthracnose (Colletotrichum gloeosporioides) in yam by Streptomyces sp.MJM5763","volume":"111","author":[{"family":"Palaniyandi","given":"S.A."},{"family":"Yang","given":"S.H."},{"family":"Cheng","given":"J.H."},{"family":"Meng","given":"L."},{"family":"Suh","given":"J.</w:instrText>
      </w:r>
      <w:r w:rsidR="003B494A" w:rsidRPr="00485CDA">
        <w:rPr>
          <w:rFonts w:ascii="Cambria Math" w:hAnsi="Cambria Math" w:cs="Cambria Math"/>
        </w:rPr>
        <w:instrText>‐</w:instrText>
      </w:r>
      <w:r w:rsidR="003B494A" w:rsidRPr="00485CDA">
        <w:rPr>
          <w:rFonts w:ascii="Arial" w:hAnsi="Arial" w:cs="Arial"/>
        </w:rPr>
        <w:instrText xml:space="preserve">W."}],"issued":{"date-parts":[["2011",8,1]]}}}],"schema":"https://github.com/citation-style-language/schema/raw/master/csl-citation.json"} </w:instrText>
      </w:r>
      <w:r w:rsidR="00910FEA" w:rsidRPr="00485CDA">
        <w:rPr>
          <w:rFonts w:ascii="Arial" w:hAnsi="Arial" w:cs="Arial"/>
        </w:rPr>
        <w:fldChar w:fldCharType="separate"/>
      </w:r>
      <w:r w:rsidR="003B494A" w:rsidRPr="00485CDA">
        <w:rPr>
          <w:rFonts w:ascii="Arial" w:hAnsi="Arial" w:cs="Arial"/>
        </w:rPr>
        <w:t>(Palaniyandi et al. 2011)</w:t>
      </w:r>
      <w:r w:rsidR="00910FEA" w:rsidRPr="00485CDA">
        <w:rPr>
          <w:rFonts w:ascii="Arial" w:hAnsi="Arial" w:cs="Arial"/>
        </w:rPr>
        <w:fldChar w:fldCharType="end"/>
      </w:r>
      <w:r w:rsidR="00910FEA" w:rsidRPr="00485CDA">
        <w:rPr>
          <w:rFonts w:ascii="Arial" w:hAnsi="Arial" w:cs="Arial"/>
        </w:rPr>
        <w:t>.</w:t>
      </w:r>
      <w:r w:rsidRPr="00485CDA">
        <w:rPr>
          <w:rFonts w:ascii="Arial" w:hAnsi="Arial" w:cs="Arial"/>
        </w:rPr>
        <w:t xml:space="preserve">Nine mm disc from a seven days old </w:t>
      </w:r>
      <w:r w:rsidRPr="00485CDA">
        <w:rPr>
          <w:rFonts w:ascii="Arial" w:hAnsi="Arial" w:cs="Arial"/>
          <w:i/>
        </w:rPr>
        <w:t>C. gloeosporioides</w:t>
      </w:r>
      <w:r w:rsidRPr="00485CDA">
        <w:rPr>
          <w:rFonts w:ascii="Arial" w:hAnsi="Arial" w:cs="Arial"/>
        </w:rPr>
        <w:t xml:space="preserve"> culture was placed 1 cm from one edge of a PDA plate, and a loopful of five days old </w:t>
      </w:r>
      <w:r w:rsidRPr="00485CDA">
        <w:rPr>
          <w:rFonts w:ascii="Arial" w:hAnsi="Arial" w:cs="Arial"/>
          <w:i/>
        </w:rPr>
        <w:t>Streptomyces</w:t>
      </w:r>
      <w:r w:rsidRPr="00485CDA">
        <w:rPr>
          <w:rFonts w:ascii="Arial" w:hAnsi="Arial" w:cs="Arial"/>
        </w:rPr>
        <w:t xml:space="preserve"> culture was streaked </w:t>
      </w:r>
      <w:r w:rsidR="00253E28" w:rsidRPr="00485CDA">
        <w:rPr>
          <w:rFonts w:ascii="Arial" w:hAnsi="Arial" w:cs="Arial"/>
        </w:rPr>
        <w:t xml:space="preserve">at a distance of </w:t>
      </w:r>
      <w:r w:rsidRPr="00485CDA">
        <w:rPr>
          <w:rFonts w:ascii="Arial" w:hAnsi="Arial" w:cs="Arial"/>
        </w:rPr>
        <w:t>1 cm from the opposite edge. Control plates were inoculated</w:t>
      </w:r>
      <w:r w:rsidR="00253E28" w:rsidRPr="00485CDA">
        <w:rPr>
          <w:rFonts w:ascii="Arial" w:hAnsi="Arial" w:cs="Arial"/>
        </w:rPr>
        <w:t xml:space="preserve"> with the pathogen alone. Cultures</w:t>
      </w:r>
      <w:r w:rsidRPr="00485CDA">
        <w:rPr>
          <w:rFonts w:ascii="Arial" w:hAnsi="Arial" w:cs="Arial"/>
        </w:rPr>
        <w:t xml:space="preserve"> were incubated at 28 ± 2°C for seven days</w:t>
      </w:r>
      <w:r w:rsidR="00253E28" w:rsidRPr="00485CDA">
        <w:rPr>
          <w:rFonts w:ascii="Arial" w:hAnsi="Arial" w:cs="Arial"/>
        </w:rPr>
        <w:t xml:space="preserve"> under controlled conditions</w:t>
      </w:r>
      <w:r w:rsidRPr="00485CDA">
        <w:rPr>
          <w:rFonts w:ascii="Arial" w:hAnsi="Arial" w:cs="Arial"/>
        </w:rPr>
        <w:t xml:space="preserve">. The inhibition percentage was calculated using </w:t>
      </w:r>
      <w:r w:rsidR="00910FEA" w:rsidRPr="00485CDA">
        <w:rPr>
          <w:rFonts w:ascii="Arial" w:hAnsi="Arial" w:cs="Arial"/>
        </w:rPr>
        <w:fldChar w:fldCharType="begin"/>
      </w:r>
      <w:r w:rsidR="003B494A" w:rsidRPr="00485CDA">
        <w:rPr>
          <w:rFonts w:ascii="Arial" w:hAnsi="Arial" w:cs="Arial"/>
        </w:rPr>
        <w:instrText xml:space="preserve"> ADDIN ZOTERO_ITEM CSL_CITATION {"citationID":"5MWsd6np","properties":{"formattedCitation":"(Vincent 1947)","plainCitation":"(Vincent 1947)","noteIndex":0},"citationItems":[{"id":414,"uris":["http://zotero.org/users/local/PoYNsWqG/items/JQ2IPDYZ"],"itemData":{"id":414,"type":"article-journal","abstract":"AbstractThis introductory paper describes the method and criteria that have been developed for a critical evaluation of die fungistatic action of chemically related compounds together with some related aspects arising from the application of these methods. Inhibition is determined as reduction in growth rate and particular attention has been giver, to dosage/response curves as providing a sound basis for comparisons between substances. Three moulds have been used : Aspergillus niger, Byssochlamys fulva and Penicillium roqueforti. In the absence of inhibitor, growth/time curves were linear for all three organisms once the colony had attained a diameter of 10 mm. A. miger and P. roqucforti behaved similarly in the presence of inhibitor but B. fulva showed an accelerating growth that persisted and often resulted in the final diameter exceeding that of the control. In the first two organisms growth rate (mm. per 24 hours) in the linear phase has been used; for B. fulva the rate was determined as soon as possible after the colony had reached 10 mm. and before it exceeded 20 mm.The dosage/response relationship for A. niger has the form: y = axb, where y = inhibition, x = concentration of inhibitor; a and b are constants, the latter less than I. From this relationship inhibitory substances can be described in terms of b (slope of log. dose/log. response curve) and log I30 (—log. concentration giving 50% inhibition). B. fulva can be interpreted similarly although complicated by acceleration in the growth/time curve. It is better to use log I67 in place of log I50. Experimental values for P. roqueforti can be interpreted as the resultant of an inhibitory action (logarithmic as before) and a stimulation rising to an early limiting value. In this case determination of b is not practicable and inhibition is best expressed as log I50 obtained graphically from experimental points. Log I25 permits comparison at another part of the curve. Constants b and log I50 determined for A. niger can vary significantly between experiments although the cause of this variation is not apparent. Log I50 is related to some factor that affects the control rate. The methyl ester causes striking morphological changes in the hyphal tips although concentrations of higher esters causing comparable inhibition fail to bring about such changes.","container-title":"Journal of the Society of Chemical Industry","DOI":"10.1002/jctb.5000660504","ISSN":"0368-4075, 1934-9971","issue":"5","journalAbbreviation":"J. Chem. Technol. Biotechnol.","language":"en","license":"http://onlinelibrary.wiley.com/termsAndConditions#vor","note":"publisher: Wiley","page":"149-155","source":"Crossref","title":"The esters of 4</w:instrText>
      </w:r>
      <w:r w:rsidR="003B494A" w:rsidRPr="00485CDA">
        <w:rPr>
          <w:rFonts w:ascii="Cambria Math" w:hAnsi="Cambria Math" w:cs="Cambria Math"/>
        </w:rPr>
        <w:instrText>‐</w:instrText>
      </w:r>
      <w:r w:rsidR="003B494A" w:rsidRPr="00485CDA">
        <w:rPr>
          <w:rFonts w:ascii="Arial" w:hAnsi="Arial" w:cs="Arial"/>
        </w:rPr>
        <w:instrText xml:space="preserve">hydroxybenzoic acid and related compounds. Part I. Methods for the study of their fungistatic properties","volume":"66","author":[{"family":"Vincent","given":"J. M."}],"issued":{"date-parts":[["1947",5]]}}}],"schema":"https://github.com/citation-style-language/schema/raw/master/csl-citation.json"} </w:instrText>
      </w:r>
      <w:r w:rsidR="00910FEA" w:rsidRPr="00485CDA">
        <w:rPr>
          <w:rFonts w:ascii="Arial" w:hAnsi="Arial" w:cs="Arial"/>
        </w:rPr>
        <w:fldChar w:fldCharType="separate"/>
      </w:r>
      <w:r w:rsidR="003B494A" w:rsidRPr="00485CDA">
        <w:rPr>
          <w:rFonts w:ascii="Arial" w:hAnsi="Arial" w:cs="Arial"/>
        </w:rPr>
        <w:t>(Vincent 1947)</w:t>
      </w:r>
      <w:r w:rsidR="00910FEA" w:rsidRPr="00485CDA">
        <w:rPr>
          <w:rFonts w:ascii="Arial" w:hAnsi="Arial" w:cs="Arial"/>
        </w:rPr>
        <w:fldChar w:fldCharType="end"/>
      </w:r>
      <w:r w:rsidR="00910FEA" w:rsidRPr="00485CDA">
        <w:rPr>
          <w:rFonts w:ascii="Arial" w:hAnsi="Arial" w:cs="Arial"/>
        </w:rPr>
        <w:t xml:space="preserve"> </w:t>
      </w:r>
      <w:r w:rsidRPr="00485CDA">
        <w:rPr>
          <w:rFonts w:ascii="Arial" w:hAnsi="Arial" w:cs="Arial"/>
        </w:rPr>
        <w:t>formula:</w:t>
      </w:r>
    </w:p>
    <w:p w14:paraId="30862BD6" w14:textId="77777777" w:rsidR="00CF0FCA" w:rsidRPr="00485CDA" w:rsidRDefault="00CF0FCA" w:rsidP="00910FEA">
      <w:pPr>
        <w:spacing w:line="240" w:lineRule="auto"/>
        <w:jc w:val="both"/>
        <w:rPr>
          <w:rFonts w:ascii="Arial" w:hAnsi="Arial" w:cs="Arial"/>
        </w:rPr>
      </w:pPr>
      <w:r w:rsidRPr="00485CDA">
        <w:rPr>
          <w:rFonts w:ascii="Arial" w:hAnsi="Arial" w:cs="Arial"/>
        </w:rPr>
        <w:tab/>
        <w:t xml:space="preserve">     </w:t>
      </w:r>
      <w:r w:rsidR="00910FEA" w:rsidRPr="00485CDA">
        <w:rPr>
          <w:rFonts w:ascii="Arial" w:hAnsi="Arial" w:cs="Arial"/>
        </w:rPr>
        <w:t xml:space="preserve">                                 </w:t>
      </w:r>
      <w:r w:rsidRPr="00485CDA">
        <w:rPr>
          <w:rFonts w:ascii="Arial" w:hAnsi="Arial" w:cs="Arial"/>
        </w:rPr>
        <w:t xml:space="preserve">C-T     </w:t>
      </w:r>
      <w:r w:rsidR="00910FEA" w:rsidRPr="00485CDA">
        <w:rPr>
          <w:rFonts w:ascii="Arial" w:hAnsi="Arial" w:cs="Arial"/>
        </w:rPr>
        <w:t xml:space="preserve"> </w:t>
      </w:r>
      <w:r w:rsidRPr="00485CDA">
        <w:rPr>
          <w:rFonts w:ascii="Arial" w:hAnsi="Arial" w:cs="Arial"/>
        </w:rPr>
        <w:t xml:space="preserve">                                      </w:t>
      </w:r>
    </w:p>
    <w:p w14:paraId="264C7441" w14:textId="77777777" w:rsidR="00CF0FCA" w:rsidRPr="00485CDA" w:rsidRDefault="00CF0FCA" w:rsidP="00910FEA">
      <w:pPr>
        <w:spacing w:line="240" w:lineRule="auto"/>
        <w:jc w:val="both"/>
        <w:rPr>
          <w:rFonts w:ascii="Arial" w:hAnsi="Arial" w:cs="Arial"/>
        </w:rPr>
      </w:pPr>
      <w:r w:rsidRPr="00485CDA">
        <w:rPr>
          <w:rFonts w:ascii="Arial" w:hAnsi="Arial" w:cs="Arial"/>
        </w:rPr>
        <w:t>Per cent</w:t>
      </w:r>
      <w:r w:rsidR="00910FEA" w:rsidRPr="00485CDA">
        <w:rPr>
          <w:rFonts w:ascii="Arial" w:hAnsi="Arial" w:cs="Arial"/>
        </w:rPr>
        <w:t xml:space="preserve"> inhibition (I) =   ………………</w:t>
      </w:r>
      <w:r w:rsidRPr="00485CDA">
        <w:rPr>
          <w:rFonts w:ascii="Arial" w:hAnsi="Arial" w:cs="Arial"/>
        </w:rPr>
        <w:t xml:space="preserve">  X 100 </w:t>
      </w:r>
    </w:p>
    <w:p w14:paraId="5E14AE57" w14:textId="77777777" w:rsidR="00CF0FCA" w:rsidRPr="00485CDA" w:rsidRDefault="00CF0FCA" w:rsidP="00910FEA">
      <w:pPr>
        <w:spacing w:line="240" w:lineRule="auto"/>
        <w:jc w:val="both"/>
        <w:rPr>
          <w:rFonts w:ascii="Arial" w:hAnsi="Arial" w:cs="Arial"/>
        </w:rPr>
      </w:pPr>
      <w:r w:rsidRPr="00485CDA">
        <w:rPr>
          <w:rFonts w:ascii="Arial" w:hAnsi="Arial" w:cs="Arial"/>
        </w:rPr>
        <w:tab/>
      </w:r>
      <w:r w:rsidR="00910FEA" w:rsidRPr="00485CDA">
        <w:rPr>
          <w:rFonts w:ascii="Arial" w:hAnsi="Arial" w:cs="Arial"/>
        </w:rPr>
        <w:t xml:space="preserve">                                        </w:t>
      </w:r>
      <w:r w:rsidRPr="00485CDA">
        <w:rPr>
          <w:rFonts w:ascii="Arial" w:hAnsi="Arial" w:cs="Arial"/>
        </w:rPr>
        <w:t xml:space="preserve"> C</w:t>
      </w:r>
    </w:p>
    <w:p w14:paraId="5A711971" w14:textId="77777777" w:rsidR="00D753A2" w:rsidRPr="00485CDA" w:rsidRDefault="00CF0FCA" w:rsidP="00CF0FCA">
      <w:pPr>
        <w:spacing w:line="360" w:lineRule="auto"/>
        <w:jc w:val="both"/>
        <w:rPr>
          <w:rFonts w:ascii="Arial" w:hAnsi="Arial" w:cs="Arial"/>
        </w:rPr>
      </w:pPr>
      <w:r w:rsidRPr="00485CDA">
        <w:rPr>
          <w:rFonts w:ascii="Arial" w:hAnsi="Arial" w:cs="Arial"/>
        </w:rPr>
        <w:t xml:space="preserve">Where C = Pathogen growth in control; T = Pathogen growth in dual culture </w:t>
      </w:r>
      <w:r w:rsidR="00D753A2" w:rsidRPr="00485CDA">
        <w:rPr>
          <w:rFonts w:ascii="Arial" w:hAnsi="Arial" w:cs="Arial"/>
        </w:rPr>
        <w:fldChar w:fldCharType="begin"/>
      </w:r>
      <w:r w:rsidR="003B494A" w:rsidRPr="00485CDA">
        <w:rPr>
          <w:rFonts w:ascii="Arial" w:hAnsi="Arial" w:cs="Arial"/>
        </w:rPr>
        <w:instrText xml:space="preserve"> ADDIN ZOTERO_ITEM CSL_CITATION {"citationID":"wyiF20Ii","properties":{"formattedCitation":"(Kunova et al. 2016)","plainCitation":"(Kunova et al. 2016)","noteIndex":0},"citationItems":[{"id":415,"uris":["http://zotero.org/users/local/PoYNsWqG/items/GBG97VMB"],"itemData":{"id":415,"type":"article-journal","abstract":"In the search for new natural resources for crop protection, streptomycetes are gaining interest in agriculture as plant growth promoting bacteria and/or biological control agents. Because of their peculiar life cycle, in which the production of secondary metabolites is synchronized with the development of aerial hyphae and sporulation, the commonly used methods to screen for bacterial antagonists need to be adapted.","container-title":"BMC Microbiology","DOI":"10.1186/s12866-016-0886-1","ISSN":"1471-2180","issue":"1","journalAbbreviation":"BMC Microbiol","language":"en","page":"272","source":"Springer Link","title":"Selection of Streptomyces against soil borne fungal pathogens by a standardized dual culture assay and evaluation of their effects on seed germination and plant growth","volume":"16","author":[{"family":"Kunova","given":"Andrea"},{"family":"Bonaldi","given":"Maria"},{"family":"Saracchi","given":"Marco"},{"family":"Pizzatti","given":"Cristina"},{"family":"Chen","given":"Xiaoyulong"},{"family":"Cortesi","given":"Paolo"}],"issued":{"date-parts":[["2016",11,9]]}}}],"schema":"https://github.com/citation-style-language/schema/raw/master/csl-citation.json"} </w:instrText>
      </w:r>
      <w:r w:rsidR="00D753A2" w:rsidRPr="00485CDA">
        <w:rPr>
          <w:rFonts w:ascii="Arial" w:hAnsi="Arial" w:cs="Arial"/>
        </w:rPr>
        <w:fldChar w:fldCharType="separate"/>
      </w:r>
      <w:r w:rsidR="003B494A" w:rsidRPr="00485CDA">
        <w:rPr>
          <w:rFonts w:ascii="Arial" w:hAnsi="Arial" w:cs="Arial"/>
        </w:rPr>
        <w:t>(Kunova et al. 2016)</w:t>
      </w:r>
      <w:r w:rsidR="00D753A2" w:rsidRPr="00485CDA">
        <w:rPr>
          <w:rFonts w:ascii="Arial" w:hAnsi="Arial" w:cs="Arial"/>
        </w:rPr>
        <w:fldChar w:fldCharType="end"/>
      </w:r>
    </w:p>
    <w:p w14:paraId="3FE9FC16" w14:textId="77777777" w:rsidR="00CF0FCA" w:rsidRPr="00485CDA" w:rsidRDefault="00CF0FCA" w:rsidP="00CF0FCA">
      <w:pPr>
        <w:spacing w:line="360" w:lineRule="auto"/>
        <w:jc w:val="both"/>
        <w:rPr>
          <w:rFonts w:ascii="Arial" w:hAnsi="Arial" w:cs="Arial"/>
          <w:b/>
        </w:rPr>
      </w:pPr>
      <w:r w:rsidRPr="00485CDA">
        <w:rPr>
          <w:rFonts w:ascii="Arial" w:hAnsi="Arial" w:cs="Arial"/>
          <w:b/>
        </w:rPr>
        <w:t xml:space="preserve">2.4 Molecular characterization of Actinomycetes </w:t>
      </w:r>
    </w:p>
    <w:p w14:paraId="0E78B163" w14:textId="77777777" w:rsidR="00CF0FCA" w:rsidRPr="00485CDA" w:rsidRDefault="00CF0FCA" w:rsidP="003B494A">
      <w:pPr>
        <w:spacing w:line="360" w:lineRule="auto"/>
        <w:ind w:firstLine="720"/>
        <w:jc w:val="both"/>
        <w:rPr>
          <w:rFonts w:ascii="Arial" w:hAnsi="Arial" w:cs="Arial"/>
        </w:rPr>
      </w:pPr>
      <w:r w:rsidRPr="00485CDA">
        <w:rPr>
          <w:rFonts w:ascii="Arial" w:hAnsi="Arial" w:cs="Arial"/>
        </w:rPr>
        <w:t xml:space="preserve">The virulent isolate of </w:t>
      </w:r>
      <w:r w:rsidRPr="00485CDA">
        <w:rPr>
          <w:rFonts w:ascii="Arial" w:hAnsi="Arial" w:cs="Arial"/>
          <w:i/>
        </w:rPr>
        <w:t>Streptomyces</w:t>
      </w:r>
      <w:r w:rsidRPr="00485CDA">
        <w:rPr>
          <w:rFonts w:ascii="Arial" w:hAnsi="Arial" w:cs="Arial"/>
        </w:rPr>
        <w:t xml:space="preserve"> spp. was cultured in Ken Knight &amp; Munaier’s broth and incubated at 30°C for</w:t>
      </w:r>
      <w:r w:rsidR="00253E28" w:rsidRPr="00485CDA">
        <w:rPr>
          <w:rFonts w:ascii="Arial" w:hAnsi="Arial" w:cs="Arial"/>
        </w:rPr>
        <w:t xml:space="preserve"> a duration of</w:t>
      </w:r>
      <w:r w:rsidRPr="00485CDA">
        <w:rPr>
          <w:rFonts w:ascii="Arial" w:hAnsi="Arial" w:cs="Arial"/>
        </w:rPr>
        <w:t xml:space="preserve"> 48 hours. After</w:t>
      </w:r>
      <w:r w:rsidR="00253E28" w:rsidRPr="00485CDA">
        <w:rPr>
          <w:rFonts w:ascii="Arial" w:hAnsi="Arial" w:cs="Arial"/>
        </w:rPr>
        <w:t xml:space="preserve"> the</w:t>
      </w:r>
      <w:r w:rsidRPr="00485CDA">
        <w:rPr>
          <w:rFonts w:ascii="Arial" w:hAnsi="Arial" w:cs="Arial"/>
        </w:rPr>
        <w:t xml:space="preserve"> incubation</w:t>
      </w:r>
      <w:r w:rsidR="00253E28" w:rsidRPr="00485CDA">
        <w:rPr>
          <w:rFonts w:ascii="Arial" w:hAnsi="Arial" w:cs="Arial"/>
        </w:rPr>
        <w:t xml:space="preserve"> period</w:t>
      </w:r>
      <w:r w:rsidRPr="00485CDA">
        <w:rPr>
          <w:rFonts w:ascii="Arial" w:hAnsi="Arial" w:cs="Arial"/>
        </w:rPr>
        <w:t xml:space="preserve">, 1 mL of culture was centrifuged at 12,000 rpm for 10 minutes at </w:t>
      </w:r>
      <w:r w:rsidR="00253E28" w:rsidRPr="00485CDA">
        <w:rPr>
          <w:rFonts w:ascii="Arial" w:hAnsi="Arial" w:cs="Arial"/>
        </w:rPr>
        <w:t>ambient</w:t>
      </w:r>
      <w:r w:rsidRPr="00485CDA">
        <w:rPr>
          <w:rFonts w:ascii="Arial" w:hAnsi="Arial" w:cs="Arial"/>
        </w:rPr>
        <w:t xml:space="preserve"> temperature. The </w:t>
      </w:r>
      <w:r w:rsidR="00253E28" w:rsidRPr="00485CDA">
        <w:rPr>
          <w:rFonts w:ascii="Arial" w:hAnsi="Arial" w:cs="Arial"/>
        </w:rPr>
        <w:t xml:space="preserve">resulting </w:t>
      </w:r>
      <w:r w:rsidRPr="00485CDA">
        <w:rPr>
          <w:rFonts w:ascii="Arial" w:hAnsi="Arial" w:cs="Arial"/>
        </w:rPr>
        <w:t xml:space="preserve">pellet was </w:t>
      </w:r>
      <w:r w:rsidRPr="00485CDA">
        <w:rPr>
          <w:rFonts w:ascii="Arial" w:hAnsi="Arial" w:cs="Arial"/>
        </w:rPr>
        <w:lastRenderedPageBreak/>
        <w:t xml:space="preserve">resuspended in 0.85% NaCl solution, centrifuged again, and treated with 600 µL of lysis buffer and 7 µL of Proteinase K at 65 °C for 1 hour. </w:t>
      </w:r>
      <w:r w:rsidR="00253E28" w:rsidRPr="00485CDA">
        <w:rPr>
          <w:rFonts w:ascii="Arial" w:hAnsi="Arial" w:cs="Arial"/>
        </w:rPr>
        <w:t xml:space="preserve">Extraction of </w:t>
      </w:r>
      <w:r w:rsidR="001A4F3A" w:rsidRPr="00485CDA">
        <w:rPr>
          <w:rFonts w:ascii="Arial" w:hAnsi="Arial" w:cs="Arial"/>
        </w:rPr>
        <w:t xml:space="preserve">genomic </w:t>
      </w:r>
      <w:r w:rsidRPr="00485CDA">
        <w:rPr>
          <w:rFonts w:ascii="Arial" w:hAnsi="Arial" w:cs="Arial"/>
        </w:rPr>
        <w:t xml:space="preserve">DNA </w:t>
      </w:r>
      <w:r w:rsidR="001A4F3A" w:rsidRPr="00485CDA">
        <w:rPr>
          <w:rFonts w:ascii="Arial" w:hAnsi="Arial" w:cs="Arial"/>
        </w:rPr>
        <w:t>carried out</w:t>
      </w:r>
      <w:r w:rsidRPr="00485CDA">
        <w:rPr>
          <w:rFonts w:ascii="Arial" w:hAnsi="Arial" w:cs="Arial"/>
        </w:rPr>
        <w:t xml:space="preserve"> using phenol: chloroform: isoamyl alcohol and chloroform: phenol: isoamyl alcohol, followed by ethanol precipitation with 3 M NaCl. DNA quality was confirmed via electrophoresis on 0.8% agarose gel using 1× TBE buffer and a 100 bp ladder, visualized under UV light. PCR amplification of the 16S rRNA gene was carried out using universal primers 27F and 1492R in a 25 µL reaction containing Taq buffer with MgCl</w:t>
      </w:r>
      <w:r w:rsidRPr="00485CDA">
        <w:rPr>
          <w:rFonts w:ascii="Cambria Math" w:hAnsi="Cambria Math" w:cs="Cambria Math"/>
        </w:rPr>
        <w:t>₂</w:t>
      </w:r>
      <w:r w:rsidRPr="00485CDA">
        <w:rPr>
          <w:rFonts w:ascii="Arial" w:hAnsi="Arial" w:cs="Arial"/>
        </w:rPr>
        <w:t>, dNTPs, Taq polymerase, and template DNA. Thermal cycling in a Veriti™ Thermal Cycler included initial denaturation at 95 °C for 5 minutes; 29 cycles of denaturation (94 °C, 30 sec), annealing (52 °C, 30 sec), and extension (72 °C, 45 sec); followed by a final extension at 72 °C for 10 minutes. Amplified products were confirmed on 1% agarose gel alongside a 1 kb ladder and visualized under UV light. Sequencing was performed bidirectionally using an ABI 3730xl Genetic Analyzer, and homology was determined using NCBI BLAST. The sequence was s</w:t>
      </w:r>
      <w:r w:rsidR="00253E28" w:rsidRPr="00485CDA">
        <w:rPr>
          <w:rFonts w:ascii="Arial" w:hAnsi="Arial" w:cs="Arial"/>
        </w:rPr>
        <w:t>ubmitted to the GenBank repository and phylogenetic relationships</w:t>
      </w:r>
      <w:r w:rsidRPr="00485CDA">
        <w:rPr>
          <w:rFonts w:ascii="Arial" w:hAnsi="Arial" w:cs="Arial"/>
        </w:rPr>
        <w:t xml:space="preserve"> were </w:t>
      </w:r>
      <w:r w:rsidR="00253E28" w:rsidRPr="00485CDA">
        <w:rPr>
          <w:rFonts w:ascii="Arial" w:hAnsi="Arial" w:cs="Arial"/>
        </w:rPr>
        <w:t>inferred</w:t>
      </w:r>
      <w:r w:rsidRPr="00485CDA">
        <w:rPr>
          <w:rFonts w:ascii="Arial" w:hAnsi="Arial" w:cs="Arial"/>
        </w:rPr>
        <w:t xml:space="preserve"> using </w:t>
      </w:r>
      <w:r w:rsidR="00253E28" w:rsidRPr="00485CDA">
        <w:rPr>
          <w:rFonts w:ascii="Arial" w:hAnsi="Arial" w:cs="Arial"/>
        </w:rPr>
        <w:t xml:space="preserve">the maximum likelihood method implemented in </w:t>
      </w:r>
      <w:r w:rsidRPr="00485CDA">
        <w:rPr>
          <w:rFonts w:ascii="Arial" w:hAnsi="Arial" w:cs="Arial"/>
        </w:rPr>
        <w:t>MEGA 11</w:t>
      </w:r>
      <w:r w:rsidR="00253E28" w:rsidRPr="00485CDA">
        <w:rPr>
          <w:rFonts w:ascii="Arial" w:hAnsi="Arial" w:cs="Arial"/>
        </w:rPr>
        <w:t>.</w:t>
      </w:r>
    </w:p>
    <w:p w14:paraId="4739CAD4" w14:textId="77777777" w:rsidR="00CF0FCA" w:rsidRPr="00485CDA" w:rsidRDefault="00CF0FCA" w:rsidP="00CF0FCA">
      <w:pPr>
        <w:spacing w:line="360" w:lineRule="auto"/>
        <w:jc w:val="both"/>
        <w:rPr>
          <w:rFonts w:ascii="Arial" w:hAnsi="Arial" w:cs="Arial"/>
          <w:b/>
        </w:rPr>
      </w:pPr>
      <w:r w:rsidRPr="00485CDA">
        <w:rPr>
          <w:rFonts w:ascii="Arial" w:hAnsi="Arial" w:cs="Arial"/>
          <w:b/>
        </w:rPr>
        <w:t>3. Results and Discussion</w:t>
      </w:r>
    </w:p>
    <w:p w14:paraId="0F26F2C5" w14:textId="77777777" w:rsidR="00CF0FCA" w:rsidRPr="00485CDA" w:rsidRDefault="00CF0FCA" w:rsidP="00CF0FCA">
      <w:pPr>
        <w:spacing w:line="360" w:lineRule="auto"/>
        <w:jc w:val="both"/>
        <w:rPr>
          <w:rFonts w:ascii="Arial" w:hAnsi="Arial" w:cs="Arial"/>
          <w:b/>
        </w:rPr>
      </w:pPr>
      <w:r w:rsidRPr="00485CDA">
        <w:rPr>
          <w:rFonts w:ascii="Arial" w:hAnsi="Arial" w:cs="Arial"/>
          <w:b/>
        </w:rPr>
        <w:t>3.1. Morphological characterization of different isolates of actinomycetes</w:t>
      </w:r>
    </w:p>
    <w:p w14:paraId="643C3B8B" w14:textId="77777777" w:rsidR="00CF0FCA" w:rsidRPr="00485CDA" w:rsidRDefault="00CF0FCA" w:rsidP="00740758">
      <w:pPr>
        <w:spacing w:line="360" w:lineRule="auto"/>
        <w:ind w:firstLine="720"/>
        <w:jc w:val="both"/>
        <w:rPr>
          <w:rFonts w:ascii="Arial" w:hAnsi="Arial" w:cs="Arial"/>
        </w:rPr>
      </w:pPr>
      <w:r w:rsidRPr="00485CDA">
        <w:rPr>
          <w:rFonts w:ascii="Arial" w:hAnsi="Arial" w:cs="Arial"/>
        </w:rPr>
        <w:t xml:space="preserve">A total of ten actinomycetes </w:t>
      </w:r>
      <w:r w:rsidR="00312864" w:rsidRPr="00485CDA">
        <w:rPr>
          <w:rFonts w:ascii="Arial" w:hAnsi="Arial" w:cs="Arial"/>
        </w:rPr>
        <w:t>strains</w:t>
      </w:r>
      <w:r w:rsidRPr="00485CDA">
        <w:rPr>
          <w:rFonts w:ascii="Arial" w:hAnsi="Arial" w:cs="Arial"/>
        </w:rPr>
        <w:t xml:space="preserve"> were </w:t>
      </w:r>
      <w:r w:rsidR="00312864" w:rsidRPr="00485CDA">
        <w:rPr>
          <w:rFonts w:ascii="Arial" w:hAnsi="Arial" w:cs="Arial"/>
        </w:rPr>
        <w:t>isolated from rhizospheric</w:t>
      </w:r>
      <w:r w:rsidRPr="00485CDA">
        <w:rPr>
          <w:rFonts w:ascii="Arial" w:hAnsi="Arial" w:cs="Arial"/>
        </w:rPr>
        <w:t xml:space="preserve"> soil samples </w:t>
      </w:r>
      <w:r w:rsidR="00312864" w:rsidRPr="00485CDA">
        <w:rPr>
          <w:rFonts w:ascii="Arial" w:hAnsi="Arial" w:cs="Arial"/>
        </w:rPr>
        <w:t xml:space="preserve">gathered </w:t>
      </w:r>
      <w:r w:rsidRPr="00485CDA">
        <w:rPr>
          <w:rFonts w:ascii="Arial" w:hAnsi="Arial" w:cs="Arial"/>
        </w:rPr>
        <w:t xml:space="preserve">across </w:t>
      </w:r>
      <w:r w:rsidR="00312864" w:rsidRPr="00485CDA">
        <w:rPr>
          <w:rFonts w:ascii="Arial" w:hAnsi="Arial" w:cs="Arial"/>
        </w:rPr>
        <w:t xml:space="preserve">multiple regions </w:t>
      </w:r>
      <w:r w:rsidRPr="00485CDA">
        <w:rPr>
          <w:rFonts w:ascii="Arial" w:hAnsi="Arial" w:cs="Arial"/>
        </w:rPr>
        <w:t xml:space="preserve">of Tamil Nadu and Puducherry. Each isolate exhibited distinct morphological features, including mycelial pigmentation, colony shape, surface texture, growth rate, and spore morphology. The </w:t>
      </w:r>
      <w:r w:rsidRPr="00485CDA">
        <w:rPr>
          <w:rFonts w:ascii="Arial" w:hAnsi="Arial" w:cs="Arial"/>
          <w:i/>
        </w:rPr>
        <w:t>Streptomyces</w:t>
      </w:r>
      <w:r w:rsidRPr="00485CDA">
        <w:rPr>
          <w:rFonts w:ascii="Arial" w:hAnsi="Arial" w:cs="Arial"/>
        </w:rPr>
        <w:t xml:space="preserve"> spp. isolates were cultured on Actinomycetes Isolation Agar (AIA) medium, and traits were recorded after 10 days of incubation. These isolates were designated as AUSA</w:t>
      </w:r>
      <w:r w:rsidRPr="00485CDA">
        <w:rPr>
          <w:rFonts w:ascii="Arial" w:hAnsi="Arial" w:cs="Arial"/>
          <w:vertAlign w:val="subscript"/>
        </w:rPr>
        <w:t>1</w:t>
      </w:r>
      <w:r w:rsidRPr="00485CDA">
        <w:rPr>
          <w:rFonts w:ascii="Arial" w:hAnsi="Arial" w:cs="Arial"/>
        </w:rPr>
        <w:t xml:space="preserve"> to AUSA</w:t>
      </w:r>
      <w:r w:rsidRPr="00485CDA">
        <w:rPr>
          <w:rFonts w:ascii="Arial" w:hAnsi="Arial" w:cs="Arial"/>
          <w:vertAlign w:val="subscript"/>
        </w:rPr>
        <w:t>10</w:t>
      </w:r>
      <w:r w:rsidRPr="00485CDA">
        <w:rPr>
          <w:rFonts w:ascii="Arial" w:hAnsi="Arial" w:cs="Arial"/>
        </w:rPr>
        <w:t xml:space="preserve">. Colony pigmentation varied, with aerial mycelium ranging from white-grey to light grey, and substrate mycelium showing shades such as whitish-grey, yellow, red, greyish-yellow, and brownish-yellow. Colony shapes included round with concentric lines, radiating, feather-like, irregular, and double-ring forms. Surface textures ranged from smooth to powdery, and spores were rod-shaped with smooth surfaces. Growth rates were </w:t>
      </w:r>
      <w:r w:rsidR="00F92064" w:rsidRPr="00485CDA">
        <w:rPr>
          <w:rFonts w:ascii="Arial" w:hAnsi="Arial" w:cs="Arial"/>
        </w:rPr>
        <w:t xml:space="preserve">categorized as slow, moderate, good or very good (Table 1 &amp; Fig 1, 2 and 3). </w:t>
      </w:r>
      <w:r w:rsidR="00F92064" w:rsidRPr="00485CDA">
        <w:rPr>
          <w:rFonts w:ascii="Arial" w:hAnsi="Arial" w:cs="Arial"/>
        </w:rPr>
        <w:fldChar w:fldCharType="begin"/>
      </w:r>
      <w:r w:rsidR="003B494A" w:rsidRPr="00485CDA">
        <w:rPr>
          <w:rFonts w:ascii="Arial" w:hAnsi="Arial" w:cs="Arial"/>
        </w:rPr>
        <w:instrText xml:space="preserve"> ADDIN ZOTERO_ITEM CSL_CITATION {"citationID":"e2gwUUAQ","properties":{"formattedCitation":"(Shepherdson et al. 2023)","plainCitation":"(Shepherdson et al. 2023)","noteIndex":0},"citationItems":[{"id":418,"uris":["http://zotero.org/users/local/PoYNsWqG/items/XVBHTFHL"],"itemData":{"id":418,"type":"article-journal","abstract":"Streptomyces are ubiquitous terrestrial bacteria that are renowned for their robust metabolic capabilities and their behavioral flexibility. In competing for environmental niches, these bacteria can employ novel growth and dispersal behaviors. They also wield their diverse metabolic repertoire for everything from maximizing nutrient uptake, to preventing phage replication or inhibiting bacterial and fungal growth. Increasingly, they are found to live in association with plants and insects, often conferring protective benefits to their host courtesy of their ability to produce pathogen-inhibitory antimicrobial compounds. Here, we highlight recent advances in understanding the competitive and cooperative interactions between Streptomyces and phage, microbes, and higher organisms in their environment.","container-title":"Current Opinion in Microbiology","DOI":"10.1016/j.mib.2022.102257","ISSN":"1369-5274","journalAbbreviation":"Current Opinion in Microbiology","page":"102257","source":"ScienceDirect","title":"&lt;i&gt;Streptomyces&lt;/i&gt; behavior and competition in the natural environment","volume":"71","author":[{"family":"Shepherdson","given":"Evan MF"},{"family":"Baglio","given":"Christine R"},{"family":"Elliot","given":"Marie A"}],"issued":{"date-parts":[["2023",2,1]]}}}],"schema":"https://github.com/citation-style-language/schema/raw/master/csl-citation.json"} </w:instrText>
      </w:r>
      <w:r w:rsidR="00F92064" w:rsidRPr="00485CDA">
        <w:rPr>
          <w:rFonts w:ascii="Arial" w:hAnsi="Arial" w:cs="Arial"/>
        </w:rPr>
        <w:fldChar w:fldCharType="separate"/>
      </w:r>
      <w:r w:rsidR="003B494A" w:rsidRPr="00485CDA">
        <w:rPr>
          <w:rFonts w:ascii="Arial" w:hAnsi="Arial" w:cs="Arial"/>
        </w:rPr>
        <w:t>(Shepherdson et al. 2023)</w:t>
      </w:r>
      <w:r w:rsidR="00F92064" w:rsidRPr="00485CDA">
        <w:rPr>
          <w:rFonts w:ascii="Arial" w:hAnsi="Arial" w:cs="Arial"/>
        </w:rPr>
        <w:fldChar w:fldCharType="end"/>
      </w:r>
      <w:r w:rsidR="00F92064" w:rsidRPr="00485CDA">
        <w:rPr>
          <w:rFonts w:ascii="Arial" w:hAnsi="Arial" w:cs="Arial"/>
        </w:rPr>
        <w:t xml:space="preserve"> further highlighted that the filamentous growth and spore formation in actinomycetes, particularly </w:t>
      </w:r>
      <w:r w:rsidR="00F92064" w:rsidRPr="00485CDA">
        <w:rPr>
          <w:rFonts w:ascii="Arial" w:hAnsi="Arial" w:cs="Arial"/>
          <w:i/>
        </w:rPr>
        <w:t>Streptomyces</w:t>
      </w:r>
      <w:r w:rsidR="00F92064" w:rsidRPr="00485CDA">
        <w:rPr>
          <w:rFonts w:ascii="Arial" w:hAnsi="Arial" w:cs="Arial"/>
        </w:rPr>
        <w:t xml:space="preserve"> spp., contribute to their unique plant colonization strategies compared to sessile bacteria. These morphological traits remain essential in distinguishing Streptomyces from other spore-forming actinomycetes</w:t>
      </w:r>
      <w:r w:rsidR="00740758" w:rsidRPr="00485CDA">
        <w:rPr>
          <w:rFonts w:ascii="Arial" w:hAnsi="Arial" w:cs="Arial"/>
        </w:rPr>
        <w:t xml:space="preserve"> </w:t>
      </w:r>
      <w:r w:rsidR="00740758" w:rsidRPr="00485CDA">
        <w:rPr>
          <w:rFonts w:ascii="Arial" w:hAnsi="Arial" w:cs="Arial"/>
        </w:rPr>
        <w:fldChar w:fldCharType="begin"/>
      </w:r>
      <w:r w:rsidR="003B494A" w:rsidRPr="00485CDA">
        <w:rPr>
          <w:rFonts w:ascii="Arial" w:hAnsi="Arial" w:cs="Arial"/>
        </w:rPr>
        <w:instrText xml:space="preserve"> ADDIN ZOTERO_ITEM CSL_CITATION {"citationID":"wnVNtYLK","properties":{"formattedCitation":"(Taddei et al. 2006)","plainCitation":"(Taddei et al. 2006)","noteIndex":0},"citationItems":[{"id":421,"uris":["http://zotero.org/users/local/PoYNsWqG/items/RI7BCY5T"],"itemData":{"id":421,"type":"article-journal","abstract":"The genus Streptomyces is represented in nature by the largest number of species and varieties among the family Actinomycetaceae. They differ greatly in their morphology, physiology, and biochemical activities, producing the majority of known antibiotics. The morphological and biochemical characteristics of 71 Streptomyces spp. isolated from soil samples collected at different places of Venezuela, are presented. A comparative analysis using the statistical software Minitab shows that 67 of these isolates are presumably new strains, since they possess a very low percentage of similarity with other reported species. Only four isolates shared 100% identity with one, two or three reported Streptomyces spp.","container-title":"Microbiological Research","DOI":"10.1016/j.micres.2005.08.004","ISSN":"0944-5013","issue":"3","journalAbbreviation":"Microbiological Research","page":"222-231","source":"ScienceDirect","title":"Isolation and identification of &lt;i&gt;Streptomyces&lt;/i&gt; spp. from Venezuelan soils: Morphological and biochemical studies. I.","title-short":"Isolation and identification of &lt;i&gt;Streptomyces&lt;/i&gt; spp. from Venezuelan soils","volume":"161","author":[{"family":"Taddei","given":"Antonieta"},{"family":"Rodríguez","given":"María José"},{"family":"Márquez-Vilchez","given":"Ernesto"},{"family":"Castelli","given":"Cristina"}],"issued":{"date-parts":[["2006",7,3]]}}}],"schema":"https://github.com/citation-style-language/schema/raw/master/csl-citation.json"} </w:instrText>
      </w:r>
      <w:r w:rsidR="00740758" w:rsidRPr="00485CDA">
        <w:rPr>
          <w:rFonts w:ascii="Arial" w:hAnsi="Arial" w:cs="Arial"/>
        </w:rPr>
        <w:fldChar w:fldCharType="separate"/>
      </w:r>
      <w:r w:rsidR="003B494A" w:rsidRPr="00485CDA">
        <w:rPr>
          <w:rFonts w:ascii="Arial" w:hAnsi="Arial" w:cs="Arial"/>
        </w:rPr>
        <w:t>(Taddei et al. 2006)</w:t>
      </w:r>
      <w:r w:rsidR="00740758" w:rsidRPr="00485CDA">
        <w:rPr>
          <w:rFonts w:ascii="Arial" w:hAnsi="Arial" w:cs="Arial"/>
        </w:rPr>
        <w:fldChar w:fldCharType="end"/>
      </w:r>
      <w:r w:rsidR="00F92064" w:rsidRPr="00485CDA">
        <w:rPr>
          <w:rFonts w:ascii="Arial" w:hAnsi="Arial" w:cs="Arial"/>
        </w:rPr>
        <w:t>.</w:t>
      </w:r>
    </w:p>
    <w:p w14:paraId="75C52460" w14:textId="77777777" w:rsidR="00CF0FCA" w:rsidRPr="00485CDA" w:rsidRDefault="00D753A2" w:rsidP="00CF0FCA">
      <w:pPr>
        <w:spacing w:line="360" w:lineRule="auto"/>
        <w:jc w:val="both"/>
        <w:rPr>
          <w:rFonts w:ascii="Arial" w:hAnsi="Arial" w:cs="Arial"/>
        </w:rPr>
      </w:pPr>
      <w:r w:rsidRPr="00485CDA">
        <w:rPr>
          <w:rFonts w:ascii="Arial" w:hAnsi="Arial" w:cs="Arial"/>
          <w:noProof/>
        </w:rPr>
        <w:lastRenderedPageBreak/>
        <w:drawing>
          <wp:anchor distT="0" distB="0" distL="114300" distR="114300" simplePos="0" relativeHeight="251658240" behindDoc="1" locked="0" layoutInCell="1" allowOverlap="1" wp14:anchorId="6524CC75" wp14:editId="4FC4871C">
            <wp:simplePos x="0" y="0"/>
            <wp:positionH relativeFrom="column">
              <wp:posOffset>3253740</wp:posOffset>
            </wp:positionH>
            <wp:positionV relativeFrom="paragraph">
              <wp:posOffset>10160</wp:posOffset>
            </wp:positionV>
            <wp:extent cx="2385695" cy="1760220"/>
            <wp:effectExtent l="0" t="0" r="0" b="0"/>
            <wp:wrapTight wrapText="bothSides">
              <wp:wrapPolygon edited="0">
                <wp:start x="0" y="0"/>
                <wp:lineTo x="0" y="21273"/>
                <wp:lineTo x="21387" y="21273"/>
                <wp:lineTo x="213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695" cy="1760220"/>
                    </a:xfrm>
                    <a:prstGeom prst="rect">
                      <a:avLst/>
                    </a:prstGeom>
                    <a:noFill/>
                  </pic:spPr>
                </pic:pic>
              </a:graphicData>
            </a:graphic>
            <wp14:sizeRelH relativeFrom="margin">
              <wp14:pctWidth>0</wp14:pctWidth>
            </wp14:sizeRelH>
            <wp14:sizeRelV relativeFrom="margin">
              <wp14:pctHeight>0</wp14:pctHeight>
            </wp14:sizeRelV>
          </wp:anchor>
        </w:drawing>
      </w:r>
      <w:r w:rsidRPr="00485CDA">
        <w:rPr>
          <w:rFonts w:ascii="Arial" w:hAnsi="Arial" w:cs="Arial"/>
          <w:noProof/>
        </w:rPr>
        <w:drawing>
          <wp:inline distT="0" distB="0" distL="0" distR="0" wp14:anchorId="41801882" wp14:editId="6A391D2C">
            <wp:extent cx="2261598" cy="17983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7470" cy="1810940"/>
                    </a:xfrm>
                    <a:prstGeom prst="rect">
                      <a:avLst/>
                    </a:prstGeom>
                    <a:noFill/>
                  </pic:spPr>
                </pic:pic>
              </a:graphicData>
            </a:graphic>
          </wp:inline>
        </w:drawing>
      </w:r>
    </w:p>
    <w:p w14:paraId="271171C2" w14:textId="77777777" w:rsidR="00CF0FCA" w:rsidRPr="00485CDA" w:rsidRDefault="00CF0FCA" w:rsidP="00CF0FCA">
      <w:pPr>
        <w:spacing w:line="360" w:lineRule="auto"/>
        <w:jc w:val="both"/>
        <w:rPr>
          <w:rFonts w:ascii="Arial" w:hAnsi="Arial" w:cs="Arial"/>
          <w:b/>
        </w:rPr>
      </w:pPr>
      <w:r w:rsidRPr="00485CDA">
        <w:rPr>
          <w:rFonts w:ascii="Arial" w:hAnsi="Arial" w:cs="Arial"/>
          <w:b/>
        </w:rPr>
        <w:t xml:space="preserve">Fig. 1. Pure Culture of </w:t>
      </w:r>
      <w:r w:rsidRPr="00485CDA">
        <w:rPr>
          <w:rFonts w:ascii="Arial" w:hAnsi="Arial" w:cs="Arial"/>
          <w:b/>
          <w:i/>
        </w:rPr>
        <w:t xml:space="preserve">S. albofaciens </w:t>
      </w:r>
      <w:r w:rsidRPr="00485CDA">
        <w:rPr>
          <w:rFonts w:ascii="Arial" w:hAnsi="Arial" w:cs="Arial"/>
          <w:b/>
        </w:rPr>
        <w:t xml:space="preserve">         Fig. 2. Microscopic observations of </w:t>
      </w:r>
      <w:r w:rsidRPr="00485CDA">
        <w:rPr>
          <w:rFonts w:ascii="Arial" w:hAnsi="Arial" w:cs="Arial"/>
          <w:b/>
          <w:i/>
        </w:rPr>
        <w:t>S. albofaciens</w:t>
      </w:r>
    </w:p>
    <w:p w14:paraId="6345F51E" w14:textId="77777777" w:rsidR="00CF0FCA" w:rsidRPr="00485CDA" w:rsidRDefault="001A4F3A" w:rsidP="00CF0FCA">
      <w:pPr>
        <w:spacing w:line="360" w:lineRule="auto"/>
        <w:jc w:val="both"/>
        <w:rPr>
          <w:rFonts w:ascii="Arial" w:hAnsi="Arial" w:cs="Arial"/>
        </w:rPr>
      </w:pPr>
      <w:r w:rsidRPr="00485CDA">
        <w:rPr>
          <w:rFonts w:ascii="Arial" w:hAnsi="Arial" w:cs="Arial"/>
          <w:noProof/>
        </w:rPr>
        <w:drawing>
          <wp:anchor distT="0" distB="0" distL="114300" distR="114300" simplePos="0" relativeHeight="251660288" behindDoc="1" locked="0" layoutInCell="1" allowOverlap="1" wp14:anchorId="2C211B0B" wp14:editId="0D174AB8">
            <wp:simplePos x="0" y="0"/>
            <wp:positionH relativeFrom="margin">
              <wp:align>left</wp:align>
            </wp:positionH>
            <wp:positionV relativeFrom="paragraph">
              <wp:posOffset>66040</wp:posOffset>
            </wp:positionV>
            <wp:extent cx="2423160" cy="2065020"/>
            <wp:effectExtent l="0" t="0" r="0" b="0"/>
            <wp:wrapTight wrapText="bothSides">
              <wp:wrapPolygon edited="0">
                <wp:start x="0" y="0"/>
                <wp:lineTo x="0" y="21321"/>
                <wp:lineTo x="21396" y="2132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2065020"/>
                    </a:xfrm>
                    <a:prstGeom prst="rect">
                      <a:avLst/>
                    </a:prstGeom>
                    <a:noFill/>
                  </pic:spPr>
                </pic:pic>
              </a:graphicData>
            </a:graphic>
            <wp14:sizeRelH relativeFrom="margin">
              <wp14:pctWidth>0</wp14:pctWidth>
            </wp14:sizeRelH>
            <wp14:sizeRelV relativeFrom="margin">
              <wp14:pctHeight>0</wp14:pctHeight>
            </wp14:sizeRelV>
          </wp:anchor>
        </w:drawing>
      </w:r>
      <w:r w:rsidRPr="00485CDA">
        <w:rPr>
          <w:rFonts w:ascii="Arial" w:hAnsi="Arial" w:cs="Arial"/>
          <w:noProof/>
        </w:rPr>
        <w:drawing>
          <wp:anchor distT="0" distB="0" distL="114300" distR="114300" simplePos="0" relativeHeight="251659264" behindDoc="1" locked="0" layoutInCell="1" allowOverlap="1" wp14:anchorId="519A2087" wp14:editId="20DEB0EA">
            <wp:simplePos x="0" y="0"/>
            <wp:positionH relativeFrom="column">
              <wp:posOffset>3208020</wp:posOffset>
            </wp:positionH>
            <wp:positionV relativeFrom="paragraph">
              <wp:posOffset>12700</wp:posOffset>
            </wp:positionV>
            <wp:extent cx="2552700" cy="2010410"/>
            <wp:effectExtent l="0" t="0" r="0" b="8890"/>
            <wp:wrapTight wrapText="bothSides">
              <wp:wrapPolygon edited="0">
                <wp:start x="0" y="0"/>
                <wp:lineTo x="0" y="21491"/>
                <wp:lineTo x="21439" y="21491"/>
                <wp:lineTo x="214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2010410"/>
                    </a:xfrm>
                    <a:prstGeom prst="rect">
                      <a:avLst/>
                    </a:prstGeom>
                    <a:noFill/>
                  </pic:spPr>
                </pic:pic>
              </a:graphicData>
            </a:graphic>
            <wp14:sizeRelH relativeFrom="margin">
              <wp14:pctWidth>0</wp14:pctWidth>
            </wp14:sizeRelH>
          </wp:anchor>
        </w:drawing>
      </w:r>
    </w:p>
    <w:p w14:paraId="0DD97158" w14:textId="77777777" w:rsidR="00CF0FCA" w:rsidRPr="00485CDA" w:rsidRDefault="00CF0FCA" w:rsidP="00CF0FCA">
      <w:pPr>
        <w:spacing w:line="360" w:lineRule="auto"/>
        <w:jc w:val="both"/>
        <w:rPr>
          <w:rFonts w:ascii="Arial" w:hAnsi="Arial" w:cs="Arial"/>
        </w:rPr>
      </w:pPr>
    </w:p>
    <w:p w14:paraId="69DDF098" w14:textId="77777777" w:rsidR="00CF0FCA" w:rsidRPr="00485CDA" w:rsidRDefault="00CF0FCA" w:rsidP="00CF0FCA">
      <w:pPr>
        <w:spacing w:line="360" w:lineRule="auto"/>
        <w:jc w:val="both"/>
        <w:rPr>
          <w:rFonts w:ascii="Arial" w:hAnsi="Arial" w:cs="Arial"/>
        </w:rPr>
      </w:pPr>
    </w:p>
    <w:p w14:paraId="0263D6D5" w14:textId="77777777" w:rsidR="00CF0FCA" w:rsidRPr="00485CDA" w:rsidRDefault="00CF0FCA" w:rsidP="00CF0FCA">
      <w:pPr>
        <w:spacing w:line="360" w:lineRule="auto"/>
        <w:jc w:val="both"/>
        <w:rPr>
          <w:rFonts w:ascii="Arial" w:hAnsi="Arial" w:cs="Arial"/>
        </w:rPr>
      </w:pPr>
    </w:p>
    <w:p w14:paraId="4B35542A" w14:textId="77777777" w:rsidR="00CF0FCA" w:rsidRPr="00485CDA" w:rsidRDefault="00CF0FCA" w:rsidP="00CF0FCA">
      <w:pPr>
        <w:spacing w:line="360" w:lineRule="auto"/>
        <w:jc w:val="both"/>
        <w:rPr>
          <w:rFonts w:ascii="Arial" w:hAnsi="Arial" w:cs="Arial"/>
        </w:rPr>
      </w:pPr>
    </w:p>
    <w:p w14:paraId="57EA9E3C" w14:textId="77777777" w:rsidR="00D753A2" w:rsidRPr="00485CDA" w:rsidRDefault="00D753A2" w:rsidP="00CF0FCA">
      <w:pPr>
        <w:spacing w:line="360" w:lineRule="auto"/>
        <w:jc w:val="both"/>
        <w:rPr>
          <w:rFonts w:ascii="Arial" w:hAnsi="Arial" w:cs="Arial"/>
        </w:rPr>
      </w:pPr>
    </w:p>
    <w:p w14:paraId="407E3F9A" w14:textId="77777777" w:rsidR="00AD7A09" w:rsidRDefault="00AD7A09" w:rsidP="00D753A2">
      <w:pPr>
        <w:spacing w:line="360" w:lineRule="auto"/>
        <w:jc w:val="center"/>
        <w:rPr>
          <w:rFonts w:ascii="Arial" w:hAnsi="Arial" w:cs="Arial"/>
          <w:b/>
        </w:rPr>
      </w:pPr>
    </w:p>
    <w:p w14:paraId="5EC53F82" w14:textId="502542BD" w:rsidR="00CF0FCA" w:rsidRPr="00485CDA" w:rsidRDefault="00CF0FCA" w:rsidP="00D753A2">
      <w:pPr>
        <w:spacing w:line="360" w:lineRule="auto"/>
        <w:jc w:val="center"/>
        <w:rPr>
          <w:rFonts w:ascii="Arial" w:hAnsi="Arial" w:cs="Arial"/>
          <w:b/>
        </w:rPr>
      </w:pPr>
      <w:r w:rsidRPr="00485CDA">
        <w:rPr>
          <w:rFonts w:ascii="Arial" w:hAnsi="Arial" w:cs="Arial"/>
          <w:b/>
        </w:rPr>
        <w:t xml:space="preserve">Fig. 3. SEM observation of </w:t>
      </w:r>
      <w:r w:rsidRPr="00485CDA">
        <w:rPr>
          <w:rFonts w:ascii="Arial" w:hAnsi="Arial" w:cs="Arial"/>
          <w:b/>
          <w:i/>
        </w:rPr>
        <w:t>S. albofaciens</w:t>
      </w:r>
    </w:p>
    <w:p w14:paraId="502244A7" w14:textId="77777777" w:rsidR="00CF0FCA" w:rsidRPr="00485CDA" w:rsidRDefault="00CF0FCA" w:rsidP="00CF0FCA">
      <w:pPr>
        <w:spacing w:line="360" w:lineRule="auto"/>
        <w:jc w:val="both"/>
        <w:rPr>
          <w:rFonts w:ascii="Arial" w:hAnsi="Arial" w:cs="Arial"/>
          <w:b/>
        </w:rPr>
      </w:pPr>
      <w:r w:rsidRPr="00485CDA">
        <w:rPr>
          <w:rFonts w:ascii="Arial" w:hAnsi="Arial" w:cs="Arial"/>
          <w:b/>
        </w:rPr>
        <w:t xml:space="preserve">3.2. Evaluation of invitro efficacy of different isolates of actinomycetes against </w:t>
      </w:r>
      <w:r w:rsidRPr="00485CDA">
        <w:rPr>
          <w:rFonts w:ascii="Arial" w:hAnsi="Arial" w:cs="Arial"/>
          <w:b/>
          <w:i/>
        </w:rPr>
        <w:t xml:space="preserve">C. gloeosporiodes </w:t>
      </w:r>
      <w:r w:rsidRPr="00485CDA">
        <w:rPr>
          <w:rFonts w:ascii="Arial" w:hAnsi="Arial" w:cs="Arial"/>
          <w:b/>
        </w:rPr>
        <w:t>(Dual culture)</w:t>
      </w:r>
    </w:p>
    <w:p w14:paraId="4DB0A01F" w14:textId="77777777" w:rsidR="00CF0FCA" w:rsidRPr="00485CDA" w:rsidRDefault="00CF0FCA" w:rsidP="00CF0FCA">
      <w:pPr>
        <w:spacing w:line="360" w:lineRule="auto"/>
        <w:jc w:val="both"/>
        <w:rPr>
          <w:rFonts w:ascii="Arial" w:hAnsi="Arial" w:cs="Arial"/>
        </w:rPr>
      </w:pPr>
      <w:r w:rsidRPr="00485CDA">
        <w:rPr>
          <w:rFonts w:ascii="Arial" w:hAnsi="Arial" w:cs="Arial"/>
        </w:rPr>
        <w:tab/>
        <w:t xml:space="preserve">All ten </w:t>
      </w:r>
      <w:r w:rsidRPr="00485CDA">
        <w:rPr>
          <w:rFonts w:ascii="Arial" w:hAnsi="Arial" w:cs="Arial"/>
          <w:i/>
        </w:rPr>
        <w:t>Streptomyces</w:t>
      </w:r>
      <w:r w:rsidRPr="00485CDA">
        <w:rPr>
          <w:rFonts w:ascii="Arial" w:hAnsi="Arial" w:cs="Arial"/>
        </w:rPr>
        <w:t xml:space="preserve"> isolates were evaluated for their antagonistic efficacy against </w:t>
      </w:r>
      <w:r w:rsidRPr="00485CDA">
        <w:rPr>
          <w:rFonts w:ascii="Arial" w:hAnsi="Arial" w:cs="Arial"/>
          <w:i/>
        </w:rPr>
        <w:t>C. gloeosporioides</w:t>
      </w:r>
      <w:r w:rsidRPr="00485CDA">
        <w:rPr>
          <w:rFonts w:ascii="Arial" w:hAnsi="Arial" w:cs="Arial"/>
        </w:rPr>
        <w:t xml:space="preserve"> </w:t>
      </w:r>
      <w:r w:rsidR="00312864" w:rsidRPr="00485CDA">
        <w:rPr>
          <w:rFonts w:ascii="Arial" w:hAnsi="Arial" w:cs="Arial"/>
        </w:rPr>
        <w:t>was assessed by means of</w:t>
      </w:r>
      <w:r w:rsidRPr="00485CDA">
        <w:rPr>
          <w:rFonts w:ascii="Arial" w:hAnsi="Arial" w:cs="Arial"/>
        </w:rPr>
        <w:t xml:space="preserve"> the dual culture technique on PDA medium (Table 2). Among them, AUSA</w:t>
      </w:r>
      <w:r w:rsidRPr="00485CDA">
        <w:rPr>
          <w:rFonts w:ascii="Arial" w:hAnsi="Arial" w:cs="Arial"/>
          <w:vertAlign w:val="subscript"/>
        </w:rPr>
        <w:t>3</w:t>
      </w:r>
      <w:r w:rsidRPr="00485CDA">
        <w:rPr>
          <w:rFonts w:ascii="Arial" w:hAnsi="Arial" w:cs="Arial"/>
        </w:rPr>
        <w:t xml:space="preserve"> exhibited the highest inhibition of mycelial growth, recording 79.72% inhibition, followed by AUSA</w:t>
      </w:r>
      <w:r w:rsidRPr="00485CDA">
        <w:rPr>
          <w:rFonts w:ascii="Arial" w:hAnsi="Arial" w:cs="Arial"/>
          <w:vertAlign w:val="subscript"/>
        </w:rPr>
        <w:t>7</w:t>
      </w:r>
      <w:r w:rsidRPr="00485CDA">
        <w:rPr>
          <w:rFonts w:ascii="Arial" w:hAnsi="Arial" w:cs="Arial"/>
        </w:rPr>
        <w:t xml:space="preserve"> with 76.36%. The least inhibition was observed in AUSA</w:t>
      </w:r>
      <w:r w:rsidRPr="00485CDA">
        <w:rPr>
          <w:rFonts w:ascii="Arial" w:hAnsi="Arial" w:cs="Arial"/>
          <w:vertAlign w:val="subscript"/>
        </w:rPr>
        <w:t>9</w:t>
      </w:r>
      <w:r w:rsidRPr="00485CDA">
        <w:rPr>
          <w:rFonts w:ascii="Arial" w:hAnsi="Arial" w:cs="Arial"/>
        </w:rPr>
        <w:t xml:space="preserve"> (46.24%). All isolates significantly suppressed the radial growth of the pathogen compared to the control, with AUSA</w:t>
      </w:r>
      <w:r w:rsidRPr="00485CDA">
        <w:rPr>
          <w:rFonts w:ascii="Arial" w:hAnsi="Arial" w:cs="Arial"/>
          <w:vertAlign w:val="subscript"/>
        </w:rPr>
        <w:t>3</w:t>
      </w:r>
      <w:r w:rsidRPr="00485CDA">
        <w:rPr>
          <w:rFonts w:ascii="Arial" w:hAnsi="Arial" w:cs="Arial"/>
        </w:rPr>
        <w:t xml:space="preserve"> emerging as the most effective antagonist. </w:t>
      </w:r>
      <w:r w:rsidR="00F95657" w:rsidRPr="00485CDA">
        <w:rPr>
          <w:rFonts w:ascii="Arial" w:hAnsi="Arial" w:cs="Arial"/>
        </w:rPr>
        <w:t xml:space="preserve">The finding </w:t>
      </w:r>
      <w:r w:rsidR="00F95657" w:rsidRPr="00485CDA">
        <w:rPr>
          <w:rFonts w:ascii="Arial" w:hAnsi="Arial" w:cs="Arial"/>
        </w:rPr>
        <w:fldChar w:fldCharType="begin"/>
      </w:r>
      <w:r w:rsidR="003B494A" w:rsidRPr="00485CDA">
        <w:rPr>
          <w:rFonts w:ascii="Arial" w:hAnsi="Arial" w:cs="Arial"/>
        </w:rPr>
        <w:instrText xml:space="preserve"> ADDIN ZOTERO_ITEM CSL_CITATION {"citationID":"7ymntaF1","properties":{"formattedCitation":"(Lai et al. 2024)","plainCitation":"(Lai et al. 2024)","noteIndex":0},"citationItems":[{"id":425,"uris":["http://zotero.org/users/local/PoYNsWqG/items/2PXM45A3"],"itemData":{"id":425,"type":"article-journal","abstract":"Actinomycetes have emerged as significant biocontrol resources due to their rich array of bioactive natural products. While much research has historically focused on secondary metabolites isolated from their fermentation broth, there remains a dearth of reports on their volatile organic compounds (VOCs). Here, strain ML27, isolated from soil, was identified as Streptomyces albidoflavus based on morphological features, physiological, biochemical, and molecular characteristics (16S rRNA, atpD, recA, and rpoB gene sequences). VOCs from S. albidoflavus strain ML27 were effectively captured using solid-phase microextraction (SPME) and tentatively identified through gas chromatography–mass spectrometry (GC/MS). Among these compounds, 4-ethyl-1,2-dimethoxybenzene exhibited broad-spectrum antifungal activity and demonstrated efficacy in controlling citrus anthracnose, with a control efficacy of 86.67%. Furthermore, the inhibitory mechanism of 4-ethyl-1,2-dimethoxybenzene against Colletotrichum gloeosporioides was revealed. Results indicated that 4-ethyl-1,2-dimethoxybenzene induced swelling, deformity, and breakage in C. gloeosporioides mycelia, and significantly inhibited spore germination. Transcriptome analysis revealed that 4-ethyl-1,2-dimethoxybenzene inhibited the growth and development of C. gloeosporioides primarily by disrupting energy metabolism and the integrity of the cell wall and membrane. Based on these results, it is promising to develop 4-ethyl-1,2-dimethoxybenzene as a novel biopesticide for controlling citrus anthracnose.","container-title":"Pesticide Biochemistry and Physiology","DOI":"10.1016/j.pestbp.2024.106086","ISSN":"0048-3575","journalAbbreviation":"Pesticide Biochemistry and Physiology","page":"106086","source":"ScienceDirect","title":"Inhibitory mechanism of 4-ethyl-1,2-dimethoxybenzene produced by &lt;i&gt;Streptomyces albidoflavus&lt;/i&gt; strain ML27 against &lt;i&gt;Colletotrichum gloeosporioides&lt;/i&gt;","volume":"204","author":[{"family":"Lai","given":"Jiahao"},{"family":"Liu","given":"Bing"},{"family":"Xiong","given":"Guihong"},{"family":"Luo","given":"Qian"},{"family":"Song","given":"Shuilin"},{"family":"Jiang","given":"Junxi"},{"family":"Wei","given":"Hongyi"},{"family":"Wang","given":"Junwen"}],"issued":{"date-parts":[["2024",9,1]]}}}],"schema":"https://github.com/citation-style-language/schema/raw/master/csl-citation.json"} </w:instrText>
      </w:r>
      <w:r w:rsidR="00F95657" w:rsidRPr="00485CDA">
        <w:rPr>
          <w:rFonts w:ascii="Arial" w:hAnsi="Arial" w:cs="Arial"/>
        </w:rPr>
        <w:fldChar w:fldCharType="separate"/>
      </w:r>
      <w:r w:rsidR="003B494A" w:rsidRPr="00485CDA">
        <w:rPr>
          <w:rFonts w:ascii="Arial" w:hAnsi="Arial" w:cs="Arial"/>
        </w:rPr>
        <w:t>(Lai et al. 2024)</w:t>
      </w:r>
      <w:r w:rsidR="00F95657" w:rsidRPr="00485CDA">
        <w:rPr>
          <w:rFonts w:ascii="Arial" w:hAnsi="Arial" w:cs="Arial"/>
        </w:rPr>
        <w:fldChar w:fldCharType="end"/>
      </w:r>
      <w:r w:rsidR="00F95657" w:rsidRPr="00485CDA">
        <w:rPr>
          <w:rFonts w:ascii="Arial" w:hAnsi="Arial" w:cs="Arial"/>
        </w:rPr>
        <w:t xml:space="preserve">, revealed that actinomycetes exhibited </w:t>
      </w:r>
      <w:r w:rsidRPr="00485CDA">
        <w:rPr>
          <w:rFonts w:ascii="Arial" w:hAnsi="Arial" w:cs="Arial"/>
        </w:rPr>
        <w:t xml:space="preserve">significant </w:t>
      </w:r>
      <w:r w:rsidR="00F95657" w:rsidRPr="00485CDA">
        <w:rPr>
          <w:rFonts w:ascii="Arial" w:hAnsi="Arial" w:cs="Arial"/>
        </w:rPr>
        <w:t>antagonistic activity against</w:t>
      </w:r>
      <w:r w:rsidRPr="00485CDA">
        <w:rPr>
          <w:rFonts w:ascii="Arial" w:hAnsi="Arial" w:cs="Arial"/>
        </w:rPr>
        <w:t xml:space="preserve"> </w:t>
      </w:r>
      <w:r w:rsidRPr="00485CDA">
        <w:rPr>
          <w:rFonts w:ascii="Arial" w:hAnsi="Arial" w:cs="Arial"/>
          <w:i/>
        </w:rPr>
        <w:t>C. gloeosporioides</w:t>
      </w:r>
      <w:r w:rsidRPr="00485CDA">
        <w:rPr>
          <w:rFonts w:ascii="Arial" w:hAnsi="Arial" w:cs="Arial"/>
        </w:rPr>
        <w:t xml:space="preserve"> by hydrolyzing </w:t>
      </w:r>
      <w:r w:rsidR="00F95657" w:rsidRPr="00485CDA">
        <w:rPr>
          <w:rFonts w:ascii="Arial" w:hAnsi="Arial" w:cs="Arial"/>
        </w:rPr>
        <w:t xml:space="preserve">of </w:t>
      </w:r>
      <w:r w:rsidRPr="00485CDA">
        <w:rPr>
          <w:rFonts w:ascii="Arial" w:hAnsi="Arial" w:cs="Arial"/>
        </w:rPr>
        <w:t xml:space="preserve">the </w:t>
      </w:r>
      <w:r w:rsidR="00F95657" w:rsidRPr="00485CDA">
        <w:rPr>
          <w:rFonts w:ascii="Arial" w:hAnsi="Arial" w:cs="Arial"/>
        </w:rPr>
        <w:t xml:space="preserve">fungal </w:t>
      </w:r>
      <w:r w:rsidRPr="00485CDA">
        <w:rPr>
          <w:rFonts w:ascii="Arial" w:hAnsi="Arial" w:cs="Arial"/>
        </w:rPr>
        <w:t xml:space="preserve">cell wall. In vitro efficacy of biocontrol agents against </w:t>
      </w:r>
      <w:r w:rsidRPr="00485CDA">
        <w:rPr>
          <w:rFonts w:ascii="Arial" w:hAnsi="Arial" w:cs="Arial"/>
          <w:i/>
        </w:rPr>
        <w:t>C. gloeosporio</w:t>
      </w:r>
      <w:r w:rsidR="00F95657" w:rsidRPr="00485CDA">
        <w:rPr>
          <w:rFonts w:ascii="Arial" w:hAnsi="Arial" w:cs="Arial"/>
          <w:i/>
        </w:rPr>
        <w:t>ides</w:t>
      </w:r>
      <w:r w:rsidR="00F95657" w:rsidRPr="00485CDA">
        <w:rPr>
          <w:rFonts w:ascii="Arial" w:hAnsi="Arial" w:cs="Arial"/>
        </w:rPr>
        <w:t xml:space="preserve"> revealed that the isolate </w:t>
      </w:r>
      <w:r w:rsidRPr="00485CDA">
        <w:rPr>
          <w:rFonts w:ascii="Arial" w:hAnsi="Arial" w:cs="Arial"/>
        </w:rPr>
        <w:t>have recorded maximum mycelial inhibition of 50.77 per cent over contro</w:t>
      </w:r>
      <w:r w:rsidR="00F95657" w:rsidRPr="00485CDA">
        <w:rPr>
          <w:rFonts w:ascii="Arial" w:hAnsi="Arial" w:cs="Arial"/>
        </w:rPr>
        <w:t xml:space="preserve">l </w:t>
      </w:r>
      <w:r w:rsidR="00F95657" w:rsidRPr="00485CDA">
        <w:rPr>
          <w:rFonts w:ascii="Arial" w:hAnsi="Arial" w:cs="Arial"/>
        </w:rPr>
        <w:fldChar w:fldCharType="begin"/>
      </w:r>
      <w:r w:rsidR="003B494A" w:rsidRPr="00485CDA">
        <w:rPr>
          <w:rFonts w:ascii="Arial" w:hAnsi="Arial" w:cs="Arial"/>
        </w:rPr>
        <w:instrText xml:space="preserve"> ADDIN ZOTERO_ITEM CSL_CITATION {"citationID":"E0SHaIkY","properties":{"formattedCitation":"(Li et al. 2024)","plainCitation":"(Li et al. 2024)","noteIndex":0},"citationItems":[{"id":428,"uris":["http://zotero.org/users/local/PoYNsWqG/items/IJ8HAFS4"],"itemData":{"id":428,"type":"article-journal","abstract":"Colletotrichum gloeosporioides is a fungal disease of strawberry fruit. Biocontrol strategies holds tremendous promise in alleviating fruit decay. Here, 30 actinomycetes were isolated from rhizosphere soil of Calotropis gigantea. A strain labeled with CG-G2 exhibited the strongest antagonistic activity against C. gloeosporioides and was assigned as Streptomyces corchorusii. Compared to strain CG-G2 extracts, the volatile organic compounds (VOCs) had a high antifungal activity against anthracnose. These volatiles effectively inhibited mycelial growth and spore germination of C. gloeosporioides. The hyphal and conidial structure was severely destroyed. Metabolomics analysis revealed that VOCs inhibited C. gloeosporioides via inducing flavonoids metabolism contributing to antifungal activity. Three main antagonistic compounds in VOCs were identified as methyl 2-methyl butyrate, hexanenitrile and methyl 2-Ethyl hexanoate. Especially, methyl 2-methyl butyrate demonstrated a remarkable efficacy in inhibiting fruit decay and preserving fruit quality. Hence, S. corchorusii CG-G2 will be a potential biocontrol agent for controlling anthracnose on harvested fruits.","container-title":"Food Chemistry","DOI":"10.1016/j.foodchem.2023.137938","ISSN":"0308-8146","journalAbbreviation":"Food Chemistry","page":"137938","source":"ScienceDirect","title":"Biocontrol potential of volatile organic compounds produced by &lt;i&gt;Streptomyces corchorusii&lt;/i&gt; CG-G2 to strawberry anthracnose caused by &lt;i&gt;Colletotrichum gloeosporioides&lt;/i&gt;","volume":"437","author":[{"family":"Li","given":"Xiaojuan"},{"family":"Zhang","given":"Lu"},{"family":"Zhao","given":"Yankun"},{"family":"Feng","given":"Junting"},{"family":"Chen","given":"Yufeng"},{"family":"Li","given":"Kai"},{"family":"Zhang","given":"Miaoyi"},{"family":"Qi","given":"Dengfeng"},{"family":"Zhou","given":"Dengbo"},{"family":"Wei","given":"Yongzan"},{"family":"Wang","given":"Wei"},{"family":"Xie","given":"Jianghui"}],"issued":{"date-parts":[["2024",3,30]]}}}],"schema":"https://github.com/citation-style-language/schema/raw/master/csl-citation.json"} </w:instrText>
      </w:r>
      <w:r w:rsidR="00F95657" w:rsidRPr="00485CDA">
        <w:rPr>
          <w:rFonts w:ascii="Arial" w:hAnsi="Arial" w:cs="Arial"/>
        </w:rPr>
        <w:fldChar w:fldCharType="separate"/>
      </w:r>
      <w:r w:rsidR="003B494A" w:rsidRPr="00485CDA">
        <w:rPr>
          <w:rFonts w:ascii="Arial" w:hAnsi="Arial" w:cs="Arial"/>
        </w:rPr>
        <w:t>(Li et al. 2024)</w:t>
      </w:r>
      <w:r w:rsidR="00F95657" w:rsidRPr="00485CDA">
        <w:rPr>
          <w:rFonts w:ascii="Arial" w:hAnsi="Arial" w:cs="Arial"/>
        </w:rPr>
        <w:fldChar w:fldCharType="end"/>
      </w:r>
      <w:r w:rsidR="00F95657" w:rsidRPr="00485CDA">
        <w:rPr>
          <w:rFonts w:ascii="Arial" w:hAnsi="Arial" w:cs="Arial"/>
        </w:rPr>
        <w:t>.</w:t>
      </w:r>
    </w:p>
    <w:p w14:paraId="0BFB9CDB" w14:textId="77777777" w:rsidR="00CF0FCA" w:rsidRPr="00485CDA" w:rsidRDefault="00CF0FCA" w:rsidP="00CF0FCA">
      <w:pPr>
        <w:spacing w:line="360" w:lineRule="auto"/>
        <w:jc w:val="both"/>
        <w:rPr>
          <w:rFonts w:ascii="Arial" w:hAnsi="Arial" w:cs="Arial"/>
          <w:b/>
        </w:rPr>
      </w:pPr>
      <w:r w:rsidRPr="00485CDA">
        <w:rPr>
          <w:rFonts w:ascii="Arial" w:hAnsi="Arial" w:cs="Arial"/>
          <w:b/>
        </w:rPr>
        <w:lastRenderedPageBreak/>
        <w:t xml:space="preserve">3.2 Confirmation and Molecular characterization of virulent isolate of </w:t>
      </w:r>
      <w:r w:rsidRPr="00485CDA">
        <w:rPr>
          <w:rFonts w:ascii="Arial" w:hAnsi="Arial" w:cs="Arial"/>
          <w:b/>
          <w:i/>
        </w:rPr>
        <w:t xml:space="preserve">S. albofaciens </w:t>
      </w:r>
      <w:r w:rsidRPr="00485CDA">
        <w:rPr>
          <w:rFonts w:ascii="Arial" w:hAnsi="Arial" w:cs="Arial"/>
          <w:b/>
        </w:rPr>
        <w:t>(AUSA</w:t>
      </w:r>
      <w:r w:rsidRPr="00485CDA">
        <w:rPr>
          <w:rFonts w:ascii="Arial" w:hAnsi="Arial" w:cs="Arial"/>
          <w:b/>
          <w:vertAlign w:val="subscript"/>
        </w:rPr>
        <w:t>3</w:t>
      </w:r>
      <w:r w:rsidRPr="00485CDA">
        <w:rPr>
          <w:rFonts w:ascii="Arial" w:hAnsi="Arial" w:cs="Arial"/>
          <w:b/>
        </w:rPr>
        <w:t xml:space="preserve">) </w:t>
      </w:r>
    </w:p>
    <w:p w14:paraId="4EBD3DFF" w14:textId="77777777" w:rsidR="00CF0FCA" w:rsidRPr="00485CDA" w:rsidRDefault="00CF0FCA" w:rsidP="00A9770D">
      <w:pPr>
        <w:spacing w:line="360" w:lineRule="auto"/>
        <w:ind w:firstLine="720"/>
        <w:jc w:val="both"/>
        <w:rPr>
          <w:rFonts w:ascii="Arial" w:hAnsi="Arial" w:cs="Arial"/>
        </w:rPr>
      </w:pPr>
      <w:r w:rsidRPr="00485CDA">
        <w:rPr>
          <w:rFonts w:ascii="Arial" w:hAnsi="Arial" w:cs="Arial"/>
        </w:rPr>
        <w:t>Ten actinomycetes isolates (AUSA</w:t>
      </w:r>
      <w:r w:rsidRPr="00485CDA">
        <w:rPr>
          <w:rFonts w:ascii="Arial" w:hAnsi="Arial" w:cs="Arial"/>
          <w:vertAlign w:val="subscript"/>
        </w:rPr>
        <w:t>1</w:t>
      </w:r>
      <w:r w:rsidRPr="00485CDA">
        <w:rPr>
          <w:rFonts w:ascii="Arial" w:hAnsi="Arial" w:cs="Arial"/>
        </w:rPr>
        <w:t xml:space="preserve"> to AUSA</w:t>
      </w:r>
      <w:r w:rsidRPr="00485CDA">
        <w:rPr>
          <w:rFonts w:ascii="Arial" w:hAnsi="Arial" w:cs="Arial"/>
          <w:vertAlign w:val="subscript"/>
        </w:rPr>
        <w:t>10</w:t>
      </w:r>
      <w:r w:rsidRPr="00485CDA">
        <w:rPr>
          <w:rFonts w:ascii="Arial" w:hAnsi="Arial" w:cs="Arial"/>
        </w:rPr>
        <w:t>) collected and efficacy against anthracnose was tested.  Among the isolates AUSA</w:t>
      </w:r>
      <w:r w:rsidRPr="00485CDA">
        <w:rPr>
          <w:rFonts w:ascii="Arial" w:hAnsi="Arial" w:cs="Arial"/>
          <w:vertAlign w:val="subscript"/>
        </w:rPr>
        <w:t>3</w:t>
      </w:r>
      <w:r w:rsidRPr="00485CDA">
        <w:rPr>
          <w:rFonts w:ascii="Arial" w:hAnsi="Arial" w:cs="Arial"/>
        </w:rPr>
        <w:t xml:space="preserve">, found to be more effective against anthracnose. The genomic DNA of </w:t>
      </w:r>
      <w:r w:rsidRPr="00485CDA">
        <w:rPr>
          <w:rFonts w:ascii="Arial" w:hAnsi="Arial" w:cs="Arial"/>
          <w:i/>
        </w:rPr>
        <w:t>S. albofaciens</w:t>
      </w:r>
      <w:r w:rsidRPr="00485CDA">
        <w:rPr>
          <w:rFonts w:ascii="Arial" w:hAnsi="Arial" w:cs="Arial"/>
        </w:rPr>
        <w:t xml:space="preserve"> (AUSA</w:t>
      </w:r>
      <w:r w:rsidRPr="00485CDA">
        <w:rPr>
          <w:rFonts w:ascii="Arial" w:hAnsi="Arial" w:cs="Arial"/>
          <w:vertAlign w:val="subscript"/>
        </w:rPr>
        <w:t>3</w:t>
      </w:r>
      <w:r w:rsidRPr="00485CDA">
        <w:rPr>
          <w:rFonts w:ascii="Arial" w:hAnsi="Arial" w:cs="Arial"/>
        </w:rPr>
        <w:t xml:space="preserve">), was </w:t>
      </w:r>
      <w:r w:rsidR="000B4CAA" w:rsidRPr="00485CDA">
        <w:rPr>
          <w:rFonts w:ascii="Arial" w:hAnsi="Arial" w:cs="Arial"/>
        </w:rPr>
        <w:t>processed</w:t>
      </w:r>
      <w:r w:rsidRPr="00485CDA">
        <w:rPr>
          <w:rFonts w:ascii="Arial" w:hAnsi="Arial" w:cs="Arial"/>
        </w:rPr>
        <w:t xml:space="preserve"> t</w:t>
      </w:r>
      <w:r w:rsidR="000B4CAA" w:rsidRPr="00485CDA">
        <w:rPr>
          <w:rFonts w:ascii="Arial" w:hAnsi="Arial" w:cs="Arial"/>
        </w:rPr>
        <w:t>hrough</w:t>
      </w:r>
      <w:r w:rsidRPr="00485CDA">
        <w:rPr>
          <w:rFonts w:ascii="Arial" w:hAnsi="Arial" w:cs="Arial"/>
        </w:rPr>
        <w:t xml:space="preserve"> PCR amplification using universal primers 27F and 1492R. The resulting amplicon was approximately 909 bp, </w:t>
      </w:r>
      <w:r w:rsidR="000B4CAA" w:rsidRPr="00485CDA">
        <w:rPr>
          <w:rFonts w:ascii="Arial" w:hAnsi="Arial" w:cs="Arial"/>
        </w:rPr>
        <w:t>verifying</w:t>
      </w:r>
      <w:r w:rsidRPr="00485CDA">
        <w:rPr>
          <w:rFonts w:ascii="Arial" w:hAnsi="Arial" w:cs="Arial"/>
        </w:rPr>
        <w:t xml:space="preserve"> successful amplification of the targeted 16S rRNA gene region. Sequence analysis and BLAST search on the NCBI database validated the identity of the isolate, revealing 100% nucleotide similarity with </w:t>
      </w:r>
      <w:r w:rsidRPr="00485CDA">
        <w:rPr>
          <w:rFonts w:ascii="Arial" w:hAnsi="Arial" w:cs="Arial"/>
          <w:i/>
        </w:rPr>
        <w:t>S. albofaciens</w:t>
      </w:r>
      <w:r w:rsidRPr="00485CDA">
        <w:rPr>
          <w:rFonts w:ascii="Arial" w:hAnsi="Arial" w:cs="Arial"/>
        </w:rPr>
        <w:t xml:space="preserve">. The partial sequence </w:t>
      </w:r>
      <w:r w:rsidR="000B4CAA" w:rsidRPr="00485CDA">
        <w:rPr>
          <w:rFonts w:ascii="Arial" w:hAnsi="Arial" w:cs="Arial"/>
        </w:rPr>
        <w:t>has been deposited in GenBank under</w:t>
      </w:r>
      <w:r w:rsidRPr="00485CDA">
        <w:rPr>
          <w:rFonts w:ascii="Arial" w:hAnsi="Arial" w:cs="Arial"/>
        </w:rPr>
        <w:t xml:space="preserve"> accession number PV603281. Similar finding were observed by many researchers</w:t>
      </w:r>
      <w:r w:rsidR="006070B9" w:rsidRPr="00485CDA">
        <w:rPr>
          <w:rFonts w:ascii="Arial" w:hAnsi="Arial" w:cs="Arial"/>
        </w:rPr>
        <w:t xml:space="preserve"> </w:t>
      </w:r>
      <w:r w:rsidR="006070B9" w:rsidRPr="00485CDA">
        <w:rPr>
          <w:rFonts w:ascii="Arial" w:hAnsi="Arial" w:cs="Arial"/>
        </w:rPr>
        <w:fldChar w:fldCharType="begin"/>
      </w:r>
      <w:r w:rsidR="003B494A" w:rsidRPr="00485CDA">
        <w:rPr>
          <w:rFonts w:ascii="Arial" w:hAnsi="Arial" w:cs="Arial"/>
        </w:rPr>
        <w:instrText xml:space="preserve"> ADDIN ZOTERO_ITEM CSL_CITATION {"citationID":"kWovLWiN","properties":{"formattedCitation":"(Duangupama et al. 2024)","plainCitation":"(Duangupama et al. 2024)","noteIndex":0},"citationItems":[{"id":431,"uris":["http://zotero.org/users/local/PoYNsWqG/items/B543HP2B"],"itemData":{"id":431,"type":"article-journal","abstract":"An actinomycete, designated strain CH9-7T, was isolated from the rhizosphere soil of Mangifera indica. The morphological and chemotaxonomic properties, such as the production of spiral spore chains and the presence of LL-diaminopimelic acid in the peptidoglycan, showed that it belongs to the genus Streptomyces. Based on the 16S rRNA gene analysis, it was confirmed that strain CH9-7T was a member of the genus Streptomyces and revealed 99.9% 16S rRNA gene sequence similarity to its closest relative strains, Streptomyces lydicus NBRC 13058 T and Streptomyces chattanoogensis NBRC 12754 T. Although the strain showed high 16S rRNA gene sequence similarity values, however, genome relatedness indexes exhibited that the average nucleotide identity based on the MUMmer (ANIm) algorithm, the average amino acid identity (AAI), and the digital DNA–DNA hybridization values between strain CH9-7T and its closest phylogenomic relatives were below the threshold values for delineation of a novel species, (ANIm ranging from 87.5 to 88.6, AAI ranging from 80.6 to 84.6, and dDDH ranging from 28.4 to 31.7), respectively. A taxonomic position of strain CH9-7T in the phylogenomic tree showed that the closest relative strain was S. lydicus NBRC 13058 T. The comparative phenotypic studies between strain CH9-7T and its closest relatives revealed that strain CH9-7T could be classified as a novel species of the genus Streptomyces. Thus, the name Streptomyces siderophoricus sp. nov. is proposed for the strain. The type strain is CH9-7T ( = TBRC 17833 T = NBRC 116426 T). The chemical investigation led to the isolation of four known compounds (compounds 1-4). Among these compounds, compound 1 was identified to be nocardamine, a promising bioactive substance.","container-title":"The Journal of Antibiotics","DOI":"10.1038/s41429-024-00763-x","ISSN":"1881-1469","issue":"11","journalAbbreviation":"J Antibiot","language":"en","license":"2024 The Author(s), under exclusive licence to the Japan Antibiotics Research Association","note":"publisher: Nature Publishing Group","page":"737-745","source":"www.nature.com","title":"Description of Streptomyces siderophoricus sp. nov., a promising nocardamine-producing species isolated from the rhizosphere soil of Mangifera indica","volume":"77","author":[{"family":"Duangupama","given":"Thitikorn"},{"family":"Pittayakhajonwut","given":"Pattama"},{"family":"Intaraudom","given":"Chakapong"},{"family":"Suriyachadkun","given":"Chanwit"},{"family":"Tadtong","given":"Sarin"},{"family":"Kuncharoen","given":"Nattakorn"},{"family":"He","given":"Ya-Wen"},{"family":"Tanasupawat","given":"Somboon"},{"family":"Thawai","given":"Chitti"}],"issued":{"date-parts":[["2024",11]]}}}],"schema":"https://github.com/citation-style-language/schema/raw/master/csl-citation.json"} </w:instrText>
      </w:r>
      <w:r w:rsidR="006070B9" w:rsidRPr="00485CDA">
        <w:rPr>
          <w:rFonts w:ascii="Arial" w:hAnsi="Arial" w:cs="Arial"/>
        </w:rPr>
        <w:fldChar w:fldCharType="separate"/>
      </w:r>
      <w:r w:rsidR="003B494A" w:rsidRPr="00485CDA">
        <w:rPr>
          <w:rFonts w:ascii="Arial" w:hAnsi="Arial" w:cs="Arial"/>
        </w:rPr>
        <w:t>(Duangupama et al. 2024)</w:t>
      </w:r>
      <w:r w:rsidR="006070B9" w:rsidRPr="00485CDA">
        <w:rPr>
          <w:rFonts w:ascii="Arial" w:hAnsi="Arial" w:cs="Arial"/>
        </w:rPr>
        <w:fldChar w:fldCharType="end"/>
      </w:r>
      <w:r w:rsidR="006070B9" w:rsidRPr="00485CDA">
        <w:rPr>
          <w:rFonts w:ascii="Arial" w:hAnsi="Arial" w:cs="Arial"/>
        </w:rPr>
        <w:t xml:space="preserve">, </w:t>
      </w:r>
      <w:r w:rsidRPr="00485CDA">
        <w:rPr>
          <w:rFonts w:ascii="Arial" w:hAnsi="Arial" w:cs="Arial"/>
        </w:rPr>
        <w:t xml:space="preserve">reported that Actinomycetes were isolated from the rhizosphere soils of </w:t>
      </w:r>
      <w:r w:rsidR="00F95657" w:rsidRPr="00485CDA">
        <w:rPr>
          <w:rFonts w:ascii="Arial" w:hAnsi="Arial" w:cs="Arial"/>
        </w:rPr>
        <w:t>mango trees</w:t>
      </w:r>
      <w:r w:rsidRPr="00485CDA">
        <w:rPr>
          <w:rFonts w:ascii="Arial" w:hAnsi="Arial" w:cs="Arial"/>
        </w:rPr>
        <w:t xml:space="preserve"> and identified as Streptomyces by PCR amplification with the use of 16S rRNA specific forward (F243) and reverse (A3R) primers which resulted in an amplicon size primer of 650 bp. The </w:t>
      </w:r>
      <w:r w:rsidRPr="00485CDA">
        <w:rPr>
          <w:rFonts w:ascii="Arial" w:hAnsi="Arial" w:cs="Arial"/>
          <w:i/>
        </w:rPr>
        <w:t>Streptomyces</w:t>
      </w:r>
      <w:r w:rsidRPr="00485CDA">
        <w:rPr>
          <w:rFonts w:ascii="Arial" w:hAnsi="Arial" w:cs="Arial"/>
        </w:rPr>
        <w:t xml:space="preserve"> strain was identified using 16S rRNA gene sequencing as </w:t>
      </w:r>
      <w:r w:rsidRPr="00485CDA">
        <w:rPr>
          <w:rFonts w:ascii="Arial" w:hAnsi="Arial" w:cs="Arial"/>
          <w:i/>
        </w:rPr>
        <w:t>S</w:t>
      </w:r>
      <w:r w:rsidR="006070B9" w:rsidRPr="00485CDA">
        <w:rPr>
          <w:rFonts w:ascii="Arial" w:hAnsi="Arial" w:cs="Arial"/>
          <w:i/>
        </w:rPr>
        <w:t>. albofaciens (MS38)</w:t>
      </w:r>
      <w:r w:rsidRPr="00485CDA">
        <w:rPr>
          <w:rFonts w:ascii="Arial" w:hAnsi="Arial" w:cs="Arial"/>
        </w:rPr>
        <w:t>, it ampl</w:t>
      </w:r>
      <w:r w:rsidR="006070B9" w:rsidRPr="00485CDA">
        <w:rPr>
          <w:rFonts w:ascii="Arial" w:hAnsi="Arial" w:cs="Arial"/>
        </w:rPr>
        <w:t>ifies at an amplicon size of 1489</w:t>
      </w:r>
      <w:r w:rsidRPr="00485CDA">
        <w:rPr>
          <w:rFonts w:ascii="Arial" w:hAnsi="Arial" w:cs="Arial"/>
        </w:rPr>
        <w:t xml:space="preserve"> bp </w:t>
      </w:r>
      <w:r w:rsidR="006070B9" w:rsidRPr="00485CDA">
        <w:rPr>
          <w:rFonts w:ascii="Arial" w:hAnsi="Arial" w:cs="Arial"/>
        </w:rPr>
        <w:fldChar w:fldCharType="begin"/>
      </w:r>
      <w:r w:rsidR="003B494A" w:rsidRPr="00485CDA">
        <w:rPr>
          <w:rFonts w:ascii="Arial" w:hAnsi="Arial" w:cs="Arial"/>
        </w:rPr>
        <w:instrText xml:space="preserve"> ADDIN ZOTERO_ITEM CSL_CITATION {"citationID":"Mbxqlo10","properties":{"formattedCitation":"(Singh et al. 2024)","plainCitation":"(Singh et al. 2024)","noteIndex":0},"citationItems":[{"id":433,"uris":["http://zotero.org/users/local/PoYNsWqG/items/AHCJQG3J"],"itemData":{"id":433,"type":"article-journal","abstract":"Background: Microbial secondary metabolites have shown promise as a source of novel antimicrobial agents. In this study, we aimed to isolate, characterize, and evaluate the antimicrobial activity of compound from a novel Streptomyces albofaciens strain MS38. The objective was to identify a potential bioactive compound with broad-spectrum antimicrobial properties. Methods: The isolated strain MS38 on starch casein agar was characterized using morphological, physiological, and molecular identification techniques. The compound was obtained from the fermented broth through extraction with n-butanol and further purification using silica gel column chromatography and high-performance liquid chromatography (HPLC). Structural elucidation was conducted using Ultraviolet (UV), Infrared (IR), nuclear magnetic resonance (NMR), and mass spectrometry (MS) techniques. The antimicrobial activity was evaluated using the agar well diffusion method and the microplate Alamar blue assay (MABA). Results: The isolated strain MS38 was identified as novel Streptomyces albofaciens based on morphological characteristics and confirmed by 16S sequences analysis and MALDI-TOF MS. The compound obtained from the fermented broth exhibited substantial antimicrobial activity against a variety of pathogenic bacteria and fungi. Structural analysis revealed a complex chemical structure with characteristic functional groups indicative of potential antimicrobial properties. The compound demonstrated strong activity against both Gram-positive (Staphylococcus Spp.) and Gram-negative (Klebsiella pneumoniae and Escherichia coli) bacteria, as well as fungi, including Candida albicans and Trichophyton rubrum. Conclusion: This study successfully isolated and characterized a bioactive compound from a novel Streptomyces albofaciens MS38. The compound exhibited significant antimicrobial activity against a range of pathogenic microorganisms. These findings underscore the importance of exploring microbial biodiversity for the discovery of novel antimicrobial agents. This study contributes to the growing knowledge of microbial secondary metabolites with potential therapeutic value.","container-title":"Frontiers in Chemistry","DOI":"10.3389/fchem.2023.1326328","ISSN":"2296-2646","journalAbbreviation":"Front. Chem.","language":"English","note":"publisher: Frontiers","source":"Frontiers","title":"Green extraction of puromycin-based antibiotics from Streptomyces albofaciens (MS38) for sustainable biopharmaceutical applications","URL":"https://www.frontiersin.org/journals/chemistry/articles/10.3389/fchem.2023.1326328/full","volume":"11","author":[{"family":"Singh","given":"Neha"},{"family":"Patil","given":"Sandip"},{"family":"Shahnawaz","given":"Mohd"},{"family":"Rai","given":"Vibhuti"},{"family":"Patil","given":"Abhinandan"},{"family":"Tripathi","given":"C. K. M."},{"family":"Wen","given":"Feiqiu"},{"family":"Dong","given":"Shaowei"},{"family":"Cai","given":"Defeng"}],"accessed":{"date-parts":[["2025",7,19]]},"issued":{"date-parts":[["2024",1,9]]}}}],"schema":"https://github.com/citation-style-language/schema/raw/master/csl-citation.json"} </w:instrText>
      </w:r>
      <w:r w:rsidR="006070B9" w:rsidRPr="00485CDA">
        <w:rPr>
          <w:rFonts w:ascii="Arial" w:hAnsi="Arial" w:cs="Arial"/>
        </w:rPr>
        <w:fldChar w:fldCharType="separate"/>
      </w:r>
      <w:r w:rsidR="003B494A" w:rsidRPr="00485CDA">
        <w:rPr>
          <w:rFonts w:ascii="Arial" w:hAnsi="Arial" w:cs="Arial"/>
        </w:rPr>
        <w:t>(Singh et al. 2024)</w:t>
      </w:r>
      <w:r w:rsidR="006070B9" w:rsidRPr="00485CDA">
        <w:rPr>
          <w:rFonts w:ascii="Arial" w:hAnsi="Arial" w:cs="Arial"/>
        </w:rPr>
        <w:fldChar w:fldCharType="end"/>
      </w:r>
      <w:r w:rsidR="006070B9" w:rsidRPr="00485CDA">
        <w:rPr>
          <w:rFonts w:ascii="Arial" w:hAnsi="Arial" w:cs="Arial"/>
        </w:rPr>
        <w:t>.</w:t>
      </w:r>
      <w:r w:rsidR="00A9770D" w:rsidRPr="00485CDA">
        <w:rPr>
          <w:rFonts w:ascii="Arial" w:hAnsi="Arial" w:cs="Arial"/>
        </w:rPr>
        <w:t xml:space="preserve"> </w:t>
      </w:r>
      <w:r w:rsidR="006070B9" w:rsidRPr="00485CDA">
        <w:rPr>
          <w:rFonts w:ascii="Arial" w:hAnsi="Arial" w:cs="Arial"/>
        </w:rPr>
        <w:fldChar w:fldCharType="begin"/>
      </w:r>
      <w:r w:rsidR="003B494A" w:rsidRPr="00485CDA">
        <w:rPr>
          <w:rFonts w:ascii="Arial" w:hAnsi="Arial" w:cs="Arial"/>
        </w:rPr>
        <w:instrText xml:space="preserve"> ADDIN ZOTERO_ITEM CSL_CITATION {"citationID":"SLBcPRNR","properties":{"formattedCitation":"(Zainal Abidin et al. 2016)","plainCitation":"(Zainal Abidin et al. 2016)","noteIndex":0},"citationItems":[{"id":436,"uris":["http://zotero.org/users/local/PoYNsWqG/items/TXK9H5UH"],"itemData":{"id":436,"type":"article-journal","container-title":"Frontiers in Life Science","DOI":"10.1080/21553769.2015.1051244","ISSN":"2155-3769, 2155-3777","issue":"1","language":"en","note":"publisher: Informa UK Limited","page":"24-31","source":"Crossref","title":"Selective isolation and antagonistic activity of actinomycetes from mangrove forest of Pahang, Malaysia","volume":"9","author":[{"family":"Zainal Abidin","given":"Zaima Azira"},{"family":"Abdul Malek","given":"Nurfathiah"},{"family":"Zainuddin","given":"Zarina"},{"family":"Chowdhury","given":"Ahmed Jalal Khan"}],"issued":{"date-parts":[["2016",1,2]]}}}],"schema":"https://github.com/citation-style-language/schema/raw/master/csl-citation.json"} </w:instrText>
      </w:r>
      <w:r w:rsidR="006070B9" w:rsidRPr="00485CDA">
        <w:rPr>
          <w:rFonts w:ascii="Arial" w:hAnsi="Arial" w:cs="Arial"/>
        </w:rPr>
        <w:fldChar w:fldCharType="separate"/>
      </w:r>
      <w:r w:rsidR="003B494A" w:rsidRPr="00485CDA">
        <w:rPr>
          <w:rFonts w:ascii="Arial" w:hAnsi="Arial" w:cs="Arial"/>
        </w:rPr>
        <w:t>(Zainal Abidin et al. 2016)</w:t>
      </w:r>
      <w:r w:rsidR="006070B9" w:rsidRPr="00485CDA">
        <w:rPr>
          <w:rFonts w:ascii="Arial" w:hAnsi="Arial" w:cs="Arial"/>
        </w:rPr>
        <w:fldChar w:fldCharType="end"/>
      </w:r>
      <w:r w:rsidR="006070B9" w:rsidRPr="00485CDA">
        <w:rPr>
          <w:rFonts w:ascii="Arial" w:hAnsi="Arial" w:cs="Arial"/>
        </w:rPr>
        <w:t xml:space="preserve">, </w:t>
      </w:r>
      <w:r w:rsidRPr="00485CDA">
        <w:rPr>
          <w:rFonts w:ascii="Arial" w:hAnsi="Arial" w:cs="Arial"/>
        </w:rPr>
        <w:t xml:space="preserve">reported that the </w:t>
      </w:r>
      <w:proofErr w:type="gramStart"/>
      <w:r w:rsidRPr="00485CDA">
        <w:rPr>
          <w:rFonts w:ascii="Arial" w:hAnsi="Arial" w:cs="Arial"/>
        </w:rPr>
        <w:t>five effective</w:t>
      </w:r>
      <w:proofErr w:type="gramEnd"/>
      <w:r w:rsidRPr="00485CDA">
        <w:rPr>
          <w:rFonts w:ascii="Arial" w:hAnsi="Arial" w:cs="Arial"/>
        </w:rPr>
        <w:t xml:space="preserve"> antagonistic actinomycete isolates, identified as </w:t>
      </w:r>
      <w:r w:rsidRPr="00485CDA">
        <w:rPr>
          <w:rFonts w:ascii="Arial" w:hAnsi="Arial" w:cs="Arial"/>
          <w:i/>
        </w:rPr>
        <w:t>Streptomyces</w:t>
      </w:r>
      <w:r w:rsidRPr="00485CDA">
        <w:rPr>
          <w:rFonts w:ascii="Arial" w:hAnsi="Arial" w:cs="Arial"/>
        </w:rPr>
        <w:t xml:space="preserve"> spp. were subjected to 16s rRNA gene amplification using gene specific primers namely F243 and A3R primers. Approximately 1250 bp amplicon was obtained for all the isolates. </w:t>
      </w:r>
    </w:p>
    <w:p w14:paraId="4D004191" w14:textId="77777777" w:rsidR="00CF0FCA" w:rsidRPr="00485CDA" w:rsidRDefault="00CF0FCA" w:rsidP="00CF0FCA">
      <w:pPr>
        <w:spacing w:line="360" w:lineRule="auto"/>
        <w:jc w:val="both"/>
        <w:rPr>
          <w:rFonts w:ascii="Arial" w:hAnsi="Arial" w:cs="Arial"/>
          <w:b/>
        </w:rPr>
      </w:pPr>
      <w:r w:rsidRPr="00485CDA">
        <w:rPr>
          <w:rFonts w:ascii="Arial" w:hAnsi="Arial" w:cs="Arial"/>
          <w:b/>
        </w:rPr>
        <w:t>4.</w:t>
      </w:r>
      <w:r w:rsidRPr="00485CDA">
        <w:rPr>
          <w:rFonts w:ascii="Arial" w:hAnsi="Arial" w:cs="Arial"/>
          <w:b/>
        </w:rPr>
        <w:tab/>
        <w:t>Conclusion</w:t>
      </w:r>
    </w:p>
    <w:p w14:paraId="1DE04107" w14:textId="77777777" w:rsidR="003B494A" w:rsidRPr="00485CDA" w:rsidRDefault="00CF0FCA" w:rsidP="003B494A">
      <w:pPr>
        <w:spacing w:line="360" w:lineRule="auto"/>
        <w:ind w:firstLine="720"/>
        <w:jc w:val="both"/>
        <w:rPr>
          <w:rFonts w:ascii="Arial" w:hAnsi="Arial" w:cs="Arial"/>
        </w:rPr>
      </w:pPr>
      <w:r w:rsidRPr="00485CDA">
        <w:rPr>
          <w:rFonts w:ascii="Arial" w:hAnsi="Arial" w:cs="Arial"/>
        </w:rPr>
        <w:t xml:space="preserve">This investigation elucidates the phenotypic variability among </w:t>
      </w:r>
      <w:r w:rsidRPr="00485CDA">
        <w:rPr>
          <w:rFonts w:ascii="Arial" w:hAnsi="Arial" w:cs="Arial"/>
          <w:i/>
        </w:rPr>
        <w:t>Streptomyces</w:t>
      </w:r>
      <w:r w:rsidRPr="00485CDA">
        <w:rPr>
          <w:rFonts w:ascii="Arial" w:hAnsi="Arial" w:cs="Arial"/>
        </w:rPr>
        <w:t xml:space="preserve"> spp. isolates procured from diverse agroecological zones across Tamil Nadu and Puducherry. The aerial mycelia exhibited pigmentation ranging from white-grey to pale grey, while the substrate mycelia presented a spectrum of colours including whitish-grey, yellow, red, greyish-yellow, and brownish-yellow. Colonies displayed distinct morphotypes, such as concentric-ringed, radiating, feather-like, irregular, and double-ring configurations. Notably, isolate AUSA</w:t>
      </w:r>
      <w:r w:rsidRPr="00485CDA">
        <w:rPr>
          <w:rFonts w:ascii="Arial" w:hAnsi="Arial" w:cs="Arial"/>
          <w:vertAlign w:val="subscript"/>
        </w:rPr>
        <w:t>3</w:t>
      </w:r>
      <w:r w:rsidRPr="00485CDA">
        <w:rPr>
          <w:rFonts w:ascii="Arial" w:hAnsi="Arial" w:cs="Arial"/>
        </w:rPr>
        <w:t xml:space="preserve"> exhibited marked antagonistic efficacy against </w:t>
      </w:r>
      <w:r w:rsidRPr="00485CDA">
        <w:rPr>
          <w:rFonts w:ascii="Arial" w:hAnsi="Arial" w:cs="Arial"/>
          <w:i/>
        </w:rPr>
        <w:t>C. gloeosporiodes</w:t>
      </w:r>
      <w:r w:rsidRPr="00485CDA">
        <w:rPr>
          <w:rFonts w:ascii="Arial" w:hAnsi="Arial" w:cs="Arial"/>
        </w:rPr>
        <w:t xml:space="preserve"> in dual culture bioassays. Molecular delineation </w:t>
      </w:r>
      <w:r w:rsidRPr="00485CDA">
        <w:rPr>
          <w:rFonts w:ascii="Arial" w:hAnsi="Arial" w:cs="Arial"/>
          <w:i/>
        </w:rPr>
        <w:t>via</w:t>
      </w:r>
      <w:r w:rsidR="003B494A" w:rsidRPr="00485CDA">
        <w:rPr>
          <w:rFonts w:ascii="Arial" w:hAnsi="Arial" w:cs="Arial"/>
          <w:i/>
        </w:rPr>
        <w:t>.</w:t>
      </w:r>
      <w:r w:rsidRPr="00485CDA">
        <w:rPr>
          <w:rFonts w:ascii="Arial" w:hAnsi="Arial" w:cs="Arial"/>
        </w:rPr>
        <w:t xml:space="preserve"> 16S rRNA gene sequencing authenticated AUSA</w:t>
      </w:r>
      <w:r w:rsidRPr="00485CDA">
        <w:rPr>
          <w:rFonts w:ascii="Arial" w:hAnsi="Arial" w:cs="Arial"/>
          <w:vertAlign w:val="subscript"/>
        </w:rPr>
        <w:t>3</w:t>
      </w:r>
      <w:r w:rsidRPr="00485CDA">
        <w:rPr>
          <w:rFonts w:ascii="Arial" w:hAnsi="Arial" w:cs="Arial"/>
        </w:rPr>
        <w:t xml:space="preserve"> as </w:t>
      </w:r>
      <w:r w:rsidRPr="00485CDA">
        <w:rPr>
          <w:rFonts w:ascii="Arial" w:hAnsi="Arial" w:cs="Arial"/>
          <w:i/>
        </w:rPr>
        <w:t>S. albofaciens</w:t>
      </w:r>
      <w:r w:rsidRPr="00485CDA">
        <w:rPr>
          <w:rFonts w:ascii="Arial" w:hAnsi="Arial" w:cs="Arial"/>
        </w:rPr>
        <w:t>.</w:t>
      </w:r>
    </w:p>
    <w:p w14:paraId="3F2B6BDB" w14:textId="77777777" w:rsidR="001A4F3A" w:rsidRPr="00485CDA" w:rsidRDefault="001A4F3A" w:rsidP="003B494A">
      <w:pPr>
        <w:spacing w:line="360" w:lineRule="auto"/>
        <w:jc w:val="both"/>
        <w:rPr>
          <w:rFonts w:ascii="Arial" w:hAnsi="Arial" w:cs="Arial"/>
          <w:b/>
          <w:bCs/>
        </w:rPr>
      </w:pPr>
    </w:p>
    <w:p w14:paraId="7FD580E1" w14:textId="77777777" w:rsidR="001A4F3A" w:rsidRPr="00485CDA" w:rsidRDefault="001A4F3A" w:rsidP="003B494A">
      <w:pPr>
        <w:spacing w:line="360" w:lineRule="auto"/>
        <w:jc w:val="both"/>
        <w:rPr>
          <w:rFonts w:ascii="Arial" w:hAnsi="Arial" w:cs="Arial"/>
          <w:b/>
          <w:bCs/>
        </w:rPr>
      </w:pPr>
    </w:p>
    <w:p w14:paraId="3CBE2D27" w14:textId="77777777" w:rsidR="003B494A" w:rsidRPr="00485CDA" w:rsidRDefault="00CD5B76" w:rsidP="003B494A">
      <w:pPr>
        <w:spacing w:line="360" w:lineRule="auto"/>
        <w:jc w:val="both"/>
        <w:rPr>
          <w:rFonts w:ascii="Arial" w:hAnsi="Arial" w:cs="Arial"/>
        </w:rPr>
      </w:pPr>
      <w:r w:rsidRPr="00485CDA">
        <w:rPr>
          <w:rFonts w:ascii="Arial" w:hAnsi="Arial" w:cs="Arial"/>
          <w:b/>
          <w:bCs/>
        </w:rPr>
        <w:t xml:space="preserve">Disclaimer </w:t>
      </w:r>
      <w:r w:rsidR="003B494A" w:rsidRPr="00485CDA">
        <w:rPr>
          <w:rFonts w:ascii="Arial" w:hAnsi="Arial" w:cs="Arial"/>
          <w:b/>
          <w:bCs/>
        </w:rPr>
        <w:t>(</w:t>
      </w:r>
      <w:r w:rsidRPr="00485CDA">
        <w:rPr>
          <w:rFonts w:ascii="Arial" w:hAnsi="Arial" w:cs="Arial"/>
          <w:b/>
          <w:bCs/>
        </w:rPr>
        <w:t>Artificial Intelligence</w:t>
      </w:r>
      <w:r w:rsidR="003B494A" w:rsidRPr="00485CDA">
        <w:rPr>
          <w:rFonts w:ascii="Arial" w:hAnsi="Arial" w:cs="Arial"/>
          <w:b/>
          <w:bCs/>
        </w:rPr>
        <w:t xml:space="preserve">) </w:t>
      </w:r>
    </w:p>
    <w:p w14:paraId="66D6FCEB" w14:textId="77777777" w:rsidR="003B494A" w:rsidRPr="00485CDA" w:rsidRDefault="003B494A" w:rsidP="003B494A">
      <w:pPr>
        <w:spacing w:line="360" w:lineRule="auto"/>
        <w:ind w:firstLine="720"/>
        <w:jc w:val="both"/>
        <w:rPr>
          <w:rFonts w:ascii="Arial" w:hAnsi="Arial" w:cs="Arial"/>
        </w:rPr>
      </w:pPr>
      <w:r w:rsidRPr="00485CDA">
        <w:rPr>
          <w:rFonts w:ascii="Arial" w:hAnsi="Arial" w:cs="Arial"/>
        </w:rPr>
        <w:lastRenderedPageBreak/>
        <w:t xml:space="preserve">Author(s) hereby declare that NO generative AI technologies such as Large Language Models (ChatGPT, COPILOT, etc.) and text-to-image generators have been used during writing or editing of this manuscript. </w:t>
      </w:r>
    </w:p>
    <w:p w14:paraId="60B1B5B6" w14:textId="77777777" w:rsidR="003B494A" w:rsidRPr="00485CDA" w:rsidRDefault="000B4CAA" w:rsidP="003B494A">
      <w:pPr>
        <w:spacing w:line="360" w:lineRule="auto"/>
        <w:jc w:val="both"/>
        <w:rPr>
          <w:rFonts w:ascii="Arial" w:hAnsi="Arial" w:cs="Arial"/>
        </w:rPr>
      </w:pPr>
      <w:r w:rsidRPr="00485CDA">
        <w:rPr>
          <w:rFonts w:ascii="Arial" w:hAnsi="Arial" w:cs="Arial"/>
          <w:b/>
          <w:bCs/>
        </w:rPr>
        <w:t xml:space="preserve">Competing Interests </w:t>
      </w:r>
    </w:p>
    <w:p w14:paraId="1C94E801" w14:textId="77777777" w:rsidR="003B494A" w:rsidRPr="00485CDA" w:rsidRDefault="00CD5B76" w:rsidP="003B494A">
      <w:pPr>
        <w:spacing w:line="360" w:lineRule="auto"/>
        <w:ind w:firstLine="720"/>
        <w:jc w:val="both"/>
        <w:rPr>
          <w:rFonts w:ascii="Arial" w:hAnsi="Arial" w:cs="Arial"/>
        </w:rPr>
      </w:pPr>
      <w:r w:rsidRPr="00485CDA">
        <w:rPr>
          <w:rFonts w:ascii="Arial" w:hAnsi="Arial" w:cs="Arial"/>
        </w:rPr>
        <w:t xml:space="preserve">The authors </w:t>
      </w:r>
      <w:r w:rsidR="003B494A" w:rsidRPr="00485CDA">
        <w:rPr>
          <w:rFonts w:ascii="Arial" w:hAnsi="Arial" w:cs="Arial"/>
        </w:rPr>
        <w:t xml:space="preserve">have </w:t>
      </w:r>
      <w:r w:rsidRPr="00485CDA">
        <w:rPr>
          <w:rFonts w:ascii="Arial" w:hAnsi="Arial" w:cs="Arial"/>
        </w:rPr>
        <w:t xml:space="preserve">no </w:t>
      </w:r>
      <w:r w:rsidR="003B494A" w:rsidRPr="00485CDA">
        <w:rPr>
          <w:rFonts w:ascii="Arial" w:hAnsi="Arial" w:cs="Arial"/>
        </w:rPr>
        <w:t xml:space="preserve">competing interests </w:t>
      </w:r>
      <w:r w:rsidR="000B4CAA" w:rsidRPr="00485CDA">
        <w:rPr>
          <w:rFonts w:ascii="Arial" w:hAnsi="Arial" w:cs="Arial"/>
        </w:rPr>
        <w:t>to disclose.</w:t>
      </w:r>
    </w:p>
    <w:p w14:paraId="17951C86" w14:textId="77777777" w:rsidR="00CF0FCA" w:rsidRPr="00485CDA" w:rsidRDefault="00CF0FCA" w:rsidP="00CF0FCA">
      <w:pPr>
        <w:spacing w:line="360" w:lineRule="auto"/>
        <w:jc w:val="both"/>
        <w:rPr>
          <w:rFonts w:ascii="Arial" w:hAnsi="Arial" w:cs="Arial"/>
        </w:rPr>
      </w:pPr>
      <w:r w:rsidRPr="00485CDA">
        <w:rPr>
          <w:rFonts w:ascii="Arial" w:hAnsi="Arial" w:cs="Arial"/>
        </w:rPr>
        <w:t xml:space="preserve"> </w:t>
      </w:r>
    </w:p>
    <w:p w14:paraId="4E73EFF5" w14:textId="77777777" w:rsidR="00272F7C" w:rsidRPr="00485CDA" w:rsidRDefault="003B494A" w:rsidP="00CF0FCA">
      <w:pPr>
        <w:spacing w:line="360" w:lineRule="auto"/>
        <w:jc w:val="both"/>
        <w:rPr>
          <w:rFonts w:ascii="Arial" w:hAnsi="Arial" w:cs="Arial"/>
          <w:b/>
        </w:rPr>
      </w:pPr>
      <w:r w:rsidRPr="00485CDA">
        <w:rPr>
          <w:rFonts w:ascii="Arial" w:hAnsi="Arial" w:cs="Arial"/>
          <w:b/>
        </w:rPr>
        <w:t>References:</w:t>
      </w:r>
    </w:p>
    <w:p w14:paraId="50C97B72"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b/>
        </w:rPr>
        <w:fldChar w:fldCharType="begin"/>
      </w:r>
      <w:r w:rsidRPr="00485CDA">
        <w:rPr>
          <w:rFonts w:ascii="Arial" w:hAnsi="Arial" w:cs="Arial"/>
          <w:b/>
        </w:rPr>
        <w:instrText xml:space="preserve"> ADDIN ZOTERO_BIBL {"uncited":[],"omitted":[],"custom":[]} CSL_BIBLIOGRAPHY </w:instrText>
      </w:r>
      <w:r w:rsidRPr="00485CDA">
        <w:rPr>
          <w:rFonts w:ascii="Arial" w:hAnsi="Arial" w:cs="Arial"/>
          <w:b/>
        </w:rPr>
        <w:fldChar w:fldCharType="separate"/>
      </w:r>
      <w:r w:rsidRPr="00485CDA">
        <w:rPr>
          <w:rFonts w:ascii="Arial" w:hAnsi="Arial" w:cs="Arial"/>
        </w:rPr>
        <w:t xml:space="preserve">Balamurugan K, Christopher DJ, Jaiganesh V (2025) Molecular characterization and cross-pathogenicity analysis of </w:t>
      </w:r>
      <w:r w:rsidRPr="00485CDA">
        <w:rPr>
          <w:rFonts w:ascii="Arial" w:hAnsi="Arial" w:cs="Arial"/>
          <w:i/>
        </w:rPr>
        <w:t>Colletotrichum gloeosporioides</w:t>
      </w:r>
      <w:r w:rsidRPr="00485CDA">
        <w:rPr>
          <w:rFonts w:ascii="Arial" w:hAnsi="Arial" w:cs="Arial"/>
        </w:rPr>
        <w:t xml:space="preserve"> (Penz.) Penz. &amp; Sacc. associated with Mango anthracnose. Ann Phytomed 14. https://doi.org/10.54085/ap.2025.14.1.114</w:t>
      </w:r>
    </w:p>
    <w:p w14:paraId="5C919E67"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Dofuor AK, Quartey NK-A, Osabutey AF, Antwi-Agyakwa AK, Asante K, Boateng BO, Ablormeti FK, Lutuf H, Osei-Owusu J, Osei JHN, Ekloh W, Loh SK, Honger JO, Aidoo OF, Ninsin KD (2023) Mango anthracnose disease: the current situation and direction for future research. Front Microbiol 14:1168203. https://doi.org/10.3389/fmicb.2023.1168203</w:t>
      </w:r>
    </w:p>
    <w:p w14:paraId="5976B506"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 xml:space="preserve">Duangupama T, Pittayakhajonwut P, Intaraudom C, Suriyachadkun C, Tadtong S, Kuncharoen N, He Y-W, Tanasupawat S, Thawai C (2024) Description of </w:t>
      </w:r>
      <w:r w:rsidRPr="00485CDA">
        <w:rPr>
          <w:rFonts w:ascii="Arial" w:hAnsi="Arial" w:cs="Arial"/>
          <w:i/>
        </w:rPr>
        <w:t>Streptomyces siderophoricus</w:t>
      </w:r>
      <w:r w:rsidRPr="00485CDA">
        <w:rPr>
          <w:rFonts w:ascii="Arial" w:hAnsi="Arial" w:cs="Arial"/>
        </w:rPr>
        <w:t xml:space="preserve"> sp. nov., a promising nocardamine-producing species isolated from the rhizosphere soil of </w:t>
      </w:r>
      <w:r w:rsidRPr="00485CDA">
        <w:rPr>
          <w:rFonts w:ascii="Arial" w:hAnsi="Arial" w:cs="Arial"/>
          <w:i/>
        </w:rPr>
        <w:t>Mangifera indica</w:t>
      </w:r>
      <w:r w:rsidRPr="00485CDA">
        <w:rPr>
          <w:rFonts w:ascii="Arial" w:hAnsi="Arial" w:cs="Arial"/>
        </w:rPr>
        <w:t>. J Antibiot 77:737–745. https://doi.org/10.1038/s41429-024-00763-x</w:t>
      </w:r>
    </w:p>
    <w:p w14:paraId="3A0B9EB1"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Eppard M, Krumbein WE, Koch C, Rhiel E, Staley JT, Stackebrandt E (1996) Morphological, physiological, and molecular characterization of actinomycetes isolated from dry soil, rocks, and monument surfaces. Arch Microbiol 166:12–22. https://doi.org/10.1007/s002030050350</w:t>
      </w:r>
    </w:p>
    <w:p w14:paraId="6AD3BB46"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Iqbal S, Khan MA, Atiq M, Rajput NA, Usman M, Nawaz A, Kachelo GA, Akram A, Ahmad H (2022) Mango Anthracnose: Global Status and the Way Forward for Disease Management. JIS 8. https://doi.org/10.17582/journal.jis/2022/8.2.222.235</w:t>
      </w:r>
    </w:p>
    <w:p w14:paraId="57C45780"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 xml:space="preserve">Jeevanantham S, Praveen A, Livitha R, Balamurugan K (2024) Post Harvest Anthracnose of Mango Caused by </w:t>
      </w:r>
      <w:r w:rsidRPr="00485CDA">
        <w:rPr>
          <w:rFonts w:ascii="Arial" w:hAnsi="Arial" w:cs="Arial"/>
          <w:i/>
        </w:rPr>
        <w:t>Colletotrichum gloeosporioides</w:t>
      </w:r>
      <w:r w:rsidRPr="00485CDA">
        <w:rPr>
          <w:rFonts w:ascii="Arial" w:hAnsi="Arial" w:cs="Arial"/>
        </w:rPr>
        <w:t>: A Review. ACRI 24:106–115. https://doi.org/10.9734/acri/2024/v24i2637</w:t>
      </w:r>
    </w:p>
    <w:p w14:paraId="225DB912"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lastRenderedPageBreak/>
        <w:t>Kämpfer P (2006) The Family Streptomycetaceae, Part I: Taxonomy. In: The Prokaryotes. Springer, New York, NY, pp 538–604</w:t>
      </w:r>
    </w:p>
    <w:p w14:paraId="0091ACC7"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Kaur T, Khanna K, Sharma S, Manhas RK (2023) Mechanistic insights into the role of actinobacteria as potential biocontrol candidates against fungal phytopathogens. J Basic Microbiol 63:1196–1218. https://doi.org/10.1002/jobm.202300027</w:t>
      </w:r>
    </w:p>
    <w:p w14:paraId="6F9DFB79"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 xml:space="preserve">Khan S, Srivastava S, Karnwal A, Malik T (2023) </w:t>
      </w:r>
      <w:r w:rsidRPr="00485CDA">
        <w:rPr>
          <w:rFonts w:ascii="Arial" w:hAnsi="Arial" w:cs="Arial"/>
          <w:i/>
        </w:rPr>
        <w:t>Streptomyces</w:t>
      </w:r>
      <w:r w:rsidRPr="00485CDA">
        <w:rPr>
          <w:rFonts w:ascii="Arial" w:hAnsi="Arial" w:cs="Arial"/>
        </w:rPr>
        <w:t xml:space="preserve"> as a promising biological control agents for plant pathogens. Front Microbiol 14. https://doi.org/10.3389/fmicb.2023.1285543</w:t>
      </w:r>
    </w:p>
    <w:p w14:paraId="1AC53F1B"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 xml:space="preserve">Kunova A, Bonaldi M, Saracchi M, Pizzatti C, Chen X, Cortesi P (2016) Selection of </w:t>
      </w:r>
      <w:r w:rsidRPr="00485CDA">
        <w:rPr>
          <w:rFonts w:ascii="Arial" w:hAnsi="Arial" w:cs="Arial"/>
          <w:i/>
        </w:rPr>
        <w:t>Streptomyces</w:t>
      </w:r>
      <w:r w:rsidRPr="00485CDA">
        <w:rPr>
          <w:rFonts w:ascii="Arial" w:hAnsi="Arial" w:cs="Arial"/>
        </w:rPr>
        <w:t xml:space="preserve"> against soil borne fungal pathogens by a standardized dual culture assay and evaluation of their effects on seed germination and plant growth. BMC Microbiol 16:272. https://doi.org/10.1186/s12866-016-0886-1</w:t>
      </w:r>
    </w:p>
    <w:p w14:paraId="1C12AE46"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 xml:space="preserve">Lai J, Liu B, Xiong G, Luo Q, Song S, Jiang J, Wei H, Wang J (2024) Inhibitory mechanism of 4-ethyl-1,2-dimethoxybenzene produced by </w:t>
      </w:r>
      <w:r w:rsidRPr="00485CDA">
        <w:rPr>
          <w:rFonts w:ascii="Arial" w:hAnsi="Arial" w:cs="Arial"/>
          <w:i/>
          <w:iCs/>
        </w:rPr>
        <w:t>Streptomyces albidoflavus</w:t>
      </w:r>
      <w:r w:rsidRPr="00485CDA">
        <w:rPr>
          <w:rFonts w:ascii="Arial" w:hAnsi="Arial" w:cs="Arial"/>
        </w:rPr>
        <w:t xml:space="preserve"> strain ML27 against </w:t>
      </w:r>
      <w:r w:rsidRPr="00485CDA">
        <w:rPr>
          <w:rFonts w:ascii="Arial" w:hAnsi="Arial" w:cs="Arial"/>
          <w:i/>
          <w:iCs/>
        </w:rPr>
        <w:t>Colletotrichum gloeosporioides</w:t>
      </w:r>
      <w:r w:rsidRPr="00485CDA">
        <w:rPr>
          <w:rFonts w:ascii="Arial" w:hAnsi="Arial" w:cs="Arial"/>
        </w:rPr>
        <w:t>. Pesticide Biochemistry and Physiology 204:106086. https://doi.org/10.1016/j.pestbp.2024.106086</w:t>
      </w:r>
    </w:p>
    <w:p w14:paraId="13B48781"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 xml:space="preserve">Li X, Zhang L, Zhao Y, Feng J, Chen Y, Li K, Zhang M, Qi D, Zhou D, Wei Y, Wang W, Xie J (2024) Biocontrol potential of volatile organic compounds produced by </w:t>
      </w:r>
      <w:r w:rsidRPr="00485CDA">
        <w:rPr>
          <w:rFonts w:ascii="Arial" w:hAnsi="Arial" w:cs="Arial"/>
          <w:i/>
          <w:iCs/>
        </w:rPr>
        <w:t>Streptomyces corchorusii</w:t>
      </w:r>
      <w:r w:rsidRPr="00485CDA">
        <w:rPr>
          <w:rFonts w:ascii="Arial" w:hAnsi="Arial" w:cs="Arial"/>
        </w:rPr>
        <w:t xml:space="preserve"> CG-G2 to strawberry anthracnose caused by </w:t>
      </w:r>
      <w:r w:rsidRPr="00485CDA">
        <w:rPr>
          <w:rFonts w:ascii="Arial" w:hAnsi="Arial" w:cs="Arial"/>
          <w:i/>
          <w:iCs/>
        </w:rPr>
        <w:t>Colletotrichum gloeosporioides</w:t>
      </w:r>
      <w:r w:rsidRPr="00485CDA">
        <w:rPr>
          <w:rFonts w:ascii="Arial" w:hAnsi="Arial" w:cs="Arial"/>
        </w:rPr>
        <w:t>. Food Chemistry 437:137938. https://doi.org/10.1016/j.foodchem.2023.137938</w:t>
      </w:r>
    </w:p>
    <w:p w14:paraId="0FBF0BB3"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 xml:space="preserve">Palaniyandi SA, Yang SH, Cheng JH, Meng L, Suh J </w:t>
      </w:r>
      <w:r w:rsidRPr="00485CDA">
        <w:rPr>
          <w:rFonts w:ascii="Cambria Math" w:hAnsi="Cambria Math" w:cs="Cambria Math"/>
        </w:rPr>
        <w:t>‐</w:t>
      </w:r>
      <w:r w:rsidRPr="00485CDA">
        <w:rPr>
          <w:rFonts w:ascii="Arial" w:hAnsi="Arial" w:cs="Arial"/>
        </w:rPr>
        <w:t>W. (2011) Biological control of anthracnose (</w:t>
      </w:r>
      <w:r w:rsidRPr="00485CDA">
        <w:rPr>
          <w:rFonts w:ascii="Arial" w:hAnsi="Arial" w:cs="Arial"/>
          <w:i/>
        </w:rPr>
        <w:t>Colletotrichum gloeosporioides</w:t>
      </w:r>
      <w:r w:rsidRPr="00485CDA">
        <w:rPr>
          <w:rFonts w:ascii="Arial" w:hAnsi="Arial" w:cs="Arial"/>
        </w:rPr>
        <w:t>) in yam by Streptomyces sp.MJM5763. Journal of Applied Microbiology 111:443–455. https://doi.org/10.1111/j.1365-2672.2011.05048.x</w:t>
      </w:r>
    </w:p>
    <w:p w14:paraId="2F308F78"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 xml:space="preserve">Shepherdson EM, Baglio CR, Elliot MA (2023) </w:t>
      </w:r>
      <w:r w:rsidRPr="00485CDA">
        <w:rPr>
          <w:rFonts w:ascii="Arial" w:hAnsi="Arial" w:cs="Arial"/>
          <w:i/>
          <w:iCs/>
        </w:rPr>
        <w:t>Streptomyces</w:t>
      </w:r>
      <w:r w:rsidRPr="00485CDA">
        <w:rPr>
          <w:rFonts w:ascii="Arial" w:hAnsi="Arial" w:cs="Arial"/>
        </w:rPr>
        <w:t xml:space="preserve"> behavior and competition in the natural environment. Current Opinion in Microbiology 71:102257. https://doi.org/10.1016/j.mib.2022.102257</w:t>
      </w:r>
    </w:p>
    <w:p w14:paraId="74FCC655"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 xml:space="preserve">Singh N, Patil S, Shahnawaz M, Rai V, Patil A, Tripathi CKM, Wen F, Dong S, Cai D (2024) Green extraction of puromycin-based antibiotics from </w:t>
      </w:r>
      <w:r w:rsidRPr="00485CDA">
        <w:rPr>
          <w:rFonts w:ascii="Arial" w:hAnsi="Arial" w:cs="Arial"/>
          <w:i/>
        </w:rPr>
        <w:t>Streptomyces albofaciens</w:t>
      </w:r>
      <w:r w:rsidRPr="00485CDA">
        <w:rPr>
          <w:rFonts w:ascii="Arial" w:hAnsi="Arial" w:cs="Arial"/>
        </w:rPr>
        <w:t xml:space="preserve"> (MS38) for </w:t>
      </w:r>
      <w:r w:rsidRPr="00485CDA">
        <w:rPr>
          <w:rFonts w:ascii="Arial" w:hAnsi="Arial" w:cs="Arial"/>
        </w:rPr>
        <w:lastRenderedPageBreak/>
        <w:t>sustainable biopharmaceutical applications. Front Chem 11. https://doi.org/10.3389/fchem.2023.1326328</w:t>
      </w:r>
    </w:p>
    <w:p w14:paraId="20519F9F"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Suman J, Rakshit A, Ogireddy SD, Singh S, Gupta C, Chandrakala J (2022) Microbiome as a Key Player in Sustainable Agriculture and Human Health. Front Soil Sci 2. https://doi.org/10.3389/fsoil.2022.821589</w:t>
      </w:r>
    </w:p>
    <w:p w14:paraId="76654A3C"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 xml:space="preserve">Taddei A, Rodríguez MJ, Márquez-Vilchez E, Castelli C (2006) Isolation and identification of </w:t>
      </w:r>
      <w:r w:rsidRPr="00485CDA">
        <w:rPr>
          <w:rFonts w:ascii="Arial" w:hAnsi="Arial" w:cs="Arial"/>
          <w:i/>
          <w:iCs/>
        </w:rPr>
        <w:t>Streptomyces</w:t>
      </w:r>
      <w:r w:rsidRPr="00485CDA">
        <w:rPr>
          <w:rFonts w:ascii="Arial" w:hAnsi="Arial" w:cs="Arial"/>
        </w:rPr>
        <w:t xml:space="preserve"> spp. from Venezuelan soils: Morphological and biochemical studies. I. Microbiological Research 161:222–231. https://doi.org/10.1016/j.micres.2005.08.004</w:t>
      </w:r>
    </w:p>
    <w:p w14:paraId="26DDD7D5"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Vincent JM (1947) The esters of 4</w:t>
      </w:r>
      <w:r w:rsidRPr="00485CDA">
        <w:rPr>
          <w:rFonts w:ascii="Cambria Math" w:hAnsi="Cambria Math" w:cs="Cambria Math"/>
        </w:rPr>
        <w:t>‐</w:t>
      </w:r>
      <w:r w:rsidRPr="00485CDA">
        <w:rPr>
          <w:rFonts w:ascii="Arial" w:hAnsi="Arial" w:cs="Arial"/>
        </w:rPr>
        <w:t>hydroxybenzoic acid and related compounds. Part I. Methods for the study of their fungistatic properties. J Chem Technol Biotechnol 66:149–155. https://doi.org/10.1002/jctb.5000660504</w:t>
      </w:r>
    </w:p>
    <w:p w14:paraId="27ADDFEC" w14:textId="77777777" w:rsidR="003B494A" w:rsidRPr="00485CDA" w:rsidRDefault="003B494A" w:rsidP="00524C8B">
      <w:pPr>
        <w:pStyle w:val="Bibliography"/>
        <w:spacing w:line="360" w:lineRule="auto"/>
        <w:jc w:val="both"/>
        <w:rPr>
          <w:rFonts w:ascii="Arial" w:hAnsi="Arial" w:cs="Arial"/>
        </w:rPr>
      </w:pPr>
      <w:r w:rsidRPr="00485CDA">
        <w:rPr>
          <w:rFonts w:ascii="Arial" w:hAnsi="Arial" w:cs="Arial"/>
        </w:rPr>
        <w:t>Zainal Abidin ZA, Abdul Malek N, Zainuddin Z, Chowdhury AJK (2016) Selective isolation and antagonistic activity of actinomycetes from mangrove forest of Pahang, Malaysia. Frontiers in Life Science 9:24–31. https://doi.org/10.1080/21553769.2015.1051244</w:t>
      </w:r>
    </w:p>
    <w:p w14:paraId="54741688" w14:textId="77777777" w:rsidR="003B494A" w:rsidRPr="00485CDA" w:rsidRDefault="003B494A" w:rsidP="00524C8B">
      <w:pPr>
        <w:spacing w:line="360" w:lineRule="auto"/>
        <w:jc w:val="both"/>
        <w:rPr>
          <w:rFonts w:ascii="Arial" w:hAnsi="Arial" w:cs="Arial"/>
          <w:b/>
        </w:rPr>
      </w:pPr>
      <w:r w:rsidRPr="00485CDA">
        <w:rPr>
          <w:rFonts w:ascii="Arial" w:hAnsi="Arial" w:cs="Arial"/>
          <w:b/>
        </w:rPr>
        <w:fldChar w:fldCharType="end"/>
      </w:r>
    </w:p>
    <w:p w14:paraId="04914949" w14:textId="77777777" w:rsidR="00B06624" w:rsidRPr="00485CDA" w:rsidRDefault="00B06624" w:rsidP="00524C8B">
      <w:pPr>
        <w:spacing w:line="360" w:lineRule="auto"/>
        <w:jc w:val="both"/>
        <w:rPr>
          <w:rFonts w:ascii="Arial" w:hAnsi="Arial" w:cs="Arial"/>
          <w:b/>
        </w:rPr>
      </w:pPr>
    </w:p>
    <w:p w14:paraId="54B51BE2" w14:textId="77777777" w:rsidR="00B06624" w:rsidRPr="00485CDA" w:rsidRDefault="00B06624" w:rsidP="00524C8B">
      <w:pPr>
        <w:spacing w:line="360" w:lineRule="auto"/>
        <w:jc w:val="both"/>
        <w:rPr>
          <w:rFonts w:ascii="Arial" w:hAnsi="Arial" w:cs="Arial"/>
          <w:b/>
        </w:rPr>
      </w:pPr>
    </w:p>
    <w:p w14:paraId="42FB86F1" w14:textId="77777777" w:rsidR="00B06624" w:rsidRPr="00485CDA" w:rsidRDefault="00B06624" w:rsidP="00524C8B">
      <w:pPr>
        <w:spacing w:line="360" w:lineRule="auto"/>
        <w:jc w:val="both"/>
        <w:rPr>
          <w:rFonts w:ascii="Arial" w:hAnsi="Arial" w:cs="Arial"/>
          <w:b/>
        </w:rPr>
      </w:pPr>
    </w:p>
    <w:p w14:paraId="46749D39" w14:textId="77777777" w:rsidR="00B06624" w:rsidRPr="00485CDA" w:rsidRDefault="00B06624" w:rsidP="00524C8B">
      <w:pPr>
        <w:spacing w:line="360" w:lineRule="auto"/>
        <w:jc w:val="both"/>
        <w:rPr>
          <w:rFonts w:ascii="Arial" w:hAnsi="Arial" w:cs="Arial"/>
          <w:b/>
        </w:rPr>
      </w:pPr>
    </w:p>
    <w:p w14:paraId="02C06D1A" w14:textId="77777777" w:rsidR="00B06624" w:rsidRPr="00485CDA" w:rsidRDefault="00B06624" w:rsidP="00524C8B">
      <w:pPr>
        <w:spacing w:line="360" w:lineRule="auto"/>
        <w:jc w:val="both"/>
        <w:rPr>
          <w:rFonts w:ascii="Arial" w:hAnsi="Arial" w:cs="Arial"/>
          <w:b/>
        </w:rPr>
        <w:sectPr w:rsidR="00B06624" w:rsidRPr="00485C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2B26264F" w14:textId="77777777" w:rsidR="00B06624" w:rsidRPr="00485CDA" w:rsidRDefault="00B06624" w:rsidP="00B06624">
      <w:pPr>
        <w:spacing w:after="120" w:line="360" w:lineRule="auto"/>
        <w:contextualSpacing/>
        <w:rPr>
          <w:rFonts w:ascii="Arial" w:eastAsia="Times New Roman" w:hAnsi="Arial" w:cs="Arial"/>
          <w:lang w:val="en-IN"/>
        </w:rPr>
      </w:pPr>
      <w:r w:rsidRPr="00485CDA">
        <w:rPr>
          <w:rFonts w:ascii="Arial" w:eastAsia="Times New Roman" w:hAnsi="Arial" w:cs="Arial"/>
          <w:b/>
          <w:bCs/>
          <w:lang w:val="en-IN"/>
        </w:rPr>
        <w:lastRenderedPageBreak/>
        <w:t>Table 1: Morphological characterization of different isolates of actinomycetes</w:t>
      </w:r>
    </w:p>
    <w:tbl>
      <w:tblPr>
        <w:tblStyle w:val="TableGrid"/>
        <w:tblpPr w:leftFromText="180" w:rightFromText="180" w:vertAnchor="text" w:tblpXSpec="center" w:tblpY="1"/>
        <w:tblOverlap w:val="never"/>
        <w:tblW w:w="14193" w:type="dxa"/>
        <w:tblLook w:val="04A0" w:firstRow="1" w:lastRow="0" w:firstColumn="1" w:lastColumn="0" w:noHBand="0" w:noVBand="1"/>
      </w:tblPr>
      <w:tblGrid>
        <w:gridCol w:w="718"/>
        <w:gridCol w:w="2087"/>
        <w:gridCol w:w="971"/>
        <w:gridCol w:w="1251"/>
        <w:gridCol w:w="1867"/>
        <w:gridCol w:w="1929"/>
        <w:gridCol w:w="1392"/>
        <w:gridCol w:w="1527"/>
        <w:gridCol w:w="1215"/>
        <w:gridCol w:w="1236"/>
      </w:tblGrid>
      <w:tr w:rsidR="00B06624" w:rsidRPr="00485CDA" w14:paraId="1779B75D" w14:textId="77777777" w:rsidTr="00EF5012">
        <w:trPr>
          <w:trHeight w:val="454"/>
        </w:trPr>
        <w:tc>
          <w:tcPr>
            <w:tcW w:w="768" w:type="dxa"/>
            <w:vAlign w:val="center"/>
          </w:tcPr>
          <w:p w14:paraId="71987074" w14:textId="77777777" w:rsidR="00B06624" w:rsidRPr="00485CDA" w:rsidRDefault="00B06624" w:rsidP="00EF5012">
            <w:pPr>
              <w:jc w:val="center"/>
              <w:rPr>
                <w:rFonts w:ascii="Arial" w:eastAsia="Times New Roman" w:hAnsi="Arial" w:cs="Arial"/>
                <w:b/>
                <w:bCs/>
                <w:lang w:val="en-IN"/>
              </w:rPr>
            </w:pPr>
            <w:bookmarkStart w:id="1" w:name="_Hlk166533562"/>
            <w:r w:rsidRPr="00485CDA">
              <w:rPr>
                <w:rFonts w:ascii="Arial" w:eastAsia="Times New Roman" w:hAnsi="Arial" w:cs="Arial"/>
                <w:b/>
                <w:bCs/>
                <w:lang w:val="en-IN"/>
              </w:rPr>
              <w:t>S. No</w:t>
            </w:r>
          </w:p>
        </w:tc>
        <w:tc>
          <w:tcPr>
            <w:tcW w:w="1381" w:type="dxa"/>
            <w:vAlign w:val="center"/>
          </w:tcPr>
          <w:p w14:paraId="001EF520"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Place of collection</w:t>
            </w:r>
          </w:p>
        </w:tc>
        <w:tc>
          <w:tcPr>
            <w:tcW w:w="950" w:type="dxa"/>
            <w:vAlign w:val="center"/>
          </w:tcPr>
          <w:p w14:paraId="3EAE7E27"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Isolate no</w:t>
            </w:r>
          </w:p>
        </w:tc>
        <w:tc>
          <w:tcPr>
            <w:tcW w:w="1345" w:type="dxa"/>
            <w:vAlign w:val="center"/>
          </w:tcPr>
          <w:p w14:paraId="472A7A7B"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Aerial</w:t>
            </w:r>
          </w:p>
          <w:p w14:paraId="43A9A084"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mass</w:t>
            </w:r>
          </w:p>
          <w:p w14:paraId="5D7FCE01"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colour</w:t>
            </w:r>
          </w:p>
        </w:tc>
        <w:tc>
          <w:tcPr>
            <w:tcW w:w="2031" w:type="dxa"/>
            <w:vAlign w:val="center"/>
          </w:tcPr>
          <w:p w14:paraId="0B0EE557"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Colour of</w:t>
            </w:r>
          </w:p>
          <w:p w14:paraId="55810070"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substrate</w:t>
            </w:r>
          </w:p>
          <w:p w14:paraId="50FAAD9D"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mycelium</w:t>
            </w:r>
          </w:p>
        </w:tc>
        <w:tc>
          <w:tcPr>
            <w:tcW w:w="2160" w:type="dxa"/>
            <w:vAlign w:val="center"/>
          </w:tcPr>
          <w:p w14:paraId="3BE35393"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Colony</w:t>
            </w:r>
          </w:p>
          <w:p w14:paraId="1B0A0BB1"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Shape</w:t>
            </w:r>
          </w:p>
        </w:tc>
        <w:tc>
          <w:tcPr>
            <w:tcW w:w="1475" w:type="dxa"/>
            <w:vAlign w:val="center"/>
          </w:tcPr>
          <w:p w14:paraId="6B6F3E3E"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Colony</w:t>
            </w:r>
          </w:p>
          <w:p w14:paraId="25B3D287"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Surface</w:t>
            </w:r>
          </w:p>
        </w:tc>
        <w:tc>
          <w:tcPr>
            <w:tcW w:w="1537" w:type="dxa"/>
            <w:vAlign w:val="center"/>
          </w:tcPr>
          <w:p w14:paraId="7EA03E36"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Spore</w:t>
            </w:r>
          </w:p>
          <w:p w14:paraId="647F8E28"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surface</w:t>
            </w:r>
          </w:p>
          <w:p w14:paraId="0C7D8E25"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morphology</w:t>
            </w:r>
          </w:p>
        </w:tc>
        <w:tc>
          <w:tcPr>
            <w:tcW w:w="1233" w:type="dxa"/>
            <w:vAlign w:val="center"/>
          </w:tcPr>
          <w:p w14:paraId="47C2CD59"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Speed of</w:t>
            </w:r>
          </w:p>
          <w:p w14:paraId="174CBA1C"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growth</w:t>
            </w:r>
          </w:p>
        </w:tc>
        <w:tc>
          <w:tcPr>
            <w:tcW w:w="1313" w:type="dxa"/>
            <w:vAlign w:val="center"/>
          </w:tcPr>
          <w:p w14:paraId="758C716D"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Spore</w:t>
            </w:r>
          </w:p>
          <w:p w14:paraId="27E857B6" w14:textId="77777777" w:rsidR="00B06624" w:rsidRPr="00485CDA" w:rsidRDefault="00B06624" w:rsidP="00EF5012">
            <w:pPr>
              <w:jc w:val="center"/>
              <w:rPr>
                <w:rFonts w:ascii="Arial" w:eastAsia="Times New Roman" w:hAnsi="Arial" w:cs="Arial"/>
                <w:b/>
                <w:bCs/>
                <w:lang w:val="en-IN"/>
              </w:rPr>
            </w:pPr>
            <w:r w:rsidRPr="00485CDA">
              <w:rPr>
                <w:rFonts w:ascii="Arial" w:eastAsia="Times New Roman" w:hAnsi="Arial" w:cs="Arial"/>
                <w:b/>
                <w:bCs/>
                <w:lang w:val="en-IN"/>
              </w:rPr>
              <w:t>shape</w:t>
            </w:r>
          </w:p>
        </w:tc>
      </w:tr>
      <w:tr w:rsidR="00B06624" w:rsidRPr="00485CDA" w14:paraId="7258F035" w14:textId="77777777" w:rsidTr="00EF5012">
        <w:trPr>
          <w:trHeight w:val="714"/>
        </w:trPr>
        <w:tc>
          <w:tcPr>
            <w:tcW w:w="768" w:type="dxa"/>
            <w:vAlign w:val="center"/>
          </w:tcPr>
          <w:p w14:paraId="337C20E2"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1.</w:t>
            </w:r>
          </w:p>
        </w:tc>
        <w:tc>
          <w:tcPr>
            <w:tcW w:w="1381" w:type="dxa"/>
            <w:vAlign w:val="center"/>
          </w:tcPr>
          <w:p w14:paraId="3C065D7C" w14:textId="77777777" w:rsidR="00B06624" w:rsidRPr="00485CDA" w:rsidRDefault="00B06624" w:rsidP="00EF5012">
            <w:pPr>
              <w:rPr>
                <w:rFonts w:ascii="Arial" w:eastAsia="Times New Roman" w:hAnsi="Arial" w:cs="Arial"/>
                <w:lang w:val="en-IN"/>
              </w:rPr>
            </w:pPr>
            <w:proofErr w:type="spellStart"/>
            <w:r w:rsidRPr="00485CDA">
              <w:rPr>
                <w:rFonts w:ascii="Arial" w:eastAsia="Times New Roman" w:hAnsi="Arial" w:cs="Arial"/>
                <w:lang w:val="en-IN"/>
              </w:rPr>
              <w:t>Nallathur</w:t>
            </w:r>
            <w:proofErr w:type="spellEnd"/>
            <w:r w:rsidRPr="00485CDA">
              <w:rPr>
                <w:rFonts w:ascii="Arial" w:eastAsia="Times New Roman" w:hAnsi="Arial" w:cs="Arial"/>
                <w:lang w:val="en-IN"/>
              </w:rPr>
              <w:t xml:space="preserve"> </w:t>
            </w:r>
          </w:p>
        </w:tc>
        <w:tc>
          <w:tcPr>
            <w:tcW w:w="950" w:type="dxa"/>
            <w:vAlign w:val="center"/>
          </w:tcPr>
          <w:p w14:paraId="5B3D40A7"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1</w:t>
            </w:r>
          </w:p>
        </w:tc>
        <w:tc>
          <w:tcPr>
            <w:tcW w:w="1345" w:type="dxa"/>
            <w:vAlign w:val="center"/>
          </w:tcPr>
          <w:p w14:paraId="57E62201"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White</w:t>
            </w:r>
          </w:p>
        </w:tc>
        <w:tc>
          <w:tcPr>
            <w:tcW w:w="2031" w:type="dxa"/>
            <w:vAlign w:val="center"/>
          </w:tcPr>
          <w:p w14:paraId="32B36A50"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Red</w:t>
            </w:r>
          </w:p>
        </w:tc>
        <w:tc>
          <w:tcPr>
            <w:tcW w:w="2160" w:type="dxa"/>
            <w:vAlign w:val="center"/>
          </w:tcPr>
          <w:p w14:paraId="280252C2"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Round with radiated</w:t>
            </w:r>
          </w:p>
        </w:tc>
        <w:tc>
          <w:tcPr>
            <w:tcW w:w="1475" w:type="dxa"/>
            <w:vAlign w:val="center"/>
          </w:tcPr>
          <w:p w14:paraId="7C2DB231"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 xml:space="preserve">Rough </w:t>
            </w:r>
          </w:p>
        </w:tc>
        <w:tc>
          <w:tcPr>
            <w:tcW w:w="1537" w:type="dxa"/>
            <w:vAlign w:val="center"/>
          </w:tcPr>
          <w:p w14:paraId="0019FA37"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7FA0BF8E"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Moderate</w:t>
            </w:r>
          </w:p>
        </w:tc>
        <w:tc>
          <w:tcPr>
            <w:tcW w:w="1313" w:type="dxa"/>
            <w:vAlign w:val="center"/>
          </w:tcPr>
          <w:p w14:paraId="54E1B7E7"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593D8302" w14:textId="77777777" w:rsidTr="00EF5012">
        <w:trPr>
          <w:trHeight w:val="454"/>
        </w:trPr>
        <w:tc>
          <w:tcPr>
            <w:tcW w:w="768" w:type="dxa"/>
            <w:vAlign w:val="center"/>
          </w:tcPr>
          <w:p w14:paraId="5904128B"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2.</w:t>
            </w:r>
          </w:p>
        </w:tc>
        <w:tc>
          <w:tcPr>
            <w:tcW w:w="1381" w:type="dxa"/>
            <w:vAlign w:val="center"/>
          </w:tcPr>
          <w:p w14:paraId="0C4850EA" w14:textId="77777777" w:rsidR="00B06624" w:rsidRPr="00485CDA" w:rsidRDefault="00B06624" w:rsidP="00EF5012">
            <w:pPr>
              <w:rPr>
                <w:rFonts w:ascii="Arial" w:eastAsia="Times New Roman" w:hAnsi="Arial" w:cs="Arial"/>
                <w:lang w:val="en-IN"/>
              </w:rPr>
            </w:pPr>
            <w:proofErr w:type="spellStart"/>
            <w:r w:rsidRPr="00485CDA">
              <w:rPr>
                <w:rFonts w:ascii="Arial" w:eastAsia="Times New Roman" w:hAnsi="Arial" w:cs="Arial"/>
                <w:lang w:val="en-IN"/>
              </w:rPr>
              <w:t>Valapadi</w:t>
            </w:r>
            <w:proofErr w:type="spellEnd"/>
          </w:p>
        </w:tc>
        <w:tc>
          <w:tcPr>
            <w:tcW w:w="950" w:type="dxa"/>
            <w:vAlign w:val="center"/>
          </w:tcPr>
          <w:p w14:paraId="4D54E27F"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2</w:t>
            </w:r>
          </w:p>
        </w:tc>
        <w:tc>
          <w:tcPr>
            <w:tcW w:w="1345" w:type="dxa"/>
            <w:vAlign w:val="center"/>
          </w:tcPr>
          <w:p w14:paraId="4C81F289"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Grey</w:t>
            </w:r>
          </w:p>
        </w:tc>
        <w:tc>
          <w:tcPr>
            <w:tcW w:w="2031" w:type="dxa"/>
            <w:vAlign w:val="center"/>
          </w:tcPr>
          <w:p w14:paraId="304247CA"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Brownish yellow</w:t>
            </w:r>
          </w:p>
        </w:tc>
        <w:tc>
          <w:tcPr>
            <w:tcW w:w="2160" w:type="dxa"/>
            <w:vAlign w:val="center"/>
          </w:tcPr>
          <w:p w14:paraId="79C8D7F0"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Irregular</w:t>
            </w:r>
          </w:p>
        </w:tc>
        <w:tc>
          <w:tcPr>
            <w:tcW w:w="1475" w:type="dxa"/>
            <w:vAlign w:val="center"/>
          </w:tcPr>
          <w:p w14:paraId="2910FDF0"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Rough</w:t>
            </w:r>
          </w:p>
        </w:tc>
        <w:tc>
          <w:tcPr>
            <w:tcW w:w="1537" w:type="dxa"/>
            <w:vAlign w:val="center"/>
          </w:tcPr>
          <w:p w14:paraId="0BEA9B76"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425AA4FB"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Good</w:t>
            </w:r>
          </w:p>
        </w:tc>
        <w:tc>
          <w:tcPr>
            <w:tcW w:w="1313" w:type="dxa"/>
            <w:vAlign w:val="center"/>
          </w:tcPr>
          <w:p w14:paraId="2A7803FB"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6EFBFA94" w14:textId="77777777" w:rsidTr="00EF5012">
        <w:trPr>
          <w:trHeight w:val="454"/>
        </w:trPr>
        <w:tc>
          <w:tcPr>
            <w:tcW w:w="768" w:type="dxa"/>
            <w:vAlign w:val="center"/>
          </w:tcPr>
          <w:p w14:paraId="27D7C0DD"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3.</w:t>
            </w:r>
          </w:p>
        </w:tc>
        <w:tc>
          <w:tcPr>
            <w:tcW w:w="1381" w:type="dxa"/>
            <w:vAlign w:val="center"/>
          </w:tcPr>
          <w:p w14:paraId="1B0EAFA9" w14:textId="77777777" w:rsidR="00B06624" w:rsidRPr="00485CDA" w:rsidRDefault="00B06624" w:rsidP="00EF5012">
            <w:pPr>
              <w:rPr>
                <w:rFonts w:ascii="Arial" w:eastAsia="Times New Roman" w:hAnsi="Arial" w:cs="Arial"/>
                <w:lang w:val="en-IN"/>
              </w:rPr>
            </w:pPr>
            <w:proofErr w:type="spellStart"/>
            <w:r w:rsidRPr="00485CDA">
              <w:rPr>
                <w:rFonts w:ascii="Arial" w:eastAsia="Times New Roman" w:hAnsi="Arial" w:cs="Arial"/>
                <w:lang w:val="en-IN"/>
              </w:rPr>
              <w:t>Kattukottai</w:t>
            </w:r>
            <w:proofErr w:type="spellEnd"/>
          </w:p>
        </w:tc>
        <w:tc>
          <w:tcPr>
            <w:tcW w:w="950" w:type="dxa"/>
            <w:vAlign w:val="center"/>
          </w:tcPr>
          <w:p w14:paraId="1D75A3EA"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3</w:t>
            </w:r>
          </w:p>
        </w:tc>
        <w:tc>
          <w:tcPr>
            <w:tcW w:w="1345" w:type="dxa"/>
            <w:vAlign w:val="center"/>
          </w:tcPr>
          <w:p w14:paraId="451E005B"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White</w:t>
            </w:r>
          </w:p>
        </w:tc>
        <w:tc>
          <w:tcPr>
            <w:tcW w:w="2031" w:type="dxa"/>
            <w:vAlign w:val="center"/>
          </w:tcPr>
          <w:p w14:paraId="2B006D50" w14:textId="77777777" w:rsidR="00B06624" w:rsidRPr="00485CDA" w:rsidRDefault="00B06624" w:rsidP="00EF5012">
            <w:pPr>
              <w:rPr>
                <w:rFonts w:ascii="Arial" w:eastAsia="Times New Roman" w:hAnsi="Arial" w:cs="Arial"/>
                <w:lang w:val="en-IN"/>
              </w:rPr>
            </w:pPr>
            <w:proofErr w:type="gramStart"/>
            <w:r w:rsidRPr="00485CDA">
              <w:rPr>
                <w:rFonts w:ascii="Arial" w:eastAsia="Times New Roman" w:hAnsi="Arial" w:cs="Arial"/>
                <w:lang w:val="en-IN"/>
              </w:rPr>
              <w:t>Bright  yellow</w:t>
            </w:r>
            <w:proofErr w:type="gramEnd"/>
          </w:p>
        </w:tc>
        <w:tc>
          <w:tcPr>
            <w:tcW w:w="2160" w:type="dxa"/>
            <w:vAlign w:val="center"/>
          </w:tcPr>
          <w:p w14:paraId="4A6E7020"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Round</w:t>
            </w:r>
          </w:p>
        </w:tc>
        <w:tc>
          <w:tcPr>
            <w:tcW w:w="1475" w:type="dxa"/>
            <w:vAlign w:val="center"/>
          </w:tcPr>
          <w:p w14:paraId="09D06235"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Powdery</w:t>
            </w:r>
          </w:p>
        </w:tc>
        <w:tc>
          <w:tcPr>
            <w:tcW w:w="1537" w:type="dxa"/>
            <w:vAlign w:val="center"/>
          </w:tcPr>
          <w:p w14:paraId="1A5431EB"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2B0BD3B9"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 xml:space="preserve">Very Good </w:t>
            </w:r>
          </w:p>
        </w:tc>
        <w:tc>
          <w:tcPr>
            <w:tcW w:w="1313" w:type="dxa"/>
            <w:vAlign w:val="center"/>
          </w:tcPr>
          <w:p w14:paraId="7FC62164"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0D8F9402" w14:textId="77777777" w:rsidTr="00EF5012">
        <w:trPr>
          <w:trHeight w:val="479"/>
        </w:trPr>
        <w:tc>
          <w:tcPr>
            <w:tcW w:w="768" w:type="dxa"/>
            <w:vAlign w:val="center"/>
          </w:tcPr>
          <w:p w14:paraId="53C8E657"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4.</w:t>
            </w:r>
          </w:p>
        </w:tc>
        <w:tc>
          <w:tcPr>
            <w:tcW w:w="1381" w:type="dxa"/>
            <w:vAlign w:val="center"/>
          </w:tcPr>
          <w:p w14:paraId="5D398B12" w14:textId="77777777" w:rsidR="00B06624" w:rsidRPr="00485CDA" w:rsidRDefault="00B06624" w:rsidP="00EF5012">
            <w:pPr>
              <w:rPr>
                <w:rFonts w:ascii="Arial" w:eastAsia="Times New Roman" w:hAnsi="Arial" w:cs="Arial"/>
                <w:lang w:val="en-IN"/>
              </w:rPr>
            </w:pPr>
            <w:proofErr w:type="spellStart"/>
            <w:r w:rsidRPr="00485CDA">
              <w:rPr>
                <w:rFonts w:ascii="Arial" w:eastAsia="Times New Roman" w:hAnsi="Arial" w:cs="Arial"/>
                <w:lang w:val="en-IN"/>
              </w:rPr>
              <w:t>Shoolagiri</w:t>
            </w:r>
            <w:proofErr w:type="spellEnd"/>
            <w:r w:rsidRPr="00485CDA">
              <w:rPr>
                <w:rFonts w:ascii="Arial" w:eastAsia="Times New Roman" w:hAnsi="Arial" w:cs="Arial"/>
                <w:lang w:val="en-IN"/>
              </w:rPr>
              <w:t xml:space="preserve"> </w:t>
            </w:r>
          </w:p>
        </w:tc>
        <w:tc>
          <w:tcPr>
            <w:tcW w:w="950" w:type="dxa"/>
            <w:vAlign w:val="center"/>
          </w:tcPr>
          <w:p w14:paraId="039907DC"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4</w:t>
            </w:r>
          </w:p>
        </w:tc>
        <w:tc>
          <w:tcPr>
            <w:tcW w:w="1345" w:type="dxa"/>
            <w:vAlign w:val="center"/>
          </w:tcPr>
          <w:p w14:paraId="20CF3FFE"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White</w:t>
            </w:r>
          </w:p>
        </w:tc>
        <w:tc>
          <w:tcPr>
            <w:tcW w:w="2031" w:type="dxa"/>
            <w:vAlign w:val="center"/>
          </w:tcPr>
          <w:p w14:paraId="49D6A82C"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Light Yellow</w:t>
            </w:r>
          </w:p>
        </w:tc>
        <w:tc>
          <w:tcPr>
            <w:tcW w:w="2160" w:type="dxa"/>
            <w:vAlign w:val="center"/>
          </w:tcPr>
          <w:p w14:paraId="4AFE82F7" w14:textId="77777777" w:rsidR="00B06624" w:rsidRPr="00485CDA" w:rsidRDefault="00B06624" w:rsidP="00EF5012">
            <w:pPr>
              <w:rPr>
                <w:rFonts w:ascii="Arial" w:eastAsia="Times New Roman" w:hAnsi="Arial" w:cs="Arial"/>
                <w:lang w:val="en-IN"/>
              </w:rPr>
            </w:pPr>
            <w:proofErr w:type="gramStart"/>
            <w:r w:rsidRPr="00485CDA">
              <w:rPr>
                <w:rFonts w:ascii="Arial" w:eastAsia="Times New Roman" w:hAnsi="Arial" w:cs="Arial"/>
                <w:lang w:val="en-IN"/>
              </w:rPr>
              <w:t>Round  with</w:t>
            </w:r>
            <w:proofErr w:type="gramEnd"/>
            <w:r w:rsidRPr="00485CDA">
              <w:rPr>
                <w:rFonts w:ascii="Arial" w:eastAsia="Times New Roman" w:hAnsi="Arial" w:cs="Arial"/>
                <w:lang w:val="en-IN"/>
              </w:rPr>
              <w:t xml:space="preserve"> lines</w:t>
            </w:r>
          </w:p>
        </w:tc>
        <w:tc>
          <w:tcPr>
            <w:tcW w:w="1475" w:type="dxa"/>
            <w:vAlign w:val="center"/>
          </w:tcPr>
          <w:p w14:paraId="20F3158C"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537" w:type="dxa"/>
            <w:vAlign w:val="center"/>
          </w:tcPr>
          <w:p w14:paraId="288E7134"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7B99AD75"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Slow</w:t>
            </w:r>
          </w:p>
        </w:tc>
        <w:tc>
          <w:tcPr>
            <w:tcW w:w="1313" w:type="dxa"/>
            <w:vAlign w:val="center"/>
          </w:tcPr>
          <w:p w14:paraId="51A04BFA"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7DBDD805" w14:textId="77777777" w:rsidTr="00EF5012">
        <w:trPr>
          <w:trHeight w:val="454"/>
        </w:trPr>
        <w:tc>
          <w:tcPr>
            <w:tcW w:w="768" w:type="dxa"/>
            <w:vAlign w:val="center"/>
          </w:tcPr>
          <w:p w14:paraId="582DD090"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5.</w:t>
            </w:r>
          </w:p>
        </w:tc>
        <w:tc>
          <w:tcPr>
            <w:tcW w:w="1381" w:type="dxa"/>
            <w:vAlign w:val="center"/>
          </w:tcPr>
          <w:p w14:paraId="70A71B39" w14:textId="77777777" w:rsidR="00B06624" w:rsidRPr="00485CDA" w:rsidRDefault="00B06624" w:rsidP="00EF5012">
            <w:pPr>
              <w:rPr>
                <w:rFonts w:ascii="Arial" w:eastAsia="Times New Roman" w:hAnsi="Arial" w:cs="Arial"/>
                <w:lang w:val="en-IN"/>
              </w:rPr>
            </w:pPr>
            <w:proofErr w:type="spellStart"/>
            <w:r w:rsidRPr="00485CDA">
              <w:rPr>
                <w:rFonts w:ascii="Arial" w:eastAsia="Times New Roman" w:hAnsi="Arial" w:cs="Arial"/>
                <w:lang w:val="en-IN"/>
              </w:rPr>
              <w:t>Sivapuri</w:t>
            </w:r>
            <w:proofErr w:type="spellEnd"/>
          </w:p>
        </w:tc>
        <w:tc>
          <w:tcPr>
            <w:tcW w:w="950" w:type="dxa"/>
            <w:vAlign w:val="center"/>
          </w:tcPr>
          <w:p w14:paraId="55CC3DA9"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5</w:t>
            </w:r>
          </w:p>
        </w:tc>
        <w:tc>
          <w:tcPr>
            <w:tcW w:w="1345" w:type="dxa"/>
            <w:vAlign w:val="center"/>
          </w:tcPr>
          <w:p w14:paraId="1766623A"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Light grey</w:t>
            </w:r>
          </w:p>
        </w:tc>
        <w:tc>
          <w:tcPr>
            <w:tcW w:w="2031" w:type="dxa"/>
            <w:vAlign w:val="center"/>
          </w:tcPr>
          <w:p w14:paraId="4DD2F8C7"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Greyish yellow</w:t>
            </w:r>
          </w:p>
        </w:tc>
        <w:tc>
          <w:tcPr>
            <w:tcW w:w="2160" w:type="dxa"/>
            <w:vAlign w:val="center"/>
          </w:tcPr>
          <w:p w14:paraId="319EBC7E"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 xml:space="preserve">Round </w:t>
            </w:r>
          </w:p>
        </w:tc>
        <w:tc>
          <w:tcPr>
            <w:tcW w:w="1475" w:type="dxa"/>
            <w:vAlign w:val="center"/>
          </w:tcPr>
          <w:p w14:paraId="31B1EB37"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Powdery</w:t>
            </w:r>
          </w:p>
        </w:tc>
        <w:tc>
          <w:tcPr>
            <w:tcW w:w="1537" w:type="dxa"/>
            <w:vAlign w:val="center"/>
          </w:tcPr>
          <w:p w14:paraId="119974BA"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471FAB95"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Slow</w:t>
            </w:r>
          </w:p>
        </w:tc>
        <w:tc>
          <w:tcPr>
            <w:tcW w:w="1313" w:type="dxa"/>
            <w:vAlign w:val="center"/>
          </w:tcPr>
          <w:p w14:paraId="25064CD2"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62C8807F" w14:textId="77777777" w:rsidTr="00EF5012">
        <w:trPr>
          <w:trHeight w:val="626"/>
        </w:trPr>
        <w:tc>
          <w:tcPr>
            <w:tcW w:w="768" w:type="dxa"/>
            <w:vAlign w:val="center"/>
          </w:tcPr>
          <w:p w14:paraId="77153FCF"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6.</w:t>
            </w:r>
          </w:p>
        </w:tc>
        <w:tc>
          <w:tcPr>
            <w:tcW w:w="1381" w:type="dxa"/>
            <w:vAlign w:val="center"/>
          </w:tcPr>
          <w:p w14:paraId="053DDC1E" w14:textId="77777777" w:rsidR="00B06624" w:rsidRPr="00485CDA" w:rsidRDefault="00B06624" w:rsidP="00EF5012">
            <w:pPr>
              <w:rPr>
                <w:rFonts w:ascii="Arial" w:eastAsia="Times New Roman" w:hAnsi="Arial" w:cs="Arial"/>
                <w:lang w:val="en-IN"/>
              </w:rPr>
            </w:pPr>
            <w:proofErr w:type="spellStart"/>
            <w:r w:rsidRPr="00485CDA">
              <w:rPr>
                <w:rFonts w:ascii="Arial" w:eastAsia="Times New Roman" w:hAnsi="Arial" w:cs="Arial"/>
                <w:lang w:val="en-IN"/>
              </w:rPr>
              <w:t>Papparapatti</w:t>
            </w:r>
            <w:proofErr w:type="spellEnd"/>
            <w:r w:rsidRPr="00485CDA">
              <w:rPr>
                <w:rFonts w:ascii="Arial" w:eastAsia="Times New Roman" w:hAnsi="Arial" w:cs="Arial"/>
                <w:lang w:val="en-IN"/>
              </w:rPr>
              <w:t xml:space="preserve"> </w:t>
            </w:r>
          </w:p>
        </w:tc>
        <w:tc>
          <w:tcPr>
            <w:tcW w:w="950" w:type="dxa"/>
            <w:vAlign w:val="center"/>
          </w:tcPr>
          <w:p w14:paraId="31321E60"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6</w:t>
            </w:r>
          </w:p>
        </w:tc>
        <w:tc>
          <w:tcPr>
            <w:tcW w:w="1345" w:type="dxa"/>
            <w:vAlign w:val="center"/>
          </w:tcPr>
          <w:p w14:paraId="6AC41A8B"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White</w:t>
            </w:r>
          </w:p>
        </w:tc>
        <w:tc>
          <w:tcPr>
            <w:tcW w:w="2031" w:type="dxa"/>
            <w:vAlign w:val="center"/>
          </w:tcPr>
          <w:p w14:paraId="003B4641"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Moderate yellow</w:t>
            </w:r>
          </w:p>
          <w:p w14:paraId="7D02D38C" w14:textId="77777777" w:rsidR="00B06624" w:rsidRPr="00485CDA" w:rsidRDefault="00B06624" w:rsidP="00EF5012">
            <w:pPr>
              <w:rPr>
                <w:rFonts w:ascii="Arial" w:eastAsia="Times New Roman" w:hAnsi="Arial" w:cs="Arial"/>
                <w:lang w:val="en-IN"/>
              </w:rPr>
            </w:pPr>
          </w:p>
        </w:tc>
        <w:tc>
          <w:tcPr>
            <w:tcW w:w="2160" w:type="dxa"/>
            <w:vAlign w:val="center"/>
          </w:tcPr>
          <w:p w14:paraId="707A9AF1"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 xml:space="preserve">Two round circles </w:t>
            </w:r>
          </w:p>
        </w:tc>
        <w:tc>
          <w:tcPr>
            <w:tcW w:w="1475" w:type="dxa"/>
            <w:vAlign w:val="center"/>
          </w:tcPr>
          <w:p w14:paraId="2A970C28"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537" w:type="dxa"/>
            <w:vAlign w:val="center"/>
          </w:tcPr>
          <w:p w14:paraId="7FBA3710"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25DF6D88"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Good</w:t>
            </w:r>
          </w:p>
        </w:tc>
        <w:tc>
          <w:tcPr>
            <w:tcW w:w="1313" w:type="dxa"/>
            <w:vAlign w:val="center"/>
          </w:tcPr>
          <w:p w14:paraId="0779B2AE"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0C43D6E3" w14:textId="77777777" w:rsidTr="00EF5012">
        <w:trPr>
          <w:trHeight w:val="454"/>
        </w:trPr>
        <w:tc>
          <w:tcPr>
            <w:tcW w:w="768" w:type="dxa"/>
            <w:vAlign w:val="center"/>
          </w:tcPr>
          <w:p w14:paraId="40F66652"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7.</w:t>
            </w:r>
          </w:p>
        </w:tc>
        <w:tc>
          <w:tcPr>
            <w:tcW w:w="1381" w:type="dxa"/>
            <w:vAlign w:val="center"/>
          </w:tcPr>
          <w:p w14:paraId="47C03DFE" w14:textId="77777777" w:rsidR="00B06624" w:rsidRPr="00485CDA" w:rsidRDefault="00B06624" w:rsidP="00EF5012">
            <w:pPr>
              <w:rPr>
                <w:rFonts w:ascii="Arial" w:eastAsia="Times New Roman" w:hAnsi="Arial" w:cs="Arial"/>
                <w:lang w:val="en-IN"/>
              </w:rPr>
            </w:pPr>
            <w:proofErr w:type="spellStart"/>
            <w:r w:rsidRPr="00485CDA">
              <w:rPr>
                <w:rFonts w:ascii="Arial" w:eastAsia="Times New Roman" w:hAnsi="Arial" w:cs="Arial"/>
                <w:lang w:val="en-IN"/>
              </w:rPr>
              <w:t>Kaveripattinam</w:t>
            </w:r>
            <w:proofErr w:type="spellEnd"/>
            <w:r w:rsidRPr="00485CDA">
              <w:rPr>
                <w:rFonts w:ascii="Arial" w:eastAsia="Times New Roman" w:hAnsi="Arial" w:cs="Arial"/>
                <w:lang w:val="en-IN"/>
              </w:rPr>
              <w:t xml:space="preserve"> </w:t>
            </w:r>
          </w:p>
        </w:tc>
        <w:tc>
          <w:tcPr>
            <w:tcW w:w="950" w:type="dxa"/>
            <w:vAlign w:val="center"/>
          </w:tcPr>
          <w:p w14:paraId="351709D3"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7</w:t>
            </w:r>
          </w:p>
        </w:tc>
        <w:tc>
          <w:tcPr>
            <w:tcW w:w="1345" w:type="dxa"/>
            <w:vAlign w:val="center"/>
          </w:tcPr>
          <w:p w14:paraId="4FE0A13E"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 xml:space="preserve">White </w:t>
            </w:r>
          </w:p>
        </w:tc>
        <w:tc>
          <w:tcPr>
            <w:tcW w:w="2031" w:type="dxa"/>
            <w:vAlign w:val="center"/>
          </w:tcPr>
          <w:p w14:paraId="7796AD33"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Greyish yellow</w:t>
            </w:r>
          </w:p>
          <w:p w14:paraId="6A7F6A05" w14:textId="77777777" w:rsidR="00B06624" w:rsidRPr="00485CDA" w:rsidRDefault="00B06624" w:rsidP="00EF5012">
            <w:pPr>
              <w:rPr>
                <w:rFonts w:ascii="Arial" w:eastAsia="Times New Roman" w:hAnsi="Arial" w:cs="Arial"/>
                <w:lang w:val="en-IN"/>
              </w:rPr>
            </w:pPr>
          </w:p>
        </w:tc>
        <w:tc>
          <w:tcPr>
            <w:tcW w:w="2160" w:type="dxa"/>
            <w:vAlign w:val="center"/>
          </w:tcPr>
          <w:p w14:paraId="3513429E"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Double ring</w:t>
            </w:r>
          </w:p>
        </w:tc>
        <w:tc>
          <w:tcPr>
            <w:tcW w:w="1475" w:type="dxa"/>
            <w:vAlign w:val="center"/>
          </w:tcPr>
          <w:p w14:paraId="3EEF8A74"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537" w:type="dxa"/>
            <w:vAlign w:val="center"/>
          </w:tcPr>
          <w:p w14:paraId="069F62EE"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2BA2EF52"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 xml:space="preserve">Slow </w:t>
            </w:r>
          </w:p>
        </w:tc>
        <w:tc>
          <w:tcPr>
            <w:tcW w:w="1313" w:type="dxa"/>
            <w:vAlign w:val="center"/>
          </w:tcPr>
          <w:p w14:paraId="24C3F2BC"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3BC6A57E" w14:textId="77777777" w:rsidTr="00EF5012">
        <w:trPr>
          <w:trHeight w:val="454"/>
        </w:trPr>
        <w:tc>
          <w:tcPr>
            <w:tcW w:w="768" w:type="dxa"/>
            <w:vAlign w:val="center"/>
          </w:tcPr>
          <w:p w14:paraId="21978BF9"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8.</w:t>
            </w:r>
          </w:p>
        </w:tc>
        <w:tc>
          <w:tcPr>
            <w:tcW w:w="1381" w:type="dxa"/>
            <w:vAlign w:val="center"/>
          </w:tcPr>
          <w:p w14:paraId="4DE18A33" w14:textId="77777777" w:rsidR="00B06624" w:rsidRPr="00485CDA" w:rsidRDefault="00B06624" w:rsidP="00EF5012">
            <w:pPr>
              <w:rPr>
                <w:rFonts w:ascii="Arial" w:eastAsia="Times New Roman" w:hAnsi="Arial" w:cs="Arial"/>
                <w:lang w:val="en-IN"/>
              </w:rPr>
            </w:pPr>
            <w:proofErr w:type="spellStart"/>
            <w:r w:rsidRPr="00485CDA">
              <w:rPr>
                <w:rFonts w:ascii="Arial" w:eastAsia="Times New Roman" w:hAnsi="Arial" w:cs="Arial"/>
                <w:lang w:val="en-IN"/>
              </w:rPr>
              <w:t>Nannilam</w:t>
            </w:r>
            <w:proofErr w:type="spellEnd"/>
            <w:r w:rsidRPr="00485CDA">
              <w:rPr>
                <w:rFonts w:ascii="Arial" w:eastAsia="Times New Roman" w:hAnsi="Arial" w:cs="Arial"/>
                <w:lang w:val="en-IN"/>
              </w:rPr>
              <w:t xml:space="preserve"> </w:t>
            </w:r>
          </w:p>
        </w:tc>
        <w:tc>
          <w:tcPr>
            <w:tcW w:w="950" w:type="dxa"/>
            <w:vAlign w:val="center"/>
          </w:tcPr>
          <w:p w14:paraId="607FAFF3"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8</w:t>
            </w:r>
          </w:p>
        </w:tc>
        <w:tc>
          <w:tcPr>
            <w:tcW w:w="1345" w:type="dxa"/>
            <w:vAlign w:val="center"/>
          </w:tcPr>
          <w:p w14:paraId="1D8DECEC"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White</w:t>
            </w:r>
          </w:p>
        </w:tc>
        <w:tc>
          <w:tcPr>
            <w:tcW w:w="2031" w:type="dxa"/>
            <w:vAlign w:val="center"/>
          </w:tcPr>
          <w:p w14:paraId="68C6E5EF"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Light grey</w:t>
            </w:r>
          </w:p>
        </w:tc>
        <w:tc>
          <w:tcPr>
            <w:tcW w:w="2160" w:type="dxa"/>
            <w:vAlign w:val="center"/>
          </w:tcPr>
          <w:p w14:paraId="316FF79D"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Round</w:t>
            </w:r>
          </w:p>
        </w:tc>
        <w:tc>
          <w:tcPr>
            <w:tcW w:w="1475" w:type="dxa"/>
            <w:vAlign w:val="center"/>
          </w:tcPr>
          <w:p w14:paraId="2F7B0A31"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 xml:space="preserve">Smooth </w:t>
            </w:r>
          </w:p>
        </w:tc>
        <w:tc>
          <w:tcPr>
            <w:tcW w:w="1537" w:type="dxa"/>
            <w:vAlign w:val="center"/>
          </w:tcPr>
          <w:p w14:paraId="1E42D092"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0448318E"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Good</w:t>
            </w:r>
          </w:p>
        </w:tc>
        <w:tc>
          <w:tcPr>
            <w:tcW w:w="1313" w:type="dxa"/>
            <w:vAlign w:val="center"/>
          </w:tcPr>
          <w:p w14:paraId="60A1D71F"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1C9FAF56" w14:textId="77777777" w:rsidTr="00EF5012">
        <w:trPr>
          <w:trHeight w:val="454"/>
        </w:trPr>
        <w:tc>
          <w:tcPr>
            <w:tcW w:w="768" w:type="dxa"/>
            <w:vAlign w:val="center"/>
          </w:tcPr>
          <w:p w14:paraId="4EC79576"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9.</w:t>
            </w:r>
          </w:p>
        </w:tc>
        <w:tc>
          <w:tcPr>
            <w:tcW w:w="1381" w:type="dxa"/>
            <w:vAlign w:val="center"/>
          </w:tcPr>
          <w:p w14:paraId="59BD9CAB" w14:textId="77777777" w:rsidR="00B06624" w:rsidRPr="00485CDA" w:rsidRDefault="00B06624" w:rsidP="00EF5012">
            <w:pPr>
              <w:rPr>
                <w:rFonts w:ascii="Arial" w:eastAsia="Times New Roman" w:hAnsi="Arial" w:cs="Arial"/>
                <w:lang w:val="en-IN"/>
              </w:rPr>
            </w:pPr>
            <w:proofErr w:type="spellStart"/>
            <w:r w:rsidRPr="00485CDA">
              <w:rPr>
                <w:rFonts w:ascii="Arial" w:eastAsia="Times New Roman" w:hAnsi="Arial" w:cs="Arial"/>
                <w:lang w:val="en-IN"/>
              </w:rPr>
              <w:t>Ayothiyampattinam</w:t>
            </w:r>
            <w:proofErr w:type="spellEnd"/>
            <w:r w:rsidRPr="00485CDA">
              <w:rPr>
                <w:rFonts w:ascii="Arial" w:eastAsia="Times New Roman" w:hAnsi="Arial" w:cs="Arial"/>
                <w:lang w:val="en-IN"/>
              </w:rPr>
              <w:t xml:space="preserve"> </w:t>
            </w:r>
          </w:p>
        </w:tc>
        <w:tc>
          <w:tcPr>
            <w:tcW w:w="950" w:type="dxa"/>
            <w:vAlign w:val="center"/>
          </w:tcPr>
          <w:p w14:paraId="5A302CED"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9</w:t>
            </w:r>
          </w:p>
        </w:tc>
        <w:tc>
          <w:tcPr>
            <w:tcW w:w="1345" w:type="dxa"/>
            <w:vAlign w:val="center"/>
          </w:tcPr>
          <w:p w14:paraId="05387404"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Light grey</w:t>
            </w:r>
          </w:p>
        </w:tc>
        <w:tc>
          <w:tcPr>
            <w:tcW w:w="2031" w:type="dxa"/>
            <w:vAlign w:val="center"/>
          </w:tcPr>
          <w:p w14:paraId="61C770DA" w14:textId="77777777" w:rsidR="00B06624" w:rsidRPr="00485CDA" w:rsidRDefault="00B06624" w:rsidP="00EF5012">
            <w:pPr>
              <w:rPr>
                <w:rFonts w:ascii="Arial" w:eastAsia="Times New Roman" w:hAnsi="Arial" w:cs="Arial"/>
                <w:lang w:val="en-IN"/>
              </w:rPr>
            </w:pPr>
            <w:proofErr w:type="gramStart"/>
            <w:r w:rsidRPr="00485CDA">
              <w:rPr>
                <w:rFonts w:ascii="Arial" w:eastAsia="Times New Roman" w:hAnsi="Arial" w:cs="Arial"/>
                <w:lang w:val="en-IN"/>
              </w:rPr>
              <w:t>Yellowish  grey</w:t>
            </w:r>
            <w:proofErr w:type="gramEnd"/>
          </w:p>
        </w:tc>
        <w:tc>
          <w:tcPr>
            <w:tcW w:w="2160" w:type="dxa"/>
            <w:vAlign w:val="center"/>
          </w:tcPr>
          <w:p w14:paraId="3B414C43"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Round with feathers</w:t>
            </w:r>
          </w:p>
        </w:tc>
        <w:tc>
          <w:tcPr>
            <w:tcW w:w="1475" w:type="dxa"/>
            <w:vAlign w:val="center"/>
          </w:tcPr>
          <w:p w14:paraId="531783D9"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Rough</w:t>
            </w:r>
          </w:p>
        </w:tc>
        <w:tc>
          <w:tcPr>
            <w:tcW w:w="1537" w:type="dxa"/>
            <w:vAlign w:val="center"/>
          </w:tcPr>
          <w:p w14:paraId="482A100C"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10B66BA3"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Moderate</w:t>
            </w:r>
          </w:p>
        </w:tc>
        <w:tc>
          <w:tcPr>
            <w:tcW w:w="1313" w:type="dxa"/>
            <w:vAlign w:val="center"/>
          </w:tcPr>
          <w:p w14:paraId="414C066F"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272D3B59" w14:textId="77777777" w:rsidTr="00EF5012">
        <w:trPr>
          <w:trHeight w:val="454"/>
        </w:trPr>
        <w:tc>
          <w:tcPr>
            <w:tcW w:w="768" w:type="dxa"/>
            <w:vAlign w:val="center"/>
          </w:tcPr>
          <w:p w14:paraId="35163602"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10.</w:t>
            </w:r>
          </w:p>
        </w:tc>
        <w:tc>
          <w:tcPr>
            <w:tcW w:w="1381" w:type="dxa"/>
            <w:vAlign w:val="center"/>
          </w:tcPr>
          <w:p w14:paraId="3022B44F" w14:textId="77777777" w:rsidR="00B06624" w:rsidRPr="00485CDA" w:rsidRDefault="00B06624" w:rsidP="00EF5012">
            <w:pPr>
              <w:rPr>
                <w:rFonts w:ascii="Arial" w:eastAsia="Times New Roman" w:hAnsi="Arial" w:cs="Arial"/>
                <w:lang w:val="en-IN"/>
              </w:rPr>
            </w:pPr>
            <w:proofErr w:type="spellStart"/>
            <w:r w:rsidRPr="00485CDA">
              <w:rPr>
                <w:rFonts w:ascii="Arial" w:eastAsia="Times New Roman" w:hAnsi="Arial" w:cs="Arial"/>
                <w:lang w:val="en-IN"/>
              </w:rPr>
              <w:t>Kollidam</w:t>
            </w:r>
            <w:proofErr w:type="spellEnd"/>
            <w:r w:rsidRPr="00485CDA">
              <w:rPr>
                <w:rFonts w:ascii="Arial" w:eastAsia="Times New Roman" w:hAnsi="Arial" w:cs="Arial"/>
                <w:lang w:val="en-IN"/>
              </w:rPr>
              <w:t xml:space="preserve"> </w:t>
            </w:r>
          </w:p>
        </w:tc>
        <w:tc>
          <w:tcPr>
            <w:tcW w:w="950" w:type="dxa"/>
            <w:vAlign w:val="center"/>
          </w:tcPr>
          <w:p w14:paraId="3E6BFC69"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10</w:t>
            </w:r>
          </w:p>
        </w:tc>
        <w:tc>
          <w:tcPr>
            <w:tcW w:w="1345" w:type="dxa"/>
            <w:vAlign w:val="center"/>
          </w:tcPr>
          <w:p w14:paraId="4FBF2D72"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Grey</w:t>
            </w:r>
          </w:p>
        </w:tc>
        <w:tc>
          <w:tcPr>
            <w:tcW w:w="2031" w:type="dxa"/>
            <w:vAlign w:val="center"/>
          </w:tcPr>
          <w:p w14:paraId="743F5E6E"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Pale yellow</w:t>
            </w:r>
          </w:p>
        </w:tc>
        <w:tc>
          <w:tcPr>
            <w:tcW w:w="2160" w:type="dxa"/>
            <w:vAlign w:val="center"/>
          </w:tcPr>
          <w:p w14:paraId="3E169101"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Round with feathers</w:t>
            </w:r>
          </w:p>
        </w:tc>
        <w:tc>
          <w:tcPr>
            <w:tcW w:w="1475" w:type="dxa"/>
            <w:vAlign w:val="center"/>
          </w:tcPr>
          <w:p w14:paraId="02C5B4B3"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Powdery</w:t>
            </w:r>
          </w:p>
        </w:tc>
        <w:tc>
          <w:tcPr>
            <w:tcW w:w="1537" w:type="dxa"/>
            <w:vAlign w:val="center"/>
          </w:tcPr>
          <w:p w14:paraId="75B1E8A0"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45364BC5"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Good</w:t>
            </w:r>
          </w:p>
        </w:tc>
        <w:tc>
          <w:tcPr>
            <w:tcW w:w="1313" w:type="dxa"/>
            <w:vAlign w:val="center"/>
          </w:tcPr>
          <w:p w14:paraId="4F05A8E5" w14:textId="77777777" w:rsidR="00B06624" w:rsidRPr="00485CDA" w:rsidRDefault="00B06624" w:rsidP="00EF5012">
            <w:pPr>
              <w:rPr>
                <w:rFonts w:ascii="Arial" w:eastAsia="Times New Roman" w:hAnsi="Arial" w:cs="Arial"/>
                <w:lang w:val="en-IN"/>
              </w:rPr>
            </w:pPr>
            <w:r w:rsidRPr="00485CDA">
              <w:rPr>
                <w:rFonts w:ascii="Arial" w:eastAsia="Times New Roman" w:hAnsi="Arial" w:cs="Arial"/>
                <w:lang w:val="en-IN"/>
              </w:rPr>
              <w:t>Rod shaped</w:t>
            </w:r>
          </w:p>
        </w:tc>
      </w:tr>
      <w:bookmarkEnd w:id="1"/>
    </w:tbl>
    <w:p w14:paraId="0D4A9D3A" w14:textId="77777777" w:rsidR="00B06624" w:rsidRPr="00485CDA" w:rsidRDefault="00B06624" w:rsidP="00B06624">
      <w:pPr>
        <w:spacing w:line="360" w:lineRule="auto"/>
        <w:rPr>
          <w:rFonts w:ascii="Arial" w:eastAsia="Times New Roman" w:hAnsi="Arial" w:cs="Arial"/>
          <w:b/>
          <w:bCs/>
          <w:lang w:val="en-IN"/>
        </w:rPr>
      </w:pPr>
    </w:p>
    <w:p w14:paraId="027E7006" w14:textId="77777777" w:rsidR="00B06624" w:rsidRPr="00485CDA" w:rsidRDefault="00B06624" w:rsidP="00B06624">
      <w:pPr>
        <w:spacing w:line="360" w:lineRule="auto"/>
        <w:rPr>
          <w:rFonts w:ascii="Arial" w:eastAsia="Times New Roman" w:hAnsi="Arial" w:cs="Arial"/>
        </w:rPr>
      </w:pPr>
    </w:p>
    <w:p w14:paraId="479C4143" w14:textId="77777777" w:rsidR="00B06624" w:rsidRDefault="00B06624" w:rsidP="00B06624">
      <w:pPr>
        <w:spacing w:line="360" w:lineRule="auto"/>
        <w:rPr>
          <w:rFonts w:ascii="Arial" w:eastAsia="Times New Roman" w:hAnsi="Arial" w:cs="Arial"/>
        </w:rPr>
      </w:pPr>
    </w:p>
    <w:p w14:paraId="50809230" w14:textId="77777777" w:rsidR="00485CDA" w:rsidRPr="00485CDA" w:rsidRDefault="00485CDA" w:rsidP="00B06624">
      <w:pPr>
        <w:spacing w:line="360" w:lineRule="auto"/>
        <w:rPr>
          <w:rFonts w:ascii="Arial" w:eastAsia="Times New Roman" w:hAnsi="Arial" w:cs="Arial"/>
        </w:rPr>
      </w:pPr>
    </w:p>
    <w:p w14:paraId="6F752D07" w14:textId="77777777" w:rsidR="00B06624" w:rsidRPr="00485CDA" w:rsidRDefault="00B06624" w:rsidP="00B06624">
      <w:pPr>
        <w:spacing w:line="360" w:lineRule="auto"/>
        <w:rPr>
          <w:rFonts w:ascii="Arial" w:eastAsia="Times New Roman" w:hAnsi="Arial" w:cs="Arial"/>
        </w:rPr>
      </w:pPr>
    </w:p>
    <w:p w14:paraId="7D4D4D77" w14:textId="77777777" w:rsidR="00B06624" w:rsidRPr="00485CDA" w:rsidRDefault="00B06624" w:rsidP="00B06624">
      <w:pPr>
        <w:tabs>
          <w:tab w:val="left" w:pos="1567"/>
        </w:tabs>
        <w:spacing w:line="360" w:lineRule="auto"/>
        <w:jc w:val="both"/>
        <w:rPr>
          <w:rFonts w:ascii="Arial" w:eastAsia="Times New Roman" w:hAnsi="Arial" w:cs="Arial"/>
          <w:b/>
          <w:bCs/>
          <w:lang w:bidi="ta-IN"/>
        </w:rPr>
      </w:pPr>
      <w:r w:rsidRPr="00485CDA">
        <w:rPr>
          <w:rFonts w:ascii="Arial" w:hAnsi="Arial" w:cs="Arial"/>
          <w:b/>
          <w:bCs/>
        </w:rPr>
        <w:lastRenderedPageBreak/>
        <w:t xml:space="preserve">Table 2: Evaluation of </w:t>
      </w:r>
      <w:r w:rsidRPr="00485CDA">
        <w:rPr>
          <w:rFonts w:ascii="Arial" w:hAnsi="Arial" w:cs="Arial"/>
          <w:b/>
          <w:bCs/>
          <w:i/>
          <w:iCs/>
        </w:rPr>
        <w:t>invitro</w:t>
      </w:r>
      <w:r w:rsidRPr="00485CDA">
        <w:rPr>
          <w:rFonts w:ascii="Arial" w:hAnsi="Arial" w:cs="Arial"/>
          <w:b/>
          <w:bCs/>
        </w:rPr>
        <w:t xml:space="preserve"> efficacy of different isolates of actinomycetes against </w:t>
      </w:r>
      <w:r w:rsidRPr="00485CDA">
        <w:rPr>
          <w:rFonts w:ascii="Arial" w:eastAsia="Times New Roman" w:hAnsi="Arial" w:cs="Arial"/>
          <w:b/>
          <w:i/>
        </w:rPr>
        <w:t>C. gloeosporiodes</w:t>
      </w:r>
      <w:r w:rsidRPr="00485CDA">
        <w:rPr>
          <w:rFonts w:ascii="Arial" w:eastAsia="Times New Roman" w:hAnsi="Arial" w:cs="Arial"/>
          <w:b/>
        </w:rPr>
        <w:t xml:space="preserve"> </w:t>
      </w:r>
      <w:r w:rsidRPr="00485CDA">
        <w:rPr>
          <w:rFonts w:ascii="Arial" w:hAnsi="Arial" w:cs="Arial"/>
          <w:b/>
          <w:bCs/>
        </w:rPr>
        <w:t>(Dual culture)</w:t>
      </w:r>
    </w:p>
    <w:tbl>
      <w:tblPr>
        <w:tblpPr w:leftFromText="180" w:rightFromText="180" w:vertAnchor="page" w:horzAnchor="margin" w:tblpXSpec="center"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405"/>
        <w:gridCol w:w="2563"/>
        <w:gridCol w:w="2570"/>
      </w:tblGrid>
      <w:tr w:rsidR="00B06624" w:rsidRPr="00485CDA" w14:paraId="4098E3E9" w14:textId="77777777" w:rsidTr="00EF5012">
        <w:trPr>
          <w:trHeight w:val="359"/>
        </w:trPr>
        <w:tc>
          <w:tcPr>
            <w:tcW w:w="1441" w:type="dxa"/>
            <w:shd w:val="clear" w:color="auto" w:fill="auto"/>
            <w:vAlign w:val="center"/>
          </w:tcPr>
          <w:p w14:paraId="19A1CC0A" w14:textId="77777777" w:rsidR="00B06624" w:rsidRPr="00485CDA" w:rsidRDefault="00B06624" w:rsidP="00EF5012">
            <w:pPr>
              <w:spacing w:after="0" w:line="240" w:lineRule="auto"/>
              <w:jc w:val="center"/>
              <w:rPr>
                <w:rFonts w:ascii="Arial" w:eastAsia="Times New Roman" w:hAnsi="Arial" w:cs="Arial"/>
                <w:b/>
              </w:rPr>
            </w:pPr>
            <w:bookmarkStart w:id="2" w:name="_Hlk166273494"/>
            <w:r w:rsidRPr="00485CDA">
              <w:rPr>
                <w:rFonts w:ascii="Arial" w:eastAsia="Times New Roman" w:hAnsi="Arial" w:cs="Arial"/>
                <w:b/>
              </w:rPr>
              <w:t>Sl.no</w:t>
            </w:r>
          </w:p>
        </w:tc>
        <w:tc>
          <w:tcPr>
            <w:tcW w:w="2405" w:type="dxa"/>
            <w:shd w:val="clear" w:color="auto" w:fill="auto"/>
            <w:vAlign w:val="center"/>
          </w:tcPr>
          <w:p w14:paraId="6F1D4E35" w14:textId="77777777" w:rsidR="00B06624" w:rsidRPr="00485CDA" w:rsidRDefault="00B06624" w:rsidP="00EF5012">
            <w:pPr>
              <w:spacing w:after="0" w:line="240" w:lineRule="auto"/>
              <w:jc w:val="center"/>
              <w:rPr>
                <w:rFonts w:ascii="Arial" w:eastAsia="Times New Roman" w:hAnsi="Arial" w:cs="Arial"/>
                <w:b/>
              </w:rPr>
            </w:pPr>
            <w:r w:rsidRPr="00485CDA">
              <w:rPr>
                <w:rFonts w:ascii="Arial" w:eastAsia="Times New Roman" w:hAnsi="Arial" w:cs="Arial"/>
                <w:b/>
              </w:rPr>
              <w:t>Isolate</w:t>
            </w:r>
          </w:p>
        </w:tc>
        <w:tc>
          <w:tcPr>
            <w:tcW w:w="2563" w:type="dxa"/>
            <w:shd w:val="clear" w:color="auto" w:fill="auto"/>
            <w:vAlign w:val="center"/>
          </w:tcPr>
          <w:p w14:paraId="524E3865" w14:textId="77777777" w:rsidR="00B06624" w:rsidRPr="00485CDA" w:rsidRDefault="00B06624" w:rsidP="00EF5012">
            <w:pPr>
              <w:spacing w:after="0" w:line="240" w:lineRule="auto"/>
              <w:jc w:val="center"/>
              <w:rPr>
                <w:rFonts w:ascii="Arial" w:eastAsia="Times New Roman" w:hAnsi="Arial" w:cs="Arial"/>
                <w:b/>
              </w:rPr>
            </w:pPr>
            <w:r w:rsidRPr="00485CDA">
              <w:rPr>
                <w:rFonts w:ascii="Arial" w:eastAsia="Times New Roman" w:hAnsi="Arial" w:cs="Arial"/>
                <w:b/>
              </w:rPr>
              <w:t>Mycelial growth</w:t>
            </w:r>
          </w:p>
          <w:p w14:paraId="1DD65F53" w14:textId="77777777" w:rsidR="00B06624" w:rsidRPr="00485CDA" w:rsidRDefault="00B06624" w:rsidP="00EF5012">
            <w:pPr>
              <w:spacing w:after="0" w:line="240" w:lineRule="auto"/>
              <w:jc w:val="center"/>
              <w:rPr>
                <w:rFonts w:ascii="Arial" w:eastAsia="Times New Roman" w:hAnsi="Arial" w:cs="Arial"/>
                <w:b/>
              </w:rPr>
            </w:pPr>
            <w:r w:rsidRPr="00485CDA">
              <w:rPr>
                <w:rFonts w:ascii="Arial" w:eastAsia="Times New Roman" w:hAnsi="Arial" w:cs="Arial"/>
                <w:b/>
              </w:rPr>
              <w:t>(mm)</w:t>
            </w:r>
          </w:p>
        </w:tc>
        <w:tc>
          <w:tcPr>
            <w:tcW w:w="2570" w:type="dxa"/>
            <w:shd w:val="clear" w:color="auto" w:fill="auto"/>
            <w:vAlign w:val="center"/>
          </w:tcPr>
          <w:p w14:paraId="4413A475" w14:textId="77777777" w:rsidR="00B06624" w:rsidRPr="00485CDA" w:rsidRDefault="00B06624" w:rsidP="00EF5012">
            <w:pPr>
              <w:spacing w:after="0" w:line="240" w:lineRule="auto"/>
              <w:jc w:val="center"/>
              <w:rPr>
                <w:rFonts w:ascii="Arial" w:eastAsia="Times New Roman" w:hAnsi="Arial" w:cs="Arial"/>
                <w:b/>
              </w:rPr>
            </w:pPr>
            <w:r w:rsidRPr="00485CDA">
              <w:rPr>
                <w:rFonts w:ascii="Arial" w:eastAsia="Times New Roman" w:hAnsi="Arial" w:cs="Arial"/>
                <w:b/>
              </w:rPr>
              <w:t>Percent inhibition over control</w:t>
            </w:r>
          </w:p>
        </w:tc>
      </w:tr>
      <w:tr w:rsidR="00B06624" w:rsidRPr="00485CDA" w14:paraId="356C597D" w14:textId="77777777" w:rsidTr="00EF5012">
        <w:trPr>
          <w:trHeight w:val="488"/>
        </w:trPr>
        <w:tc>
          <w:tcPr>
            <w:tcW w:w="1441" w:type="dxa"/>
            <w:shd w:val="clear" w:color="auto" w:fill="auto"/>
            <w:vAlign w:val="center"/>
          </w:tcPr>
          <w:p w14:paraId="446C3F74"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1</w:t>
            </w:r>
          </w:p>
        </w:tc>
        <w:tc>
          <w:tcPr>
            <w:tcW w:w="2405" w:type="dxa"/>
            <w:shd w:val="clear" w:color="auto" w:fill="auto"/>
            <w:vAlign w:val="center"/>
          </w:tcPr>
          <w:p w14:paraId="07CB2EDE" w14:textId="77777777" w:rsidR="00B06624" w:rsidRPr="00485CDA" w:rsidRDefault="00B06624" w:rsidP="00EF5012">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1</w:t>
            </w:r>
          </w:p>
        </w:tc>
        <w:tc>
          <w:tcPr>
            <w:tcW w:w="2563" w:type="dxa"/>
            <w:shd w:val="clear" w:color="auto" w:fill="auto"/>
            <w:vAlign w:val="center"/>
          </w:tcPr>
          <w:p w14:paraId="18D1B971" w14:textId="77777777" w:rsidR="00B06624" w:rsidRPr="00485CDA" w:rsidRDefault="00B06624" w:rsidP="00EF5012">
            <w:pPr>
              <w:spacing w:after="0" w:line="240" w:lineRule="auto"/>
              <w:jc w:val="center"/>
              <w:rPr>
                <w:rFonts w:ascii="Arial" w:eastAsia="Times New Roman" w:hAnsi="Arial" w:cs="Arial"/>
                <w:vertAlign w:val="superscript"/>
              </w:rPr>
            </w:pPr>
            <w:r w:rsidRPr="00485CDA">
              <w:rPr>
                <w:rFonts w:ascii="Arial" w:eastAsia="Times New Roman" w:hAnsi="Arial" w:cs="Arial"/>
              </w:rPr>
              <w:t>35.66 (37.42)</w:t>
            </w:r>
          </w:p>
        </w:tc>
        <w:tc>
          <w:tcPr>
            <w:tcW w:w="2570" w:type="dxa"/>
            <w:shd w:val="clear" w:color="auto" w:fill="auto"/>
            <w:vAlign w:val="center"/>
          </w:tcPr>
          <w:p w14:paraId="40C3DFC5"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60.37</w:t>
            </w:r>
          </w:p>
        </w:tc>
      </w:tr>
      <w:tr w:rsidR="00B06624" w:rsidRPr="00485CDA" w14:paraId="0E21354B" w14:textId="77777777" w:rsidTr="00EF5012">
        <w:trPr>
          <w:trHeight w:val="488"/>
        </w:trPr>
        <w:tc>
          <w:tcPr>
            <w:tcW w:w="1441" w:type="dxa"/>
            <w:shd w:val="clear" w:color="auto" w:fill="auto"/>
            <w:vAlign w:val="center"/>
          </w:tcPr>
          <w:p w14:paraId="18B1F0D8"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2</w:t>
            </w:r>
          </w:p>
        </w:tc>
        <w:tc>
          <w:tcPr>
            <w:tcW w:w="2405" w:type="dxa"/>
            <w:shd w:val="clear" w:color="auto" w:fill="auto"/>
            <w:vAlign w:val="center"/>
          </w:tcPr>
          <w:p w14:paraId="7D715F8A" w14:textId="77777777" w:rsidR="00B06624" w:rsidRPr="00485CDA" w:rsidRDefault="00B06624" w:rsidP="00EF5012">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2</w:t>
            </w:r>
          </w:p>
        </w:tc>
        <w:tc>
          <w:tcPr>
            <w:tcW w:w="2563" w:type="dxa"/>
            <w:shd w:val="clear" w:color="auto" w:fill="auto"/>
            <w:vAlign w:val="center"/>
          </w:tcPr>
          <w:p w14:paraId="016B1F82" w14:textId="77777777" w:rsidR="00B06624" w:rsidRPr="00485CDA" w:rsidRDefault="00B06624" w:rsidP="00EF5012">
            <w:pPr>
              <w:spacing w:after="0" w:line="240" w:lineRule="auto"/>
              <w:jc w:val="center"/>
              <w:rPr>
                <w:rFonts w:ascii="Arial" w:eastAsia="Times New Roman" w:hAnsi="Arial" w:cs="Arial"/>
                <w:vertAlign w:val="superscript"/>
              </w:rPr>
            </w:pPr>
            <w:r w:rsidRPr="00485CDA">
              <w:rPr>
                <w:rFonts w:ascii="Arial" w:eastAsia="Times New Roman" w:hAnsi="Arial" w:cs="Arial"/>
              </w:rPr>
              <w:t>42.70 (41.53)</w:t>
            </w:r>
          </w:p>
        </w:tc>
        <w:tc>
          <w:tcPr>
            <w:tcW w:w="2570" w:type="dxa"/>
            <w:shd w:val="clear" w:color="auto" w:fill="auto"/>
            <w:vAlign w:val="center"/>
          </w:tcPr>
          <w:p w14:paraId="05A460C6"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73.90</w:t>
            </w:r>
          </w:p>
        </w:tc>
      </w:tr>
      <w:tr w:rsidR="00B06624" w:rsidRPr="00485CDA" w14:paraId="7C443514" w14:textId="77777777" w:rsidTr="00EF5012">
        <w:trPr>
          <w:trHeight w:val="488"/>
        </w:trPr>
        <w:tc>
          <w:tcPr>
            <w:tcW w:w="1441" w:type="dxa"/>
            <w:shd w:val="clear" w:color="auto" w:fill="auto"/>
            <w:vAlign w:val="center"/>
          </w:tcPr>
          <w:p w14:paraId="2B064769"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3</w:t>
            </w:r>
          </w:p>
        </w:tc>
        <w:tc>
          <w:tcPr>
            <w:tcW w:w="2405" w:type="dxa"/>
            <w:shd w:val="clear" w:color="auto" w:fill="auto"/>
            <w:vAlign w:val="center"/>
          </w:tcPr>
          <w:p w14:paraId="2AEE5474" w14:textId="77777777" w:rsidR="00B06624" w:rsidRPr="00485CDA" w:rsidRDefault="00B06624" w:rsidP="00EF5012">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3</w:t>
            </w:r>
          </w:p>
        </w:tc>
        <w:tc>
          <w:tcPr>
            <w:tcW w:w="2563" w:type="dxa"/>
            <w:shd w:val="clear" w:color="auto" w:fill="auto"/>
            <w:vAlign w:val="center"/>
          </w:tcPr>
          <w:p w14:paraId="142AB2DF" w14:textId="77777777" w:rsidR="00B06624" w:rsidRPr="00485CDA" w:rsidRDefault="00B06624" w:rsidP="00EF5012">
            <w:pPr>
              <w:spacing w:after="0" w:line="240" w:lineRule="auto"/>
              <w:jc w:val="center"/>
              <w:rPr>
                <w:rFonts w:ascii="Arial" w:eastAsia="Times New Roman" w:hAnsi="Arial" w:cs="Arial"/>
                <w:vertAlign w:val="superscript"/>
              </w:rPr>
            </w:pPr>
            <w:r w:rsidRPr="00485CDA">
              <w:rPr>
                <w:rFonts w:ascii="Arial" w:eastAsia="Times New Roman" w:hAnsi="Arial" w:cs="Arial"/>
              </w:rPr>
              <w:t>18.25 (26.21)</w:t>
            </w:r>
          </w:p>
        </w:tc>
        <w:tc>
          <w:tcPr>
            <w:tcW w:w="2570" w:type="dxa"/>
            <w:shd w:val="clear" w:color="auto" w:fill="auto"/>
            <w:vAlign w:val="center"/>
          </w:tcPr>
          <w:p w14:paraId="451CC87D" w14:textId="77777777" w:rsidR="00B06624" w:rsidRPr="00485CDA" w:rsidRDefault="00B06624" w:rsidP="00EF5012">
            <w:pPr>
              <w:spacing w:after="0" w:line="240" w:lineRule="auto"/>
              <w:jc w:val="center"/>
              <w:rPr>
                <w:rFonts w:ascii="Arial" w:eastAsia="Times New Roman" w:hAnsi="Arial" w:cs="Arial"/>
              </w:rPr>
            </w:pPr>
            <w:bookmarkStart w:id="3" w:name="_Hlk173139421"/>
            <w:r w:rsidRPr="00485CDA">
              <w:rPr>
                <w:rFonts w:ascii="Arial" w:eastAsia="Times New Roman" w:hAnsi="Arial" w:cs="Arial"/>
              </w:rPr>
              <w:t>7</w:t>
            </w:r>
            <w:bookmarkEnd w:id="3"/>
            <w:r w:rsidRPr="00485CDA">
              <w:rPr>
                <w:rFonts w:ascii="Arial" w:eastAsia="Times New Roman" w:hAnsi="Arial" w:cs="Arial"/>
              </w:rPr>
              <w:t>9.72</w:t>
            </w:r>
          </w:p>
        </w:tc>
      </w:tr>
      <w:tr w:rsidR="00B06624" w:rsidRPr="00485CDA" w14:paraId="16C57CA9" w14:textId="77777777" w:rsidTr="00EF5012">
        <w:trPr>
          <w:trHeight w:val="488"/>
        </w:trPr>
        <w:tc>
          <w:tcPr>
            <w:tcW w:w="1441" w:type="dxa"/>
            <w:shd w:val="clear" w:color="auto" w:fill="auto"/>
            <w:vAlign w:val="center"/>
          </w:tcPr>
          <w:p w14:paraId="5FB54004"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4</w:t>
            </w:r>
          </w:p>
        </w:tc>
        <w:tc>
          <w:tcPr>
            <w:tcW w:w="2405" w:type="dxa"/>
            <w:shd w:val="clear" w:color="auto" w:fill="auto"/>
            <w:vAlign w:val="center"/>
          </w:tcPr>
          <w:p w14:paraId="4765CE1E" w14:textId="77777777" w:rsidR="00B06624" w:rsidRPr="00485CDA" w:rsidRDefault="00B06624" w:rsidP="00EF5012">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4</w:t>
            </w:r>
          </w:p>
        </w:tc>
        <w:tc>
          <w:tcPr>
            <w:tcW w:w="2563" w:type="dxa"/>
            <w:shd w:val="clear" w:color="auto" w:fill="auto"/>
            <w:vAlign w:val="center"/>
          </w:tcPr>
          <w:p w14:paraId="27A1279F" w14:textId="77777777" w:rsidR="00B06624" w:rsidRPr="00485CDA" w:rsidRDefault="00B06624" w:rsidP="00EF5012">
            <w:pPr>
              <w:spacing w:after="0" w:line="240" w:lineRule="auto"/>
              <w:jc w:val="center"/>
              <w:rPr>
                <w:rFonts w:ascii="Arial" w:eastAsia="Times New Roman" w:hAnsi="Arial" w:cs="Arial"/>
                <w:vertAlign w:val="superscript"/>
              </w:rPr>
            </w:pPr>
            <w:r w:rsidRPr="00485CDA">
              <w:rPr>
                <w:rFonts w:ascii="Arial" w:eastAsia="Times New Roman" w:hAnsi="Arial" w:cs="Arial"/>
              </w:rPr>
              <w:t>25.04 (30.85)</w:t>
            </w:r>
          </w:p>
        </w:tc>
        <w:tc>
          <w:tcPr>
            <w:tcW w:w="2570" w:type="dxa"/>
            <w:shd w:val="clear" w:color="auto" w:fill="auto"/>
            <w:vAlign w:val="center"/>
          </w:tcPr>
          <w:p w14:paraId="6C79C69E"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72.17</w:t>
            </w:r>
          </w:p>
        </w:tc>
      </w:tr>
      <w:tr w:rsidR="00B06624" w:rsidRPr="00485CDA" w14:paraId="2D85D8F4" w14:textId="77777777" w:rsidTr="00EF5012">
        <w:trPr>
          <w:trHeight w:val="488"/>
        </w:trPr>
        <w:tc>
          <w:tcPr>
            <w:tcW w:w="1441" w:type="dxa"/>
            <w:shd w:val="clear" w:color="auto" w:fill="auto"/>
            <w:vAlign w:val="center"/>
          </w:tcPr>
          <w:p w14:paraId="314C0A2E"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5</w:t>
            </w:r>
          </w:p>
        </w:tc>
        <w:tc>
          <w:tcPr>
            <w:tcW w:w="2405" w:type="dxa"/>
            <w:shd w:val="clear" w:color="auto" w:fill="auto"/>
            <w:vAlign w:val="center"/>
          </w:tcPr>
          <w:p w14:paraId="4D2F55AF" w14:textId="77777777" w:rsidR="00B06624" w:rsidRPr="00485CDA" w:rsidRDefault="00B06624" w:rsidP="00EF5012">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5</w:t>
            </w:r>
          </w:p>
        </w:tc>
        <w:tc>
          <w:tcPr>
            <w:tcW w:w="2563" w:type="dxa"/>
            <w:shd w:val="clear" w:color="auto" w:fill="auto"/>
            <w:vAlign w:val="center"/>
          </w:tcPr>
          <w:p w14:paraId="2BF705A6" w14:textId="77777777" w:rsidR="00B06624" w:rsidRPr="00485CDA" w:rsidRDefault="00B06624" w:rsidP="00EF5012">
            <w:pPr>
              <w:spacing w:after="0" w:line="240" w:lineRule="auto"/>
              <w:jc w:val="center"/>
              <w:rPr>
                <w:rFonts w:ascii="Arial" w:eastAsia="Times New Roman" w:hAnsi="Arial" w:cs="Arial"/>
                <w:vertAlign w:val="superscript"/>
              </w:rPr>
            </w:pPr>
            <w:r w:rsidRPr="00485CDA">
              <w:rPr>
                <w:rFonts w:ascii="Arial" w:eastAsia="Times New Roman" w:hAnsi="Arial" w:cs="Arial"/>
              </w:rPr>
              <w:t>33.34 (36.03)</w:t>
            </w:r>
          </w:p>
        </w:tc>
        <w:tc>
          <w:tcPr>
            <w:tcW w:w="2570" w:type="dxa"/>
            <w:shd w:val="clear" w:color="auto" w:fill="auto"/>
            <w:vAlign w:val="center"/>
          </w:tcPr>
          <w:p w14:paraId="3EA07A6F"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62.95</w:t>
            </w:r>
          </w:p>
        </w:tc>
      </w:tr>
      <w:tr w:rsidR="00B06624" w:rsidRPr="00485CDA" w14:paraId="4D2668BB" w14:textId="77777777" w:rsidTr="00EF5012">
        <w:trPr>
          <w:trHeight w:val="488"/>
        </w:trPr>
        <w:tc>
          <w:tcPr>
            <w:tcW w:w="1441" w:type="dxa"/>
            <w:shd w:val="clear" w:color="auto" w:fill="auto"/>
            <w:vAlign w:val="center"/>
          </w:tcPr>
          <w:p w14:paraId="02E0E050"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6</w:t>
            </w:r>
          </w:p>
        </w:tc>
        <w:tc>
          <w:tcPr>
            <w:tcW w:w="2405" w:type="dxa"/>
            <w:shd w:val="clear" w:color="auto" w:fill="auto"/>
            <w:vAlign w:val="center"/>
          </w:tcPr>
          <w:p w14:paraId="0809FE1C" w14:textId="77777777" w:rsidR="00B06624" w:rsidRPr="00485CDA" w:rsidRDefault="00B06624" w:rsidP="00EF5012">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6</w:t>
            </w:r>
          </w:p>
        </w:tc>
        <w:tc>
          <w:tcPr>
            <w:tcW w:w="2563" w:type="dxa"/>
            <w:shd w:val="clear" w:color="auto" w:fill="auto"/>
            <w:vAlign w:val="center"/>
          </w:tcPr>
          <w:p w14:paraId="02662FA0" w14:textId="77777777" w:rsidR="00B06624" w:rsidRPr="00485CDA" w:rsidRDefault="00B06624" w:rsidP="00EF5012">
            <w:pPr>
              <w:spacing w:after="0" w:line="240" w:lineRule="auto"/>
              <w:jc w:val="center"/>
              <w:rPr>
                <w:rFonts w:ascii="Arial" w:eastAsia="Times New Roman" w:hAnsi="Arial" w:cs="Arial"/>
                <w:vertAlign w:val="superscript"/>
              </w:rPr>
            </w:pPr>
            <w:r w:rsidRPr="00485CDA">
              <w:rPr>
                <w:rFonts w:ascii="Arial" w:eastAsia="Times New Roman" w:hAnsi="Arial" w:cs="Arial"/>
              </w:rPr>
              <w:t>38.71 (39.21)</w:t>
            </w:r>
          </w:p>
        </w:tc>
        <w:tc>
          <w:tcPr>
            <w:tcW w:w="2570" w:type="dxa"/>
            <w:shd w:val="clear" w:color="auto" w:fill="auto"/>
            <w:vAlign w:val="center"/>
          </w:tcPr>
          <w:p w14:paraId="253DC11E"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56.98</w:t>
            </w:r>
          </w:p>
        </w:tc>
      </w:tr>
      <w:tr w:rsidR="00B06624" w:rsidRPr="00485CDA" w14:paraId="253F018D" w14:textId="77777777" w:rsidTr="00EF5012">
        <w:trPr>
          <w:trHeight w:val="488"/>
        </w:trPr>
        <w:tc>
          <w:tcPr>
            <w:tcW w:w="1441" w:type="dxa"/>
            <w:shd w:val="clear" w:color="auto" w:fill="auto"/>
            <w:vAlign w:val="center"/>
          </w:tcPr>
          <w:p w14:paraId="558CA6CC"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7</w:t>
            </w:r>
          </w:p>
        </w:tc>
        <w:tc>
          <w:tcPr>
            <w:tcW w:w="2405" w:type="dxa"/>
            <w:shd w:val="clear" w:color="auto" w:fill="auto"/>
            <w:vAlign w:val="center"/>
          </w:tcPr>
          <w:p w14:paraId="0FE7CA49" w14:textId="77777777" w:rsidR="00B06624" w:rsidRPr="00485CDA" w:rsidRDefault="00B06624" w:rsidP="00EF5012">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7</w:t>
            </w:r>
          </w:p>
        </w:tc>
        <w:tc>
          <w:tcPr>
            <w:tcW w:w="2563" w:type="dxa"/>
            <w:shd w:val="clear" w:color="auto" w:fill="auto"/>
            <w:vAlign w:val="center"/>
          </w:tcPr>
          <w:p w14:paraId="4A4814C1" w14:textId="77777777" w:rsidR="00B06624" w:rsidRPr="00485CDA" w:rsidRDefault="00B06624" w:rsidP="00EF5012">
            <w:pPr>
              <w:spacing w:after="0" w:line="240" w:lineRule="auto"/>
              <w:jc w:val="center"/>
              <w:rPr>
                <w:rFonts w:ascii="Arial" w:eastAsia="Times New Roman" w:hAnsi="Arial" w:cs="Arial"/>
                <w:vertAlign w:val="superscript"/>
              </w:rPr>
            </w:pPr>
            <w:r w:rsidRPr="00485CDA">
              <w:rPr>
                <w:rFonts w:ascii="Arial" w:eastAsia="Times New Roman" w:hAnsi="Arial" w:cs="Arial"/>
              </w:rPr>
              <w:t>21.27 (28.34)</w:t>
            </w:r>
          </w:p>
        </w:tc>
        <w:tc>
          <w:tcPr>
            <w:tcW w:w="2570" w:type="dxa"/>
            <w:shd w:val="clear" w:color="auto" w:fill="auto"/>
            <w:vAlign w:val="center"/>
          </w:tcPr>
          <w:p w14:paraId="4A511FD5"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76.36</w:t>
            </w:r>
          </w:p>
        </w:tc>
      </w:tr>
      <w:tr w:rsidR="00B06624" w:rsidRPr="00485CDA" w14:paraId="454279AD" w14:textId="77777777" w:rsidTr="00EF5012">
        <w:trPr>
          <w:trHeight w:val="488"/>
        </w:trPr>
        <w:tc>
          <w:tcPr>
            <w:tcW w:w="1441" w:type="dxa"/>
            <w:shd w:val="clear" w:color="auto" w:fill="auto"/>
            <w:vAlign w:val="center"/>
          </w:tcPr>
          <w:p w14:paraId="7D2B4986"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8</w:t>
            </w:r>
          </w:p>
        </w:tc>
        <w:tc>
          <w:tcPr>
            <w:tcW w:w="2405" w:type="dxa"/>
            <w:shd w:val="clear" w:color="auto" w:fill="auto"/>
            <w:vAlign w:val="center"/>
          </w:tcPr>
          <w:p w14:paraId="00B08894" w14:textId="77777777" w:rsidR="00B06624" w:rsidRPr="00485CDA" w:rsidRDefault="00B06624" w:rsidP="00EF5012">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8</w:t>
            </w:r>
          </w:p>
        </w:tc>
        <w:tc>
          <w:tcPr>
            <w:tcW w:w="2563" w:type="dxa"/>
            <w:shd w:val="clear" w:color="auto" w:fill="auto"/>
            <w:vAlign w:val="center"/>
          </w:tcPr>
          <w:p w14:paraId="0F7442A7" w14:textId="77777777" w:rsidR="00B06624" w:rsidRPr="00485CDA" w:rsidRDefault="00B06624" w:rsidP="00EF5012">
            <w:pPr>
              <w:spacing w:after="0" w:line="240" w:lineRule="auto"/>
              <w:jc w:val="center"/>
              <w:rPr>
                <w:rFonts w:ascii="Arial" w:eastAsia="Times New Roman" w:hAnsi="Arial" w:cs="Arial"/>
                <w:vertAlign w:val="superscript"/>
              </w:rPr>
            </w:pPr>
            <w:r w:rsidRPr="00485CDA">
              <w:rPr>
                <w:rFonts w:ascii="Arial" w:eastAsia="Times New Roman" w:hAnsi="Arial" w:cs="Arial"/>
              </w:rPr>
              <w:t>23.49 (29.84)</w:t>
            </w:r>
          </w:p>
        </w:tc>
        <w:tc>
          <w:tcPr>
            <w:tcW w:w="2570" w:type="dxa"/>
            <w:shd w:val="clear" w:color="auto" w:fill="auto"/>
            <w:vAlign w:val="center"/>
          </w:tcPr>
          <w:p w14:paraId="7A2DAC93" w14:textId="77777777" w:rsidR="00B06624" w:rsidRPr="00485CDA" w:rsidRDefault="00B06624" w:rsidP="00EF5012">
            <w:pPr>
              <w:spacing w:after="0" w:line="240" w:lineRule="auto"/>
              <w:jc w:val="center"/>
              <w:rPr>
                <w:rFonts w:ascii="Arial" w:eastAsia="Times New Roman" w:hAnsi="Arial" w:cs="Arial"/>
              </w:rPr>
            </w:pPr>
            <w:bookmarkStart w:id="4" w:name="_Hlk172986695"/>
            <w:r w:rsidRPr="00485CDA">
              <w:rPr>
                <w:rFonts w:ascii="Arial" w:eastAsia="Times New Roman" w:hAnsi="Arial" w:cs="Arial"/>
              </w:rPr>
              <w:t>72.48</w:t>
            </w:r>
            <w:bookmarkEnd w:id="4"/>
          </w:p>
        </w:tc>
      </w:tr>
      <w:tr w:rsidR="00B06624" w:rsidRPr="00485CDA" w14:paraId="33F62153" w14:textId="77777777" w:rsidTr="00EF5012">
        <w:trPr>
          <w:trHeight w:val="488"/>
        </w:trPr>
        <w:tc>
          <w:tcPr>
            <w:tcW w:w="1441" w:type="dxa"/>
            <w:shd w:val="clear" w:color="auto" w:fill="auto"/>
            <w:vAlign w:val="center"/>
          </w:tcPr>
          <w:p w14:paraId="2242C43B"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9</w:t>
            </w:r>
          </w:p>
        </w:tc>
        <w:tc>
          <w:tcPr>
            <w:tcW w:w="2405" w:type="dxa"/>
            <w:shd w:val="clear" w:color="auto" w:fill="auto"/>
            <w:vAlign w:val="center"/>
          </w:tcPr>
          <w:p w14:paraId="766ED1DD" w14:textId="77777777" w:rsidR="00B06624" w:rsidRPr="00485CDA" w:rsidRDefault="00B06624" w:rsidP="00EF5012">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9</w:t>
            </w:r>
          </w:p>
        </w:tc>
        <w:tc>
          <w:tcPr>
            <w:tcW w:w="2563" w:type="dxa"/>
            <w:shd w:val="clear" w:color="auto" w:fill="auto"/>
            <w:vAlign w:val="center"/>
          </w:tcPr>
          <w:p w14:paraId="1476019A" w14:textId="77777777" w:rsidR="00B06624" w:rsidRPr="00485CDA" w:rsidRDefault="00B06624" w:rsidP="00EF5012">
            <w:pPr>
              <w:spacing w:after="0" w:line="240" w:lineRule="auto"/>
              <w:jc w:val="center"/>
              <w:rPr>
                <w:rFonts w:ascii="Arial" w:eastAsia="Times New Roman" w:hAnsi="Arial" w:cs="Arial"/>
                <w:vertAlign w:val="superscript"/>
              </w:rPr>
            </w:pPr>
            <w:r w:rsidRPr="00485CDA">
              <w:rPr>
                <w:rFonts w:ascii="Arial" w:eastAsia="Times New Roman" w:hAnsi="Arial" w:cs="Arial"/>
              </w:rPr>
              <w:t>46.58 (43.76)</w:t>
            </w:r>
          </w:p>
        </w:tc>
        <w:tc>
          <w:tcPr>
            <w:tcW w:w="2570" w:type="dxa"/>
            <w:shd w:val="clear" w:color="auto" w:fill="auto"/>
            <w:vAlign w:val="center"/>
          </w:tcPr>
          <w:p w14:paraId="0E281D3B" w14:textId="77777777" w:rsidR="00B06624" w:rsidRPr="00485CDA" w:rsidRDefault="00B06624" w:rsidP="00EF5012">
            <w:pPr>
              <w:spacing w:after="0" w:line="240" w:lineRule="auto"/>
              <w:jc w:val="center"/>
              <w:rPr>
                <w:rFonts w:ascii="Arial" w:eastAsia="Times New Roman" w:hAnsi="Arial" w:cs="Arial"/>
              </w:rPr>
            </w:pPr>
            <w:bookmarkStart w:id="5" w:name="_Hlk172986818"/>
            <w:r w:rsidRPr="00485CDA">
              <w:rPr>
                <w:rFonts w:ascii="Arial" w:eastAsia="Times New Roman" w:hAnsi="Arial" w:cs="Arial"/>
              </w:rPr>
              <w:t>4</w:t>
            </w:r>
            <w:bookmarkEnd w:id="5"/>
            <w:r w:rsidRPr="00485CDA">
              <w:rPr>
                <w:rFonts w:ascii="Arial" w:eastAsia="Times New Roman" w:hAnsi="Arial" w:cs="Arial"/>
              </w:rPr>
              <w:t>8.24</w:t>
            </w:r>
          </w:p>
        </w:tc>
      </w:tr>
      <w:tr w:rsidR="00B06624" w:rsidRPr="00485CDA" w14:paraId="7FAA47F6" w14:textId="77777777" w:rsidTr="00EF5012">
        <w:trPr>
          <w:trHeight w:val="488"/>
        </w:trPr>
        <w:tc>
          <w:tcPr>
            <w:tcW w:w="1441" w:type="dxa"/>
            <w:shd w:val="clear" w:color="auto" w:fill="auto"/>
            <w:vAlign w:val="center"/>
          </w:tcPr>
          <w:p w14:paraId="04692C2C"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10</w:t>
            </w:r>
            <w:r w:rsidRPr="00485CDA">
              <w:rPr>
                <w:rFonts w:ascii="Arial" w:eastAsia="Times New Roman" w:hAnsi="Arial" w:cs="Arial"/>
              </w:rPr>
              <w:t>.</w:t>
            </w:r>
          </w:p>
        </w:tc>
        <w:tc>
          <w:tcPr>
            <w:tcW w:w="2405" w:type="dxa"/>
            <w:shd w:val="clear" w:color="auto" w:fill="auto"/>
            <w:vAlign w:val="center"/>
          </w:tcPr>
          <w:p w14:paraId="51D03E3E" w14:textId="77777777" w:rsidR="00B06624" w:rsidRPr="00485CDA" w:rsidRDefault="00B06624" w:rsidP="00EF5012">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10</w:t>
            </w:r>
          </w:p>
        </w:tc>
        <w:tc>
          <w:tcPr>
            <w:tcW w:w="2563" w:type="dxa"/>
            <w:shd w:val="clear" w:color="auto" w:fill="auto"/>
            <w:vAlign w:val="center"/>
          </w:tcPr>
          <w:p w14:paraId="3CF0BB72" w14:textId="77777777" w:rsidR="00B06624" w:rsidRPr="00485CDA" w:rsidRDefault="00B06624" w:rsidP="00EF5012">
            <w:pPr>
              <w:spacing w:after="0" w:line="240" w:lineRule="auto"/>
              <w:jc w:val="center"/>
              <w:rPr>
                <w:rFonts w:ascii="Arial" w:eastAsia="Times New Roman" w:hAnsi="Arial" w:cs="Arial"/>
                <w:vertAlign w:val="superscript"/>
              </w:rPr>
            </w:pPr>
            <w:r w:rsidRPr="00485CDA">
              <w:rPr>
                <w:rFonts w:ascii="Arial" w:eastAsia="Times New Roman" w:hAnsi="Arial" w:cs="Arial"/>
              </w:rPr>
              <w:t>30.52 (34.32)</w:t>
            </w:r>
          </w:p>
        </w:tc>
        <w:tc>
          <w:tcPr>
            <w:tcW w:w="2570" w:type="dxa"/>
            <w:shd w:val="clear" w:color="auto" w:fill="auto"/>
            <w:vAlign w:val="center"/>
          </w:tcPr>
          <w:p w14:paraId="7A53E5F8"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66.08</w:t>
            </w:r>
          </w:p>
        </w:tc>
      </w:tr>
      <w:tr w:rsidR="00B06624" w:rsidRPr="00485CDA" w14:paraId="15A40414" w14:textId="77777777" w:rsidTr="00EF5012">
        <w:trPr>
          <w:trHeight w:val="488"/>
        </w:trPr>
        <w:tc>
          <w:tcPr>
            <w:tcW w:w="1441" w:type="dxa"/>
            <w:shd w:val="clear" w:color="auto" w:fill="auto"/>
            <w:vAlign w:val="center"/>
          </w:tcPr>
          <w:p w14:paraId="4297A5B9"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11</w:t>
            </w:r>
            <w:r w:rsidRPr="00485CDA">
              <w:rPr>
                <w:rFonts w:ascii="Arial" w:eastAsia="Times New Roman" w:hAnsi="Arial" w:cs="Arial"/>
              </w:rPr>
              <w:t>.</w:t>
            </w:r>
          </w:p>
        </w:tc>
        <w:tc>
          <w:tcPr>
            <w:tcW w:w="2405" w:type="dxa"/>
            <w:shd w:val="clear" w:color="auto" w:fill="auto"/>
            <w:vAlign w:val="center"/>
          </w:tcPr>
          <w:p w14:paraId="4EBD7FB3"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Control</w:t>
            </w:r>
          </w:p>
        </w:tc>
        <w:tc>
          <w:tcPr>
            <w:tcW w:w="2563" w:type="dxa"/>
            <w:shd w:val="clear" w:color="auto" w:fill="auto"/>
            <w:vAlign w:val="center"/>
          </w:tcPr>
          <w:p w14:paraId="56D8D988"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90.00</w:t>
            </w:r>
          </w:p>
        </w:tc>
        <w:tc>
          <w:tcPr>
            <w:tcW w:w="2570" w:type="dxa"/>
            <w:shd w:val="clear" w:color="auto" w:fill="auto"/>
            <w:vAlign w:val="center"/>
          </w:tcPr>
          <w:p w14:paraId="581E18A3"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w:t>
            </w:r>
          </w:p>
        </w:tc>
      </w:tr>
      <w:tr w:rsidR="00B06624" w:rsidRPr="00485CDA" w14:paraId="3BAE88DA" w14:textId="77777777" w:rsidTr="00EF5012">
        <w:trPr>
          <w:trHeight w:val="488"/>
        </w:trPr>
        <w:tc>
          <w:tcPr>
            <w:tcW w:w="3846" w:type="dxa"/>
            <w:gridSpan w:val="2"/>
            <w:vAlign w:val="center"/>
          </w:tcPr>
          <w:p w14:paraId="503D2518" w14:textId="77777777" w:rsidR="00B06624" w:rsidRPr="00485CDA" w:rsidRDefault="00B06624" w:rsidP="00EF5012">
            <w:pPr>
              <w:spacing w:after="0" w:line="240" w:lineRule="auto"/>
              <w:jc w:val="center"/>
              <w:rPr>
                <w:rFonts w:ascii="Arial" w:eastAsia="Times New Roman" w:hAnsi="Arial" w:cs="Arial"/>
              </w:rPr>
            </w:pPr>
            <w:r w:rsidRPr="00485CDA">
              <w:rPr>
                <w:rFonts w:ascii="Arial" w:hAnsi="Arial" w:cs="Arial"/>
              </w:rPr>
              <w:t>C.D. at 5 %</w:t>
            </w:r>
          </w:p>
        </w:tc>
        <w:tc>
          <w:tcPr>
            <w:tcW w:w="2563" w:type="dxa"/>
            <w:shd w:val="clear" w:color="auto" w:fill="auto"/>
            <w:vAlign w:val="center"/>
          </w:tcPr>
          <w:p w14:paraId="54C4DB8A"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3.01</w:t>
            </w:r>
          </w:p>
        </w:tc>
        <w:tc>
          <w:tcPr>
            <w:tcW w:w="2570" w:type="dxa"/>
            <w:shd w:val="clear" w:color="auto" w:fill="auto"/>
            <w:vAlign w:val="center"/>
          </w:tcPr>
          <w:p w14:paraId="1F272476" w14:textId="77777777" w:rsidR="00B06624" w:rsidRPr="00485CDA" w:rsidRDefault="00B06624" w:rsidP="00EF5012">
            <w:pPr>
              <w:spacing w:after="0" w:line="240" w:lineRule="auto"/>
              <w:jc w:val="center"/>
              <w:rPr>
                <w:rFonts w:ascii="Arial" w:eastAsia="Times New Roman" w:hAnsi="Arial" w:cs="Arial"/>
              </w:rPr>
            </w:pPr>
          </w:p>
        </w:tc>
      </w:tr>
      <w:tr w:rsidR="00B06624" w:rsidRPr="00485CDA" w14:paraId="279020AF" w14:textId="77777777" w:rsidTr="00EF5012">
        <w:trPr>
          <w:trHeight w:val="488"/>
        </w:trPr>
        <w:tc>
          <w:tcPr>
            <w:tcW w:w="3846" w:type="dxa"/>
            <w:gridSpan w:val="2"/>
            <w:vAlign w:val="center"/>
          </w:tcPr>
          <w:p w14:paraId="31C4DFB3" w14:textId="77777777" w:rsidR="00B06624" w:rsidRPr="00485CDA" w:rsidRDefault="00B06624" w:rsidP="00EF5012">
            <w:pPr>
              <w:spacing w:after="0" w:line="240" w:lineRule="auto"/>
              <w:jc w:val="center"/>
              <w:rPr>
                <w:rFonts w:ascii="Arial" w:eastAsia="Times New Roman" w:hAnsi="Arial" w:cs="Arial"/>
              </w:rPr>
            </w:pPr>
            <w:r w:rsidRPr="00485CDA">
              <w:rPr>
                <w:rFonts w:ascii="Arial" w:hAnsi="Arial" w:cs="Arial"/>
              </w:rPr>
              <w:t>S. Em.  ±</w:t>
            </w:r>
          </w:p>
        </w:tc>
        <w:tc>
          <w:tcPr>
            <w:tcW w:w="2563" w:type="dxa"/>
            <w:shd w:val="clear" w:color="auto" w:fill="auto"/>
            <w:vAlign w:val="center"/>
          </w:tcPr>
          <w:p w14:paraId="68C69AF6" w14:textId="77777777" w:rsidR="00B06624" w:rsidRPr="00485CDA" w:rsidRDefault="00B06624" w:rsidP="00EF5012">
            <w:pPr>
              <w:spacing w:after="0" w:line="240" w:lineRule="auto"/>
              <w:jc w:val="center"/>
              <w:rPr>
                <w:rFonts w:ascii="Arial" w:eastAsia="Times New Roman" w:hAnsi="Arial" w:cs="Arial"/>
              </w:rPr>
            </w:pPr>
            <w:r w:rsidRPr="00485CDA">
              <w:rPr>
                <w:rFonts w:ascii="Arial" w:eastAsia="Times New Roman" w:hAnsi="Arial" w:cs="Arial"/>
              </w:rPr>
              <w:t>1.00</w:t>
            </w:r>
          </w:p>
        </w:tc>
        <w:tc>
          <w:tcPr>
            <w:tcW w:w="2570" w:type="dxa"/>
            <w:shd w:val="clear" w:color="auto" w:fill="auto"/>
            <w:vAlign w:val="center"/>
          </w:tcPr>
          <w:p w14:paraId="2633AD67" w14:textId="77777777" w:rsidR="00B06624" w:rsidRPr="00485CDA" w:rsidRDefault="00B06624" w:rsidP="00EF5012">
            <w:pPr>
              <w:spacing w:after="0" w:line="240" w:lineRule="auto"/>
              <w:jc w:val="center"/>
              <w:rPr>
                <w:rFonts w:ascii="Arial" w:eastAsia="Times New Roman" w:hAnsi="Arial" w:cs="Arial"/>
              </w:rPr>
            </w:pPr>
          </w:p>
        </w:tc>
      </w:tr>
      <w:bookmarkEnd w:id="2"/>
    </w:tbl>
    <w:p w14:paraId="5F42B25D" w14:textId="77777777" w:rsidR="00B06624" w:rsidRPr="00485CDA" w:rsidRDefault="00B06624" w:rsidP="00B06624">
      <w:pPr>
        <w:rPr>
          <w:rFonts w:ascii="Arial" w:hAnsi="Arial" w:cs="Arial"/>
        </w:rPr>
      </w:pPr>
    </w:p>
    <w:p w14:paraId="1CC17CFE" w14:textId="77777777" w:rsidR="00B06624" w:rsidRPr="00485CDA" w:rsidRDefault="00B06624" w:rsidP="00B06624">
      <w:pPr>
        <w:rPr>
          <w:rFonts w:ascii="Arial" w:hAnsi="Arial" w:cs="Arial"/>
        </w:rPr>
      </w:pPr>
    </w:p>
    <w:p w14:paraId="45E4E2A2" w14:textId="77777777" w:rsidR="00B06624" w:rsidRPr="00485CDA" w:rsidRDefault="00B06624" w:rsidP="00B06624">
      <w:pPr>
        <w:rPr>
          <w:rFonts w:ascii="Arial" w:hAnsi="Arial" w:cs="Arial"/>
        </w:rPr>
      </w:pPr>
    </w:p>
    <w:p w14:paraId="78D729D4" w14:textId="77777777" w:rsidR="00B06624" w:rsidRPr="00485CDA" w:rsidRDefault="00B06624" w:rsidP="00B06624">
      <w:pPr>
        <w:rPr>
          <w:rFonts w:ascii="Arial" w:hAnsi="Arial" w:cs="Arial"/>
        </w:rPr>
      </w:pPr>
    </w:p>
    <w:p w14:paraId="716CA711" w14:textId="77777777" w:rsidR="00B06624" w:rsidRPr="00485CDA" w:rsidRDefault="00B06624" w:rsidP="00B06624">
      <w:pPr>
        <w:rPr>
          <w:rFonts w:ascii="Arial" w:hAnsi="Arial" w:cs="Arial"/>
        </w:rPr>
      </w:pPr>
    </w:p>
    <w:p w14:paraId="70523D85" w14:textId="77777777" w:rsidR="00B06624" w:rsidRPr="00485CDA" w:rsidRDefault="00B06624" w:rsidP="00B06624">
      <w:pPr>
        <w:rPr>
          <w:rFonts w:ascii="Arial" w:hAnsi="Arial" w:cs="Arial"/>
        </w:rPr>
      </w:pPr>
    </w:p>
    <w:p w14:paraId="1E0F0B62" w14:textId="77777777" w:rsidR="00B06624" w:rsidRPr="00485CDA" w:rsidRDefault="00B06624" w:rsidP="00B06624">
      <w:pPr>
        <w:rPr>
          <w:rFonts w:ascii="Arial" w:hAnsi="Arial" w:cs="Arial"/>
        </w:rPr>
      </w:pPr>
    </w:p>
    <w:p w14:paraId="42347004" w14:textId="77777777" w:rsidR="00B06624" w:rsidRPr="00485CDA" w:rsidRDefault="00B06624" w:rsidP="00B06624">
      <w:pPr>
        <w:rPr>
          <w:rFonts w:ascii="Arial" w:hAnsi="Arial" w:cs="Arial"/>
        </w:rPr>
      </w:pPr>
    </w:p>
    <w:p w14:paraId="70BA12E1" w14:textId="77777777" w:rsidR="00B06624" w:rsidRPr="00485CDA" w:rsidRDefault="00B06624" w:rsidP="00B06624">
      <w:pPr>
        <w:rPr>
          <w:rFonts w:ascii="Arial" w:hAnsi="Arial" w:cs="Arial"/>
        </w:rPr>
      </w:pPr>
    </w:p>
    <w:p w14:paraId="2D73423E" w14:textId="77777777" w:rsidR="00B06624" w:rsidRPr="00485CDA" w:rsidRDefault="00B06624" w:rsidP="00B06624">
      <w:pPr>
        <w:rPr>
          <w:rFonts w:ascii="Arial" w:hAnsi="Arial" w:cs="Arial"/>
        </w:rPr>
      </w:pPr>
    </w:p>
    <w:p w14:paraId="39C10BC8" w14:textId="77777777" w:rsidR="00B06624" w:rsidRPr="00485CDA" w:rsidRDefault="00B06624" w:rsidP="00B06624">
      <w:pPr>
        <w:rPr>
          <w:rFonts w:ascii="Arial" w:hAnsi="Arial" w:cs="Arial"/>
        </w:rPr>
      </w:pPr>
    </w:p>
    <w:p w14:paraId="3DEDC788" w14:textId="77777777" w:rsidR="00B06624" w:rsidRPr="00485CDA" w:rsidRDefault="00B06624" w:rsidP="00B06624">
      <w:pPr>
        <w:rPr>
          <w:rFonts w:ascii="Arial" w:hAnsi="Arial" w:cs="Arial"/>
        </w:rPr>
      </w:pPr>
    </w:p>
    <w:p w14:paraId="660C7802" w14:textId="77777777" w:rsidR="00B06624" w:rsidRPr="00485CDA" w:rsidRDefault="00B06624" w:rsidP="00B06624">
      <w:pPr>
        <w:rPr>
          <w:rFonts w:ascii="Arial" w:hAnsi="Arial" w:cs="Arial"/>
        </w:rPr>
      </w:pPr>
    </w:p>
    <w:p w14:paraId="0764C922" w14:textId="77777777" w:rsidR="00B06624" w:rsidRPr="00485CDA" w:rsidRDefault="00B06624" w:rsidP="00B06624">
      <w:pPr>
        <w:rPr>
          <w:rFonts w:ascii="Arial" w:hAnsi="Arial" w:cs="Arial"/>
        </w:rPr>
      </w:pPr>
    </w:p>
    <w:p w14:paraId="4084E01D" w14:textId="77777777" w:rsidR="00B06624" w:rsidRPr="00485CDA" w:rsidRDefault="00B06624" w:rsidP="00B06624">
      <w:pPr>
        <w:rPr>
          <w:rFonts w:ascii="Arial" w:hAnsi="Arial" w:cs="Arial"/>
        </w:rPr>
      </w:pPr>
    </w:p>
    <w:p w14:paraId="44968C4E" w14:textId="77777777" w:rsidR="00B06624" w:rsidRPr="00485CDA" w:rsidRDefault="00B06624" w:rsidP="00B06624">
      <w:pPr>
        <w:rPr>
          <w:rFonts w:ascii="Arial" w:hAnsi="Arial" w:cs="Arial"/>
        </w:rPr>
      </w:pPr>
    </w:p>
    <w:p w14:paraId="5E916905" w14:textId="77777777" w:rsidR="00B06624" w:rsidRPr="00485CDA" w:rsidRDefault="00B06624" w:rsidP="00B06624">
      <w:pPr>
        <w:rPr>
          <w:rFonts w:ascii="Arial" w:hAnsi="Arial" w:cs="Arial"/>
        </w:rPr>
      </w:pPr>
    </w:p>
    <w:p w14:paraId="0B76D91C" w14:textId="77777777" w:rsidR="00B06624" w:rsidRPr="00485CDA" w:rsidRDefault="00B06624" w:rsidP="00B06624">
      <w:pPr>
        <w:tabs>
          <w:tab w:val="left" w:pos="1286"/>
          <w:tab w:val="center" w:pos="6979"/>
        </w:tabs>
        <w:ind w:right="548"/>
        <w:rPr>
          <w:rFonts w:ascii="Arial" w:hAnsi="Arial" w:cs="Arial"/>
        </w:rPr>
      </w:pPr>
      <w:r w:rsidRPr="00485CDA">
        <w:rPr>
          <w:rFonts w:ascii="Arial" w:hAnsi="Arial" w:cs="Arial"/>
        </w:rPr>
        <w:t>*Mean of three replications, Values in the parentheses are arcsine- transformed values. Values in the column followed by common letters are not differ significantly by DMRT (p=0.05)</w:t>
      </w:r>
    </w:p>
    <w:sectPr w:rsidR="00B06624" w:rsidRPr="00485CDA" w:rsidSect="00B066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8954" w14:textId="77777777" w:rsidR="002152F3" w:rsidRDefault="002152F3" w:rsidP="001F79BD">
      <w:pPr>
        <w:spacing w:after="0" w:line="240" w:lineRule="auto"/>
      </w:pPr>
      <w:r>
        <w:separator/>
      </w:r>
    </w:p>
  </w:endnote>
  <w:endnote w:type="continuationSeparator" w:id="0">
    <w:p w14:paraId="377CDAFA" w14:textId="77777777" w:rsidR="002152F3" w:rsidRDefault="002152F3" w:rsidP="001F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C324" w14:textId="77777777" w:rsidR="001F79BD" w:rsidRDefault="001F7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F8D7" w14:textId="77777777" w:rsidR="001F79BD" w:rsidRDefault="001F7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69E7" w14:textId="77777777" w:rsidR="001F79BD" w:rsidRDefault="001F7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0EA1A" w14:textId="77777777" w:rsidR="002152F3" w:rsidRDefault="002152F3" w:rsidP="001F79BD">
      <w:pPr>
        <w:spacing w:after="0" w:line="240" w:lineRule="auto"/>
      </w:pPr>
      <w:r>
        <w:separator/>
      </w:r>
    </w:p>
  </w:footnote>
  <w:footnote w:type="continuationSeparator" w:id="0">
    <w:p w14:paraId="182F7036" w14:textId="77777777" w:rsidR="002152F3" w:rsidRDefault="002152F3" w:rsidP="001F7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1A0E" w14:textId="11C40770" w:rsidR="001F79BD" w:rsidRDefault="001F79BD">
    <w:pPr>
      <w:pStyle w:val="Header"/>
    </w:pPr>
    <w:r>
      <w:rPr>
        <w:noProof/>
      </w:rPr>
      <w:pict w14:anchorId="22AAE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766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7B28" w14:textId="227BCD97" w:rsidR="001F79BD" w:rsidRDefault="001F79BD">
    <w:pPr>
      <w:pStyle w:val="Header"/>
    </w:pPr>
    <w:r>
      <w:rPr>
        <w:noProof/>
      </w:rPr>
      <w:pict w14:anchorId="297FA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766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EC4F" w14:textId="7CA5343C" w:rsidR="001F79BD" w:rsidRDefault="001F79BD">
    <w:pPr>
      <w:pStyle w:val="Header"/>
    </w:pPr>
    <w:r>
      <w:rPr>
        <w:noProof/>
      </w:rPr>
      <w:pict w14:anchorId="7EF79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766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96963"/>
    <w:multiLevelType w:val="hybridMultilevel"/>
    <w:tmpl w:val="9A3C5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CA"/>
    <w:rsid w:val="0009402F"/>
    <w:rsid w:val="000B4CAA"/>
    <w:rsid w:val="001A03D3"/>
    <w:rsid w:val="001A4F3A"/>
    <w:rsid w:val="001D0409"/>
    <w:rsid w:val="001F79BD"/>
    <w:rsid w:val="002152F3"/>
    <w:rsid w:val="00253E28"/>
    <w:rsid w:val="00272F7C"/>
    <w:rsid w:val="00312864"/>
    <w:rsid w:val="003A15E3"/>
    <w:rsid w:val="003B494A"/>
    <w:rsid w:val="00485CDA"/>
    <w:rsid w:val="00524C8B"/>
    <w:rsid w:val="005E0F29"/>
    <w:rsid w:val="006070B9"/>
    <w:rsid w:val="00616F5F"/>
    <w:rsid w:val="00740758"/>
    <w:rsid w:val="00897F2B"/>
    <w:rsid w:val="008B0837"/>
    <w:rsid w:val="00910FEA"/>
    <w:rsid w:val="00A9770D"/>
    <w:rsid w:val="00AD7A09"/>
    <w:rsid w:val="00B06624"/>
    <w:rsid w:val="00B3371D"/>
    <w:rsid w:val="00B52656"/>
    <w:rsid w:val="00CD5B76"/>
    <w:rsid w:val="00CF0FCA"/>
    <w:rsid w:val="00D753A2"/>
    <w:rsid w:val="00F3210D"/>
    <w:rsid w:val="00F92064"/>
    <w:rsid w:val="00F9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E052A5"/>
  <w15:chartTrackingRefBased/>
  <w15:docId w15:val="{1A38B0C5-728B-4108-8BC4-5D2F5957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3B494A"/>
    <w:pPr>
      <w:spacing w:after="240" w:line="240" w:lineRule="auto"/>
      <w:ind w:left="720" w:hanging="720"/>
    </w:pPr>
  </w:style>
  <w:style w:type="paragraph" w:styleId="NormalWeb">
    <w:name w:val="Normal (Web)"/>
    <w:basedOn w:val="Normal"/>
    <w:uiPriority w:val="99"/>
    <w:unhideWhenUsed/>
    <w:rsid w:val="00524C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24C8B"/>
    <w:rPr>
      <w:b/>
      <w:bCs/>
    </w:rPr>
  </w:style>
  <w:style w:type="character" w:styleId="Hyperlink">
    <w:name w:val="Hyperlink"/>
    <w:uiPriority w:val="99"/>
    <w:unhideWhenUsed/>
    <w:rsid w:val="00524C8B"/>
    <w:rPr>
      <w:color w:val="0000FF"/>
      <w:u w:val="single"/>
    </w:rPr>
  </w:style>
  <w:style w:type="table" w:styleId="TableGrid">
    <w:name w:val="Table Grid"/>
    <w:basedOn w:val="TableNormal"/>
    <w:uiPriority w:val="39"/>
    <w:rsid w:val="00B0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E0F29"/>
    <w:pPr>
      <w:spacing w:after="240" w:line="240" w:lineRule="auto"/>
      <w:jc w:val="both"/>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616F5F"/>
    <w:rPr>
      <w:color w:val="605E5C"/>
      <w:shd w:val="clear" w:color="auto" w:fill="E1DFDD"/>
    </w:rPr>
  </w:style>
  <w:style w:type="paragraph" w:styleId="Header">
    <w:name w:val="header"/>
    <w:basedOn w:val="Normal"/>
    <w:link w:val="HeaderChar"/>
    <w:uiPriority w:val="99"/>
    <w:unhideWhenUsed/>
    <w:rsid w:val="001F7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BD"/>
  </w:style>
  <w:style w:type="paragraph" w:styleId="Footer">
    <w:name w:val="footer"/>
    <w:basedOn w:val="Normal"/>
    <w:link w:val="FooterChar"/>
    <w:uiPriority w:val="99"/>
    <w:unhideWhenUsed/>
    <w:rsid w:val="001F7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11</Pages>
  <Words>9662</Words>
  <Characters>55076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SOUNDARA RAJAN</dc:creator>
  <cp:keywords/>
  <dc:description/>
  <cp:lastModifiedBy>SDI 1180</cp:lastModifiedBy>
  <cp:revision>14</cp:revision>
  <dcterms:created xsi:type="dcterms:W3CDTF">2025-07-19T02:27:00Z</dcterms:created>
  <dcterms:modified xsi:type="dcterms:W3CDTF">2025-07-19T14:11:00Z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zotero-version="7.0.21"&gt;&lt;session id="PdBeaq4I"/&gt;&lt;style id="http://www.zotero.org/styles/plant-molecular-biology" hasBibliography="1" bibliographyStyleHasBeenSet="1"/&gt;&lt;prefs&gt;&lt;pref name="fieldType" value="Field"/&gt;&lt;/prefs&gt;&lt;/data&gt;</vt:lpwstr>
  </property>
</Properties>
</file>