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C1F7" w14:textId="35B79BD9" w:rsidR="005C3E28" w:rsidRDefault="005C3E28" w:rsidP="00824673">
      <w:pPr>
        <w:jc w:val="right"/>
        <w:rPr>
          <w:rFonts w:ascii="Arial" w:hAnsi="Arial" w:cs="Arial"/>
          <w:b/>
          <w:bCs/>
          <w:sz w:val="36"/>
          <w:szCs w:val="36"/>
        </w:rPr>
      </w:pPr>
      <w:r w:rsidRPr="005C3E28">
        <w:rPr>
          <w:rFonts w:ascii="Arial" w:hAnsi="Arial" w:cs="Arial"/>
          <w:b/>
          <w:bCs/>
          <w:i/>
          <w:iCs/>
          <w:sz w:val="36"/>
          <w:szCs w:val="36"/>
          <w:u w:val="single"/>
        </w:rPr>
        <w:t>Original Research Article</w:t>
      </w:r>
    </w:p>
    <w:p w14:paraId="2CA176F4" w14:textId="3A0C70A8" w:rsidR="00A258C3" w:rsidRDefault="00DE4697" w:rsidP="00824673">
      <w:pPr>
        <w:jc w:val="right"/>
        <w:rPr>
          <w:rFonts w:ascii="Arial" w:hAnsi="Arial" w:cs="Arial"/>
          <w:b/>
          <w:bCs/>
          <w:sz w:val="36"/>
          <w:szCs w:val="36"/>
        </w:rPr>
      </w:pPr>
      <w:r w:rsidRPr="00F6311C">
        <w:rPr>
          <w:rFonts w:ascii="Arial" w:hAnsi="Arial" w:cs="Arial"/>
          <w:b/>
          <w:bCs/>
          <w:sz w:val="36"/>
          <w:szCs w:val="36"/>
        </w:rPr>
        <w:t xml:space="preserve">Effect of Zinc </w:t>
      </w:r>
      <w:r w:rsidR="00DB28DA">
        <w:rPr>
          <w:rFonts w:ascii="Arial" w:hAnsi="Arial" w:cs="Arial"/>
          <w:b/>
          <w:bCs/>
          <w:sz w:val="36"/>
          <w:szCs w:val="36"/>
        </w:rPr>
        <w:t xml:space="preserve">Application </w:t>
      </w:r>
      <w:r w:rsidRPr="00F6311C">
        <w:rPr>
          <w:rFonts w:ascii="Arial" w:hAnsi="Arial" w:cs="Arial"/>
          <w:b/>
          <w:bCs/>
          <w:sz w:val="36"/>
          <w:szCs w:val="36"/>
        </w:rPr>
        <w:t xml:space="preserve">on </w:t>
      </w:r>
      <w:r w:rsidR="00EA1ECD">
        <w:rPr>
          <w:rFonts w:ascii="Arial" w:hAnsi="Arial" w:cs="Arial"/>
          <w:b/>
          <w:bCs/>
          <w:sz w:val="36"/>
          <w:szCs w:val="36"/>
        </w:rPr>
        <w:t>Phytoplan</w:t>
      </w:r>
      <w:r w:rsidR="00B421D0">
        <w:rPr>
          <w:rFonts w:ascii="Arial" w:hAnsi="Arial" w:cs="Arial"/>
          <w:b/>
          <w:bCs/>
          <w:sz w:val="36"/>
          <w:szCs w:val="36"/>
        </w:rPr>
        <w:t xml:space="preserve">kton </w:t>
      </w:r>
      <w:r w:rsidR="00EA1ECD">
        <w:rPr>
          <w:rFonts w:ascii="Arial" w:hAnsi="Arial" w:cs="Arial"/>
          <w:b/>
          <w:bCs/>
          <w:sz w:val="36"/>
          <w:szCs w:val="36"/>
        </w:rPr>
        <w:t xml:space="preserve">Productivity, </w:t>
      </w:r>
      <w:r w:rsidRPr="00F6311C">
        <w:rPr>
          <w:rFonts w:ascii="Arial" w:hAnsi="Arial" w:cs="Arial"/>
          <w:b/>
          <w:bCs/>
          <w:sz w:val="36"/>
          <w:szCs w:val="36"/>
        </w:rPr>
        <w:t xml:space="preserve">Survival and Growth </w:t>
      </w:r>
      <w:r w:rsidR="00DB28DA">
        <w:rPr>
          <w:rFonts w:ascii="Arial" w:hAnsi="Arial" w:cs="Arial"/>
          <w:b/>
          <w:bCs/>
          <w:sz w:val="36"/>
          <w:szCs w:val="36"/>
        </w:rPr>
        <w:t>of</w:t>
      </w:r>
      <w:r w:rsidRPr="00F6311C">
        <w:rPr>
          <w:rFonts w:ascii="Arial" w:hAnsi="Arial" w:cs="Arial"/>
          <w:b/>
          <w:bCs/>
          <w:sz w:val="36"/>
          <w:szCs w:val="36"/>
        </w:rPr>
        <w:t xml:space="preserve"> Fry and Fingerlings of Rohu</w:t>
      </w:r>
      <w:r w:rsidR="00EA1ECD">
        <w:rPr>
          <w:rFonts w:ascii="Arial" w:hAnsi="Arial" w:cs="Arial"/>
          <w:b/>
          <w:bCs/>
          <w:sz w:val="36"/>
          <w:szCs w:val="36"/>
        </w:rPr>
        <w:t xml:space="preserve"> </w:t>
      </w:r>
      <w:r w:rsidRPr="00F6311C">
        <w:rPr>
          <w:rFonts w:ascii="Arial" w:hAnsi="Arial" w:cs="Arial"/>
          <w:b/>
          <w:bCs/>
          <w:sz w:val="36"/>
          <w:szCs w:val="36"/>
        </w:rPr>
        <w:t>(</w:t>
      </w:r>
      <w:proofErr w:type="spellStart"/>
      <w:r w:rsidRPr="00F6311C">
        <w:rPr>
          <w:rFonts w:ascii="Arial" w:hAnsi="Arial" w:cs="Arial"/>
          <w:b/>
          <w:bCs/>
          <w:i/>
          <w:iCs/>
          <w:sz w:val="36"/>
          <w:szCs w:val="36"/>
        </w:rPr>
        <w:t>Labeo</w:t>
      </w:r>
      <w:proofErr w:type="spellEnd"/>
      <w:r w:rsidRPr="00F6311C">
        <w:rPr>
          <w:rFonts w:ascii="Arial" w:hAnsi="Arial" w:cs="Arial"/>
          <w:b/>
          <w:bCs/>
          <w:i/>
          <w:iCs/>
          <w:sz w:val="36"/>
          <w:szCs w:val="36"/>
        </w:rPr>
        <w:t xml:space="preserve"> </w:t>
      </w:r>
      <w:proofErr w:type="spellStart"/>
      <w:r w:rsidRPr="00F6311C">
        <w:rPr>
          <w:rFonts w:ascii="Arial" w:hAnsi="Arial" w:cs="Arial"/>
          <w:b/>
          <w:bCs/>
          <w:i/>
          <w:iCs/>
          <w:sz w:val="36"/>
          <w:szCs w:val="36"/>
        </w:rPr>
        <w:t>rohita</w:t>
      </w:r>
      <w:proofErr w:type="spellEnd"/>
      <w:r w:rsidRPr="00F6311C">
        <w:rPr>
          <w:rFonts w:ascii="Arial" w:hAnsi="Arial" w:cs="Arial"/>
          <w:b/>
          <w:bCs/>
          <w:sz w:val="36"/>
          <w:szCs w:val="36"/>
        </w:rPr>
        <w:t xml:space="preserve"> H.)</w:t>
      </w:r>
    </w:p>
    <w:p w14:paraId="02BC6DC7" w14:textId="0F1F4DEE" w:rsidR="000F0088" w:rsidRPr="00C534AE" w:rsidRDefault="000F0088" w:rsidP="00C534AE">
      <w:pPr>
        <w:pStyle w:val="Author"/>
        <w:rPr>
          <w:rFonts w:ascii="Arial" w:hAnsi="Arial" w:cs="Arial"/>
          <w:i/>
          <w:iCs/>
          <w:sz w:val="16"/>
          <w:szCs w:val="16"/>
        </w:rPr>
      </w:pPr>
      <w:r>
        <w:rPr>
          <w:rFonts w:ascii="Arial" w:hAnsi="Arial" w:cs="Arial"/>
          <w:i/>
          <w:iCs/>
          <w:sz w:val="16"/>
          <w:szCs w:val="16"/>
        </w:rPr>
        <w:t xml:space="preserve"> </w:t>
      </w:r>
    </w:p>
    <w:p w14:paraId="1EA016E6" w14:textId="77777777" w:rsidR="00C534AE" w:rsidRPr="00DB28DA" w:rsidRDefault="00C534AE" w:rsidP="00DB28DA">
      <w:pPr>
        <w:pStyle w:val="Author"/>
        <w:rPr>
          <w:rFonts w:ascii="Arial" w:hAnsi="Arial" w:cs="Arial"/>
          <w:i/>
          <w:iCs/>
          <w:sz w:val="16"/>
          <w:szCs w:val="16"/>
        </w:rPr>
      </w:pPr>
    </w:p>
    <w:p w14:paraId="21851A0F" w14:textId="77777777" w:rsidR="00790ADA" w:rsidRDefault="00AE2CFC" w:rsidP="00441B6F">
      <w:pPr>
        <w:pStyle w:val="Author"/>
        <w:spacing w:line="240" w:lineRule="auto"/>
        <w:rPr>
          <w:rFonts w:ascii="Arial" w:hAnsi="Arial" w:cs="Arial"/>
        </w:rPr>
      </w:pPr>
      <w:r>
        <w:rPr>
          <w:rFonts w:ascii="Arial" w:hAnsi="Arial" w:cs="Arial"/>
          <w:noProof/>
          <w:lang w:val="en-IN" w:eastAsia="en-IN" w:bidi="hi-IN"/>
        </w:rPr>
        <mc:AlternateContent>
          <mc:Choice Requires="wps">
            <w:drawing>
              <wp:inline distT="0" distB="0" distL="0" distR="0" wp14:anchorId="3AF3CD6C" wp14:editId="361C7C88">
                <wp:extent cx="5303520" cy="635"/>
                <wp:effectExtent l="17145" t="10160" r="13335" b="1841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6EB2F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p>
    <w:p w14:paraId="0A457FD4" w14:textId="77777777" w:rsidR="00B01FCD" w:rsidRPr="00FB3A86" w:rsidRDefault="00FB3A86" w:rsidP="00441B6F">
      <w:pPr>
        <w:pStyle w:val="Copyright"/>
        <w:spacing w:after="0" w:line="240" w:lineRule="auto"/>
        <w:jc w:val="both"/>
        <w:rPr>
          <w:rFonts w:ascii="Arial" w:hAnsi="Arial" w:cs="Arial"/>
        </w:rPr>
        <w:sectPr w:rsidR="00B01FCD" w:rsidRPr="00FB3A86" w:rsidSect="00EE62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r>
        <w:rPr>
          <w:rFonts w:ascii="Arial" w:hAnsi="Arial" w:cs="Arial"/>
        </w:rPr>
        <w:t>.</w:t>
      </w:r>
    </w:p>
    <w:p w14:paraId="27459B58" w14:textId="681EFF9B" w:rsidR="00790ADA" w:rsidRDefault="00B01FCD" w:rsidP="00441B6F">
      <w:pPr>
        <w:pStyle w:val="AbstHead"/>
        <w:spacing w:after="0"/>
        <w:jc w:val="both"/>
        <w:rPr>
          <w:rFonts w:ascii="Arial" w:hAnsi="Arial" w:cs="Arial"/>
        </w:rPr>
      </w:pPr>
      <w:r w:rsidRPr="00FB3A86">
        <w:rPr>
          <w:rFonts w:ascii="Arial" w:hAnsi="Arial" w:cs="Arial"/>
        </w:rPr>
        <w:t>ABSTRACT</w:t>
      </w:r>
    </w:p>
    <w:p w14:paraId="0840BBA6" w14:textId="77777777" w:rsidR="00862DDD" w:rsidRPr="00FB3A86" w:rsidRDefault="00862DD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E4697" w:rsidRPr="00DE4697" w14:paraId="648276F8" w14:textId="77777777" w:rsidTr="001E44FE">
        <w:tc>
          <w:tcPr>
            <w:tcW w:w="9576" w:type="dxa"/>
            <w:shd w:val="clear" w:color="auto" w:fill="F2F2F2"/>
          </w:tcPr>
          <w:p w14:paraId="346542B4" w14:textId="42A0034E" w:rsidR="001D4EF8" w:rsidRPr="00713CAF" w:rsidRDefault="001D4EF8" w:rsidP="00B01C85">
            <w:pPr>
              <w:pStyle w:val="Body"/>
              <w:spacing w:after="0"/>
              <w:rPr>
                <w:rFonts w:ascii="Arial" w:eastAsia="Calibri" w:hAnsi="Arial" w:cs="Arial"/>
                <w:szCs w:val="22"/>
              </w:rPr>
            </w:pPr>
            <w:r w:rsidRPr="00713CAF">
              <w:rPr>
                <w:rFonts w:ascii="Arial" w:eastAsia="Calibri" w:hAnsi="Arial" w:cs="Arial"/>
                <w:b/>
                <w:bCs/>
                <w:szCs w:val="22"/>
              </w:rPr>
              <w:t>Aims:</w:t>
            </w:r>
            <w:r w:rsidRPr="00713CAF">
              <w:rPr>
                <w:rFonts w:ascii="Arial" w:eastAsia="Calibri" w:hAnsi="Arial" w:cs="Arial"/>
                <w:szCs w:val="22"/>
              </w:rPr>
              <w:t xml:space="preserve"> The present study aim</w:t>
            </w:r>
            <w:r w:rsidR="00EB4913" w:rsidRPr="00713CAF">
              <w:rPr>
                <w:rFonts w:ascii="Arial" w:eastAsia="Calibri" w:hAnsi="Arial" w:cs="Arial"/>
                <w:szCs w:val="22"/>
              </w:rPr>
              <w:t>s</w:t>
            </w:r>
            <w:r w:rsidRPr="00713CAF">
              <w:rPr>
                <w:rFonts w:ascii="Arial" w:eastAsia="Calibri" w:hAnsi="Arial" w:cs="Arial"/>
                <w:szCs w:val="22"/>
              </w:rPr>
              <w:t xml:space="preserve"> to evaluate the role of zinc (Zn) supplementation in enhancing plankton productivity and its subsequent effects on the survival, growth, </w:t>
            </w:r>
            <w:proofErr w:type="spellStart"/>
            <w:r w:rsidRPr="00713CAF">
              <w:rPr>
                <w:rFonts w:ascii="Arial" w:eastAsia="Calibri" w:hAnsi="Arial" w:cs="Arial"/>
                <w:szCs w:val="22"/>
              </w:rPr>
              <w:t>haematological</w:t>
            </w:r>
            <w:proofErr w:type="spellEnd"/>
            <w:r w:rsidRPr="00713CAF">
              <w:rPr>
                <w:rFonts w:ascii="Arial" w:eastAsia="Calibri" w:hAnsi="Arial" w:cs="Arial"/>
                <w:szCs w:val="22"/>
              </w:rPr>
              <w:t xml:space="preserve"> health, and innate immune response of </w:t>
            </w:r>
            <w:proofErr w:type="spellStart"/>
            <w:r w:rsidRPr="00713CAF">
              <w:rPr>
                <w:rFonts w:ascii="Arial" w:eastAsia="Calibri" w:hAnsi="Arial" w:cs="Arial"/>
                <w:i/>
                <w:iCs/>
                <w:szCs w:val="22"/>
              </w:rPr>
              <w:t>Labeo</w:t>
            </w:r>
            <w:proofErr w:type="spellEnd"/>
            <w:r w:rsidRPr="00713CAF">
              <w:rPr>
                <w:rFonts w:ascii="Arial" w:eastAsia="Calibri" w:hAnsi="Arial" w:cs="Arial"/>
                <w:i/>
                <w:iCs/>
                <w:szCs w:val="22"/>
              </w:rPr>
              <w:t xml:space="preserve"> </w:t>
            </w:r>
            <w:proofErr w:type="spellStart"/>
            <w:r w:rsidRPr="00713CAF">
              <w:rPr>
                <w:rFonts w:ascii="Arial" w:eastAsia="Calibri" w:hAnsi="Arial" w:cs="Arial"/>
                <w:i/>
                <w:iCs/>
                <w:szCs w:val="22"/>
              </w:rPr>
              <w:t>rohita</w:t>
            </w:r>
            <w:proofErr w:type="spellEnd"/>
            <w:r w:rsidRPr="00713CAF">
              <w:rPr>
                <w:rFonts w:ascii="Arial" w:eastAsia="Calibri" w:hAnsi="Arial" w:cs="Arial"/>
                <w:szCs w:val="22"/>
              </w:rPr>
              <w:t xml:space="preserve"> (rohu) fry and fingerlings.</w:t>
            </w:r>
          </w:p>
          <w:p w14:paraId="2BBCD506" w14:textId="77777777" w:rsidR="001D4EF8" w:rsidRPr="00713CAF" w:rsidRDefault="001D4EF8" w:rsidP="00B01C85">
            <w:pPr>
              <w:pStyle w:val="Body"/>
              <w:spacing w:after="0"/>
              <w:rPr>
                <w:rFonts w:ascii="Arial" w:eastAsia="Calibri" w:hAnsi="Arial" w:cs="Arial"/>
                <w:szCs w:val="22"/>
              </w:rPr>
            </w:pPr>
            <w:r w:rsidRPr="00713CAF">
              <w:rPr>
                <w:rFonts w:ascii="Arial" w:eastAsia="Calibri" w:hAnsi="Arial" w:cs="Arial"/>
                <w:b/>
                <w:bCs/>
                <w:szCs w:val="22"/>
              </w:rPr>
              <w:t>Study Design:</w:t>
            </w:r>
            <w:r w:rsidRPr="00713CAF">
              <w:rPr>
                <w:rFonts w:ascii="Arial" w:eastAsia="Calibri" w:hAnsi="Arial" w:cs="Arial"/>
                <w:szCs w:val="22"/>
              </w:rPr>
              <w:t xml:space="preserve"> Laboratory-based microcosm and outdoor tank-based mesocosm experiments were conducted with varying Zn concentrations.</w:t>
            </w:r>
          </w:p>
          <w:p w14:paraId="064514A9" w14:textId="77777777" w:rsidR="001D4EF8" w:rsidRPr="00713CAF" w:rsidRDefault="001D4EF8" w:rsidP="00B01C85">
            <w:pPr>
              <w:pStyle w:val="Body"/>
              <w:spacing w:after="0"/>
              <w:rPr>
                <w:rFonts w:ascii="Arial" w:eastAsia="Calibri" w:hAnsi="Arial" w:cs="Arial"/>
                <w:szCs w:val="22"/>
              </w:rPr>
            </w:pPr>
            <w:r w:rsidRPr="00713CAF">
              <w:rPr>
                <w:rFonts w:ascii="Arial" w:eastAsia="Calibri" w:hAnsi="Arial" w:cs="Arial"/>
                <w:b/>
                <w:bCs/>
                <w:szCs w:val="22"/>
              </w:rPr>
              <w:t>Place and Duration of Study:</w:t>
            </w:r>
            <w:r w:rsidRPr="00713CAF">
              <w:rPr>
                <w:rFonts w:ascii="Arial" w:eastAsia="Calibri" w:hAnsi="Arial" w:cs="Arial"/>
                <w:szCs w:val="22"/>
              </w:rPr>
              <w:t xml:space="preserve"> The experiments were carried out at ICAR-Central Institute of Freshwater Aquaculture, Bhubaneswar, Odisha, India, over a multi-phase research period.</w:t>
            </w:r>
          </w:p>
          <w:p w14:paraId="233643D4" w14:textId="06F98BF3" w:rsidR="001D4EF8" w:rsidRPr="00713CAF" w:rsidRDefault="001D4EF8" w:rsidP="00B01C85">
            <w:pPr>
              <w:pStyle w:val="Body"/>
              <w:spacing w:after="0"/>
              <w:rPr>
                <w:rFonts w:ascii="Arial" w:eastAsia="Calibri" w:hAnsi="Arial" w:cs="Arial"/>
                <w:szCs w:val="22"/>
              </w:rPr>
            </w:pPr>
            <w:r w:rsidRPr="00713CAF">
              <w:rPr>
                <w:rFonts w:ascii="Arial" w:eastAsia="Calibri" w:hAnsi="Arial" w:cs="Arial"/>
                <w:b/>
                <w:bCs/>
                <w:szCs w:val="22"/>
              </w:rPr>
              <w:t>Methodology:</w:t>
            </w:r>
            <w:r w:rsidRPr="00713CAF">
              <w:rPr>
                <w:rFonts w:ascii="Arial" w:eastAsia="Calibri" w:hAnsi="Arial" w:cs="Arial"/>
                <w:szCs w:val="22"/>
              </w:rPr>
              <w:t xml:space="preserve"> The initial laboratory trials used different Zn concent</w:t>
            </w:r>
            <w:bookmarkStart w:id="0" w:name="_GoBack"/>
            <w:bookmarkEnd w:id="0"/>
            <w:r w:rsidRPr="00713CAF">
              <w:rPr>
                <w:rFonts w:ascii="Arial" w:eastAsia="Calibri" w:hAnsi="Arial" w:cs="Arial"/>
                <w:szCs w:val="22"/>
              </w:rPr>
              <w:t xml:space="preserve">rations (0.00 to 2.00 </w:t>
            </w:r>
            <w:r w:rsidR="00F0271D">
              <w:rPr>
                <w:rFonts w:ascii="Arial" w:eastAsia="Calibri" w:hAnsi="Arial" w:cs="Arial"/>
                <w:szCs w:val="22"/>
              </w:rPr>
              <w:t>mg/l</w:t>
            </w:r>
            <w:r w:rsidRPr="00713CAF">
              <w:rPr>
                <w:rFonts w:ascii="Arial" w:eastAsia="Calibri" w:hAnsi="Arial" w:cs="Arial"/>
                <w:szCs w:val="22"/>
              </w:rPr>
              <w:t xml:space="preserve">) to study plankton biomass and chlorophyll-a content under controlled photo-bioreactor conditions, with and without Zn top-dressing. Based on the outcomes, two follow-up studies were conducted to evaluate the impact of Zn on rohu fry and fingerlings using lower Zn concentrations (0.00 to 0.50 </w:t>
            </w:r>
            <w:r w:rsidR="00F0271D">
              <w:rPr>
                <w:rFonts w:ascii="Arial" w:eastAsia="Calibri" w:hAnsi="Arial" w:cs="Arial"/>
                <w:szCs w:val="22"/>
              </w:rPr>
              <w:t>mg/l</w:t>
            </w:r>
            <w:r w:rsidRPr="00713CAF">
              <w:rPr>
                <w:rFonts w:ascii="Arial" w:eastAsia="Calibri" w:hAnsi="Arial" w:cs="Arial"/>
                <w:szCs w:val="22"/>
              </w:rPr>
              <w:t>) in 100–1500 L FRP and concrete tanks. The study assessed survival, growth performance, blood parameters (Hb, PCV, RBC/WBC counts), and innate immunity (respiratory burst and myeloperoxidase activity).</w:t>
            </w:r>
          </w:p>
          <w:p w14:paraId="73D4EAD6" w14:textId="1704CB62" w:rsidR="001D4EF8" w:rsidRPr="00713CAF" w:rsidRDefault="001D4EF8" w:rsidP="00B01C85">
            <w:pPr>
              <w:pStyle w:val="Body"/>
              <w:spacing w:after="0"/>
              <w:rPr>
                <w:rFonts w:ascii="Arial" w:eastAsia="Calibri" w:hAnsi="Arial" w:cs="Arial"/>
                <w:szCs w:val="22"/>
              </w:rPr>
            </w:pPr>
            <w:r w:rsidRPr="00713CAF">
              <w:rPr>
                <w:rFonts w:ascii="Arial" w:eastAsia="Calibri" w:hAnsi="Arial" w:cs="Arial"/>
                <w:b/>
                <w:bCs/>
                <w:szCs w:val="22"/>
              </w:rPr>
              <w:t>Results:</w:t>
            </w:r>
            <w:r w:rsidRPr="00713CAF">
              <w:rPr>
                <w:rFonts w:ascii="Arial" w:eastAsia="Calibri" w:hAnsi="Arial" w:cs="Arial"/>
                <w:szCs w:val="22"/>
              </w:rPr>
              <w:t xml:space="preserve"> </w:t>
            </w:r>
            <w:r w:rsidR="00713CAF" w:rsidRPr="00713CAF">
              <w:rPr>
                <w:rFonts w:ascii="Arial" w:eastAsia="Calibri" w:hAnsi="Arial" w:cs="Arial"/>
                <w:szCs w:val="22"/>
              </w:rPr>
              <w:t>Zinc</w:t>
            </w:r>
            <w:r w:rsidRPr="00713CAF">
              <w:rPr>
                <w:rFonts w:ascii="Arial" w:eastAsia="Calibri" w:hAnsi="Arial" w:cs="Arial"/>
                <w:szCs w:val="22"/>
              </w:rPr>
              <w:t xml:space="preserve"> supplementation up to 1.00 </w:t>
            </w:r>
            <w:r w:rsidR="00F0271D">
              <w:rPr>
                <w:rFonts w:ascii="Arial" w:eastAsia="Calibri" w:hAnsi="Arial" w:cs="Arial"/>
                <w:szCs w:val="22"/>
              </w:rPr>
              <w:t>mg/l</w:t>
            </w:r>
            <w:r w:rsidRPr="00713CAF">
              <w:rPr>
                <w:rFonts w:ascii="Arial" w:eastAsia="Calibri" w:hAnsi="Arial" w:cs="Arial"/>
                <w:szCs w:val="22"/>
              </w:rPr>
              <w:t xml:space="preserve"> significantly improved plankton productivity, particularly under top-dressed conditions. However, higher Zn concentrations negatively impacted survival and growth </w:t>
            </w:r>
            <w:r w:rsidR="00713CAF" w:rsidRPr="00713CAF">
              <w:rPr>
                <w:rFonts w:ascii="Arial" w:eastAsia="Calibri" w:hAnsi="Arial" w:cs="Arial"/>
                <w:szCs w:val="22"/>
              </w:rPr>
              <w:t>of rohu</w:t>
            </w:r>
            <w:r w:rsidRPr="00713CAF">
              <w:rPr>
                <w:rFonts w:ascii="Arial" w:eastAsia="Calibri" w:hAnsi="Arial" w:cs="Arial"/>
                <w:szCs w:val="22"/>
              </w:rPr>
              <w:t xml:space="preserve"> fry, indicating potential toxicity. </w:t>
            </w:r>
            <w:r w:rsidR="00713CAF" w:rsidRPr="00713CAF">
              <w:rPr>
                <w:rFonts w:ascii="Arial" w:eastAsia="Calibri" w:hAnsi="Arial" w:cs="Arial"/>
                <w:szCs w:val="22"/>
              </w:rPr>
              <w:t>Further, l</w:t>
            </w:r>
            <w:r w:rsidRPr="00713CAF">
              <w:rPr>
                <w:rFonts w:ascii="Arial" w:eastAsia="Calibri" w:hAnsi="Arial" w:cs="Arial"/>
                <w:szCs w:val="22"/>
              </w:rPr>
              <w:t>ower Zn levels</w:t>
            </w:r>
            <w:r w:rsidR="00713CAF" w:rsidRPr="00713CAF">
              <w:rPr>
                <w:rFonts w:ascii="Arial" w:eastAsia="Calibri" w:hAnsi="Arial" w:cs="Arial"/>
                <w:szCs w:val="22"/>
              </w:rPr>
              <w:t xml:space="preserve"> (</w:t>
            </w:r>
            <w:r w:rsidRPr="00713CAF">
              <w:rPr>
                <w:rFonts w:ascii="Arial" w:eastAsia="Calibri" w:hAnsi="Arial" w:cs="Arial"/>
                <w:szCs w:val="22"/>
              </w:rPr>
              <w:t xml:space="preserve">0.10 </w:t>
            </w:r>
            <w:r w:rsidR="00F0271D">
              <w:rPr>
                <w:rFonts w:ascii="Arial" w:eastAsia="Calibri" w:hAnsi="Arial" w:cs="Arial"/>
                <w:szCs w:val="22"/>
              </w:rPr>
              <w:t>mg/l</w:t>
            </w:r>
            <w:r w:rsidR="00713CAF" w:rsidRPr="00713CAF">
              <w:rPr>
                <w:rFonts w:ascii="Arial" w:eastAsia="Calibri" w:hAnsi="Arial" w:cs="Arial"/>
                <w:szCs w:val="22"/>
              </w:rPr>
              <w:t>)</w:t>
            </w:r>
            <w:r w:rsidRPr="00713CAF">
              <w:rPr>
                <w:rFonts w:ascii="Arial" w:eastAsia="Calibri" w:hAnsi="Arial" w:cs="Arial"/>
                <w:szCs w:val="22"/>
              </w:rPr>
              <w:t xml:space="preserve">, enhanced survival, weight gain, and length in both fry and fingerlings. Moreover, Zn at 0.10 </w:t>
            </w:r>
            <w:r w:rsidR="00F0271D">
              <w:rPr>
                <w:rFonts w:ascii="Arial" w:eastAsia="Calibri" w:hAnsi="Arial" w:cs="Arial"/>
                <w:szCs w:val="22"/>
              </w:rPr>
              <w:t>mg/l</w:t>
            </w:r>
            <w:r w:rsidRPr="00713CAF">
              <w:rPr>
                <w:rFonts w:ascii="Arial" w:eastAsia="Calibri" w:hAnsi="Arial" w:cs="Arial"/>
                <w:szCs w:val="22"/>
              </w:rPr>
              <w:t xml:space="preserve"> significantly improved </w:t>
            </w:r>
            <w:proofErr w:type="spellStart"/>
            <w:r w:rsidRPr="00713CAF">
              <w:rPr>
                <w:rFonts w:ascii="Arial" w:eastAsia="Calibri" w:hAnsi="Arial" w:cs="Arial"/>
                <w:szCs w:val="22"/>
              </w:rPr>
              <w:t>haematological</w:t>
            </w:r>
            <w:proofErr w:type="spellEnd"/>
            <w:r w:rsidRPr="00713CAF">
              <w:rPr>
                <w:rFonts w:ascii="Arial" w:eastAsia="Calibri" w:hAnsi="Arial" w:cs="Arial"/>
                <w:szCs w:val="22"/>
              </w:rPr>
              <w:t xml:space="preserve"> parameters and innate immune markers without adverse effects.</w:t>
            </w:r>
          </w:p>
          <w:p w14:paraId="4A42173E" w14:textId="4BD27345" w:rsidR="00B1666B" w:rsidRPr="00DE4697" w:rsidRDefault="001D4EF8" w:rsidP="00B01C85">
            <w:pPr>
              <w:pStyle w:val="Body"/>
              <w:spacing w:after="0"/>
              <w:rPr>
                <w:rFonts w:ascii="Arial" w:eastAsia="Calibri" w:hAnsi="Arial" w:cs="Arial"/>
                <w:color w:val="FF0000"/>
                <w:szCs w:val="22"/>
              </w:rPr>
            </w:pPr>
            <w:r w:rsidRPr="00713CAF">
              <w:rPr>
                <w:rFonts w:ascii="Arial" w:eastAsia="Calibri" w:hAnsi="Arial" w:cs="Arial"/>
                <w:b/>
                <w:bCs/>
                <w:szCs w:val="22"/>
              </w:rPr>
              <w:t>Conclusion:</w:t>
            </w:r>
            <w:r w:rsidRPr="00713CAF">
              <w:rPr>
                <w:rFonts w:ascii="Arial" w:eastAsia="Calibri" w:hAnsi="Arial" w:cs="Arial"/>
                <w:szCs w:val="22"/>
              </w:rPr>
              <w:t xml:space="preserve"> The findings clearly establish that Zn at an optimal concentration of 0.10 </w:t>
            </w:r>
            <w:r w:rsidR="00F0271D">
              <w:rPr>
                <w:rFonts w:ascii="Arial" w:eastAsia="Calibri" w:hAnsi="Arial" w:cs="Arial"/>
                <w:szCs w:val="22"/>
              </w:rPr>
              <w:t>mg/l</w:t>
            </w:r>
            <w:r w:rsidRPr="00713CAF">
              <w:rPr>
                <w:rFonts w:ascii="Arial" w:eastAsia="Calibri" w:hAnsi="Arial" w:cs="Arial"/>
                <w:szCs w:val="22"/>
              </w:rPr>
              <w:t xml:space="preserve"> enhances primary productivity, promotes healthy growth, and strengthens the immune system of </w:t>
            </w:r>
            <w:r w:rsidR="00713CAF" w:rsidRPr="00713CAF">
              <w:rPr>
                <w:rFonts w:ascii="Arial" w:eastAsia="Calibri" w:hAnsi="Arial" w:cs="Arial"/>
                <w:szCs w:val="22"/>
              </w:rPr>
              <w:t xml:space="preserve">rohu, </w:t>
            </w:r>
            <w:proofErr w:type="spellStart"/>
            <w:r w:rsidRPr="00713CAF">
              <w:rPr>
                <w:rFonts w:ascii="Arial" w:eastAsia="Calibri" w:hAnsi="Arial" w:cs="Arial"/>
                <w:i/>
                <w:iCs/>
                <w:szCs w:val="22"/>
              </w:rPr>
              <w:t>Labeo</w:t>
            </w:r>
            <w:proofErr w:type="spellEnd"/>
            <w:r w:rsidRPr="00713CAF">
              <w:rPr>
                <w:rFonts w:ascii="Arial" w:eastAsia="Calibri" w:hAnsi="Arial" w:cs="Arial"/>
                <w:i/>
                <w:iCs/>
                <w:szCs w:val="22"/>
              </w:rPr>
              <w:t xml:space="preserve"> </w:t>
            </w:r>
            <w:proofErr w:type="spellStart"/>
            <w:r w:rsidRPr="00713CAF">
              <w:rPr>
                <w:rFonts w:ascii="Arial" w:eastAsia="Calibri" w:hAnsi="Arial" w:cs="Arial"/>
                <w:i/>
                <w:iCs/>
                <w:szCs w:val="22"/>
              </w:rPr>
              <w:t>rohita</w:t>
            </w:r>
            <w:proofErr w:type="spellEnd"/>
            <w:r w:rsidRPr="00713CAF">
              <w:rPr>
                <w:rFonts w:ascii="Arial" w:eastAsia="Calibri" w:hAnsi="Arial" w:cs="Arial"/>
                <w:szCs w:val="22"/>
              </w:rPr>
              <w:t>. This study suggests that regulated Zn supplementation can be a sustainable strategy for improving freshwater aquaculture productivity while minimizing environmental and physiological risks.</w:t>
            </w:r>
          </w:p>
        </w:tc>
      </w:tr>
    </w:tbl>
    <w:p w14:paraId="14C7B81D" w14:textId="77777777" w:rsidR="00862DDD" w:rsidRDefault="00862DDD" w:rsidP="00441B6F">
      <w:pPr>
        <w:pStyle w:val="Body"/>
        <w:spacing w:after="0"/>
        <w:rPr>
          <w:rFonts w:ascii="Arial" w:hAnsi="Arial" w:cs="Arial"/>
          <w:i/>
        </w:rPr>
      </w:pPr>
    </w:p>
    <w:p w14:paraId="7C1AF2F0" w14:textId="36A771E0" w:rsidR="00A24E7E" w:rsidRDefault="00A24E7E" w:rsidP="00441B6F">
      <w:pPr>
        <w:pStyle w:val="Body"/>
        <w:spacing w:after="0"/>
        <w:rPr>
          <w:rFonts w:ascii="Arial" w:hAnsi="Arial" w:cs="Arial"/>
          <w:i/>
        </w:rPr>
      </w:pPr>
      <w:r w:rsidRPr="00704BE6">
        <w:rPr>
          <w:rFonts w:ascii="Arial" w:hAnsi="Arial" w:cs="Arial"/>
          <w:i/>
        </w:rPr>
        <w:t xml:space="preserve">Keywords: </w:t>
      </w:r>
      <w:r w:rsidR="00EE4FF7" w:rsidRPr="00704BE6">
        <w:rPr>
          <w:rFonts w:ascii="Arial" w:hAnsi="Arial" w:cs="Arial"/>
          <w:i/>
        </w:rPr>
        <w:t xml:space="preserve">Zinc, </w:t>
      </w:r>
      <w:proofErr w:type="spellStart"/>
      <w:r w:rsidR="00DC06A8">
        <w:rPr>
          <w:rFonts w:ascii="Arial" w:hAnsi="Arial" w:cs="Arial"/>
          <w:i/>
        </w:rPr>
        <w:t>Labeo</w:t>
      </w:r>
      <w:proofErr w:type="spellEnd"/>
      <w:r w:rsidR="00DC06A8">
        <w:rPr>
          <w:rFonts w:ascii="Arial" w:hAnsi="Arial" w:cs="Arial"/>
          <w:i/>
        </w:rPr>
        <w:t xml:space="preserve"> </w:t>
      </w:r>
      <w:proofErr w:type="spellStart"/>
      <w:r w:rsidR="00DC06A8">
        <w:rPr>
          <w:rFonts w:ascii="Arial" w:hAnsi="Arial" w:cs="Arial"/>
          <w:i/>
        </w:rPr>
        <w:t>rohita</w:t>
      </w:r>
      <w:proofErr w:type="spellEnd"/>
      <w:r w:rsidR="00EE4FF7" w:rsidRPr="00704BE6">
        <w:rPr>
          <w:rFonts w:ascii="Arial" w:hAnsi="Arial" w:cs="Arial"/>
          <w:i/>
        </w:rPr>
        <w:t>, plankton,</w:t>
      </w:r>
      <w:r w:rsidR="00DC06A8">
        <w:rPr>
          <w:rFonts w:ascii="Arial" w:hAnsi="Arial" w:cs="Arial"/>
          <w:i/>
        </w:rPr>
        <w:t xml:space="preserve"> c</w:t>
      </w:r>
      <w:r w:rsidR="00EE4FF7" w:rsidRPr="00704BE6">
        <w:rPr>
          <w:rFonts w:ascii="Arial" w:hAnsi="Arial" w:cs="Arial"/>
          <w:i/>
        </w:rPr>
        <w:t>hlorophyll</w:t>
      </w:r>
      <w:r w:rsidR="00DC06A8">
        <w:rPr>
          <w:rFonts w:ascii="Arial" w:hAnsi="Arial" w:cs="Arial"/>
          <w:i/>
        </w:rPr>
        <w:t xml:space="preserve">, growth, </w:t>
      </w:r>
      <w:r w:rsidR="004F4EDF">
        <w:rPr>
          <w:rFonts w:ascii="Arial" w:hAnsi="Arial" w:cs="Arial"/>
          <w:i/>
        </w:rPr>
        <w:t xml:space="preserve">innate </w:t>
      </w:r>
      <w:r w:rsidR="00DC06A8">
        <w:rPr>
          <w:rFonts w:ascii="Arial" w:hAnsi="Arial" w:cs="Arial"/>
          <w:i/>
        </w:rPr>
        <w:t>immunity</w:t>
      </w:r>
    </w:p>
    <w:p w14:paraId="30E6E224" w14:textId="479D9EB4" w:rsidR="007F7B32" w:rsidRPr="00862DDD" w:rsidRDefault="00862DDD" w:rsidP="002C4C3A">
      <w:pPr>
        <w:pStyle w:val="AbstHead"/>
        <w:spacing w:before="120" w:after="120"/>
        <w:jc w:val="both"/>
        <w:rPr>
          <w:rFonts w:ascii="Arial" w:hAnsi="Arial" w:cs="Arial"/>
          <w:bCs/>
          <w:szCs w:val="22"/>
        </w:rPr>
      </w:pPr>
      <w:r w:rsidRPr="00862DDD">
        <w:rPr>
          <w:rFonts w:ascii="Arial" w:hAnsi="Arial" w:cs="Arial"/>
          <w:bCs/>
          <w:caps w:val="0"/>
          <w:szCs w:val="22"/>
        </w:rPr>
        <w:t>1.</w:t>
      </w:r>
      <w:r w:rsidRPr="00862DDD">
        <w:rPr>
          <w:rFonts w:ascii="Arial" w:hAnsi="Arial" w:cs="Arial"/>
          <w:bCs/>
          <w:szCs w:val="22"/>
        </w:rPr>
        <w:t xml:space="preserve"> </w:t>
      </w:r>
      <w:r w:rsidR="00B01FCD" w:rsidRPr="00862DDD">
        <w:rPr>
          <w:rFonts w:ascii="Arial" w:hAnsi="Arial" w:cs="Arial"/>
          <w:bCs/>
          <w:szCs w:val="22"/>
        </w:rPr>
        <w:t>INTRODUCTION</w:t>
      </w:r>
    </w:p>
    <w:p w14:paraId="247E49C9" w14:textId="77777777" w:rsidR="00CE3D9B" w:rsidRPr="00C018BC" w:rsidRDefault="001443FD" w:rsidP="001E2539">
      <w:pPr>
        <w:pStyle w:val="Body"/>
        <w:spacing w:before="120" w:after="120"/>
        <w:rPr>
          <w:rFonts w:ascii="Arial" w:hAnsi="Arial" w:cs="Arial"/>
        </w:rPr>
      </w:pPr>
      <w:r w:rsidRPr="00C018BC">
        <w:rPr>
          <w:rFonts w:ascii="Arial" w:hAnsi="Arial" w:cs="Arial"/>
        </w:rPr>
        <w:t>For multiplication of plankton</w:t>
      </w:r>
      <w:r w:rsidR="00B00DE7" w:rsidRPr="00C018BC">
        <w:rPr>
          <w:rFonts w:ascii="Arial" w:hAnsi="Arial" w:cs="Arial"/>
        </w:rPr>
        <w:t xml:space="preserve"> in fish ponds, </w:t>
      </w:r>
      <w:r w:rsidRPr="00C018BC">
        <w:rPr>
          <w:rFonts w:ascii="Arial" w:hAnsi="Arial" w:cs="Arial"/>
        </w:rPr>
        <w:t xml:space="preserve">several essential nutrients are required and deficiency of even one of these nutrients may lead to poor primary productivity. </w:t>
      </w:r>
      <w:r w:rsidR="00FF27E0" w:rsidRPr="00C018BC">
        <w:rPr>
          <w:rFonts w:ascii="Arial" w:hAnsi="Arial" w:cs="Arial"/>
        </w:rPr>
        <w:t xml:space="preserve"> </w:t>
      </w:r>
      <w:r w:rsidR="00526536" w:rsidRPr="00C018BC">
        <w:rPr>
          <w:rFonts w:ascii="Arial" w:hAnsi="Arial" w:cs="Arial"/>
        </w:rPr>
        <w:t>Plankton</w:t>
      </w:r>
      <w:r w:rsidR="007C0C93" w:rsidRPr="00C018BC">
        <w:rPr>
          <w:rFonts w:ascii="Arial" w:hAnsi="Arial" w:cs="Arial"/>
        </w:rPr>
        <w:t xml:space="preserve"> are the leading flora of the fish which utilize</w:t>
      </w:r>
      <w:r w:rsidR="00526536" w:rsidRPr="00C018BC">
        <w:rPr>
          <w:rFonts w:ascii="Arial" w:hAnsi="Arial" w:cs="Arial"/>
        </w:rPr>
        <w:t xml:space="preserve"> nutrients </w:t>
      </w:r>
      <w:r w:rsidR="007C0C93" w:rsidRPr="00C018BC">
        <w:rPr>
          <w:rFonts w:ascii="Arial" w:hAnsi="Arial" w:cs="Arial"/>
        </w:rPr>
        <w:t>dissolved</w:t>
      </w:r>
      <w:r w:rsidR="00526536" w:rsidRPr="00C018BC">
        <w:rPr>
          <w:rFonts w:ascii="Arial" w:hAnsi="Arial" w:cs="Arial"/>
        </w:rPr>
        <w:t xml:space="preserve"> water. Most of the nutrients dissolved in the water come from inherent nutrient pool of the bottom soil. </w:t>
      </w:r>
      <w:r w:rsidR="007C0C93" w:rsidRPr="00C018BC">
        <w:rPr>
          <w:rFonts w:ascii="Arial" w:hAnsi="Arial" w:cs="Arial"/>
        </w:rPr>
        <w:t xml:space="preserve">Since </w:t>
      </w:r>
      <w:r w:rsidR="00526536" w:rsidRPr="00C018BC">
        <w:rPr>
          <w:rFonts w:ascii="Arial" w:hAnsi="Arial" w:cs="Arial"/>
        </w:rPr>
        <w:t xml:space="preserve">plankton and microalgae </w:t>
      </w:r>
      <w:r w:rsidR="007C0C93" w:rsidRPr="00C018BC">
        <w:rPr>
          <w:rFonts w:ascii="Arial" w:hAnsi="Arial" w:cs="Arial"/>
        </w:rPr>
        <w:t>do not have any mechanism to extract essential nutrients from soil solution</w:t>
      </w:r>
      <w:r w:rsidR="00526536" w:rsidRPr="00C018BC">
        <w:rPr>
          <w:rFonts w:ascii="Arial" w:hAnsi="Arial" w:cs="Arial"/>
        </w:rPr>
        <w:t>, they depend on bottom soil nutrients which are diffused through pore water into the overlying pond water (Boyd, 1995).</w:t>
      </w:r>
      <w:r w:rsidR="00A41948" w:rsidRPr="00C018BC">
        <w:rPr>
          <w:rFonts w:ascii="Arial" w:hAnsi="Arial" w:cs="Arial"/>
        </w:rPr>
        <w:t xml:space="preserve"> </w:t>
      </w:r>
      <w:r w:rsidR="00511D0D" w:rsidRPr="00C018BC">
        <w:rPr>
          <w:rFonts w:ascii="Arial" w:hAnsi="Arial" w:cs="Arial"/>
        </w:rPr>
        <w:t xml:space="preserve">Apart from some of the major nutrients, micronutrients are required at very low level for improving the plankton productivity as well as survival, growth and health of </w:t>
      </w:r>
      <w:r w:rsidR="00511D0D" w:rsidRPr="00C018BC">
        <w:rPr>
          <w:rFonts w:ascii="Arial" w:hAnsi="Arial" w:cs="Arial"/>
        </w:rPr>
        <w:lastRenderedPageBreak/>
        <w:t xml:space="preserve">aquatic animals (Dawood, 2022). </w:t>
      </w:r>
      <w:r w:rsidR="00A41948" w:rsidRPr="00C018BC">
        <w:rPr>
          <w:rFonts w:ascii="Arial" w:hAnsi="Arial" w:cs="Arial"/>
        </w:rPr>
        <w:t xml:space="preserve">Specifically, the potential for micronutrients limitation in the aquaculture has </w:t>
      </w:r>
      <w:r w:rsidR="00F27DFF" w:rsidRPr="00C018BC">
        <w:rPr>
          <w:rFonts w:ascii="Arial" w:hAnsi="Arial" w:cs="Arial"/>
        </w:rPr>
        <w:t>got very low</w:t>
      </w:r>
      <w:r w:rsidR="00A41948" w:rsidRPr="00C018BC">
        <w:rPr>
          <w:rFonts w:ascii="Arial" w:hAnsi="Arial" w:cs="Arial"/>
        </w:rPr>
        <w:t xml:space="preserve"> attention. </w:t>
      </w:r>
      <w:r w:rsidR="00F27DFF" w:rsidRPr="00C018BC">
        <w:rPr>
          <w:rFonts w:ascii="Arial" w:hAnsi="Arial" w:cs="Arial"/>
        </w:rPr>
        <w:t xml:space="preserve">Physiologically, when compared with </w:t>
      </w:r>
      <w:r w:rsidR="00A41948" w:rsidRPr="00C018BC">
        <w:rPr>
          <w:rFonts w:ascii="Arial" w:hAnsi="Arial" w:cs="Arial"/>
        </w:rPr>
        <w:t xml:space="preserve">macronutrients </w:t>
      </w:r>
      <w:r w:rsidR="00F27DFF" w:rsidRPr="00C018BC">
        <w:rPr>
          <w:rFonts w:ascii="Arial" w:hAnsi="Arial" w:cs="Arial"/>
        </w:rPr>
        <w:t xml:space="preserve">like </w:t>
      </w:r>
      <w:r w:rsidR="00A41948" w:rsidRPr="00C018BC">
        <w:rPr>
          <w:rFonts w:ascii="Arial" w:hAnsi="Arial" w:cs="Arial"/>
        </w:rPr>
        <w:t>C, N, P, and K</w:t>
      </w:r>
      <w:r w:rsidR="00F27DFF" w:rsidRPr="00C018BC">
        <w:rPr>
          <w:rFonts w:ascii="Arial" w:hAnsi="Arial" w:cs="Arial"/>
        </w:rPr>
        <w:t xml:space="preserve"> etc.</w:t>
      </w:r>
      <w:r w:rsidR="00A41948" w:rsidRPr="00C018BC">
        <w:rPr>
          <w:rFonts w:ascii="Arial" w:hAnsi="Arial" w:cs="Arial"/>
        </w:rPr>
        <w:t xml:space="preserve">, micronutrients (Zn, </w:t>
      </w:r>
      <w:r w:rsidR="00BF4586" w:rsidRPr="00C018BC">
        <w:rPr>
          <w:rFonts w:ascii="Arial" w:hAnsi="Arial" w:cs="Arial"/>
        </w:rPr>
        <w:t xml:space="preserve">Fe, </w:t>
      </w:r>
      <w:r w:rsidR="00A41948" w:rsidRPr="00C018BC">
        <w:rPr>
          <w:rFonts w:ascii="Arial" w:hAnsi="Arial" w:cs="Arial"/>
        </w:rPr>
        <w:t xml:space="preserve">Mn, Cu, Ni, Co) are required in </w:t>
      </w:r>
      <w:r w:rsidR="00F27DFF" w:rsidRPr="00C018BC">
        <w:rPr>
          <w:rFonts w:ascii="Arial" w:hAnsi="Arial" w:cs="Arial"/>
        </w:rPr>
        <w:t>trace quantity</w:t>
      </w:r>
      <w:r w:rsidR="00A41948" w:rsidRPr="00C018BC">
        <w:rPr>
          <w:rFonts w:ascii="Arial" w:hAnsi="Arial" w:cs="Arial"/>
        </w:rPr>
        <w:t xml:space="preserve"> to </w:t>
      </w:r>
      <w:r w:rsidR="00F27DFF" w:rsidRPr="00C018BC">
        <w:rPr>
          <w:rFonts w:ascii="Arial" w:hAnsi="Arial" w:cs="Arial"/>
        </w:rPr>
        <w:t>carry out</w:t>
      </w:r>
      <w:r w:rsidR="00A41948" w:rsidRPr="00C018BC">
        <w:rPr>
          <w:rFonts w:ascii="Arial" w:hAnsi="Arial" w:cs="Arial"/>
        </w:rPr>
        <w:t xml:space="preserve"> metabolic processes</w:t>
      </w:r>
      <w:r w:rsidR="00F27DFF" w:rsidRPr="00C018BC">
        <w:rPr>
          <w:rFonts w:ascii="Arial" w:hAnsi="Arial" w:cs="Arial"/>
        </w:rPr>
        <w:t xml:space="preserve"> within the cell</w:t>
      </w:r>
      <w:r w:rsidR="00A41948" w:rsidRPr="00C018BC">
        <w:rPr>
          <w:rFonts w:ascii="Arial" w:hAnsi="Arial" w:cs="Arial"/>
        </w:rPr>
        <w:t xml:space="preserve">. The </w:t>
      </w:r>
      <w:r w:rsidR="00BF4586" w:rsidRPr="00C018BC">
        <w:rPr>
          <w:rFonts w:ascii="Arial" w:hAnsi="Arial" w:cs="Arial"/>
        </w:rPr>
        <w:t xml:space="preserve">nutritional imbalance in water can </w:t>
      </w:r>
      <w:r w:rsidR="00A41948" w:rsidRPr="00C018BC">
        <w:rPr>
          <w:rFonts w:ascii="Arial" w:hAnsi="Arial" w:cs="Arial"/>
        </w:rPr>
        <w:t xml:space="preserve">not only </w:t>
      </w:r>
      <w:r w:rsidR="00BF4586" w:rsidRPr="00C018BC">
        <w:rPr>
          <w:rFonts w:ascii="Arial" w:hAnsi="Arial" w:cs="Arial"/>
        </w:rPr>
        <w:t xml:space="preserve">affect </w:t>
      </w:r>
      <w:r w:rsidR="00A41948" w:rsidRPr="00C018BC">
        <w:rPr>
          <w:rFonts w:ascii="Arial" w:hAnsi="Arial" w:cs="Arial"/>
        </w:rPr>
        <w:t>the carrying capacity</w:t>
      </w:r>
      <w:r w:rsidR="00BF4586" w:rsidRPr="00C018BC">
        <w:rPr>
          <w:rFonts w:ascii="Arial" w:hAnsi="Arial" w:cs="Arial"/>
        </w:rPr>
        <w:t xml:space="preserve"> </w:t>
      </w:r>
      <w:r w:rsidR="00A41948" w:rsidRPr="00C018BC">
        <w:rPr>
          <w:rFonts w:ascii="Arial" w:hAnsi="Arial" w:cs="Arial"/>
        </w:rPr>
        <w:t>and taxonomic composition of plankton, but also physiologic</w:t>
      </w:r>
      <w:r w:rsidR="00BF4586" w:rsidRPr="00C018BC">
        <w:rPr>
          <w:rFonts w:ascii="Arial" w:hAnsi="Arial" w:cs="Arial"/>
        </w:rPr>
        <w:t>al characteristics of the cells</w:t>
      </w:r>
      <w:r w:rsidR="00CE3D9B" w:rsidRPr="00C018BC">
        <w:rPr>
          <w:rFonts w:ascii="Arial" w:hAnsi="Arial" w:cs="Arial"/>
        </w:rPr>
        <w:t xml:space="preserve"> thereby affect the growth of aquatic animal. </w:t>
      </w:r>
    </w:p>
    <w:p w14:paraId="1BE15B2B" w14:textId="77777777" w:rsidR="00CE3D9B" w:rsidRPr="00C018BC" w:rsidRDefault="00BF4586" w:rsidP="00862DDD">
      <w:pPr>
        <w:pStyle w:val="Body"/>
        <w:spacing w:after="120"/>
        <w:rPr>
          <w:rFonts w:ascii="Arial" w:hAnsi="Arial" w:cs="Arial"/>
        </w:rPr>
      </w:pPr>
      <w:r w:rsidRPr="00C018BC">
        <w:rPr>
          <w:rFonts w:ascii="Arial" w:hAnsi="Arial" w:cs="Arial"/>
        </w:rPr>
        <w:t xml:space="preserve">In all living organisms, zinc (Zn) is an </w:t>
      </w:r>
      <w:r w:rsidR="00562BD6" w:rsidRPr="00C018BC">
        <w:rPr>
          <w:rFonts w:ascii="Arial" w:hAnsi="Arial" w:cs="Arial"/>
        </w:rPr>
        <w:t>essential</w:t>
      </w:r>
      <w:r w:rsidRPr="00C018BC">
        <w:rPr>
          <w:rFonts w:ascii="Arial" w:hAnsi="Arial" w:cs="Arial"/>
        </w:rPr>
        <w:t xml:space="preserve"> part of several </w:t>
      </w:r>
      <w:proofErr w:type="spellStart"/>
      <w:r w:rsidRPr="00C018BC">
        <w:rPr>
          <w:rFonts w:ascii="Arial" w:hAnsi="Arial" w:cs="Arial"/>
        </w:rPr>
        <w:t>metallo</w:t>
      </w:r>
      <w:proofErr w:type="spellEnd"/>
      <w:r w:rsidR="00562BD6" w:rsidRPr="00C018BC">
        <w:rPr>
          <w:rFonts w:ascii="Arial" w:hAnsi="Arial" w:cs="Arial"/>
        </w:rPr>
        <w:t>-</w:t>
      </w:r>
      <w:r w:rsidRPr="00C018BC">
        <w:rPr>
          <w:rFonts w:ascii="Arial" w:hAnsi="Arial" w:cs="Arial"/>
        </w:rPr>
        <w:t xml:space="preserve">enzymes and act as catalysts for regulating the activity of </w:t>
      </w:r>
      <w:r w:rsidR="00562BD6" w:rsidRPr="00C018BC">
        <w:rPr>
          <w:rFonts w:ascii="Arial" w:hAnsi="Arial" w:cs="Arial"/>
        </w:rPr>
        <w:t xml:space="preserve">enzymes like carbonic anhydrase (CA), alcohol dehydrogenase (ALH) and alkaline phosphatase (ALP) </w:t>
      </w:r>
      <w:r w:rsidRPr="00C018BC">
        <w:rPr>
          <w:rFonts w:ascii="Arial" w:hAnsi="Arial" w:cs="Arial"/>
        </w:rPr>
        <w:t xml:space="preserve">(Moore and Ramamoorthy, 1984). There are more than 300 proteins which require trace metals for their functions (Vallee and Falchuk, 1993). </w:t>
      </w:r>
      <w:r w:rsidR="00511D0D" w:rsidRPr="00C018BC">
        <w:rPr>
          <w:rFonts w:ascii="Arial" w:hAnsi="Arial" w:cs="Arial"/>
        </w:rPr>
        <w:t xml:space="preserve"> Moreover, Zn </w:t>
      </w:r>
      <w:r w:rsidR="00F27DFF" w:rsidRPr="00C018BC">
        <w:rPr>
          <w:rFonts w:ascii="Arial" w:hAnsi="Arial" w:cs="Arial"/>
        </w:rPr>
        <w:t>works as a</w:t>
      </w:r>
      <w:r w:rsidR="00511D0D" w:rsidRPr="00C018BC">
        <w:rPr>
          <w:rFonts w:ascii="Arial" w:hAnsi="Arial" w:cs="Arial"/>
        </w:rPr>
        <w:t xml:space="preserve"> cofactor for </w:t>
      </w:r>
      <w:r w:rsidR="00F27DFF" w:rsidRPr="00C018BC">
        <w:rPr>
          <w:rFonts w:ascii="Arial" w:hAnsi="Arial" w:cs="Arial"/>
        </w:rPr>
        <w:t>in excess of</w:t>
      </w:r>
      <w:r w:rsidR="00511D0D" w:rsidRPr="00C018BC">
        <w:rPr>
          <w:rFonts w:ascii="Arial" w:hAnsi="Arial" w:cs="Arial"/>
        </w:rPr>
        <w:t xml:space="preserve"> 200 enzymes in </w:t>
      </w:r>
      <w:r w:rsidR="00F27DFF" w:rsidRPr="00C018BC">
        <w:rPr>
          <w:rFonts w:ascii="Arial" w:hAnsi="Arial" w:cs="Arial"/>
        </w:rPr>
        <w:t>animal cells</w:t>
      </w:r>
      <w:r w:rsidR="00511D0D" w:rsidRPr="00C018BC">
        <w:rPr>
          <w:rFonts w:ascii="Arial" w:hAnsi="Arial" w:cs="Arial"/>
        </w:rPr>
        <w:t xml:space="preserve"> (Watanabe </w:t>
      </w:r>
      <w:r w:rsidR="00032AC4" w:rsidRPr="00032AC4">
        <w:rPr>
          <w:rFonts w:ascii="Arial" w:hAnsi="Arial" w:cs="Arial"/>
          <w:i/>
          <w:iCs/>
        </w:rPr>
        <w:t>et al.</w:t>
      </w:r>
      <w:r w:rsidR="00511D0D" w:rsidRPr="00C018BC">
        <w:rPr>
          <w:rFonts w:ascii="Arial" w:hAnsi="Arial" w:cs="Arial"/>
        </w:rPr>
        <w:t xml:space="preserve"> 1997) and </w:t>
      </w:r>
      <w:r w:rsidR="00F27DFF" w:rsidRPr="00C018BC">
        <w:rPr>
          <w:rFonts w:ascii="Arial" w:hAnsi="Arial" w:cs="Arial"/>
        </w:rPr>
        <w:t>contributes</w:t>
      </w:r>
      <w:r w:rsidR="00511D0D" w:rsidRPr="00C018BC">
        <w:rPr>
          <w:rFonts w:ascii="Arial" w:hAnsi="Arial" w:cs="Arial"/>
        </w:rPr>
        <w:t xml:space="preserve"> in the antioxidation against reactive oxygen </w:t>
      </w:r>
      <w:r w:rsidR="00F27DFF" w:rsidRPr="00C018BC">
        <w:rPr>
          <w:rFonts w:ascii="Arial" w:hAnsi="Arial" w:cs="Arial"/>
        </w:rPr>
        <w:t>species</w:t>
      </w:r>
      <w:r w:rsidR="00511D0D" w:rsidRPr="00C018BC">
        <w:rPr>
          <w:rFonts w:ascii="Arial" w:hAnsi="Arial" w:cs="Arial"/>
        </w:rPr>
        <w:t xml:space="preserve"> and free radicals </w:t>
      </w:r>
      <w:r w:rsidR="00F27DFF" w:rsidRPr="00C018BC">
        <w:rPr>
          <w:rFonts w:ascii="Arial" w:hAnsi="Arial" w:cs="Arial"/>
        </w:rPr>
        <w:t>and forms an effective</w:t>
      </w:r>
      <w:r w:rsidR="00511D0D" w:rsidRPr="00C018BC">
        <w:rPr>
          <w:rFonts w:ascii="Arial" w:hAnsi="Arial" w:cs="Arial"/>
        </w:rPr>
        <w:t xml:space="preserve"> the antioxidant defense system (Feng </w:t>
      </w:r>
      <w:r w:rsidR="00032AC4" w:rsidRPr="00032AC4">
        <w:rPr>
          <w:rFonts w:ascii="Arial" w:hAnsi="Arial" w:cs="Arial"/>
          <w:i/>
          <w:iCs/>
        </w:rPr>
        <w:t>et al.</w:t>
      </w:r>
      <w:r w:rsidR="00511D0D" w:rsidRPr="00C018BC">
        <w:rPr>
          <w:rFonts w:ascii="Arial" w:hAnsi="Arial" w:cs="Arial"/>
          <w:i/>
          <w:iCs/>
        </w:rPr>
        <w:t xml:space="preserve"> </w:t>
      </w:r>
      <w:r w:rsidR="00511D0D" w:rsidRPr="00C018BC">
        <w:rPr>
          <w:rFonts w:ascii="Arial" w:hAnsi="Arial" w:cs="Arial"/>
        </w:rPr>
        <w:t xml:space="preserve"> 2011). </w:t>
      </w:r>
      <w:r w:rsidR="00562BD6" w:rsidRPr="00C018BC">
        <w:rPr>
          <w:rFonts w:ascii="Arial" w:hAnsi="Arial" w:cs="Arial"/>
        </w:rPr>
        <w:t xml:space="preserve">These proteins have direct role to play in metabolism of nucleic acids, carbohydrates and fatty acids </w:t>
      </w:r>
      <w:r w:rsidR="00562BD6" w:rsidRPr="00C018BC">
        <w:rPr>
          <w:rFonts w:ascii="Arial" w:hAnsi="Arial" w:cs="Arial"/>
          <w:i/>
          <w:iCs/>
        </w:rPr>
        <w:t>etc.</w:t>
      </w:r>
      <w:r w:rsidR="00562BD6" w:rsidRPr="00C018BC">
        <w:rPr>
          <w:rFonts w:ascii="Arial" w:hAnsi="Arial" w:cs="Arial"/>
        </w:rPr>
        <w:t xml:space="preserve"> </w:t>
      </w:r>
      <w:r w:rsidRPr="00C018BC">
        <w:rPr>
          <w:rFonts w:ascii="Arial" w:hAnsi="Arial" w:cs="Arial"/>
        </w:rPr>
        <w:t xml:space="preserve">(Adhikari and Ayyappan, 2004). Carbonic anhydrase which plays a vital role in carbon use in photosynthesis, requires Zn as a co-factor (Goldman and Horne, 1983) and its deficiency leads to reduced plankton growth </w:t>
      </w:r>
      <w:r w:rsidR="00C018BC" w:rsidRPr="00C018BC">
        <w:rPr>
          <w:rFonts w:ascii="Arial" w:hAnsi="Arial" w:cs="Arial"/>
        </w:rPr>
        <w:t xml:space="preserve">(Goldman, </w:t>
      </w:r>
      <w:r w:rsidRPr="00C018BC">
        <w:rPr>
          <w:rFonts w:ascii="Arial" w:hAnsi="Arial" w:cs="Arial"/>
        </w:rPr>
        <w:t>1965)</w:t>
      </w:r>
      <w:r w:rsidR="00104CC9" w:rsidRPr="00C018BC">
        <w:rPr>
          <w:rFonts w:ascii="Arial" w:hAnsi="Arial" w:cs="Arial"/>
        </w:rPr>
        <w:t xml:space="preserve">. </w:t>
      </w:r>
    </w:p>
    <w:p w14:paraId="2F734E79" w14:textId="77777777" w:rsidR="005C20BF" w:rsidRPr="00032AC4" w:rsidRDefault="005C20BF" w:rsidP="00862DDD">
      <w:pPr>
        <w:pStyle w:val="Body"/>
        <w:spacing w:after="120"/>
        <w:rPr>
          <w:rFonts w:ascii="Arial" w:hAnsi="Arial" w:cs="Arial"/>
        </w:rPr>
      </w:pPr>
      <w:r w:rsidRPr="00032AC4">
        <w:rPr>
          <w:rFonts w:ascii="Arial" w:hAnsi="Arial" w:cs="Arial"/>
          <w:bCs/>
        </w:rPr>
        <w:t xml:space="preserve">In India, culture of wide variety of fish species is practiced, however, Indian Major Carps (IMCs) rohu </w:t>
      </w:r>
      <w:proofErr w:type="spellStart"/>
      <w:r w:rsidRPr="00032AC4">
        <w:rPr>
          <w:rFonts w:ascii="Arial" w:hAnsi="Arial" w:cs="Arial"/>
          <w:bCs/>
          <w:i/>
          <w:iCs/>
        </w:rPr>
        <w:t>Labeo</w:t>
      </w:r>
      <w:proofErr w:type="spellEnd"/>
      <w:r w:rsidRPr="00032AC4">
        <w:rPr>
          <w:rFonts w:ascii="Arial" w:hAnsi="Arial" w:cs="Arial"/>
          <w:bCs/>
          <w:i/>
          <w:iCs/>
        </w:rPr>
        <w:t xml:space="preserve"> </w:t>
      </w:r>
      <w:proofErr w:type="spellStart"/>
      <w:r w:rsidRPr="00032AC4">
        <w:rPr>
          <w:rFonts w:ascii="Arial" w:hAnsi="Arial" w:cs="Arial"/>
          <w:bCs/>
          <w:i/>
          <w:iCs/>
        </w:rPr>
        <w:t>rohita</w:t>
      </w:r>
      <w:proofErr w:type="spellEnd"/>
      <w:r w:rsidRPr="00032AC4">
        <w:rPr>
          <w:rFonts w:ascii="Arial" w:hAnsi="Arial" w:cs="Arial"/>
          <w:bCs/>
        </w:rPr>
        <w:t xml:space="preserve">, </w:t>
      </w:r>
      <w:proofErr w:type="spellStart"/>
      <w:r w:rsidRPr="00032AC4">
        <w:rPr>
          <w:rFonts w:ascii="Arial" w:hAnsi="Arial" w:cs="Arial"/>
          <w:bCs/>
        </w:rPr>
        <w:t>catla</w:t>
      </w:r>
      <w:proofErr w:type="spellEnd"/>
      <w:r w:rsidRPr="00032AC4">
        <w:rPr>
          <w:rFonts w:ascii="Arial" w:hAnsi="Arial" w:cs="Arial"/>
          <w:bCs/>
        </w:rPr>
        <w:t xml:space="preserve"> </w:t>
      </w:r>
      <w:proofErr w:type="spellStart"/>
      <w:r w:rsidRPr="00032AC4">
        <w:rPr>
          <w:rFonts w:ascii="Arial" w:hAnsi="Arial" w:cs="Arial"/>
          <w:bCs/>
          <w:i/>
          <w:iCs/>
        </w:rPr>
        <w:t>Catla</w:t>
      </w:r>
      <w:proofErr w:type="spellEnd"/>
      <w:r w:rsidRPr="00032AC4">
        <w:rPr>
          <w:rFonts w:ascii="Arial" w:hAnsi="Arial" w:cs="Arial"/>
          <w:bCs/>
          <w:i/>
          <w:iCs/>
        </w:rPr>
        <w:t xml:space="preserve"> </w:t>
      </w:r>
      <w:proofErr w:type="spellStart"/>
      <w:r w:rsidRPr="00032AC4">
        <w:rPr>
          <w:rFonts w:ascii="Arial" w:hAnsi="Arial" w:cs="Arial"/>
          <w:bCs/>
          <w:i/>
          <w:iCs/>
        </w:rPr>
        <w:t>catla</w:t>
      </w:r>
      <w:proofErr w:type="spellEnd"/>
      <w:r w:rsidRPr="00032AC4">
        <w:rPr>
          <w:rFonts w:ascii="Arial" w:hAnsi="Arial" w:cs="Arial"/>
          <w:bCs/>
          <w:i/>
          <w:iCs/>
        </w:rPr>
        <w:t xml:space="preserve"> </w:t>
      </w:r>
      <w:r w:rsidRPr="00032AC4">
        <w:rPr>
          <w:rFonts w:ascii="Arial" w:hAnsi="Arial" w:cs="Arial"/>
          <w:bCs/>
        </w:rPr>
        <w:t xml:space="preserve">and mrigal </w:t>
      </w:r>
      <w:proofErr w:type="spellStart"/>
      <w:r w:rsidRPr="00032AC4">
        <w:rPr>
          <w:rFonts w:ascii="Arial" w:hAnsi="Arial" w:cs="Arial"/>
          <w:bCs/>
          <w:i/>
          <w:iCs/>
        </w:rPr>
        <w:t>Cirrhinus</w:t>
      </w:r>
      <w:proofErr w:type="spellEnd"/>
      <w:r w:rsidRPr="00032AC4">
        <w:rPr>
          <w:rFonts w:ascii="Arial" w:hAnsi="Arial" w:cs="Arial"/>
          <w:bCs/>
          <w:i/>
          <w:iCs/>
        </w:rPr>
        <w:t xml:space="preserve"> </w:t>
      </w:r>
      <w:proofErr w:type="spellStart"/>
      <w:r w:rsidRPr="00032AC4">
        <w:rPr>
          <w:rFonts w:ascii="Arial" w:hAnsi="Arial" w:cs="Arial"/>
          <w:bCs/>
          <w:i/>
          <w:iCs/>
        </w:rPr>
        <w:t>cirrhosus</w:t>
      </w:r>
      <w:proofErr w:type="spellEnd"/>
      <w:r w:rsidRPr="00032AC4">
        <w:rPr>
          <w:rFonts w:ascii="Arial" w:hAnsi="Arial" w:cs="Arial"/>
          <w:bCs/>
        </w:rPr>
        <w:t xml:space="preserve"> are the most popular varieties (Uddin </w:t>
      </w:r>
      <w:r w:rsidR="00032AC4" w:rsidRPr="00032AC4">
        <w:rPr>
          <w:rFonts w:ascii="Arial" w:hAnsi="Arial" w:cs="Arial"/>
          <w:bCs/>
          <w:i/>
          <w:iCs/>
        </w:rPr>
        <w:t>et al.</w:t>
      </w:r>
      <w:r w:rsidRPr="00032AC4">
        <w:rPr>
          <w:rFonts w:ascii="Arial" w:hAnsi="Arial" w:cs="Arial"/>
          <w:bCs/>
        </w:rPr>
        <w:t>, 1994, FAO, 1997</w:t>
      </w:r>
      <w:r w:rsidR="00032AC4" w:rsidRPr="00032AC4">
        <w:rPr>
          <w:rFonts w:ascii="Arial" w:hAnsi="Arial" w:cs="Arial"/>
          <w:bCs/>
        </w:rPr>
        <w:t>;</w:t>
      </w:r>
      <w:r w:rsidRPr="00032AC4">
        <w:rPr>
          <w:rFonts w:ascii="Arial" w:hAnsi="Arial" w:cs="Arial"/>
          <w:bCs/>
        </w:rPr>
        <w:t xml:space="preserve"> Miah </w:t>
      </w:r>
      <w:r w:rsidR="00032AC4" w:rsidRPr="00032AC4">
        <w:rPr>
          <w:rFonts w:ascii="Arial" w:hAnsi="Arial" w:cs="Arial"/>
          <w:bCs/>
          <w:i/>
          <w:iCs/>
        </w:rPr>
        <w:t>et al.</w:t>
      </w:r>
      <w:r w:rsidRPr="00032AC4">
        <w:rPr>
          <w:rFonts w:ascii="Arial" w:hAnsi="Arial" w:cs="Arial"/>
          <w:bCs/>
        </w:rPr>
        <w:t>, 1997</w:t>
      </w:r>
      <w:r w:rsidR="00032AC4" w:rsidRPr="00032AC4">
        <w:rPr>
          <w:rFonts w:ascii="Arial" w:hAnsi="Arial" w:cs="Arial"/>
          <w:bCs/>
        </w:rPr>
        <w:t>;</w:t>
      </w:r>
      <w:r w:rsidRPr="00032AC4">
        <w:rPr>
          <w:rFonts w:ascii="Arial" w:hAnsi="Arial" w:cs="Arial"/>
          <w:bCs/>
        </w:rPr>
        <w:t xml:space="preserve"> Kanak </w:t>
      </w:r>
      <w:r w:rsidR="00032AC4" w:rsidRPr="00032AC4">
        <w:rPr>
          <w:rFonts w:ascii="Arial" w:hAnsi="Arial" w:cs="Arial"/>
          <w:bCs/>
          <w:i/>
          <w:iCs/>
        </w:rPr>
        <w:t>et al.</w:t>
      </w:r>
      <w:r w:rsidRPr="00032AC4">
        <w:rPr>
          <w:rFonts w:ascii="Arial" w:hAnsi="Arial" w:cs="Arial"/>
          <w:bCs/>
        </w:rPr>
        <w:t>, 1999). Amongst IMCs, Rohu (</w:t>
      </w:r>
      <w:proofErr w:type="spellStart"/>
      <w:r w:rsidRPr="00032AC4">
        <w:rPr>
          <w:rFonts w:ascii="Arial" w:hAnsi="Arial" w:cs="Arial"/>
          <w:bCs/>
          <w:i/>
          <w:iCs/>
        </w:rPr>
        <w:t>Labeo</w:t>
      </w:r>
      <w:proofErr w:type="spellEnd"/>
      <w:r w:rsidRPr="00032AC4">
        <w:rPr>
          <w:rFonts w:ascii="Arial" w:hAnsi="Arial" w:cs="Arial"/>
          <w:bCs/>
          <w:i/>
          <w:iCs/>
        </w:rPr>
        <w:t xml:space="preserve"> </w:t>
      </w:r>
      <w:proofErr w:type="spellStart"/>
      <w:r w:rsidRPr="00032AC4">
        <w:rPr>
          <w:rFonts w:ascii="Arial" w:hAnsi="Arial" w:cs="Arial"/>
          <w:bCs/>
          <w:i/>
          <w:iCs/>
        </w:rPr>
        <w:t>rohita</w:t>
      </w:r>
      <w:proofErr w:type="spellEnd"/>
      <w:r w:rsidRPr="00032AC4">
        <w:rPr>
          <w:rFonts w:ascii="Arial" w:hAnsi="Arial" w:cs="Arial"/>
          <w:bCs/>
        </w:rPr>
        <w:t>) prefers to feed along the water column and prefers plankton (Das and Moitra, 1955</w:t>
      </w:r>
      <w:r w:rsidR="00032AC4" w:rsidRPr="00032AC4">
        <w:rPr>
          <w:rFonts w:ascii="Arial" w:hAnsi="Arial" w:cs="Arial"/>
          <w:bCs/>
        </w:rPr>
        <w:t>;</w:t>
      </w:r>
      <w:r w:rsidRPr="00032AC4">
        <w:rPr>
          <w:rFonts w:ascii="Arial" w:hAnsi="Arial" w:cs="Arial"/>
          <w:bCs/>
        </w:rPr>
        <w:t xml:space="preserve"> Dewan </w:t>
      </w:r>
      <w:r w:rsidR="00032AC4" w:rsidRPr="00032AC4">
        <w:rPr>
          <w:rFonts w:ascii="Arial" w:hAnsi="Arial" w:cs="Arial"/>
          <w:bCs/>
          <w:i/>
          <w:iCs/>
        </w:rPr>
        <w:t>et al.</w:t>
      </w:r>
      <w:r w:rsidRPr="00032AC4">
        <w:rPr>
          <w:rFonts w:ascii="Arial" w:hAnsi="Arial" w:cs="Arial"/>
          <w:bCs/>
        </w:rPr>
        <w:t>, 1977</w:t>
      </w:r>
      <w:r w:rsidR="00032AC4" w:rsidRPr="00032AC4">
        <w:rPr>
          <w:rFonts w:ascii="Arial" w:hAnsi="Arial" w:cs="Arial"/>
          <w:bCs/>
        </w:rPr>
        <w:t>;</w:t>
      </w:r>
      <w:r w:rsidRPr="00032AC4">
        <w:rPr>
          <w:rFonts w:ascii="Arial" w:hAnsi="Arial" w:cs="Arial"/>
          <w:bCs/>
        </w:rPr>
        <w:t xml:space="preserve"> </w:t>
      </w:r>
      <w:proofErr w:type="spellStart"/>
      <w:r w:rsidRPr="00032AC4">
        <w:rPr>
          <w:rFonts w:ascii="Arial" w:hAnsi="Arial" w:cs="Arial"/>
          <w:bCs/>
        </w:rPr>
        <w:t>Jhingran</w:t>
      </w:r>
      <w:proofErr w:type="spellEnd"/>
      <w:r w:rsidRPr="00032AC4">
        <w:rPr>
          <w:rFonts w:ascii="Arial" w:hAnsi="Arial" w:cs="Arial"/>
          <w:bCs/>
        </w:rPr>
        <w:t xml:space="preserve"> and Pullin, 1985</w:t>
      </w:r>
      <w:r w:rsidR="00032AC4" w:rsidRPr="00032AC4">
        <w:rPr>
          <w:rFonts w:ascii="Arial" w:hAnsi="Arial" w:cs="Arial"/>
          <w:bCs/>
        </w:rPr>
        <w:t>;</w:t>
      </w:r>
      <w:r w:rsidRPr="00032AC4">
        <w:rPr>
          <w:rFonts w:ascii="Arial" w:hAnsi="Arial" w:cs="Arial"/>
          <w:bCs/>
        </w:rPr>
        <w:t xml:space="preserve"> Wahab </w:t>
      </w:r>
      <w:r w:rsidR="00032AC4" w:rsidRPr="00032AC4">
        <w:rPr>
          <w:rFonts w:ascii="Arial" w:hAnsi="Arial" w:cs="Arial"/>
          <w:bCs/>
          <w:i/>
          <w:iCs/>
        </w:rPr>
        <w:t>et al.</w:t>
      </w:r>
      <w:r w:rsidRPr="00032AC4">
        <w:rPr>
          <w:rFonts w:ascii="Arial" w:hAnsi="Arial" w:cs="Arial"/>
          <w:bCs/>
        </w:rPr>
        <w:t>, 1994).</w:t>
      </w:r>
    </w:p>
    <w:p w14:paraId="7596473A" w14:textId="77777777" w:rsidR="007C0C93" w:rsidRPr="00032AC4" w:rsidRDefault="00F27DFF" w:rsidP="00862DDD">
      <w:pPr>
        <w:pStyle w:val="Body"/>
        <w:spacing w:after="120"/>
        <w:rPr>
          <w:rFonts w:ascii="Arial" w:hAnsi="Arial" w:cs="Arial"/>
        </w:rPr>
      </w:pPr>
      <w:r w:rsidRPr="00032AC4">
        <w:rPr>
          <w:rFonts w:ascii="Arial" w:hAnsi="Arial" w:cs="Arial"/>
        </w:rPr>
        <w:t xml:space="preserve">Direct estimation of effect of Zn deficiency on plankton production is very difficult however, correlation of </w:t>
      </w:r>
      <w:proofErr w:type="spellStart"/>
      <w:r w:rsidR="007C0C93" w:rsidRPr="00032AC4">
        <w:rPr>
          <w:rFonts w:ascii="Arial" w:hAnsi="Arial" w:cs="Arial"/>
        </w:rPr>
        <w:t>Zn:C</w:t>
      </w:r>
      <w:proofErr w:type="spellEnd"/>
      <w:r w:rsidR="007C0C93" w:rsidRPr="00032AC4">
        <w:rPr>
          <w:rFonts w:ascii="Arial" w:hAnsi="Arial" w:cs="Arial"/>
        </w:rPr>
        <w:t xml:space="preserve"> ratios </w:t>
      </w:r>
      <w:r w:rsidRPr="00032AC4">
        <w:rPr>
          <w:rFonts w:ascii="Arial" w:hAnsi="Arial" w:cs="Arial"/>
        </w:rPr>
        <w:t xml:space="preserve">with </w:t>
      </w:r>
      <w:proofErr w:type="spellStart"/>
      <w:r w:rsidRPr="00032AC4">
        <w:rPr>
          <w:rFonts w:ascii="Arial" w:hAnsi="Arial" w:cs="Arial"/>
        </w:rPr>
        <w:t>mesozooplankton</w:t>
      </w:r>
      <w:proofErr w:type="spellEnd"/>
      <w:r w:rsidRPr="00032AC4">
        <w:rPr>
          <w:rFonts w:ascii="Arial" w:hAnsi="Arial" w:cs="Arial"/>
        </w:rPr>
        <w:t xml:space="preserve"> has been reported</w:t>
      </w:r>
      <w:r w:rsidR="007C0C93" w:rsidRPr="00032AC4">
        <w:rPr>
          <w:rFonts w:ascii="Arial" w:hAnsi="Arial" w:cs="Arial"/>
        </w:rPr>
        <w:t xml:space="preserve"> by a number </w:t>
      </w:r>
      <w:r w:rsidRPr="00032AC4">
        <w:rPr>
          <w:rFonts w:ascii="Arial" w:hAnsi="Arial" w:cs="Arial"/>
        </w:rPr>
        <w:t>of aquatic ecosystems</w:t>
      </w:r>
      <w:r w:rsidR="007C0C93" w:rsidRPr="00032AC4">
        <w:rPr>
          <w:rFonts w:ascii="Arial" w:hAnsi="Arial" w:cs="Arial"/>
        </w:rPr>
        <w:t xml:space="preserve"> (Twining </w:t>
      </w:r>
      <w:r w:rsidR="00032AC4" w:rsidRPr="00032AC4">
        <w:rPr>
          <w:rFonts w:ascii="Arial" w:hAnsi="Arial" w:cs="Arial"/>
          <w:i/>
          <w:iCs/>
        </w:rPr>
        <w:t>et al.</w:t>
      </w:r>
      <w:r w:rsidR="007C0C93" w:rsidRPr="00032AC4">
        <w:rPr>
          <w:rFonts w:ascii="Arial" w:hAnsi="Arial" w:cs="Arial"/>
        </w:rPr>
        <w:t xml:space="preserve">, 2011; Baines </w:t>
      </w:r>
      <w:r w:rsidR="00032AC4" w:rsidRPr="00032AC4">
        <w:rPr>
          <w:rFonts w:ascii="Arial" w:hAnsi="Arial" w:cs="Arial"/>
          <w:i/>
          <w:iCs/>
        </w:rPr>
        <w:t>et al.</w:t>
      </w:r>
      <w:r w:rsidR="007C0C93" w:rsidRPr="00032AC4">
        <w:rPr>
          <w:rFonts w:ascii="Arial" w:hAnsi="Arial" w:cs="Arial"/>
        </w:rPr>
        <w:t>, 2016</w:t>
      </w:r>
      <w:r w:rsidRPr="00032AC4">
        <w:rPr>
          <w:rFonts w:ascii="Arial" w:hAnsi="Arial" w:cs="Arial"/>
        </w:rPr>
        <w:t>)</w:t>
      </w:r>
      <w:r w:rsidR="007C0C93" w:rsidRPr="00032AC4">
        <w:rPr>
          <w:rFonts w:ascii="Arial" w:hAnsi="Arial" w:cs="Arial"/>
        </w:rPr>
        <w:t xml:space="preserve">. </w:t>
      </w:r>
      <w:r w:rsidR="00DA4376" w:rsidRPr="00032AC4">
        <w:rPr>
          <w:rFonts w:ascii="Arial" w:hAnsi="Arial" w:cs="Arial"/>
        </w:rPr>
        <w:t>Further, t</w:t>
      </w:r>
      <w:r w:rsidR="007C0C93" w:rsidRPr="00032AC4">
        <w:rPr>
          <w:rFonts w:ascii="Arial" w:hAnsi="Arial" w:cs="Arial"/>
        </w:rPr>
        <w:t xml:space="preserve">he </w:t>
      </w:r>
      <w:r w:rsidR="00DA4376" w:rsidRPr="00032AC4">
        <w:rPr>
          <w:rFonts w:ascii="Arial" w:hAnsi="Arial" w:cs="Arial"/>
        </w:rPr>
        <w:t xml:space="preserve">extent of micronutrients </w:t>
      </w:r>
      <w:r w:rsidR="007C0C93" w:rsidRPr="00032AC4">
        <w:rPr>
          <w:rFonts w:ascii="Arial" w:hAnsi="Arial" w:cs="Arial"/>
        </w:rPr>
        <w:t xml:space="preserve">accumulation in plankton </w:t>
      </w:r>
      <w:r w:rsidR="00DA4376" w:rsidRPr="00032AC4">
        <w:rPr>
          <w:rFonts w:ascii="Arial" w:hAnsi="Arial" w:cs="Arial"/>
        </w:rPr>
        <w:t>is influenced by quantity of nutrient in water, plankton species as well as metal content of the bottom soil</w:t>
      </w:r>
      <w:r w:rsidR="007C0C93" w:rsidRPr="00032AC4">
        <w:rPr>
          <w:rFonts w:ascii="Arial" w:hAnsi="Arial" w:cs="Arial"/>
        </w:rPr>
        <w:t xml:space="preserve"> (</w:t>
      </w:r>
      <w:proofErr w:type="spellStart"/>
      <w:r w:rsidR="007C0C93" w:rsidRPr="00032AC4">
        <w:rPr>
          <w:rFonts w:ascii="Arial" w:hAnsi="Arial" w:cs="Arial"/>
        </w:rPr>
        <w:t>Elmaci</w:t>
      </w:r>
      <w:proofErr w:type="spellEnd"/>
      <w:r w:rsidR="007C0C93" w:rsidRPr="00032AC4">
        <w:rPr>
          <w:rFonts w:ascii="Arial" w:hAnsi="Arial" w:cs="Arial"/>
        </w:rPr>
        <w:t xml:space="preserve"> </w:t>
      </w:r>
      <w:r w:rsidR="00032AC4" w:rsidRPr="00032AC4">
        <w:rPr>
          <w:rFonts w:ascii="Arial" w:hAnsi="Arial" w:cs="Arial"/>
          <w:i/>
          <w:iCs/>
        </w:rPr>
        <w:t>et al.</w:t>
      </w:r>
      <w:r w:rsidR="007C0C93" w:rsidRPr="00032AC4">
        <w:rPr>
          <w:rFonts w:ascii="Arial" w:hAnsi="Arial" w:cs="Arial"/>
        </w:rPr>
        <w:t xml:space="preserve"> 2007). </w:t>
      </w:r>
      <w:r w:rsidR="004D7CFD" w:rsidRPr="00032AC4">
        <w:rPr>
          <w:rFonts w:ascii="Arial" w:hAnsi="Arial" w:cs="Arial"/>
        </w:rPr>
        <w:t xml:space="preserve">For example, enhanced accumulation of metals was observed </w:t>
      </w:r>
      <w:r w:rsidR="00015982" w:rsidRPr="00032AC4">
        <w:rPr>
          <w:rFonts w:ascii="Arial" w:hAnsi="Arial" w:cs="Arial"/>
        </w:rPr>
        <w:t xml:space="preserve">in </w:t>
      </w:r>
      <w:r w:rsidR="004D7CFD" w:rsidRPr="00032AC4">
        <w:rPr>
          <w:rFonts w:ascii="Arial" w:hAnsi="Arial" w:cs="Arial"/>
        </w:rPr>
        <w:t xml:space="preserve">phytoplankton collected from </w:t>
      </w:r>
      <w:r w:rsidR="00015982" w:rsidRPr="00032AC4">
        <w:rPr>
          <w:rFonts w:ascii="Arial" w:hAnsi="Arial" w:cs="Arial"/>
        </w:rPr>
        <w:t xml:space="preserve">sewage-fed lake of Bhopal, India </w:t>
      </w:r>
      <w:r w:rsidR="004D7CFD" w:rsidRPr="00032AC4">
        <w:rPr>
          <w:rFonts w:ascii="Arial" w:hAnsi="Arial" w:cs="Arial"/>
        </w:rPr>
        <w:t>(</w:t>
      </w:r>
      <w:r w:rsidR="007C0C93" w:rsidRPr="00032AC4">
        <w:rPr>
          <w:rFonts w:ascii="Arial" w:hAnsi="Arial" w:cs="Arial"/>
        </w:rPr>
        <w:t xml:space="preserve">Shrivastava </w:t>
      </w:r>
      <w:r w:rsidR="00032AC4" w:rsidRPr="00032AC4">
        <w:rPr>
          <w:rFonts w:ascii="Arial" w:hAnsi="Arial" w:cs="Arial"/>
          <w:i/>
          <w:iCs/>
        </w:rPr>
        <w:t>et al.</w:t>
      </w:r>
      <w:r w:rsidR="007C0C93" w:rsidRPr="00032AC4">
        <w:rPr>
          <w:rFonts w:ascii="Arial" w:hAnsi="Arial" w:cs="Arial"/>
        </w:rPr>
        <w:t xml:space="preserve"> 2003)</w:t>
      </w:r>
      <w:r w:rsidR="004D7CFD" w:rsidRPr="00032AC4">
        <w:rPr>
          <w:rFonts w:ascii="Arial" w:hAnsi="Arial" w:cs="Arial"/>
        </w:rPr>
        <w:t xml:space="preserve">. While in </w:t>
      </w:r>
      <w:proofErr w:type="spellStart"/>
      <w:r w:rsidR="004D7CFD" w:rsidRPr="00032AC4">
        <w:rPr>
          <w:rFonts w:ascii="Arial" w:hAnsi="Arial" w:cs="Arial"/>
        </w:rPr>
        <w:t>Kolleru</w:t>
      </w:r>
      <w:proofErr w:type="spellEnd"/>
      <w:r w:rsidR="004D7CFD" w:rsidRPr="00032AC4">
        <w:rPr>
          <w:rFonts w:ascii="Arial" w:hAnsi="Arial" w:cs="Arial"/>
        </w:rPr>
        <w:t xml:space="preserve"> Lake, the </w:t>
      </w:r>
      <w:r w:rsidR="002906FD" w:rsidRPr="00032AC4">
        <w:rPr>
          <w:rFonts w:ascii="Arial" w:hAnsi="Arial" w:cs="Arial"/>
        </w:rPr>
        <w:t>bottom soil</w:t>
      </w:r>
      <w:r w:rsidR="004D7CFD" w:rsidRPr="00032AC4">
        <w:rPr>
          <w:rFonts w:ascii="Arial" w:hAnsi="Arial" w:cs="Arial"/>
        </w:rPr>
        <w:t xml:space="preserve"> contained higher amounts of trace metals compared to water and plankton (</w:t>
      </w:r>
      <w:r w:rsidR="007C0C93" w:rsidRPr="00032AC4">
        <w:rPr>
          <w:rFonts w:ascii="Arial" w:hAnsi="Arial" w:cs="Arial"/>
        </w:rPr>
        <w:t xml:space="preserve">Adhikari </w:t>
      </w:r>
      <w:r w:rsidR="00032AC4" w:rsidRPr="00032AC4">
        <w:rPr>
          <w:rFonts w:ascii="Arial" w:hAnsi="Arial" w:cs="Arial"/>
          <w:i/>
          <w:iCs/>
        </w:rPr>
        <w:t>et al.</w:t>
      </w:r>
      <w:r w:rsidR="007C0C93" w:rsidRPr="00032AC4">
        <w:rPr>
          <w:rFonts w:ascii="Arial" w:hAnsi="Arial" w:cs="Arial"/>
        </w:rPr>
        <w:t xml:space="preserve"> 2009) </w:t>
      </w:r>
      <w:r w:rsidR="004D7CFD" w:rsidRPr="00032AC4">
        <w:rPr>
          <w:rFonts w:ascii="Arial" w:hAnsi="Arial" w:cs="Arial"/>
        </w:rPr>
        <w:t>which can be attributed</w:t>
      </w:r>
      <w:r w:rsidR="007C0C93" w:rsidRPr="00032AC4">
        <w:rPr>
          <w:rFonts w:ascii="Arial" w:hAnsi="Arial" w:cs="Arial"/>
        </w:rPr>
        <w:t xml:space="preserve"> to the deposition of </w:t>
      </w:r>
      <w:r w:rsidR="002906FD" w:rsidRPr="00032AC4">
        <w:rPr>
          <w:rFonts w:ascii="Arial" w:hAnsi="Arial" w:cs="Arial"/>
        </w:rPr>
        <w:t xml:space="preserve">plankton as well as </w:t>
      </w:r>
      <w:r w:rsidR="007C0C93" w:rsidRPr="00032AC4">
        <w:rPr>
          <w:rFonts w:ascii="Arial" w:hAnsi="Arial" w:cs="Arial"/>
        </w:rPr>
        <w:t>sedimenta</w:t>
      </w:r>
      <w:r w:rsidR="004D7CFD" w:rsidRPr="00032AC4">
        <w:rPr>
          <w:rFonts w:ascii="Arial" w:hAnsi="Arial" w:cs="Arial"/>
        </w:rPr>
        <w:t>tion of suspended particles</w:t>
      </w:r>
      <w:r w:rsidR="007C0C93" w:rsidRPr="00032AC4">
        <w:rPr>
          <w:rFonts w:ascii="Arial" w:hAnsi="Arial" w:cs="Arial"/>
        </w:rPr>
        <w:t>.</w:t>
      </w:r>
    </w:p>
    <w:p w14:paraId="21378305" w14:textId="5F09ABAD" w:rsidR="00E5253C" w:rsidRPr="00BB76A8" w:rsidRDefault="00DA4376" w:rsidP="00862DDD">
      <w:pPr>
        <w:pStyle w:val="Body"/>
        <w:spacing w:after="120"/>
        <w:rPr>
          <w:rFonts w:ascii="Arial" w:hAnsi="Arial" w:cs="Arial"/>
          <w:bCs/>
        </w:rPr>
      </w:pPr>
      <w:r w:rsidRPr="00704BE6">
        <w:rPr>
          <w:rFonts w:ascii="Arial" w:hAnsi="Arial" w:cs="Arial"/>
        </w:rPr>
        <w:t>Rampant</w:t>
      </w:r>
      <w:r w:rsidR="00BF4586" w:rsidRPr="00704BE6">
        <w:rPr>
          <w:rFonts w:ascii="Arial" w:hAnsi="Arial" w:cs="Arial"/>
        </w:rPr>
        <w:t xml:space="preserve"> occurrence of Zn </w:t>
      </w:r>
      <w:r w:rsidRPr="00704BE6">
        <w:rPr>
          <w:rFonts w:ascii="Arial" w:hAnsi="Arial" w:cs="Arial"/>
        </w:rPr>
        <w:t xml:space="preserve">and other micronutrients </w:t>
      </w:r>
      <w:r w:rsidR="00BF4586" w:rsidRPr="00704BE6">
        <w:rPr>
          <w:rFonts w:ascii="Arial" w:hAnsi="Arial" w:cs="Arial"/>
        </w:rPr>
        <w:t>deficienc</w:t>
      </w:r>
      <w:r w:rsidRPr="00704BE6">
        <w:rPr>
          <w:rFonts w:ascii="Arial" w:hAnsi="Arial" w:cs="Arial"/>
        </w:rPr>
        <w:t>ies</w:t>
      </w:r>
      <w:r w:rsidR="00BF4586" w:rsidRPr="00704BE6">
        <w:rPr>
          <w:rFonts w:ascii="Arial" w:hAnsi="Arial" w:cs="Arial"/>
        </w:rPr>
        <w:t xml:space="preserve"> in soil</w:t>
      </w:r>
      <w:r w:rsidRPr="00704BE6">
        <w:rPr>
          <w:rFonts w:ascii="Arial" w:hAnsi="Arial" w:cs="Arial"/>
        </w:rPr>
        <w:t>s of India</w:t>
      </w:r>
      <w:r w:rsidR="00BF4586" w:rsidRPr="00704BE6">
        <w:rPr>
          <w:rFonts w:ascii="Arial" w:hAnsi="Arial" w:cs="Arial"/>
        </w:rPr>
        <w:t xml:space="preserve"> has been </w:t>
      </w:r>
      <w:r w:rsidRPr="00704BE6">
        <w:rPr>
          <w:rFonts w:ascii="Arial" w:hAnsi="Arial" w:cs="Arial"/>
        </w:rPr>
        <w:t xml:space="preserve">a great </w:t>
      </w:r>
      <w:r w:rsidRPr="00032AC4">
        <w:rPr>
          <w:rFonts w:ascii="Arial" w:hAnsi="Arial" w:cs="Arial"/>
        </w:rPr>
        <w:t>cause of concern</w:t>
      </w:r>
      <w:r w:rsidR="00BF4586" w:rsidRPr="00032AC4">
        <w:rPr>
          <w:rFonts w:ascii="Arial" w:hAnsi="Arial" w:cs="Arial"/>
        </w:rPr>
        <w:t xml:space="preserve">. </w:t>
      </w:r>
      <w:r w:rsidRPr="00032AC4">
        <w:rPr>
          <w:rFonts w:ascii="Arial" w:hAnsi="Arial" w:cs="Arial"/>
        </w:rPr>
        <w:t>For example, around</w:t>
      </w:r>
      <w:r w:rsidR="00BF4586" w:rsidRPr="00032AC4">
        <w:rPr>
          <w:rFonts w:ascii="Arial" w:hAnsi="Arial" w:cs="Arial"/>
        </w:rPr>
        <w:t xml:space="preserve"> 43% of agricultural soils </w:t>
      </w:r>
      <w:proofErr w:type="spellStart"/>
      <w:r w:rsidR="00BF4586" w:rsidRPr="00032AC4">
        <w:rPr>
          <w:rFonts w:ascii="Arial" w:hAnsi="Arial" w:cs="Arial"/>
        </w:rPr>
        <w:t>analysed</w:t>
      </w:r>
      <w:proofErr w:type="spellEnd"/>
      <w:r w:rsidR="00BF4586" w:rsidRPr="00032AC4">
        <w:rPr>
          <w:rFonts w:ascii="Arial" w:hAnsi="Arial" w:cs="Arial"/>
        </w:rPr>
        <w:t xml:space="preserve"> </w:t>
      </w:r>
      <w:r w:rsidRPr="00032AC4">
        <w:rPr>
          <w:rFonts w:ascii="Arial" w:hAnsi="Arial" w:cs="Arial"/>
        </w:rPr>
        <w:t xml:space="preserve">across different states of the country </w:t>
      </w:r>
      <w:r w:rsidR="00BF4586" w:rsidRPr="00032AC4">
        <w:rPr>
          <w:rFonts w:ascii="Arial" w:hAnsi="Arial" w:cs="Arial"/>
        </w:rPr>
        <w:t xml:space="preserve">under </w:t>
      </w:r>
      <w:r w:rsidRPr="00032AC4">
        <w:rPr>
          <w:rFonts w:ascii="Arial" w:hAnsi="Arial" w:cs="Arial"/>
        </w:rPr>
        <w:t>the aegis of the All India Coordinated Research Project on Micro- and Secondary N</w:t>
      </w:r>
      <w:r w:rsidR="00851E0C" w:rsidRPr="00032AC4">
        <w:rPr>
          <w:rFonts w:ascii="Arial" w:hAnsi="Arial" w:cs="Arial"/>
        </w:rPr>
        <w:t xml:space="preserve">utrients and Pollutant Elements, Bhopal </w:t>
      </w:r>
      <w:r w:rsidR="00BF4586" w:rsidRPr="00032AC4">
        <w:rPr>
          <w:rFonts w:ascii="Arial" w:hAnsi="Arial" w:cs="Arial"/>
        </w:rPr>
        <w:t xml:space="preserve">has been found to be deficient in Zn (Shukla </w:t>
      </w:r>
      <w:r w:rsidR="00032AC4" w:rsidRPr="00032AC4">
        <w:rPr>
          <w:rFonts w:ascii="Arial" w:hAnsi="Arial" w:cs="Arial"/>
          <w:i/>
          <w:iCs/>
        </w:rPr>
        <w:t>et al.</w:t>
      </w:r>
      <w:r w:rsidR="00BF4586" w:rsidRPr="00032AC4">
        <w:rPr>
          <w:rFonts w:ascii="Arial" w:hAnsi="Arial" w:cs="Arial"/>
          <w:i/>
          <w:iCs/>
        </w:rPr>
        <w:t xml:space="preserve"> </w:t>
      </w:r>
      <w:r w:rsidR="00BF4586" w:rsidRPr="00032AC4">
        <w:rPr>
          <w:rFonts w:ascii="Arial" w:hAnsi="Arial" w:cs="Arial"/>
        </w:rPr>
        <w:t xml:space="preserve">2014). </w:t>
      </w:r>
      <w:r w:rsidR="00526536" w:rsidRPr="00032AC4">
        <w:rPr>
          <w:rFonts w:ascii="Arial" w:hAnsi="Arial" w:cs="Arial"/>
        </w:rPr>
        <w:t xml:space="preserve">The doses of the nutrients are usually decided considering the ability of their </w:t>
      </w:r>
      <w:r w:rsidR="00562BD6" w:rsidRPr="00032AC4">
        <w:rPr>
          <w:rFonts w:ascii="Arial" w:hAnsi="Arial" w:cs="Arial"/>
        </w:rPr>
        <w:t xml:space="preserve">levels in sediment and water </w:t>
      </w:r>
      <w:r w:rsidR="00526536" w:rsidRPr="00032AC4">
        <w:rPr>
          <w:rFonts w:ascii="Arial" w:hAnsi="Arial" w:cs="Arial"/>
        </w:rPr>
        <w:t xml:space="preserve">(Hickling, 1971; Chaudhuri </w:t>
      </w:r>
      <w:r w:rsidR="00032AC4" w:rsidRPr="00032AC4">
        <w:rPr>
          <w:rFonts w:ascii="Arial" w:hAnsi="Arial" w:cs="Arial"/>
          <w:i/>
          <w:iCs/>
        </w:rPr>
        <w:t>et al.</w:t>
      </w:r>
      <w:r w:rsidR="00526536" w:rsidRPr="00032AC4">
        <w:rPr>
          <w:rFonts w:ascii="Arial" w:hAnsi="Arial" w:cs="Arial"/>
        </w:rPr>
        <w:t xml:space="preserve">, 1975; Boyd, 1984). </w:t>
      </w:r>
      <w:r w:rsidR="00562BD6" w:rsidRPr="00032AC4">
        <w:rPr>
          <w:rFonts w:ascii="Arial" w:hAnsi="Arial" w:cs="Arial"/>
        </w:rPr>
        <w:t>Though</w:t>
      </w:r>
      <w:r w:rsidR="00FF27E0" w:rsidRPr="00032AC4">
        <w:rPr>
          <w:rFonts w:ascii="Arial" w:hAnsi="Arial" w:cs="Arial"/>
        </w:rPr>
        <w:t>, in limited soil base or soil less systems, it becomes a challenge to maintain the optimum level of the nutrients required for growth of plankton which are primary food for the fish being cultured.</w:t>
      </w:r>
      <w:r w:rsidR="00526536" w:rsidRPr="00032AC4">
        <w:rPr>
          <w:rFonts w:ascii="Arial" w:hAnsi="Arial" w:cs="Arial"/>
        </w:rPr>
        <w:t xml:space="preserve"> Therefore, application of inorganic fertilizers become critical for successful management of aquaculture system.</w:t>
      </w:r>
      <w:r w:rsidR="00CE3D9B" w:rsidRPr="00032AC4">
        <w:rPr>
          <w:rFonts w:ascii="Arial" w:hAnsi="Arial" w:cs="Arial"/>
        </w:rPr>
        <w:t xml:space="preserve"> The exogenous </w:t>
      </w:r>
      <w:r w:rsidR="00CE3D9B" w:rsidRPr="00704BE6">
        <w:rPr>
          <w:rFonts w:ascii="Arial" w:hAnsi="Arial" w:cs="Arial"/>
        </w:rPr>
        <w:t xml:space="preserve">application of the nutrients influences the water quality and </w:t>
      </w:r>
      <w:r w:rsidR="002906FD" w:rsidRPr="00704BE6">
        <w:rPr>
          <w:rFonts w:ascii="Arial" w:hAnsi="Arial" w:cs="Arial"/>
        </w:rPr>
        <w:t>encourage</w:t>
      </w:r>
      <w:r w:rsidR="00CE3D9B" w:rsidRPr="00704BE6">
        <w:rPr>
          <w:rFonts w:ascii="Arial" w:hAnsi="Arial" w:cs="Arial"/>
        </w:rPr>
        <w:t xml:space="preserve"> the growth of plankton, which </w:t>
      </w:r>
      <w:r w:rsidR="002906FD" w:rsidRPr="00704BE6">
        <w:rPr>
          <w:rFonts w:ascii="Arial" w:hAnsi="Arial" w:cs="Arial"/>
        </w:rPr>
        <w:t>further</w:t>
      </w:r>
      <w:r w:rsidR="00CE3D9B" w:rsidRPr="00704BE6">
        <w:rPr>
          <w:rFonts w:ascii="Arial" w:hAnsi="Arial" w:cs="Arial"/>
        </w:rPr>
        <w:t xml:space="preserve"> impact the </w:t>
      </w:r>
      <w:r w:rsidR="002906FD" w:rsidRPr="00704BE6">
        <w:rPr>
          <w:rFonts w:ascii="Arial" w:hAnsi="Arial" w:cs="Arial"/>
        </w:rPr>
        <w:t>pond</w:t>
      </w:r>
      <w:r w:rsidR="00CE3D9B" w:rsidRPr="00704BE6">
        <w:rPr>
          <w:rFonts w:ascii="Arial" w:hAnsi="Arial" w:cs="Arial"/>
        </w:rPr>
        <w:t xml:space="preserve"> e</w:t>
      </w:r>
      <w:r w:rsidR="002906FD" w:rsidRPr="00704BE6">
        <w:rPr>
          <w:rFonts w:ascii="Arial" w:hAnsi="Arial" w:cs="Arial"/>
        </w:rPr>
        <w:t xml:space="preserve">nvironment and food </w:t>
      </w:r>
      <w:r w:rsidR="002906FD" w:rsidRPr="00032AC4">
        <w:rPr>
          <w:rFonts w:ascii="Arial" w:hAnsi="Arial" w:cs="Arial"/>
        </w:rPr>
        <w:t xml:space="preserve">composition </w:t>
      </w:r>
      <w:r w:rsidR="00CE3D9B" w:rsidRPr="00032AC4">
        <w:rPr>
          <w:rFonts w:ascii="Arial" w:hAnsi="Arial" w:cs="Arial"/>
        </w:rPr>
        <w:t>fish (Zhang 2021). Zinc fertilizers available in different forms like</w:t>
      </w:r>
      <w:r w:rsidR="00511D0D" w:rsidRPr="00032AC4">
        <w:rPr>
          <w:rFonts w:ascii="Arial" w:hAnsi="Arial" w:cs="Arial"/>
        </w:rPr>
        <w:t xml:space="preserve"> inorganic, organic, and nano</w:t>
      </w:r>
      <w:r w:rsidR="00CE3D9B" w:rsidRPr="00032AC4">
        <w:rPr>
          <w:rFonts w:ascii="Arial" w:hAnsi="Arial" w:cs="Arial"/>
        </w:rPr>
        <w:t xml:space="preserve"> formulations</w:t>
      </w:r>
      <w:r w:rsidR="00511D0D" w:rsidRPr="00032AC4">
        <w:rPr>
          <w:rFonts w:ascii="Arial" w:hAnsi="Arial" w:cs="Arial"/>
        </w:rPr>
        <w:t xml:space="preserve">. </w:t>
      </w:r>
      <w:r w:rsidR="00CE3D9B" w:rsidRPr="00032AC4">
        <w:rPr>
          <w:rFonts w:ascii="Arial" w:hAnsi="Arial" w:cs="Arial"/>
        </w:rPr>
        <w:t>Among widely used i</w:t>
      </w:r>
      <w:r w:rsidR="00511D0D" w:rsidRPr="00032AC4">
        <w:rPr>
          <w:rFonts w:ascii="Arial" w:hAnsi="Arial" w:cs="Arial"/>
        </w:rPr>
        <w:t xml:space="preserve">norganic Zn </w:t>
      </w:r>
      <w:r w:rsidR="00CE3D9B" w:rsidRPr="00032AC4">
        <w:rPr>
          <w:rFonts w:ascii="Arial" w:hAnsi="Arial" w:cs="Arial"/>
        </w:rPr>
        <w:t>fertilizers like</w:t>
      </w:r>
      <w:r w:rsidR="00511D0D" w:rsidRPr="00032AC4">
        <w:rPr>
          <w:rFonts w:ascii="Arial" w:hAnsi="Arial" w:cs="Arial"/>
        </w:rPr>
        <w:t xml:space="preserve"> zinc sul</w:t>
      </w:r>
      <w:r w:rsidR="00F27DFF" w:rsidRPr="00032AC4">
        <w:rPr>
          <w:rFonts w:ascii="Arial" w:hAnsi="Arial" w:cs="Arial"/>
        </w:rPr>
        <w:t>ph</w:t>
      </w:r>
      <w:r w:rsidR="00511D0D" w:rsidRPr="00032AC4">
        <w:rPr>
          <w:rFonts w:ascii="Arial" w:hAnsi="Arial" w:cs="Arial"/>
        </w:rPr>
        <w:t>ate,</w:t>
      </w:r>
      <w:r w:rsidR="00F27DFF" w:rsidRPr="00032AC4">
        <w:rPr>
          <w:rFonts w:ascii="Arial" w:hAnsi="Arial" w:cs="Arial"/>
        </w:rPr>
        <w:t xml:space="preserve"> zinc oxide</w:t>
      </w:r>
      <w:r w:rsidR="00511D0D" w:rsidRPr="00032AC4">
        <w:rPr>
          <w:rFonts w:ascii="Arial" w:hAnsi="Arial" w:cs="Arial"/>
        </w:rPr>
        <w:t xml:space="preserve">, and zinc chloride, </w:t>
      </w:r>
      <w:r w:rsidR="00CE3D9B" w:rsidRPr="00032AC4">
        <w:rPr>
          <w:rFonts w:ascii="Arial" w:hAnsi="Arial" w:cs="Arial"/>
        </w:rPr>
        <w:t>ZnSO</w:t>
      </w:r>
      <w:r w:rsidR="00CE3D9B" w:rsidRPr="00032AC4">
        <w:rPr>
          <w:rFonts w:ascii="Arial" w:hAnsi="Arial" w:cs="Arial"/>
          <w:vertAlign w:val="subscript"/>
        </w:rPr>
        <w:t>4</w:t>
      </w:r>
      <w:r w:rsidR="00CE3D9B" w:rsidRPr="00032AC4">
        <w:rPr>
          <w:rFonts w:ascii="Arial" w:hAnsi="Arial" w:cs="Arial"/>
        </w:rPr>
        <w:t xml:space="preserve"> is </w:t>
      </w:r>
      <w:r w:rsidR="00511D0D" w:rsidRPr="00032AC4">
        <w:rPr>
          <w:rFonts w:ascii="Arial" w:hAnsi="Arial" w:cs="Arial"/>
        </w:rPr>
        <w:t xml:space="preserve">commonly applied in </w:t>
      </w:r>
      <w:r w:rsidR="00CE3D9B" w:rsidRPr="00032AC4">
        <w:rPr>
          <w:rFonts w:ascii="Arial" w:hAnsi="Arial" w:cs="Arial"/>
        </w:rPr>
        <w:t>soil and water under different aquaculture systems</w:t>
      </w:r>
      <w:r w:rsidR="00511D0D" w:rsidRPr="00032AC4">
        <w:rPr>
          <w:rFonts w:ascii="Arial" w:hAnsi="Arial" w:cs="Arial"/>
        </w:rPr>
        <w:t xml:space="preserve"> </w:t>
      </w:r>
      <w:r w:rsidR="00CE3D9B" w:rsidRPr="00032AC4">
        <w:rPr>
          <w:rFonts w:ascii="Arial" w:hAnsi="Arial" w:cs="Arial"/>
        </w:rPr>
        <w:t>(Reilly 2004)</w:t>
      </w:r>
      <w:r w:rsidR="00511D0D" w:rsidRPr="00032AC4">
        <w:rPr>
          <w:rFonts w:ascii="Arial" w:hAnsi="Arial" w:cs="Arial"/>
        </w:rPr>
        <w:t>.</w:t>
      </w:r>
      <w:r w:rsidR="00E5253C" w:rsidRPr="00032AC4">
        <w:rPr>
          <w:rFonts w:ascii="Arial" w:hAnsi="Arial" w:cs="Arial"/>
        </w:rPr>
        <w:t xml:space="preserve"> </w:t>
      </w:r>
      <w:r w:rsidR="002C3D72" w:rsidRPr="00032AC4">
        <w:rPr>
          <w:rFonts w:ascii="Arial" w:hAnsi="Arial" w:cs="Arial"/>
          <w:bCs/>
        </w:rPr>
        <w:t xml:space="preserve"> </w:t>
      </w:r>
      <w:r w:rsidR="00E5253C" w:rsidRPr="00032AC4">
        <w:rPr>
          <w:rFonts w:ascii="Arial" w:hAnsi="Arial" w:cs="Arial"/>
        </w:rPr>
        <w:t xml:space="preserve">Therefore, </w:t>
      </w:r>
      <w:r w:rsidRPr="00032AC4">
        <w:rPr>
          <w:rFonts w:ascii="Arial" w:hAnsi="Arial" w:cs="Arial"/>
        </w:rPr>
        <w:t>an</w:t>
      </w:r>
      <w:r w:rsidR="00E5253C" w:rsidRPr="00032AC4">
        <w:rPr>
          <w:rFonts w:ascii="Arial" w:hAnsi="Arial" w:cs="Arial"/>
        </w:rPr>
        <w:t xml:space="preserve"> investigation was </w:t>
      </w:r>
      <w:r w:rsidRPr="00032AC4">
        <w:rPr>
          <w:rFonts w:ascii="Arial" w:hAnsi="Arial" w:cs="Arial"/>
        </w:rPr>
        <w:t xml:space="preserve">conducted </w:t>
      </w:r>
      <w:r w:rsidR="00E5253C" w:rsidRPr="00032AC4">
        <w:rPr>
          <w:rFonts w:ascii="Arial" w:hAnsi="Arial" w:cs="Arial"/>
        </w:rPr>
        <w:t xml:space="preserve">to </w:t>
      </w:r>
      <w:r w:rsidR="00F27DFF" w:rsidRPr="00032AC4">
        <w:rPr>
          <w:rFonts w:ascii="Arial" w:hAnsi="Arial" w:cs="Arial"/>
        </w:rPr>
        <w:t>assess</w:t>
      </w:r>
      <w:r w:rsidR="00E5253C" w:rsidRPr="00032AC4">
        <w:rPr>
          <w:rFonts w:ascii="Arial" w:hAnsi="Arial" w:cs="Arial"/>
        </w:rPr>
        <w:t xml:space="preserve"> the</w:t>
      </w:r>
      <w:r w:rsidR="00E5253C" w:rsidRPr="00032AC4">
        <w:rPr>
          <w:rFonts w:ascii="Arial" w:hAnsi="Arial" w:cs="Arial"/>
          <w:bCs/>
        </w:rPr>
        <w:t xml:space="preserve"> optimum dose of Zn (</w:t>
      </w:r>
      <w:r w:rsidRPr="00032AC4">
        <w:rPr>
          <w:rFonts w:ascii="Arial" w:hAnsi="Arial" w:cs="Arial"/>
          <w:bCs/>
        </w:rPr>
        <w:t xml:space="preserve">through </w:t>
      </w:r>
      <w:r w:rsidR="00E5253C" w:rsidRPr="00704BE6">
        <w:rPr>
          <w:rFonts w:ascii="Arial" w:hAnsi="Arial" w:cs="Arial"/>
          <w:bCs/>
        </w:rPr>
        <w:t>ZnSO</w:t>
      </w:r>
      <w:r w:rsidR="00E5253C" w:rsidRPr="00704BE6">
        <w:rPr>
          <w:rFonts w:ascii="Arial" w:hAnsi="Arial" w:cs="Arial"/>
          <w:bCs/>
          <w:vertAlign w:val="subscript"/>
        </w:rPr>
        <w:t>4</w:t>
      </w:r>
      <w:r w:rsidR="00E5253C" w:rsidRPr="00704BE6">
        <w:rPr>
          <w:rFonts w:ascii="Arial" w:hAnsi="Arial" w:cs="Arial"/>
          <w:bCs/>
        </w:rPr>
        <w:t xml:space="preserve">) for freshwater plankton production, survival and growth of </w:t>
      </w:r>
      <w:proofErr w:type="spellStart"/>
      <w:r w:rsidR="00E5253C" w:rsidRPr="00704BE6">
        <w:rPr>
          <w:rFonts w:ascii="Arial" w:hAnsi="Arial" w:cs="Arial"/>
          <w:bCs/>
          <w:i/>
          <w:iCs/>
        </w:rPr>
        <w:t>Labeo</w:t>
      </w:r>
      <w:proofErr w:type="spellEnd"/>
      <w:r w:rsidR="00E5253C" w:rsidRPr="00704BE6">
        <w:rPr>
          <w:rFonts w:ascii="Arial" w:hAnsi="Arial" w:cs="Arial"/>
          <w:i/>
          <w:iCs/>
        </w:rPr>
        <w:t xml:space="preserve"> </w:t>
      </w:r>
      <w:proofErr w:type="spellStart"/>
      <w:r w:rsidR="00E5253C" w:rsidRPr="00704BE6">
        <w:rPr>
          <w:rFonts w:ascii="Arial" w:hAnsi="Arial" w:cs="Arial"/>
          <w:i/>
          <w:iCs/>
        </w:rPr>
        <w:t>rohita</w:t>
      </w:r>
      <w:proofErr w:type="spellEnd"/>
      <w:r w:rsidR="00E5253C" w:rsidRPr="00704BE6">
        <w:rPr>
          <w:rFonts w:ascii="Arial" w:hAnsi="Arial" w:cs="Arial"/>
        </w:rPr>
        <w:t xml:space="preserve"> (Hamilton) fry and fingerlings </w:t>
      </w:r>
      <w:r w:rsidR="00862DDD" w:rsidRPr="00704BE6">
        <w:rPr>
          <w:rFonts w:ascii="Arial" w:hAnsi="Arial" w:cs="Arial"/>
        </w:rPr>
        <w:t xml:space="preserve">under </w:t>
      </w:r>
      <w:r w:rsidR="00862DDD" w:rsidRPr="00704BE6">
        <w:rPr>
          <w:rFonts w:ascii="Arial" w:hAnsi="Arial" w:cs="Arial"/>
          <w:bCs/>
        </w:rPr>
        <w:t>microcosm</w:t>
      </w:r>
      <w:r w:rsidR="00E5253C" w:rsidRPr="00704BE6">
        <w:rPr>
          <w:rFonts w:ascii="Arial" w:hAnsi="Arial" w:cs="Arial"/>
          <w:bCs/>
        </w:rPr>
        <w:t xml:space="preserve"> and mesocosms systems.</w:t>
      </w:r>
    </w:p>
    <w:p w14:paraId="69AA0F89" w14:textId="77777777" w:rsidR="007F7B32" w:rsidRPr="0079280B" w:rsidRDefault="00902823" w:rsidP="0079280B">
      <w:pPr>
        <w:pStyle w:val="AbstHead"/>
        <w:spacing w:after="0"/>
        <w:jc w:val="both"/>
        <w:rPr>
          <w:rFonts w:ascii="Arial" w:hAnsi="Arial" w:cs="Arial"/>
          <w:bCs/>
          <w:szCs w:val="22"/>
        </w:rPr>
      </w:pPr>
      <w:r w:rsidRPr="0079280B">
        <w:rPr>
          <w:rFonts w:ascii="Arial" w:hAnsi="Arial" w:cs="Arial"/>
          <w:bCs/>
          <w:szCs w:val="22"/>
        </w:rPr>
        <w:lastRenderedPageBreak/>
        <w:t>2. material and method</w:t>
      </w:r>
      <w:r w:rsidR="003C6260" w:rsidRPr="0079280B">
        <w:rPr>
          <w:rFonts w:ascii="Arial" w:hAnsi="Arial" w:cs="Arial"/>
          <w:bCs/>
          <w:szCs w:val="22"/>
        </w:rPr>
        <w:t>s</w:t>
      </w:r>
    </w:p>
    <w:p w14:paraId="3C22E7DE" w14:textId="655DE470" w:rsidR="004A3A5B" w:rsidRDefault="004A3A5B" w:rsidP="0079280B">
      <w:pPr>
        <w:pStyle w:val="AbstHead"/>
        <w:spacing w:before="120" w:after="120"/>
        <w:jc w:val="both"/>
        <w:rPr>
          <w:rFonts w:ascii="Arial" w:hAnsi="Arial" w:cs="Arial"/>
          <w:caps w:val="0"/>
          <w:szCs w:val="22"/>
        </w:rPr>
      </w:pPr>
      <w:r w:rsidRPr="0079280B">
        <w:rPr>
          <w:rFonts w:ascii="Arial" w:hAnsi="Arial" w:cs="Arial"/>
          <w:szCs w:val="22"/>
        </w:rPr>
        <w:t xml:space="preserve">2.1 </w:t>
      </w:r>
      <w:r w:rsidR="005C1146" w:rsidRPr="0079280B">
        <w:rPr>
          <w:rFonts w:ascii="Arial" w:hAnsi="Arial" w:cs="Arial"/>
          <w:caps w:val="0"/>
          <w:szCs w:val="22"/>
        </w:rPr>
        <w:t>Plankton Study</w:t>
      </w:r>
    </w:p>
    <w:p w14:paraId="2225F51C" w14:textId="79A3BB4A" w:rsidR="00C40786" w:rsidRPr="002C4C3A" w:rsidRDefault="00C40786" w:rsidP="0079280B">
      <w:pPr>
        <w:pStyle w:val="Body"/>
        <w:spacing w:before="120" w:after="120"/>
        <w:rPr>
          <w:rFonts w:ascii="Arial" w:hAnsi="Arial" w:cs="Arial"/>
          <w:bCs/>
          <w:lang w:eastAsia="en-IN"/>
        </w:rPr>
      </w:pPr>
      <w:r w:rsidRPr="00704BE6">
        <w:rPr>
          <w:rFonts w:ascii="Arial" w:hAnsi="Arial" w:cs="Arial"/>
          <w:color w:val="000000"/>
          <w:lang w:eastAsia="en-IN"/>
        </w:rPr>
        <w:t xml:space="preserve">In order to find out the optimum dose of Zn for enhanced plankton growth under laboratory conditions, an experiment was set up with varying doses of Zn. </w:t>
      </w:r>
      <w:r w:rsidRPr="00704BE6">
        <w:rPr>
          <w:rFonts w:ascii="Arial" w:hAnsi="Arial" w:cs="Arial"/>
          <w:bCs/>
          <w:color w:val="000000"/>
          <w:lang w:eastAsia="en-IN"/>
        </w:rPr>
        <w:t xml:space="preserve">Prototype photo-bioreactors (15 liters’ glass </w:t>
      </w:r>
      <w:r w:rsidRPr="00704BE6">
        <w:rPr>
          <w:rFonts w:ascii="Arial" w:hAnsi="Arial" w:cs="Arial"/>
          <w:bCs/>
        </w:rPr>
        <w:t>aquarium</w:t>
      </w:r>
      <w:r w:rsidRPr="00704BE6">
        <w:rPr>
          <w:rFonts w:ascii="Arial" w:hAnsi="Arial" w:cs="Arial"/>
          <w:bCs/>
          <w:color w:val="000000"/>
          <w:lang w:eastAsia="en-IN"/>
        </w:rPr>
        <w:t xml:space="preserve"> with provision for requisite controlled illumination) were used for the study by simulating natural photoperiod for growing photosynthetic organisms. The water (pH: 7.8; total alkalinity: 135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hardness: 78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ammoniacal nitrogen: 0.05 </w:t>
      </w:r>
      <w:r w:rsidR="00F0271D">
        <w:rPr>
          <w:rFonts w:ascii="Arial" w:hAnsi="Arial" w:cs="Arial"/>
          <w:bCs/>
          <w:color w:val="000000"/>
          <w:lang w:eastAsia="en-IN"/>
        </w:rPr>
        <w:t>mg/l</w:t>
      </w:r>
      <w:r w:rsidRPr="00704BE6">
        <w:rPr>
          <w:rFonts w:ascii="Arial" w:hAnsi="Arial" w:cs="Arial"/>
          <w:bCs/>
          <w:color w:val="000000"/>
          <w:lang w:eastAsia="en-IN"/>
        </w:rPr>
        <w:t xml:space="preserve">; dissolved phosphate: 0.012 </w:t>
      </w:r>
      <w:r w:rsidR="00F0271D">
        <w:rPr>
          <w:rFonts w:ascii="Arial" w:hAnsi="Arial" w:cs="Arial"/>
          <w:bCs/>
          <w:color w:val="000000"/>
          <w:lang w:eastAsia="en-IN"/>
        </w:rPr>
        <w:t>mg/l</w:t>
      </w:r>
      <w:r w:rsidRPr="00704BE6">
        <w:rPr>
          <w:rFonts w:ascii="Arial" w:hAnsi="Arial" w:cs="Arial"/>
          <w:bCs/>
          <w:color w:val="000000"/>
          <w:lang w:eastAsia="en-IN"/>
        </w:rPr>
        <w:t xml:space="preserve">; dissolved Zn: 146 µg/L) collected from a properly-managed culture pond was used for the study. Different doses of Zn: 0.00, 0.25, 0.50, 0.75, 1.00 and 2.00 </w:t>
      </w:r>
      <w:r w:rsidR="00F0271D">
        <w:rPr>
          <w:rFonts w:ascii="Arial" w:hAnsi="Arial" w:cs="Arial"/>
          <w:bCs/>
          <w:color w:val="000000"/>
          <w:lang w:eastAsia="en-IN"/>
        </w:rPr>
        <w:t>mg/l</w:t>
      </w:r>
      <w:r w:rsidRPr="00704BE6">
        <w:rPr>
          <w:rFonts w:ascii="Arial" w:hAnsi="Arial" w:cs="Arial"/>
          <w:bCs/>
          <w:color w:val="000000"/>
          <w:lang w:eastAsia="en-IN"/>
        </w:rPr>
        <w:t xml:space="preserve"> through zinc sulphate (ZnSO</w:t>
      </w:r>
      <w:r w:rsidRPr="00704BE6">
        <w:rPr>
          <w:rFonts w:ascii="Arial" w:hAnsi="Arial" w:cs="Arial"/>
          <w:bCs/>
          <w:color w:val="000000"/>
          <w:vertAlign w:val="subscript"/>
          <w:lang w:eastAsia="en-IN"/>
        </w:rPr>
        <w:t>4</w:t>
      </w:r>
      <w:r w:rsidRPr="00704BE6">
        <w:rPr>
          <w:rFonts w:ascii="Arial" w:hAnsi="Arial" w:cs="Arial"/>
          <w:bCs/>
          <w:color w:val="000000"/>
          <w:lang w:eastAsia="en-IN"/>
        </w:rPr>
        <w:t>.7H</w:t>
      </w:r>
      <w:r w:rsidRPr="00704BE6">
        <w:rPr>
          <w:rFonts w:ascii="Arial" w:hAnsi="Arial" w:cs="Arial"/>
          <w:bCs/>
          <w:color w:val="000000"/>
          <w:vertAlign w:val="subscript"/>
          <w:lang w:eastAsia="en-IN"/>
        </w:rPr>
        <w:t>2</w:t>
      </w:r>
      <w:r w:rsidR="006F1627">
        <w:rPr>
          <w:rFonts w:ascii="Arial" w:hAnsi="Arial" w:cs="Arial"/>
          <w:bCs/>
          <w:color w:val="000000"/>
          <w:lang w:eastAsia="en-IN"/>
        </w:rPr>
        <w:t>O)</w:t>
      </w:r>
      <w:r w:rsidRPr="00704BE6">
        <w:rPr>
          <w:rFonts w:ascii="Arial" w:hAnsi="Arial" w:cs="Arial"/>
          <w:bCs/>
          <w:color w:val="000000"/>
          <w:lang w:eastAsia="en-IN"/>
        </w:rPr>
        <w:t xml:space="preserve"> were applied </w:t>
      </w:r>
      <w:r w:rsidR="006F1627">
        <w:rPr>
          <w:rFonts w:ascii="Arial" w:hAnsi="Arial" w:cs="Arial"/>
          <w:bCs/>
          <w:color w:val="000000"/>
          <w:lang w:eastAsia="en-IN"/>
        </w:rPr>
        <w:t xml:space="preserve">in water </w:t>
      </w:r>
      <w:r w:rsidRPr="00704BE6">
        <w:rPr>
          <w:rFonts w:ascii="Arial" w:hAnsi="Arial" w:cs="Arial"/>
          <w:bCs/>
          <w:color w:val="000000"/>
          <w:lang w:eastAsia="en-IN"/>
        </w:rPr>
        <w:t xml:space="preserve">under 6 different treatments with 2 replications each. Other essential nutrients like N, P, K </w:t>
      </w:r>
      <w:r w:rsidRPr="00D6215E">
        <w:rPr>
          <w:rFonts w:ascii="Arial" w:hAnsi="Arial" w:cs="Arial"/>
          <w:bCs/>
          <w:i/>
          <w:iCs/>
          <w:color w:val="000000"/>
          <w:lang w:eastAsia="en-IN"/>
        </w:rPr>
        <w:t>etc</w:t>
      </w:r>
      <w:r w:rsidRPr="00704BE6">
        <w:rPr>
          <w:rFonts w:ascii="Arial" w:hAnsi="Arial" w:cs="Arial"/>
          <w:bCs/>
          <w:color w:val="000000"/>
          <w:lang w:eastAsia="en-IN"/>
        </w:rPr>
        <w:t>. were applied through laboratory grade chemicals. The experiment was conducted for a period of 21 days. Keeping the depletion of nutrients in view, nutrients other than Zn were applied at weekly interval. Further, a similar experiment under same photo-bioreactors set-up was also conducted wherein besides the doses of Zn given at 1</w:t>
      </w:r>
      <w:r w:rsidRPr="00704BE6">
        <w:rPr>
          <w:rFonts w:ascii="Arial" w:hAnsi="Arial" w:cs="Arial"/>
          <w:bCs/>
          <w:color w:val="000000"/>
          <w:vertAlign w:val="superscript"/>
          <w:lang w:eastAsia="en-IN"/>
        </w:rPr>
        <w:t>st</w:t>
      </w:r>
      <w:r w:rsidRPr="00704BE6">
        <w:rPr>
          <w:rFonts w:ascii="Arial" w:hAnsi="Arial" w:cs="Arial"/>
          <w:bCs/>
          <w:color w:val="000000"/>
          <w:lang w:eastAsia="en-IN"/>
        </w:rPr>
        <w:t xml:space="preserve"> day, corresponding equal amount of Zn was added to each treatment (top-dressing) on 14</w:t>
      </w:r>
      <w:r w:rsidRPr="00704BE6">
        <w:rPr>
          <w:rFonts w:ascii="Arial" w:hAnsi="Arial" w:cs="Arial"/>
          <w:bCs/>
          <w:color w:val="000000"/>
          <w:vertAlign w:val="superscript"/>
          <w:lang w:eastAsia="en-IN"/>
        </w:rPr>
        <w:t>th</w:t>
      </w:r>
      <w:r w:rsidRPr="00704BE6">
        <w:rPr>
          <w:rFonts w:ascii="Arial" w:hAnsi="Arial" w:cs="Arial"/>
          <w:bCs/>
          <w:color w:val="000000"/>
          <w:lang w:eastAsia="en-IN"/>
        </w:rPr>
        <w:t xml:space="preserve"> day. For both the experiments, wet weight of plankton biomass was measured by collecting filtrate from plankton net (15 lit</w:t>
      </w:r>
      <w:r w:rsidR="001D224E">
        <w:rPr>
          <w:rFonts w:ascii="Arial" w:hAnsi="Arial" w:cs="Arial"/>
          <w:bCs/>
          <w:color w:val="000000"/>
          <w:lang w:eastAsia="en-IN"/>
        </w:rPr>
        <w:t xml:space="preserve">ers of water). </w:t>
      </w:r>
      <w:r w:rsidRPr="00704BE6">
        <w:rPr>
          <w:rFonts w:ascii="Arial" w:hAnsi="Arial" w:cs="Arial"/>
          <w:bCs/>
          <w:color w:val="000000"/>
          <w:lang w:eastAsia="en-IN"/>
        </w:rPr>
        <w:t xml:space="preserve">For analysis of chlorophyll-a content, exactly 500 mL of water samples were filtered using vacuum filter across </w:t>
      </w:r>
      <w:r w:rsidR="00242986">
        <w:rPr>
          <w:rFonts w:ascii="Arial" w:hAnsi="Arial" w:cs="Arial"/>
          <w:bCs/>
          <w:color w:val="000000"/>
          <w:lang w:eastAsia="en-IN"/>
        </w:rPr>
        <w:t>Millipore</w:t>
      </w:r>
      <w:r w:rsidRPr="00704BE6">
        <w:rPr>
          <w:rFonts w:ascii="Arial" w:hAnsi="Arial" w:cs="Arial"/>
          <w:bCs/>
          <w:color w:val="000000"/>
          <w:lang w:eastAsia="en-IN"/>
        </w:rPr>
        <w:t xml:space="preserve"> filters</w:t>
      </w:r>
      <w:r w:rsidR="006907E7">
        <w:rPr>
          <w:rFonts w:ascii="Arial" w:hAnsi="Arial" w:cs="Arial"/>
          <w:bCs/>
          <w:color w:val="000000"/>
          <w:lang w:eastAsia="en-IN"/>
        </w:rPr>
        <w:t xml:space="preserve"> (</w:t>
      </w:r>
      <w:r w:rsidR="00242986">
        <w:rPr>
          <w:rFonts w:ascii="Arial" w:hAnsi="Arial" w:cs="Arial"/>
          <w:bCs/>
          <w:color w:val="000000"/>
          <w:lang w:eastAsia="en-IN"/>
        </w:rPr>
        <w:t xml:space="preserve">pore size: </w:t>
      </w:r>
      <w:r w:rsidR="006907E7">
        <w:rPr>
          <w:rFonts w:ascii="Arial" w:hAnsi="Arial" w:cs="Arial"/>
          <w:bCs/>
          <w:color w:val="000000"/>
          <w:lang w:eastAsia="en-IN"/>
        </w:rPr>
        <w:t xml:space="preserve">0.45 </w:t>
      </w:r>
      <w:r w:rsidR="00242986">
        <w:rPr>
          <w:rFonts w:ascii="Arial" w:hAnsi="Arial" w:cs="Arial"/>
          <w:bCs/>
          <w:color w:val="000000"/>
          <w:lang w:eastAsia="en-IN"/>
        </w:rPr>
        <w:t>µm</w:t>
      </w:r>
      <w:r w:rsidR="006907E7">
        <w:rPr>
          <w:rFonts w:ascii="Arial" w:hAnsi="Arial" w:cs="Arial"/>
          <w:bCs/>
          <w:color w:val="000000"/>
          <w:lang w:eastAsia="en-IN"/>
        </w:rPr>
        <w:t>)</w:t>
      </w:r>
      <w:r w:rsidRPr="00704BE6">
        <w:rPr>
          <w:rFonts w:ascii="Arial" w:hAnsi="Arial" w:cs="Arial"/>
          <w:bCs/>
          <w:color w:val="000000"/>
          <w:lang w:eastAsia="en-IN"/>
        </w:rPr>
        <w:t xml:space="preserve"> which were pre-washed and buffered with </w:t>
      </w:r>
      <w:r w:rsidRPr="002C4C3A">
        <w:rPr>
          <w:rFonts w:ascii="Arial" w:hAnsi="Arial" w:cs="Arial"/>
          <w:bCs/>
          <w:lang w:eastAsia="en-IN"/>
        </w:rPr>
        <w:t xml:space="preserve">magnesium carbonate. The filtrate was wrapped in </w:t>
      </w:r>
      <w:proofErr w:type="spellStart"/>
      <w:r w:rsidRPr="002C4C3A">
        <w:rPr>
          <w:rFonts w:ascii="Arial" w:hAnsi="Arial" w:cs="Arial"/>
          <w:bCs/>
          <w:lang w:eastAsia="en-IN"/>
        </w:rPr>
        <w:t>aluminium</w:t>
      </w:r>
      <w:proofErr w:type="spellEnd"/>
      <w:r w:rsidRPr="002C4C3A">
        <w:rPr>
          <w:rFonts w:ascii="Arial" w:hAnsi="Arial" w:cs="Arial"/>
          <w:bCs/>
          <w:lang w:eastAsia="en-IN"/>
        </w:rPr>
        <w:t xml:space="preserve"> foils</w:t>
      </w:r>
      <w:r w:rsidR="001631D3" w:rsidRPr="002C4C3A">
        <w:rPr>
          <w:rFonts w:ascii="Arial" w:hAnsi="Arial" w:cs="Arial"/>
          <w:bCs/>
          <w:lang w:eastAsia="en-IN"/>
        </w:rPr>
        <w:t xml:space="preserve"> and kept in a refrigerator at 4</w:t>
      </w:r>
      <w:r w:rsidR="001D224E" w:rsidRPr="002C4C3A">
        <w:rPr>
          <w:rFonts w:ascii="Arial" w:hAnsi="Arial" w:cs="Arial"/>
          <w:bCs/>
          <w:lang w:eastAsia="en-IN"/>
        </w:rPr>
        <w:t xml:space="preserve"> </w:t>
      </w:r>
      <w:r w:rsidR="001631D3" w:rsidRPr="002C4C3A">
        <w:rPr>
          <w:rFonts w:ascii="Arial" w:hAnsi="Arial" w:cs="Arial"/>
          <w:bCs/>
          <w:vertAlign w:val="superscript"/>
          <w:lang w:eastAsia="en-IN"/>
        </w:rPr>
        <w:t>0</w:t>
      </w:r>
      <w:r w:rsidR="001631D3" w:rsidRPr="002C4C3A">
        <w:rPr>
          <w:rFonts w:ascii="Arial" w:hAnsi="Arial" w:cs="Arial"/>
          <w:bCs/>
          <w:lang w:eastAsia="en-IN"/>
        </w:rPr>
        <w:t xml:space="preserve">C for 24 hours before being extracted with acetone </w:t>
      </w:r>
      <w:r w:rsidR="0072702B" w:rsidRPr="002C4C3A">
        <w:rPr>
          <w:rFonts w:ascii="Arial" w:hAnsi="Arial" w:cs="Arial"/>
          <w:bCs/>
          <w:lang w:eastAsia="en-IN"/>
        </w:rPr>
        <w:t xml:space="preserve">and estimated through </w:t>
      </w:r>
      <w:r w:rsidR="0072702B" w:rsidRPr="002C4C3A">
        <w:t xml:space="preserve">spectrophotometric method </w:t>
      </w:r>
      <w:r w:rsidR="0072702B" w:rsidRPr="002C4C3A">
        <w:rPr>
          <w:rFonts w:ascii="Arial" w:hAnsi="Arial" w:cs="Arial"/>
          <w:bCs/>
          <w:lang w:eastAsia="en-IN"/>
        </w:rPr>
        <w:t xml:space="preserve">(Eaton </w:t>
      </w:r>
      <w:r w:rsidR="0072702B" w:rsidRPr="002C4C3A">
        <w:rPr>
          <w:rFonts w:ascii="Arial" w:hAnsi="Arial" w:cs="Arial"/>
          <w:bCs/>
          <w:i/>
          <w:iCs/>
          <w:lang w:eastAsia="en-IN"/>
        </w:rPr>
        <w:t>et al.</w:t>
      </w:r>
      <w:r w:rsidR="0072702B" w:rsidRPr="002C4C3A">
        <w:rPr>
          <w:rFonts w:ascii="Arial" w:hAnsi="Arial" w:cs="Arial"/>
          <w:bCs/>
          <w:lang w:eastAsia="en-IN"/>
        </w:rPr>
        <w:t xml:space="preserve">, </w:t>
      </w:r>
      <w:r w:rsidR="001D224E" w:rsidRPr="002C4C3A">
        <w:rPr>
          <w:rFonts w:ascii="Arial" w:hAnsi="Arial" w:cs="Arial"/>
          <w:bCs/>
          <w:lang w:eastAsia="en-IN"/>
        </w:rPr>
        <w:t>199</w:t>
      </w:r>
      <w:r w:rsidR="0072702B" w:rsidRPr="002C4C3A">
        <w:rPr>
          <w:rFonts w:ascii="Arial" w:hAnsi="Arial" w:cs="Arial"/>
          <w:bCs/>
          <w:lang w:eastAsia="en-IN"/>
        </w:rPr>
        <w:t>5</w:t>
      </w:r>
      <w:r w:rsidR="001D224E" w:rsidRPr="002C4C3A">
        <w:rPr>
          <w:rFonts w:ascii="Arial" w:hAnsi="Arial" w:cs="Arial"/>
          <w:bCs/>
          <w:lang w:eastAsia="en-IN"/>
        </w:rPr>
        <w:t>)</w:t>
      </w:r>
      <w:r w:rsidRPr="002C4C3A">
        <w:rPr>
          <w:rFonts w:ascii="Arial" w:hAnsi="Arial" w:cs="Arial"/>
          <w:bCs/>
          <w:lang w:eastAsia="en-IN"/>
        </w:rPr>
        <w:t>.</w:t>
      </w:r>
      <w:r w:rsidR="006A6176" w:rsidRPr="002C4C3A">
        <w:rPr>
          <w:rFonts w:ascii="Arial" w:hAnsi="Arial" w:cs="Arial"/>
          <w:bCs/>
          <w:lang w:eastAsia="en-IN"/>
        </w:rPr>
        <w:t xml:space="preserve"> The various quality parameters of water used across the study was </w:t>
      </w:r>
      <w:proofErr w:type="spellStart"/>
      <w:r w:rsidR="006A6176" w:rsidRPr="002C4C3A">
        <w:rPr>
          <w:rFonts w:ascii="Arial" w:hAnsi="Arial" w:cs="Arial"/>
          <w:bCs/>
          <w:lang w:eastAsia="en-IN"/>
        </w:rPr>
        <w:t>analysed</w:t>
      </w:r>
      <w:proofErr w:type="spellEnd"/>
      <w:r w:rsidR="006A6176" w:rsidRPr="002C4C3A">
        <w:rPr>
          <w:rFonts w:ascii="Arial" w:hAnsi="Arial" w:cs="Arial"/>
          <w:bCs/>
          <w:lang w:eastAsia="en-IN"/>
        </w:rPr>
        <w:t xml:space="preserve"> as per the standard procedure (APHA</w:t>
      </w:r>
      <w:r w:rsidR="003F11BD" w:rsidRPr="002C4C3A">
        <w:rPr>
          <w:rFonts w:ascii="Arial" w:hAnsi="Arial" w:cs="Arial"/>
          <w:bCs/>
          <w:lang w:eastAsia="en-IN"/>
        </w:rPr>
        <w:t>, 1995</w:t>
      </w:r>
      <w:r w:rsidR="006A6176" w:rsidRPr="002C4C3A">
        <w:rPr>
          <w:rFonts w:ascii="Arial" w:hAnsi="Arial" w:cs="Arial"/>
          <w:bCs/>
          <w:lang w:eastAsia="en-IN"/>
        </w:rPr>
        <w:t>).</w:t>
      </w:r>
    </w:p>
    <w:p w14:paraId="2538F543" w14:textId="77777777" w:rsidR="005B3691" w:rsidRPr="002C4C3A" w:rsidRDefault="005B3691" w:rsidP="0079280B">
      <w:pPr>
        <w:pStyle w:val="AbstHead"/>
        <w:spacing w:before="120" w:after="120"/>
        <w:jc w:val="both"/>
        <w:rPr>
          <w:rFonts w:ascii="Arial" w:hAnsi="Arial" w:cs="Arial"/>
          <w:caps w:val="0"/>
          <w:szCs w:val="22"/>
        </w:rPr>
      </w:pPr>
      <w:r w:rsidRPr="002C4C3A">
        <w:rPr>
          <w:rFonts w:ascii="Arial" w:hAnsi="Arial" w:cs="Arial"/>
          <w:caps w:val="0"/>
          <w:szCs w:val="22"/>
        </w:rPr>
        <w:t xml:space="preserve">2.2 </w:t>
      </w:r>
      <w:r w:rsidR="005C1146" w:rsidRPr="002C4C3A">
        <w:rPr>
          <w:rFonts w:ascii="Arial" w:hAnsi="Arial" w:cs="Arial"/>
          <w:caps w:val="0"/>
          <w:szCs w:val="22"/>
        </w:rPr>
        <w:t>Fry Study</w:t>
      </w:r>
    </w:p>
    <w:p w14:paraId="5D69246F" w14:textId="3C2425AF" w:rsidR="0079280B" w:rsidRDefault="005B3691" w:rsidP="0079280B">
      <w:pPr>
        <w:autoSpaceDE w:val="0"/>
        <w:autoSpaceDN w:val="0"/>
        <w:adjustRightInd w:val="0"/>
        <w:spacing w:before="120" w:after="120"/>
        <w:jc w:val="both"/>
        <w:rPr>
          <w:rFonts w:ascii="Arial" w:hAnsi="Arial" w:cs="Arial"/>
          <w:bCs/>
          <w:color w:val="000000"/>
          <w:lang w:eastAsia="en-IN"/>
        </w:rPr>
      </w:pPr>
      <w:r w:rsidRPr="00704BE6">
        <w:rPr>
          <w:rFonts w:ascii="Arial" w:hAnsi="Arial" w:cs="Arial"/>
          <w:bCs/>
          <w:color w:val="000000"/>
          <w:lang w:eastAsia="en-IN"/>
        </w:rPr>
        <w:t xml:space="preserve">Consequent upon the results obtained under laboratory conditions, an experiment was set up under open conditions to assess the effect of varying doses of Zn on fish survival and growth. Different doses of Zn: 0.00, 0.50, 1.00, 1.50 and 2.00 </w:t>
      </w:r>
      <w:r w:rsidR="00F0271D">
        <w:rPr>
          <w:rFonts w:ascii="Arial" w:hAnsi="Arial" w:cs="Arial"/>
          <w:bCs/>
          <w:color w:val="000000"/>
          <w:lang w:eastAsia="en-IN"/>
        </w:rPr>
        <w:t>mg/l</w:t>
      </w:r>
      <w:r w:rsidRPr="00704BE6">
        <w:rPr>
          <w:rFonts w:ascii="Arial" w:hAnsi="Arial" w:cs="Arial"/>
          <w:bCs/>
          <w:color w:val="000000"/>
          <w:lang w:eastAsia="en-IN"/>
        </w:rPr>
        <w:t xml:space="preserve"> each were applied in 100 liters FRP tanks, keeping all other nutrients constant. A pond water (pH: 7.1; total alkalinity: 56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hardness: 54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ammoniacal nitrogen (TAN): 0.20 </w:t>
      </w:r>
      <w:r w:rsidR="00F0271D">
        <w:rPr>
          <w:rFonts w:ascii="Arial" w:hAnsi="Arial" w:cs="Arial"/>
          <w:bCs/>
          <w:color w:val="000000"/>
          <w:lang w:eastAsia="en-IN"/>
        </w:rPr>
        <w:t>mg/l</w:t>
      </w:r>
      <w:r w:rsidRPr="00704BE6">
        <w:rPr>
          <w:rFonts w:ascii="Arial" w:hAnsi="Arial" w:cs="Arial"/>
          <w:bCs/>
          <w:color w:val="000000"/>
          <w:lang w:eastAsia="en-IN"/>
        </w:rPr>
        <w:t xml:space="preserve">; soluble orthophosphate: 0.03 </w:t>
      </w:r>
      <w:r w:rsidR="00F0271D">
        <w:rPr>
          <w:rFonts w:ascii="Arial" w:hAnsi="Arial" w:cs="Arial"/>
          <w:bCs/>
          <w:color w:val="000000"/>
          <w:lang w:eastAsia="en-IN"/>
        </w:rPr>
        <w:t>mg/l</w:t>
      </w:r>
      <w:r w:rsidRPr="00704BE6">
        <w:rPr>
          <w:rFonts w:ascii="Arial" w:hAnsi="Arial" w:cs="Arial"/>
          <w:bCs/>
          <w:color w:val="000000"/>
          <w:lang w:eastAsia="en-IN"/>
        </w:rPr>
        <w:t xml:space="preserve">; dissolved Zn: 0.06 </w:t>
      </w:r>
      <w:r w:rsidR="00F0271D">
        <w:rPr>
          <w:rFonts w:ascii="Arial" w:hAnsi="Arial" w:cs="Arial"/>
          <w:bCs/>
          <w:color w:val="000000"/>
          <w:lang w:eastAsia="en-IN"/>
        </w:rPr>
        <w:t>mg/l</w:t>
      </w:r>
      <w:r w:rsidRPr="00704BE6">
        <w:rPr>
          <w:rFonts w:ascii="Arial" w:hAnsi="Arial" w:cs="Arial"/>
          <w:bCs/>
          <w:color w:val="000000"/>
          <w:lang w:eastAsia="en-IN"/>
        </w:rPr>
        <w:t>) was used for the study. The experiment was conducted in triplicate for 5 weeks. Zinc was applied through zinc sulphate (ZnSO</w:t>
      </w:r>
      <w:r w:rsidRPr="00704BE6">
        <w:rPr>
          <w:rFonts w:ascii="Arial" w:hAnsi="Arial" w:cs="Arial"/>
          <w:bCs/>
          <w:color w:val="000000"/>
          <w:vertAlign w:val="subscript"/>
          <w:lang w:eastAsia="en-IN"/>
        </w:rPr>
        <w:t>4</w:t>
      </w:r>
      <w:r w:rsidRPr="00704BE6">
        <w:rPr>
          <w:rFonts w:ascii="Arial" w:hAnsi="Arial" w:cs="Arial"/>
          <w:bCs/>
          <w:color w:val="000000"/>
          <w:lang w:eastAsia="en-IN"/>
        </w:rPr>
        <w:t>.7H</w:t>
      </w:r>
      <w:r w:rsidRPr="00704BE6">
        <w:rPr>
          <w:rFonts w:ascii="Arial" w:hAnsi="Arial" w:cs="Arial"/>
          <w:bCs/>
          <w:color w:val="000000"/>
          <w:vertAlign w:val="subscript"/>
          <w:lang w:eastAsia="en-IN"/>
        </w:rPr>
        <w:t>2</w:t>
      </w:r>
      <w:r w:rsidRPr="00704BE6">
        <w:rPr>
          <w:rFonts w:ascii="Arial" w:hAnsi="Arial" w:cs="Arial"/>
          <w:bCs/>
          <w:color w:val="000000"/>
          <w:lang w:eastAsia="en-IN"/>
        </w:rPr>
        <w:t xml:space="preserve">O) whereas other essential nutrients were applied through conventional fertilizer sources as and when required. The ratio of N: P nutrients applied in all treatments was kept as </w:t>
      </w:r>
      <w:r w:rsidR="006907E7">
        <w:rPr>
          <w:rFonts w:ascii="Arial" w:hAnsi="Arial" w:cs="Arial"/>
          <w:bCs/>
          <w:color w:val="000000"/>
          <w:lang w:eastAsia="en-IN"/>
        </w:rPr>
        <w:t>6</w:t>
      </w:r>
      <w:r w:rsidR="00D6215E">
        <w:rPr>
          <w:rFonts w:ascii="Arial" w:hAnsi="Arial" w:cs="Arial"/>
          <w:bCs/>
          <w:color w:val="000000"/>
          <w:lang w:eastAsia="en-IN"/>
        </w:rPr>
        <w:t>.0</w:t>
      </w:r>
      <w:r w:rsidR="006907E7">
        <w:rPr>
          <w:rFonts w:ascii="Arial" w:hAnsi="Arial" w:cs="Arial"/>
          <w:bCs/>
          <w:color w:val="000000"/>
          <w:lang w:eastAsia="en-IN"/>
        </w:rPr>
        <w:t>:1</w:t>
      </w:r>
      <w:r w:rsidR="00D6215E">
        <w:rPr>
          <w:rFonts w:ascii="Arial" w:hAnsi="Arial" w:cs="Arial"/>
          <w:bCs/>
          <w:color w:val="000000"/>
          <w:lang w:eastAsia="en-IN"/>
        </w:rPr>
        <w:t xml:space="preserve">.0 </w:t>
      </w:r>
      <w:r w:rsidR="00D6215E" w:rsidRPr="00704BE6">
        <w:rPr>
          <w:rFonts w:ascii="Arial" w:hAnsi="Arial" w:cs="Arial"/>
          <w:bCs/>
          <w:color w:val="000000"/>
          <w:lang w:eastAsia="en-IN"/>
        </w:rPr>
        <w:t>which</w:t>
      </w:r>
      <w:r w:rsidRPr="00704BE6">
        <w:rPr>
          <w:rFonts w:ascii="Arial" w:hAnsi="Arial" w:cs="Arial"/>
          <w:bCs/>
          <w:color w:val="000000"/>
          <w:lang w:eastAsia="en-IN"/>
        </w:rPr>
        <w:t xml:space="preserve"> was replenished at weekly interval. Fry of Rohu (mean initial weight 46.00±2.95 mg) </w:t>
      </w:r>
      <w:r w:rsidR="005C2A4B">
        <w:rPr>
          <w:rFonts w:ascii="Arial" w:hAnsi="Arial" w:cs="Arial"/>
          <w:bCs/>
          <w:color w:val="000000"/>
          <w:lang w:eastAsia="en-IN"/>
        </w:rPr>
        <w:t>were stocked in each treatment.</w:t>
      </w:r>
    </w:p>
    <w:p w14:paraId="6546DBE3" w14:textId="0138C761" w:rsidR="0096690C" w:rsidRPr="005C1146" w:rsidRDefault="0096690C" w:rsidP="0079280B">
      <w:pPr>
        <w:autoSpaceDE w:val="0"/>
        <w:autoSpaceDN w:val="0"/>
        <w:adjustRightInd w:val="0"/>
        <w:spacing w:before="120" w:after="120"/>
        <w:jc w:val="both"/>
        <w:rPr>
          <w:rFonts w:ascii="Arial" w:hAnsi="Arial" w:cs="Arial"/>
          <w:bCs/>
          <w:color w:val="000000"/>
          <w:lang w:eastAsia="en-IN"/>
        </w:rPr>
      </w:pPr>
      <w:r w:rsidRPr="00704BE6">
        <w:rPr>
          <w:rFonts w:ascii="Arial" w:hAnsi="Arial" w:cs="Arial"/>
          <w:bCs/>
          <w:lang w:eastAsia="en-IN"/>
        </w:rPr>
        <w:t xml:space="preserve">Another set of experiment was conducted with further reduced doses of Zn as the higher doses had shown negative impact on survival, growth, and development of fish in previous experiment. Under this experiment, lower doses of Zn were applied: control, 0.10, 0.20, 0.30 and 0.50 </w:t>
      </w:r>
      <w:r w:rsidR="00F0271D">
        <w:rPr>
          <w:rFonts w:ascii="Arial" w:hAnsi="Arial" w:cs="Arial"/>
          <w:bCs/>
          <w:lang w:eastAsia="en-IN"/>
        </w:rPr>
        <w:t>mg/l</w:t>
      </w:r>
      <w:r w:rsidRPr="00704BE6">
        <w:rPr>
          <w:rFonts w:ascii="Arial" w:hAnsi="Arial" w:cs="Arial"/>
          <w:bCs/>
          <w:lang w:eastAsia="en-IN"/>
        </w:rPr>
        <w:t xml:space="preserve"> Zn. </w:t>
      </w:r>
      <w:r w:rsidRPr="00704BE6">
        <w:rPr>
          <w:rFonts w:ascii="Arial" w:hAnsi="Arial" w:cs="Arial"/>
          <w:bCs/>
          <w:color w:val="000000"/>
          <w:lang w:eastAsia="en-IN"/>
        </w:rPr>
        <w:t xml:space="preserve">A pond water (pH: 7.20; total alkalinity: 90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hardness: 78 </w:t>
      </w:r>
      <w:r w:rsidR="00F0271D">
        <w:rPr>
          <w:rFonts w:ascii="Arial" w:hAnsi="Arial" w:cs="Arial"/>
          <w:bCs/>
          <w:color w:val="000000"/>
          <w:lang w:eastAsia="en-IN"/>
        </w:rPr>
        <w:t>mg/l</w:t>
      </w:r>
      <w:r w:rsidRPr="00704BE6">
        <w:rPr>
          <w:rFonts w:ascii="Arial" w:hAnsi="Arial" w:cs="Arial"/>
          <w:bCs/>
          <w:color w:val="000000"/>
          <w:lang w:eastAsia="en-IN"/>
        </w:rPr>
        <w:t xml:space="preserve"> as CaCO</w:t>
      </w:r>
      <w:r w:rsidRPr="00704BE6">
        <w:rPr>
          <w:rFonts w:ascii="Arial" w:hAnsi="Arial" w:cs="Arial"/>
          <w:bCs/>
          <w:color w:val="000000"/>
          <w:vertAlign w:val="subscript"/>
          <w:lang w:eastAsia="en-IN"/>
        </w:rPr>
        <w:t>3</w:t>
      </w:r>
      <w:r w:rsidRPr="00704BE6">
        <w:rPr>
          <w:rFonts w:ascii="Arial" w:hAnsi="Arial" w:cs="Arial"/>
          <w:bCs/>
          <w:color w:val="000000"/>
          <w:lang w:eastAsia="en-IN"/>
        </w:rPr>
        <w:t xml:space="preserve">; total ammoniacal nitrogen (TAN): 0.18 </w:t>
      </w:r>
      <w:r w:rsidR="00F0271D">
        <w:rPr>
          <w:rFonts w:ascii="Arial" w:hAnsi="Arial" w:cs="Arial"/>
          <w:bCs/>
          <w:color w:val="000000"/>
          <w:lang w:eastAsia="en-IN"/>
        </w:rPr>
        <w:t>mg/l</w:t>
      </w:r>
      <w:r w:rsidRPr="00704BE6">
        <w:rPr>
          <w:rFonts w:ascii="Arial" w:hAnsi="Arial" w:cs="Arial"/>
          <w:bCs/>
          <w:color w:val="000000"/>
          <w:lang w:eastAsia="en-IN"/>
        </w:rPr>
        <w:t xml:space="preserve">; soluble orthophosphate: 0.025 </w:t>
      </w:r>
      <w:r w:rsidR="00F0271D">
        <w:rPr>
          <w:rFonts w:ascii="Arial" w:hAnsi="Arial" w:cs="Arial"/>
          <w:bCs/>
          <w:color w:val="000000"/>
          <w:lang w:eastAsia="en-IN"/>
        </w:rPr>
        <w:t>mg/l</w:t>
      </w:r>
      <w:r w:rsidRPr="00704BE6">
        <w:rPr>
          <w:rFonts w:ascii="Arial" w:hAnsi="Arial" w:cs="Arial"/>
          <w:bCs/>
          <w:color w:val="000000"/>
          <w:lang w:eastAsia="en-IN"/>
        </w:rPr>
        <w:t xml:space="preserve">; dissolved Zn: 0.06 </w:t>
      </w:r>
      <w:r w:rsidR="00F0271D">
        <w:rPr>
          <w:rFonts w:ascii="Arial" w:hAnsi="Arial" w:cs="Arial"/>
          <w:bCs/>
          <w:color w:val="000000"/>
          <w:lang w:eastAsia="en-IN"/>
        </w:rPr>
        <w:t>mg/l</w:t>
      </w:r>
      <w:r w:rsidRPr="00704BE6">
        <w:rPr>
          <w:rFonts w:ascii="Arial" w:hAnsi="Arial" w:cs="Arial"/>
          <w:bCs/>
          <w:color w:val="000000"/>
          <w:lang w:eastAsia="en-IN"/>
        </w:rPr>
        <w:t xml:space="preserve">) was used for the study. </w:t>
      </w:r>
      <w:r w:rsidRPr="00704BE6">
        <w:rPr>
          <w:rFonts w:ascii="Arial" w:hAnsi="Arial" w:cs="Arial"/>
          <w:bCs/>
          <w:lang w:eastAsia="en-IN"/>
        </w:rPr>
        <w:t xml:space="preserve">The fry (175.0±5.6 mg; 2.50±0.08 cm) were reared for 5 months in 100 </w:t>
      </w:r>
      <w:proofErr w:type="spellStart"/>
      <w:r w:rsidRPr="00704BE6">
        <w:rPr>
          <w:rFonts w:ascii="Arial" w:hAnsi="Arial" w:cs="Arial"/>
          <w:bCs/>
          <w:lang w:eastAsia="en-IN"/>
        </w:rPr>
        <w:t>litre</w:t>
      </w:r>
      <w:proofErr w:type="spellEnd"/>
      <w:r w:rsidRPr="00704BE6">
        <w:rPr>
          <w:rFonts w:ascii="Arial" w:hAnsi="Arial" w:cs="Arial"/>
          <w:bCs/>
          <w:lang w:eastAsia="en-IN"/>
        </w:rPr>
        <w:t xml:space="preserve"> FRP tanks under open conditions in three replications. N &amp; P was applied in all treatments (N: </w:t>
      </w:r>
      <w:r w:rsidR="00B142B7">
        <w:rPr>
          <w:rFonts w:ascii="Arial" w:hAnsi="Arial" w:cs="Arial"/>
          <w:bCs/>
          <w:lang w:eastAsia="en-IN"/>
        </w:rPr>
        <w:t>2</w:t>
      </w:r>
      <w:r w:rsidRPr="00704BE6">
        <w:rPr>
          <w:rFonts w:ascii="Arial" w:hAnsi="Arial" w:cs="Arial"/>
          <w:bCs/>
          <w:lang w:eastAsia="en-IN"/>
        </w:rPr>
        <w:t xml:space="preserve">.0 </w:t>
      </w:r>
      <w:r w:rsidR="00F0271D">
        <w:rPr>
          <w:rFonts w:ascii="Arial" w:hAnsi="Arial" w:cs="Arial"/>
          <w:bCs/>
          <w:lang w:eastAsia="en-IN"/>
        </w:rPr>
        <w:t>mg/l</w:t>
      </w:r>
      <w:r w:rsidRPr="00704BE6">
        <w:rPr>
          <w:rFonts w:ascii="Arial" w:hAnsi="Arial" w:cs="Arial"/>
          <w:bCs/>
          <w:lang w:eastAsia="en-IN"/>
        </w:rPr>
        <w:t xml:space="preserve"> and P: 0.</w:t>
      </w:r>
      <w:r w:rsidR="00B142B7">
        <w:rPr>
          <w:rFonts w:ascii="Arial" w:hAnsi="Arial" w:cs="Arial"/>
          <w:bCs/>
          <w:lang w:eastAsia="en-IN"/>
        </w:rPr>
        <w:t>35</w:t>
      </w:r>
      <w:r w:rsidRPr="00704BE6">
        <w:rPr>
          <w:rFonts w:ascii="Arial" w:hAnsi="Arial" w:cs="Arial"/>
          <w:bCs/>
          <w:lang w:eastAsia="en-IN"/>
        </w:rPr>
        <w:t xml:space="preserve"> </w:t>
      </w:r>
      <w:r w:rsidR="00F0271D">
        <w:rPr>
          <w:rFonts w:ascii="Arial" w:hAnsi="Arial" w:cs="Arial"/>
          <w:bCs/>
          <w:lang w:eastAsia="en-IN"/>
        </w:rPr>
        <w:t>mg/l</w:t>
      </w:r>
      <w:r w:rsidRPr="00704BE6">
        <w:rPr>
          <w:rFonts w:ascii="Arial" w:hAnsi="Arial" w:cs="Arial"/>
          <w:bCs/>
          <w:lang w:eastAsia="en-IN"/>
        </w:rPr>
        <w:t>). Periodical fertilization was done while Zn was supplied through zinc sulphate (ZnSO</w:t>
      </w:r>
      <w:r w:rsidRPr="00704BE6">
        <w:rPr>
          <w:rFonts w:ascii="Arial" w:hAnsi="Arial" w:cs="Arial"/>
          <w:bCs/>
          <w:vertAlign w:val="subscript"/>
          <w:lang w:eastAsia="en-IN"/>
        </w:rPr>
        <w:t>4</w:t>
      </w:r>
      <w:r w:rsidRPr="00704BE6">
        <w:rPr>
          <w:rFonts w:ascii="Arial" w:hAnsi="Arial" w:cs="Arial"/>
          <w:bCs/>
          <w:lang w:eastAsia="en-IN"/>
        </w:rPr>
        <w:t>.7H</w:t>
      </w:r>
      <w:r w:rsidRPr="00704BE6">
        <w:rPr>
          <w:rFonts w:ascii="Arial" w:hAnsi="Arial" w:cs="Arial"/>
          <w:bCs/>
          <w:vertAlign w:val="subscript"/>
          <w:lang w:eastAsia="en-IN"/>
        </w:rPr>
        <w:t>2</w:t>
      </w:r>
      <w:r w:rsidRPr="00704BE6">
        <w:rPr>
          <w:rFonts w:ascii="Arial" w:hAnsi="Arial" w:cs="Arial"/>
          <w:bCs/>
          <w:lang w:eastAsia="en-IN"/>
        </w:rPr>
        <w:t>O).</w:t>
      </w:r>
    </w:p>
    <w:p w14:paraId="6A6E8461" w14:textId="77777777" w:rsidR="00704BE6" w:rsidRPr="0079280B" w:rsidRDefault="00704BE6" w:rsidP="0079280B">
      <w:pPr>
        <w:pStyle w:val="AbstHead"/>
        <w:spacing w:before="120" w:after="120"/>
        <w:jc w:val="both"/>
        <w:rPr>
          <w:rFonts w:ascii="Arial" w:hAnsi="Arial" w:cs="Arial"/>
          <w:caps w:val="0"/>
          <w:szCs w:val="22"/>
        </w:rPr>
      </w:pPr>
      <w:r w:rsidRPr="0079280B">
        <w:rPr>
          <w:rFonts w:ascii="Arial" w:hAnsi="Arial" w:cs="Arial"/>
          <w:caps w:val="0"/>
          <w:szCs w:val="22"/>
        </w:rPr>
        <w:t>2.3 Fingerlings</w:t>
      </w:r>
      <w:r w:rsidR="005C1146" w:rsidRPr="0079280B">
        <w:rPr>
          <w:rFonts w:ascii="Arial" w:hAnsi="Arial" w:cs="Arial"/>
          <w:caps w:val="0"/>
          <w:szCs w:val="22"/>
        </w:rPr>
        <w:t xml:space="preserve"> Study</w:t>
      </w:r>
    </w:p>
    <w:p w14:paraId="2CD9732D" w14:textId="5EF17897" w:rsidR="00294E1A" w:rsidRPr="00645760" w:rsidRDefault="00294E1A" w:rsidP="0079280B">
      <w:pPr>
        <w:autoSpaceDE w:val="0"/>
        <w:autoSpaceDN w:val="0"/>
        <w:adjustRightInd w:val="0"/>
        <w:spacing w:before="120" w:after="120"/>
        <w:jc w:val="both"/>
        <w:rPr>
          <w:rFonts w:ascii="Arial" w:hAnsi="Arial" w:cs="Arial"/>
          <w:bCs/>
          <w:lang w:eastAsia="en-IN"/>
        </w:rPr>
      </w:pPr>
      <w:r w:rsidRPr="00704BE6">
        <w:rPr>
          <w:rFonts w:ascii="Arial" w:hAnsi="Arial" w:cs="Arial"/>
          <w:bCs/>
          <w:lang w:eastAsia="en-IN"/>
        </w:rPr>
        <w:t>Consequent upon the results obtained under FRP tanks (fry rearing) under previous experiments under section, an experiment was set up in concrete tanks under open conditions to assess the effect of Zn on fish survival and growth. Two treatments were used in the experiment: T</w:t>
      </w:r>
      <w:r w:rsidRPr="00704BE6">
        <w:rPr>
          <w:rFonts w:ascii="Arial" w:hAnsi="Arial" w:cs="Arial"/>
          <w:bCs/>
          <w:vertAlign w:val="subscript"/>
          <w:lang w:eastAsia="en-IN"/>
        </w:rPr>
        <w:t>1</w:t>
      </w:r>
      <w:r w:rsidRPr="00704BE6">
        <w:rPr>
          <w:rFonts w:ascii="Arial" w:hAnsi="Arial" w:cs="Arial"/>
          <w:bCs/>
          <w:lang w:eastAsia="en-IN"/>
        </w:rPr>
        <w:t>: Control</w:t>
      </w:r>
      <w:r w:rsidR="0088517C">
        <w:rPr>
          <w:rFonts w:ascii="Arial" w:hAnsi="Arial" w:cs="Arial"/>
          <w:bCs/>
          <w:lang w:eastAsia="en-IN"/>
        </w:rPr>
        <w:t xml:space="preserve"> and</w:t>
      </w:r>
      <w:r w:rsidRPr="00704BE6">
        <w:rPr>
          <w:rFonts w:ascii="Arial" w:hAnsi="Arial" w:cs="Arial"/>
          <w:bCs/>
          <w:lang w:eastAsia="en-IN"/>
        </w:rPr>
        <w:t xml:space="preserve"> T</w:t>
      </w:r>
      <w:r w:rsidRPr="00704BE6">
        <w:rPr>
          <w:rFonts w:ascii="Arial" w:hAnsi="Arial" w:cs="Arial"/>
          <w:bCs/>
          <w:vertAlign w:val="subscript"/>
          <w:lang w:eastAsia="en-IN"/>
        </w:rPr>
        <w:t>2</w:t>
      </w:r>
      <w:r w:rsidRPr="00704BE6">
        <w:rPr>
          <w:rFonts w:ascii="Arial" w:hAnsi="Arial" w:cs="Arial"/>
          <w:bCs/>
          <w:lang w:eastAsia="en-IN"/>
        </w:rPr>
        <w:t xml:space="preserve">: Zn 0.10 </w:t>
      </w:r>
      <w:r w:rsidR="00F0271D">
        <w:rPr>
          <w:rFonts w:ascii="Arial" w:hAnsi="Arial" w:cs="Arial"/>
          <w:bCs/>
          <w:lang w:eastAsia="en-IN"/>
        </w:rPr>
        <w:t>mg/l</w:t>
      </w:r>
      <w:r w:rsidRPr="00704BE6">
        <w:rPr>
          <w:rFonts w:ascii="Arial" w:hAnsi="Arial" w:cs="Arial"/>
          <w:bCs/>
          <w:lang w:eastAsia="en-IN"/>
        </w:rPr>
        <w:t xml:space="preserve"> with three replicates in 1500 L capacity concrete </w:t>
      </w:r>
      <w:r w:rsidRPr="00704BE6">
        <w:rPr>
          <w:rFonts w:ascii="Arial" w:hAnsi="Arial" w:cs="Arial"/>
          <w:bCs/>
          <w:lang w:eastAsia="en-IN"/>
        </w:rPr>
        <w:lastRenderedPageBreak/>
        <w:t xml:space="preserve">tanks. The initial water quality parameters observed were: pH 8.10, total alkalinity 81 </w:t>
      </w:r>
      <w:r w:rsidR="00F0271D">
        <w:rPr>
          <w:rFonts w:ascii="Arial" w:hAnsi="Arial" w:cs="Arial"/>
          <w:bCs/>
          <w:lang w:eastAsia="en-IN"/>
        </w:rPr>
        <w:t>mg/l</w:t>
      </w:r>
      <w:r w:rsidRPr="00704BE6">
        <w:rPr>
          <w:rFonts w:ascii="Arial" w:hAnsi="Arial" w:cs="Arial"/>
          <w:bCs/>
          <w:lang w:eastAsia="en-IN"/>
        </w:rPr>
        <w:t xml:space="preserve">, and total hardness 72 </w:t>
      </w:r>
      <w:r w:rsidR="00F0271D">
        <w:rPr>
          <w:rFonts w:ascii="Arial" w:hAnsi="Arial" w:cs="Arial"/>
          <w:bCs/>
          <w:lang w:eastAsia="en-IN"/>
        </w:rPr>
        <w:t>mg/l</w:t>
      </w:r>
      <w:r w:rsidRPr="00704BE6">
        <w:rPr>
          <w:rFonts w:ascii="Arial" w:hAnsi="Arial" w:cs="Arial"/>
          <w:bCs/>
          <w:lang w:eastAsia="en-IN"/>
        </w:rPr>
        <w:t xml:space="preserve"> (as CaCO</w:t>
      </w:r>
      <w:r w:rsidRPr="00704BE6">
        <w:rPr>
          <w:rFonts w:ascii="Arial" w:hAnsi="Arial" w:cs="Arial"/>
          <w:bCs/>
          <w:vertAlign w:val="subscript"/>
          <w:lang w:eastAsia="en-IN"/>
        </w:rPr>
        <w:t>3</w:t>
      </w:r>
      <w:r w:rsidRPr="00704BE6">
        <w:rPr>
          <w:rFonts w:ascii="Arial" w:hAnsi="Arial" w:cs="Arial"/>
          <w:bCs/>
          <w:lang w:eastAsia="en-IN"/>
        </w:rPr>
        <w:t xml:space="preserve">). The concentrations of total ammonia (TAN), soluble orthophosphate, </w:t>
      </w:r>
      <w:r w:rsidR="003033AE">
        <w:rPr>
          <w:rFonts w:ascii="Arial" w:hAnsi="Arial" w:cs="Arial"/>
          <w:bCs/>
          <w:lang w:eastAsia="en-IN"/>
        </w:rPr>
        <w:t xml:space="preserve">and </w:t>
      </w:r>
      <w:r w:rsidRPr="00704BE6">
        <w:rPr>
          <w:rFonts w:ascii="Arial" w:hAnsi="Arial" w:cs="Arial"/>
          <w:bCs/>
          <w:lang w:eastAsia="en-IN"/>
        </w:rPr>
        <w:t>dissolved zinc</w:t>
      </w:r>
      <w:r w:rsidR="003033AE">
        <w:rPr>
          <w:rFonts w:ascii="Arial" w:hAnsi="Arial" w:cs="Arial"/>
          <w:bCs/>
          <w:lang w:eastAsia="en-IN"/>
        </w:rPr>
        <w:t xml:space="preserve"> </w:t>
      </w:r>
      <w:r w:rsidRPr="00704BE6">
        <w:rPr>
          <w:rFonts w:ascii="Arial" w:hAnsi="Arial" w:cs="Arial"/>
          <w:bCs/>
          <w:lang w:eastAsia="en-IN"/>
        </w:rPr>
        <w:t xml:space="preserve">were 0.19 </w:t>
      </w:r>
      <w:r w:rsidR="00F0271D">
        <w:rPr>
          <w:rFonts w:ascii="Arial" w:hAnsi="Arial" w:cs="Arial"/>
          <w:bCs/>
          <w:lang w:eastAsia="en-IN"/>
        </w:rPr>
        <w:t>mg/l</w:t>
      </w:r>
      <w:r w:rsidRPr="00704BE6">
        <w:rPr>
          <w:rFonts w:ascii="Arial" w:hAnsi="Arial" w:cs="Arial"/>
          <w:bCs/>
          <w:lang w:eastAsia="en-IN"/>
        </w:rPr>
        <w:t xml:space="preserve">, 0.03 </w:t>
      </w:r>
      <w:r w:rsidR="00F0271D">
        <w:rPr>
          <w:rFonts w:ascii="Arial" w:hAnsi="Arial" w:cs="Arial"/>
          <w:bCs/>
          <w:lang w:eastAsia="en-IN"/>
        </w:rPr>
        <w:t>mg/l</w:t>
      </w:r>
      <w:r w:rsidRPr="00704BE6">
        <w:rPr>
          <w:rFonts w:ascii="Arial" w:hAnsi="Arial" w:cs="Arial"/>
          <w:bCs/>
          <w:lang w:eastAsia="en-IN"/>
        </w:rPr>
        <w:t xml:space="preserve">, </w:t>
      </w:r>
      <w:r w:rsidR="003033AE">
        <w:rPr>
          <w:rFonts w:ascii="Arial" w:hAnsi="Arial" w:cs="Arial"/>
          <w:bCs/>
          <w:lang w:eastAsia="en-IN"/>
        </w:rPr>
        <w:t xml:space="preserve">and </w:t>
      </w:r>
      <w:r w:rsidRPr="00704BE6">
        <w:rPr>
          <w:rFonts w:ascii="Arial" w:hAnsi="Arial" w:cs="Arial"/>
          <w:bCs/>
          <w:lang w:eastAsia="en-IN"/>
        </w:rPr>
        <w:t>0.0</w:t>
      </w:r>
      <w:r w:rsidR="003033AE">
        <w:rPr>
          <w:rFonts w:ascii="Arial" w:hAnsi="Arial" w:cs="Arial"/>
          <w:bCs/>
          <w:lang w:eastAsia="en-IN"/>
        </w:rPr>
        <w:t>55</w:t>
      </w:r>
      <w:r w:rsidRPr="00704BE6">
        <w:rPr>
          <w:rFonts w:ascii="Arial" w:hAnsi="Arial" w:cs="Arial"/>
          <w:bCs/>
          <w:lang w:eastAsia="en-IN"/>
        </w:rPr>
        <w:t xml:space="preserve"> </w:t>
      </w:r>
      <w:r w:rsidR="00F0271D">
        <w:rPr>
          <w:rFonts w:ascii="Arial" w:hAnsi="Arial" w:cs="Arial"/>
          <w:bCs/>
          <w:lang w:eastAsia="en-IN"/>
        </w:rPr>
        <w:t>mg/l</w:t>
      </w:r>
      <w:r w:rsidRPr="00704BE6">
        <w:rPr>
          <w:rFonts w:ascii="Arial" w:hAnsi="Arial" w:cs="Arial"/>
          <w:bCs/>
          <w:lang w:eastAsia="en-IN"/>
        </w:rPr>
        <w:t>, respectively. Recommended dose of nitrogen and phosphorus fertilizers were applied in all treatments at regular interval. Zinc wa</w:t>
      </w:r>
      <w:r w:rsidR="00AB4423">
        <w:rPr>
          <w:rFonts w:ascii="Arial" w:hAnsi="Arial" w:cs="Arial"/>
          <w:bCs/>
          <w:lang w:eastAsia="en-IN"/>
        </w:rPr>
        <w:t>s applied through zinc sulphate</w:t>
      </w:r>
      <w:r w:rsidRPr="00704BE6">
        <w:rPr>
          <w:rFonts w:ascii="Arial" w:hAnsi="Arial" w:cs="Arial"/>
          <w:bCs/>
          <w:lang w:eastAsia="en-IN"/>
        </w:rPr>
        <w:t xml:space="preserve">. After tank preparation, healthy fingerlings of rohu (mean initial weight 21.60±2.81g/ 10.02±0.75 cm) were stocked after due acclimatization. </w:t>
      </w:r>
      <w:r w:rsidR="00645760" w:rsidRPr="00645760">
        <w:rPr>
          <w:rFonts w:ascii="Arial" w:hAnsi="Arial" w:cs="Arial"/>
          <w:bCs/>
          <w:lang w:eastAsia="en-IN"/>
        </w:rPr>
        <w:t xml:space="preserve">After final harvest, fish samples were collected and processed for </w:t>
      </w:r>
      <w:proofErr w:type="spellStart"/>
      <w:r w:rsidR="00645760" w:rsidRPr="00645760">
        <w:rPr>
          <w:rFonts w:ascii="Arial" w:hAnsi="Arial" w:cs="Arial"/>
          <w:bCs/>
          <w:lang w:eastAsia="en-IN"/>
        </w:rPr>
        <w:t>haematological</w:t>
      </w:r>
      <w:proofErr w:type="spellEnd"/>
      <w:r w:rsidR="00645760" w:rsidRPr="00645760">
        <w:rPr>
          <w:rFonts w:ascii="Arial" w:hAnsi="Arial" w:cs="Arial"/>
          <w:bCs/>
          <w:lang w:eastAsia="en-IN"/>
        </w:rPr>
        <w:t xml:space="preserve"> and immunological analyses to study the changes in health and immune status of fingerlings. </w:t>
      </w:r>
    </w:p>
    <w:p w14:paraId="2D245B71" w14:textId="77777777" w:rsidR="00902823" w:rsidRPr="00D56155" w:rsidRDefault="003C6260" w:rsidP="00D56155">
      <w:pPr>
        <w:pStyle w:val="AbstHead"/>
        <w:spacing w:before="240" w:after="120"/>
        <w:jc w:val="both"/>
        <w:rPr>
          <w:rFonts w:ascii="Arial" w:hAnsi="Arial" w:cs="Arial"/>
          <w:szCs w:val="22"/>
        </w:rPr>
      </w:pPr>
      <w:r w:rsidRPr="00D56155">
        <w:rPr>
          <w:rFonts w:ascii="Arial" w:hAnsi="Arial" w:cs="Arial"/>
          <w:szCs w:val="22"/>
        </w:rPr>
        <w:t xml:space="preserve">3. </w:t>
      </w:r>
      <w:r w:rsidR="00000F8F" w:rsidRPr="00D56155">
        <w:rPr>
          <w:rFonts w:ascii="Arial" w:hAnsi="Arial" w:cs="Arial"/>
          <w:szCs w:val="22"/>
        </w:rPr>
        <w:t>results and discussion</w:t>
      </w:r>
    </w:p>
    <w:p w14:paraId="66D4CC93" w14:textId="77777777" w:rsidR="005C1146" w:rsidRPr="0079280B" w:rsidRDefault="003C6260" w:rsidP="005C1146">
      <w:pPr>
        <w:pStyle w:val="Head1"/>
        <w:spacing w:before="240" w:after="0"/>
        <w:ind w:left="420" w:hanging="420"/>
        <w:jc w:val="both"/>
        <w:rPr>
          <w:rFonts w:ascii="Arial" w:hAnsi="Arial" w:cs="Arial"/>
          <w:bCs/>
          <w:caps w:val="0"/>
          <w:color w:val="000000"/>
          <w:szCs w:val="22"/>
          <w:lang w:eastAsia="en-IN"/>
        </w:rPr>
      </w:pPr>
      <w:r w:rsidRPr="0079280B">
        <w:rPr>
          <w:rFonts w:ascii="Arial" w:hAnsi="Arial" w:cs="Arial"/>
          <w:szCs w:val="22"/>
        </w:rPr>
        <w:t xml:space="preserve">3.1 </w:t>
      </w:r>
      <w:r w:rsidR="00AE2091" w:rsidRPr="0079280B">
        <w:rPr>
          <w:rFonts w:ascii="Arial" w:hAnsi="Arial" w:cs="Arial"/>
          <w:bCs/>
          <w:caps w:val="0"/>
          <w:color w:val="000000"/>
          <w:szCs w:val="22"/>
          <w:lang w:eastAsia="en-IN"/>
        </w:rPr>
        <w:t>Plankton Biomass and Chlorophyll</w:t>
      </w:r>
      <w:r w:rsidR="006551E6" w:rsidRPr="0079280B">
        <w:rPr>
          <w:rFonts w:ascii="Arial" w:hAnsi="Arial" w:cs="Arial"/>
          <w:bCs/>
          <w:caps w:val="0"/>
          <w:color w:val="000000"/>
          <w:szCs w:val="22"/>
          <w:lang w:eastAsia="en-IN"/>
        </w:rPr>
        <w:t xml:space="preserve"> </w:t>
      </w:r>
      <w:r w:rsidR="00B2464F" w:rsidRPr="0079280B">
        <w:rPr>
          <w:rFonts w:ascii="Arial" w:hAnsi="Arial" w:cs="Arial"/>
          <w:bCs/>
          <w:caps w:val="0"/>
          <w:color w:val="000000"/>
          <w:szCs w:val="22"/>
          <w:lang w:eastAsia="en-IN"/>
        </w:rPr>
        <w:t>C</w:t>
      </w:r>
      <w:r w:rsidR="006551E6" w:rsidRPr="0079280B">
        <w:rPr>
          <w:rFonts w:ascii="Arial" w:hAnsi="Arial" w:cs="Arial"/>
          <w:bCs/>
          <w:caps w:val="0"/>
          <w:color w:val="000000"/>
          <w:szCs w:val="22"/>
          <w:lang w:eastAsia="en-IN"/>
        </w:rPr>
        <w:t>ontent</w:t>
      </w:r>
    </w:p>
    <w:p w14:paraId="0CB90B08" w14:textId="36CFB55F" w:rsidR="00C025F4" w:rsidRPr="000B1A6D" w:rsidRDefault="00E35158" w:rsidP="005C1146">
      <w:pPr>
        <w:autoSpaceDE w:val="0"/>
        <w:autoSpaceDN w:val="0"/>
        <w:adjustRightInd w:val="0"/>
        <w:spacing w:before="120" w:after="120"/>
        <w:jc w:val="both"/>
        <w:rPr>
          <w:rFonts w:ascii="Arial" w:hAnsi="Arial" w:cs="Arial"/>
          <w:bCs/>
          <w:lang w:eastAsia="en-IN"/>
        </w:rPr>
      </w:pPr>
      <w:r w:rsidRPr="005C1146">
        <w:rPr>
          <w:rFonts w:ascii="Arial" w:hAnsi="Arial" w:cs="Arial"/>
          <w:bCs/>
          <w:lang w:eastAsia="en-IN"/>
        </w:rPr>
        <w:t>The plankton biomass</w:t>
      </w:r>
      <w:r w:rsidR="00B738A8" w:rsidRPr="005C1146">
        <w:rPr>
          <w:rFonts w:ascii="Arial" w:hAnsi="Arial" w:cs="Arial"/>
          <w:bCs/>
          <w:lang w:eastAsia="en-IN"/>
        </w:rPr>
        <w:t xml:space="preserve">, </w:t>
      </w:r>
      <w:proofErr w:type="spellStart"/>
      <w:r w:rsidR="00B738A8" w:rsidRPr="005C1146">
        <w:rPr>
          <w:rFonts w:ascii="Arial" w:hAnsi="Arial" w:cs="Arial"/>
          <w:bCs/>
          <w:lang w:eastAsia="en-IN"/>
        </w:rPr>
        <w:t>analysed</w:t>
      </w:r>
      <w:proofErr w:type="spellEnd"/>
      <w:r w:rsidR="00B738A8" w:rsidRPr="005C1146">
        <w:rPr>
          <w:rFonts w:ascii="Arial" w:hAnsi="Arial" w:cs="Arial"/>
          <w:bCs/>
          <w:lang w:eastAsia="en-IN"/>
        </w:rPr>
        <w:t xml:space="preserve"> after 21 days of experimental period </w:t>
      </w:r>
      <w:r w:rsidRPr="005C1146">
        <w:rPr>
          <w:rFonts w:ascii="Arial" w:hAnsi="Arial" w:cs="Arial"/>
          <w:bCs/>
          <w:lang w:eastAsia="en-IN"/>
        </w:rPr>
        <w:t xml:space="preserve">was significantly influenced by Zn application </w:t>
      </w:r>
      <w:r w:rsidRPr="00284900">
        <w:rPr>
          <w:rFonts w:ascii="Arial" w:hAnsi="Arial" w:cs="Arial"/>
          <w:bCs/>
          <w:lang w:eastAsia="en-IN"/>
        </w:rPr>
        <w:t>under both the conditions: without and with top-dressing</w:t>
      </w:r>
      <w:r w:rsidR="000B08A7" w:rsidRPr="00284900">
        <w:rPr>
          <w:rFonts w:ascii="Arial" w:hAnsi="Arial" w:cs="Arial"/>
          <w:bCs/>
          <w:lang w:eastAsia="en-IN"/>
        </w:rPr>
        <w:t xml:space="preserve"> (</w:t>
      </w:r>
      <w:r w:rsidR="005C1146" w:rsidRPr="00284900">
        <w:rPr>
          <w:rFonts w:ascii="Arial" w:hAnsi="Arial" w:cs="Arial"/>
          <w:bCs/>
          <w:lang w:eastAsia="en-IN"/>
        </w:rPr>
        <w:t xml:space="preserve">Table </w:t>
      </w:r>
      <w:r w:rsidR="000B08A7" w:rsidRPr="00284900">
        <w:rPr>
          <w:rFonts w:ascii="Arial" w:hAnsi="Arial" w:cs="Arial"/>
          <w:bCs/>
          <w:lang w:eastAsia="en-IN"/>
        </w:rPr>
        <w:t>1)</w:t>
      </w:r>
      <w:r w:rsidRPr="00284900">
        <w:rPr>
          <w:rFonts w:ascii="Arial" w:hAnsi="Arial" w:cs="Arial"/>
          <w:bCs/>
          <w:lang w:eastAsia="en-IN"/>
        </w:rPr>
        <w:t>. The plankton biomass was the lowest (</w:t>
      </w:r>
      <w:r w:rsidR="004F4EDF" w:rsidRPr="00284900">
        <w:rPr>
          <w:rFonts w:ascii="Arial" w:hAnsi="Arial" w:cs="Arial"/>
          <w:bCs/>
          <w:lang w:eastAsia="en-IN"/>
        </w:rPr>
        <w:t>16.20</w:t>
      </w:r>
      <w:r w:rsidR="00284900" w:rsidRPr="00284900">
        <w:rPr>
          <w:rFonts w:ascii="Arial" w:hAnsi="Arial" w:cs="Arial"/>
          <w:bCs/>
          <w:lang w:eastAsia="en-IN"/>
        </w:rPr>
        <w:t xml:space="preserve"> </w:t>
      </w:r>
      <w:r w:rsidR="00F0271D">
        <w:rPr>
          <w:rFonts w:ascii="Arial" w:hAnsi="Arial" w:cs="Arial"/>
          <w:bCs/>
          <w:lang w:eastAsia="en-IN"/>
        </w:rPr>
        <w:t>mg/l</w:t>
      </w:r>
      <w:r w:rsidRPr="00284900">
        <w:rPr>
          <w:rFonts w:ascii="Arial" w:hAnsi="Arial" w:cs="Arial"/>
          <w:bCs/>
          <w:lang w:eastAsia="en-IN"/>
        </w:rPr>
        <w:t>) in no Zn treatment.</w:t>
      </w:r>
      <w:r w:rsidR="00C556E4" w:rsidRPr="00284900">
        <w:rPr>
          <w:rFonts w:ascii="Arial" w:hAnsi="Arial" w:cs="Arial"/>
          <w:bCs/>
          <w:lang w:eastAsia="en-IN"/>
        </w:rPr>
        <w:t xml:space="preserve"> </w:t>
      </w:r>
      <w:r w:rsidRPr="00284900">
        <w:rPr>
          <w:rFonts w:ascii="Arial" w:hAnsi="Arial" w:cs="Arial"/>
          <w:bCs/>
          <w:lang w:eastAsia="en-IN"/>
        </w:rPr>
        <w:t>With the increase in Z</w:t>
      </w:r>
      <w:r w:rsidR="00C556E4" w:rsidRPr="00284900">
        <w:rPr>
          <w:rFonts w:ascii="Arial" w:hAnsi="Arial" w:cs="Arial"/>
          <w:bCs/>
          <w:lang w:eastAsia="en-IN"/>
        </w:rPr>
        <w:t xml:space="preserve">n concentration from 0.25 to 1.00 mg Zn/l, there was an incremental proliferation of </w:t>
      </w:r>
      <w:r w:rsidR="000D14CB" w:rsidRPr="00284900">
        <w:rPr>
          <w:rFonts w:ascii="Arial" w:hAnsi="Arial" w:cs="Arial"/>
          <w:bCs/>
          <w:lang w:eastAsia="en-IN"/>
        </w:rPr>
        <w:t xml:space="preserve">plankton biomass, with the highest value </w:t>
      </w:r>
      <w:r w:rsidR="00C556E4" w:rsidRPr="00284900">
        <w:rPr>
          <w:rFonts w:ascii="Arial" w:hAnsi="Arial" w:cs="Arial"/>
          <w:bCs/>
          <w:lang w:eastAsia="en-IN"/>
        </w:rPr>
        <w:t>recorded a</w:t>
      </w:r>
      <w:r w:rsidR="000D14CB" w:rsidRPr="00284900">
        <w:rPr>
          <w:rFonts w:ascii="Arial" w:hAnsi="Arial" w:cs="Arial"/>
          <w:bCs/>
          <w:lang w:eastAsia="en-IN"/>
        </w:rPr>
        <w:t xml:space="preserve">t 1.00 </w:t>
      </w:r>
      <w:r w:rsidR="00F0271D">
        <w:rPr>
          <w:rFonts w:ascii="Arial" w:hAnsi="Arial" w:cs="Arial"/>
          <w:bCs/>
          <w:lang w:eastAsia="en-IN"/>
        </w:rPr>
        <w:t>mg/l</w:t>
      </w:r>
      <w:r w:rsidR="000D14CB" w:rsidRPr="00284900">
        <w:rPr>
          <w:rFonts w:ascii="Arial" w:hAnsi="Arial" w:cs="Arial"/>
          <w:bCs/>
          <w:lang w:eastAsia="en-IN"/>
        </w:rPr>
        <w:t xml:space="preserve"> Zn</w:t>
      </w:r>
      <w:r w:rsidR="004F4EDF" w:rsidRPr="00284900">
        <w:rPr>
          <w:rFonts w:ascii="Arial" w:hAnsi="Arial" w:cs="Arial"/>
          <w:bCs/>
          <w:lang w:eastAsia="en-IN"/>
        </w:rPr>
        <w:t xml:space="preserve"> was </w:t>
      </w:r>
      <w:r w:rsidR="00284900" w:rsidRPr="00284900">
        <w:rPr>
          <w:rFonts w:ascii="Arial" w:hAnsi="Arial" w:cs="Arial"/>
          <w:bCs/>
          <w:lang w:eastAsia="en-IN"/>
        </w:rPr>
        <w:t xml:space="preserve">33.30 </w:t>
      </w:r>
      <w:r w:rsidR="00F0271D">
        <w:rPr>
          <w:rFonts w:ascii="Arial" w:hAnsi="Arial" w:cs="Arial"/>
          <w:bCs/>
          <w:lang w:eastAsia="en-IN"/>
        </w:rPr>
        <w:t>mg/l</w:t>
      </w:r>
      <w:r w:rsidR="000D14CB" w:rsidRPr="00284900">
        <w:rPr>
          <w:rFonts w:ascii="Arial" w:hAnsi="Arial" w:cs="Arial"/>
          <w:bCs/>
          <w:lang w:eastAsia="en-IN"/>
        </w:rPr>
        <w:t xml:space="preserve"> without top-dressing and </w:t>
      </w:r>
      <w:r w:rsidR="00284900" w:rsidRPr="00284900">
        <w:rPr>
          <w:rFonts w:ascii="Arial" w:hAnsi="Arial" w:cs="Arial"/>
          <w:bCs/>
          <w:lang w:eastAsia="en-IN"/>
        </w:rPr>
        <w:t xml:space="preserve">37.40 </w:t>
      </w:r>
      <w:r w:rsidR="00F0271D">
        <w:rPr>
          <w:rFonts w:ascii="Arial" w:hAnsi="Arial" w:cs="Arial"/>
          <w:bCs/>
          <w:lang w:eastAsia="en-IN"/>
        </w:rPr>
        <w:t>mg/l</w:t>
      </w:r>
      <w:r w:rsidR="000D14CB" w:rsidRPr="00284900">
        <w:rPr>
          <w:rFonts w:ascii="Arial" w:hAnsi="Arial" w:cs="Arial"/>
          <w:bCs/>
          <w:lang w:eastAsia="en-IN"/>
        </w:rPr>
        <w:t xml:space="preserve"> with top-dressing, indicating a positive impact of Zn su</w:t>
      </w:r>
      <w:r w:rsidR="00C556E4" w:rsidRPr="00284900">
        <w:rPr>
          <w:rFonts w:ascii="Arial" w:hAnsi="Arial" w:cs="Arial"/>
          <w:bCs/>
          <w:lang w:eastAsia="en-IN"/>
        </w:rPr>
        <w:t>pplementation and top-dressing. On the other hand, at the highest Zn level</w:t>
      </w:r>
      <w:r w:rsidR="000D14CB" w:rsidRPr="00284900">
        <w:rPr>
          <w:rFonts w:ascii="Arial" w:hAnsi="Arial" w:cs="Arial"/>
          <w:bCs/>
          <w:lang w:eastAsia="en-IN"/>
        </w:rPr>
        <w:t xml:space="preserve"> (2.00 </w:t>
      </w:r>
      <w:r w:rsidR="00F0271D">
        <w:rPr>
          <w:rFonts w:ascii="Arial" w:hAnsi="Arial" w:cs="Arial"/>
          <w:bCs/>
          <w:lang w:eastAsia="en-IN"/>
        </w:rPr>
        <w:t>mg/l</w:t>
      </w:r>
      <w:r w:rsidR="000D14CB" w:rsidRPr="00284900">
        <w:rPr>
          <w:rFonts w:ascii="Arial" w:hAnsi="Arial" w:cs="Arial"/>
          <w:bCs/>
          <w:lang w:eastAsia="en-IN"/>
        </w:rPr>
        <w:t xml:space="preserve">), a </w:t>
      </w:r>
      <w:r w:rsidR="00C556E4" w:rsidRPr="00284900">
        <w:rPr>
          <w:rFonts w:ascii="Arial" w:hAnsi="Arial" w:cs="Arial"/>
          <w:bCs/>
          <w:lang w:eastAsia="en-IN"/>
        </w:rPr>
        <w:t>significant low</w:t>
      </w:r>
      <w:r w:rsidR="000D14CB" w:rsidRPr="00284900">
        <w:rPr>
          <w:rFonts w:ascii="Arial" w:hAnsi="Arial" w:cs="Arial"/>
          <w:bCs/>
          <w:lang w:eastAsia="en-IN"/>
        </w:rPr>
        <w:t xml:space="preserve"> biomass </w:t>
      </w:r>
      <w:r w:rsidR="00C556E4" w:rsidRPr="00284900">
        <w:rPr>
          <w:rFonts w:ascii="Arial" w:hAnsi="Arial" w:cs="Arial"/>
          <w:bCs/>
          <w:lang w:eastAsia="en-IN"/>
        </w:rPr>
        <w:t xml:space="preserve">production </w:t>
      </w:r>
      <w:r w:rsidR="000D14CB" w:rsidRPr="00284900">
        <w:rPr>
          <w:rFonts w:ascii="Arial" w:hAnsi="Arial" w:cs="Arial"/>
          <w:bCs/>
          <w:lang w:eastAsia="en-IN"/>
        </w:rPr>
        <w:t>was observed (</w:t>
      </w:r>
      <w:r w:rsidR="00284900" w:rsidRPr="00284900">
        <w:rPr>
          <w:rFonts w:ascii="Arial" w:hAnsi="Arial" w:cs="Arial"/>
          <w:bCs/>
          <w:lang w:eastAsia="en-IN"/>
        </w:rPr>
        <w:t xml:space="preserve">26.20 </w:t>
      </w:r>
      <w:r w:rsidR="00F0271D">
        <w:rPr>
          <w:rFonts w:ascii="Arial" w:hAnsi="Arial" w:cs="Arial"/>
          <w:bCs/>
          <w:lang w:eastAsia="en-IN"/>
        </w:rPr>
        <w:t>mg/l</w:t>
      </w:r>
      <w:r w:rsidR="000D14CB" w:rsidRPr="00284900">
        <w:rPr>
          <w:rFonts w:ascii="Arial" w:hAnsi="Arial" w:cs="Arial"/>
          <w:bCs/>
          <w:lang w:eastAsia="en-IN"/>
        </w:rPr>
        <w:t xml:space="preserve"> without and </w:t>
      </w:r>
      <w:r w:rsidR="00284900" w:rsidRPr="00284900">
        <w:rPr>
          <w:rFonts w:ascii="Arial" w:hAnsi="Arial" w:cs="Arial"/>
          <w:bCs/>
          <w:lang w:eastAsia="en-IN"/>
        </w:rPr>
        <w:t xml:space="preserve">21.47 </w:t>
      </w:r>
      <w:r w:rsidR="00F0271D">
        <w:rPr>
          <w:rFonts w:ascii="Arial" w:hAnsi="Arial" w:cs="Arial"/>
          <w:bCs/>
          <w:lang w:eastAsia="en-IN"/>
        </w:rPr>
        <w:t>mg/l</w:t>
      </w:r>
      <w:r w:rsidR="000D14CB" w:rsidRPr="00284900">
        <w:rPr>
          <w:rFonts w:ascii="Arial" w:hAnsi="Arial" w:cs="Arial"/>
          <w:bCs/>
          <w:lang w:eastAsia="en-IN"/>
        </w:rPr>
        <w:t xml:space="preserve"> with top-dressing), suggesting potential Zn toxicity or inhibitory effects at higher concentrations. </w:t>
      </w:r>
      <w:r w:rsidR="004A3CCA" w:rsidRPr="00284900">
        <w:rPr>
          <w:rFonts w:ascii="Arial" w:hAnsi="Arial" w:cs="Arial"/>
          <w:bCs/>
          <w:lang w:eastAsia="en-IN"/>
        </w:rPr>
        <w:t xml:space="preserve">The results clearly indicated that </w:t>
      </w:r>
      <w:r w:rsidR="000D14CB" w:rsidRPr="00284900">
        <w:rPr>
          <w:rFonts w:ascii="Arial" w:hAnsi="Arial" w:cs="Arial"/>
          <w:bCs/>
          <w:lang w:eastAsia="en-IN"/>
        </w:rPr>
        <w:t>Zn application up to 1</w:t>
      </w:r>
      <w:r w:rsidR="000D14CB" w:rsidRPr="000B1A6D">
        <w:rPr>
          <w:rFonts w:ascii="Arial" w:hAnsi="Arial" w:cs="Arial"/>
          <w:bCs/>
          <w:lang w:eastAsia="en-IN"/>
        </w:rPr>
        <w:t xml:space="preserve">.00 </w:t>
      </w:r>
      <w:r w:rsidR="00F0271D">
        <w:rPr>
          <w:rFonts w:ascii="Arial" w:hAnsi="Arial" w:cs="Arial"/>
          <w:bCs/>
          <w:lang w:eastAsia="en-IN"/>
        </w:rPr>
        <w:t>mg/l</w:t>
      </w:r>
      <w:r w:rsidR="000D14CB" w:rsidRPr="000B1A6D">
        <w:rPr>
          <w:rFonts w:ascii="Arial" w:hAnsi="Arial" w:cs="Arial"/>
          <w:bCs/>
          <w:lang w:eastAsia="en-IN"/>
        </w:rPr>
        <w:t xml:space="preserve"> enhanced plankton productivity, and top-dressing further improved biomass yield.</w:t>
      </w:r>
      <w:r w:rsidR="00F0266F" w:rsidRPr="000B1A6D">
        <w:rPr>
          <w:rFonts w:ascii="Arial" w:hAnsi="Arial" w:cs="Arial"/>
          <w:bCs/>
          <w:lang w:eastAsia="en-IN"/>
        </w:rPr>
        <w:t xml:space="preserve"> </w:t>
      </w:r>
    </w:p>
    <w:p w14:paraId="31E8ED67" w14:textId="77777777" w:rsidR="000D14CB" w:rsidRPr="00704BE6" w:rsidRDefault="000D14CB" w:rsidP="00704BE6">
      <w:pPr>
        <w:jc w:val="both"/>
        <w:rPr>
          <w:rFonts w:ascii="Arial" w:hAnsi="Arial" w:cs="Arial"/>
          <w:b/>
          <w:bCs/>
          <w:color w:val="000000"/>
          <w:lang w:eastAsia="en-IN"/>
        </w:rPr>
      </w:pPr>
      <w:r w:rsidRPr="00704BE6">
        <w:rPr>
          <w:rFonts w:ascii="Arial" w:hAnsi="Arial" w:cs="Arial"/>
          <w:b/>
          <w:bCs/>
          <w:color w:val="000000"/>
          <w:lang w:eastAsia="en-IN"/>
        </w:rPr>
        <w:t>Table 1</w:t>
      </w:r>
      <w:r w:rsidR="000663E6" w:rsidRPr="00704BE6">
        <w:rPr>
          <w:rFonts w:ascii="Arial" w:hAnsi="Arial" w:cs="Arial"/>
          <w:b/>
          <w:bCs/>
          <w:color w:val="000000"/>
          <w:lang w:eastAsia="en-IN"/>
        </w:rPr>
        <w:t>.</w:t>
      </w:r>
      <w:r w:rsidRPr="00704BE6">
        <w:rPr>
          <w:rFonts w:ascii="Arial" w:hAnsi="Arial" w:cs="Arial"/>
          <w:b/>
          <w:bCs/>
          <w:color w:val="000000"/>
          <w:lang w:eastAsia="en-IN"/>
        </w:rPr>
        <w:t xml:space="preserve"> Effect of different Zn treatments on plankton biomass in controlled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8"/>
        <w:gridCol w:w="3150"/>
        <w:gridCol w:w="3150"/>
      </w:tblGrid>
      <w:tr w:rsidR="004F4EDF" w:rsidRPr="00704BE6" w14:paraId="0E718608" w14:textId="77777777" w:rsidTr="00F0271D">
        <w:trPr>
          <w:trHeight w:val="20"/>
        </w:trPr>
        <w:tc>
          <w:tcPr>
            <w:tcW w:w="1158" w:type="pct"/>
            <w:vMerge w:val="restart"/>
            <w:shd w:val="clear" w:color="auto" w:fill="auto"/>
            <w:tcMar>
              <w:top w:w="15" w:type="dxa"/>
              <w:left w:w="108" w:type="dxa"/>
              <w:bottom w:w="0" w:type="dxa"/>
              <w:right w:w="108" w:type="dxa"/>
            </w:tcMar>
            <w:hideMark/>
          </w:tcPr>
          <w:p w14:paraId="7991687D" w14:textId="77777777" w:rsidR="004F4EDF" w:rsidRPr="00704BE6" w:rsidRDefault="004F4EDF" w:rsidP="00F0271D">
            <w:pPr>
              <w:rPr>
                <w:rFonts w:ascii="Arial" w:hAnsi="Arial" w:cs="Arial"/>
                <w:b/>
                <w:bCs/>
              </w:rPr>
            </w:pPr>
            <w:r w:rsidRPr="00704BE6">
              <w:rPr>
                <w:rFonts w:ascii="Arial" w:hAnsi="Arial" w:cs="Arial"/>
                <w:b/>
                <w:bCs/>
              </w:rPr>
              <w:t> Zn Treatments</w:t>
            </w:r>
          </w:p>
        </w:tc>
        <w:tc>
          <w:tcPr>
            <w:tcW w:w="3842" w:type="pct"/>
            <w:gridSpan w:val="2"/>
            <w:shd w:val="clear" w:color="auto" w:fill="auto"/>
            <w:tcMar>
              <w:top w:w="15" w:type="dxa"/>
              <w:left w:w="108" w:type="dxa"/>
              <w:bottom w:w="0" w:type="dxa"/>
              <w:right w:w="108" w:type="dxa"/>
            </w:tcMar>
            <w:hideMark/>
          </w:tcPr>
          <w:p w14:paraId="5A6276B9" w14:textId="7FECB600" w:rsidR="004F4EDF" w:rsidRPr="00704BE6" w:rsidRDefault="004F4EDF" w:rsidP="004F4EDF">
            <w:pPr>
              <w:jc w:val="center"/>
              <w:rPr>
                <w:rFonts w:ascii="Arial" w:hAnsi="Arial" w:cs="Arial"/>
                <w:b/>
                <w:bCs/>
              </w:rPr>
            </w:pPr>
            <w:r w:rsidRPr="00704BE6">
              <w:rPr>
                <w:rFonts w:ascii="Arial" w:hAnsi="Arial" w:cs="Arial"/>
                <w:b/>
                <w:bCs/>
              </w:rPr>
              <w:t>Plankton biomass (</w:t>
            </w:r>
            <w:r w:rsidR="00F0271D">
              <w:rPr>
                <w:rFonts w:ascii="Arial" w:hAnsi="Arial" w:cs="Arial"/>
                <w:b/>
                <w:bCs/>
              </w:rPr>
              <w:t>mg/l</w:t>
            </w:r>
            <w:r w:rsidRPr="00704BE6">
              <w:rPr>
                <w:rFonts w:ascii="Arial" w:hAnsi="Arial" w:cs="Arial"/>
                <w:b/>
                <w:bCs/>
              </w:rPr>
              <w:t>)</w:t>
            </w:r>
          </w:p>
        </w:tc>
      </w:tr>
      <w:tr w:rsidR="004F4EDF" w:rsidRPr="00704BE6" w14:paraId="16D8FCD1" w14:textId="77777777" w:rsidTr="00F0271D">
        <w:trPr>
          <w:trHeight w:val="20"/>
        </w:trPr>
        <w:tc>
          <w:tcPr>
            <w:tcW w:w="1158" w:type="pct"/>
            <w:vMerge/>
            <w:vAlign w:val="center"/>
            <w:hideMark/>
          </w:tcPr>
          <w:p w14:paraId="342F86D2" w14:textId="77777777" w:rsidR="004F4EDF" w:rsidRPr="00704BE6" w:rsidRDefault="004F4EDF" w:rsidP="00F0271D">
            <w:pPr>
              <w:rPr>
                <w:rFonts w:ascii="Arial" w:hAnsi="Arial" w:cs="Arial"/>
                <w:b/>
                <w:bCs/>
              </w:rPr>
            </w:pPr>
          </w:p>
        </w:tc>
        <w:tc>
          <w:tcPr>
            <w:tcW w:w="1921" w:type="pct"/>
            <w:shd w:val="clear" w:color="auto" w:fill="auto"/>
            <w:tcMar>
              <w:top w:w="15" w:type="dxa"/>
              <w:left w:w="108" w:type="dxa"/>
              <w:bottom w:w="0" w:type="dxa"/>
              <w:right w:w="108" w:type="dxa"/>
            </w:tcMar>
            <w:hideMark/>
          </w:tcPr>
          <w:p w14:paraId="1E53FCAF" w14:textId="77777777" w:rsidR="004F4EDF" w:rsidRPr="00704BE6" w:rsidRDefault="004F4EDF" w:rsidP="00F0271D">
            <w:pPr>
              <w:jc w:val="center"/>
              <w:rPr>
                <w:rFonts w:ascii="Arial" w:hAnsi="Arial" w:cs="Arial"/>
                <w:b/>
                <w:bCs/>
              </w:rPr>
            </w:pPr>
            <w:r w:rsidRPr="00704BE6">
              <w:rPr>
                <w:rFonts w:ascii="Arial" w:hAnsi="Arial" w:cs="Arial"/>
                <w:b/>
                <w:bCs/>
              </w:rPr>
              <w:t>Without top-dressing</w:t>
            </w:r>
          </w:p>
        </w:tc>
        <w:tc>
          <w:tcPr>
            <w:tcW w:w="1921" w:type="pct"/>
            <w:shd w:val="clear" w:color="auto" w:fill="auto"/>
            <w:tcMar>
              <w:top w:w="15" w:type="dxa"/>
              <w:left w:w="108" w:type="dxa"/>
              <w:bottom w:w="0" w:type="dxa"/>
              <w:right w:w="108" w:type="dxa"/>
            </w:tcMar>
            <w:hideMark/>
          </w:tcPr>
          <w:p w14:paraId="1711899D" w14:textId="77777777" w:rsidR="004F4EDF" w:rsidRPr="00704BE6" w:rsidRDefault="004F4EDF" w:rsidP="00F0271D">
            <w:pPr>
              <w:jc w:val="center"/>
              <w:rPr>
                <w:rFonts w:ascii="Arial" w:hAnsi="Arial" w:cs="Arial"/>
                <w:b/>
                <w:bCs/>
              </w:rPr>
            </w:pPr>
            <w:r w:rsidRPr="00704BE6">
              <w:rPr>
                <w:rFonts w:ascii="Arial" w:hAnsi="Arial" w:cs="Arial"/>
                <w:b/>
                <w:bCs/>
              </w:rPr>
              <w:t>With top-dressing</w:t>
            </w:r>
          </w:p>
        </w:tc>
      </w:tr>
      <w:tr w:rsidR="004F4EDF" w:rsidRPr="00704BE6" w14:paraId="218C545E" w14:textId="77777777" w:rsidTr="00F0271D">
        <w:trPr>
          <w:trHeight w:val="20"/>
        </w:trPr>
        <w:tc>
          <w:tcPr>
            <w:tcW w:w="1158" w:type="pct"/>
            <w:shd w:val="clear" w:color="auto" w:fill="auto"/>
            <w:tcMar>
              <w:top w:w="15" w:type="dxa"/>
              <w:left w:w="15" w:type="dxa"/>
              <w:bottom w:w="0" w:type="dxa"/>
              <w:right w:w="15" w:type="dxa"/>
            </w:tcMar>
            <w:hideMark/>
          </w:tcPr>
          <w:p w14:paraId="1D679AEB" w14:textId="77777777" w:rsidR="004F4EDF" w:rsidRPr="00704BE6" w:rsidRDefault="004F4EDF" w:rsidP="00F0271D">
            <w:pPr>
              <w:ind w:left="106"/>
              <w:rPr>
                <w:rFonts w:ascii="Arial" w:hAnsi="Arial" w:cs="Arial"/>
              </w:rPr>
            </w:pPr>
            <w:r w:rsidRPr="00704BE6">
              <w:rPr>
                <w:rFonts w:ascii="Arial" w:hAnsi="Arial" w:cs="Arial"/>
              </w:rPr>
              <w:t>No Zn</w:t>
            </w:r>
          </w:p>
        </w:tc>
        <w:tc>
          <w:tcPr>
            <w:tcW w:w="1921" w:type="pct"/>
            <w:shd w:val="clear" w:color="auto" w:fill="auto"/>
            <w:tcMar>
              <w:top w:w="15" w:type="dxa"/>
              <w:left w:w="15" w:type="dxa"/>
              <w:bottom w:w="0" w:type="dxa"/>
              <w:right w:w="15" w:type="dxa"/>
            </w:tcMar>
            <w:vAlign w:val="bottom"/>
            <w:hideMark/>
          </w:tcPr>
          <w:p w14:paraId="2AAEFDAB" w14:textId="54B0D9EC" w:rsidR="004F4EDF" w:rsidRPr="00704BE6" w:rsidRDefault="004F4EDF" w:rsidP="00F0271D">
            <w:pPr>
              <w:jc w:val="center"/>
              <w:rPr>
                <w:rFonts w:ascii="Arial" w:hAnsi="Arial" w:cs="Arial"/>
              </w:rPr>
            </w:pPr>
            <w:r>
              <w:rPr>
                <w:rFonts w:ascii="Arial" w:hAnsi="Arial" w:cs="Arial"/>
              </w:rPr>
              <w:t>16.20</w:t>
            </w:r>
            <w:r w:rsidRPr="00704BE6">
              <w:rPr>
                <w:rFonts w:ascii="Arial" w:hAnsi="Arial" w:cs="Arial"/>
                <w:vertAlign w:val="superscript"/>
              </w:rPr>
              <w:t>d</w:t>
            </w:r>
          </w:p>
        </w:tc>
        <w:tc>
          <w:tcPr>
            <w:tcW w:w="1921" w:type="pct"/>
            <w:shd w:val="clear" w:color="auto" w:fill="auto"/>
            <w:tcMar>
              <w:top w:w="15" w:type="dxa"/>
              <w:left w:w="15" w:type="dxa"/>
              <w:bottom w:w="0" w:type="dxa"/>
              <w:right w:w="15" w:type="dxa"/>
            </w:tcMar>
            <w:vAlign w:val="bottom"/>
            <w:hideMark/>
          </w:tcPr>
          <w:p w14:paraId="164649DD" w14:textId="0CF7F78D" w:rsidR="004F4EDF" w:rsidRPr="00704BE6" w:rsidRDefault="004F4EDF" w:rsidP="00F0271D">
            <w:pPr>
              <w:jc w:val="center"/>
              <w:rPr>
                <w:rFonts w:ascii="Arial" w:hAnsi="Arial" w:cs="Arial"/>
              </w:rPr>
            </w:pPr>
            <w:r>
              <w:rPr>
                <w:rFonts w:ascii="Arial" w:hAnsi="Arial" w:cs="Arial"/>
              </w:rPr>
              <w:t>18.07</w:t>
            </w:r>
            <w:r w:rsidRPr="00704BE6">
              <w:rPr>
                <w:rFonts w:ascii="Arial" w:hAnsi="Arial" w:cs="Arial"/>
                <w:vertAlign w:val="superscript"/>
              </w:rPr>
              <w:t>d</w:t>
            </w:r>
          </w:p>
        </w:tc>
      </w:tr>
      <w:tr w:rsidR="004F4EDF" w:rsidRPr="00704BE6" w14:paraId="2894AD17" w14:textId="77777777" w:rsidTr="00F0271D">
        <w:trPr>
          <w:trHeight w:val="20"/>
        </w:trPr>
        <w:tc>
          <w:tcPr>
            <w:tcW w:w="1158" w:type="pct"/>
            <w:shd w:val="clear" w:color="auto" w:fill="auto"/>
            <w:tcMar>
              <w:top w:w="15" w:type="dxa"/>
              <w:left w:w="15" w:type="dxa"/>
              <w:bottom w:w="0" w:type="dxa"/>
              <w:right w:w="15" w:type="dxa"/>
            </w:tcMar>
            <w:hideMark/>
          </w:tcPr>
          <w:p w14:paraId="1F8D4CA7" w14:textId="0EC1B8A1" w:rsidR="004F4EDF" w:rsidRPr="00704BE6" w:rsidRDefault="004F4EDF" w:rsidP="00F0271D">
            <w:pPr>
              <w:ind w:left="106"/>
              <w:rPr>
                <w:rFonts w:ascii="Arial" w:hAnsi="Arial" w:cs="Arial"/>
              </w:rPr>
            </w:pPr>
            <w:r w:rsidRPr="00704BE6">
              <w:rPr>
                <w:rFonts w:ascii="Arial" w:hAnsi="Arial" w:cs="Arial"/>
              </w:rPr>
              <w:t xml:space="preserve">Zn 0.25 </w:t>
            </w:r>
            <w:r w:rsidR="00F0271D">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hideMark/>
          </w:tcPr>
          <w:p w14:paraId="0AC2667B" w14:textId="609C97FA" w:rsidR="004F4EDF" w:rsidRPr="00704BE6" w:rsidRDefault="004F4EDF" w:rsidP="00F0271D">
            <w:pPr>
              <w:jc w:val="center"/>
              <w:rPr>
                <w:rFonts w:ascii="Arial" w:hAnsi="Arial" w:cs="Arial"/>
              </w:rPr>
            </w:pPr>
            <w:r>
              <w:rPr>
                <w:rFonts w:ascii="Arial" w:hAnsi="Arial" w:cs="Arial"/>
              </w:rPr>
              <w:t>18.60</w:t>
            </w:r>
            <w:r w:rsidRPr="00704BE6">
              <w:rPr>
                <w:rFonts w:ascii="Arial" w:hAnsi="Arial" w:cs="Arial"/>
                <w:vertAlign w:val="superscript"/>
              </w:rPr>
              <w:t>c</w:t>
            </w:r>
          </w:p>
        </w:tc>
        <w:tc>
          <w:tcPr>
            <w:tcW w:w="1921" w:type="pct"/>
            <w:shd w:val="clear" w:color="auto" w:fill="auto"/>
            <w:tcMar>
              <w:top w:w="15" w:type="dxa"/>
              <w:left w:w="15" w:type="dxa"/>
              <w:bottom w:w="0" w:type="dxa"/>
              <w:right w:w="15" w:type="dxa"/>
            </w:tcMar>
            <w:vAlign w:val="bottom"/>
            <w:hideMark/>
          </w:tcPr>
          <w:p w14:paraId="5EE23EEB" w14:textId="6BE808E6" w:rsidR="004F4EDF" w:rsidRPr="00704BE6" w:rsidRDefault="004F4EDF" w:rsidP="00F0271D">
            <w:pPr>
              <w:jc w:val="center"/>
              <w:rPr>
                <w:rFonts w:ascii="Arial" w:hAnsi="Arial" w:cs="Arial"/>
              </w:rPr>
            </w:pPr>
            <w:r>
              <w:rPr>
                <w:rFonts w:ascii="Arial" w:hAnsi="Arial" w:cs="Arial"/>
              </w:rPr>
              <w:t>23.67</w:t>
            </w:r>
            <w:r w:rsidRPr="00704BE6">
              <w:rPr>
                <w:rFonts w:ascii="Arial" w:hAnsi="Arial" w:cs="Arial"/>
                <w:vertAlign w:val="superscript"/>
              </w:rPr>
              <w:t>c</w:t>
            </w:r>
          </w:p>
        </w:tc>
      </w:tr>
      <w:tr w:rsidR="004F4EDF" w:rsidRPr="00704BE6" w14:paraId="2BB02388" w14:textId="77777777" w:rsidTr="00F0271D">
        <w:trPr>
          <w:trHeight w:val="20"/>
        </w:trPr>
        <w:tc>
          <w:tcPr>
            <w:tcW w:w="1158" w:type="pct"/>
            <w:shd w:val="clear" w:color="auto" w:fill="auto"/>
            <w:tcMar>
              <w:top w:w="15" w:type="dxa"/>
              <w:left w:w="15" w:type="dxa"/>
              <w:bottom w:w="0" w:type="dxa"/>
              <w:right w:w="15" w:type="dxa"/>
            </w:tcMar>
            <w:hideMark/>
          </w:tcPr>
          <w:p w14:paraId="6AC11E86" w14:textId="2655A223" w:rsidR="004F4EDF" w:rsidRPr="00704BE6" w:rsidRDefault="004F4EDF" w:rsidP="00F0271D">
            <w:pPr>
              <w:ind w:left="106"/>
              <w:rPr>
                <w:rFonts w:ascii="Arial" w:hAnsi="Arial" w:cs="Arial"/>
              </w:rPr>
            </w:pPr>
            <w:r w:rsidRPr="00704BE6">
              <w:rPr>
                <w:rFonts w:ascii="Arial" w:hAnsi="Arial" w:cs="Arial"/>
              </w:rPr>
              <w:t xml:space="preserve">Zn 0.50 </w:t>
            </w:r>
            <w:r w:rsidR="00F0271D">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hideMark/>
          </w:tcPr>
          <w:p w14:paraId="0DBCEC59" w14:textId="227F264C" w:rsidR="004F4EDF" w:rsidRPr="00704BE6" w:rsidRDefault="004F4EDF" w:rsidP="00F0271D">
            <w:pPr>
              <w:jc w:val="center"/>
              <w:rPr>
                <w:rFonts w:ascii="Arial" w:hAnsi="Arial" w:cs="Arial"/>
              </w:rPr>
            </w:pPr>
            <w:r>
              <w:rPr>
                <w:rFonts w:ascii="Arial" w:hAnsi="Arial" w:cs="Arial"/>
              </w:rPr>
              <w:t>24.27</w:t>
            </w:r>
            <w:r w:rsidRPr="00704BE6">
              <w:rPr>
                <w:rFonts w:ascii="Arial" w:hAnsi="Arial" w:cs="Arial"/>
                <w:vertAlign w:val="superscript"/>
              </w:rPr>
              <w:t>b</w:t>
            </w:r>
          </w:p>
        </w:tc>
        <w:tc>
          <w:tcPr>
            <w:tcW w:w="1921" w:type="pct"/>
            <w:shd w:val="clear" w:color="auto" w:fill="auto"/>
            <w:tcMar>
              <w:top w:w="15" w:type="dxa"/>
              <w:left w:w="15" w:type="dxa"/>
              <w:bottom w:w="0" w:type="dxa"/>
              <w:right w:w="15" w:type="dxa"/>
            </w:tcMar>
            <w:vAlign w:val="bottom"/>
            <w:hideMark/>
          </w:tcPr>
          <w:p w14:paraId="23C3DADD" w14:textId="744DE97E" w:rsidR="004F4EDF" w:rsidRPr="00704BE6" w:rsidRDefault="004F4EDF" w:rsidP="00F0271D">
            <w:pPr>
              <w:jc w:val="center"/>
              <w:rPr>
                <w:rFonts w:ascii="Arial" w:hAnsi="Arial" w:cs="Arial"/>
              </w:rPr>
            </w:pPr>
            <w:r>
              <w:rPr>
                <w:rFonts w:ascii="Arial" w:hAnsi="Arial" w:cs="Arial"/>
              </w:rPr>
              <w:t>31.53</w:t>
            </w:r>
            <w:r w:rsidRPr="00704BE6">
              <w:rPr>
                <w:rFonts w:ascii="Arial" w:hAnsi="Arial" w:cs="Arial"/>
                <w:vertAlign w:val="superscript"/>
              </w:rPr>
              <w:t>b</w:t>
            </w:r>
          </w:p>
        </w:tc>
      </w:tr>
      <w:tr w:rsidR="004F4EDF" w:rsidRPr="00704BE6" w14:paraId="38CF8A5A" w14:textId="77777777" w:rsidTr="00F0271D">
        <w:trPr>
          <w:trHeight w:val="20"/>
        </w:trPr>
        <w:tc>
          <w:tcPr>
            <w:tcW w:w="1158" w:type="pct"/>
            <w:shd w:val="clear" w:color="auto" w:fill="auto"/>
            <w:tcMar>
              <w:top w:w="15" w:type="dxa"/>
              <w:left w:w="15" w:type="dxa"/>
              <w:bottom w:w="0" w:type="dxa"/>
              <w:right w:w="15" w:type="dxa"/>
            </w:tcMar>
            <w:hideMark/>
          </w:tcPr>
          <w:p w14:paraId="1F4FEAAE" w14:textId="2618BD5F" w:rsidR="004F4EDF" w:rsidRPr="00704BE6" w:rsidRDefault="004F4EDF" w:rsidP="00F0271D">
            <w:pPr>
              <w:ind w:left="106"/>
              <w:rPr>
                <w:rFonts w:ascii="Arial" w:hAnsi="Arial" w:cs="Arial"/>
              </w:rPr>
            </w:pPr>
            <w:r w:rsidRPr="00704BE6">
              <w:rPr>
                <w:rFonts w:ascii="Arial" w:hAnsi="Arial" w:cs="Arial"/>
              </w:rPr>
              <w:t xml:space="preserve">Zn 0.75 </w:t>
            </w:r>
            <w:r w:rsidR="00F0271D">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hideMark/>
          </w:tcPr>
          <w:p w14:paraId="57EAD99F" w14:textId="580C5E8E" w:rsidR="004F4EDF" w:rsidRPr="00704BE6" w:rsidRDefault="004F4EDF" w:rsidP="00F0271D">
            <w:pPr>
              <w:jc w:val="center"/>
              <w:rPr>
                <w:rFonts w:ascii="Arial" w:hAnsi="Arial" w:cs="Arial"/>
              </w:rPr>
            </w:pPr>
            <w:r>
              <w:rPr>
                <w:rFonts w:ascii="Arial" w:hAnsi="Arial" w:cs="Arial"/>
              </w:rPr>
              <w:t>32.40</w:t>
            </w:r>
            <w:r w:rsidRPr="00704BE6">
              <w:rPr>
                <w:rFonts w:ascii="Arial" w:hAnsi="Arial" w:cs="Arial"/>
                <w:vertAlign w:val="superscript"/>
              </w:rPr>
              <w:t>a</w:t>
            </w:r>
          </w:p>
        </w:tc>
        <w:tc>
          <w:tcPr>
            <w:tcW w:w="1921" w:type="pct"/>
            <w:shd w:val="clear" w:color="auto" w:fill="auto"/>
            <w:tcMar>
              <w:top w:w="15" w:type="dxa"/>
              <w:left w:w="15" w:type="dxa"/>
              <w:bottom w:w="0" w:type="dxa"/>
              <w:right w:w="15" w:type="dxa"/>
            </w:tcMar>
            <w:vAlign w:val="bottom"/>
            <w:hideMark/>
          </w:tcPr>
          <w:p w14:paraId="67AB7C61" w14:textId="2BB1BF97" w:rsidR="004F4EDF" w:rsidRPr="00704BE6" w:rsidRDefault="004F4EDF" w:rsidP="00F0271D">
            <w:pPr>
              <w:jc w:val="center"/>
              <w:rPr>
                <w:rFonts w:ascii="Arial" w:hAnsi="Arial" w:cs="Arial"/>
              </w:rPr>
            </w:pPr>
            <w:r>
              <w:rPr>
                <w:rFonts w:ascii="Arial" w:hAnsi="Arial" w:cs="Arial"/>
              </w:rPr>
              <w:t>33.07</w:t>
            </w:r>
            <w:r w:rsidRPr="00704BE6">
              <w:rPr>
                <w:rFonts w:ascii="Arial" w:hAnsi="Arial" w:cs="Arial"/>
                <w:vertAlign w:val="superscript"/>
              </w:rPr>
              <w:t>b</w:t>
            </w:r>
          </w:p>
        </w:tc>
      </w:tr>
      <w:tr w:rsidR="004F4EDF" w:rsidRPr="00704BE6" w14:paraId="30914457" w14:textId="77777777" w:rsidTr="00F0271D">
        <w:trPr>
          <w:trHeight w:val="20"/>
        </w:trPr>
        <w:tc>
          <w:tcPr>
            <w:tcW w:w="1158" w:type="pct"/>
            <w:shd w:val="clear" w:color="auto" w:fill="auto"/>
            <w:tcMar>
              <w:top w:w="15" w:type="dxa"/>
              <w:left w:w="15" w:type="dxa"/>
              <w:bottom w:w="0" w:type="dxa"/>
              <w:right w:w="15" w:type="dxa"/>
            </w:tcMar>
            <w:hideMark/>
          </w:tcPr>
          <w:p w14:paraId="0CFB74DE" w14:textId="08B9546F" w:rsidR="004F4EDF" w:rsidRPr="00704BE6" w:rsidRDefault="004F4EDF" w:rsidP="00F0271D">
            <w:pPr>
              <w:ind w:left="106"/>
              <w:rPr>
                <w:rFonts w:ascii="Arial" w:hAnsi="Arial" w:cs="Arial"/>
              </w:rPr>
            </w:pPr>
            <w:r w:rsidRPr="00704BE6">
              <w:rPr>
                <w:rFonts w:ascii="Arial" w:hAnsi="Arial" w:cs="Arial"/>
              </w:rPr>
              <w:t>Zn 1.00</w:t>
            </w:r>
            <w:r w:rsidRPr="00704BE6">
              <w:rPr>
                <w:rFonts w:ascii="Arial" w:hAnsi="Arial" w:cs="Arial"/>
                <w:bCs/>
                <w:color w:val="000000"/>
                <w:lang w:eastAsia="en-IN"/>
              </w:rPr>
              <w:t xml:space="preserve"> </w:t>
            </w:r>
            <w:r w:rsidR="00F0271D">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hideMark/>
          </w:tcPr>
          <w:p w14:paraId="25BF17C8" w14:textId="3DE4466C" w:rsidR="004F4EDF" w:rsidRPr="00704BE6" w:rsidRDefault="004F4EDF" w:rsidP="00F0271D">
            <w:pPr>
              <w:jc w:val="center"/>
              <w:rPr>
                <w:rFonts w:ascii="Arial" w:hAnsi="Arial" w:cs="Arial"/>
              </w:rPr>
            </w:pPr>
            <w:r>
              <w:rPr>
                <w:rFonts w:ascii="Arial" w:hAnsi="Arial" w:cs="Arial"/>
              </w:rPr>
              <w:t>33.30</w:t>
            </w:r>
            <w:r w:rsidRPr="00704BE6">
              <w:rPr>
                <w:rFonts w:ascii="Arial" w:hAnsi="Arial" w:cs="Arial"/>
                <w:vertAlign w:val="superscript"/>
              </w:rPr>
              <w:t>a</w:t>
            </w:r>
          </w:p>
        </w:tc>
        <w:tc>
          <w:tcPr>
            <w:tcW w:w="1921" w:type="pct"/>
            <w:shd w:val="clear" w:color="auto" w:fill="auto"/>
            <w:tcMar>
              <w:top w:w="15" w:type="dxa"/>
              <w:left w:w="15" w:type="dxa"/>
              <w:bottom w:w="0" w:type="dxa"/>
              <w:right w:w="15" w:type="dxa"/>
            </w:tcMar>
            <w:vAlign w:val="bottom"/>
            <w:hideMark/>
          </w:tcPr>
          <w:p w14:paraId="2F0010CD" w14:textId="19A00993" w:rsidR="004F4EDF" w:rsidRPr="00704BE6" w:rsidRDefault="004F4EDF" w:rsidP="00F0271D">
            <w:pPr>
              <w:jc w:val="center"/>
              <w:rPr>
                <w:rFonts w:ascii="Arial" w:hAnsi="Arial" w:cs="Arial"/>
              </w:rPr>
            </w:pPr>
            <w:r>
              <w:rPr>
                <w:rFonts w:ascii="Arial" w:hAnsi="Arial" w:cs="Arial"/>
              </w:rPr>
              <w:t>37.40</w:t>
            </w:r>
            <w:r w:rsidRPr="00704BE6">
              <w:rPr>
                <w:rFonts w:ascii="Arial" w:hAnsi="Arial" w:cs="Arial"/>
                <w:vertAlign w:val="superscript"/>
              </w:rPr>
              <w:t>a</w:t>
            </w:r>
          </w:p>
        </w:tc>
      </w:tr>
      <w:tr w:rsidR="004F4EDF" w:rsidRPr="00704BE6" w14:paraId="5C433E69" w14:textId="77777777" w:rsidTr="00F0271D">
        <w:trPr>
          <w:trHeight w:val="20"/>
        </w:trPr>
        <w:tc>
          <w:tcPr>
            <w:tcW w:w="1158" w:type="pct"/>
            <w:shd w:val="clear" w:color="auto" w:fill="auto"/>
            <w:tcMar>
              <w:top w:w="15" w:type="dxa"/>
              <w:left w:w="15" w:type="dxa"/>
              <w:bottom w:w="0" w:type="dxa"/>
              <w:right w:w="15" w:type="dxa"/>
            </w:tcMar>
            <w:hideMark/>
          </w:tcPr>
          <w:p w14:paraId="4FF79C77" w14:textId="3B2F6691" w:rsidR="004F4EDF" w:rsidRPr="00704BE6" w:rsidRDefault="004F4EDF" w:rsidP="00F0271D">
            <w:pPr>
              <w:ind w:left="106"/>
              <w:rPr>
                <w:rFonts w:ascii="Arial" w:hAnsi="Arial" w:cs="Arial"/>
              </w:rPr>
            </w:pPr>
            <w:r w:rsidRPr="00704BE6">
              <w:rPr>
                <w:rFonts w:ascii="Arial" w:hAnsi="Arial" w:cs="Arial"/>
              </w:rPr>
              <w:t xml:space="preserve">Zn 2.00 </w:t>
            </w:r>
            <w:r w:rsidR="00F0271D">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hideMark/>
          </w:tcPr>
          <w:p w14:paraId="693A596B" w14:textId="7CDB6A67" w:rsidR="004F4EDF" w:rsidRPr="00704BE6" w:rsidRDefault="004F4EDF" w:rsidP="00F0271D">
            <w:pPr>
              <w:jc w:val="center"/>
              <w:rPr>
                <w:rFonts w:ascii="Arial" w:hAnsi="Arial" w:cs="Arial"/>
              </w:rPr>
            </w:pPr>
            <w:r>
              <w:rPr>
                <w:rFonts w:ascii="Arial" w:hAnsi="Arial" w:cs="Arial"/>
              </w:rPr>
              <w:t>26.20</w:t>
            </w:r>
            <w:r w:rsidRPr="00704BE6">
              <w:rPr>
                <w:rFonts w:ascii="Arial" w:hAnsi="Arial" w:cs="Arial"/>
                <w:vertAlign w:val="superscript"/>
              </w:rPr>
              <w:t>b</w:t>
            </w:r>
          </w:p>
        </w:tc>
        <w:tc>
          <w:tcPr>
            <w:tcW w:w="1921" w:type="pct"/>
            <w:shd w:val="clear" w:color="auto" w:fill="auto"/>
            <w:tcMar>
              <w:top w:w="15" w:type="dxa"/>
              <w:left w:w="15" w:type="dxa"/>
              <w:bottom w:w="0" w:type="dxa"/>
              <w:right w:w="15" w:type="dxa"/>
            </w:tcMar>
            <w:vAlign w:val="bottom"/>
            <w:hideMark/>
          </w:tcPr>
          <w:p w14:paraId="7E85560D" w14:textId="2E2D9601" w:rsidR="004F4EDF" w:rsidRPr="00704BE6" w:rsidRDefault="004F4EDF" w:rsidP="00F0271D">
            <w:pPr>
              <w:jc w:val="center"/>
              <w:rPr>
                <w:rFonts w:ascii="Arial" w:hAnsi="Arial" w:cs="Arial"/>
              </w:rPr>
            </w:pPr>
            <w:r>
              <w:rPr>
                <w:rFonts w:ascii="Arial" w:hAnsi="Arial" w:cs="Arial"/>
              </w:rPr>
              <w:t>21.47</w:t>
            </w:r>
            <w:r w:rsidRPr="00704BE6">
              <w:rPr>
                <w:rFonts w:ascii="Arial" w:hAnsi="Arial" w:cs="Arial"/>
                <w:vertAlign w:val="superscript"/>
              </w:rPr>
              <w:t>c</w:t>
            </w:r>
          </w:p>
        </w:tc>
      </w:tr>
    </w:tbl>
    <w:p w14:paraId="611F62AD" w14:textId="24D0F0D2" w:rsidR="00061023" w:rsidRPr="00FD368D" w:rsidRDefault="00125FB9" w:rsidP="00FD368D">
      <w:pPr>
        <w:autoSpaceDE w:val="0"/>
        <w:autoSpaceDN w:val="0"/>
        <w:adjustRightInd w:val="0"/>
        <w:spacing w:before="120" w:after="120"/>
        <w:jc w:val="both"/>
        <w:rPr>
          <w:rFonts w:ascii="Arial" w:hAnsi="Arial" w:cs="Arial"/>
          <w:bCs/>
          <w:lang w:eastAsia="en-IN"/>
        </w:rPr>
      </w:pPr>
      <w:r w:rsidRPr="00704BE6">
        <w:rPr>
          <w:rFonts w:ascii="Arial" w:hAnsi="Arial" w:cs="Arial"/>
          <w:bCs/>
          <w:color w:val="000000"/>
          <w:lang w:eastAsia="en-IN"/>
        </w:rPr>
        <w:t xml:space="preserve">The chlorophyll-a content of each treatment was estimated at weekly interval </w:t>
      </w:r>
      <w:r w:rsidR="008B1418" w:rsidRPr="00704BE6">
        <w:rPr>
          <w:rFonts w:ascii="Arial" w:hAnsi="Arial" w:cs="Arial"/>
          <w:bCs/>
          <w:color w:val="000000"/>
          <w:lang w:eastAsia="en-IN"/>
        </w:rPr>
        <w:t>and r</w:t>
      </w:r>
      <w:r w:rsidRPr="00704BE6">
        <w:rPr>
          <w:rFonts w:ascii="Arial" w:hAnsi="Arial" w:cs="Arial"/>
          <w:bCs/>
          <w:color w:val="000000"/>
          <w:lang w:eastAsia="en-IN"/>
        </w:rPr>
        <w:t xml:space="preserve">esults indicated that inclusion of Zn gradually enhanced chlorophyll-a content in Zn treatments till 1.00 </w:t>
      </w:r>
      <w:r w:rsidR="00F0271D">
        <w:rPr>
          <w:rFonts w:ascii="Arial" w:hAnsi="Arial" w:cs="Arial"/>
          <w:bCs/>
          <w:color w:val="000000"/>
          <w:lang w:eastAsia="en-IN"/>
        </w:rPr>
        <w:t>mg/l</w:t>
      </w:r>
      <w:r w:rsidR="00F85CF8" w:rsidRPr="00704BE6">
        <w:rPr>
          <w:rFonts w:ascii="Arial" w:hAnsi="Arial" w:cs="Arial"/>
          <w:bCs/>
          <w:color w:val="000000"/>
          <w:lang w:eastAsia="en-IN"/>
        </w:rPr>
        <w:t xml:space="preserve"> </w:t>
      </w:r>
      <w:r w:rsidRPr="00704BE6">
        <w:rPr>
          <w:rFonts w:ascii="Arial" w:hAnsi="Arial" w:cs="Arial"/>
          <w:bCs/>
          <w:color w:val="000000"/>
          <w:lang w:eastAsia="en-IN"/>
        </w:rPr>
        <w:t xml:space="preserve">of Zn, however, </w:t>
      </w:r>
      <w:r w:rsidRPr="000B1A6D">
        <w:rPr>
          <w:rFonts w:ascii="Arial" w:hAnsi="Arial" w:cs="Arial"/>
          <w:bCs/>
          <w:lang w:eastAsia="en-IN"/>
        </w:rPr>
        <w:t xml:space="preserve">inhibition </w:t>
      </w:r>
      <w:r w:rsidR="008B1418" w:rsidRPr="000B1A6D">
        <w:rPr>
          <w:rFonts w:ascii="Arial" w:hAnsi="Arial" w:cs="Arial"/>
          <w:bCs/>
          <w:lang w:eastAsia="en-IN"/>
        </w:rPr>
        <w:t xml:space="preserve">was </w:t>
      </w:r>
      <w:r w:rsidRPr="000B1A6D">
        <w:rPr>
          <w:rFonts w:ascii="Arial" w:hAnsi="Arial" w:cs="Arial"/>
          <w:bCs/>
          <w:lang w:eastAsia="en-IN"/>
        </w:rPr>
        <w:t xml:space="preserve">observed beyond 1.00 </w:t>
      </w:r>
      <w:r w:rsidR="00F0271D">
        <w:rPr>
          <w:rFonts w:ascii="Arial" w:hAnsi="Arial" w:cs="Arial"/>
          <w:bCs/>
          <w:lang w:eastAsia="en-IN"/>
        </w:rPr>
        <w:t>mg/l</w:t>
      </w:r>
      <w:r w:rsidRPr="000B1A6D">
        <w:rPr>
          <w:rFonts w:ascii="Arial" w:hAnsi="Arial" w:cs="Arial"/>
          <w:bCs/>
          <w:lang w:eastAsia="en-IN"/>
        </w:rPr>
        <w:t xml:space="preserve"> Zn (reduction in chlorophyll content at 2.00 </w:t>
      </w:r>
      <w:r w:rsidR="00F0271D">
        <w:rPr>
          <w:rFonts w:ascii="Arial" w:hAnsi="Arial" w:cs="Arial"/>
          <w:bCs/>
          <w:lang w:eastAsia="en-IN"/>
        </w:rPr>
        <w:t>mg/l</w:t>
      </w:r>
      <w:r w:rsidRPr="000B1A6D">
        <w:rPr>
          <w:rFonts w:ascii="Arial" w:hAnsi="Arial" w:cs="Arial"/>
          <w:bCs/>
          <w:lang w:eastAsia="en-IN"/>
        </w:rPr>
        <w:t xml:space="preserve">) (Fig.1). </w:t>
      </w:r>
      <w:r w:rsidR="004A7276" w:rsidRPr="000B1A6D">
        <w:rPr>
          <w:rFonts w:ascii="Arial" w:hAnsi="Arial" w:cs="Arial"/>
          <w:bCs/>
          <w:lang w:eastAsia="en-IN"/>
        </w:rPr>
        <w:t>Further, t</w:t>
      </w:r>
      <w:r w:rsidR="00061023" w:rsidRPr="000B1A6D">
        <w:rPr>
          <w:rFonts w:ascii="Arial" w:hAnsi="Arial" w:cs="Arial"/>
          <w:bCs/>
          <w:lang w:eastAsia="en-IN"/>
        </w:rPr>
        <w:t>he results</w:t>
      </w:r>
      <w:r w:rsidR="004A7276" w:rsidRPr="000B1A6D">
        <w:rPr>
          <w:rFonts w:ascii="Arial" w:hAnsi="Arial" w:cs="Arial"/>
          <w:bCs/>
          <w:lang w:eastAsia="en-IN"/>
        </w:rPr>
        <w:t xml:space="preserve"> also</w:t>
      </w:r>
      <w:r w:rsidR="00061023" w:rsidRPr="000B1A6D">
        <w:rPr>
          <w:rFonts w:ascii="Arial" w:hAnsi="Arial" w:cs="Arial"/>
          <w:bCs/>
          <w:lang w:eastAsia="en-IN"/>
        </w:rPr>
        <w:t xml:space="preserve"> indicated that top-dressing at 14</w:t>
      </w:r>
      <w:r w:rsidR="00061023" w:rsidRPr="000B1A6D">
        <w:rPr>
          <w:rFonts w:ascii="Arial" w:hAnsi="Arial" w:cs="Arial"/>
          <w:bCs/>
          <w:vertAlign w:val="superscript"/>
          <w:lang w:eastAsia="en-IN"/>
        </w:rPr>
        <w:t>th</w:t>
      </w:r>
      <w:r w:rsidR="00061023" w:rsidRPr="000B1A6D">
        <w:rPr>
          <w:rFonts w:ascii="Arial" w:hAnsi="Arial" w:cs="Arial"/>
          <w:bCs/>
          <w:lang w:eastAsia="en-IN"/>
        </w:rPr>
        <w:t xml:space="preserve"> day with equal dose of Zn further enhanced the chlorophyll-a content in lower doses of Zn however, at higher doses there was </w:t>
      </w:r>
      <w:r w:rsidR="004A7276" w:rsidRPr="000B1A6D">
        <w:rPr>
          <w:rFonts w:ascii="Arial" w:hAnsi="Arial" w:cs="Arial"/>
          <w:bCs/>
          <w:lang w:eastAsia="en-IN"/>
        </w:rPr>
        <w:t xml:space="preserve">significant reduction (Fig. 2). </w:t>
      </w:r>
      <w:r w:rsidR="00061023" w:rsidRPr="000B1A6D">
        <w:rPr>
          <w:rFonts w:ascii="Arial" w:hAnsi="Arial" w:cs="Arial"/>
          <w:bCs/>
          <w:lang w:eastAsia="en-IN"/>
        </w:rPr>
        <w:t xml:space="preserve">The reduction was observed even at 1.00 </w:t>
      </w:r>
      <w:r w:rsidR="00F0271D">
        <w:rPr>
          <w:rFonts w:ascii="Arial" w:hAnsi="Arial" w:cs="Arial"/>
          <w:bCs/>
          <w:lang w:eastAsia="en-IN"/>
        </w:rPr>
        <w:t>mg/l</w:t>
      </w:r>
      <w:r w:rsidR="00061023" w:rsidRPr="000B1A6D">
        <w:rPr>
          <w:rFonts w:ascii="Arial" w:hAnsi="Arial" w:cs="Arial"/>
          <w:bCs/>
          <w:lang w:eastAsia="en-IN"/>
        </w:rPr>
        <w:t xml:space="preserve"> Zn indic</w:t>
      </w:r>
      <w:r w:rsidR="004A7276" w:rsidRPr="000B1A6D">
        <w:rPr>
          <w:rFonts w:ascii="Arial" w:hAnsi="Arial" w:cs="Arial"/>
          <w:bCs/>
          <w:lang w:eastAsia="en-IN"/>
        </w:rPr>
        <w:t>a</w:t>
      </w:r>
      <w:r w:rsidR="00061023" w:rsidRPr="000B1A6D">
        <w:rPr>
          <w:rFonts w:ascii="Arial" w:hAnsi="Arial" w:cs="Arial"/>
          <w:bCs/>
          <w:lang w:eastAsia="en-IN"/>
        </w:rPr>
        <w:t xml:space="preserve">ting 1.00 </w:t>
      </w:r>
      <w:r w:rsidR="003033AE" w:rsidRPr="000B1A6D">
        <w:rPr>
          <w:rFonts w:ascii="Arial" w:hAnsi="Arial" w:cs="Arial"/>
          <w:bCs/>
          <w:lang w:eastAsia="en-IN"/>
        </w:rPr>
        <w:t>mg/l</w:t>
      </w:r>
      <w:r w:rsidR="00061023" w:rsidRPr="000B1A6D">
        <w:rPr>
          <w:rFonts w:ascii="Arial" w:hAnsi="Arial" w:cs="Arial"/>
          <w:bCs/>
          <w:lang w:eastAsia="en-IN"/>
        </w:rPr>
        <w:t xml:space="preserve"> as optimum level</w:t>
      </w:r>
      <w:r w:rsidR="004A7276" w:rsidRPr="000B1A6D">
        <w:rPr>
          <w:rFonts w:ascii="Arial" w:hAnsi="Arial" w:cs="Arial"/>
          <w:bCs/>
          <w:lang w:eastAsia="en-IN"/>
        </w:rPr>
        <w:t xml:space="preserve"> in controlled soil less system</w:t>
      </w:r>
      <w:r w:rsidR="00061023" w:rsidRPr="000B1A6D">
        <w:rPr>
          <w:rFonts w:ascii="Arial" w:hAnsi="Arial" w:cs="Arial"/>
          <w:bCs/>
          <w:lang w:eastAsia="en-IN"/>
        </w:rPr>
        <w:t>.</w:t>
      </w:r>
      <w:r w:rsidR="00F0271D">
        <w:rPr>
          <w:rFonts w:ascii="Arial" w:hAnsi="Arial" w:cs="Arial"/>
          <w:lang w:eastAsia="en-IN"/>
        </w:rPr>
        <w:tab/>
      </w:r>
    </w:p>
    <w:p w14:paraId="2750F4C9" w14:textId="77777777" w:rsidR="00125FB9" w:rsidRPr="00704BE6" w:rsidRDefault="00125FB9" w:rsidP="00704BE6">
      <w:pPr>
        <w:pStyle w:val="ListParagraph"/>
        <w:autoSpaceDE w:val="0"/>
        <w:autoSpaceDN w:val="0"/>
        <w:adjustRightInd w:val="0"/>
        <w:spacing w:before="120" w:after="120" w:line="240" w:lineRule="auto"/>
        <w:ind w:left="0"/>
        <w:contextualSpacing w:val="0"/>
        <w:jc w:val="center"/>
        <w:rPr>
          <w:rFonts w:ascii="Arial" w:hAnsi="Arial" w:cs="Arial"/>
          <w:bCs/>
          <w:color w:val="000000"/>
          <w:sz w:val="20"/>
          <w:szCs w:val="20"/>
          <w:lang w:eastAsia="en-IN"/>
        </w:rPr>
      </w:pPr>
      <w:r w:rsidRPr="00704BE6">
        <w:rPr>
          <w:rFonts w:ascii="Arial" w:hAnsi="Arial" w:cs="Arial"/>
          <w:bCs/>
          <w:noProof/>
          <w:color w:val="000000"/>
          <w:sz w:val="20"/>
          <w:szCs w:val="20"/>
          <w:lang w:eastAsia="en-IN" w:bidi="hi-IN"/>
        </w:rPr>
        <w:lastRenderedPageBreak/>
        <w:drawing>
          <wp:inline distT="0" distB="0" distL="0" distR="0" wp14:anchorId="7DE22E24" wp14:editId="691118E1">
            <wp:extent cx="3971290" cy="1906438"/>
            <wp:effectExtent l="0" t="0" r="10160"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B9909" w14:textId="77777777" w:rsidR="00125FB9" w:rsidRPr="00704BE6" w:rsidRDefault="00125FB9" w:rsidP="00704BE6">
      <w:pPr>
        <w:autoSpaceDE w:val="0"/>
        <w:autoSpaceDN w:val="0"/>
        <w:adjustRightInd w:val="0"/>
        <w:spacing w:before="120" w:after="120"/>
        <w:ind w:left="616" w:hanging="616"/>
        <w:rPr>
          <w:rFonts w:ascii="Arial" w:hAnsi="Arial" w:cs="Arial"/>
          <w:b/>
          <w:bCs/>
          <w:color w:val="000000"/>
          <w:lang w:eastAsia="en-IN"/>
        </w:rPr>
      </w:pPr>
      <w:r w:rsidRPr="00704BE6">
        <w:rPr>
          <w:rFonts w:ascii="Arial" w:hAnsi="Arial" w:cs="Arial"/>
          <w:b/>
          <w:bCs/>
          <w:color w:val="000000"/>
          <w:lang w:eastAsia="en-IN"/>
        </w:rPr>
        <w:t xml:space="preserve">Fig 1: </w:t>
      </w:r>
      <w:r w:rsidR="004A7276" w:rsidRPr="00704BE6">
        <w:rPr>
          <w:rFonts w:ascii="Arial" w:hAnsi="Arial" w:cs="Arial"/>
          <w:b/>
          <w:bCs/>
          <w:color w:val="000000"/>
          <w:lang w:eastAsia="en-IN"/>
        </w:rPr>
        <w:t xml:space="preserve">Effect of </w:t>
      </w:r>
      <w:r w:rsidRPr="00704BE6">
        <w:rPr>
          <w:rFonts w:ascii="Arial" w:hAnsi="Arial" w:cs="Arial"/>
          <w:b/>
          <w:bCs/>
          <w:color w:val="000000"/>
          <w:lang w:eastAsia="en-IN"/>
        </w:rPr>
        <w:t xml:space="preserve">Zn treatments </w:t>
      </w:r>
      <w:r w:rsidR="004A7276" w:rsidRPr="00704BE6">
        <w:rPr>
          <w:rFonts w:ascii="Arial" w:hAnsi="Arial" w:cs="Arial"/>
          <w:b/>
          <w:bCs/>
          <w:color w:val="000000"/>
          <w:lang w:eastAsia="en-IN"/>
        </w:rPr>
        <w:t>on</w:t>
      </w:r>
      <w:r w:rsidRPr="00704BE6">
        <w:rPr>
          <w:rFonts w:ascii="Arial" w:hAnsi="Arial" w:cs="Arial"/>
          <w:b/>
          <w:bCs/>
          <w:color w:val="000000"/>
          <w:lang w:eastAsia="en-IN"/>
        </w:rPr>
        <w:t xml:space="preserve"> Chlorophyll a concentration</w:t>
      </w:r>
      <w:r w:rsidR="004A7276" w:rsidRPr="00704BE6">
        <w:rPr>
          <w:rFonts w:ascii="Arial" w:hAnsi="Arial" w:cs="Arial"/>
          <w:b/>
          <w:bCs/>
          <w:color w:val="000000"/>
          <w:lang w:eastAsia="en-IN"/>
        </w:rPr>
        <w:t xml:space="preserve"> in plankton (without top dressing)</w:t>
      </w:r>
    </w:p>
    <w:p w14:paraId="08BADC31" w14:textId="77777777" w:rsidR="005A64D2" w:rsidRPr="00704BE6" w:rsidRDefault="005A64D2" w:rsidP="00704BE6">
      <w:pPr>
        <w:pStyle w:val="ListParagraph"/>
        <w:autoSpaceDE w:val="0"/>
        <w:autoSpaceDN w:val="0"/>
        <w:adjustRightInd w:val="0"/>
        <w:spacing w:before="120" w:after="120" w:line="240" w:lineRule="auto"/>
        <w:ind w:left="0"/>
        <w:contextualSpacing w:val="0"/>
        <w:jc w:val="center"/>
        <w:rPr>
          <w:rFonts w:ascii="Arial" w:hAnsi="Arial" w:cs="Arial"/>
          <w:b/>
          <w:bCs/>
          <w:color w:val="000000"/>
          <w:sz w:val="20"/>
          <w:szCs w:val="20"/>
          <w:lang w:eastAsia="en-IN"/>
        </w:rPr>
      </w:pPr>
      <w:r w:rsidRPr="00704BE6">
        <w:rPr>
          <w:rFonts w:ascii="Arial" w:hAnsi="Arial" w:cs="Arial"/>
          <w:noProof/>
          <w:sz w:val="20"/>
          <w:szCs w:val="20"/>
          <w:lang w:eastAsia="en-IN" w:bidi="hi-IN"/>
        </w:rPr>
        <w:drawing>
          <wp:inline distT="0" distB="0" distL="0" distR="0" wp14:anchorId="4FF46F0A" wp14:editId="6F54C3C6">
            <wp:extent cx="4001135" cy="1846053"/>
            <wp:effectExtent l="0" t="0" r="1841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9E0930" w14:textId="77777777" w:rsidR="00125FB9" w:rsidRPr="00704BE6" w:rsidRDefault="00125FB9" w:rsidP="00704BE6">
      <w:pPr>
        <w:autoSpaceDE w:val="0"/>
        <w:autoSpaceDN w:val="0"/>
        <w:adjustRightInd w:val="0"/>
        <w:spacing w:before="120" w:after="120"/>
        <w:jc w:val="both"/>
        <w:rPr>
          <w:rFonts w:ascii="Arial" w:hAnsi="Arial" w:cs="Arial"/>
          <w:b/>
          <w:bCs/>
          <w:color w:val="000000"/>
          <w:lang w:eastAsia="en-IN"/>
        </w:rPr>
      </w:pPr>
      <w:r w:rsidRPr="00704BE6">
        <w:rPr>
          <w:rFonts w:ascii="Arial" w:hAnsi="Arial" w:cs="Arial"/>
          <w:b/>
          <w:bCs/>
          <w:color w:val="000000"/>
          <w:lang w:eastAsia="en-IN"/>
        </w:rPr>
        <w:t>Fig</w:t>
      </w:r>
      <w:r w:rsidR="004A7276" w:rsidRPr="00704BE6">
        <w:rPr>
          <w:rFonts w:ascii="Arial" w:hAnsi="Arial" w:cs="Arial"/>
          <w:b/>
          <w:bCs/>
          <w:color w:val="000000"/>
          <w:lang w:eastAsia="en-IN"/>
        </w:rPr>
        <w:t>.</w:t>
      </w:r>
      <w:r w:rsidRPr="00704BE6">
        <w:rPr>
          <w:rFonts w:ascii="Arial" w:hAnsi="Arial" w:cs="Arial"/>
          <w:b/>
          <w:bCs/>
          <w:color w:val="000000"/>
          <w:lang w:eastAsia="en-IN"/>
        </w:rPr>
        <w:t xml:space="preserve"> </w:t>
      </w:r>
      <w:r w:rsidR="004A7276" w:rsidRPr="00704BE6">
        <w:rPr>
          <w:rFonts w:ascii="Arial" w:hAnsi="Arial" w:cs="Arial"/>
          <w:b/>
          <w:bCs/>
          <w:color w:val="000000"/>
          <w:lang w:eastAsia="en-IN"/>
        </w:rPr>
        <w:t>2.</w:t>
      </w:r>
      <w:r w:rsidRPr="00704BE6">
        <w:rPr>
          <w:rFonts w:ascii="Arial" w:hAnsi="Arial" w:cs="Arial"/>
          <w:b/>
          <w:bCs/>
          <w:color w:val="000000"/>
          <w:lang w:eastAsia="en-IN"/>
        </w:rPr>
        <w:t xml:space="preserve"> Zn treatments vs Chlorophyll a concentration (top-dressing at 1</w:t>
      </w:r>
      <w:r w:rsidR="004A7276" w:rsidRPr="00704BE6">
        <w:rPr>
          <w:rFonts w:ascii="Arial" w:hAnsi="Arial" w:cs="Arial"/>
          <w:b/>
          <w:bCs/>
          <w:color w:val="000000"/>
          <w:lang w:eastAsia="en-IN"/>
        </w:rPr>
        <w:t>4</w:t>
      </w:r>
      <w:r w:rsidRPr="00704BE6">
        <w:rPr>
          <w:rFonts w:ascii="Arial" w:hAnsi="Arial" w:cs="Arial"/>
          <w:b/>
          <w:bCs/>
          <w:color w:val="000000"/>
          <w:vertAlign w:val="superscript"/>
          <w:lang w:eastAsia="en-IN"/>
        </w:rPr>
        <w:t>th</w:t>
      </w:r>
      <w:r w:rsidRPr="00704BE6">
        <w:rPr>
          <w:rFonts w:ascii="Arial" w:hAnsi="Arial" w:cs="Arial"/>
          <w:b/>
          <w:bCs/>
          <w:color w:val="000000"/>
          <w:lang w:eastAsia="en-IN"/>
        </w:rPr>
        <w:t xml:space="preserve"> day)</w:t>
      </w:r>
    </w:p>
    <w:p w14:paraId="60D3318E" w14:textId="3FCC6C15" w:rsidR="000B08A7" w:rsidRPr="000B1A6D" w:rsidRDefault="000B08A7" w:rsidP="00704BE6">
      <w:pPr>
        <w:spacing w:after="240"/>
        <w:jc w:val="both"/>
        <w:rPr>
          <w:rFonts w:ascii="Arial" w:hAnsi="Arial" w:cs="Arial"/>
        </w:rPr>
      </w:pPr>
      <w:r w:rsidRPr="000B6E36">
        <w:rPr>
          <w:rFonts w:ascii="Arial" w:hAnsi="Arial" w:cs="Arial"/>
        </w:rPr>
        <w:t>Zinc</w:t>
      </w:r>
      <w:r w:rsidR="000B6E36" w:rsidRPr="000B6E36">
        <w:rPr>
          <w:rFonts w:ascii="Arial" w:hAnsi="Arial" w:cs="Arial"/>
        </w:rPr>
        <w:t>, an essential element for primary productivity</w:t>
      </w:r>
      <w:r w:rsidRPr="000B6E36">
        <w:rPr>
          <w:rFonts w:ascii="Arial" w:hAnsi="Arial" w:cs="Arial"/>
        </w:rPr>
        <w:t xml:space="preserve"> has been reported as potential limitation for growth of dominant planktons (Morel </w:t>
      </w:r>
      <w:r w:rsidR="00032AC4" w:rsidRPr="000B6E36">
        <w:rPr>
          <w:rFonts w:ascii="Arial" w:hAnsi="Arial" w:cs="Arial"/>
          <w:i/>
          <w:iCs/>
        </w:rPr>
        <w:t>et al.</w:t>
      </w:r>
      <w:r w:rsidRPr="000B6E36">
        <w:rPr>
          <w:rFonts w:ascii="Arial" w:hAnsi="Arial" w:cs="Arial"/>
        </w:rPr>
        <w:t xml:space="preserve"> 1994; Chappell </w:t>
      </w:r>
      <w:r w:rsidR="00032AC4" w:rsidRPr="000B6E36">
        <w:rPr>
          <w:rFonts w:ascii="Arial" w:hAnsi="Arial" w:cs="Arial"/>
          <w:i/>
          <w:iCs/>
        </w:rPr>
        <w:t>et al.</w:t>
      </w:r>
      <w:r w:rsidRPr="000B6E36">
        <w:rPr>
          <w:rFonts w:ascii="Arial" w:hAnsi="Arial" w:cs="Arial"/>
        </w:rPr>
        <w:t xml:space="preserve"> 2016; Crawford </w:t>
      </w:r>
      <w:r w:rsidR="00032AC4" w:rsidRPr="000B6E36">
        <w:rPr>
          <w:rFonts w:ascii="Arial" w:hAnsi="Arial" w:cs="Arial"/>
          <w:i/>
          <w:iCs/>
        </w:rPr>
        <w:t>et al.</w:t>
      </w:r>
      <w:r w:rsidRPr="000B6E36">
        <w:rPr>
          <w:rFonts w:ascii="Arial" w:hAnsi="Arial" w:cs="Arial"/>
          <w:i/>
          <w:iCs/>
        </w:rPr>
        <w:t xml:space="preserve"> </w:t>
      </w:r>
      <w:r w:rsidR="000B6E36" w:rsidRPr="000B6E36">
        <w:rPr>
          <w:rFonts w:ascii="Arial" w:hAnsi="Arial" w:cs="Arial"/>
        </w:rPr>
        <w:t xml:space="preserve">2003) as low </w:t>
      </w:r>
      <w:r w:rsidRPr="000B6E36">
        <w:rPr>
          <w:rFonts w:ascii="Arial" w:hAnsi="Arial" w:cs="Arial"/>
        </w:rPr>
        <w:t>availability of free Zn</w:t>
      </w:r>
      <w:r w:rsidRPr="000B6E36">
        <w:rPr>
          <w:rFonts w:ascii="Arial" w:hAnsi="Arial" w:cs="Arial"/>
          <w:vertAlign w:val="superscript"/>
        </w:rPr>
        <w:t>2+</w:t>
      </w:r>
      <w:r w:rsidRPr="000B6E36">
        <w:rPr>
          <w:rFonts w:ascii="Arial" w:hAnsi="Arial" w:cs="Arial"/>
        </w:rPr>
        <w:t xml:space="preserve"> ion in water restricts phytoplankton growth</w:t>
      </w:r>
      <w:r w:rsidR="000B6E36" w:rsidRPr="000B6E36">
        <w:rPr>
          <w:rFonts w:ascii="Arial" w:hAnsi="Arial" w:cs="Arial"/>
        </w:rPr>
        <w:t xml:space="preserve"> </w:t>
      </w:r>
      <w:r w:rsidRPr="000B6E36">
        <w:rPr>
          <w:rFonts w:ascii="Arial" w:hAnsi="Arial" w:cs="Arial"/>
        </w:rPr>
        <w:t xml:space="preserve">(Brand </w:t>
      </w:r>
      <w:r w:rsidR="00032AC4" w:rsidRPr="000B6E36">
        <w:rPr>
          <w:rFonts w:ascii="Arial" w:hAnsi="Arial" w:cs="Arial"/>
          <w:i/>
          <w:iCs/>
        </w:rPr>
        <w:t>et al.</w:t>
      </w:r>
      <w:r w:rsidRPr="000B6E36">
        <w:rPr>
          <w:rFonts w:ascii="Arial" w:hAnsi="Arial" w:cs="Arial"/>
        </w:rPr>
        <w:t xml:space="preserve"> 1983). </w:t>
      </w:r>
      <w:r w:rsidRPr="000B1A6D">
        <w:rPr>
          <w:rFonts w:ascii="Arial" w:hAnsi="Arial" w:cs="Arial"/>
        </w:rPr>
        <w:t xml:space="preserve">In low Zn waters, application of Zn even through soil enhanced plankton biomass in freshwater aquaculture (Adhikari &amp; Ayyappan, 2004).  </w:t>
      </w:r>
      <w:proofErr w:type="spellStart"/>
      <w:r w:rsidRPr="000B1A6D">
        <w:rPr>
          <w:rFonts w:ascii="Arial" w:hAnsi="Arial" w:cs="Arial"/>
          <w:shd w:val="clear" w:color="auto" w:fill="FFFFFF"/>
        </w:rPr>
        <w:t>Barlaya</w:t>
      </w:r>
      <w:proofErr w:type="spellEnd"/>
      <w:r w:rsidRPr="000B1A6D">
        <w:rPr>
          <w:rFonts w:ascii="Arial" w:hAnsi="Arial" w:cs="Arial"/>
          <w:shd w:val="clear" w:color="auto" w:fill="FFFFFF"/>
        </w:rPr>
        <w:t xml:space="preserve"> </w:t>
      </w:r>
      <w:r w:rsidR="00032AC4" w:rsidRPr="000B1A6D">
        <w:rPr>
          <w:rFonts w:ascii="Arial" w:hAnsi="Arial" w:cs="Arial"/>
          <w:i/>
          <w:iCs/>
          <w:shd w:val="clear" w:color="auto" w:fill="FFFFFF"/>
        </w:rPr>
        <w:t>et al.</w:t>
      </w:r>
      <w:r w:rsidRPr="000B1A6D">
        <w:rPr>
          <w:rFonts w:ascii="Arial" w:hAnsi="Arial" w:cs="Arial"/>
          <w:i/>
          <w:iCs/>
          <w:shd w:val="clear" w:color="auto" w:fill="FFFFFF"/>
        </w:rPr>
        <w:t xml:space="preserve"> </w:t>
      </w:r>
      <w:r w:rsidRPr="000B1A6D">
        <w:rPr>
          <w:rFonts w:ascii="Arial" w:hAnsi="Arial" w:cs="Arial"/>
          <w:shd w:val="clear" w:color="auto" w:fill="FFFFFF"/>
        </w:rPr>
        <w:t>(2023)</w:t>
      </w:r>
      <w:r w:rsidRPr="000B1A6D">
        <w:rPr>
          <w:rFonts w:ascii="Arial" w:hAnsi="Arial" w:cs="Arial"/>
        </w:rPr>
        <w:t xml:space="preserve"> have also reported that supplementation of micro-nutrients to the culture system affects the taxonomic quality of plankton produced. The supply of Zn seems to stimulate growth of smaller cells and increases the proportion of chlorophyll within the small fraction (Crawford </w:t>
      </w:r>
      <w:r w:rsidR="00032AC4" w:rsidRPr="000B1A6D">
        <w:rPr>
          <w:rFonts w:ascii="Arial" w:hAnsi="Arial" w:cs="Arial"/>
          <w:i/>
          <w:iCs/>
        </w:rPr>
        <w:t>et al.</w:t>
      </w:r>
      <w:r w:rsidRPr="000B1A6D">
        <w:rPr>
          <w:rFonts w:ascii="Arial" w:hAnsi="Arial" w:cs="Arial"/>
          <w:i/>
          <w:iCs/>
        </w:rPr>
        <w:t xml:space="preserve"> </w:t>
      </w:r>
      <w:r w:rsidRPr="000B1A6D">
        <w:rPr>
          <w:rFonts w:ascii="Arial" w:hAnsi="Arial" w:cs="Arial"/>
        </w:rPr>
        <w:t>2003).</w:t>
      </w:r>
    </w:p>
    <w:p w14:paraId="2120FA7E" w14:textId="5ECF5F0A" w:rsidR="002160CF" w:rsidRPr="0079280B" w:rsidRDefault="002160CF" w:rsidP="00704BE6">
      <w:pPr>
        <w:pStyle w:val="Head1"/>
        <w:spacing w:after="0"/>
        <w:ind w:left="420" w:hanging="420"/>
        <w:jc w:val="both"/>
        <w:rPr>
          <w:rFonts w:ascii="Arial" w:hAnsi="Arial" w:cs="Arial"/>
          <w:szCs w:val="22"/>
        </w:rPr>
      </w:pPr>
      <w:r w:rsidRPr="0079280B">
        <w:rPr>
          <w:rFonts w:ascii="Arial" w:hAnsi="Arial" w:cs="Arial"/>
          <w:szCs w:val="22"/>
        </w:rPr>
        <w:t xml:space="preserve">3.2 </w:t>
      </w:r>
      <w:r w:rsidR="006551E6" w:rsidRPr="0079280B">
        <w:rPr>
          <w:rFonts w:ascii="Arial" w:hAnsi="Arial" w:cs="Arial"/>
          <w:szCs w:val="22"/>
        </w:rPr>
        <w:t>Effect of Z</w:t>
      </w:r>
      <w:r w:rsidR="002C4C3A" w:rsidRPr="002C4C3A">
        <w:rPr>
          <w:rFonts w:ascii="Arial" w:hAnsi="Arial" w:cs="Arial"/>
          <w:caps w:val="0"/>
          <w:szCs w:val="22"/>
        </w:rPr>
        <w:t>n</w:t>
      </w:r>
      <w:r w:rsidR="006551E6" w:rsidRPr="0079280B">
        <w:rPr>
          <w:rFonts w:ascii="Arial" w:hAnsi="Arial" w:cs="Arial"/>
          <w:szCs w:val="22"/>
        </w:rPr>
        <w:t xml:space="preserve"> Application on Rohu Fry</w:t>
      </w:r>
    </w:p>
    <w:p w14:paraId="09366874" w14:textId="77777777" w:rsidR="006551E6" w:rsidRPr="0079280B" w:rsidRDefault="006551E6" w:rsidP="006551E6">
      <w:pPr>
        <w:autoSpaceDE w:val="0"/>
        <w:autoSpaceDN w:val="0"/>
        <w:adjustRightInd w:val="0"/>
        <w:spacing w:before="120" w:after="120"/>
        <w:jc w:val="both"/>
        <w:rPr>
          <w:rFonts w:ascii="Arial" w:hAnsi="Arial" w:cs="Arial"/>
          <w:b/>
          <w:bCs/>
        </w:rPr>
      </w:pPr>
      <w:r w:rsidRPr="0079280B">
        <w:rPr>
          <w:rFonts w:ascii="Arial" w:hAnsi="Arial" w:cs="Arial"/>
          <w:b/>
          <w:bCs/>
        </w:rPr>
        <w:t>Higher Concentrations</w:t>
      </w:r>
    </w:p>
    <w:p w14:paraId="0751D1DB" w14:textId="629B0B1D" w:rsidR="00E82FE6" w:rsidRPr="006551E6" w:rsidRDefault="00E82FE6" w:rsidP="006551E6">
      <w:pPr>
        <w:autoSpaceDE w:val="0"/>
        <w:autoSpaceDN w:val="0"/>
        <w:adjustRightInd w:val="0"/>
        <w:spacing w:before="120" w:after="120"/>
        <w:jc w:val="both"/>
        <w:rPr>
          <w:rFonts w:ascii="Arial" w:hAnsi="Arial" w:cs="Arial"/>
          <w:b/>
          <w:bCs/>
          <w:i/>
          <w:iCs/>
        </w:rPr>
      </w:pPr>
      <w:r w:rsidRPr="00F02432">
        <w:rPr>
          <w:rFonts w:ascii="Arial" w:hAnsi="Arial" w:cs="Arial"/>
          <w:bCs/>
          <w:lang w:eastAsia="en-IN"/>
        </w:rPr>
        <w:t xml:space="preserve">The results of 5 weeks’ study on effect of Zn application revealed a clear dose-dependent negative impact of Zn on survival and growth of rohu fry performance (Table 2). Survival rate (%) of fry significantly decreased (92.08% in the control group) with increase in Zn dose (36.88% at 2.00 </w:t>
      </w:r>
      <w:r w:rsidR="00F0271D">
        <w:rPr>
          <w:rFonts w:ascii="Arial" w:hAnsi="Arial" w:cs="Arial"/>
          <w:bCs/>
          <w:lang w:eastAsia="en-IN"/>
        </w:rPr>
        <w:t>mg/l</w:t>
      </w:r>
      <w:r w:rsidRPr="00F02432">
        <w:rPr>
          <w:rFonts w:ascii="Arial" w:hAnsi="Arial" w:cs="Arial"/>
          <w:bCs/>
          <w:lang w:eastAsia="en-IN"/>
        </w:rPr>
        <w:t xml:space="preserve"> Zn). Similarly, mean final weight (mg) and weight gain (mg) declined sharply with increasing Zn concentration. The weight gain recorded under control, 0.50, 1.00, 1.50 and 2.00 </w:t>
      </w:r>
      <w:r w:rsidR="00F0271D">
        <w:rPr>
          <w:rFonts w:ascii="Arial" w:hAnsi="Arial" w:cs="Arial"/>
          <w:bCs/>
          <w:lang w:eastAsia="en-IN"/>
        </w:rPr>
        <w:t>mg/l</w:t>
      </w:r>
      <w:r w:rsidRPr="00F02432">
        <w:rPr>
          <w:rFonts w:ascii="Arial" w:hAnsi="Arial" w:cs="Arial"/>
          <w:bCs/>
          <w:lang w:eastAsia="en-IN"/>
        </w:rPr>
        <w:t xml:space="preserve"> </w:t>
      </w:r>
      <w:proofErr w:type="gramStart"/>
      <w:r w:rsidRPr="00F02432">
        <w:rPr>
          <w:rFonts w:ascii="Arial" w:hAnsi="Arial" w:cs="Arial"/>
          <w:bCs/>
          <w:lang w:eastAsia="en-IN"/>
        </w:rPr>
        <w:t>was</w:t>
      </w:r>
      <w:proofErr w:type="gramEnd"/>
      <w:r w:rsidRPr="00F02432">
        <w:rPr>
          <w:rFonts w:ascii="Arial" w:hAnsi="Arial" w:cs="Arial"/>
          <w:bCs/>
          <w:lang w:eastAsia="en-IN"/>
        </w:rPr>
        <w:t xml:space="preserve"> 128.4±4.8, 107.9±3.8, 76.7±4.0, 32.3±6.2 and 20.0±1.7 mg, respectively. Likewise, fry length at the harvest also showed declining trend which reflects low somatic growth with raise in Zn concentration in the water.</w:t>
      </w:r>
    </w:p>
    <w:p w14:paraId="5FD65C97" w14:textId="77777777" w:rsidR="002C4C3A" w:rsidRDefault="002C4C3A" w:rsidP="00704BE6">
      <w:pPr>
        <w:autoSpaceDE w:val="0"/>
        <w:autoSpaceDN w:val="0"/>
        <w:adjustRightInd w:val="0"/>
        <w:spacing w:before="120" w:after="120"/>
        <w:ind w:left="868" w:hanging="868"/>
        <w:jc w:val="both"/>
        <w:rPr>
          <w:rFonts w:ascii="Arial" w:hAnsi="Arial" w:cs="Arial"/>
          <w:b/>
          <w:bCs/>
        </w:rPr>
      </w:pPr>
    </w:p>
    <w:p w14:paraId="68EC7C5F" w14:textId="685D56C3" w:rsidR="00125FB9" w:rsidRPr="00704BE6" w:rsidRDefault="00125FB9" w:rsidP="00704BE6">
      <w:pPr>
        <w:autoSpaceDE w:val="0"/>
        <w:autoSpaceDN w:val="0"/>
        <w:adjustRightInd w:val="0"/>
        <w:spacing w:before="120" w:after="120"/>
        <w:ind w:left="868" w:hanging="868"/>
        <w:jc w:val="both"/>
        <w:rPr>
          <w:rFonts w:ascii="Arial" w:hAnsi="Arial" w:cs="Arial"/>
          <w:bCs/>
          <w:color w:val="000000"/>
          <w:lang w:eastAsia="en-IN"/>
        </w:rPr>
      </w:pPr>
      <w:r w:rsidRPr="00704BE6">
        <w:rPr>
          <w:rFonts w:ascii="Arial" w:hAnsi="Arial" w:cs="Arial"/>
          <w:b/>
          <w:bCs/>
        </w:rPr>
        <w:lastRenderedPageBreak/>
        <w:t xml:space="preserve">Table </w:t>
      </w:r>
      <w:r w:rsidR="005E0B44" w:rsidRPr="00704BE6">
        <w:rPr>
          <w:rFonts w:ascii="Arial" w:hAnsi="Arial" w:cs="Arial"/>
          <w:b/>
          <w:bCs/>
        </w:rPr>
        <w:t>2.</w:t>
      </w:r>
      <w:r w:rsidRPr="00704BE6">
        <w:rPr>
          <w:rFonts w:ascii="Arial" w:hAnsi="Arial" w:cs="Arial"/>
          <w:b/>
          <w:bCs/>
        </w:rPr>
        <w:t xml:space="preserve"> Effect of different concentrations of Zn on growth </w:t>
      </w:r>
      <w:r w:rsidR="005B3691" w:rsidRPr="00704BE6">
        <w:rPr>
          <w:rFonts w:ascii="Arial" w:hAnsi="Arial" w:cs="Arial"/>
          <w:b/>
          <w:bCs/>
        </w:rPr>
        <w:t>attributes (</w:t>
      </w:r>
      <w:proofErr w:type="spellStart"/>
      <w:r w:rsidR="005B3691" w:rsidRPr="00704BE6">
        <w:rPr>
          <w:rFonts w:ascii="Arial" w:hAnsi="Arial" w:cs="Arial"/>
          <w:b/>
          <w:bCs/>
        </w:rPr>
        <w:t>Mean±SEm</w:t>
      </w:r>
      <w:proofErr w:type="spellEnd"/>
      <w:r w:rsidR="005B3691" w:rsidRPr="00704BE6">
        <w:rPr>
          <w:rFonts w:ascii="Arial" w:hAnsi="Arial" w:cs="Arial"/>
          <w:b/>
          <w:bCs/>
        </w:rPr>
        <w:t xml:space="preserve">) of </w:t>
      </w:r>
      <w:r w:rsidR="005E0B44" w:rsidRPr="00704BE6">
        <w:rPr>
          <w:rFonts w:ascii="Arial" w:hAnsi="Arial" w:cs="Arial"/>
          <w:b/>
          <w:bCs/>
        </w:rPr>
        <w:t>rohu</w:t>
      </w:r>
      <w:r w:rsidR="005B3691" w:rsidRPr="00704BE6">
        <w:rPr>
          <w:rFonts w:ascii="Arial" w:hAnsi="Arial" w:cs="Arial"/>
          <w:b/>
          <w:bCs/>
        </w:rPr>
        <w:t xml:space="preserve"> </w:t>
      </w:r>
      <w:r w:rsidRPr="00704BE6">
        <w:rPr>
          <w:rFonts w:ascii="Arial" w:hAnsi="Arial" w:cs="Arial"/>
          <w:b/>
          <w:bCs/>
          <w:i/>
          <w:iCs/>
        </w:rPr>
        <w:t xml:space="preserve">L. </w:t>
      </w:r>
      <w:proofErr w:type="spellStart"/>
      <w:r w:rsidRPr="00704BE6">
        <w:rPr>
          <w:rFonts w:ascii="Arial" w:hAnsi="Arial" w:cs="Arial"/>
          <w:b/>
          <w:bCs/>
          <w:i/>
          <w:iCs/>
        </w:rPr>
        <w:t>rohita</w:t>
      </w:r>
      <w:proofErr w:type="spellEnd"/>
      <w:r w:rsidRPr="00704BE6">
        <w:rPr>
          <w:rFonts w:ascii="Arial" w:hAnsi="Arial" w:cs="Arial"/>
          <w:b/>
          <w:bCs/>
          <w:i/>
          <w:iCs/>
        </w:rPr>
        <w:t xml:space="preserve"> </w:t>
      </w:r>
      <w:r w:rsidRPr="00704BE6">
        <w:rPr>
          <w:rFonts w:ascii="Arial" w:hAnsi="Arial" w:cs="Arial"/>
          <w:b/>
          <w:bCs/>
        </w:rPr>
        <w:t>Fry</w:t>
      </w:r>
      <w:r w:rsidRPr="00704BE6">
        <w:rPr>
          <w:rFonts w:ascii="Arial" w:hAnsi="Arial" w:cs="Arial"/>
          <w:b/>
          <w:bCs/>
          <w:i/>
          <w:iCs/>
        </w:rPr>
        <w:t xml:space="preserve"> </w:t>
      </w:r>
      <w:r w:rsidRPr="00704BE6">
        <w:rPr>
          <w:rFonts w:ascii="Arial" w:hAnsi="Arial" w:cs="Arial"/>
          <w:b/>
          <w:bCs/>
        </w:rPr>
        <w:t>(</w:t>
      </w:r>
      <w:r w:rsidR="005B3691" w:rsidRPr="00704BE6">
        <w:rPr>
          <w:rFonts w:ascii="Arial" w:hAnsi="Arial" w:cs="Arial"/>
          <w:b/>
          <w:bCs/>
        </w:rPr>
        <w:t>after 5</w:t>
      </w:r>
      <w:r w:rsidRPr="00704BE6">
        <w:rPr>
          <w:rFonts w:ascii="Arial" w:hAnsi="Arial" w:cs="Arial"/>
          <w:b/>
          <w:bCs/>
        </w:rPr>
        <w:t xml:space="preserve"> weeks)</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57"/>
        <w:gridCol w:w="1287"/>
        <w:gridCol w:w="1402"/>
        <w:gridCol w:w="1141"/>
        <w:gridCol w:w="1258"/>
        <w:gridCol w:w="1253"/>
      </w:tblGrid>
      <w:tr w:rsidR="00B806EA" w:rsidRPr="00704BE6" w14:paraId="5F122703" w14:textId="77777777" w:rsidTr="00B806EA">
        <w:trPr>
          <w:trHeight w:val="20"/>
        </w:trPr>
        <w:tc>
          <w:tcPr>
            <w:tcW w:w="1133" w:type="pct"/>
            <w:hideMark/>
          </w:tcPr>
          <w:p w14:paraId="536C4318" w14:textId="00D60880" w:rsidR="005E0B44" w:rsidRPr="00704BE6" w:rsidRDefault="005E0B44" w:rsidP="00B21FB9">
            <w:pPr>
              <w:pStyle w:val="ListParagraph"/>
              <w:spacing w:after="0"/>
              <w:ind w:left="0"/>
              <w:rPr>
                <w:rFonts w:ascii="Arial" w:hAnsi="Arial" w:cs="Arial"/>
                <w:sz w:val="20"/>
                <w:szCs w:val="20"/>
              </w:rPr>
            </w:pPr>
            <w:r w:rsidRPr="00704BE6">
              <w:rPr>
                <w:rFonts w:ascii="Arial" w:hAnsi="Arial" w:cs="Arial"/>
                <w:b/>
                <w:bCs/>
                <w:sz w:val="20"/>
                <w:szCs w:val="20"/>
              </w:rPr>
              <w:t>Zn concentration (</w:t>
            </w:r>
            <w:r w:rsidR="00F0271D">
              <w:rPr>
                <w:rFonts w:ascii="Arial" w:hAnsi="Arial" w:cs="Arial"/>
                <w:b/>
                <w:bCs/>
                <w:sz w:val="20"/>
                <w:szCs w:val="20"/>
              </w:rPr>
              <w:t>mg/l</w:t>
            </w:r>
            <w:r w:rsidRPr="00704BE6">
              <w:rPr>
                <w:rFonts w:ascii="Arial" w:hAnsi="Arial" w:cs="Arial"/>
                <w:b/>
                <w:bCs/>
                <w:sz w:val="20"/>
                <w:szCs w:val="20"/>
              </w:rPr>
              <w:t>)</w:t>
            </w:r>
          </w:p>
        </w:tc>
        <w:tc>
          <w:tcPr>
            <w:tcW w:w="785" w:type="pct"/>
            <w:tcBorders>
              <w:bottom w:val="single" w:sz="4" w:space="0" w:color="auto"/>
            </w:tcBorders>
            <w:hideMark/>
          </w:tcPr>
          <w:p w14:paraId="7B56CFD9" w14:textId="77777777" w:rsidR="005E0B44" w:rsidRPr="00704BE6" w:rsidRDefault="005E0B44" w:rsidP="00B21FB9">
            <w:pPr>
              <w:pStyle w:val="ListParagraph"/>
              <w:spacing w:after="0"/>
              <w:ind w:left="-67" w:right="-11"/>
              <w:jc w:val="center"/>
              <w:rPr>
                <w:rFonts w:ascii="Arial" w:hAnsi="Arial" w:cs="Arial"/>
                <w:sz w:val="20"/>
                <w:szCs w:val="20"/>
              </w:rPr>
            </w:pPr>
            <w:proofErr w:type="gramStart"/>
            <w:r w:rsidRPr="00704BE6">
              <w:rPr>
                <w:rFonts w:ascii="Arial" w:hAnsi="Arial" w:cs="Arial"/>
                <w:b/>
                <w:bCs/>
                <w:sz w:val="20"/>
                <w:szCs w:val="20"/>
              </w:rPr>
              <w:t>Initial  weight</w:t>
            </w:r>
            <w:proofErr w:type="gramEnd"/>
            <w:r w:rsidRPr="00704BE6">
              <w:rPr>
                <w:rFonts w:ascii="Arial" w:hAnsi="Arial" w:cs="Arial"/>
                <w:b/>
                <w:bCs/>
                <w:sz w:val="20"/>
                <w:szCs w:val="20"/>
              </w:rPr>
              <w:t xml:space="preserve"> (mg)</w:t>
            </w:r>
          </w:p>
        </w:tc>
        <w:tc>
          <w:tcPr>
            <w:tcW w:w="855" w:type="pct"/>
            <w:hideMark/>
          </w:tcPr>
          <w:p w14:paraId="4C70B9C2" w14:textId="77777777" w:rsidR="005E0B44" w:rsidRPr="00704BE6" w:rsidRDefault="005E0B44" w:rsidP="00B21FB9">
            <w:pPr>
              <w:pStyle w:val="ListParagraph"/>
              <w:spacing w:after="0"/>
              <w:ind w:left="-31"/>
              <w:jc w:val="center"/>
              <w:rPr>
                <w:rFonts w:ascii="Arial" w:hAnsi="Arial" w:cs="Arial"/>
                <w:sz w:val="20"/>
                <w:szCs w:val="20"/>
              </w:rPr>
            </w:pPr>
            <w:r w:rsidRPr="00704BE6">
              <w:rPr>
                <w:rFonts w:ascii="Arial" w:hAnsi="Arial" w:cs="Arial"/>
                <w:b/>
                <w:bCs/>
                <w:sz w:val="20"/>
                <w:szCs w:val="20"/>
              </w:rPr>
              <w:t>Final weight (mg)</w:t>
            </w:r>
          </w:p>
        </w:tc>
        <w:tc>
          <w:tcPr>
            <w:tcW w:w="696" w:type="pct"/>
            <w:hideMark/>
          </w:tcPr>
          <w:p w14:paraId="1B93201F" w14:textId="77777777" w:rsidR="005E0B44" w:rsidRPr="00704BE6" w:rsidRDefault="005E0B44" w:rsidP="00B21FB9">
            <w:pPr>
              <w:pStyle w:val="ListParagraph"/>
              <w:spacing w:after="0"/>
              <w:ind w:left="-31"/>
              <w:jc w:val="center"/>
              <w:rPr>
                <w:rFonts w:ascii="Arial" w:hAnsi="Arial" w:cs="Arial"/>
                <w:b/>
                <w:bCs/>
                <w:sz w:val="20"/>
                <w:szCs w:val="20"/>
              </w:rPr>
            </w:pPr>
            <w:r w:rsidRPr="00704BE6">
              <w:rPr>
                <w:rFonts w:ascii="Arial" w:hAnsi="Arial" w:cs="Arial"/>
                <w:b/>
                <w:bCs/>
                <w:sz w:val="20"/>
                <w:szCs w:val="20"/>
              </w:rPr>
              <w:t>Weight gain (mg)</w:t>
            </w:r>
          </w:p>
        </w:tc>
        <w:tc>
          <w:tcPr>
            <w:tcW w:w="767" w:type="pct"/>
          </w:tcPr>
          <w:p w14:paraId="7643F42A" w14:textId="77777777" w:rsidR="005E0B44" w:rsidRPr="00704BE6" w:rsidRDefault="005E0B44" w:rsidP="00B21FB9">
            <w:pPr>
              <w:pStyle w:val="ListParagraph"/>
              <w:spacing w:after="0"/>
              <w:ind w:left="-84" w:right="-103"/>
              <w:jc w:val="center"/>
              <w:rPr>
                <w:rFonts w:ascii="Arial" w:hAnsi="Arial" w:cs="Arial"/>
                <w:b/>
                <w:bCs/>
                <w:sz w:val="20"/>
                <w:szCs w:val="20"/>
              </w:rPr>
            </w:pPr>
            <w:r w:rsidRPr="00704BE6">
              <w:rPr>
                <w:rFonts w:ascii="Arial" w:hAnsi="Arial" w:cs="Arial"/>
                <w:b/>
                <w:bCs/>
                <w:sz w:val="20"/>
                <w:szCs w:val="20"/>
              </w:rPr>
              <w:t>Length at harvest (cm)</w:t>
            </w:r>
          </w:p>
        </w:tc>
        <w:tc>
          <w:tcPr>
            <w:tcW w:w="764" w:type="pct"/>
          </w:tcPr>
          <w:p w14:paraId="27FAE439" w14:textId="77777777" w:rsidR="005E0B44" w:rsidRPr="00704BE6" w:rsidRDefault="005E0B44" w:rsidP="00B21FB9">
            <w:pPr>
              <w:pStyle w:val="ListParagraph"/>
              <w:spacing w:after="0"/>
              <w:ind w:left="-31"/>
              <w:jc w:val="center"/>
              <w:rPr>
                <w:rFonts w:ascii="Arial" w:hAnsi="Arial" w:cs="Arial"/>
                <w:b/>
                <w:bCs/>
                <w:sz w:val="20"/>
                <w:szCs w:val="20"/>
              </w:rPr>
            </w:pPr>
            <w:r w:rsidRPr="00704BE6">
              <w:rPr>
                <w:rFonts w:ascii="Arial" w:hAnsi="Arial" w:cs="Arial"/>
                <w:b/>
                <w:bCs/>
                <w:sz w:val="20"/>
                <w:szCs w:val="20"/>
              </w:rPr>
              <w:t>Survival (%)</w:t>
            </w:r>
          </w:p>
        </w:tc>
      </w:tr>
      <w:tr w:rsidR="00B806EA" w:rsidRPr="00704BE6" w14:paraId="5B8DF4E2" w14:textId="77777777" w:rsidTr="00B806EA">
        <w:trPr>
          <w:trHeight w:val="20"/>
        </w:trPr>
        <w:tc>
          <w:tcPr>
            <w:tcW w:w="1133" w:type="pct"/>
            <w:hideMark/>
          </w:tcPr>
          <w:p w14:paraId="566F82CB" w14:textId="77777777" w:rsidR="005E0B44" w:rsidRPr="00704BE6" w:rsidRDefault="005E0B44" w:rsidP="00B21FB9">
            <w:pPr>
              <w:pStyle w:val="ListParagraph"/>
              <w:spacing w:after="0"/>
              <w:ind w:left="-31"/>
              <w:rPr>
                <w:rFonts w:ascii="Arial" w:hAnsi="Arial" w:cs="Arial"/>
                <w:sz w:val="20"/>
                <w:szCs w:val="20"/>
              </w:rPr>
            </w:pPr>
            <w:r w:rsidRPr="00704BE6">
              <w:rPr>
                <w:rFonts w:ascii="Arial" w:hAnsi="Arial" w:cs="Arial"/>
                <w:sz w:val="20"/>
                <w:szCs w:val="20"/>
                <w:lang w:val="pl-PL"/>
              </w:rPr>
              <w:t>Control</w:t>
            </w:r>
          </w:p>
        </w:tc>
        <w:tc>
          <w:tcPr>
            <w:tcW w:w="785" w:type="pct"/>
            <w:vMerge w:val="restart"/>
            <w:tcBorders>
              <w:bottom w:val="single" w:sz="4" w:space="0" w:color="auto"/>
            </w:tcBorders>
            <w:vAlign w:val="center"/>
            <w:hideMark/>
          </w:tcPr>
          <w:p w14:paraId="0EF98462" w14:textId="77777777" w:rsidR="005E0B44" w:rsidRPr="00704BE6" w:rsidRDefault="005E0B44" w:rsidP="00B21FB9">
            <w:pPr>
              <w:pStyle w:val="ListParagraph"/>
              <w:spacing w:after="0"/>
              <w:ind w:left="-76"/>
              <w:jc w:val="center"/>
              <w:rPr>
                <w:rFonts w:ascii="Arial" w:hAnsi="Arial" w:cs="Arial"/>
                <w:sz w:val="20"/>
                <w:szCs w:val="20"/>
              </w:rPr>
            </w:pPr>
            <w:r w:rsidRPr="00704BE6">
              <w:rPr>
                <w:rFonts w:ascii="Arial" w:hAnsi="Arial" w:cs="Arial"/>
                <w:sz w:val="20"/>
                <w:szCs w:val="20"/>
              </w:rPr>
              <w:t>46.00±2.95</w:t>
            </w:r>
          </w:p>
        </w:tc>
        <w:tc>
          <w:tcPr>
            <w:tcW w:w="855" w:type="pct"/>
            <w:hideMark/>
          </w:tcPr>
          <w:p w14:paraId="155866E4"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174.37±4.81</w:t>
            </w:r>
            <w:r w:rsidRPr="00704BE6">
              <w:rPr>
                <w:rFonts w:ascii="Arial" w:hAnsi="Arial" w:cs="Arial"/>
                <w:sz w:val="20"/>
                <w:szCs w:val="20"/>
                <w:vertAlign w:val="superscript"/>
              </w:rPr>
              <w:t>a</w:t>
            </w:r>
          </w:p>
        </w:tc>
        <w:tc>
          <w:tcPr>
            <w:tcW w:w="696" w:type="pct"/>
            <w:hideMark/>
          </w:tcPr>
          <w:p w14:paraId="7B6FF0A5"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128.4±4.8</w:t>
            </w:r>
            <w:r w:rsidRPr="00704BE6">
              <w:rPr>
                <w:rFonts w:ascii="Arial" w:hAnsi="Arial" w:cs="Arial"/>
                <w:sz w:val="20"/>
                <w:szCs w:val="20"/>
                <w:vertAlign w:val="superscript"/>
              </w:rPr>
              <w:t>a</w:t>
            </w:r>
          </w:p>
        </w:tc>
        <w:tc>
          <w:tcPr>
            <w:tcW w:w="767" w:type="pct"/>
            <w:vAlign w:val="bottom"/>
          </w:tcPr>
          <w:p w14:paraId="106FF683"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2.62±0.05</w:t>
            </w:r>
            <w:r w:rsidRPr="00704BE6">
              <w:rPr>
                <w:rFonts w:ascii="Arial" w:hAnsi="Arial" w:cs="Arial"/>
                <w:sz w:val="20"/>
                <w:szCs w:val="20"/>
                <w:vertAlign w:val="superscript"/>
              </w:rPr>
              <w:t>a</w:t>
            </w:r>
          </w:p>
        </w:tc>
        <w:tc>
          <w:tcPr>
            <w:tcW w:w="764" w:type="pct"/>
            <w:vAlign w:val="bottom"/>
          </w:tcPr>
          <w:p w14:paraId="3250A9C7"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92.08±2.53</w:t>
            </w:r>
            <w:r w:rsidRPr="00704BE6">
              <w:rPr>
                <w:rFonts w:ascii="Arial" w:hAnsi="Arial" w:cs="Arial"/>
                <w:sz w:val="20"/>
                <w:szCs w:val="20"/>
                <w:vertAlign w:val="superscript"/>
              </w:rPr>
              <w:t>a</w:t>
            </w:r>
          </w:p>
        </w:tc>
      </w:tr>
      <w:tr w:rsidR="00B806EA" w:rsidRPr="00704BE6" w14:paraId="09583EF8" w14:textId="77777777" w:rsidTr="00B806EA">
        <w:trPr>
          <w:trHeight w:val="20"/>
        </w:trPr>
        <w:tc>
          <w:tcPr>
            <w:tcW w:w="1133" w:type="pct"/>
            <w:hideMark/>
          </w:tcPr>
          <w:p w14:paraId="6FF867C7" w14:textId="77777777" w:rsidR="005E0B44" w:rsidRPr="00704BE6" w:rsidRDefault="005E0B44" w:rsidP="00B21FB9">
            <w:pPr>
              <w:pStyle w:val="ListParagraph"/>
              <w:spacing w:after="0"/>
              <w:ind w:left="-31"/>
              <w:rPr>
                <w:rFonts w:ascii="Arial" w:hAnsi="Arial" w:cs="Arial"/>
                <w:sz w:val="20"/>
                <w:szCs w:val="20"/>
                <w:lang w:val="pl-PL"/>
              </w:rPr>
            </w:pPr>
            <w:r w:rsidRPr="00704BE6">
              <w:rPr>
                <w:rFonts w:ascii="Arial" w:hAnsi="Arial" w:cs="Arial"/>
                <w:sz w:val="20"/>
                <w:szCs w:val="20"/>
                <w:lang w:val="pl-PL"/>
              </w:rPr>
              <w:t>Zn-0.50</w:t>
            </w:r>
          </w:p>
        </w:tc>
        <w:tc>
          <w:tcPr>
            <w:tcW w:w="785" w:type="pct"/>
            <w:vMerge/>
            <w:tcBorders>
              <w:bottom w:val="single" w:sz="4" w:space="0" w:color="auto"/>
            </w:tcBorders>
            <w:hideMark/>
          </w:tcPr>
          <w:p w14:paraId="27B229CA" w14:textId="77777777" w:rsidR="005E0B44" w:rsidRPr="00704BE6" w:rsidRDefault="005E0B44" w:rsidP="00B21FB9">
            <w:pPr>
              <w:pStyle w:val="ListParagraph"/>
              <w:spacing w:after="0"/>
              <w:ind w:left="600"/>
              <w:jc w:val="center"/>
              <w:rPr>
                <w:rFonts w:ascii="Arial" w:hAnsi="Arial" w:cs="Arial"/>
                <w:sz w:val="20"/>
                <w:szCs w:val="20"/>
              </w:rPr>
            </w:pPr>
          </w:p>
        </w:tc>
        <w:tc>
          <w:tcPr>
            <w:tcW w:w="855" w:type="pct"/>
            <w:hideMark/>
          </w:tcPr>
          <w:p w14:paraId="78FA04D1"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153.88±3.83</w:t>
            </w:r>
            <w:r w:rsidRPr="00704BE6">
              <w:rPr>
                <w:rFonts w:ascii="Arial" w:hAnsi="Arial" w:cs="Arial"/>
                <w:sz w:val="20"/>
                <w:szCs w:val="20"/>
                <w:vertAlign w:val="superscript"/>
              </w:rPr>
              <w:t>b</w:t>
            </w:r>
          </w:p>
        </w:tc>
        <w:tc>
          <w:tcPr>
            <w:tcW w:w="696" w:type="pct"/>
            <w:hideMark/>
          </w:tcPr>
          <w:p w14:paraId="2A97CF59"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107.9±3.8</w:t>
            </w:r>
            <w:r w:rsidRPr="00704BE6">
              <w:rPr>
                <w:rFonts w:ascii="Arial" w:hAnsi="Arial" w:cs="Arial"/>
                <w:sz w:val="20"/>
                <w:szCs w:val="20"/>
                <w:vertAlign w:val="superscript"/>
              </w:rPr>
              <w:t>b</w:t>
            </w:r>
          </w:p>
        </w:tc>
        <w:tc>
          <w:tcPr>
            <w:tcW w:w="767" w:type="pct"/>
            <w:vAlign w:val="bottom"/>
          </w:tcPr>
          <w:p w14:paraId="1CFA41E8"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2.47±0.08</w:t>
            </w:r>
            <w:r w:rsidRPr="00704BE6">
              <w:rPr>
                <w:rFonts w:ascii="Arial" w:hAnsi="Arial" w:cs="Arial"/>
                <w:sz w:val="20"/>
                <w:szCs w:val="20"/>
                <w:vertAlign w:val="superscript"/>
              </w:rPr>
              <w:t>a</w:t>
            </w:r>
          </w:p>
        </w:tc>
        <w:tc>
          <w:tcPr>
            <w:tcW w:w="764" w:type="pct"/>
            <w:vAlign w:val="bottom"/>
          </w:tcPr>
          <w:p w14:paraId="47BF1A14"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85.83±0.83</w:t>
            </w:r>
            <w:r w:rsidRPr="00704BE6">
              <w:rPr>
                <w:rFonts w:ascii="Arial" w:hAnsi="Arial" w:cs="Arial"/>
                <w:sz w:val="20"/>
                <w:szCs w:val="20"/>
                <w:vertAlign w:val="superscript"/>
              </w:rPr>
              <w:t>b</w:t>
            </w:r>
          </w:p>
        </w:tc>
      </w:tr>
      <w:tr w:rsidR="00B806EA" w:rsidRPr="00704BE6" w14:paraId="3DF03E27" w14:textId="77777777" w:rsidTr="00B806EA">
        <w:trPr>
          <w:trHeight w:val="20"/>
        </w:trPr>
        <w:tc>
          <w:tcPr>
            <w:tcW w:w="1133" w:type="pct"/>
            <w:hideMark/>
          </w:tcPr>
          <w:p w14:paraId="1974716F" w14:textId="77777777" w:rsidR="005E0B44" w:rsidRPr="00704BE6" w:rsidRDefault="005E0B44" w:rsidP="00B21FB9">
            <w:pPr>
              <w:pStyle w:val="ListParagraph"/>
              <w:spacing w:after="0"/>
              <w:ind w:left="-31"/>
              <w:rPr>
                <w:rFonts w:ascii="Arial" w:hAnsi="Arial" w:cs="Arial"/>
                <w:sz w:val="20"/>
                <w:szCs w:val="20"/>
                <w:lang w:val="pl-PL"/>
              </w:rPr>
            </w:pPr>
            <w:r w:rsidRPr="00704BE6">
              <w:rPr>
                <w:rFonts w:ascii="Arial" w:hAnsi="Arial" w:cs="Arial"/>
                <w:sz w:val="20"/>
                <w:szCs w:val="20"/>
                <w:lang w:val="pl-PL"/>
              </w:rPr>
              <w:t>Zn-1.00</w:t>
            </w:r>
          </w:p>
        </w:tc>
        <w:tc>
          <w:tcPr>
            <w:tcW w:w="785" w:type="pct"/>
            <w:vMerge/>
            <w:tcBorders>
              <w:bottom w:val="single" w:sz="4" w:space="0" w:color="auto"/>
            </w:tcBorders>
            <w:hideMark/>
          </w:tcPr>
          <w:p w14:paraId="233071CA" w14:textId="77777777" w:rsidR="005E0B44" w:rsidRPr="00704BE6" w:rsidRDefault="005E0B44" w:rsidP="00B21FB9">
            <w:pPr>
              <w:pStyle w:val="ListParagraph"/>
              <w:spacing w:after="0"/>
              <w:ind w:left="600"/>
              <w:jc w:val="center"/>
              <w:rPr>
                <w:rFonts w:ascii="Arial" w:hAnsi="Arial" w:cs="Arial"/>
                <w:sz w:val="20"/>
                <w:szCs w:val="20"/>
              </w:rPr>
            </w:pPr>
          </w:p>
        </w:tc>
        <w:tc>
          <w:tcPr>
            <w:tcW w:w="855" w:type="pct"/>
            <w:hideMark/>
          </w:tcPr>
          <w:p w14:paraId="148A0A48"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120.71±4.02</w:t>
            </w:r>
            <w:r w:rsidRPr="00704BE6">
              <w:rPr>
                <w:rFonts w:ascii="Arial" w:hAnsi="Arial" w:cs="Arial"/>
                <w:sz w:val="20"/>
                <w:szCs w:val="20"/>
                <w:vertAlign w:val="superscript"/>
              </w:rPr>
              <w:t>c</w:t>
            </w:r>
          </w:p>
        </w:tc>
        <w:tc>
          <w:tcPr>
            <w:tcW w:w="696" w:type="pct"/>
            <w:hideMark/>
          </w:tcPr>
          <w:p w14:paraId="0EB932F8"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76.7±4.0</w:t>
            </w:r>
            <w:r w:rsidRPr="00704BE6">
              <w:rPr>
                <w:rFonts w:ascii="Arial" w:hAnsi="Arial" w:cs="Arial"/>
                <w:sz w:val="20"/>
                <w:szCs w:val="20"/>
                <w:vertAlign w:val="superscript"/>
              </w:rPr>
              <w:t>c</w:t>
            </w:r>
          </w:p>
        </w:tc>
        <w:tc>
          <w:tcPr>
            <w:tcW w:w="767" w:type="pct"/>
            <w:vAlign w:val="bottom"/>
          </w:tcPr>
          <w:p w14:paraId="71E4FA28"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2.38±0.21</w:t>
            </w:r>
            <w:r w:rsidRPr="00704BE6">
              <w:rPr>
                <w:rFonts w:ascii="Arial" w:hAnsi="Arial" w:cs="Arial"/>
                <w:sz w:val="20"/>
                <w:szCs w:val="20"/>
                <w:vertAlign w:val="superscript"/>
              </w:rPr>
              <w:t>b</w:t>
            </w:r>
          </w:p>
        </w:tc>
        <w:tc>
          <w:tcPr>
            <w:tcW w:w="764" w:type="pct"/>
            <w:vAlign w:val="bottom"/>
          </w:tcPr>
          <w:p w14:paraId="785DB4DB"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62.92±2.20</w:t>
            </w:r>
            <w:r w:rsidRPr="00704BE6">
              <w:rPr>
                <w:rFonts w:ascii="Arial" w:hAnsi="Arial" w:cs="Arial"/>
                <w:sz w:val="20"/>
                <w:szCs w:val="20"/>
                <w:vertAlign w:val="superscript"/>
              </w:rPr>
              <w:t>c</w:t>
            </w:r>
          </w:p>
        </w:tc>
      </w:tr>
      <w:tr w:rsidR="00B806EA" w:rsidRPr="00704BE6" w14:paraId="00F87B27" w14:textId="77777777" w:rsidTr="00B806EA">
        <w:trPr>
          <w:trHeight w:val="20"/>
        </w:trPr>
        <w:tc>
          <w:tcPr>
            <w:tcW w:w="1133" w:type="pct"/>
            <w:hideMark/>
          </w:tcPr>
          <w:p w14:paraId="448D3D1A" w14:textId="77777777" w:rsidR="005E0B44" w:rsidRPr="00704BE6" w:rsidRDefault="005E0B44" w:rsidP="00B21FB9">
            <w:pPr>
              <w:pStyle w:val="ListParagraph"/>
              <w:spacing w:after="0"/>
              <w:ind w:left="-31"/>
              <w:rPr>
                <w:rFonts w:ascii="Arial" w:hAnsi="Arial" w:cs="Arial"/>
                <w:sz w:val="20"/>
                <w:szCs w:val="20"/>
                <w:lang w:val="pl-PL"/>
              </w:rPr>
            </w:pPr>
            <w:r w:rsidRPr="00704BE6">
              <w:rPr>
                <w:rFonts w:ascii="Arial" w:hAnsi="Arial" w:cs="Arial"/>
                <w:sz w:val="20"/>
                <w:szCs w:val="20"/>
                <w:lang w:val="pl-PL"/>
              </w:rPr>
              <w:t>Zn-1.50</w:t>
            </w:r>
          </w:p>
        </w:tc>
        <w:tc>
          <w:tcPr>
            <w:tcW w:w="785" w:type="pct"/>
            <w:vMerge/>
            <w:tcBorders>
              <w:bottom w:val="single" w:sz="4" w:space="0" w:color="auto"/>
            </w:tcBorders>
            <w:hideMark/>
          </w:tcPr>
          <w:p w14:paraId="796DED9A" w14:textId="77777777" w:rsidR="005E0B44" w:rsidRPr="00704BE6" w:rsidRDefault="005E0B44" w:rsidP="00B21FB9">
            <w:pPr>
              <w:pStyle w:val="ListParagraph"/>
              <w:spacing w:after="0"/>
              <w:ind w:left="600"/>
              <w:jc w:val="center"/>
              <w:rPr>
                <w:rFonts w:ascii="Arial" w:hAnsi="Arial" w:cs="Arial"/>
                <w:sz w:val="20"/>
                <w:szCs w:val="20"/>
              </w:rPr>
            </w:pPr>
          </w:p>
        </w:tc>
        <w:tc>
          <w:tcPr>
            <w:tcW w:w="855" w:type="pct"/>
            <w:hideMark/>
          </w:tcPr>
          <w:p w14:paraId="09412103"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78.33±6.17</w:t>
            </w:r>
            <w:r w:rsidRPr="00704BE6">
              <w:rPr>
                <w:rFonts w:ascii="Arial" w:hAnsi="Arial" w:cs="Arial"/>
                <w:sz w:val="20"/>
                <w:szCs w:val="20"/>
                <w:vertAlign w:val="superscript"/>
              </w:rPr>
              <w:t>d</w:t>
            </w:r>
          </w:p>
        </w:tc>
        <w:tc>
          <w:tcPr>
            <w:tcW w:w="696" w:type="pct"/>
            <w:hideMark/>
          </w:tcPr>
          <w:p w14:paraId="229C3181"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32.3±6.2</w:t>
            </w:r>
            <w:r w:rsidRPr="00704BE6">
              <w:rPr>
                <w:rFonts w:ascii="Arial" w:hAnsi="Arial" w:cs="Arial"/>
                <w:sz w:val="20"/>
                <w:szCs w:val="20"/>
                <w:vertAlign w:val="superscript"/>
              </w:rPr>
              <w:t>d</w:t>
            </w:r>
          </w:p>
        </w:tc>
        <w:tc>
          <w:tcPr>
            <w:tcW w:w="767" w:type="pct"/>
            <w:vAlign w:val="bottom"/>
          </w:tcPr>
          <w:p w14:paraId="5D23EB4B"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2.25±0.40</w:t>
            </w:r>
            <w:r w:rsidRPr="00704BE6">
              <w:rPr>
                <w:rFonts w:ascii="Arial" w:hAnsi="Arial" w:cs="Arial"/>
                <w:sz w:val="20"/>
                <w:szCs w:val="20"/>
                <w:vertAlign w:val="superscript"/>
              </w:rPr>
              <w:t>b</w:t>
            </w:r>
          </w:p>
        </w:tc>
        <w:tc>
          <w:tcPr>
            <w:tcW w:w="764" w:type="pct"/>
            <w:vAlign w:val="bottom"/>
          </w:tcPr>
          <w:p w14:paraId="46067663"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44.17±3.97</w:t>
            </w:r>
            <w:r w:rsidRPr="00704BE6">
              <w:rPr>
                <w:rFonts w:ascii="Arial" w:hAnsi="Arial" w:cs="Arial"/>
                <w:sz w:val="20"/>
                <w:szCs w:val="20"/>
                <w:vertAlign w:val="superscript"/>
              </w:rPr>
              <w:t>d</w:t>
            </w:r>
          </w:p>
        </w:tc>
      </w:tr>
      <w:tr w:rsidR="00B806EA" w:rsidRPr="00704BE6" w14:paraId="7AFDA6B9" w14:textId="77777777" w:rsidTr="00B806EA">
        <w:trPr>
          <w:trHeight w:val="20"/>
        </w:trPr>
        <w:tc>
          <w:tcPr>
            <w:tcW w:w="1133" w:type="pct"/>
            <w:hideMark/>
          </w:tcPr>
          <w:p w14:paraId="579929B5" w14:textId="77777777" w:rsidR="005E0B44" w:rsidRPr="00704BE6" w:rsidRDefault="005E0B44" w:rsidP="00B21FB9">
            <w:pPr>
              <w:pStyle w:val="ListParagraph"/>
              <w:spacing w:after="0"/>
              <w:ind w:left="-31"/>
              <w:rPr>
                <w:rFonts w:ascii="Arial" w:hAnsi="Arial" w:cs="Arial"/>
                <w:sz w:val="20"/>
                <w:szCs w:val="20"/>
                <w:lang w:val="pl-PL"/>
              </w:rPr>
            </w:pPr>
            <w:r w:rsidRPr="00704BE6">
              <w:rPr>
                <w:rFonts w:ascii="Arial" w:hAnsi="Arial" w:cs="Arial"/>
                <w:sz w:val="20"/>
                <w:szCs w:val="20"/>
                <w:lang w:val="pl-PL"/>
              </w:rPr>
              <w:t>Zn-2.00</w:t>
            </w:r>
          </w:p>
        </w:tc>
        <w:tc>
          <w:tcPr>
            <w:tcW w:w="785" w:type="pct"/>
            <w:vMerge/>
            <w:tcBorders>
              <w:bottom w:val="single" w:sz="4" w:space="0" w:color="auto"/>
            </w:tcBorders>
            <w:hideMark/>
          </w:tcPr>
          <w:p w14:paraId="29E1FAD8" w14:textId="77777777" w:rsidR="005E0B44" w:rsidRPr="00704BE6" w:rsidRDefault="005E0B44" w:rsidP="00B21FB9">
            <w:pPr>
              <w:pStyle w:val="ListParagraph"/>
              <w:spacing w:after="0"/>
              <w:ind w:left="600"/>
              <w:jc w:val="center"/>
              <w:rPr>
                <w:rFonts w:ascii="Arial" w:hAnsi="Arial" w:cs="Arial"/>
                <w:sz w:val="20"/>
                <w:szCs w:val="20"/>
              </w:rPr>
            </w:pPr>
          </w:p>
        </w:tc>
        <w:tc>
          <w:tcPr>
            <w:tcW w:w="855" w:type="pct"/>
            <w:hideMark/>
          </w:tcPr>
          <w:p w14:paraId="5D60F999"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66.01±1.73</w:t>
            </w:r>
            <w:r w:rsidRPr="00704BE6">
              <w:rPr>
                <w:rFonts w:ascii="Arial" w:hAnsi="Arial" w:cs="Arial"/>
                <w:sz w:val="20"/>
                <w:szCs w:val="20"/>
                <w:vertAlign w:val="superscript"/>
              </w:rPr>
              <w:t>d</w:t>
            </w:r>
          </w:p>
        </w:tc>
        <w:tc>
          <w:tcPr>
            <w:tcW w:w="696" w:type="pct"/>
            <w:hideMark/>
          </w:tcPr>
          <w:p w14:paraId="6C544735"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20.0±1.7</w:t>
            </w:r>
            <w:r w:rsidRPr="00704BE6">
              <w:rPr>
                <w:rFonts w:ascii="Arial" w:hAnsi="Arial" w:cs="Arial"/>
                <w:sz w:val="20"/>
                <w:szCs w:val="20"/>
                <w:vertAlign w:val="superscript"/>
              </w:rPr>
              <w:t>e</w:t>
            </w:r>
          </w:p>
        </w:tc>
        <w:tc>
          <w:tcPr>
            <w:tcW w:w="767" w:type="pct"/>
            <w:vAlign w:val="bottom"/>
          </w:tcPr>
          <w:p w14:paraId="783CBA48"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1.64±0.04</w:t>
            </w:r>
            <w:r w:rsidRPr="00704BE6">
              <w:rPr>
                <w:rFonts w:ascii="Arial" w:hAnsi="Arial" w:cs="Arial"/>
                <w:sz w:val="20"/>
                <w:szCs w:val="20"/>
                <w:vertAlign w:val="superscript"/>
              </w:rPr>
              <w:t>c</w:t>
            </w:r>
          </w:p>
        </w:tc>
        <w:tc>
          <w:tcPr>
            <w:tcW w:w="764" w:type="pct"/>
            <w:vAlign w:val="bottom"/>
          </w:tcPr>
          <w:p w14:paraId="4CC34A13" w14:textId="77777777" w:rsidR="005E0B44" w:rsidRPr="00704BE6" w:rsidRDefault="005E0B44" w:rsidP="00B21FB9">
            <w:pPr>
              <w:pStyle w:val="ListParagraph"/>
              <w:spacing w:after="0"/>
              <w:ind w:left="-36"/>
              <w:jc w:val="right"/>
              <w:rPr>
                <w:rFonts w:ascii="Arial" w:hAnsi="Arial" w:cs="Arial"/>
                <w:sz w:val="20"/>
                <w:szCs w:val="20"/>
              </w:rPr>
            </w:pPr>
            <w:r w:rsidRPr="00704BE6">
              <w:rPr>
                <w:rFonts w:ascii="Arial" w:hAnsi="Arial" w:cs="Arial"/>
                <w:sz w:val="20"/>
                <w:szCs w:val="20"/>
              </w:rPr>
              <w:t>36.88±1.88</w:t>
            </w:r>
            <w:r w:rsidRPr="00704BE6">
              <w:rPr>
                <w:rFonts w:ascii="Arial" w:hAnsi="Arial" w:cs="Arial"/>
                <w:sz w:val="20"/>
                <w:szCs w:val="20"/>
                <w:vertAlign w:val="superscript"/>
              </w:rPr>
              <w:t>d</w:t>
            </w:r>
          </w:p>
        </w:tc>
      </w:tr>
    </w:tbl>
    <w:p w14:paraId="6FF1EFA8" w14:textId="77777777" w:rsidR="00A72603" w:rsidRPr="00B21FB9" w:rsidRDefault="00F02432" w:rsidP="00A72603">
      <w:pPr>
        <w:autoSpaceDE w:val="0"/>
        <w:autoSpaceDN w:val="0"/>
        <w:adjustRightInd w:val="0"/>
        <w:spacing w:before="120" w:after="120"/>
        <w:jc w:val="both"/>
        <w:rPr>
          <w:rFonts w:ascii="Arial" w:hAnsi="Arial" w:cs="Arial"/>
          <w:bCs/>
          <w:lang w:eastAsia="en-IN"/>
        </w:rPr>
      </w:pPr>
      <w:r w:rsidRPr="00F02432">
        <w:rPr>
          <w:rFonts w:ascii="Arial" w:hAnsi="Arial" w:cs="Arial"/>
          <w:bCs/>
          <w:lang w:eastAsia="en-IN"/>
        </w:rPr>
        <w:t xml:space="preserve">These results suggest that even though Zn is essential nutrient involved in several enzymatic and metabolic </w:t>
      </w:r>
      <w:r w:rsidRPr="00B21FB9">
        <w:rPr>
          <w:rFonts w:ascii="Arial" w:hAnsi="Arial" w:cs="Arial"/>
          <w:bCs/>
          <w:lang w:eastAsia="en-IN"/>
        </w:rPr>
        <w:t xml:space="preserve">processes, its higher concentration in culture water may cause toxicity during early life stages of fish </w:t>
      </w:r>
      <w:r w:rsidR="00A72603" w:rsidRPr="00B21FB9">
        <w:rPr>
          <w:rFonts w:ascii="Arial" w:hAnsi="Arial" w:cs="Arial"/>
          <w:bCs/>
          <w:lang w:eastAsia="en-IN"/>
        </w:rPr>
        <w:t xml:space="preserve">(Watanabe </w:t>
      </w:r>
      <w:r w:rsidR="00032AC4" w:rsidRPr="00B21FB9">
        <w:rPr>
          <w:rFonts w:ascii="Arial" w:hAnsi="Arial" w:cs="Arial"/>
          <w:bCs/>
          <w:i/>
          <w:iCs/>
          <w:lang w:eastAsia="en-IN"/>
        </w:rPr>
        <w:t>et al.</w:t>
      </w:r>
      <w:r w:rsidR="00A72603" w:rsidRPr="00B21FB9">
        <w:rPr>
          <w:rFonts w:ascii="Arial" w:hAnsi="Arial" w:cs="Arial"/>
          <w:bCs/>
          <w:lang w:eastAsia="en-IN"/>
        </w:rPr>
        <w:t>, 1997</w:t>
      </w:r>
      <w:r w:rsidRPr="00B21FB9">
        <w:rPr>
          <w:rFonts w:ascii="Arial" w:hAnsi="Arial" w:cs="Arial"/>
          <w:bCs/>
          <w:lang w:eastAsia="en-IN"/>
        </w:rPr>
        <w:t>)</w:t>
      </w:r>
      <w:r w:rsidR="00A72603" w:rsidRPr="00B21FB9">
        <w:rPr>
          <w:rFonts w:ascii="Arial" w:hAnsi="Arial" w:cs="Arial"/>
          <w:bCs/>
          <w:lang w:eastAsia="en-IN"/>
        </w:rPr>
        <w:t xml:space="preserve">. Spry and Wiener (1991) </w:t>
      </w:r>
      <w:r w:rsidRPr="00B21FB9">
        <w:rPr>
          <w:rFonts w:ascii="Arial" w:hAnsi="Arial" w:cs="Arial"/>
          <w:bCs/>
          <w:lang w:eastAsia="en-IN"/>
        </w:rPr>
        <w:t>also highlighted</w:t>
      </w:r>
      <w:r w:rsidR="00A72603" w:rsidRPr="00B21FB9">
        <w:rPr>
          <w:rFonts w:ascii="Arial" w:hAnsi="Arial" w:cs="Arial"/>
          <w:bCs/>
          <w:lang w:eastAsia="en-IN"/>
        </w:rPr>
        <w:t xml:space="preserve"> that </w:t>
      </w:r>
      <w:r w:rsidRPr="00B21FB9">
        <w:rPr>
          <w:rFonts w:ascii="Arial" w:hAnsi="Arial" w:cs="Arial"/>
          <w:bCs/>
          <w:lang w:eastAsia="en-IN"/>
        </w:rPr>
        <w:t>increase in</w:t>
      </w:r>
      <w:r w:rsidR="00A72603" w:rsidRPr="00B21FB9">
        <w:rPr>
          <w:rFonts w:ascii="Arial" w:hAnsi="Arial" w:cs="Arial"/>
          <w:bCs/>
          <w:lang w:eastAsia="en-IN"/>
        </w:rPr>
        <w:t xml:space="preserve"> Zn </w:t>
      </w:r>
      <w:r w:rsidRPr="00B21FB9">
        <w:rPr>
          <w:rFonts w:ascii="Arial" w:hAnsi="Arial" w:cs="Arial"/>
          <w:bCs/>
          <w:lang w:eastAsia="en-IN"/>
        </w:rPr>
        <w:t>content</w:t>
      </w:r>
      <w:r w:rsidR="00A72603" w:rsidRPr="00B21FB9">
        <w:rPr>
          <w:rFonts w:ascii="Arial" w:hAnsi="Arial" w:cs="Arial"/>
          <w:bCs/>
          <w:lang w:eastAsia="en-IN"/>
        </w:rPr>
        <w:t xml:space="preserve"> in freshwater</w:t>
      </w:r>
      <w:r w:rsidRPr="00B21FB9">
        <w:rPr>
          <w:rFonts w:ascii="Arial" w:hAnsi="Arial" w:cs="Arial"/>
          <w:bCs/>
          <w:lang w:eastAsia="en-IN"/>
        </w:rPr>
        <w:t xml:space="preserve"> culture system</w:t>
      </w:r>
      <w:r w:rsidR="00A72603" w:rsidRPr="00B21FB9">
        <w:rPr>
          <w:rFonts w:ascii="Arial" w:hAnsi="Arial" w:cs="Arial"/>
          <w:bCs/>
          <w:lang w:eastAsia="en-IN"/>
        </w:rPr>
        <w:t xml:space="preserve"> can </w:t>
      </w:r>
      <w:r w:rsidRPr="00B21FB9">
        <w:rPr>
          <w:rFonts w:ascii="Arial" w:hAnsi="Arial" w:cs="Arial"/>
          <w:bCs/>
          <w:lang w:eastAsia="en-IN"/>
        </w:rPr>
        <w:t>damage</w:t>
      </w:r>
      <w:r w:rsidR="00A72603" w:rsidRPr="00B21FB9">
        <w:rPr>
          <w:rFonts w:ascii="Arial" w:hAnsi="Arial" w:cs="Arial"/>
          <w:bCs/>
          <w:lang w:eastAsia="en-IN"/>
        </w:rPr>
        <w:t xml:space="preserve"> osmoregulatory function, gill health, and metabolic efficiency</w:t>
      </w:r>
      <w:r w:rsidRPr="00B21FB9">
        <w:rPr>
          <w:rFonts w:ascii="Arial" w:hAnsi="Arial" w:cs="Arial"/>
          <w:bCs/>
          <w:lang w:eastAsia="en-IN"/>
        </w:rPr>
        <w:t>.</w:t>
      </w:r>
      <w:r w:rsidR="00A72603" w:rsidRPr="00B21FB9">
        <w:rPr>
          <w:rFonts w:ascii="Arial" w:hAnsi="Arial" w:cs="Arial"/>
          <w:bCs/>
          <w:lang w:eastAsia="en-IN"/>
        </w:rPr>
        <w:t xml:space="preserve"> </w:t>
      </w:r>
      <w:r w:rsidRPr="00B21FB9">
        <w:rPr>
          <w:rFonts w:ascii="Arial" w:hAnsi="Arial" w:cs="Arial"/>
          <w:bCs/>
          <w:lang w:eastAsia="en-IN"/>
        </w:rPr>
        <w:t>Reduces survival and growth in Arabian killifish (</w:t>
      </w:r>
      <w:proofErr w:type="spellStart"/>
      <w:r w:rsidRPr="00B21FB9">
        <w:rPr>
          <w:rFonts w:ascii="Arial" w:hAnsi="Arial" w:cs="Arial"/>
          <w:bCs/>
          <w:i/>
          <w:iCs/>
          <w:lang w:eastAsia="en-IN"/>
        </w:rPr>
        <w:t>Aphanius</w:t>
      </w:r>
      <w:proofErr w:type="spellEnd"/>
      <w:r w:rsidRPr="00B21FB9">
        <w:rPr>
          <w:rFonts w:ascii="Arial" w:hAnsi="Arial" w:cs="Arial"/>
          <w:bCs/>
          <w:i/>
          <w:iCs/>
          <w:lang w:eastAsia="en-IN"/>
        </w:rPr>
        <w:t xml:space="preserve"> </w:t>
      </w:r>
      <w:proofErr w:type="spellStart"/>
      <w:r w:rsidRPr="00B21FB9">
        <w:rPr>
          <w:rFonts w:ascii="Arial" w:hAnsi="Arial" w:cs="Arial"/>
          <w:bCs/>
          <w:i/>
          <w:iCs/>
          <w:lang w:eastAsia="en-IN"/>
        </w:rPr>
        <w:t>dispar</w:t>
      </w:r>
      <w:proofErr w:type="spellEnd"/>
      <w:r w:rsidRPr="00B21FB9">
        <w:rPr>
          <w:rFonts w:ascii="Arial" w:hAnsi="Arial" w:cs="Arial"/>
          <w:bCs/>
          <w:lang w:eastAsia="en-IN"/>
        </w:rPr>
        <w:t xml:space="preserve">) at higher Zn levels due to cellular damage and physiological stress was reported by </w:t>
      </w:r>
      <w:proofErr w:type="spellStart"/>
      <w:r w:rsidRPr="00B21FB9">
        <w:rPr>
          <w:rFonts w:ascii="Arial" w:hAnsi="Arial" w:cs="Arial"/>
          <w:bCs/>
          <w:lang w:eastAsia="en-IN"/>
        </w:rPr>
        <w:t>Alkahem</w:t>
      </w:r>
      <w:proofErr w:type="spellEnd"/>
      <w:r w:rsidRPr="00B21FB9">
        <w:rPr>
          <w:rFonts w:ascii="Arial" w:hAnsi="Arial" w:cs="Arial"/>
          <w:bCs/>
          <w:lang w:eastAsia="en-IN"/>
        </w:rPr>
        <w:t xml:space="preserve"> </w:t>
      </w:r>
      <w:r w:rsidR="00032AC4" w:rsidRPr="00B21FB9">
        <w:rPr>
          <w:rFonts w:ascii="Arial" w:hAnsi="Arial" w:cs="Arial"/>
          <w:bCs/>
          <w:i/>
          <w:iCs/>
          <w:lang w:eastAsia="en-IN"/>
        </w:rPr>
        <w:t>et al.</w:t>
      </w:r>
      <w:r w:rsidRPr="00B21FB9">
        <w:rPr>
          <w:rFonts w:ascii="Arial" w:hAnsi="Arial" w:cs="Arial"/>
          <w:bCs/>
          <w:lang w:eastAsia="en-IN"/>
        </w:rPr>
        <w:t xml:space="preserve"> (2011). Prolonged exposure to higher Zn </w:t>
      </w:r>
      <w:r w:rsidR="005111F6" w:rsidRPr="00B21FB9">
        <w:rPr>
          <w:rFonts w:ascii="Arial" w:hAnsi="Arial" w:cs="Arial"/>
          <w:bCs/>
          <w:lang w:eastAsia="en-IN"/>
        </w:rPr>
        <w:t>led</w:t>
      </w:r>
      <w:r w:rsidRPr="00B21FB9">
        <w:rPr>
          <w:rFonts w:ascii="Arial" w:hAnsi="Arial" w:cs="Arial"/>
          <w:bCs/>
          <w:lang w:eastAsia="en-IN"/>
        </w:rPr>
        <w:t xml:space="preserve"> to decline in </w:t>
      </w:r>
      <w:r w:rsidR="00A72603" w:rsidRPr="00B21FB9">
        <w:rPr>
          <w:rFonts w:ascii="Arial" w:hAnsi="Arial" w:cs="Arial"/>
          <w:bCs/>
          <w:lang w:eastAsia="en-IN"/>
        </w:rPr>
        <w:t xml:space="preserve">weight gain and survival </w:t>
      </w:r>
      <w:r w:rsidRPr="00B21FB9">
        <w:rPr>
          <w:rFonts w:ascii="Arial" w:hAnsi="Arial" w:cs="Arial"/>
          <w:bCs/>
          <w:lang w:eastAsia="en-IN"/>
        </w:rPr>
        <w:t xml:space="preserve">as it </w:t>
      </w:r>
      <w:r w:rsidR="00A72603" w:rsidRPr="00B21FB9">
        <w:rPr>
          <w:rFonts w:ascii="Arial" w:hAnsi="Arial" w:cs="Arial"/>
          <w:bCs/>
          <w:lang w:eastAsia="en-IN"/>
        </w:rPr>
        <w:t xml:space="preserve">may </w:t>
      </w:r>
      <w:r w:rsidRPr="00B21FB9">
        <w:rPr>
          <w:rFonts w:ascii="Arial" w:hAnsi="Arial" w:cs="Arial"/>
          <w:bCs/>
          <w:lang w:eastAsia="en-IN"/>
        </w:rPr>
        <w:t xml:space="preserve">negatively affect </w:t>
      </w:r>
      <w:r w:rsidR="00A72603" w:rsidRPr="00B21FB9">
        <w:rPr>
          <w:rFonts w:ascii="Arial" w:hAnsi="Arial" w:cs="Arial"/>
          <w:bCs/>
          <w:lang w:eastAsia="en-IN"/>
        </w:rPr>
        <w:t>nutrient assimilation</w:t>
      </w:r>
      <w:r w:rsidR="005111F6" w:rsidRPr="00B21FB9">
        <w:rPr>
          <w:rFonts w:ascii="Arial" w:hAnsi="Arial" w:cs="Arial"/>
          <w:bCs/>
          <w:lang w:eastAsia="en-IN"/>
        </w:rPr>
        <w:t xml:space="preserve"> </w:t>
      </w:r>
      <w:r w:rsidR="00A72603" w:rsidRPr="00B21FB9">
        <w:rPr>
          <w:rFonts w:ascii="Arial" w:hAnsi="Arial" w:cs="Arial"/>
          <w:bCs/>
          <w:lang w:eastAsia="en-IN"/>
        </w:rPr>
        <w:t xml:space="preserve">and induce oxidative stress in developing fry </w:t>
      </w:r>
      <w:r w:rsidR="005111F6" w:rsidRPr="00B21FB9">
        <w:rPr>
          <w:rFonts w:ascii="Arial" w:hAnsi="Arial" w:cs="Arial"/>
          <w:bCs/>
          <w:lang w:eastAsia="en-IN"/>
        </w:rPr>
        <w:t xml:space="preserve">of yellow catfish, </w:t>
      </w:r>
      <w:proofErr w:type="spellStart"/>
      <w:r w:rsidR="005111F6" w:rsidRPr="00B21FB9">
        <w:rPr>
          <w:rFonts w:ascii="Arial" w:hAnsi="Arial" w:cs="Arial"/>
          <w:bCs/>
          <w:i/>
          <w:iCs/>
          <w:lang w:eastAsia="en-IN"/>
        </w:rPr>
        <w:t>Pelteobagrus</w:t>
      </w:r>
      <w:proofErr w:type="spellEnd"/>
      <w:r w:rsidR="005111F6" w:rsidRPr="00B21FB9">
        <w:rPr>
          <w:rFonts w:ascii="Arial" w:hAnsi="Arial" w:cs="Arial"/>
          <w:bCs/>
          <w:i/>
          <w:iCs/>
          <w:lang w:eastAsia="en-IN"/>
        </w:rPr>
        <w:t xml:space="preserve"> </w:t>
      </w:r>
      <w:proofErr w:type="spellStart"/>
      <w:r w:rsidR="005111F6" w:rsidRPr="00B21FB9">
        <w:rPr>
          <w:rFonts w:ascii="Arial" w:hAnsi="Arial" w:cs="Arial"/>
          <w:bCs/>
          <w:i/>
          <w:iCs/>
          <w:lang w:eastAsia="en-IN"/>
        </w:rPr>
        <w:t>fulvidraco</w:t>
      </w:r>
      <w:proofErr w:type="spellEnd"/>
      <w:r w:rsidR="005111F6" w:rsidRPr="00B21FB9">
        <w:rPr>
          <w:rFonts w:ascii="Arial" w:hAnsi="Arial" w:cs="Arial"/>
          <w:bCs/>
          <w:lang w:eastAsia="en-IN"/>
        </w:rPr>
        <w:t xml:space="preserve"> </w:t>
      </w:r>
      <w:r w:rsidR="00A72603" w:rsidRPr="00B21FB9">
        <w:rPr>
          <w:rFonts w:ascii="Arial" w:hAnsi="Arial" w:cs="Arial"/>
          <w:bCs/>
          <w:lang w:eastAsia="en-IN"/>
        </w:rPr>
        <w:t xml:space="preserve">(Wang </w:t>
      </w:r>
      <w:r w:rsidR="00032AC4" w:rsidRPr="00B21FB9">
        <w:rPr>
          <w:rFonts w:ascii="Arial" w:hAnsi="Arial" w:cs="Arial"/>
          <w:bCs/>
          <w:i/>
          <w:iCs/>
          <w:lang w:eastAsia="en-IN"/>
        </w:rPr>
        <w:t>et al.</w:t>
      </w:r>
      <w:r w:rsidR="00A72603" w:rsidRPr="00B21FB9">
        <w:rPr>
          <w:rFonts w:ascii="Arial" w:hAnsi="Arial" w:cs="Arial"/>
          <w:bCs/>
          <w:lang w:eastAsia="en-IN"/>
        </w:rPr>
        <w:t>, 2012</w:t>
      </w:r>
      <w:r w:rsidR="005111F6" w:rsidRPr="00B21FB9">
        <w:rPr>
          <w:rFonts w:ascii="Arial" w:hAnsi="Arial" w:cs="Arial"/>
          <w:bCs/>
          <w:lang w:eastAsia="en-IN"/>
        </w:rPr>
        <w:t>) and</w:t>
      </w:r>
      <w:r w:rsidR="00A72603" w:rsidRPr="00B21FB9">
        <w:rPr>
          <w:rFonts w:ascii="Arial" w:hAnsi="Arial" w:cs="Arial"/>
          <w:bCs/>
          <w:lang w:eastAsia="en-IN"/>
        </w:rPr>
        <w:t xml:space="preserve"> </w:t>
      </w:r>
      <w:r w:rsidR="005111F6" w:rsidRPr="00B21FB9">
        <w:rPr>
          <w:rFonts w:ascii="Arial" w:hAnsi="Arial" w:cs="Arial"/>
          <w:bCs/>
          <w:lang w:eastAsia="en-IN"/>
        </w:rPr>
        <w:t xml:space="preserve">rainbow trout, </w:t>
      </w:r>
      <w:r w:rsidR="005111F6" w:rsidRPr="00B21FB9">
        <w:rPr>
          <w:rFonts w:ascii="Arial" w:hAnsi="Arial" w:cs="Arial"/>
          <w:bCs/>
          <w:i/>
          <w:iCs/>
          <w:lang w:eastAsia="en-IN"/>
        </w:rPr>
        <w:t>Oncorhynchus mykiss</w:t>
      </w:r>
      <w:r w:rsidR="005111F6" w:rsidRPr="00B21FB9">
        <w:rPr>
          <w:rFonts w:ascii="Arial" w:hAnsi="Arial" w:cs="Arial"/>
          <w:bCs/>
          <w:lang w:eastAsia="en-IN"/>
        </w:rPr>
        <w:t xml:space="preserve"> (</w:t>
      </w:r>
      <w:r w:rsidR="00A72603" w:rsidRPr="00B21FB9">
        <w:rPr>
          <w:rFonts w:ascii="Arial" w:hAnsi="Arial" w:cs="Arial"/>
          <w:bCs/>
          <w:lang w:eastAsia="en-IN"/>
        </w:rPr>
        <w:t xml:space="preserve">Hosseini </w:t>
      </w:r>
      <w:r w:rsidR="00032AC4" w:rsidRPr="00B21FB9">
        <w:rPr>
          <w:rFonts w:ascii="Arial" w:hAnsi="Arial" w:cs="Arial"/>
          <w:bCs/>
          <w:i/>
          <w:iCs/>
          <w:lang w:eastAsia="en-IN"/>
        </w:rPr>
        <w:t>et al.</w:t>
      </w:r>
      <w:r w:rsidR="00A72603" w:rsidRPr="00B21FB9">
        <w:rPr>
          <w:rFonts w:ascii="Arial" w:hAnsi="Arial" w:cs="Arial"/>
          <w:bCs/>
          <w:lang w:eastAsia="en-IN"/>
        </w:rPr>
        <w:t xml:space="preserve">, 2016). Based on these results, it was </w:t>
      </w:r>
      <w:r w:rsidR="005111F6" w:rsidRPr="00B21FB9">
        <w:rPr>
          <w:rFonts w:ascii="Arial" w:hAnsi="Arial" w:cs="Arial"/>
          <w:bCs/>
          <w:lang w:eastAsia="en-IN"/>
        </w:rPr>
        <w:t>noticed</w:t>
      </w:r>
      <w:r w:rsidR="00A72603" w:rsidRPr="00B21FB9">
        <w:rPr>
          <w:rFonts w:ascii="Arial" w:hAnsi="Arial" w:cs="Arial"/>
          <w:bCs/>
          <w:lang w:eastAsia="en-IN"/>
        </w:rPr>
        <w:t xml:space="preserve"> that </w:t>
      </w:r>
      <w:r w:rsidR="005111F6" w:rsidRPr="00B21FB9">
        <w:rPr>
          <w:rFonts w:ascii="Arial" w:hAnsi="Arial" w:cs="Arial"/>
          <w:bCs/>
          <w:lang w:eastAsia="en-IN"/>
        </w:rPr>
        <w:t>high Zn</w:t>
      </w:r>
      <w:r w:rsidR="00A72603" w:rsidRPr="00B21FB9">
        <w:rPr>
          <w:rFonts w:ascii="Arial" w:hAnsi="Arial" w:cs="Arial"/>
          <w:bCs/>
          <w:lang w:eastAsia="en-IN"/>
        </w:rPr>
        <w:t xml:space="preserve"> </w:t>
      </w:r>
      <w:r w:rsidR="005111F6" w:rsidRPr="00B21FB9">
        <w:rPr>
          <w:rFonts w:ascii="Arial" w:hAnsi="Arial" w:cs="Arial"/>
          <w:bCs/>
          <w:lang w:eastAsia="en-IN"/>
        </w:rPr>
        <w:t xml:space="preserve">negatively </w:t>
      </w:r>
      <w:r w:rsidR="00A72603" w:rsidRPr="00B21FB9">
        <w:rPr>
          <w:rFonts w:ascii="Arial" w:hAnsi="Arial" w:cs="Arial"/>
          <w:bCs/>
          <w:lang w:eastAsia="en-IN"/>
        </w:rPr>
        <w:t xml:space="preserve">affected </w:t>
      </w:r>
      <w:r w:rsidR="005111F6" w:rsidRPr="00B21FB9">
        <w:rPr>
          <w:rFonts w:ascii="Arial" w:hAnsi="Arial" w:cs="Arial"/>
          <w:bCs/>
          <w:lang w:eastAsia="en-IN"/>
        </w:rPr>
        <w:t xml:space="preserve">the survival and growth of </w:t>
      </w:r>
      <w:r w:rsidR="00A72603" w:rsidRPr="00B21FB9">
        <w:rPr>
          <w:rFonts w:ascii="Arial" w:hAnsi="Arial" w:cs="Arial"/>
          <w:bCs/>
          <w:lang w:eastAsia="en-IN"/>
        </w:rPr>
        <w:t>rohu fry</w:t>
      </w:r>
      <w:r w:rsidR="005111F6" w:rsidRPr="00B21FB9">
        <w:rPr>
          <w:rFonts w:ascii="Arial" w:hAnsi="Arial" w:cs="Arial"/>
          <w:bCs/>
          <w:lang w:eastAsia="en-IN"/>
        </w:rPr>
        <w:t xml:space="preserve"> under tank system which prompted the need for further study with reduced sub-lethal Zn dosage, which can support the growth without causing toxicity.</w:t>
      </w:r>
      <w:r w:rsidR="00A72603" w:rsidRPr="00B21FB9">
        <w:rPr>
          <w:rFonts w:ascii="Arial" w:hAnsi="Arial" w:cs="Arial"/>
          <w:bCs/>
          <w:lang w:eastAsia="en-IN"/>
        </w:rPr>
        <w:t xml:space="preserve"> </w:t>
      </w:r>
    </w:p>
    <w:p w14:paraId="2F83E1F7" w14:textId="77777777" w:rsidR="002160CF" w:rsidRPr="0079280B" w:rsidRDefault="006551E6" w:rsidP="006551E6">
      <w:pPr>
        <w:autoSpaceDE w:val="0"/>
        <w:autoSpaceDN w:val="0"/>
        <w:adjustRightInd w:val="0"/>
        <w:spacing w:before="120" w:after="120"/>
        <w:jc w:val="both"/>
        <w:rPr>
          <w:rFonts w:ascii="Arial" w:hAnsi="Arial" w:cs="Arial"/>
          <w:b/>
          <w:bCs/>
        </w:rPr>
      </w:pPr>
      <w:r w:rsidRPr="0079280B">
        <w:rPr>
          <w:rFonts w:ascii="Arial" w:hAnsi="Arial" w:cs="Arial"/>
          <w:b/>
          <w:bCs/>
        </w:rPr>
        <w:t>Lower concentrations</w:t>
      </w:r>
    </w:p>
    <w:p w14:paraId="718083CA" w14:textId="751E7EC0" w:rsidR="005D19E0" w:rsidRDefault="00807642" w:rsidP="00854572">
      <w:pPr>
        <w:autoSpaceDE w:val="0"/>
        <w:autoSpaceDN w:val="0"/>
        <w:adjustRightInd w:val="0"/>
        <w:spacing w:before="120" w:after="120"/>
        <w:jc w:val="both"/>
        <w:rPr>
          <w:rFonts w:ascii="Arial" w:hAnsi="Arial" w:cs="Arial"/>
          <w:bCs/>
          <w:lang w:eastAsia="en-IN"/>
        </w:rPr>
      </w:pPr>
      <w:r>
        <w:rPr>
          <w:rFonts w:ascii="Arial" w:hAnsi="Arial" w:cs="Arial"/>
          <w:bCs/>
          <w:lang w:eastAsia="en-IN"/>
        </w:rPr>
        <w:t>Subsequent</w:t>
      </w:r>
      <w:r w:rsidR="00A22563">
        <w:rPr>
          <w:rFonts w:ascii="Arial" w:hAnsi="Arial" w:cs="Arial"/>
          <w:bCs/>
          <w:lang w:eastAsia="en-IN"/>
        </w:rPr>
        <w:t xml:space="preserve"> investigation wherein lower dos</w:t>
      </w:r>
      <w:r>
        <w:rPr>
          <w:rFonts w:ascii="Arial" w:hAnsi="Arial" w:cs="Arial"/>
          <w:bCs/>
          <w:lang w:eastAsia="en-IN"/>
        </w:rPr>
        <w:t>age</w:t>
      </w:r>
      <w:r w:rsidR="00A22563">
        <w:rPr>
          <w:rFonts w:ascii="Arial" w:hAnsi="Arial" w:cs="Arial"/>
          <w:bCs/>
          <w:lang w:eastAsia="en-IN"/>
        </w:rPr>
        <w:t xml:space="preserve"> of Zn </w:t>
      </w:r>
      <w:r>
        <w:rPr>
          <w:rFonts w:ascii="Arial" w:hAnsi="Arial" w:cs="Arial"/>
          <w:bCs/>
          <w:lang w:eastAsia="en-IN"/>
        </w:rPr>
        <w:t>was</w:t>
      </w:r>
      <w:r w:rsidR="00A22563">
        <w:rPr>
          <w:rFonts w:ascii="Arial" w:hAnsi="Arial" w:cs="Arial"/>
          <w:bCs/>
          <w:lang w:eastAsia="en-IN"/>
        </w:rPr>
        <w:t xml:space="preserve"> used, </w:t>
      </w:r>
      <w:r>
        <w:rPr>
          <w:rFonts w:ascii="Arial" w:hAnsi="Arial" w:cs="Arial"/>
          <w:bCs/>
          <w:lang w:eastAsia="en-IN"/>
        </w:rPr>
        <w:t xml:space="preserve">the average survival </w:t>
      </w:r>
      <w:r w:rsidR="00D6715E">
        <w:rPr>
          <w:rFonts w:ascii="Arial" w:hAnsi="Arial" w:cs="Arial"/>
          <w:bCs/>
          <w:lang w:eastAsia="en-IN"/>
        </w:rPr>
        <w:t xml:space="preserve">percentage </w:t>
      </w:r>
      <w:r>
        <w:rPr>
          <w:rFonts w:ascii="Arial" w:hAnsi="Arial" w:cs="Arial"/>
          <w:bCs/>
          <w:lang w:eastAsia="en-IN"/>
        </w:rPr>
        <w:t xml:space="preserve">under control, 0.10, 0.20, 0.30 and 0.50 Zn </w:t>
      </w:r>
      <w:r w:rsidR="00F0271D">
        <w:rPr>
          <w:rFonts w:ascii="Arial" w:hAnsi="Arial" w:cs="Arial"/>
          <w:bCs/>
          <w:lang w:eastAsia="en-IN"/>
        </w:rPr>
        <w:t>mg/l</w:t>
      </w:r>
      <w:r>
        <w:rPr>
          <w:rFonts w:ascii="Arial" w:hAnsi="Arial" w:cs="Arial"/>
          <w:bCs/>
          <w:lang w:eastAsia="en-IN"/>
        </w:rPr>
        <w:t xml:space="preserve"> of water were recorded </w:t>
      </w:r>
      <w:r w:rsidR="00D6715E">
        <w:rPr>
          <w:rFonts w:ascii="Arial" w:hAnsi="Arial" w:cs="Arial"/>
          <w:bCs/>
          <w:lang w:eastAsia="en-IN"/>
        </w:rPr>
        <w:t>as</w:t>
      </w:r>
      <w:r>
        <w:rPr>
          <w:rFonts w:ascii="Arial" w:hAnsi="Arial" w:cs="Arial"/>
          <w:bCs/>
          <w:lang w:eastAsia="en-IN"/>
        </w:rPr>
        <w:t xml:space="preserve"> 85.3, 84.6, 84.3, 83.</w:t>
      </w:r>
      <w:r w:rsidR="00D6715E">
        <w:rPr>
          <w:rFonts w:ascii="Arial" w:hAnsi="Arial" w:cs="Arial"/>
          <w:bCs/>
          <w:lang w:eastAsia="en-IN"/>
        </w:rPr>
        <w:t>9</w:t>
      </w:r>
      <w:r>
        <w:rPr>
          <w:rFonts w:ascii="Arial" w:hAnsi="Arial" w:cs="Arial"/>
          <w:bCs/>
          <w:lang w:eastAsia="en-IN"/>
        </w:rPr>
        <w:t xml:space="preserve"> and 84.6, respectively. Since </w:t>
      </w:r>
      <w:r w:rsidR="00854572" w:rsidRPr="008A73E9">
        <w:rPr>
          <w:rFonts w:ascii="Arial" w:hAnsi="Arial" w:cs="Arial"/>
          <w:bCs/>
          <w:lang w:eastAsia="en-IN"/>
        </w:rPr>
        <w:t xml:space="preserve">there </w:t>
      </w:r>
      <w:r w:rsidR="00D6715E">
        <w:rPr>
          <w:rFonts w:ascii="Arial" w:hAnsi="Arial" w:cs="Arial"/>
          <w:bCs/>
          <w:lang w:eastAsia="en-IN"/>
        </w:rPr>
        <w:t xml:space="preserve">was </w:t>
      </w:r>
      <w:r w:rsidR="00854572" w:rsidRPr="008A73E9">
        <w:rPr>
          <w:rFonts w:ascii="Arial" w:hAnsi="Arial" w:cs="Arial"/>
          <w:bCs/>
          <w:lang w:eastAsia="en-IN"/>
        </w:rPr>
        <w:t xml:space="preserve">no significant change </w:t>
      </w:r>
      <w:r w:rsidR="00D6715E">
        <w:rPr>
          <w:rFonts w:ascii="Arial" w:hAnsi="Arial" w:cs="Arial"/>
          <w:bCs/>
          <w:lang w:eastAsia="en-IN"/>
        </w:rPr>
        <w:t>of</w:t>
      </w:r>
      <w:r w:rsidR="00854572" w:rsidRPr="008A73E9">
        <w:rPr>
          <w:rFonts w:ascii="Arial" w:hAnsi="Arial" w:cs="Arial"/>
          <w:bCs/>
          <w:lang w:eastAsia="en-IN"/>
        </w:rPr>
        <w:t xml:space="preserve"> survival in any of the Zn treatments </w:t>
      </w:r>
      <w:r>
        <w:rPr>
          <w:rFonts w:ascii="Arial" w:hAnsi="Arial" w:cs="Arial"/>
          <w:bCs/>
          <w:lang w:eastAsia="en-IN"/>
        </w:rPr>
        <w:t xml:space="preserve">compared to control, it can be concluded that </w:t>
      </w:r>
      <w:r w:rsidR="00854572" w:rsidRPr="008A73E9">
        <w:rPr>
          <w:rFonts w:ascii="Arial" w:hAnsi="Arial" w:cs="Arial"/>
          <w:bCs/>
          <w:lang w:eastAsia="en-IN"/>
        </w:rPr>
        <w:t>Zn application at low level did not cause any toxic effect on rohu fry under the experimental conditions.</w:t>
      </w:r>
      <w:r w:rsidR="005D19E0">
        <w:rPr>
          <w:rFonts w:ascii="Arial" w:hAnsi="Arial" w:cs="Arial"/>
          <w:bCs/>
          <w:lang w:eastAsia="en-IN"/>
        </w:rPr>
        <w:t xml:space="preserve"> </w:t>
      </w:r>
      <w:r>
        <w:rPr>
          <w:rFonts w:ascii="Arial" w:hAnsi="Arial" w:cs="Arial"/>
          <w:bCs/>
          <w:lang w:eastAsia="en-IN"/>
        </w:rPr>
        <w:t>Further, a</w:t>
      </w:r>
      <w:r w:rsidR="00854572" w:rsidRPr="008A73E9">
        <w:rPr>
          <w:rFonts w:ascii="Arial" w:hAnsi="Arial" w:cs="Arial"/>
          <w:bCs/>
          <w:lang w:eastAsia="en-IN"/>
        </w:rPr>
        <w:t xml:space="preserve">s shown in Fig. 3, rohu fry exposed to 0.10 </w:t>
      </w:r>
      <w:r w:rsidR="00F0271D">
        <w:rPr>
          <w:rFonts w:ascii="Arial" w:hAnsi="Arial" w:cs="Arial"/>
          <w:bCs/>
          <w:lang w:eastAsia="en-IN"/>
        </w:rPr>
        <w:t>mg/l</w:t>
      </w:r>
      <w:r w:rsidR="00854572" w:rsidRPr="008A73E9">
        <w:rPr>
          <w:rFonts w:ascii="Arial" w:hAnsi="Arial" w:cs="Arial"/>
          <w:bCs/>
          <w:lang w:eastAsia="en-IN"/>
        </w:rPr>
        <w:t xml:space="preserve"> Zn exhibited significantly higher growth (7.57±0.05 cm; 3.27±0.15 g), compared to the control (6.02±0.11 cm; 2.53±0.04 g). </w:t>
      </w:r>
      <w:r w:rsidR="008A73E9" w:rsidRPr="008A73E9">
        <w:rPr>
          <w:rFonts w:ascii="Arial" w:hAnsi="Arial" w:cs="Arial"/>
          <w:bCs/>
          <w:lang w:eastAsia="en-IN"/>
        </w:rPr>
        <w:t xml:space="preserve">However, further increase in Zn concentration failed to induce increment in length and weight rather it decreased with increase in Zn concentration beyond 0.10 to 0.50 </w:t>
      </w:r>
      <w:r w:rsidR="00F0271D">
        <w:rPr>
          <w:rFonts w:ascii="Arial" w:hAnsi="Arial" w:cs="Arial"/>
          <w:bCs/>
          <w:lang w:eastAsia="en-IN"/>
        </w:rPr>
        <w:t>mg/l</w:t>
      </w:r>
      <w:r w:rsidR="008A73E9" w:rsidRPr="008A73E9">
        <w:rPr>
          <w:rFonts w:ascii="Arial" w:hAnsi="Arial" w:cs="Arial"/>
          <w:bCs/>
          <w:lang w:eastAsia="en-IN"/>
        </w:rPr>
        <w:t xml:space="preserve">. </w:t>
      </w:r>
    </w:p>
    <w:p w14:paraId="6A4CCC06" w14:textId="77777777" w:rsidR="00125FB9" w:rsidRPr="00704BE6" w:rsidRDefault="00735721" w:rsidP="00704BE6">
      <w:pPr>
        <w:autoSpaceDE w:val="0"/>
        <w:autoSpaceDN w:val="0"/>
        <w:adjustRightInd w:val="0"/>
        <w:spacing w:before="120" w:after="120"/>
        <w:jc w:val="center"/>
        <w:rPr>
          <w:rFonts w:ascii="Arial" w:hAnsi="Arial" w:cs="Arial"/>
          <w:bCs/>
          <w:color w:val="FF0000"/>
          <w:lang w:eastAsia="en-IN"/>
        </w:rPr>
      </w:pPr>
      <w:r w:rsidRPr="00704BE6">
        <w:rPr>
          <w:rFonts w:ascii="Arial" w:hAnsi="Arial" w:cs="Arial"/>
          <w:noProof/>
          <w:lang w:val="en-IN" w:eastAsia="en-IN" w:bidi="hi-IN"/>
        </w:rPr>
        <w:drawing>
          <wp:inline distT="0" distB="0" distL="0" distR="0" wp14:anchorId="21E76769" wp14:editId="4576F0F3">
            <wp:extent cx="3801537" cy="2034724"/>
            <wp:effectExtent l="0" t="0" r="889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3BF4E6" w14:textId="77777777" w:rsidR="00125FB9" w:rsidRDefault="00125FB9" w:rsidP="00704BE6">
      <w:pPr>
        <w:autoSpaceDE w:val="0"/>
        <w:autoSpaceDN w:val="0"/>
        <w:adjustRightInd w:val="0"/>
        <w:spacing w:before="120" w:after="120"/>
        <w:jc w:val="both"/>
        <w:rPr>
          <w:rFonts w:ascii="Arial" w:hAnsi="Arial" w:cs="Arial"/>
          <w:b/>
          <w:bCs/>
          <w:lang w:val="en-IN" w:eastAsia="en-IN"/>
        </w:rPr>
      </w:pPr>
      <w:r w:rsidRPr="00704BE6">
        <w:rPr>
          <w:rFonts w:ascii="Arial" w:hAnsi="Arial" w:cs="Arial"/>
          <w:b/>
          <w:bCs/>
          <w:lang w:val="en-IN" w:eastAsia="en-IN"/>
        </w:rPr>
        <w:t xml:space="preserve">Fig. </w:t>
      </w:r>
      <w:r w:rsidR="00450809" w:rsidRPr="00704BE6">
        <w:rPr>
          <w:rFonts w:ascii="Arial" w:hAnsi="Arial" w:cs="Arial"/>
          <w:b/>
          <w:bCs/>
          <w:lang w:val="en-IN" w:eastAsia="en-IN"/>
        </w:rPr>
        <w:t>3</w:t>
      </w:r>
      <w:r w:rsidRPr="00704BE6">
        <w:rPr>
          <w:rFonts w:ascii="Arial" w:hAnsi="Arial" w:cs="Arial"/>
          <w:b/>
          <w:bCs/>
          <w:lang w:val="en-IN" w:eastAsia="en-IN"/>
        </w:rPr>
        <w:t xml:space="preserve">. Effect of different concentrations of Zn on length </w:t>
      </w:r>
      <w:r w:rsidR="00200776" w:rsidRPr="00704BE6">
        <w:rPr>
          <w:rFonts w:ascii="Arial" w:hAnsi="Arial" w:cs="Arial"/>
          <w:b/>
          <w:bCs/>
          <w:lang w:val="en-IN" w:eastAsia="en-IN"/>
        </w:rPr>
        <w:t xml:space="preserve">and </w:t>
      </w:r>
      <w:r w:rsidR="00735721" w:rsidRPr="00704BE6">
        <w:rPr>
          <w:rFonts w:ascii="Arial" w:hAnsi="Arial" w:cs="Arial"/>
          <w:b/>
          <w:bCs/>
          <w:lang w:val="en-IN" w:eastAsia="en-IN"/>
        </w:rPr>
        <w:t xml:space="preserve">weight </w:t>
      </w:r>
      <w:r w:rsidRPr="00704BE6">
        <w:rPr>
          <w:rFonts w:ascii="Arial" w:hAnsi="Arial" w:cs="Arial"/>
          <w:b/>
          <w:bCs/>
          <w:lang w:val="en-IN" w:eastAsia="en-IN"/>
        </w:rPr>
        <w:t>of rohu</w:t>
      </w:r>
      <w:r w:rsidR="00735721" w:rsidRPr="00704BE6">
        <w:rPr>
          <w:rFonts w:ascii="Arial" w:hAnsi="Arial" w:cs="Arial"/>
          <w:b/>
          <w:bCs/>
          <w:lang w:val="en-IN" w:eastAsia="en-IN"/>
        </w:rPr>
        <w:t xml:space="preserve"> at harvest</w:t>
      </w:r>
    </w:p>
    <w:p w14:paraId="5A2ED28D" w14:textId="37891943" w:rsidR="005D19E0" w:rsidRPr="00B21FB9" w:rsidRDefault="005D19E0" w:rsidP="005D19E0">
      <w:pPr>
        <w:autoSpaceDE w:val="0"/>
        <w:autoSpaceDN w:val="0"/>
        <w:adjustRightInd w:val="0"/>
        <w:spacing w:before="120" w:after="120"/>
        <w:jc w:val="both"/>
      </w:pPr>
      <w:r w:rsidRPr="008A73E9">
        <w:rPr>
          <w:rFonts w:ascii="Arial" w:hAnsi="Arial" w:cs="Arial"/>
          <w:bCs/>
          <w:lang w:eastAsia="en-IN"/>
        </w:rPr>
        <w:lastRenderedPageBreak/>
        <w:t>Such results suggested threshold limit of Zn application up to 0.10 mg Zn/ L is beneficial for the growth of fish in microcosm rearing system however, further increase in Zn concentration becomes detrimental for fish growth.</w:t>
      </w:r>
      <w:r>
        <w:rPr>
          <w:rFonts w:ascii="Arial" w:hAnsi="Arial" w:cs="Arial"/>
          <w:bCs/>
          <w:lang w:eastAsia="en-IN"/>
        </w:rPr>
        <w:t xml:space="preserve"> Several research reports suggest the above findings which demonstrates low Zn concentrations </w:t>
      </w:r>
      <w:r w:rsidR="00D6715E">
        <w:rPr>
          <w:rFonts w:ascii="Arial" w:hAnsi="Arial" w:cs="Arial"/>
          <w:bCs/>
          <w:lang w:eastAsia="en-IN"/>
        </w:rPr>
        <w:t xml:space="preserve">promote fish growth at </w:t>
      </w:r>
      <w:r w:rsidRPr="00B21FB9">
        <w:t>optimal level</w:t>
      </w:r>
      <w:r w:rsidR="00D6715E">
        <w:t>, attributed to improvement in</w:t>
      </w:r>
      <w:r w:rsidRPr="00B21FB9">
        <w:t xml:space="preserve"> metabolism which primarily include protein synthesis, enzyme activity, blood cell formation which contributes to enhanced growth performance (Lall, 2002, Ogino and Yang, 1980, and NRC, 2011). In species like carp and catfish also moderate levels of Zn resulted in enhanced growth and feed efficiency while elevated Zn levels may cause toxicity, oxidative stress, and metabolic imbalance, leading to growth suppression (Spry and Wiener, 1991; </w:t>
      </w:r>
      <w:proofErr w:type="spellStart"/>
      <w:r w:rsidRPr="00B21FB9">
        <w:t>Alkahem</w:t>
      </w:r>
      <w:proofErr w:type="spellEnd"/>
      <w:r w:rsidRPr="00B21FB9">
        <w:t xml:space="preserve"> </w:t>
      </w:r>
      <w:r w:rsidR="00032AC4" w:rsidRPr="00B21FB9">
        <w:rPr>
          <w:i/>
          <w:iCs/>
        </w:rPr>
        <w:t>et al.</w:t>
      </w:r>
      <w:r w:rsidRPr="00B21FB9">
        <w:t xml:space="preserve">, 2011; and Wang </w:t>
      </w:r>
      <w:r w:rsidR="00032AC4" w:rsidRPr="00B21FB9">
        <w:rPr>
          <w:i/>
          <w:iCs/>
        </w:rPr>
        <w:t>et al.</w:t>
      </w:r>
      <w:r w:rsidRPr="00B21FB9">
        <w:t xml:space="preserve">, 2012). </w:t>
      </w:r>
      <w:r w:rsidRPr="00B21FB9">
        <w:rPr>
          <w:rFonts w:ascii="Arial" w:hAnsi="Arial" w:cs="Arial"/>
          <w:bCs/>
          <w:lang w:eastAsia="en-IN"/>
        </w:rPr>
        <w:t xml:space="preserve">Reduced growth performance in channel catfish and common carp at higher Zn concentrations and optimal growth and moderate to low Zn levels have also been reported (Gatlin and Wilson, 1984 and Ebrahimi </w:t>
      </w:r>
      <w:r w:rsidR="00032AC4" w:rsidRPr="00B21FB9">
        <w:rPr>
          <w:rFonts w:ascii="Arial" w:hAnsi="Arial" w:cs="Arial"/>
          <w:bCs/>
          <w:i/>
          <w:iCs/>
          <w:lang w:eastAsia="en-IN"/>
        </w:rPr>
        <w:t>et al.</w:t>
      </w:r>
      <w:r w:rsidRPr="00B21FB9">
        <w:rPr>
          <w:rFonts w:ascii="Arial" w:hAnsi="Arial" w:cs="Arial"/>
          <w:bCs/>
          <w:lang w:eastAsia="en-IN"/>
        </w:rPr>
        <w:t xml:space="preserve"> 2012). Therefore, 0.10 </w:t>
      </w:r>
      <w:r w:rsidR="00F0271D">
        <w:rPr>
          <w:rFonts w:ascii="Arial" w:hAnsi="Arial" w:cs="Arial"/>
          <w:bCs/>
          <w:lang w:eastAsia="en-IN"/>
        </w:rPr>
        <w:t>mg/l</w:t>
      </w:r>
      <w:r w:rsidRPr="00B21FB9">
        <w:rPr>
          <w:rFonts w:ascii="Arial" w:hAnsi="Arial" w:cs="Arial"/>
          <w:bCs/>
          <w:lang w:eastAsia="en-IN"/>
        </w:rPr>
        <w:t xml:space="preserve"> Zn appears to be the optimal concentration for growth promotion in rohu fingerlings reared in tank system.</w:t>
      </w:r>
    </w:p>
    <w:p w14:paraId="51505180" w14:textId="216EF5CB" w:rsidR="002160CF" w:rsidRPr="0079280B" w:rsidRDefault="002160CF" w:rsidP="00704BE6">
      <w:pPr>
        <w:pStyle w:val="Head1"/>
        <w:spacing w:after="0"/>
        <w:ind w:left="420" w:hanging="420"/>
        <w:jc w:val="both"/>
        <w:rPr>
          <w:rFonts w:ascii="Arial" w:hAnsi="Arial" w:cs="Arial"/>
          <w:szCs w:val="22"/>
        </w:rPr>
      </w:pPr>
      <w:r w:rsidRPr="0079280B">
        <w:rPr>
          <w:rFonts w:ascii="Arial" w:hAnsi="Arial" w:cs="Arial"/>
          <w:szCs w:val="22"/>
        </w:rPr>
        <w:t xml:space="preserve">3.3 </w:t>
      </w:r>
      <w:r w:rsidR="00353D0D" w:rsidRPr="0079280B">
        <w:rPr>
          <w:rFonts w:ascii="Arial" w:hAnsi="Arial" w:cs="Arial"/>
          <w:szCs w:val="22"/>
        </w:rPr>
        <w:t>Effect of Z</w:t>
      </w:r>
      <w:r w:rsidR="002C4C3A" w:rsidRPr="002C4C3A">
        <w:rPr>
          <w:rFonts w:ascii="Arial" w:hAnsi="Arial" w:cs="Arial"/>
          <w:caps w:val="0"/>
          <w:szCs w:val="22"/>
        </w:rPr>
        <w:t>n</w:t>
      </w:r>
      <w:r w:rsidR="00353D0D" w:rsidRPr="0079280B">
        <w:rPr>
          <w:rFonts w:ascii="Arial" w:hAnsi="Arial" w:cs="Arial"/>
          <w:szCs w:val="22"/>
        </w:rPr>
        <w:t xml:space="preserve"> Application on Rohu Fingerlings </w:t>
      </w:r>
    </w:p>
    <w:p w14:paraId="11537305" w14:textId="77777777" w:rsidR="002B12ED" w:rsidRPr="0079280B" w:rsidRDefault="006620E9" w:rsidP="00704BE6">
      <w:pPr>
        <w:autoSpaceDE w:val="0"/>
        <w:autoSpaceDN w:val="0"/>
        <w:adjustRightInd w:val="0"/>
        <w:spacing w:before="120" w:after="120"/>
        <w:jc w:val="both"/>
        <w:rPr>
          <w:rFonts w:ascii="Arial" w:hAnsi="Arial" w:cs="Arial"/>
          <w:b/>
          <w:bCs/>
        </w:rPr>
      </w:pPr>
      <w:r w:rsidRPr="0079280B">
        <w:rPr>
          <w:rFonts w:ascii="Arial" w:hAnsi="Arial" w:cs="Arial"/>
          <w:b/>
          <w:bCs/>
        </w:rPr>
        <w:t>Survival and Growth performance</w:t>
      </w:r>
    </w:p>
    <w:p w14:paraId="49704049" w14:textId="0698D519" w:rsidR="006620E9" w:rsidRDefault="002B12ED" w:rsidP="006620E9">
      <w:pPr>
        <w:autoSpaceDE w:val="0"/>
        <w:autoSpaceDN w:val="0"/>
        <w:adjustRightInd w:val="0"/>
        <w:spacing w:before="120" w:after="120"/>
        <w:jc w:val="both"/>
        <w:rPr>
          <w:rFonts w:ascii="Arial" w:hAnsi="Arial" w:cs="Arial"/>
          <w:bCs/>
          <w:lang w:eastAsia="en-IN"/>
        </w:rPr>
      </w:pPr>
      <w:r w:rsidRPr="002B12ED">
        <w:rPr>
          <w:rFonts w:ascii="Arial" w:hAnsi="Arial" w:cs="Arial"/>
          <w:bCs/>
          <w:lang w:eastAsia="en-IN"/>
        </w:rPr>
        <w:t xml:space="preserve">The findings clearly indicate that Zn application at 0.10 </w:t>
      </w:r>
      <w:r w:rsidR="00F0271D">
        <w:rPr>
          <w:rFonts w:ascii="Arial" w:hAnsi="Arial" w:cs="Arial"/>
          <w:bCs/>
          <w:lang w:eastAsia="en-IN"/>
        </w:rPr>
        <w:t>mg/l</w:t>
      </w:r>
      <w:r w:rsidRPr="002B12ED">
        <w:rPr>
          <w:rFonts w:ascii="Arial" w:hAnsi="Arial" w:cs="Arial"/>
          <w:bCs/>
          <w:lang w:eastAsia="en-IN"/>
        </w:rPr>
        <w:t xml:space="preserve"> resulted in </w:t>
      </w:r>
      <w:r>
        <w:rPr>
          <w:rFonts w:ascii="Arial" w:hAnsi="Arial" w:cs="Arial"/>
          <w:bCs/>
          <w:lang w:eastAsia="en-IN"/>
        </w:rPr>
        <w:t xml:space="preserve">statistically </w:t>
      </w:r>
      <w:r w:rsidRPr="002B12ED">
        <w:rPr>
          <w:rFonts w:ascii="Arial" w:hAnsi="Arial" w:cs="Arial"/>
          <w:bCs/>
          <w:lang w:eastAsia="en-IN"/>
        </w:rPr>
        <w:t xml:space="preserve">significant increase in length and weight gain in rohu fingerlings </w:t>
      </w:r>
      <w:r>
        <w:rPr>
          <w:rFonts w:ascii="Arial" w:hAnsi="Arial" w:cs="Arial"/>
          <w:bCs/>
          <w:lang w:eastAsia="en-IN"/>
        </w:rPr>
        <w:t xml:space="preserve">at harvest. </w:t>
      </w:r>
      <w:r w:rsidR="00492280">
        <w:rPr>
          <w:rFonts w:ascii="Arial" w:hAnsi="Arial" w:cs="Arial"/>
          <w:bCs/>
          <w:lang w:eastAsia="en-IN"/>
        </w:rPr>
        <w:t xml:space="preserve">The treatment receiving </w:t>
      </w:r>
      <w:r w:rsidR="00492280" w:rsidRPr="00704BE6">
        <w:rPr>
          <w:rFonts w:ascii="Arial" w:hAnsi="Arial" w:cs="Arial"/>
          <w:bCs/>
          <w:lang w:eastAsia="en-IN"/>
        </w:rPr>
        <w:t xml:space="preserve">Zn (114.2 g; 22.84 cm) performed better </w:t>
      </w:r>
      <w:r w:rsidR="00492280">
        <w:rPr>
          <w:rFonts w:ascii="Arial" w:hAnsi="Arial" w:cs="Arial"/>
          <w:bCs/>
          <w:lang w:eastAsia="en-IN"/>
        </w:rPr>
        <w:t>than</w:t>
      </w:r>
      <w:r w:rsidR="00492280" w:rsidRPr="00704BE6">
        <w:rPr>
          <w:rFonts w:ascii="Arial" w:hAnsi="Arial" w:cs="Arial"/>
          <w:bCs/>
          <w:lang w:eastAsia="en-IN"/>
        </w:rPr>
        <w:t xml:space="preserve"> control (</w:t>
      </w:r>
      <w:r w:rsidR="00492280">
        <w:rPr>
          <w:rFonts w:ascii="Arial" w:hAnsi="Arial" w:cs="Arial"/>
          <w:bCs/>
          <w:lang w:eastAsia="en-IN"/>
        </w:rPr>
        <w:t xml:space="preserve">101.83 </w:t>
      </w:r>
      <w:r w:rsidR="00492280" w:rsidRPr="00704BE6">
        <w:rPr>
          <w:rFonts w:ascii="Arial" w:hAnsi="Arial" w:cs="Arial"/>
          <w:bCs/>
          <w:lang w:eastAsia="en-IN"/>
        </w:rPr>
        <w:t xml:space="preserve">g; </w:t>
      </w:r>
      <w:r w:rsidR="00492280">
        <w:rPr>
          <w:rFonts w:ascii="Arial" w:hAnsi="Arial" w:cs="Arial"/>
          <w:bCs/>
          <w:lang w:eastAsia="en-IN"/>
        </w:rPr>
        <w:t>20</w:t>
      </w:r>
      <w:r w:rsidR="00492280" w:rsidRPr="00704BE6">
        <w:rPr>
          <w:rFonts w:ascii="Arial" w:hAnsi="Arial" w:cs="Arial"/>
          <w:bCs/>
          <w:lang w:eastAsia="en-IN"/>
        </w:rPr>
        <w:t>.</w:t>
      </w:r>
      <w:r w:rsidR="00492280">
        <w:rPr>
          <w:rFonts w:ascii="Arial" w:hAnsi="Arial" w:cs="Arial"/>
          <w:bCs/>
          <w:lang w:eastAsia="en-IN"/>
        </w:rPr>
        <w:t>10</w:t>
      </w:r>
      <w:r w:rsidR="00492280" w:rsidRPr="00704BE6">
        <w:rPr>
          <w:rFonts w:ascii="Arial" w:hAnsi="Arial" w:cs="Arial"/>
          <w:bCs/>
          <w:lang w:eastAsia="en-IN"/>
        </w:rPr>
        <w:t xml:space="preserve"> cm) (Fig. 4)</w:t>
      </w:r>
      <w:r w:rsidR="00492280">
        <w:rPr>
          <w:rFonts w:ascii="Arial" w:hAnsi="Arial" w:cs="Arial"/>
          <w:bCs/>
          <w:lang w:eastAsia="en-IN"/>
        </w:rPr>
        <w:t xml:space="preserve">. </w:t>
      </w:r>
      <w:r>
        <w:rPr>
          <w:rFonts w:ascii="Arial" w:hAnsi="Arial" w:cs="Arial"/>
          <w:bCs/>
          <w:lang w:eastAsia="en-IN"/>
        </w:rPr>
        <w:t xml:space="preserve">The survival (%) of fingerlings was recorded at around </w:t>
      </w:r>
      <w:r w:rsidR="009E7E0C">
        <w:rPr>
          <w:rFonts w:ascii="Arial" w:hAnsi="Arial" w:cs="Arial"/>
          <w:bCs/>
          <w:lang w:eastAsia="en-IN"/>
        </w:rPr>
        <w:t>88.5</w:t>
      </w:r>
      <w:r>
        <w:rPr>
          <w:rFonts w:ascii="Arial" w:hAnsi="Arial" w:cs="Arial"/>
          <w:bCs/>
          <w:lang w:eastAsia="en-IN"/>
        </w:rPr>
        <w:t xml:space="preserve"> and 90</w:t>
      </w:r>
      <w:r w:rsidR="009E7E0C">
        <w:rPr>
          <w:rFonts w:ascii="Arial" w:hAnsi="Arial" w:cs="Arial"/>
          <w:bCs/>
          <w:lang w:eastAsia="en-IN"/>
        </w:rPr>
        <w:t>.3</w:t>
      </w:r>
      <w:r>
        <w:rPr>
          <w:rFonts w:ascii="Arial" w:hAnsi="Arial" w:cs="Arial"/>
          <w:bCs/>
          <w:lang w:eastAsia="en-IN"/>
        </w:rPr>
        <w:t>% in control and Zn treated group</w:t>
      </w:r>
      <w:r w:rsidR="009E7E0C">
        <w:rPr>
          <w:rFonts w:ascii="Arial" w:hAnsi="Arial" w:cs="Arial"/>
          <w:bCs/>
          <w:lang w:eastAsia="en-IN"/>
        </w:rPr>
        <w:t>s, respectively</w:t>
      </w:r>
      <w:r>
        <w:rPr>
          <w:rFonts w:ascii="Arial" w:hAnsi="Arial" w:cs="Arial"/>
          <w:bCs/>
          <w:lang w:eastAsia="en-IN"/>
        </w:rPr>
        <w:t xml:space="preserve"> which </w:t>
      </w:r>
      <w:r w:rsidR="009E7E0C">
        <w:rPr>
          <w:rFonts w:ascii="Arial" w:hAnsi="Arial" w:cs="Arial"/>
          <w:bCs/>
          <w:lang w:eastAsia="en-IN"/>
        </w:rPr>
        <w:t xml:space="preserve">was </w:t>
      </w:r>
      <w:r>
        <w:rPr>
          <w:rFonts w:ascii="Arial" w:hAnsi="Arial" w:cs="Arial"/>
          <w:bCs/>
          <w:lang w:eastAsia="en-IN"/>
        </w:rPr>
        <w:t xml:space="preserve">statistically non-significant. </w:t>
      </w:r>
      <w:r w:rsidR="00492280">
        <w:rPr>
          <w:rFonts w:ascii="Arial" w:hAnsi="Arial" w:cs="Arial"/>
          <w:bCs/>
          <w:lang w:eastAsia="en-IN"/>
        </w:rPr>
        <w:t xml:space="preserve">The results evidently suggest that very </w:t>
      </w:r>
      <w:r w:rsidR="009E7E0C">
        <w:rPr>
          <w:rFonts w:ascii="Arial" w:hAnsi="Arial" w:cs="Arial"/>
          <w:bCs/>
          <w:lang w:eastAsia="en-IN"/>
        </w:rPr>
        <w:t>small</w:t>
      </w:r>
      <w:r w:rsidR="00492280">
        <w:rPr>
          <w:rFonts w:ascii="Arial" w:hAnsi="Arial" w:cs="Arial"/>
          <w:bCs/>
          <w:lang w:eastAsia="en-IN"/>
        </w:rPr>
        <w:t xml:space="preserve"> supplementation of Zn (0.10 </w:t>
      </w:r>
      <w:r w:rsidR="00F0271D">
        <w:rPr>
          <w:rFonts w:ascii="Arial" w:hAnsi="Arial" w:cs="Arial"/>
          <w:bCs/>
          <w:lang w:eastAsia="en-IN"/>
        </w:rPr>
        <w:t>mg/l</w:t>
      </w:r>
      <w:r w:rsidR="00492280">
        <w:rPr>
          <w:rFonts w:ascii="Arial" w:hAnsi="Arial" w:cs="Arial"/>
          <w:bCs/>
          <w:lang w:eastAsia="en-IN"/>
        </w:rPr>
        <w:t>) influenced both length and weight gain in rohu fingerlings</w:t>
      </w:r>
      <w:r w:rsidR="009E7E0C">
        <w:rPr>
          <w:rFonts w:ascii="Arial" w:hAnsi="Arial" w:cs="Arial"/>
          <w:bCs/>
          <w:lang w:eastAsia="en-IN"/>
        </w:rPr>
        <w:t>,</w:t>
      </w:r>
      <w:r w:rsidR="00492280">
        <w:rPr>
          <w:rFonts w:ascii="Arial" w:hAnsi="Arial" w:cs="Arial"/>
          <w:bCs/>
          <w:lang w:eastAsia="en-IN"/>
        </w:rPr>
        <w:t xml:space="preserve"> highlighting its beneficial role in growth during culture. </w:t>
      </w:r>
    </w:p>
    <w:p w14:paraId="725F1692" w14:textId="77777777" w:rsidR="00125FB9" w:rsidRPr="00704BE6" w:rsidRDefault="00200776" w:rsidP="00BE5833">
      <w:pPr>
        <w:autoSpaceDE w:val="0"/>
        <w:autoSpaceDN w:val="0"/>
        <w:adjustRightInd w:val="0"/>
        <w:spacing w:before="120" w:after="120"/>
        <w:jc w:val="center"/>
        <w:rPr>
          <w:rFonts w:ascii="Arial" w:hAnsi="Arial" w:cs="Arial"/>
        </w:rPr>
      </w:pPr>
      <w:r w:rsidRPr="00645760">
        <w:rPr>
          <w:rFonts w:ascii="Arial" w:hAnsi="Arial" w:cs="Arial"/>
          <w:noProof/>
          <w:lang w:val="en-IN" w:eastAsia="en-IN" w:bidi="hi-IN"/>
        </w:rPr>
        <w:drawing>
          <wp:inline distT="0" distB="0" distL="0" distR="0" wp14:anchorId="7F0670E4" wp14:editId="3525DA22">
            <wp:extent cx="3648974" cy="1966823"/>
            <wp:effectExtent l="0" t="0" r="889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F1C803" w14:textId="77777777" w:rsidR="00125FB9" w:rsidRDefault="00200776" w:rsidP="00BE5833">
      <w:pPr>
        <w:pStyle w:val="ListParagraph"/>
        <w:autoSpaceDE w:val="0"/>
        <w:autoSpaceDN w:val="0"/>
        <w:adjustRightInd w:val="0"/>
        <w:spacing w:after="120" w:line="240" w:lineRule="auto"/>
        <w:ind w:left="0"/>
        <w:contextualSpacing w:val="0"/>
        <w:jc w:val="both"/>
        <w:rPr>
          <w:rFonts w:ascii="Arial" w:hAnsi="Arial" w:cs="Arial"/>
          <w:b/>
          <w:bCs/>
          <w:sz w:val="20"/>
          <w:szCs w:val="20"/>
          <w:lang w:eastAsia="en-IN"/>
        </w:rPr>
      </w:pPr>
      <w:r w:rsidRPr="00704BE6">
        <w:rPr>
          <w:rFonts w:ascii="Arial" w:hAnsi="Arial" w:cs="Arial"/>
          <w:b/>
          <w:bCs/>
          <w:sz w:val="20"/>
          <w:szCs w:val="20"/>
          <w:lang w:eastAsia="en-IN"/>
        </w:rPr>
        <w:t xml:space="preserve">Fig. </w:t>
      </w:r>
      <w:r w:rsidR="00125FB9" w:rsidRPr="00704BE6">
        <w:rPr>
          <w:rFonts w:ascii="Arial" w:hAnsi="Arial" w:cs="Arial"/>
          <w:b/>
          <w:bCs/>
          <w:sz w:val="20"/>
          <w:szCs w:val="20"/>
          <w:lang w:eastAsia="en-IN"/>
        </w:rPr>
        <w:t xml:space="preserve">4. </w:t>
      </w:r>
      <w:r w:rsidRPr="00704BE6">
        <w:rPr>
          <w:rFonts w:ascii="Arial" w:hAnsi="Arial" w:cs="Arial"/>
          <w:b/>
          <w:bCs/>
          <w:sz w:val="20"/>
          <w:szCs w:val="20"/>
          <w:lang w:eastAsia="en-IN"/>
        </w:rPr>
        <w:t>Effect of different concentrations of Zn on length and weight of rohu at harvest</w:t>
      </w:r>
    </w:p>
    <w:p w14:paraId="0A93075D" w14:textId="77777777" w:rsidR="006620E9" w:rsidRDefault="006620E9" w:rsidP="006620E9">
      <w:pPr>
        <w:autoSpaceDE w:val="0"/>
        <w:autoSpaceDN w:val="0"/>
        <w:adjustRightInd w:val="0"/>
        <w:spacing w:before="120" w:after="120"/>
        <w:jc w:val="both"/>
        <w:rPr>
          <w:rFonts w:ascii="Arial" w:hAnsi="Arial" w:cs="Arial"/>
          <w:bCs/>
          <w:lang w:eastAsia="en-IN"/>
        </w:rPr>
      </w:pPr>
      <w:r w:rsidRPr="007B4199">
        <w:rPr>
          <w:rFonts w:ascii="Arial" w:hAnsi="Arial" w:cs="Arial"/>
          <w:bCs/>
          <w:lang w:eastAsia="en-IN"/>
        </w:rPr>
        <w:t xml:space="preserve">The findings bring into line with several other studies which reported helpful role of Zn in fish growth and metabolism. Being an essential micronutrient, Zn is vital for numerous physiological activities like protein assimilation, numerous enzyme activities, and cell division etc. (Watanabe </w:t>
      </w:r>
      <w:r w:rsidR="00032AC4" w:rsidRPr="007B4199">
        <w:rPr>
          <w:rFonts w:ascii="Arial" w:hAnsi="Arial" w:cs="Arial"/>
          <w:bCs/>
          <w:i/>
          <w:iCs/>
          <w:lang w:eastAsia="en-IN"/>
        </w:rPr>
        <w:t>et al.</w:t>
      </w:r>
      <w:r w:rsidRPr="007B4199">
        <w:rPr>
          <w:rFonts w:ascii="Arial" w:hAnsi="Arial" w:cs="Arial"/>
          <w:bCs/>
          <w:lang w:eastAsia="en-IN"/>
        </w:rPr>
        <w:t xml:space="preserve">, 1997). Enzymes like carbonic anhydrase and alkaline phosphatase which are involved in osmoregulation and digestion require Zn as co-factor which means external Zn fertilization has a positive role in influencing growth performance in fish (Hardy </w:t>
      </w:r>
      <w:r w:rsidR="00032AC4" w:rsidRPr="007B4199">
        <w:rPr>
          <w:rFonts w:ascii="Arial" w:hAnsi="Arial" w:cs="Arial"/>
          <w:bCs/>
          <w:i/>
          <w:iCs/>
          <w:lang w:eastAsia="en-IN"/>
        </w:rPr>
        <w:t>et al.</w:t>
      </w:r>
      <w:r w:rsidRPr="007B4199">
        <w:rPr>
          <w:rFonts w:ascii="Arial" w:hAnsi="Arial" w:cs="Arial"/>
          <w:bCs/>
          <w:lang w:eastAsia="en-IN"/>
        </w:rPr>
        <w:t xml:space="preserve">, 1996). Under intensive culture system, wherein free Zn availability in water may be limited, Zn supplied through diet resulted in increase in growth performance of rainbow trout (Hughes and Johnston, 1990). Zinc supplementation has been reported to enhance weight gain in channel catfish Gatlin and Wilson (1984) and Indian major carps (Reddy and Venugopal, 1990) as well. Zn also promotes absorption and utilization of other nutrients thereby improving gain in body weight (Prasad, 1995). The above reports advocate that Zn has a vital role to </w:t>
      </w:r>
      <w:r>
        <w:rPr>
          <w:rFonts w:ascii="Arial" w:hAnsi="Arial" w:cs="Arial"/>
          <w:bCs/>
          <w:lang w:eastAsia="en-IN"/>
        </w:rPr>
        <w:lastRenderedPageBreak/>
        <w:t xml:space="preserve">play in metabolism and </w:t>
      </w:r>
      <w:r w:rsidRPr="002B12ED">
        <w:rPr>
          <w:rFonts w:ascii="Arial" w:hAnsi="Arial" w:cs="Arial"/>
          <w:bCs/>
          <w:lang w:eastAsia="en-IN"/>
        </w:rPr>
        <w:t>tissue development in fish species</w:t>
      </w:r>
      <w:r>
        <w:rPr>
          <w:rFonts w:ascii="Arial" w:hAnsi="Arial" w:cs="Arial"/>
          <w:bCs/>
          <w:lang w:eastAsia="en-IN"/>
        </w:rPr>
        <w:t xml:space="preserve"> which are in consonance with the results observed in the current study on rohu fingerlings</w:t>
      </w:r>
      <w:r w:rsidRPr="002B12ED">
        <w:rPr>
          <w:rFonts w:ascii="Arial" w:hAnsi="Arial" w:cs="Arial"/>
          <w:bCs/>
          <w:lang w:eastAsia="en-IN"/>
        </w:rPr>
        <w:t>.</w:t>
      </w:r>
      <w:r>
        <w:rPr>
          <w:rFonts w:ascii="Arial" w:hAnsi="Arial" w:cs="Arial"/>
          <w:bCs/>
          <w:lang w:eastAsia="en-IN"/>
        </w:rPr>
        <w:t xml:space="preserve"> </w:t>
      </w:r>
    </w:p>
    <w:p w14:paraId="458E4052" w14:textId="77777777" w:rsidR="00125FB9" w:rsidRPr="0079280B" w:rsidRDefault="00082172" w:rsidP="00AB4423">
      <w:pPr>
        <w:autoSpaceDE w:val="0"/>
        <w:autoSpaceDN w:val="0"/>
        <w:adjustRightInd w:val="0"/>
        <w:spacing w:before="120" w:after="120"/>
        <w:jc w:val="both"/>
        <w:rPr>
          <w:rFonts w:ascii="Arial" w:hAnsi="Arial" w:cs="Arial"/>
          <w:b/>
          <w:bCs/>
        </w:rPr>
      </w:pPr>
      <w:proofErr w:type="spellStart"/>
      <w:r w:rsidRPr="0079280B">
        <w:rPr>
          <w:rFonts w:ascii="Arial" w:hAnsi="Arial" w:cs="Arial"/>
          <w:b/>
          <w:bCs/>
        </w:rPr>
        <w:t>Haematopoietic</w:t>
      </w:r>
      <w:proofErr w:type="spellEnd"/>
      <w:r w:rsidRPr="0079280B">
        <w:rPr>
          <w:rFonts w:ascii="Arial" w:hAnsi="Arial" w:cs="Arial"/>
          <w:b/>
          <w:bCs/>
        </w:rPr>
        <w:t xml:space="preserve"> activity and innate immune responsiveness</w:t>
      </w:r>
    </w:p>
    <w:p w14:paraId="7D4652D7" w14:textId="7CE27AD1" w:rsidR="00B93E62" w:rsidRPr="00027AAC" w:rsidRDefault="00645760" w:rsidP="00B93E62">
      <w:pPr>
        <w:autoSpaceDE w:val="0"/>
        <w:autoSpaceDN w:val="0"/>
        <w:adjustRightInd w:val="0"/>
        <w:spacing w:before="120" w:after="120"/>
        <w:jc w:val="both"/>
        <w:rPr>
          <w:rFonts w:ascii="Arial" w:hAnsi="Arial" w:cs="Arial"/>
          <w:bCs/>
          <w:color w:val="00B0F0"/>
          <w:lang w:eastAsia="en-IN"/>
        </w:rPr>
      </w:pPr>
      <w:r w:rsidRPr="007B4199">
        <w:rPr>
          <w:rFonts w:ascii="Arial" w:hAnsi="Arial" w:cs="Arial"/>
          <w:bCs/>
          <w:lang w:eastAsia="en-IN"/>
        </w:rPr>
        <w:t>With the application 0.1</w:t>
      </w:r>
      <w:r w:rsidR="006620E9" w:rsidRPr="007B4199">
        <w:rPr>
          <w:rFonts w:ascii="Arial" w:hAnsi="Arial" w:cs="Arial"/>
          <w:bCs/>
          <w:lang w:eastAsia="en-IN"/>
        </w:rPr>
        <w:t>0</w:t>
      </w:r>
      <w:r w:rsidRPr="007B4199">
        <w:rPr>
          <w:rFonts w:ascii="Arial" w:hAnsi="Arial" w:cs="Arial"/>
          <w:bCs/>
          <w:lang w:eastAsia="en-IN"/>
        </w:rPr>
        <w:t xml:space="preserve"> </w:t>
      </w:r>
      <w:r w:rsidR="00F0271D">
        <w:rPr>
          <w:rFonts w:ascii="Arial" w:hAnsi="Arial" w:cs="Arial"/>
          <w:bCs/>
          <w:lang w:eastAsia="en-IN"/>
        </w:rPr>
        <w:t>mg/l</w:t>
      </w:r>
      <w:r w:rsidRPr="007B4199">
        <w:rPr>
          <w:rFonts w:ascii="Arial" w:hAnsi="Arial" w:cs="Arial"/>
          <w:bCs/>
          <w:lang w:eastAsia="en-IN"/>
        </w:rPr>
        <w:t xml:space="preserve"> Zn, a significant increase in </w:t>
      </w:r>
      <w:proofErr w:type="spellStart"/>
      <w:r w:rsidRPr="007B4199">
        <w:rPr>
          <w:rFonts w:ascii="Arial" w:hAnsi="Arial" w:cs="Arial"/>
          <w:bCs/>
          <w:lang w:eastAsia="en-IN"/>
        </w:rPr>
        <w:t>haemoglobin</w:t>
      </w:r>
      <w:proofErr w:type="spellEnd"/>
      <w:r w:rsidRPr="007B4199">
        <w:rPr>
          <w:rFonts w:ascii="Arial" w:hAnsi="Arial" w:cs="Arial"/>
          <w:bCs/>
          <w:lang w:eastAsia="en-IN"/>
        </w:rPr>
        <w:t xml:space="preserve"> (%), packed cell volume (PCV%), total RBC &amp; WBC counts, and neutrophil (%) percentage was observed which indicated greater </w:t>
      </w:r>
      <w:proofErr w:type="spellStart"/>
      <w:r w:rsidRPr="007B4199">
        <w:rPr>
          <w:rFonts w:ascii="Arial" w:hAnsi="Arial" w:cs="Arial"/>
          <w:bCs/>
          <w:lang w:eastAsia="en-IN"/>
        </w:rPr>
        <w:t>haematopoietic</w:t>
      </w:r>
      <w:proofErr w:type="spellEnd"/>
      <w:r w:rsidRPr="007B4199">
        <w:rPr>
          <w:rFonts w:ascii="Arial" w:hAnsi="Arial" w:cs="Arial"/>
          <w:bCs/>
          <w:lang w:eastAsia="en-IN"/>
        </w:rPr>
        <w:t xml:space="preserve"> activity and immune responsiveness in fingerlings</w:t>
      </w:r>
      <w:r w:rsidR="00082172" w:rsidRPr="007B4199">
        <w:rPr>
          <w:rFonts w:ascii="Arial" w:hAnsi="Arial" w:cs="Arial"/>
          <w:bCs/>
          <w:lang w:eastAsia="en-IN"/>
        </w:rPr>
        <w:t xml:space="preserve"> (Table 3)</w:t>
      </w:r>
      <w:r w:rsidRPr="007B4199">
        <w:rPr>
          <w:rFonts w:ascii="Arial" w:hAnsi="Arial" w:cs="Arial"/>
          <w:bCs/>
          <w:lang w:eastAsia="en-IN"/>
        </w:rPr>
        <w:t>. However, eosinophils (%) remained statistically at par, while small reduction in lymphocyte (%) was observed with Zn application.</w:t>
      </w:r>
      <w:r w:rsidR="00082172" w:rsidRPr="007B4199">
        <w:rPr>
          <w:rFonts w:ascii="Arial" w:hAnsi="Arial" w:cs="Arial"/>
          <w:bCs/>
          <w:lang w:eastAsia="en-IN"/>
        </w:rPr>
        <w:t xml:space="preserve"> </w:t>
      </w:r>
      <w:proofErr w:type="gramStart"/>
      <w:r w:rsidR="00082172" w:rsidRPr="007B4199">
        <w:rPr>
          <w:rFonts w:ascii="Arial" w:hAnsi="Arial" w:cs="Arial"/>
          <w:bCs/>
          <w:lang w:eastAsia="en-IN"/>
        </w:rPr>
        <w:t>Thus</w:t>
      </w:r>
      <w:proofErr w:type="gramEnd"/>
      <w:r w:rsidR="00082172" w:rsidRPr="007B4199">
        <w:rPr>
          <w:rFonts w:ascii="Arial" w:hAnsi="Arial" w:cs="Arial"/>
          <w:bCs/>
          <w:lang w:eastAsia="en-IN"/>
        </w:rPr>
        <w:t xml:space="preserve"> the results clearly suggest that Zn application at very low concentration (0.1</w:t>
      </w:r>
      <w:r w:rsidR="006620E9" w:rsidRPr="007B4199">
        <w:rPr>
          <w:rFonts w:ascii="Arial" w:hAnsi="Arial" w:cs="Arial"/>
          <w:bCs/>
          <w:lang w:eastAsia="en-IN"/>
        </w:rPr>
        <w:t>0</w:t>
      </w:r>
      <w:r w:rsidR="00082172" w:rsidRPr="007B4199">
        <w:rPr>
          <w:rFonts w:ascii="Arial" w:hAnsi="Arial" w:cs="Arial"/>
          <w:bCs/>
          <w:lang w:eastAsia="en-IN"/>
        </w:rPr>
        <w:t xml:space="preserve"> </w:t>
      </w:r>
      <w:r w:rsidR="00F0271D">
        <w:rPr>
          <w:rFonts w:ascii="Arial" w:hAnsi="Arial" w:cs="Arial"/>
          <w:bCs/>
          <w:lang w:eastAsia="en-IN"/>
        </w:rPr>
        <w:t>mg/l</w:t>
      </w:r>
      <w:r w:rsidR="00082172" w:rsidRPr="007B4199">
        <w:rPr>
          <w:rFonts w:ascii="Arial" w:hAnsi="Arial" w:cs="Arial"/>
          <w:bCs/>
          <w:lang w:eastAsia="en-IN"/>
        </w:rPr>
        <w:t>) results in promoting</w:t>
      </w:r>
      <w:r w:rsidRPr="007B4199">
        <w:rPr>
          <w:rFonts w:ascii="Arial" w:hAnsi="Arial" w:cs="Arial"/>
          <w:bCs/>
          <w:lang w:eastAsia="en-IN"/>
        </w:rPr>
        <w:t xml:space="preserve"> blood health and cellular immunity in rohu</w:t>
      </w:r>
      <w:r w:rsidR="00082172" w:rsidRPr="007B4199">
        <w:rPr>
          <w:rFonts w:ascii="Arial" w:hAnsi="Arial" w:cs="Arial"/>
          <w:bCs/>
          <w:lang w:eastAsia="en-IN"/>
        </w:rPr>
        <w:t xml:space="preserve"> fingerlings</w:t>
      </w:r>
      <w:r w:rsidRPr="007B4199">
        <w:rPr>
          <w:rFonts w:ascii="Arial" w:hAnsi="Arial" w:cs="Arial"/>
          <w:bCs/>
          <w:lang w:eastAsia="en-IN"/>
        </w:rPr>
        <w:t>.</w:t>
      </w:r>
      <w:r w:rsidR="00082172" w:rsidRPr="007B4199">
        <w:rPr>
          <w:rFonts w:ascii="Arial" w:hAnsi="Arial" w:cs="Arial"/>
          <w:bCs/>
          <w:lang w:eastAsia="en-IN"/>
        </w:rPr>
        <w:t xml:space="preserve"> </w:t>
      </w:r>
      <w:r w:rsidRPr="007B4199">
        <w:rPr>
          <w:rFonts w:ascii="Arial" w:hAnsi="Arial" w:cs="Arial"/>
          <w:bCs/>
          <w:lang w:eastAsia="en-IN"/>
        </w:rPr>
        <w:t xml:space="preserve">In addition to </w:t>
      </w:r>
      <w:proofErr w:type="spellStart"/>
      <w:r w:rsidRPr="007B4199">
        <w:rPr>
          <w:rFonts w:ascii="Arial" w:hAnsi="Arial" w:cs="Arial"/>
          <w:bCs/>
          <w:lang w:eastAsia="en-IN"/>
        </w:rPr>
        <w:t>haematological</w:t>
      </w:r>
      <w:proofErr w:type="spellEnd"/>
      <w:r w:rsidRPr="007B4199">
        <w:rPr>
          <w:rFonts w:ascii="Arial" w:hAnsi="Arial" w:cs="Arial"/>
          <w:bCs/>
          <w:lang w:eastAsia="en-IN"/>
        </w:rPr>
        <w:t xml:space="preserve"> improvements, Zn </w:t>
      </w:r>
      <w:r w:rsidR="00082172" w:rsidRPr="007B4199">
        <w:rPr>
          <w:rFonts w:ascii="Arial" w:hAnsi="Arial" w:cs="Arial"/>
          <w:bCs/>
          <w:lang w:eastAsia="en-IN"/>
        </w:rPr>
        <w:t xml:space="preserve">supplementation </w:t>
      </w:r>
      <w:r w:rsidRPr="007B4199">
        <w:rPr>
          <w:rFonts w:ascii="Arial" w:hAnsi="Arial" w:cs="Arial"/>
          <w:bCs/>
          <w:lang w:eastAsia="en-IN"/>
        </w:rPr>
        <w:t>positively influenced innate immune responses</w:t>
      </w:r>
      <w:r w:rsidR="00082172" w:rsidRPr="007B4199">
        <w:rPr>
          <w:rFonts w:ascii="Arial" w:hAnsi="Arial" w:cs="Arial"/>
          <w:bCs/>
          <w:lang w:eastAsia="en-IN"/>
        </w:rPr>
        <w:t xml:space="preserve"> in rohu fingerlings</w:t>
      </w:r>
      <w:r w:rsidRPr="007B4199">
        <w:rPr>
          <w:rFonts w:ascii="Arial" w:hAnsi="Arial" w:cs="Arial"/>
          <w:bCs/>
          <w:lang w:eastAsia="en-IN"/>
        </w:rPr>
        <w:t xml:space="preserve">. </w:t>
      </w:r>
      <w:r w:rsidR="00027AAC" w:rsidRPr="007B4199">
        <w:rPr>
          <w:rFonts w:ascii="Arial" w:hAnsi="Arial" w:cs="Arial"/>
          <w:bCs/>
          <w:lang w:eastAsia="en-IN"/>
        </w:rPr>
        <w:t xml:space="preserve">In Zn treated groups, significant increase in important non-specific immunity markers like respiratory burst activity and myeloperoxidase activity was observed compared to control. </w:t>
      </w:r>
      <w:r w:rsidRPr="007B4199">
        <w:rPr>
          <w:rFonts w:ascii="Arial" w:hAnsi="Arial" w:cs="Arial"/>
          <w:bCs/>
          <w:lang w:eastAsia="en-IN"/>
        </w:rPr>
        <w:t xml:space="preserve">These </w:t>
      </w:r>
      <w:r w:rsidR="00027AAC" w:rsidRPr="007B4199">
        <w:rPr>
          <w:rFonts w:ascii="Arial" w:hAnsi="Arial" w:cs="Arial"/>
          <w:bCs/>
          <w:lang w:eastAsia="en-IN"/>
        </w:rPr>
        <w:t xml:space="preserve">results highlight the effect of Zn </w:t>
      </w:r>
      <w:proofErr w:type="spellStart"/>
      <w:r w:rsidR="00027AAC" w:rsidRPr="007B4199">
        <w:rPr>
          <w:rFonts w:ascii="Arial" w:hAnsi="Arial" w:cs="Arial"/>
          <w:bCs/>
          <w:lang w:eastAsia="en-IN"/>
        </w:rPr>
        <w:t>fertilisation</w:t>
      </w:r>
      <w:proofErr w:type="spellEnd"/>
      <w:r w:rsidR="00027AAC" w:rsidRPr="007B4199">
        <w:rPr>
          <w:rFonts w:ascii="Arial" w:hAnsi="Arial" w:cs="Arial"/>
          <w:bCs/>
          <w:lang w:eastAsia="en-IN"/>
        </w:rPr>
        <w:t xml:space="preserve"> in enhancing </w:t>
      </w:r>
      <w:r w:rsidRPr="007B4199">
        <w:rPr>
          <w:rFonts w:ascii="Arial" w:hAnsi="Arial" w:cs="Arial"/>
          <w:bCs/>
          <w:lang w:eastAsia="en-IN"/>
        </w:rPr>
        <w:t>innate immune parameters</w:t>
      </w:r>
      <w:r w:rsidR="00027AAC" w:rsidRPr="007B4199">
        <w:rPr>
          <w:rFonts w:ascii="Arial" w:hAnsi="Arial" w:cs="Arial"/>
          <w:bCs/>
          <w:lang w:eastAsia="en-IN"/>
        </w:rPr>
        <w:t>, indicator of healthy</w:t>
      </w:r>
      <w:r w:rsidRPr="007B4199">
        <w:rPr>
          <w:rFonts w:ascii="Arial" w:hAnsi="Arial" w:cs="Arial"/>
          <w:bCs/>
          <w:lang w:eastAsia="en-IN"/>
        </w:rPr>
        <w:t xml:space="preserve"> defense </w:t>
      </w:r>
      <w:r w:rsidR="00B93E62" w:rsidRPr="007B4199">
        <w:rPr>
          <w:rFonts w:ascii="Arial" w:hAnsi="Arial" w:cs="Arial"/>
          <w:bCs/>
          <w:lang w:eastAsia="en-IN"/>
        </w:rPr>
        <w:t xml:space="preserve">mechanisms </w:t>
      </w:r>
      <w:r w:rsidR="00027AAC" w:rsidRPr="007B4199">
        <w:rPr>
          <w:rFonts w:ascii="Arial" w:hAnsi="Arial" w:cs="Arial"/>
          <w:bCs/>
          <w:lang w:eastAsia="en-IN"/>
        </w:rPr>
        <w:t>in</w:t>
      </w:r>
      <w:r w:rsidR="00B93E62" w:rsidRPr="007B4199">
        <w:rPr>
          <w:rFonts w:ascii="Arial" w:hAnsi="Arial" w:cs="Arial"/>
          <w:bCs/>
          <w:lang w:eastAsia="en-IN"/>
        </w:rPr>
        <w:t xml:space="preserve"> </w:t>
      </w:r>
      <w:proofErr w:type="spellStart"/>
      <w:r w:rsidR="00027AAC" w:rsidRPr="007B4199">
        <w:rPr>
          <w:rFonts w:ascii="Arial" w:hAnsi="Arial" w:cs="Arial"/>
          <w:bCs/>
          <w:i/>
          <w:iCs/>
          <w:lang w:eastAsia="en-IN"/>
        </w:rPr>
        <w:t>Labeo</w:t>
      </w:r>
      <w:proofErr w:type="spellEnd"/>
      <w:r w:rsidR="00027AAC" w:rsidRPr="007B4199">
        <w:rPr>
          <w:rFonts w:ascii="Arial" w:hAnsi="Arial" w:cs="Arial"/>
          <w:bCs/>
          <w:i/>
          <w:iCs/>
          <w:lang w:eastAsia="en-IN"/>
        </w:rPr>
        <w:t xml:space="preserve"> </w:t>
      </w:r>
      <w:proofErr w:type="spellStart"/>
      <w:r w:rsidR="00027AAC" w:rsidRPr="007B4199">
        <w:rPr>
          <w:rFonts w:ascii="Arial" w:hAnsi="Arial" w:cs="Arial"/>
          <w:bCs/>
          <w:i/>
          <w:iCs/>
          <w:lang w:eastAsia="en-IN"/>
        </w:rPr>
        <w:t>rohita</w:t>
      </w:r>
      <w:proofErr w:type="spellEnd"/>
      <w:r w:rsidR="00B93E62" w:rsidRPr="007B4199">
        <w:rPr>
          <w:rFonts w:ascii="Arial" w:hAnsi="Arial" w:cs="Arial"/>
          <w:bCs/>
          <w:lang w:eastAsia="en-IN"/>
        </w:rPr>
        <w:t xml:space="preserve"> fingerlings. </w:t>
      </w:r>
      <w:r w:rsidR="0038624F" w:rsidRPr="007B4199">
        <w:rPr>
          <w:rFonts w:ascii="Arial" w:hAnsi="Arial" w:cs="Arial"/>
          <w:bCs/>
          <w:lang w:eastAsia="en-IN"/>
        </w:rPr>
        <w:t>Zn supplementation in common carp (</w:t>
      </w:r>
      <w:r w:rsidR="0038624F" w:rsidRPr="007B4199">
        <w:rPr>
          <w:rFonts w:ascii="Arial" w:hAnsi="Arial" w:cs="Arial"/>
          <w:bCs/>
          <w:i/>
          <w:iCs/>
          <w:lang w:eastAsia="en-IN"/>
        </w:rPr>
        <w:t>Cyprinus carpio</w:t>
      </w:r>
      <w:r w:rsidR="0038624F" w:rsidRPr="007B4199">
        <w:rPr>
          <w:rFonts w:ascii="Arial" w:hAnsi="Arial" w:cs="Arial"/>
          <w:bCs/>
          <w:lang w:eastAsia="en-IN"/>
        </w:rPr>
        <w:t>)</w:t>
      </w:r>
      <w:r w:rsidR="00B93E62" w:rsidRPr="007B4199">
        <w:rPr>
          <w:rFonts w:ascii="Arial" w:hAnsi="Arial" w:cs="Arial"/>
          <w:bCs/>
          <w:lang w:eastAsia="en-IN"/>
        </w:rPr>
        <w:t xml:space="preserve"> increased RBC and WBC counts as well as proportion of neutrophils (</w:t>
      </w:r>
      <w:r w:rsidR="006620E9" w:rsidRPr="007B4199">
        <w:rPr>
          <w:rFonts w:ascii="Arial" w:hAnsi="Arial" w:cs="Arial"/>
          <w:bCs/>
          <w:lang w:eastAsia="en-IN"/>
        </w:rPr>
        <w:t xml:space="preserve">Ebrahimi </w:t>
      </w:r>
      <w:r w:rsidR="00032AC4" w:rsidRPr="007B4199">
        <w:rPr>
          <w:rFonts w:ascii="Arial" w:hAnsi="Arial" w:cs="Arial"/>
          <w:bCs/>
          <w:i/>
          <w:iCs/>
          <w:lang w:eastAsia="en-IN"/>
        </w:rPr>
        <w:t>et al.</w:t>
      </w:r>
      <w:r w:rsidR="006620E9" w:rsidRPr="007B4199">
        <w:rPr>
          <w:rFonts w:ascii="Arial" w:hAnsi="Arial" w:cs="Arial"/>
          <w:bCs/>
          <w:lang w:eastAsia="en-IN"/>
        </w:rPr>
        <w:t xml:space="preserve"> (2012)</w:t>
      </w:r>
      <w:r w:rsidR="00B93E62" w:rsidRPr="007B4199">
        <w:rPr>
          <w:rFonts w:ascii="Arial" w:hAnsi="Arial" w:cs="Arial"/>
          <w:bCs/>
          <w:lang w:eastAsia="en-IN"/>
        </w:rPr>
        <w:t xml:space="preserve">. Similar results have been reported by </w:t>
      </w:r>
      <w:r w:rsidR="006620E9" w:rsidRPr="007B4199">
        <w:rPr>
          <w:rFonts w:ascii="Arial" w:hAnsi="Arial" w:cs="Arial"/>
          <w:bCs/>
          <w:lang w:eastAsia="en-IN"/>
        </w:rPr>
        <w:t xml:space="preserve">Hosseini </w:t>
      </w:r>
      <w:r w:rsidR="00032AC4" w:rsidRPr="007B4199">
        <w:rPr>
          <w:rFonts w:ascii="Arial" w:hAnsi="Arial" w:cs="Arial"/>
          <w:bCs/>
          <w:i/>
          <w:iCs/>
          <w:lang w:eastAsia="en-IN"/>
        </w:rPr>
        <w:t>et al.</w:t>
      </w:r>
      <w:r w:rsidR="006620E9" w:rsidRPr="007B4199">
        <w:rPr>
          <w:rFonts w:ascii="Arial" w:hAnsi="Arial" w:cs="Arial"/>
          <w:bCs/>
          <w:lang w:eastAsia="en-IN"/>
        </w:rPr>
        <w:t xml:space="preserve"> (2016) </w:t>
      </w:r>
      <w:r w:rsidR="00B93E62" w:rsidRPr="007B4199">
        <w:rPr>
          <w:rFonts w:ascii="Arial" w:hAnsi="Arial" w:cs="Arial"/>
          <w:bCs/>
          <w:lang w:eastAsia="en-IN"/>
        </w:rPr>
        <w:t xml:space="preserve">also which revealed that </w:t>
      </w:r>
      <w:r w:rsidR="006620E9" w:rsidRPr="007B4199">
        <w:rPr>
          <w:rFonts w:ascii="Arial" w:hAnsi="Arial" w:cs="Arial"/>
          <w:bCs/>
          <w:lang w:eastAsia="en-IN"/>
        </w:rPr>
        <w:t xml:space="preserve">dietary Zn </w:t>
      </w:r>
      <w:r w:rsidR="00B93E62" w:rsidRPr="007B4199">
        <w:rPr>
          <w:rFonts w:ascii="Arial" w:hAnsi="Arial" w:cs="Arial"/>
          <w:bCs/>
          <w:lang w:eastAsia="en-IN"/>
        </w:rPr>
        <w:t>supplementation improved</w:t>
      </w:r>
      <w:r w:rsidR="006620E9" w:rsidRPr="007B4199">
        <w:rPr>
          <w:rFonts w:ascii="Arial" w:hAnsi="Arial" w:cs="Arial"/>
          <w:bCs/>
          <w:lang w:eastAsia="en-IN"/>
        </w:rPr>
        <w:t xml:space="preserve"> </w:t>
      </w:r>
      <w:proofErr w:type="spellStart"/>
      <w:r w:rsidR="00B93E62" w:rsidRPr="007B4199">
        <w:rPr>
          <w:rFonts w:ascii="Arial" w:hAnsi="Arial" w:cs="Arial"/>
          <w:bCs/>
          <w:lang w:eastAsia="en-IN"/>
        </w:rPr>
        <w:t>haematopoietic</w:t>
      </w:r>
      <w:proofErr w:type="spellEnd"/>
      <w:r w:rsidR="00B93E62" w:rsidRPr="007B4199">
        <w:rPr>
          <w:rFonts w:ascii="Arial" w:hAnsi="Arial" w:cs="Arial"/>
          <w:bCs/>
          <w:lang w:eastAsia="en-IN"/>
        </w:rPr>
        <w:t xml:space="preserve"> activities in significantly </w:t>
      </w:r>
      <w:r w:rsidR="006620E9" w:rsidRPr="007B4199">
        <w:rPr>
          <w:rFonts w:ascii="Arial" w:hAnsi="Arial" w:cs="Arial"/>
          <w:bCs/>
          <w:lang w:eastAsia="en-IN"/>
        </w:rPr>
        <w:t xml:space="preserve">rainbow trout. </w:t>
      </w:r>
      <w:r w:rsidR="00B93E62" w:rsidRPr="007B4199">
        <w:rPr>
          <w:rFonts w:ascii="Arial" w:hAnsi="Arial" w:cs="Arial"/>
          <w:bCs/>
          <w:lang w:eastAsia="en-IN"/>
        </w:rPr>
        <w:t xml:space="preserve">Increased NBT activity in Nile tilapia following Zn application has also been reported by </w:t>
      </w:r>
      <w:r w:rsidR="006620E9" w:rsidRPr="007B4199">
        <w:rPr>
          <w:rFonts w:ascii="Arial" w:hAnsi="Arial" w:cs="Arial"/>
          <w:bCs/>
          <w:lang w:eastAsia="en-IN"/>
        </w:rPr>
        <w:t>Tawfik (2009</w:t>
      </w:r>
      <w:r w:rsidR="00B93E62" w:rsidRPr="007B4199">
        <w:rPr>
          <w:rFonts w:ascii="Arial" w:hAnsi="Arial" w:cs="Arial"/>
          <w:bCs/>
          <w:lang w:eastAsia="en-IN"/>
        </w:rPr>
        <w:t xml:space="preserve">). </w:t>
      </w:r>
      <w:r w:rsidR="00027AAC" w:rsidRPr="007B4199">
        <w:rPr>
          <w:rFonts w:ascii="Arial" w:hAnsi="Arial" w:cs="Arial"/>
          <w:bCs/>
          <w:lang w:eastAsia="en-IN"/>
        </w:rPr>
        <w:t xml:space="preserve">Role of Zn in increasing enzymatic responses of phagocytic cells was demonstrated by Deng </w:t>
      </w:r>
      <w:r w:rsidR="00032AC4" w:rsidRPr="007B4199">
        <w:rPr>
          <w:rFonts w:ascii="Arial" w:hAnsi="Arial" w:cs="Arial"/>
          <w:bCs/>
          <w:i/>
          <w:iCs/>
          <w:lang w:eastAsia="en-IN"/>
        </w:rPr>
        <w:t>et al.</w:t>
      </w:r>
      <w:r w:rsidR="00027AAC" w:rsidRPr="007B4199">
        <w:rPr>
          <w:rFonts w:ascii="Arial" w:hAnsi="Arial" w:cs="Arial"/>
          <w:bCs/>
          <w:lang w:eastAsia="en-IN"/>
        </w:rPr>
        <w:t xml:space="preserve"> (2010) wherein increased level of </w:t>
      </w:r>
      <w:r w:rsidR="007B4199" w:rsidRPr="007B4199">
        <w:rPr>
          <w:rFonts w:ascii="Arial" w:hAnsi="Arial" w:cs="Arial"/>
          <w:bCs/>
          <w:lang w:eastAsia="en-IN"/>
        </w:rPr>
        <w:t xml:space="preserve">myeloperoxidase activity </w:t>
      </w:r>
      <w:r w:rsidR="00027AAC" w:rsidRPr="007B4199">
        <w:rPr>
          <w:rFonts w:ascii="Arial" w:hAnsi="Arial" w:cs="Arial"/>
          <w:bCs/>
          <w:lang w:eastAsia="en-IN"/>
        </w:rPr>
        <w:t>was seen in hybrid tilapia.</w:t>
      </w:r>
    </w:p>
    <w:p w14:paraId="0DE50622" w14:textId="77777777" w:rsidR="00125FB9" w:rsidRPr="00704BE6" w:rsidRDefault="00125FB9" w:rsidP="00AB4423">
      <w:pPr>
        <w:ind w:left="938" w:hanging="938"/>
        <w:jc w:val="both"/>
        <w:rPr>
          <w:rFonts w:ascii="Arial" w:hAnsi="Arial" w:cs="Arial"/>
          <w:b/>
          <w:bCs/>
          <w:lang w:val="en-IN"/>
        </w:rPr>
      </w:pPr>
      <w:r w:rsidRPr="00704BE6">
        <w:rPr>
          <w:rFonts w:ascii="Arial" w:hAnsi="Arial" w:cs="Arial"/>
          <w:b/>
          <w:bCs/>
          <w:lang w:val="en-IN"/>
        </w:rPr>
        <w:t xml:space="preserve">Table </w:t>
      </w:r>
      <w:r w:rsidR="00450809" w:rsidRPr="00704BE6">
        <w:rPr>
          <w:rFonts w:ascii="Arial" w:hAnsi="Arial" w:cs="Arial"/>
          <w:b/>
          <w:bCs/>
          <w:lang w:val="en-IN"/>
        </w:rPr>
        <w:t>3</w:t>
      </w:r>
      <w:r w:rsidRPr="00704BE6">
        <w:rPr>
          <w:rFonts w:ascii="Arial" w:hAnsi="Arial" w:cs="Arial"/>
          <w:b/>
          <w:bCs/>
          <w:lang w:val="en-IN"/>
        </w:rPr>
        <w:t xml:space="preserve">: Changes in blood </w:t>
      </w:r>
      <w:r w:rsidR="00AB4423">
        <w:rPr>
          <w:rFonts w:ascii="Arial" w:hAnsi="Arial" w:cs="Arial"/>
          <w:b/>
          <w:bCs/>
          <w:lang w:val="en-IN"/>
        </w:rPr>
        <w:t xml:space="preserve">and innate immunity </w:t>
      </w:r>
      <w:r w:rsidR="00AB4423" w:rsidRPr="00704BE6">
        <w:rPr>
          <w:rFonts w:ascii="Arial" w:hAnsi="Arial" w:cs="Arial"/>
          <w:b/>
          <w:bCs/>
          <w:lang w:val="en-IN"/>
        </w:rPr>
        <w:t>parameter</w:t>
      </w:r>
      <w:r w:rsidR="00AB4423">
        <w:rPr>
          <w:rFonts w:ascii="Arial" w:hAnsi="Arial" w:cs="Arial"/>
          <w:b/>
          <w:bCs/>
          <w:lang w:val="en-IN"/>
        </w:rPr>
        <w:t xml:space="preserve">s </w:t>
      </w:r>
      <w:r w:rsidRPr="00704BE6">
        <w:rPr>
          <w:rFonts w:ascii="Arial" w:hAnsi="Arial" w:cs="Arial"/>
          <w:b/>
          <w:bCs/>
          <w:lang w:val="en-IN"/>
        </w:rPr>
        <w:t xml:space="preserve">of </w:t>
      </w:r>
      <w:r w:rsidR="00AB4423">
        <w:rPr>
          <w:rFonts w:ascii="Arial" w:hAnsi="Arial" w:cs="Arial"/>
          <w:b/>
          <w:bCs/>
          <w:lang w:val="en-IN"/>
        </w:rPr>
        <w:t>r</w:t>
      </w:r>
      <w:r w:rsidRPr="00704BE6">
        <w:rPr>
          <w:rFonts w:ascii="Arial" w:hAnsi="Arial" w:cs="Arial"/>
          <w:b/>
          <w:bCs/>
          <w:lang w:val="en-IN"/>
        </w:rPr>
        <w:t xml:space="preserve">ohu fingerlings as influenced by Zn </w:t>
      </w:r>
      <w:r w:rsidR="00AB4423">
        <w:rPr>
          <w:rFonts w:ascii="Arial" w:hAnsi="Arial" w:cs="Arial"/>
          <w:b/>
          <w:bCs/>
          <w:lang w:val="en-IN"/>
        </w:rPr>
        <w:t>supplementation</w:t>
      </w:r>
    </w:p>
    <w:tbl>
      <w:tblPr>
        <w:tblStyle w:val="TableGrid1"/>
        <w:tblW w:w="5000" w:type="pct"/>
        <w:tblLook w:val="0600" w:firstRow="0" w:lastRow="0" w:firstColumn="0" w:lastColumn="0" w:noHBand="1" w:noVBand="1"/>
      </w:tblPr>
      <w:tblGrid>
        <w:gridCol w:w="4644"/>
        <w:gridCol w:w="1777"/>
        <w:gridCol w:w="1777"/>
      </w:tblGrid>
      <w:tr w:rsidR="008B2F2D" w:rsidRPr="00704BE6" w14:paraId="4E3C826B" w14:textId="77777777" w:rsidTr="00117302">
        <w:trPr>
          <w:trHeight w:val="20"/>
        </w:trPr>
        <w:tc>
          <w:tcPr>
            <w:tcW w:w="2953" w:type="pct"/>
            <w:hideMark/>
          </w:tcPr>
          <w:p w14:paraId="2628FBED" w14:textId="77777777" w:rsidR="008B2F2D" w:rsidRPr="00704BE6" w:rsidRDefault="008B2F2D" w:rsidP="00704BE6">
            <w:pPr>
              <w:rPr>
                <w:rFonts w:ascii="Arial" w:hAnsi="Arial" w:cs="Arial"/>
                <w:sz w:val="20"/>
                <w:szCs w:val="20"/>
                <w:lang w:val="en-IN"/>
              </w:rPr>
            </w:pPr>
            <w:r w:rsidRPr="00704BE6">
              <w:rPr>
                <w:rFonts w:ascii="Arial" w:hAnsi="Arial" w:cs="Arial"/>
                <w:b/>
                <w:bCs/>
                <w:sz w:val="20"/>
                <w:szCs w:val="20"/>
                <w:lang w:val="en-IN"/>
              </w:rPr>
              <w:t> Parameters</w:t>
            </w:r>
          </w:p>
        </w:tc>
        <w:tc>
          <w:tcPr>
            <w:tcW w:w="1023" w:type="pct"/>
            <w:hideMark/>
          </w:tcPr>
          <w:p w14:paraId="0D558812" w14:textId="77777777" w:rsidR="008B2F2D" w:rsidRPr="00704BE6" w:rsidRDefault="008B2F2D" w:rsidP="00704BE6">
            <w:pPr>
              <w:ind w:right="-39"/>
              <w:jc w:val="center"/>
              <w:rPr>
                <w:rFonts w:ascii="Arial" w:hAnsi="Arial" w:cs="Arial"/>
                <w:sz w:val="20"/>
                <w:szCs w:val="20"/>
                <w:lang w:val="en-IN"/>
              </w:rPr>
            </w:pPr>
            <w:r w:rsidRPr="00704BE6">
              <w:rPr>
                <w:rFonts w:ascii="Arial" w:hAnsi="Arial" w:cs="Arial"/>
                <w:b/>
                <w:bCs/>
                <w:sz w:val="20"/>
                <w:szCs w:val="20"/>
                <w:lang w:val="en-IN"/>
              </w:rPr>
              <w:t>Control</w:t>
            </w:r>
          </w:p>
        </w:tc>
        <w:tc>
          <w:tcPr>
            <w:tcW w:w="1024" w:type="pct"/>
            <w:hideMark/>
          </w:tcPr>
          <w:p w14:paraId="2551CD44" w14:textId="19DA1966" w:rsidR="008B2F2D" w:rsidRPr="00704BE6" w:rsidRDefault="008B2F2D" w:rsidP="00704BE6">
            <w:pPr>
              <w:ind w:right="-39"/>
              <w:jc w:val="center"/>
              <w:rPr>
                <w:rFonts w:ascii="Arial" w:hAnsi="Arial" w:cs="Arial"/>
                <w:sz w:val="20"/>
                <w:szCs w:val="20"/>
                <w:lang w:val="en-IN"/>
              </w:rPr>
            </w:pPr>
            <w:r w:rsidRPr="00704BE6">
              <w:rPr>
                <w:rFonts w:ascii="Arial" w:hAnsi="Arial" w:cs="Arial"/>
                <w:b/>
                <w:bCs/>
                <w:sz w:val="20"/>
                <w:szCs w:val="20"/>
                <w:lang w:val="en-IN"/>
              </w:rPr>
              <w:t>Zn @ 0.1</w:t>
            </w:r>
            <w:r w:rsidR="00441025">
              <w:rPr>
                <w:rFonts w:ascii="Arial" w:hAnsi="Arial" w:cs="Arial"/>
                <w:b/>
                <w:bCs/>
                <w:sz w:val="20"/>
                <w:szCs w:val="20"/>
                <w:lang w:val="en-IN"/>
              </w:rPr>
              <w:t>0</w:t>
            </w:r>
            <w:r w:rsidRPr="00704BE6">
              <w:rPr>
                <w:rFonts w:ascii="Arial" w:hAnsi="Arial" w:cs="Arial"/>
                <w:b/>
                <w:bCs/>
                <w:sz w:val="20"/>
                <w:szCs w:val="20"/>
                <w:lang w:val="en-IN"/>
              </w:rPr>
              <w:t xml:space="preserve"> </w:t>
            </w:r>
            <w:r w:rsidR="00F0271D">
              <w:rPr>
                <w:rFonts w:ascii="Arial" w:hAnsi="Arial" w:cs="Arial"/>
                <w:b/>
                <w:bCs/>
                <w:sz w:val="20"/>
                <w:szCs w:val="20"/>
                <w:lang w:val="en-IN"/>
              </w:rPr>
              <w:t>mg/l</w:t>
            </w:r>
          </w:p>
        </w:tc>
      </w:tr>
      <w:tr w:rsidR="00450809" w:rsidRPr="00704BE6" w14:paraId="560A3FA6" w14:textId="77777777" w:rsidTr="00450809">
        <w:trPr>
          <w:trHeight w:val="20"/>
        </w:trPr>
        <w:tc>
          <w:tcPr>
            <w:tcW w:w="5000" w:type="pct"/>
            <w:gridSpan w:val="3"/>
          </w:tcPr>
          <w:p w14:paraId="02641F1D" w14:textId="77777777" w:rsidR="00450809" w:rsidRPr="00704BE6" w:rsidRDefault="00450809" w:rsidP="00704BE6">
            <w:pPr>
              <w:ind w:right="-39"/>
              <w:rPr>
                <w:rFonts w:ascii="Arial" w:hAnsi="Arial" w:cs="Arial"/>
                <w:b/>
                <w:bCs/>
                <w:sz w:val="20"/>
                <w:szCs w:val="20"/>
                <w:lang w:val="en-IN"/>
              </w:rPr>
            </w:pPr>
            <w:r w:rsidRPr="00704BE6">
              <w:rPr>
                <w:rFonts w:ascii="Arial" w:hAnsi="Arial" w:cs="Arial"/>
                <w:b/>
                <w:bCs/>
                <w:sz w:val="20"/>
                <w:szCs w:val="20"/>
                <w:lang w:val="en-IN"/>
              </w:rPr>
              <w:t>Blood Parameters</w:t>
            </w:r>
          </w:p>
        </w:tc>
      </w:tr>
      <w:tr w:rsidR="008B2F2D" w:rsidRPr="00704BE6" w14:paraId="1E0D8AF0" w14:textId="77777777" w:rsidTr="00117302">
        <w:trPr>
          <w:trHeight w:val="20"/>
        </w:trPr>
        <w:tc>
          <w:tcPr>
            <w:tcW w:w="2953" w:type="pct"/>
            <w:hideMark/>
          </w:tcPr>
          <w:p w14:paraId="6238B246" w14:textId="77777777" w:rsidR="008B2F2D" w:rsidRPr="00704BE6" w:rsidRDefault="008B2F2D" w:rsidP="00704BE6">
            <w:pPr>
              <w:rPr>
                <w:rFonts w:ascii="Arial" w:hAnsi="Arial" w:cs="Arial"/>
                <w:sz w:val="20"/>
                <w:szCs w:val="20"/>
                <w:lang w:val="en-IN"/>
              </w:rPr>
            </w:pPr>
            <w:r w:rsidRPr="00704BE6">
              <w:rPr>
                <w:rFonts w:ascii="Arial" w:hAnsi="Arial" w:cs="Arial"/>
                <w:sz w:val="20"/>
                <w:szCs w:val="20"/>
                <w:lang w:val="en-IN"/>
              </w:rPr>
              <w:t>Haemoglobin (%)</w:t>
            </w:r>
          </w:p>
        </w:tc>
        <w:tc>
          <w:tcPr>
            <w:tcW w:w="1023" w:type="pct"/>
            <w:hideMark/>
          </w:tcPr>
          <w:p w14:paraId="341C18A6" w14:textId="77777777" w:rsidR="008B2F2D" w:rsidRPr="00704BE6" w:rsidRDefault="00294E1A" w:rsidP="00704BE6">
            <w:pPr>
              <w:ind w:right="99"/>
              <w:jc w:val="right"/>
              <w:rPr>
                <w:rFonts w:ascii="Arial" w:hAnsi="Arial" w:cs="Arial"/>
                <w:sz w:val="20"/>
                <w:szCs w:val="20"/>
                <w:lang w:val="en-IN"/>
              </w:rPr>
            </w:pPr>
            <w:r w:rsidRPr="00704BE6">
              <w:rPr>
                <w:rFonts w:ascii="Arial" w:hAnsi="Arial" w:cs="Arial"/>
                <w:sz w:val="20"/>
                <w:szCs w:val="20"/>
                <w:lang w:val="en-IN"/>
              </w:rPr>
              <w:t>6.28±0.05</w:t>
            </w:r>
            <w:r w:rsidRPr="00704BE6">
              <w:rPr>
                <w:rFonts w:ascii="Arial" w:hAnsi="Arial" w:cs="Arial"/>
                <w:sz w:val="20"/>
                <w:szCs w:val="20"/>
                <w:vertAlign w:val="superscript"/>
                <w:lang w:val="en-IN"/>
              </w:rPr>
              <w:t>a</w:t>
            </w:r>
          </w:p>
        </w:tc>
        <w:tc>
          <w:tcPr>
            <w:tcW w:w="1024" w:type="pct"/>
            <w:hideMark/>
          </w:tcPr>
          <w:p w14:paraId="34EA5D64"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6.50±0.05</w:t>
            </w:r>
            <w:r w:rsidRPr="00704BE6">
              <w:rPr>
                <w:rFonts w:ascii="Arial" w:hAnsi="Arial" w:cs="Arial"/>
                <w:sz w:val="20"/>
                <w:szCs w:val="20"/>
                <w:vertAlign w:val="superscript"/>
                <w:lang w:val="en-IN"/>
              </w:rPr>
              <w:t>b</w:t>
            </w:r>
          </w:p>
        </w:tc>
      </w:tr>
      <w:tr w:rsidR="008B2F2D" w:rsidRPr="00704BE6" w14:paraId="29BA682D" w14:textId="77777777" w:rsidTr="00117302">
        <w:trPr>
          <w:trHeight w:val="20"/>
        </w:trPr>
        <w:tc>
          <w:tcPr>
            <w:tcW w:w="2953" w:type="pct"/>
            <w:hideMark/>
          </w:tcPr>
          <w:p w14:paraId="0897E937" w14:textId="77777777" w:rsidR="008B2F2D" w:rsidRPr="00704BE6" w:rsidRDefault="00294E1A" w:rsidP="00704BE6">
            <w:pPr>
              <w:rPr>
                <w:rFonts w:ascii="Arial" w:hAnsi="Arial" w:cs="Arial"/>
                <w:sz w:val="20"/>
                <w:szCs w:val="20"/>
                <w:lang w:val="en-IN"/>
              </w:rPr>
            </w:pPr>
            <w:r w:rsidRPr="00704BE6">
              <w:rPr>
                <w:rFonts w:ascii="Arial" w:hAnsi="Arial" w:cs="Arial"/>
                <w:sz w:val="20"/>
                <w:szCs w:val="20"/>
                <w:lang w:val="en-IN"/>
              </w:rPr>
              <w:t>PCV (Packed Cell Volume)</w:t>
            </w:r>
            <w:r w:rsidR="008B2F2D" w:rsidRPr="00704BE6">
              <w:rPr>
                <w:rFonts w:ascii="Arial" w:hAnsi="Arial" w:cs="Arial"/>
                <w:sz w:val="20"/>
                <w:szCs w:val="20"/>
                <w:lang w:val="en-IN"/>
              </w:rPr>
              <w:t xml:space="preserve"> (%)</w:t>
            </w:r>
          </w:p>
        </w:tc>
        <w:tc>
          <w:tcPr>
            <w:tcW w:w="1023" w:type="pct"/>
            <w:hideMark/>
          </w:tcPr>
          <w:p w14:paraId="46DA9628"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18.5±0.5</w:t>
            </w:r>
            <w:r w:rsidRPr="00704BE6">
              <w:rPr>
                <w:rFonts w:ascii="Arial" w:hAnsi="Arial" w:cs="Arial"/>
                <w:sz w:val="20"/>
                <w:szCs w:val="20"/>
                <w:vertAlign w:val="superscript"/>
                <w:lang w:val="en-IN"/>
              </w:rPr>
              <w:t>a</w:t>
            </w:r>
          </w:p>
        </w:tc>
        <w:tc>
          <w:tcPr>
            <w:tcW w:w="1024" w:type="pct"/>
            <w:hideMark/>
          </w:tcPr>
          <w:p w14:paraId="4ABF58B1"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21.0±0.5</w:t>
            </w:r>
            <w:r w:rsidRPr="00704BE6">
              <w:rPr>
                <w:rFonts w:ascii="Arial" w:hAnsi="Arial" w:cs="Arial"/>
                <w:sz w:val="20"/>
                <w:szCs w:val="20"/>
                <w:vertAlign w:val="superscript"/>
                <w:lang w:val="en-IN"/>
              </w:rPr>
              <w:t>b</w:t>
            </w:r>
          </w:p>
        </w:tc>
      </w:tr>
      <w:tr w:rsidR="008B2F2D" w:rsidRPr="00704BE6" w14:paraId="2BE3A8ED" w14:textId="77777777" w:rsidTr="00117302">
        <w:trPr>
          <w:trHeight w:val="20"/>
        </w:trPr>
        <w:tc>
          <w:tcPr>
            <w:tcW w:w="2953" w:type="pct"/>
            <w:hideMark/>
          </w:tcPr>
          <w:p w14:paraId="6F3B5312" w14:textId="77777777" w:rsidR="008B2F2D" w:rsidRPr="00704BE6" w:rsidRDefault="008B2F2D" w:rsidP="00704BE6">
            <w:pPr>
              <w:ind w:right="-126"/>
              <w:rPr>
                <w:rFonts w:ascii="Arial" w:hAnsi="Arial" w:cs="Arial"/>
                <w:sz w:val="20"/>
                <w:szCs w:val="20"/>
                <w:lang w:val="en-IN"/>
              </w:rPr>
            </w:pPr>
            <w:r w:rsidRPr="00704BE6">
              <w:rPr>
                <w:rFonts w:ascii="Arial" w:hAnsi="Arial" w:cs="Arial"/>
                <w:sz w:val="20"/>
                <w:szCs w:val="20"/>
                <w:lang w:val="en-IN"/>
              </w:rPr>
              <w:t>Total RBC Count (mil/</w:t>
            </w:r>
            <w:proofErr w:type="spellStart"/>
            <w:r w:rsidRPr="00704BE6">
              <w:rPr>
                <w:rFonts w:ascii="Arial" w:hAnsi="Arial" w:cs="Arial"/>
                <w:sz w:val="20"/>
                <w:szCs w:val="20"/>
                <w:lang w:val="en-IN"/>
              </w:rPr>
              <w:t>cumm</w:t>
            </w:r>
            <w:proofErr w:type="spellEnd"/>
            <w:r w:rsidRPr="00704BE6">
              <w:rPr>
                <w:rFonts w:ascii="Arial" w:hAnsi="Arial" w:cs="Arial"/>
                <w:sz w:val="20"/>
                <w:szCs w:val="20"/>
                <w:lang w:val="en-IN"/>
              </w:rPr>
              <w:t>)</w:t>
            </w:r>
          </w:p>
        </w:tc>
        <w:tc>
          <w:tcPr>
            <w:tcW w:w="1023" w:type="pct"/>
            <w:hideMark/>
          </w:tcPr>
          <w:p w14:paraId="51EED9BE"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1.44±0.03</w:t>
            </w:r>
            <w:r w:rsidRPr="00704BE6">
              <w:rPr>
                <w:rFonts w:ascii="Arial" w:hAnsi="Arial" w:cs="Arial"/>
                <w:sz w:val="20"/>
                <w:szCs w:val="20"/>
                <w:vertAlign w:val="superscript"/>
                <w:lang w:val="en-IN"/>
              </w:rPr>
              <w:t>a</w:t>
            </w:r>
          </w:p>
        </w:tc>
        <w:tc>
          <w:tcPr>
            <w:tcW w:w="1024" w:type="pct"/>
            <w:hideMark/>
          </w:tcPr>
          <w:p w14:paraId="53241FC5"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1.56±0.02</w:t>
            </w:r>
            <w:r w:rsidRPr="00704BE6">
              <w:rPr>
                <w:rFonts w:ascii="Arial" w:hAnsi="Arial" w:cs="Arial"/>
                <w:sz w:val="20"/>
                <w:szCs w:val="20"/>
                <w:vertAlign w:val="superscript"/>
                <w:lang w:val="en-IN"/>
              </w:rPr>
              <w:t>b</w:t>
            </w:r>
          </w:p>
        </w:tc>
      </w:tr>
      <w:tr w:rsidR="008B2F2D" w:rsidRPr="00704BE6" w14:paraId="0D2CEEB6" w14:textId="77777777" w:rsidTr="00117302">
        <w:trPr>
          <w:trHeight w:val="20"/>
        </w:trPr>
        <w:tc>
          <w:tcPr>
            <w:tcW w:w="2953" w:type="pct"/>
            <w:hideMark/>
          </w:tcPr>
          <w:p w14:paraId="57D45633" w14:textId="77777777" w:rsidR="008B2F2D" w:rsidRPr="00704BE6" w:rsidRDefault="008B2F2D" w:rsidP="00704BE6">
            <w:pPr>
              <w:ind w:right="-121"/>
              <w:rPr>
                <w:rFonts w:ascii="Arial" w:hAnsi="Arial" w:cs="Arial"/>
                <w:sz w:val="20"/>
                <w:szCs w:val="20"/>
                <w:lang w:val="en-IN"/>
              </w:rPr>
            </w:pPr>
            <w:r w:rsidRPr="00704BE6">
              <w:rPr>
                <w:rFonts w:ascii="Arial" w:hAnsi="Arial" w:cs="Arial"/>
                <w:sz w:val="20"/>
                <w:szCs w:val="20"/>
                <w:lang w:val="en-IN"/>
              </w:rPr>
              <w:t xml:space="preserve">Total WBC Count (per </w:t>
            </w:r>
            <w:proofErr w:type="spellStart"/>
            <w:r w:rsidRPr="00704BE6">
              <w:rPr>
                <w:rFonts w:ascii="Arial" w:hAnsi="Arial" w:cs="Arial"/>
                <w:sz w:val="20"/>
                <w:szCs w:val="20"/>
                <w:lang w:val="en-IN"/>
              </w:rPr>
              <w:t>cmm</w:t>
            </w:r>
            <w:proofErr w:type="spellEnd"/>
            <w:r w:rsidRPr="00704BE6">
              <w:rPr>
                <w:rFonts w:ascii="Arial" w:hAnsi="Arial" w:cs="Arial"/>
                <w:sz w:val="20"/>
                <w:szCs w:val="20"/>
                <w:lang w:val="en-IN"/>
              </w:rPr>
              <w:t>)</w:t>
            </w:r>
          </w:p>
        </w:tc>
        <w:tc>
          <w:tcPr>
            <w:tcW w:w="1023" w:type="pct"/>
            <w:hideMark/>
          </w:tcPr>
          <w:p w14:paraId="07FBD506"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1,81,000±2,500</w:t>
            </w:r>
            <w:r w:rsidRPr="00704BE6">
              <w:rPr>
                <w:rFonts w:ascii="Arial" w:hAnsi="Arial" w:cs="Arial"/>
                <w:sz w:val="20"/>
                <w:szCs w:val="20"/>
                <w:vertAlign w:val="superscript"/>
                <w:lang w:val="en-IN"/>
              </w:rPr>
              <w:t>a</w:t>
            </w:r>
          </w:p>
        </w:tc>
        <w:tc>
          <w:tcPr>
            <w:tcW w:w="1024" w:type="pct"/>
            <w:hideMark/>
          </w:tcPr>
          <w:p w14:paraId="6327E945"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1,92,333±1,500</w:t>
            </w:r>
            <w:r w:rsidRPr="00704BE6">
              <w:rPr>
                <w:rFonts w:ascii="Arial" w:hAnsi="Arial" w:cs="Arial"/>
                <w:sz w:val="20"/>
                <w:szCs w:val="20"/>
                <w:vertAlign w:val="superscript"/>
                <w:lang w:val="en-IN"/>
              </w:rPr>
              <w:t>b</w:t>
            </w:r>
          </w:p>
        </w:tc>
      </w:tr>
      <w:tr w:rsidR="008B2F2D" w:rsidRPr="00704BE6" w14:paraId="6EF5C050" w14:textId="77777777" w:rsidTr="00117302">
        <w:trPr>
          <w:trHeight w:val="20"/>
        </w:trPr>
        <w:tc>
          <w:tcPr>
            <w:tcW w:w="2953" w:type="pct"/>
            <w:hideMark/>
          </w:tcPr>
          <w:p w14:paraId="0FCE6C26" w14:textId="77777777" w:rsidR="008B2F2D" w:rsidRPr="00704BE6" w:rsidRDefault="008B2F2D" w:rsidP="00704BE6">
            <w:pPr>
              <w:rPr>
                <w:rFonts w:ascii="Arial" w:hAnsi="Arial" w:cs="Arial"/>
                <w:sz w:val="20"/>
                <w:szCs w:val="20"/>
                <w:lang w:val="en-IN"/>
              </w:rPr>
            </w:pPr>
            <w:r w:rsidRPr="00704BE6">
              <w:rPr>
                <w:rFonts w:ascii="Arial" w:hAnsi="Arial" w:cs="Arial"/>
                <w:sz w:val="20"/>
                <w:szCs w:val="20"/>
                <w:lang w:val="en-IN"/>
              </w:rPr>
              <w:t>Neutrophils (%)</w:t>
            </w:r>
          </w:p>
        </w:tc>
        <w:tc>
          <w:tcPr>
            <w:tcW w:w="1023" w:type="pct"/>
            <w:hideMark/>
          </w:tcPr>
          <w:p w14:paraId="7D17B1D6"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8.85±0.0</w:t>
            </w:r>
            <w:r w:rsidRPr="00704BE6">
              <w:rPr>
                <w:rFonts w:ascii="Arial" w:hAnsi="Arial" w:cs="Arial"/>
                <w:sz w:val="20"/>
                <w:szCs w:val="20"/>
                <w:vertAlign w:val="superscript"/>
                <w:lang w:val="en-IN"/>
              </w:rPr>
              <w:t>a</w:t>
            </w:r>
          </w:p>
        </w:tc>
        <w:tc>
          <w:tcPr>
            <w:tcW w:w="1024" w:type="pct"/>
            <w:hideMark/>
          </w:tcPr>
          <w:p w14:paraId="110E5C40"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11.67±0.05</w:t>
            </w:r>
            <w:r w:rsidRPr="00704BE6">
              <w:rPr>
                <w:rFonts w:ascii="Arial" w:hAnsi="Arial" w:cs="Arial"/>
                <w:sz w:val="20"/>
                <w:szCs w:val="20"/>
                <w:vertAlign w:val="superscript"/>
                <w:lang w:val="en-IN"/>
              </w:rPr>
              <w:t>b</w:t>
            </w:r>
          </w:p>
        </w:tc>
      </w:tr>
      <w:tr w:rsidR="008B2F2D" w:rsidRPr="00704BE6" w14:paraId="64ABD5B6" w14:textId="77777777" w:rsidTr="00117302">
        <w:trPr>
          <w:trHeight w:val="20"/>
        </w:trPr>
        <w:tc>
          <w:tcPr>
            <w:tcW w:w="2953" w:type="pct"/>
            <w:hideMark/>
          </w:tcPr>
          <w:p w14:paraId="64DFBEB0" w14:textId="77777777" w:rsidR="008B2F2D" w:rsidRPr="00704BE6" w:rsidRDefault="008B2F2D" w:rsidP="00704BE6">
            <w:pPr>
              <w:rPr>
                <w:rFonts w:ascii="Arial" w:hAnsi="Arial" w:cs="Arial"/>
                <w:sz w:val="20"/>
                <w:szCs w:val="20"/>
                <w:lang w:val="en-IN"/>
              </w:rPr>
            </w:pPr>
            <w:r w:rsidRPr="00704BE6">
              <w:rPr>
                <w:rFonts w:ascii="Arial" w:hAnsi="Arial" w:cs="Arial"/>
                <w:sz w:val="20"/>
                <w:szCs w:val="20"/>
                <w:lang w:val="en-IN"/>
              </w:rPr>
              <w:t>Eosinophils (%)</w:t>
            </w:r>
          </w:p>
        </w:tc>
        <w:tc>
          <w:tcPr>
            <w:tcW w:w="1023" w:type="pct"/>
            <w:hideMark/>
          </w:tcPr>
          <w:p w14:paraId="76A34911"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1.07±0.005</w:t>
            </w:r>
            <w:r w:rsidRPr="00704BE6">
              <w:rPr>
                <w:rFonts w:ascii="Arial" w:hAnsi="Arial" w:cs="Arial"/>
                <w:sz w:val="20"/>
                <w:szCs w:val="20"/>
                <w:vertAlign w:val="superscript"/>
                <w:lang w:val="en-IN"/>
              </w:rPr>
              <w:t>a</w:t>
            </w:r>
          </w:p>
        </w:tc>
        <w:tc>
          <w:tcPr>
            <w:tcW w:w="1024" w:type="pct"/>
            <w:hideMark/>
          </w:tcPr>
          <w:p w14:paraId="7136F6ED"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1.0</w:t>
            </w:r>
            <w:r w:rsidR="00294E1A" w:rsidRPr="00704BE6">
              <w:rPr>
                <w:rFonts w:ascii="Arial" w:hAnsi="Arial" w:cs="Arial"/>
                <w:sz w:val="20"/>
                <w:szCs w:val="20"/>
                <w:lang w:val="en-IN"/>
              </w:rPr>
              <w:t>0</w:t>
            </w:r>
            <w:r w:rsidRPr="00704BE6">
              <w:rPr>
                <w:rFonts w:ascii="Arial" w:hAnsi="Arial" w:cs="Arial"/>
                <w:sz w:val="20"/>
                <w:szCs w:val="20"/>
                <w:lang w:val="en-IN"/>
              </w:rPr>
              <w:t>±0.0</w:t>
            </w:r>
            <w:r w:rsidR="00294E1A" w:rsidRPr="00704BE6">
              <w:rPr>
                <w:rFonts w:ascii="Arial" w:hAnsi="Arial" w:cs="Arial"/>
                <w:sz w:val="20"/>
                <w:szCs w:val="20"/>
                <w:lang w:val="en-IN"/>
              </w:rPr>
              <w:t>03</w:t>
            </w:r>
            <w:r w:rsidRPr="00704BE6">
              <w:rPr>
                <w:rFonts w:ascii="Arial" w:hAnsi="Arial" w:cs="Arial"/>
                <w:sz w:val="20"/>
                <w:szCs w:val="20"/>
                <w:vertAlign w:val="superscript"/>
                <w:lang w:val="en-IN"/>
              </w:rPr>
              <w:t>a</w:t>
            </w:r>
          </w:p>
        </w:tc>
      </w:tr>
      <w:tr w:rsidR="008B2F2D" w:rsidRPr="00704BE6" w14:paraId="4A9404C6" w14:textId="77777777" w:rsidTr="00117302">
        <w:trPr>
          <w:trHeight w:val="20"/>
        </w:trPr>
        <w:tc>
          <w:tcPr>
            <w:tcW w:w="2953" w:type="pct"/>
            <w:hideMark/>
          </w:tcPr>
          <w:p w14:paraId="2F328B73" w14:textId="77777777" w:rsidR="008B2F2D" w:rsidRPr="00704BE6" w:rsidRDefault="008B2F2D" w:rsidP="00704BE6">
            <w:pPr>
              <w:rPr>
                <w:rFonts w:ascii="Arial" w:hAnsi="Arial" w:cs="Arial"/>
                <w:sz w:val="20"/>
                <w:szCs w:val="20"/>
                <w:lang w:val="en-IN"/>
              </w:rPr>
            </w:pPr>
            <w:r w:rsidRPr="00704BE6">
              <w:rPr>
                <w:rFonts w:ascii="Arial" w:hAnsi="Arial" w:cs="Arial"/>
                <w:sz w:val="20"/>
                <w:szCs w:val="20"/>
                <w:lang w:val="en-IN"/>
              </w:rPr>
              <w:t>Lymphocytes (%)</w:t>
            </w:r>
          </w:p>
        </w:tc>
        <w:tc>
          <w:tcPr>
            <w:tcW w:w="1023" w:type="pct"/>
            <w:hideMark/>
          </w:tcPr>
          <w:p w14:paraId="411C7692"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91.0±0.5</w:t>
            </w:r>
            <w:r w:rsidRPr="00704BE6">
              <w:rPr>
                <w:rFonts w:ascii="Arial" w:hAnsi="Arial" w:cs="Arial"/>
                <w:sz w:val="20"/>
                <w:szCs w:val="20"/>
                <w:vertAlign w:val="superscript"/>
                <w:lang w:val="en-IN"/>
              </w:rPr>
              <w:t>b</w:t>
            </w:r>
          </w:p>
        </w:tc>
        <w:tc>
          <w:tcPr>
            <w:tcW w:w="1024" w:type="pct"/>
            <w:hideMark/>
          </w:tcPr>
          <w:p w14:paraId="7BFD96ED" w14:textId="77777777" w:rsidR="008B2F2D" w:rsidRPr="00704BE6" w:rsidRDefault="008B2F2D" w:rsidP="00704BE6">
            <w:pPr>
              <w:ind w:right="99"/>
              <w:jc w:val="right"/>
              <w:rPr>
                <w:rFonts w:ascii="Arial" w:hAnsi="Arial" w:cs="Arial"/>
                <w:sz w:val="20"/>
                <w:szCs w:val="20"/>
                <w:lang w:val="en-IN"/>
              </w:rPr>
            </w:pPr>
            <w:r w:rsidRPr="00704BE6">
              <w:rPr>
                <w:rFonts w:ascii="Arial" w:hAnsi="Arial" w:cs="Arial"/>
                <w:sz w:val="20"/>
                <w:szCs w:val="20"/>
                <w:lang w:val="en-IN"/>
              </w:rPr>
              <w:t>88.0±1.0</w:t>
            </w:r>
            <w:r w:rsidRPr="00704BE6">
              <w:rPr>
                <w:rFonts w:ascii="Arial" w:hAnsi="Arial" w:cs="Arial"/>
                <w:sz w:val="20"/>
                <w:szCs w:val="20"/>
                <w:vertAlign w:val="superscript"/>
                <w:lang w:val="en-IN"/>
              </w:rPr>
              <w:t>a</w:t>
            </w:r>
          </w:p>
        </w:tc>
      </w:tr>
      <w:tr w:rsidR="00450809" w:rsidRPr="00704BE6" w14:paraId="1943DABA" w14:textId="77777777" w:rsidTr="00450809">
        <w:trPr>
          <w:trHeight w:val="20"/>
        </w:trPr>
        <w:tc>
          <w:tcPr>
            <w:tcW w:w="5000" w:type="pct"/>
            <w:gridSpan w:val="3"/>
          </w:tcPr>
          <w:p w14:paraId="2B87F161" w14:textId="77777777" w:rsidR="00450809" w:rsidRPr="00704BE6" w:rsidRDefault="00450809" w:rsidP="00704BE6">
            <w:pPr>
              <w:ind w:right="-75"/>
              <w:rPr>
                <w:rFonts w:ascii="Arial" w:hAnsi="Arial" w:cs="Arial"/>
                <w:b/>
                <w:bCs/>
                <w:sz w:val="20"/>
                <w:szCs w:val="20"/>
                <w:lang w:val="en-IN"/>
              </w:rPr>
            </w:pPr>
            <w:r w:rsidRPr="00704BE6">
              <w:rPr>
                <w:rFonts w:ascii="Arial" w:hAnsi="Arial" w:cs="Arial"/>
                <w:b/>
                <w:bCs/>
                <w:sz w:val="20"/>
                <w:szCs w:val="20"/>
                <w:lang w:val="en-IN"/>
              </w:rPr>
              <w:t>Innate immunity</w:t>
            </w:r>
            <w:r w:rsidR="00294E1A" w:rsidRPr="00704BE6">
              <w:rPr>
                <w:rFonts w:ascii="Arial" w:hAnsi="Arial" w:cs="Arial"/>
                <w:b/>
                <w:bCs/>
                <w:sz w:val="20"/>
                <w:szCs w:val="20"/>
                <w:lang w:val="en-IN"/>
              </w:rPr>
              <w:t xml:space="preserve"> Parameters</w:t>
            </w:r>
          </w:p>
        </w:tc>
      </w:tr>
      <w:tr w:rsidR="00450809" w:rsidRPr="00704BE6" w14:paraId="21D396DD" w14:textId="77777777" w:rsidTr="00117302">
        <w:tblPrEx>
          <w:tblLook w:val="04A0" w:firstRow="1" w:lastRow="0" w:firstColumn="1" w:lastColumn="0" w:noHBand="0" w:noVBand="1"/>
        </w:tblPrEx>
        <w:tc>
          <w:tcPr>
            <w:tcW w:w="2953" w:type="pct"/>
          </w:tcPr>
          <w:p w14:paraId="5B2AC5CB" w14:textId="77777777" w:rsidR="00450809" w:rsidRPr="00704BE6" w:rsidRDefault="00450809" w:rsidP="00704BE6">
            <w:pPr>
              <w:autoSpaceDE w:val="0"/>
              <w:autoSpaceDN w:val="0"/>
              <w:adjustRightInd w:val="0"/>
              <w:jc w:val="both"/>
              <w:rPr>
                <w:rFonts w:ascii="Arial" w:hAnsi="Arial" w:cs="Arial"/>
                <w:b/>
                <w:bCs/>
                <w:sz w:val="20"/>
                <w:szCs w:val="20"/>
                <w:lang w:val="en-IN"/>
              </w:rPr>
            </w:pPr>
            <w:r w:rsidRPr="00704BE6">
              <w:rPr>
                <w:rFonts w:ascii="Arial" w:hAnsi="Arial" w:cs="Arial"/>
                <w:bCs/>
                <w:sz w:val="20"/>
                <w:szCs w:val="20"/>
                <w:lang w:eastAsia="en-IN"/>
              </w:rPr>
              <w:t>Respiratory Burst/</w:t>
            </w:r>
            <w:r w:rsidR="00294E1A" w:rsidRPr="00704BE6">
              <w:rPr>
                <w:rFonts w:ascii="Arial" w:hAnsi="Arial" w:cs="Arial"/>
                <w:bCs/>
                <w:sz w:val="20"/>
                <w:szCs w:val="20"/>
                <w:lang w:eastAsia="en-IN"/>
              </w:rPr>
              <w:t xml:space="preserve"> </w:t>
            </w:r>
            <w:r w:rsidRPr="00704BE6">
              <w:rPr>
                <w:rFonts w:ascii="Arial" w:hAnsi="Arial" w:cs="Arial"/>
                <w:bCs/>
                <w:sz w:val="20"/>
                <w:szCs w:val="20"/>
                <w:lang w:eastAsia="en-IN"/>
              </w:rPr>
              <w:t>NBT assay</w:t>
            </w:r>
            <w:r w:rsidR="00294E1A" w:rsidRPr="00704BE6">
              <w:rPr>
                <w:rFonts w:ascii="Arial" w:hAnsi="Arial" w:cs="Arial"/>
                <w:bCs/>
                <w:sz w:val="20"/>
                <w:szCs w:val="20"/>
                <w:lang w:eastAsia="en-IN"/>
              </w:rPr>
              <w:t xml:space="preserve"> </w:t>
            </w:r>
            <w:r w:rsidR="00294E1A" w:rsidRPr="00704BE6">
              <w:rPr>
                <w:rFonts w:ascii="Arial" w:hAnsi="Arial" w:cs="Arial"/>
                <w:bCs/>
                <w:i/>
                <w:iCs/>
                <w:sz w:val="20"/>
                <w:szCs w:val="20"/>
                <w:lang w:eastAsia="en-IN"/>
              </w:rPr>
              <w:t>(absorbance)</w:t>
            </w:r>
          </w:p>
        </w:tc>
        <w:tc>
          <w:tcPr>
            <w:tcW w:w="1023" w:type="pct"/>
          </w:tcPr>
          <w:p w14:paraId="12F2EDBE" w14:textId="77777777" w:rsidR="00450809" w:rsidRPr="00704BE6" w:rsidRDefault="00450809" w:rsidP="00704BE6">
            <w:pPr>
              <w:ind w:right="99"/>
              <w:jc w:val="right"/>
              <w:rPr>
                <w:rFonts w:ascii="Arial" w:hAnsi="Arial" w:cs="Arial"/>
                <w:sz w:val="20"/>
                <w:szCs w:val="20"/>
                <w:lang w:val="en-IN"/>
              </w:rPr>
            </w:pPr>
            <w:r w:rsidRPr="00704BE6">
              <w:rPr>
                <w:rFonts w:ascii="Arial" w:hAnsi="Arial" w:cs="Arial"/>
                <w:sz w:val="20"/>
                <w:szCs w:val="20"/>
                <w:lang w:val="en-IN"/>
              </w:rPr>
              <w:t>0.069</w:t>
            </w:r>
            <w:r w:rsidRPr="00704BE6">
              <w:rPr>
                <w:rFonts w:ascii="Arial" w:hAnsi="Arial" w:cs="Arial"/>
                <w:sz w:val="20"/>
                <w:szCs w:val="20"/>
                <w:vertAlign w:val="superscript"/>
                <w:lang w:val="en-IN"/>
              </w:rPr>
              <w:t>a</w:t>
            </w:r>
          </w:p>
        </w:tc>
        <w:tc>
          <w:tcPr>
            <w:tcW w:w="1024" w:type="pct"/>
          </w:tcPr>
          <w:p w14:paraId="0C974235" w14:textId="77777777" w:rsidR="00450809" w:rsidRPr="00704BE6" w:rsidRDefault="00450809" w:rsidP="00704BE6">
            <w:pPr>
              <w:ind w:right="99"/>
              <w:jc w:val="right"/>
              <w:rPr>
                <w:rFonts w:ascii="Arial" w:hAnsi="Arial" w:cs="Arial"/>
                <w:b/>
                <w:bCs/>
                <w:sz w:val="20"/>
                <w:szCs w:val="20"/>
                <w:lang w:val="en-IN"/>
              </w:rPr>
            </w:pPr>
            <w:r w:rsidRPr="00704BE6">
              <w:rPr>
                <w:rFonts w:ascii="Arial" w:hAnsi="Arial" w:cs="Arial"/>
                <w:sz w:val="20"/>
                <w:szCs w:val="20"/>
                <w:lang w:val="en-IN"/>
              </w:rPr>
              <w:t>0.073</w:t>
            </w:r>
            <w:r w:rsidRPr="00704BE6">
              <w:rPr>
                <w:rFonts w:ascii="Arial" w:hAnsi="Arial" w:cs="Arial"/>
                <w:sz w:val="20"/>
                <w:szCs w:val="20"/>
                <w:vertAlign w:val="superscript"/>
                <w:lang w:val="en-IN"/>
              </w:rPr>
              <w:t>a</w:t>
            </w:r>
          </w:p>
        </w:tc>
      </w:tr>
      <w:tr w:rsidR="00450809" w:rsidRPr="00704BE6" w14:paraId="67DDCCB2" w14:textId="77777777" w:rsidTr="00117302">
        <w:tblPrEx>
          <w:tblLook w:val="04A0" w:firstRow="1" w:lastRow="0" w:firstColumn="1" w:lastColumn="0" w:noHBand="0" w:noVBand="1"/>
        </w:tblPrEx>
        <w:tc>
          <w:tcPr>
            <w:tcW w:w="2953" w:type="pct"/>
          </w:tcPr>
          <w:p w14:paraId="4D4F6B2F" w14:textId="77777777" w:rsidR="00450809" w:rsidRPr="00704BE6" w:rsidRDefault="00450809" w:rsidP="00704BE6">
            <w:pPr>
              <w:autoSpaceDE w:val="0"/>
              <w:autoSpaceDN w:val="0"/>
              <w:adjustRightInd w:val="0"/>
              <w:jc w:val="both"/>
              <w:rPr>
                <w:rFonts w:ascii="Arial" w:hAnsi="Arial" w:cs="Arial"/>
                <w:b/>
                <w:bCs/>
                <w:sz w:val="20"/>
                <w:szCs w:val="20"/>
                <w:lang w:val="en-IN"/>
              </w:rPr>
            </w:pPr>
            <w:r w:rsidRPr="00704BE6">
              <w:rPr>
                <w:rFonts w:ascii="Arial" w:hAnsi="Arial" w:cs="Arial"/>
                <w:bCs/>
                <w:sz w:val="20"/>
                <w:szCs w:val="20"/>
                <w:lang w:eastAsia="en-IN"/>
              </w:rPr>
              <w:t>Myeloperoxidase activity</w:t>
            </w:r>
            <w:r w:rsidR="00294E1A" w:rsidRPr="00704BE6">
              <w:rPr>
                <w:rFonts w:ascii="Arial" w:hAnsi="Arial" w:cs="Arial"/>
                <w:bCs/>
                <w:sz w:val="20"/>
                <w:szCs w:val="20"/>
                <w:lang w:eastAsia="en-IN"/>
              </w:rPr>
              <w:t xml:space="preserve"> </w:t>
            </w:r>
            <w:r w:rsidR="00294E1A" w:rsidRPr="00704BE6">
              <w:rPr>
                <w:rFonts w:ascii="Arial" w:hAnsi="Arial" w:cs="Arial"/>
                <w:bCs/>
                <w:i/>
                <w:iCs/>
                <w:sz w:val="20"/>
                <w:szCs w:val="20"/>
                <w:lang w:eastAsia="en-IN"/>
              </w:rPr>
              <w:t>(absorbance)</w:t>
            </w:r>
          </w:p>
        </w:tc>
        <w:tc>
          <w:tcPr>
            <w:tcW w:w="1023" w:type="pct"/>
          </w:tcPr>
          <w:p w14:paraId="7ACFCE2D" w14:textId="77777777" w:rsidR="00450809" w:rsidRPr="00704BE6" w:rsidRDefault="00450809" w:rsidP="00704BE6">
            <w:pPr>
              <w:ind w:right="99"/>
              <w:jc w:val="right"/>
              <w:rPr>
                <w:rFonts w:ascii="Arial" w:hAnsi="Arial" w:cs="Arial"/>
                <w:sz w:val="20"/>
                <w:szCs w:val="20"/>
                <w:lang w:val="en-IN"/>
              </w:rPr>
            </w:pPr>
            <w:r w:rsidRPr="00704BE6">
              <w:rPr>
                <w:rFonts w:ascii="Arial" w:hAnsi="Arial" w:cs="Arial"/>
                <w:sz w:val="20"/>
                <w:szCs w:val="20"/>
                <w:lang w:val="en-IN"/>
              </w:rPr>
              <w:t>1.075</w:t>
            </w:r>
            <w:r w:rsidRPr="00704BE6">
              <w:rPr>
                <w:rFonts w:ascii="Arial" w:hAnsi="Arial" w:cs="Arial"/>
                <w:sz w:val="20"/>
                <w:szCs w:val="20"/>
                <w:vertAlign w:val="superscript"/>
                <w:lang w:val="en-IN"/>
              </w:rPr>
              <w:t>a</w:t>
            </w:r>
          </w:p>
        </w:tc>
        <w:tc>
          <w:tcPr>
            <w:tcW w:w="1024" w:type="pct"/>
          </w:tcPr>
          <w:p w14:paraId="112587F7" w14:textId="77777777" w:rsidR="00450809" w:rsidRPr="00704BE6" w:rsidRDefault="00450809" w:rsidP="00704BE6">
            <w:pPr>
              <w:ind w:right="99"/>
              <w:jc w:val="right"/>
              <w:rPr>
                <w:rFonts w:ascii="Arial" w:hAnsi="Arial" w:cs="Arial"/>
                <w:b/>
                <w:bCs/>
                <w:sz w:val="20"/>
                <w:szCs w:val="20"/>
                <w:lang w:val="en-IN"/>
              </w:rPr>
            </w:pPr>
            <w:r w:rsidRPr="00704BE6">
              <w:rPr>
                <w:rFonts w:ascii="Arial" w:hAnsi="Arial" w:cs="Arial"/>
                <w:sz w:val="20"/>
                <w:szCs w:val="20"/>
                <w:lang w:val="en-IN"/>
              </w:rPr>
              <w:t>1.177</w:t>
            </w:r>
            <w:r w:rsidRPr="00704BE6">
              <w:rPr>
                <w:rFonts w:ascii="Arial" w:hAnsi="Arial" w:cs="Arial"/>
                <w:sz w:val="20"/>
                <w:szCs w:val="20"/>
                <w:vertAlign w:val="superscript"/>
                <w:lang w:val="en-IN"/>
              </w:rPr>
              <w:t>b</w:t>
            </w:r>
          </w:p>
        </w:tc>
      </w:tr>
    </w:tbl>
    <w:p w14:paraId="4302AAD2" w14:textId="77777777" w:rsidR="00B01FCD" w:rsidRPr="00D56155" w:rsidRDefault="00000F8F" w:rsidP="00D56155">
      <w:pPr>
        <w:pStyle w:val="AbstHead"/>
        <w:spacing w:before="240" w:after="120"/>
        <w:jc w:val="both"/>
        <w:rPr>
          <w:rFonts w:ascii="Arial" w:hAnsi="Arial" w:cs="Arial"/>
          <w:szCs w:val="22"/>
        </w:rPr>
      </w:pPr>
      <w:r w:rsidRPr="00D56155">
        <w:rPr>
          <w:rFonts w:ascii="Arial" w:hAnsi="Arial" w:cs="Arial"/>
          <w:szCs w:val="22"/>
        </w:rPr>
        <w:t xml:space="preserve">4. </w:t>
      </w:r>
      <w:r w:rsidR="00B01FCD" w:rsidRPr="00D56155">
        <w:rPr>
          <w:rFonts w:ascii="Arial" w:hAnsi="Arial" w:cs="Arial"/>
          <w:szCs w:val="22"/>
        </w:rPr>
        <w:t>Conclusion</w:t>
      </w:r>
    </w:p>
    <w:p w14:paraId="5860122E" w14:textId="4B4E4F8E" w:rsidR="000E1274" w:rsidRPr="00BE5833" w:rsidRDefault="000E1274" w:rsidP="00704BE6">
      <w:pPr>
        <w:pStyle w:val="Body"/>
        <w:spacing w:after="0"/>
        <w:rPr>
          <w:rFonts w:ascii="Arial" w:hAnsi="Arial" w:cs="Arial"/>
        </w:rPr>
      </w:pPr>
      <w:r w:rsidRPr="00BE5833">
        <w:rPr>
          <w:rFonts w:ascii="Arial" w:hAnsi="Arial" w:cs="Arial"/>
        </w:rPr>
        <w:t xml:space="preserve">The current experiment showed that Zn has an important role to play in promoting plankton productivity and enhancing the survival, growth, and health of </w:t>
      </w:r>
      <w:r w:rsidR="001D3B4A" w:rsidRPr="00BE5833">
        <w:rPr>
          <w:rFonts w:ascii="Arial" w:hAnsi="Arial" w:cs="Arial"/>
        </w:rPr>
        <w:t xml:space="preserve">fry and fingerlings of </w:t>
      </w:r>
      <w:proofErr w:type="spellStart"/>
      <w:r w:rsidRPr="00BE5833">
        <w:rPr>
          <w:rFonts w:ascii="Arial" w:hAnsi="Arial" w:cs="Arial"/>
          <w:i/>
          <w:iCs/>
        </w:rPr>
        <w:t>Labeo</w:t>
      </w:r>
      <w:proofErr w:type="spellEnd"/>
      <w:r w:rsidRPr="00BE5833">
        <w:rPr>
          <w:rFonts w:ascii="Arial" w:hAnsi="Arial" w:cs="Arial"/>
          <w:i/>
          <w:iCs/>
        </w:rPr>
        <w:t xml:space="preserve"> </w:t>
      </w:r>
      <w:proofErr w:type="spellStart"/>
      <w:r w:rsidRPr="00BE5833">
        <w:rPr>
          <w:rFonts w:ascii="Arial" w:hAnsi="Arial" w:cs="Arial"/>
          <w:i/>
          <w:iCs/>
        </w:rPr>
        <w:t>rohita</w:t>
      </w:r>
      <w:proofErr w:type="spellEnd"/>
      <w:r w:rsidRPr="00BE5833">
        <w:rPr>
          <w:rFonts w:ascii="Arial" w:hAnsi="Arial" w:cs="Arial"/>
        </w:rPr>
        <w:t xml:space="preserve"> at the moderate concentrations. Zinc supplementation </w:t>
      </w:r>
      <w:r w:rsidR="001D3B4A" w:rsidRPr="00BE5833">
        <w:rPr>
          <w:rFonts w:ascii="Arial" w:hAnsi="Arial" w:cs="Arial"/>
        </w:rPr>
        <w:t xml:space="preserve">in water </w:t>
      </w:r>
      <w:r w:rsidRPr="00BE5833">
        <w:rPr>
          <w:rFonts w:ascii="Arial" w:hAnsi="Arial" w:cs="Arial"/>
        </w:rPr>
        <w:t>up to 1.00 mg/l considerably enhanced plankton biomass and chlorophyll-a content under photo-bioreactor conditions</w:t>
      </w:r>
      <w:r w:rsidR="001D3B4A" w:rsidRPr="00BE5833">
        <w:rPr>
          <w:rFonts w:ascii="Arial" w:hAnsi="Arial" w:cs="Arial"/>
        </w:rPr>
        <w:t>. H</w:t>
      </w:r>
      <w:r w:rsidRPr="00BE5833">
        <w:rPr>
          <w:rFonts w:ascii="Arial" w:hAnsi="Arial" w:cs="Arial"/>
        </w:rPr>
        <w:t xml:space="preserve">owever, higher concentrations of Zn (&gt;1.00 </w:t>
      </w:r>
      <w:r w:rsidR="00F0271D">
        <w:rPr>
          <w:rFonts w:ascii="Arial" w:hAnsi="Arial" w:cs="Arial"/>
        </w:rPr>
        <w:t>mg/l</w:t>
      </w:r>
      <w:r w:rsidRPr="00BE5833">
        <w:rPr>
          <w:rFonts w:ascii="Arial" w:hAnsi="Arial" w:cs="Arial"/>
        </w:rPr>
        <w:t xml:space="preserve">) had the potential to be </w:t>
      </w:r>
      <w:r w:rsidR="001D3B4A" w:rsidRPr="00BE5833">
        <w:rPr>
          <w:rFonts w:ascii="Arial" w:hAnsi="Arial" w:cs="Arial"/>
        </w:rPr>
        <w:t xml:space="preserve">harmful as it reduced plankton production, </w:t>
      </w:r>
      <w:r w:rsidRPr="00BE5833">
        <w:rPr>
          <w:rFonts w:ascii="Arial" w:hAnsi="Arial" w:cs="Arial"/>
        </w:rPr>
        <w:t>slow</w:t>
      </w:r>
      <w:r w:rsidR="001D3B4A" w:rsidRPr="00BE5833">
        <w:rPr>
          <w:rFonts w:ascii="Arial" w:hAnsi="Arial" w:cs="Arial"/>
        </w:rPr>
        <w:t>ed</w:t>
      </w:r>
      <w:r w:rsidRPr="00BE5833">
        <w:rPr>
          <w:rFonts w:ascii="Arial" w:hAnsi="Arial" w:cs="Arial"/>
        </w:rPr>
        <w:t xml:space="preserve"> down fry survival and growth. </w:t>
      </w:r>
      <w:r w:rsidR="001D3B4A" w:rsidRPr="00BE5833">
        <w:rPr>
          <w:rFonts w:ascii="Arial" w:hAnsi="Arial" w:cs="Arial"/>
        </w:rPr>
        <w:t xml:space="preserve">Nonetheless, </w:t>
      </w:r>
      <w:r w:rsidRPr="00BE5833">
        <w:rPr>
          <w:rFonts w:ascii="Arial" w:hAnsi="Arial" w:cs="Arial"/>
        </w:rPr>
        <w:t xml:space="preserve">lower Zn level </w:t>
      </w:r>
      <w:r w:rsidR="001D3B4A" w:rsidRPr="00BE5833">
        <w:rPr>
          <w:rFonts w:ascii="Arial" w:hAnsi="Arial" w:cs="Arial"/>
        </w:rPr>
        <w:t>(</w:t>
      </w:r>
      <w:r w:rsidRPr="00BE5833">
        <w:rPr>
          <w:rFonts w:ascii="Arial" w:hAnsi="Arial" w:cs="Arial"/>
        </w:rPr>
        <w:t xml:space="preserve">0.10 </w:t>
      </w:r>
      <w:r w:rsidR="00F0271D">
        <w:rPr>
          <w:rFonts w:ascii="Arial" w:hAnsi="Arial" w:cs="Arial"/>
        </w:rPr>
        <w:t>mg/l</w:t>
      </w:r>
      <w:r w:rsidR="00441025" w:rsidRPr="00BE5833">
        <w:rPr>
          <w:rFonts w:ascii="Arial" w:hAnsi="Arial" w:cs="Arial"/>
        </w:rPr>
        <w:t>)</w:t>
      </w:r>
      <w:r w:rsidRPr="00BE5833">
        <w:rPr>
          <w:rFonts w:ascii="Arial" w:hAnsi="Arial" w:cs="Arial"/>
        </w:rPr>
        <w:t xml:space="preserve"> </w:t>
      </w:r>
      <w:r w:rsidR="00BE5833" w:rsidRPr="00BE5833">
        <w:rPr>
          <w:rFonts w:ascii="Arial" w:hAnsi="Arial" w:cs="Arial"/>
        </w:rPr>
        <w:t xml:space="preserve">was found to be </w:t>
      </w:r>
      <w:r w:rsidRPr="00BE5833">
        <w:rPr>
          <w:rFonts w:ascii="Arial" w:hAnsi="Arial" w:cs="Arial"/>
        </w:rPr>
        <w:t xml:space="preserve">the </w:t>
      </w:r>
      <w:r w:rsidR="00BE5833" w:rsidRPr="00BE5833">
        <w:rPr>
          <w:rFonts w:ascii="Arial" w:hAnsi="Arial" w:cs="Arial"/>
        </w:rPr>
        <w:t xml:space="preserve">optimum </w:t>
      </w:r>
      <w:r w:rsidRPr="00BE5833">
        <w:rPr>
          <w:rFonts w:ascii="Arial" w:hAnsi="Arial" w:cs="Arial"/>
        </w:rPr>
        <w:t xml:space="preserve">dose for fry and fingerlings, supporting better growth and significantly improving </w:t>
      </w:r>
      <w:proofErr w:type="spellStart"/>
      <w:r w:rsidRPr="00BE5833">
        <w:rPr>
          <w:rFonts w:ascii="Arial" w:hAnsi="Arial" w:cs="Arial"/>
        </w:rPr>
        <w:t>haematological</w:t>
      </w:r>
      <w:proofErr w:type="spellEnd"/>
      <w:r w:rsidRPr="00BE5833">
        <w:rPr>
          <w:rFonts w:ascii="Arial" w:hAnsi="Arial" w:cs="Arial"/>
        </w:rPr>
        <w:t xml:space="preserve"> and some important immune markers such as respiratory burst and myeloperoxidase activity. These observations emphasize the need for cautious application of Zn in aquaculture systems to maximize productivity without triggering toxicity. Therefore, regulated Zn supplementation at 0.10 </w:t>
      </w:r>
      <w:r w:rsidR="00F0271D">
        <w:rPr>
          <w:rFonts w:ascii="Arial" w:hAnsi="Arial" w:cs="Arial"/>
        </w:rPr>
        <w:t>mg/l</w:t>
      </w:r>
      <w:r w:rsidRPr="00BE5833">
        <w:rPr>
          <w:rFonts w:ascii="Arial" w:hAnsi="Arial" w:cs="Arial"/>
        </w:rPr>
        <w:t xml:space="preserve"> is suggested for sustainable and immune-enhancing aquaculture practices in </w:t>
      </w:r>
      <w:proofErr w:type="spellStart"/>
      <w:r w:rsidRPr="00BE5833">
        <w:rPr>
          <w:rFonts w:ascii="Arial" w:hAnsi="Arial" w:cs="Arial"/>
          <w:i/>
          <w:iCs/>
        </w:rPr>
        <w:t>Labeo</w:t>
      </w:r>
      <w:proofErr w:type="spellEnd"/>
      <w:r w:rsidRPr="00BE5833">
        <w:rPr>
          <w:rFonts w:ascii="Arial" w:hAnsi="Arial" w:cs="Arial"/>
          <w:i/>
          <w:iCs/>
        </w:rPr>
        <w:t xml:space="preserve"> </w:t>
      </w:r>
      <w:proofErr w:type="spellStart"/>
      <w:r w:rsidRPr="00BE5833">
        <w:rPr>
          <w:rFonts w:ascii="Arial" w:hAnsi="Arial" w:cs="Arial"/>
          <w:i/>
          <w:iCs/>
        </w:rPr>
        <w:t>rohita</w:t>
      </w:r>
      <w:proofErr w:type="spellEnd"/>
      <w:r w:rsidR="00BE5833" w:rsidRPr="00BE5833">
        <w:rPr>
          <w:rFonts w:ascii="Arial" w:hAnsi="Arial" w:cs="Arial"/>
          <w:i/>
          <w:iCs/>
        </w:rPr>
        <w:t xml:space="preserve"> </w:t>
      </w:r>
      <w:r w:rsidR="00BE5833" w:rsidRPr="00BE5833">
        <w:rPr>
          <w:rFonts w:ascii="Arial" w:hAnsi="Arial" w:cs="Arial"/>
        </w:rPr>
        <w:t>under tank system</w:t>
      </w:r>
      <w:r w:rsidRPr="00BE5833">
        <w:rPr>
          <w:rFonts w:ascii="Arial" w:hAnsi="Arial" w:cs="Arial"/>
        </w:rPr>
        <w:t>.</w:t>
      </w:r>
    </w:p>
    <w:p w14:paraId="62792DA3" w14:textId="77777777" w:rsidR="0079280B" w:rsidRDefault="0079280B" w:rsidP="00704BE6">
      <w:pPr>
        <w:pStyle w:val="ReferHead"/>
        <w:spacing w:after="0"/>
        <w:jc w:val="both"/>
        <w:rPr>
          <w:rFonts w:ascii="Arial" w:hAnsi="Arial" w:cs="Arial"/>
          <w:sz w:val="20"/>
        </w:rPr>
      </w:pPr>
    </w:p>
    <w:p w14:paraId="5D20FE22" w14:textId="302DA755" w:rsidR="00B01FCD" w:rsidRPr="00704BE6" w:rsidRDefault="00B01FCD" w:rsidP="00704BE6">
      <w:pPr>
        <w:pStyle w:val="ReferHead"/>
        <w:spacing w:after="0"/>
        <w:jc w:val="both"/>
        <w:rPr>
          <w:rFonts w:ascii="Arial" w:hAnsi="Arial" w:cs="Arial"/>
          <w:sz w:val="20"/>
        </w:rPr>
      </w:pPr>
      <w:r w:rsidRPr="00704BE6">
        <w:rPr>
          <w:rFonts w:ascii="Arial" w:hAnsi="Arial" w:cs="Arial"/>
          <w:sz w:val="20"/>
        </w:rPr>
        <w:t>References</w:t>
      </w:r>
    </w:p>
    <w:p w14:paraId="55C23BA3" w14:textId="77777777" w:rsidR="00790ADA" w:rsidRPr="00704BE6" w:rsidRDefault="00790ADA" w:rsidP="00704BE6">
      <w:pPr>
        <w:pStyle w:val="ReferHead"/>
        <w:spacing w:after="0"/>
        <w:jc w:val="both"/>
        <w:rPr>
          <w:rFonts w:ascii="Arial" w:hAnsi="Arial" w:cs="Arial"/>
          <w:sz w:val="20"/>
        </w:rPr>
      </w:pPr>
    </w:p>
    <w:p w14:paraId="74E02C92"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shd w:val="clear" w:color="auto" w:fill="FFFFFF"/>
        </w:rPr>
        <w:t>A.P.H.A. (American Public Health Association) (1995). Standard methods for the examination of water and wastewater (19</w:t>
      </w:r>
      <w:r w:rsidRPr="006B3048">
        <w:rPr>
          <w:rFonts w:ascii="Arial" w:hAnsi="Arial" w:cs="Arial"/>
          <w:sz w:val="20"/>
          <w:szCs w:val="20"/>
          <w:shd w:val="clear" w:color="auto" w:fill="FFFFFF"/>
          <w:vertAlign w:val="superscript"/>
        </w:rPr>
        <w:t>th</w:t>
      </w:r>
      <w:r w:rsidRPr="006B3048">
        <w:rPr>
          <w:rFonts w:ascii="Arial" w:hAnsi="Arial" w:cs="Arial"/>
          <w:sz w:val="20"/>
          <w:szCs w:val="20"/>
          <w:shd w:val="clear" w:color="auto" w:fill="FFFFFF"/>
        </w:rPr>
        <w:t xml:space="preserve"> edition). APHA, New York</w:t>
      </w:r>
      <w:r w:rsidRPr="006B3048">
        <w:rPr>
          <w:rFonts w:ascii="Arial" w:hAnsi="Arial" w:cs="Arial"/>
          <w:sz w:val="20"/>
          <w:szCs w:val="20"/>
        </w:rPr>
        <w:t>.</w:t>
      </w:r>
    </w:p>
    <w:p w14:paraId="571AE615"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Adhikari, S., &amp; Ayyappan, S. (2004). Behavioural role of zinc on primary productivity, plankton and growth of a freshwater teleost, </w:t>
      </w:r>
      <w:proofErr w:type="spellStart"/>
      <w:r w:rsidRPr="006B3048">
        <w:rPr>
          <w:rFonts w:ascii="Arial" w:hAnsi="Arial" w:cs="Arial"/>
          <w:i/>
          <w:iCs/>
          <w:sz w:val="20"/>
          <w:szCs w:val="20"/>
        </w:rPr>
        <w:t>Labeo</w:t>
      </w:r>
      <w:proofErr w:type="spellEnd"/>
      <w:r w:rsidRPr="006B3048">
        <w:rPr>
          <w:rFonts w:ascii="Arial" w:hAnsi="Arial" w:cs="Arial"/>
          <w:i/>
          <w:iCs/>
          <w:sz w:val="20"/>
          <w:szCs w:val="20"/>
        </w:rPr>
        <w:t xml:space="preserve"> </w:t>
      </w:r>
      <w:proofErr w:type="spellStart"/>
      <w:r w:rsidRPr="006B3048">
        <w:rPr>
          <w:rFonts w:ascii="Arial" w:hAnsi="Arial" w:cs="Arial"/>
          <w:i/>
          <w:iCs/>
          <w:sz w:val="20"/>
          <w:szCs w:val="20"/>
        </w:rPr>
        <w:t>rohita</w:t>
      </w:r>
      <w:proofErr w:type="spellEnd"/>
      <w:r w:rsidRPr="006B3048">
        <w:rPr>
          <w:rFonts w:ascii="Arial" w:hAnsi="Arial" w:cs="Arial"/>
          <w:sz w:val="20"/>
          <w:szCs w:val="20"/>
        </w:rPr>
        <w:t xml:space="preserve"> (Hamilton). Aquaculture, 231(1-4), 327-336.</w:t>
      </w:r>
    </w:p>
    <w:p w14:paraId="3DF99603"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 xml:space="preserve">Adhikari, S., Ghosh, L., Giri, B. S., &amp; Ayyappan, S. (2009). Distributions of metals in the food web of fishponds of </w:t>
      </w:r>
      <w:proofErr w:type="spellStart"/>
      <w:r w:rsidRPr="006B3048">
        <w:rPr>
          <w:rFonts w:ascii="Arial" w:hAnsi="Arial" w:cs="Arial"/>
        </w:rPr>
        <w:t>Kolleru</w:t>
      </w:r>
      <w:proofErr w:type="spellEnd"/>
      <w:r w:rsidRPr="006B3048">
        <w:rPr>
          <w:rFonts w:ascii="Arial" w:hAnsi="Arial" w:cs="Arial"/>
        </w:rPr>
        <w:t xml:space="preserve"> Lake, India. Ecotoxicology and Environmental Safety, 72, 1242-1248.</w:t>
      </w:r>
    </w:p>
    <w:p w14:paraId="2AFCB786"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proofErr w:type="spellStart"/>
      <w:r w:rsidRPr="006B3048">
        <w:rPr>
          <w:rFonts w:ascii="Arial" w:hAnsi="Arial" w:cs="Arial"/>
          <w:bCs/>
          <w:sz w:val="20"/>
          <w:szCs w:val="20"/>
          <w:lang w:eastAsia="en-IN"/>
        </w:rPr>
        <w:t>Alkahem</w:t>
      </w:r>
      <w:proofErr w:type="spellEnd"/>
      <w:r w:rsidRPr="006B3048">
        <w:rPr>
          <w:rFonts w:ascii="Arial" w:hAnsi="Arial" w:cs="Arial"/>
          <w:bCs/>
          <w:sz w:val="20"/>
          <w:szCs w:val="20"/>
          <w:lang w:eastAsia="en-IN"/>
        </w:rPr>
        <w:t>, H. F., Al-Akel, A. S., Shamsi, M. J. K., &amp; El-Sayed, A. (2011). Toxicity of zinc to the Arabian killifish (</w:t>
      </w:r>
      <w:proofErr w:type="spellStart"/>
      <w:r w:rsidRPr="006B3048">
        <w:rPr>
          <w:rFonts w:ascii="Arial" w:hAnsi="Arial" w:cs="Arial"/>
          <w:bCs/>
          <w:i/>
          <w:iCs/>
          <w:sz w:val="20"/>
          <w:szCs w:val="20"/>
          <w:lang w:eastAsia="en-IN"/>
        </w:rPr>
        <w:t>Aphanius</w:t>
      </w:r>
      <w:proofErr w:type="spellEnd"/>
      <w:r w:rsidRPr="006B3048">
        <w:rPr>
          <w:rFonts w:ascii="Arial" w:hAnsi="Arial" w:cs="Arial"/>
          <w:bCs/>
          <w:i/>
          <w:iCs/>
          <w:sz w:val="20"/>
          <w:szCs w:val="20"/>
          <w:lang w:eastAsia="en-IN"/>
        </w:rPr>
        <w:t xml:space="preserve"> </w:t>
      </w:r>
      <w:proofErr w:type="spellStart"/>
      <w:r w:rsidRPr="006B3048">
        <w:rPr>
          <w:rFonts w:ascii="Arial" w:hAnsi="Arial" w:cs="Arial"/>
          <w:bCs/>
          <w:i/>
          <w:iCs/>
          <w:sz w:val="20"/>
          <w:szCs w:val="20"/>
          <w:lang w:eastAsia="en-IN"/>
        </w:rPr>
        <w:t>dispar</w:t>
      </w:r>
      <w:proofErr w:type="spellEnd"/>
      <w:r w:rsidRPr="006B3048">
        <w:rPr>
          <w:rFonts w:ascii="Arial" w:hAnsi="Arial" w:cs="Arial"/>
          <w:bCs/>
          <w:sz w:val="20"/>
          <w:szCs w:val="20"/>
          <w:lang w:eastAsia="en-IN"/>
        </w:rPr>
        <w:t>). Saudi Journal of Biological Sciences, 18(1), 101–105.</w:t>
      </w:r>
    </w:p>
    <w:p w14:paraId="3C195FA1"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 xml:space="preserve">Baines, S. B., Chen, X., Twining, B. S., Fisher, N. S., &amp; Landry, M. R. (2016). Factors affecting Fe and Zn contents of </w:t>
      </w:r>
      <w:proofErr w:type="spellStart"/>
      <w:r w:rsidRPr="006B3048">
        <w:rPr>
          <w:rFonts w:ascii="Arial" w:hAnsi="Arial" w:cs="Arial"/>
        </w:rPr>
        <w:t>mesozooplankton</w:t>
      </w:r>
      <w:proofErr w:type="spellEnd"/>
      <w:r w:rsidRPr="006B3048">
        <w:rPr>
          <w:rFonts w:ascii="Arial" w:hAnsi="Arial" w:cs="Arial"/>
        </w:rPr>
        <w:t xml:space="preserve"> from the Costa Rica Dome. Journal of Plankton Research, 38(2), 331-347.</w:t>
      </w:r>
    </w:p>
    <w:p w14:paraId="3476760F"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proofErr w:type="spellStart"/>
      <w:r w:rsidRPr="006B3048">
        <w:rPr>
          <w:rFonts w:ascii="Arial" w:hAnsi="Arial" w:cs="Arial"/>
          <w:sz w:val="20"/>
          <w:szCs w:val="20"/>
          <w:shd w:val="clear" w:color="auto" w:fill="FFFFFF"/>
        </w:rPr>
        <w:t>Barlaya</w:t>
      </w:r>
      <w:proofErr w:type="spellEnd"/>
      <w:r w:rsidRPr="006B3048">
        <w:rPr>
          <w:rFonts w:ascii="Arial" w:hAnsi="Arial" w:cs="Arial"/>
          <w:sz w:val="20"/>
          <w:szCs w:val="20"/>
          <w:shd w:val="clear" w:color="auto" w:fill="FFFFFF"/>
        </w:rPr>
        <w:t>, G., Kumar, A., Rupa, T. R., Raghavendra, C. H., Basumatary, P., Prakash, N. B., &amp; Hemaprasanth, K. (2023). Application of Micronutrients Affects Planktonic Quality and Quantity. Fishery Technology, 60, 163-172.</w:t>
      </w:r>
    </w:p>
    <w:p w14:paraId="3F9BFDBC"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Boyd, C.E. (1995). Bottom Soils, Sediments and Pond Aquaculture. Chapman &amp; Hall, New York, p. 348.</w:t>
      </w:r>
    </w:p>
    <w:p w14:paraId="5E61D86E"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Boyd, C.E., 1984. Water Quality in Warmwater Fish Ponds. Auburn University, USA, p. 354.</w:t>
      </w:r>
    </w:p>
    <w:p w14:paraId="6AB8EA92"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Brand, L. E., Sunda, W. G., &amp; Guillard, R. R. L. (1983). Limitation of marine phytoplankton reproductive rates by zinc, manganese and iron. Limnology and Oceanography, 28, 1182–1198.</w:t>
      </w:r>
    </w:p>
    <w:p w14:paraId="530BD17C"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Chappell, P.D., </w:t>
      </w:r>
      <w:proofErr w:type="spellStart"/>
      <w:r w:rsidRPr="006B3048">
        <w:rPr>
          <w:rFonts w:ascii="Arial" w:hAnsi="Arial" w:cs="Arial"/>
          <w:sz w:val="20"/>
          <w:szCs w:val="20"/>
        </w:rPr>
        <w:t>Vedmati</w:t>
      </w:r>
      <w:proofErr w:type="spellEnd"/>
      <w:r w:rsidRPr="006B3048">
        <w:rPr>
          <w:rFonts w:ascii="Arial" w:hAnsi="Arial" w:cs="Arial"/>
          <w:sz w:val="20"/>
          <w:szCs w:val="20"/>
        </w:rPr>
        <w:t>, J., Selph, K.E., Cyr, H.A., Jenkins, B.D., Landry, M.R., and Moffett, J.W. (2016). Preferential depletion of zinc within Costa Rica upwelling dome creates conditions for zinc colimitation of primary production. Journal of Plankton Research, 38(2), 244-255.</w:t>
      </w:r>
    </w:p>
    <w:p w14:paraId="077051D9"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Chaudhuri, H., Chakraborty, R. D., Sen, P. R., Rao, N. G. S., &amp; Jena, S. (1975). A new high in fish production in India with record yields by composite fish culture in freshwater ponds. Aquaculture, 6, 343-355.</w:t>
      </w:r>
    </w:p>
    <w:p w14:paraId="7B00B677"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Crawford, D. W., </w:t>
      </w:r>
      <w:proofErr w:type="spellStart"/>
      <w:r w:rsidRPr="006B3048">
        <w:rPr>
          <w:rFonts w:ascii="Arial" w:hAnsi="Arial" w:cs="Arial"/>
          <w:sz w:val="20"/>
          <w:szCs w:val="20"/>
        </w:rPr>
        <w:t>Lipsen</w:t>
      </w:r>
      <w:proofErr w:type="spellEnd"/>
      <w:r w:rsidRPr="006B3048">
        <w:rPr>
          <w:rFonts w:ascii="Arial" w:hAnsi="Arial" w:cs="Arial"/>
          <w:sz w:val="20"/>
          <w:szCs w:val="20"/>
        </w:rPr>
        <w:t>, M. S., Purdie, D. A., Lohan, M. C., Statham, F. A., ... &amp; Wong, C. S. (2003). Influence of zinc and iron enrichments on phytoplankton growth in the northeastern subarctic Pacific. Limnology and Oceanography, 48(4), 1583-1600.</w:t>
      </w:r>
    </w:p>
    <w:p w14:paraId="6564DBC1"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Das, S. M., &amp; Moitra, S. K. (1955). Studies on the food of some common fishes of Uttar Pradesh, India. 1. Surface-feeders, mid-feeders and bottom feeders. Proceedings of the National Academy of Sciences of the United States of America B25, 1–6.</w:t>
      </w:r>
    </w:p>
    <w:p w14:paraId="694F63F0"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Dawood, M. A. O, </w:t>
      </w:r>
      <w:proofErr w:type="spellStart"/>
      <w:r w:rsidRPr="006B3048">
        <w:rPr>
          <w:rFonts w:ascii="Arial" w:hAnsi="Arial" w:cs="Arial"/>
          <w:sz w:val="20"/>
          <w:szCs w:val="20"/>
        </w:rPr>
        <w:t>Alagawany</w:t>
      </w:r>
      <w:proofErr w:type="spellEnd"/>
      <w:r w:rsidRPr="006B3048">
        <w:rPr>
          <w:rFonts w:ascii="Arial" w:hAnsi="Arial" w:cs="Arial"/>
          <w:sz w:val="20"/>
          <w:szCs w:val="20"/>
        </w:rPr>
        <w:t xml:space="preserve">, M., &amp; </w:t>
      </w:r>
      <w:proofErr w:type="spellStart"/>
      <w:r w:rsidRPr="006B3048">
        <w:rPr>
          <w:rFonts w:ascii="Arial" w:hAnsi="Arial" w:cs="Arial"/>
          <w:sz w:val="20"/>
          <w:szCs w:val="20"/>
        </w:rPr>
        <w:t>Sewilam</w:t>
      </w:r>
      <w:proofErr w:type="spellEnd"/>
      <w:r w:rsidRPr="006B3048">
        <w:rPr>
          <w:rFonts w:ascii="Arial" w:hAnsi="Arial" w:cs="Arial"/>
          <w:sz w:val="20"/>
          <w:szCs w:val="20"/>
        </w:rPr>
        <w:t>, H. (2022). The Role of Zinc Microelement in Aquaculture: A Review. Biological Trace Element Research, 200, 3841–3853.</w:t>
      </w:r>
    </w:p>
    <w:p w14:paraId="25B9CC73"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 xml:space="preserve">Deng, D. F., Mai, K. S., Ai, Q. H., Zhang, W. B., Wang, X. J., &amp; Xu, W. (2010). Dietary zinc requirement of juvenile hybrid tilapia, </w:t>
      </w:r>
      <w:r w:rsidRPr="006B3048">
        <w:rPr>
          <w:rFonts w:ascii="Arial" w:hAnsi="Arial" w:cs="Arial"/>
          <w:bCs/>
          <w:i/>
          <w:iCs/>
          <w:sz w:val="20"/>
          <w:szCs w:val="20"/>
          <w:lang w:eastAsia="en-IN"/>
        </w:rPr>
        <w:t xml:space="preserve">Oreochromis niloticus </w:t>
      </w:r>
      <w:r w:rsidRPr="006B3048">
        <w:rPr>
          <w:rFonts w:ascii="Arial" w:hAnsi="Arial" w:cs="Arial"/>
          <w:bCs/>
          <w:sz w:val="20"/>
          <w:szCs w:val="20"/>
          <w:lang w:eastAsia="en-IN"/>
        </w:rPr>
        <w:t xml:space="preserve">× </w:t>
      </w:r>
      <w:r w:rsidRPr="006B3048">
        <w:rPr>
          <w:rFonts w:ascii="Arial" w:hAnsi="Arial" w:cs="Arial"/>
          <w:bCs/>
          <w:i/>
          <w:iCs/>
          <w:sz w:val="20"/>
          <w:szCs w:val="20"/>
          <w:lang w:eastAsia="en-IN"/>
        </w:rPr>
        <w:t>O. aureus</w:t>
      </w:r>
      <w:r w:rsidRPr="006B3048">
        <w:rPr>
          <w:rFonts w:ascii="Arial" w:hAnsi="Arial" w:cs="Arial"/>
          <w:bCs/>
          <w:sz w:val="20"/>
          <w:szCs w:val="20"/>
          <w:lang w:eastAsia="en-IN"/>
        </w:rPr>
        <w:t>. Aquaculture Nutrition, 16(4), 333–339.</w:t>
      </w:r>
    </w:p>
    <w:p w14:paraId="63E51E95"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 xml:space="preserve">Dewan, S., Ali, M. M., &amp; Islam, M. A. (1977). Studied on the size and patterns of feeding of fries and fingerlings of three major carps viz. </w:t>
      </w:r>
      <w:proofErr w:type="spellStart"/>
      <w:r w:rsidRPr="006B3048">
        <w:rPr>
          <w:rFonts w:ascii="Arial" w:hAnsi="Arial" w:cs="Arial"/>
          <w:i/>
          <w:iCs/>
        </w:rPr>
        <w:t>Labeo</w:t>
      </w:r>
      <w:proofErr w:type="spellEnd"/>
      <w:r w:rsidRPr="006B3048">
        <w:rPr>
          <w:rFonts w:ascii="Arial" w:hAnsi="Arial" w:cs="Arial"/>
          <w:i/>
          <w:iCs/>
        </w:rPr>
        <w:t xml:space="preserve"> </w:t>
      </w:r>
      <w:proofErr w:type="spellStart"/>
      <w:r w:rsidRPr="006B3048">
        <w:rPr>
          <w:rFonts w:ascii="Arial" w:hAnsi="Arial" w:cs="Arial"/>
          <w:i/>
          <w:iCs/>
        </w:rPr>
        <w:t>rohita</w:t>
      </w:r>
      <w:proofErr w:type="spellEnd"/>
      <w:r w:rsidRPr="006B3048">
        <w:rPr>
          <w:rFonts w:ascii="Arial" w:hAnsi="Arial" w:cs="Arial"/>
          <w:i/>
          <w:iCs/>
        </w:rPr>
        <w:t xml:space="preserve"> </w:t>
      </w:r>
      <w:r w:rsidRPr="006B3048">
        <w:rPr>
          <w:rFonts w:ascii="Arial" w:hAnsi="Arial" w:cs="Arial"/>
        </w:rPr>
        <w:t xml:space="preserve">(Ham.) </w:t>
      </w:r>
      <w:proofErr w:type="spellStart"/>
      <w:r w:rsidRPr="006B3048">
        <w:rPr>
          <w:rFonts w:ascii="Arial" w:hAnsi="Arial" w:cs="Arial"/>
          <w:i/>
          <w:iCs/>
        </w:rPr>
        <w:t>Catla</w:t>
      </w:r>
      <w:proofErr w:type="spellEnd"/>
      <w:r w:rsidRPr="006B3048">
        <w:rPr>
          <w:rFonts w:ascii="Arial" w:hAnsi="Arial" w:cs="Arial"/>
          <w:i/>
          <w:iCs/>
        </w:rPr>
        <w:t xml:space="preserve"> </w:t>
      </w:r>
      <w:proofErr w:type="spellStart"/>
      <w:r w:rsidRPr="006B3048">
        <w:rPr>
          <w:rFonts w:ascii="Arial" w:hAnsi="Arial" w:cs="Arial"/>
          <w:i/>
          <w:iCs/>
        </w:rPr>
        <w:t>catla</w:t>
      </w:r>
      <w:proofErr w:type="spellEnd"/>
      <w:r w:rsidRPr="006B3048">
        <w:rPr>
          <w:rFonts w:ascii="Arial" w:hAnsi="Arial" w:cs="Arial"/>
        </w:rPr>
        <w:t xml:space="preserve"> (Ham.) and </w:t>
      </w:r>
      <w:proofErr w:type="spellStart"/>
      <w:r w:rsidRPr="006B3048">
        <w:rPr>
          <w:rFonts w:ascii="Arial" w:hAnsi="Arial" w:cs="Arial"/>
          <w:i/>
          <w:iCs/>
        </w:rPr>
        <w:t>Cirrhinus</w:t>
      </w:r>
      <w:proofErr w:type="spellEnd"/>
      <w:r w:rsidRPr="006B3048">
        <w:rPr>
          <w:rFonts w:ascii="Arial" w:hAnsi="Arial" w:cs="Arial"/>
          <w:i/>
          <w:iCs/>
        </w:rPr>
        <w:t xml:space="preserve"> </w:t>
      </w:r>
      <w:proofErr w:type="spellStart"/>
      <w:r w:rsidRPr="006B3048">
        <w:rPr>
          <w:rFonts w:ascii="Arial" w:hAnsi="Arial" w:cs="Arial"/>
          <w:i/>
          <w:iCs/>
        </w:rPr>
        <w:t>mrigala</w:t>
      </w:r>
      <w:proofErr w:type="spellEnd"/>
      <w:r w:rsidRPr="006B3048">
        <w:rPr>
          <w:rFonts w:ascii="Arial" w:hAnsi="Arial" w:cs="Arial"/>
        </w:rPr>
        <w:t xml:space="preserve"> (Ham.). Bangladesh Journal of Agriculture, 2, 223-228.</w:t>
      </w:r>
    </w:p>
    <w:p w14:paraId="67D32CEB"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bCs/>
          <w:sz w:val="20"/>
          <w:szCs w:val="20"/>
          <w:lang w:eastAsia="en-IN"/>
        </w:rPr>
        <w:t>Eaton A. D., Clesceri, L. S., and Greenberg, A. E.  (1995). Standard methods for the examination of water and wastewater. American Public Health Association, Washington, DC.</w:t>
      </w:r>
    </w:p>
    <w:p w14:paraId="2B6F17B4"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lastRenderedPageBreak/>
        <w:t xml:space="preserve">Ebrahimi, E., </w:t>
      </w:r>
      <w:proofErr w:type="spellStart"/>
      <w:r w:rsidRPr="006B3048">
        <w:rPr>
          <w:rFonts w:ascii="Arial" w:hAnsi="Arial" w:cs="Arial"/>
          <w:bCs/>
          <w:sz w:val="20"/>
          <w:szCs w:val="20"/>
          <w:lang w:eastAsia="en-IN"/>
        </w:rPr>
        <w:t>Ouraji</w:t>
      </w:r>
      <w:proofErr w:type="spellEnd"/>
      <w:r w:rsidRPr="006B3048">
        <w:rPr>
          <w:rFonts w:ascii="Arial" w:hAnsi="Arial" w:cs="Arial"/>
          <w:bCs/>
          <w:sz w:val="20"/>
          <w:szCs w:val="20"/>
          <w:lang w:eastAsia="en-IN"/>
        </w:rPr>
        <w:t xml:space="preserve">, H., </w:t>
      </w:r>
      <w:proofErr w:type="spellStart"/>
      <w:r w:rsidRPr="006B3048">
        <w:rPr>
          <w:rFonts w:ascii="Arial" w:hAnsi="Arial" w:cs="Arial"/>
          <w:bCs/>
          <w:sz w:val="20"/>
          <w:szCs w:val="20"/>
          <w:lang w:eastAsia="en-IN"/>
        </w:rPr>
        <w:t>Sudagar</w:t>
      </w:r>
      <w:proofErr w:type="spellEnd"/>
      <w:r w:rsidRPr="006B3048">
        <w:rPr>
          <w:rFonts w:ascii="Arial" w:hAnsi="Arial" w:cs="Arial"/>
          <w:bCs/>
          <w:sz w:val="20"/>
          <w:szCs w:val="20"/>
          <w:lang w:eastAsia="en-IN"/>
        </w:rPr>
        <w:t xml:space="preserve">, M., &amp; Khara, H. (2012). The effect of dietary zinc and vitamin C supplements on growth performance and </w:t>
      </w:r>
      <w:proofErr w:type="spellStart"/>
      <w:r w:rsidRPr="006B3048">
        <w:rPr>
          <w:rFonts w:ascii="Arial" w:hAnsi="Arial" w:cs="Arial"/>
          <w:bCs/>
          <w:sz w:val="20"/>
          <w:szCs w:val="20"/>
          <w:lang w:eastAsia="en-IN"/>
        </w:rPr>
        <w:t>hematological</w:t>
      </w:r>
      <w:proofErr w:type="spellEnd"/>
      <w:r w:rsidRPr="006B3048">
        <w:rPr>
          <w:rFonts w:ascii="Arial" w:hAnsi="Arial" w:cs="Arial"/>
          <w:bCs/>
          <w:sz w:val="20"/>
          <w:szCs w:val="20"/>
          <w:lang w:eastAsia="en-IN"/>
        </w:rPr>
        <w:t xml:space="preserve"> parameters in common carp (</w:t>
      </w:r>
      <w:r w:rsidRPr="006B3048">
        <w:rPr>
          <w:rFonts w:ascii="Arial" w:hAnsi="Arial" w:cs="Arial"/>
          <w:bCs/>
          <w:i/>
          <w:iCs/>
          <w:sz w:val="20"/>
          <w:szCs w:val="20"/>
          <w:lang w:eastAsia="en-IN"/>
        </w:rPr>
        <w:t>Cyprinus carpio</w:t>
      </w:r>
      <w:r w:rsidRPr="006B3048">
        <w:rPr>
          <w:rFonts w:ascii="Arial" w:hAnsi="Arial" w:cs="Arial"/>
          <w:bCs/>
          <w:sz w:val="20"/>
          <w:szCs w:val="20"/>
          <w:lang w:eastAsia="en-IN"/>
        </w:rPr>
        <w:t>). Iranian Journal of Fisheries Sciences, 11(1), 105-115.</w:t>
      </w:r>
    </w:p>
    <w:p w14:paraId="5FED102F" w14:textId="77777777" w:rsidR="00D13407" w:rsidRPr="006B3048" w:rsidRDefault="00D13407" w:rsidP="006B3048">
      <w:pPr>
        <w:pStyle w:val="Body"/>
        <w:numPr>
          <w:ilvl w:val="0"/>
          <w:numId w:val="43"/>
        </w:numPr>
        <w:spacing w:after="0"/>
        <w:ind w:left="308"/>
        <w:rPr>
          <w:rFonts w:ascii="Arial" w:hAnsi="Arial" w:cs="Arial"/>
        </w:rPr>
      </w:pPr>
      <w:proofErr w:type="spellStart"/>
      <w:r w:rsidRPr="006B3048">
        <w:rPr>
          <w:rFonts w:ascii="Arial" w:hAnsi="Arial" w:cs="Arial"/>
        </w:rPr>
        <w:t>Elmaci</w:t>
      </w:r>
      <w:proofErr w:type="spellEnd"/>
      <w:r w:rsidRPr="006B3048">
        <w:rPr>
          <w:rFonts w:ascii="Arial" w:hAnsi="Arial" w:cs="Arial"/>
        </w:rPr>
        <w:t xml:space="preserve">, A., </w:t>
      </w:r>
      <w:proofErr w:type="spellStart"/>
      <w:r w:rsidRPr="006B3048">
        <w:rPr>
          <w:rFonts w:ascii="Arial" w:hAnsi="Arial" w:cs="Arial"/>
        </w:rPr>
        <w:t>Teksoy</w:t>
      </w:r>
      <w:proofErr w:type="spellEnd"/>
      <w:r w:rsidRPr="006B3048">
        <w:rPr>
          <w:rFonts w:ascii="Arial" w:hAnsi="Arial" w:cs="Arial"/>
        </w:rPr>
        <w:t xml:space="preserve">, A., </w:t>
      </w:r>
      <w:proofErr w:type="spellStart"/>
      <w:r w:rsidRPr="006B3048">
        <w:rPr>
          <w:rFonts w:ascii="Arial" w:hAnsi="Arial" w:cs="Arial"/>
        </w:rPr>
        <w:t>Topac</w:t>
      </w:r>
      <w:proofErr w:type="spellEnd"/>
      <w:r w:rsidRPr="006B3048">
        <w:rPr>
          <w:rFonts w:ascii="Arial" w:hAnsi="Arial" w:cs="Arial"/>
        </w:rPr>
        <w:t xml:space="preserve">, F.O., </w:t>
      </w:r>
      <w:proofErr w:type="spellStart"/>
      <w:r w:rsidRPr="006B3048">
        <w:rPr>
          <w:rFonts w:ascii="Arial" w:hAnsi="Arial" w:cs="Arial"/>
        </w:rPr>
        <w:t>Ozengin</w:t>
      </w:r>
      <w:proofErr w:type="spellEnd"/>
      <w:r w:rsidRPr="006B3048">
        <w:rPr>
          <w:rFonts w:ascii="Arial" w:hAnsi="Arial" w:cs="Arial"/>
        </w:rPr>
        <w:t xml:space="preserve">, N., </w:t>
      </w:r>
      <w:proofErr w:type="spellStart"/>
      <w:r w:rsidRPr="006B3048">
        <w:rPr>
          <w:rFonts w:ascii="Arial" w:hAnsi="Arial" w:cs="Arial"/>
        </w:rPr>
        <w:t>Kurtoglu</w:t>
      </w:r>
      <w:proofErr w:type="spellEnd"/>
      <w:r w:rsidRPr="006B3048">
        <w:rPr>
          <w:rFonts w:ascii="Arial" w:hAnsi="Arial" w:cs="Arial"/>
        </w:rPr>
        <w:t xml:space="preserve">, S., &amp; </w:t>
      </w:r>
      <w:proofErr w:type="spellStart"/>
      <w:r w:rsidRPr="006B3048">
        <w:rPr>
          <w:rFonts w:ascii="Arial" w:hAnsi="Arial" w:cs="Arial"/>
        </w:rPr>
        <w:t>Baskaya</w:t>
      </w:r>
      <w:proofErr w:type="spellEnd"/>
      <w:r w:rsidRPr="006B3048">
        <w:rPr>
          <w:rFonts w:ascii="Arial" w:hAnsi="Arial" w:cs="Arial"/>
        </w:rPr>
        <w:t xml:space="preserve">, H.S. (2007). Assessment of heavy metals in Lake </w:t>
      </w:r>
      <w:proofErr w:type="spellStart"/>
      <w:r w:rsidRPr="006B3048">
        <w:rPr>
          <w:rFonts w:ascii="Arial" w:hAnsi="Arial" w:cs="Arial"/>
        </w:rPr>
        <w:t>Uluabat</w:t>
      </w:r>
      <w:proofErr w:type="spellEnd"/>
      <w:r w:rsidRPr="006B3048">
        <w:rPr>
          <w:rFonts w:ascii="Arial" w:hAnsi="Arial" w:cs="Arial"/>
        </w:rPr>
        <w:t>, Turkey. African Journal of Biotechnology, 6, 2236–2244.</w:t>
      </w:r>
    </w:p>
    <w:p w14:paraId="2492B2F8"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FAO (1997). Review of the State of World Aquaculture, 886. FAO Fisheries circular. 163 pp.</w:t>
      </w:r>
    </w:p>
    <w:p w14:paraId="2AE88A0B"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Feng, L., Tan, L. N., Liu, Y., Jiang, J., Jiang, W. D., Hu, K., ... &amp; Zhou, X. Q. (2011). Influence of dietary zinc on lipid peroxidation, protein oxidation and antioxidant defence of juvenile Jian carp (</w:t>
      </w:r>
      <w:r w:rsidRPr="006B3048">
        <w:rPr>
          <w:rFonts w:ascii="Arial" w:hAnsi="Arial" w:cs="Arial"/>
          <w:i/>
          <w:iCs/>
          <w:sz w:val="20"/>
          <w:szCs w:val="20"/>
        </w:rPr>
        <w:t>Cyprinus carpio</w:t>
      </w:r>
      <w:r w:rsidRPr="006B3048">
        <w:rPr>
          <w:rFonts w:ascii="Arial" w:hAnsi="Arial" w:cs="Arial"/>
          <w:sz w:val="20"/>
          <w:szCs w:val="20"/>
        </w:rPr>
        <w:t xml:space="preserve"> var. Jian). Aquaculture Nutrition, 17(4), e875-e882.</w:t>
      </w:r>
    </w:p>
    <w:p w14:paraId="36049972"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Gatlin, D. M., &amp; Wilson, R. P. (1984). Dietary zinc requirement of fingerling channel catfish. The Journal of Nutrition, 114(4), 627–633.</w:t>
      </w:r>
    </w:p>
    <w:p w14:paraId="697F6EE5"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bCs/>
          <w:sz w:val="20"/>
          <w:szCs w:val="20"/>
        </w:rPr>
      </w:pPr>
      <w:r w:rsidRPr="006B3048">
        <w:rPr>
          <w:rFonts w:ascii="Arial" w:hAnsi="Arial" w:cs="Arial"/>
          <w:bCs/>
          <w:sz w:val="20"/>
          <w:szCs w:val="20"/>
        </w:rPr>
        <w:t>Goldman, C. R. (1965). Micronutrient limiting factors and their detection in natural phytoplankton populations. In: Goldman, C.R. (Ed.), Primary Productivity in Aquatic Environments. Mem. 1</w:t>
      </w:r>
      <w:r w:rsidRPr="006B3048">
        <w:rPr>
          <w:rFonts w:ascii="Arial" w:hAnsi="Arial" w:cs="Arial"/>
          <w:bCs/>
          <w:sz w:val="20"/>
          <w:szCs w:val="20"/>
          <w:vertAlign w:val="superscript"/>
        </w:rPr>
        <w:t>st</w:t>
      </w:r>
      <w:r w:rsidRPr="006B3048">
        <w:rPr>
          <w:rFonts w:ascii="Arial" w:hAnsi="Arial" w:cs="Arial"/>
          <w:bCs/>
          <w:sz w:val="20"/>
          <w:szCs w:val="20"/>
        </w:rPr>
        <w:t xml:space="preserve"> Ital. Idrobiol.,18 (121 – 135).</w:t>
      </w:r>
    </w:p>
    <w:p w14:paraId="58CE4824"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Goldman, C. R., &amp; Horne, A. J. (1983). Limnology. McGraw-Hill, New York, p. 464.</w:t>
      </w:r>
    </w:p>
    <w:p w14:paraId="7CB27E11"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Hardy, R. W., Shearer, K. D., &amp; Ogino, C. (1996). Food intake, growth, and nutrient utilization by rainbow trout fed diets containing different levels of zinc. Aquaculture, 145(1-4), 1–9.</w:t>
      </w:r>
    </w:p>
    <w:p w14:paraId="669B4F14"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Hickling, C. F. (1971). Fish Culture. Faber and Faber, London, p. 225.</w:t>
      </w:r>
    </w:p>
    <w:p w14:paraId="6F35AAAC"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 xml:space="preserve">Hosseini, S. A., </w:t>
      </w:r>
      <w:proofErr w:type="spellStart"/>
      <w:r w:rsidRPr="006B3048">
        <w:rPr>
          <w:rFonts w:ascii="Arial" w:hAnsi="Arial" w:cs="Arial"/>
          <w:bCs/>
          <w:sz w:val="20"/>
          <w:szCs w:val="20"/>
          <w:lang w:eastAsia="en-IN"/>
        </w:rPr>
        <w:t>Hoseinifar</w:t>
      </w:r>
      <w:proofErr w:type="spellEnd"/>
      <w:r w:rsidRPr="006B3048">
        <w:rPr>
          <w:rFonts w:ascii="Arial" w:hAnsi="Arial" w:cs="Arial"/>
          <w:bCs/>
          <w:sz w:val="20"/>
          <w:szCs w:val="20"/>
          <w:lang w:eastAsia="en-IN"/>
        </w:rPr>
        <w:t xml:space="preserve">, S. H., </w:t>
      </w:r>
      <w:proofErr w:type="spellStart"/>
      <w:r w:rsidRPr="006B3048">
        <w:rPr>
          <w:rFonts w:ascii="Arial" w:hAnsi="Arial" w:cs="Arial"/>
          <w:bCs/>
          <w:sz w:val="20"/>
          <w:szCs w:val="20"/>
          <w:lang w:eastAsia="en-IN"/>
        </w:rPr>
        <w:t>Paknejad</w:t>
      </w:r>
      <w:proofErr w:type="spellEnd"/>
      <w:r w:rsidRPr="006B3048">
        <w:rPr>
          <w:rFonts w:ascii="Arial" w:hAnsi="Arial" w:cs="Arial"/>
          <w:bCs/>
          <w:sz w:val="20"/>
          <w:szCs w:val="20"/>
          <w:lang w:eastAsia="en-IN"/>
        </w:rPr>
        <w:t>, H., &amp; Safari, R. (2016). Effects of dietary zinc oxide nanoparticles on the mucosal immunity and growth performance of rainbow trout (</w:t>
      </w:r>
      <w:r w:rsidRPr="006B3048">
        <w:rPr>
          <w:rFonts w:ascii="Arial" w:hAnsi="Arial" w:cs="Arial"/>
          <w:bCs/>
          <w:i/>
          <w:iCs/>
          <w:sz w:val="20"/>
          <w:szCs w:val="20"/>
          <w:lang w:eastAsia="en-IN"/>
        </w:rPr>
        <w:t>Oncorhynchus mykiss</w:t>
      </w:r>
      <w:r w:rsidRPr="006B3048">
        <w:rPr>
          <w:rFonts w:ascii="Arial" w:hAnsi="Arial" w:cs="Arial"/>
          <w:bCs/>
          <w:sz w:val="20"/>
          <w:szCs w:val="20"/>
          <w:lang w:eastAsia="en-IN"/>
        </w:rPr>
        <w:t>). Aquaculture Research, 47(9), 2783–2792.</w:t>
      </w:r>
    </w:p>
    <w:p w14:paraId="78E184B6"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Hughes, S. G., &amp; Johnston, N. (1990). Dietary zinc requirement of fingerling rainbow trout. Progressive Fish-Culturist, 52(1), 1–4.</w:t>
      </w:r>
    </w:p>
    <w:p w14:paraId="7EAD409C" w14:textId="77777777" w:rsidR="00D13407" w:rsidRPr="006B3048" w:rsidRDefault="00D13407" w:rsidP="006B3048">
      <w:pPr>
        <w:pStyle w:val="Body"/>
        <w:numPr>
          <w:ilvl w:val="0"/>
          <w:numId w:val="43"/>
        </w:numPr>
        <w:spacing w:after="0"/>
        <w:ind w:left="308"/>
        <w:rPr>
          <w:rFonts w:ascii="Arial" w:hAnsi="Arial" w:cs="Arial"/>
        </w:rPr>
      </w:pPr>
      <w:proofErr w:type="spellStart"/>
      <w:r w:rsidRPr="006B3048">
        <w:rPr>
          <w:rFonts w:ascii="Arial" w:hAnsi="Arial" w:cs="Arial"/>
        </w:rPr>
        <w:t>Jhingran</w:t>
      </w:r>
      <w:proofErr w:type="spellEnd"/>
      <w:r w:rsidRPr="006B3048">
        <w:rPr>
          <w:rFonts w:ascii="Arial" w:hAnsi="Arial" w:cs="Arial"/>
        </w:rPr>
        <w:t>, V. G., &amp; Pullin, R. S. V. (1985). A hatchery manual for the common, Chinese and Indian major carp. ICLARM Contribution, vol. 252. ADB and ICLARM Publication. 191 pp.</w:t>
      </w:r>
    </w:p>
    <w:p w14:paraId="5794A2AC"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 xml:space="preserve">Kanak, M. K., Dewan, S., &amp; </w:t>
      </w:r>
      <w:proofErr w:type="spellStart"/>
      <w:r w:rsidRPr="006B3048">
        <w:rPr>
          <w:rFonts w:ascii="Arial" w:hAnsi="Arial" w:cs="Arial"/>
        </w:rPr>
        <w:t>Salimullah</w:t>
      </w:r>
      <w:proofErr w:type="spellEnd"/>
      <w:r w:rsidRPr="006B3048">
        <w:rPr>
          <w:rFonts w:ascii="Arial" w:hAnsi="Arial" w:cs="Arial"/>
        </w:rPr>
        <w:t>, M. (1999). Performance of exotic fishes with Indian major carps in polyculture under three different species combinations. Bangladesh Journal of Fisheries, 22, 1–6.</w:t>
      </w:r>
    </w:p>
    <w:p w14:paraId="7C318004"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Lall, S. P. (2002). The minerals. In J. E. Halver &amp; R. W. Hardy (Eds.), Fish Nutrition (3rd ed., pp. 259–308). Academic Press.</w:t>
      </w:r>
    </w:p>
    <w:p w14:paraId="12090A00"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Miah, M. S., Uddin, M. S., &amp; Shah, M. S. (1997). Effect of stocking ratios on the growth and production of fishes in mixed polyculture system. Bangladesh Journal of Fisheries, 20, 135–138.</w:t>
      </w:r>
    </w:p>
    <w:p w14:paraId="7FD14EE1"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Moore, J. W., &amp; Ramamoorthy, S. (1984). Heavy Metals in Natural Waters: Applied Monitoring and Impact Assessment, Springer, New York. 268 pp.</w:t>
      </w:r>
    </w:p>
    <w:p w14:paraId="1BCC0660"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Morel, F. M. M., </w:t>
      </w:r>
      <w:proofErr w:type="spellStart"/>
      <w:r w:rsidRPr="006B3048">
        <w:rPr>
          <w:rFonts w:ascii="Arial" w:hAnsi="Arial" w:cs="Arial"/>
          <w:sz w:val="20"/>
          <w:szCs w:val="20"/>
        </w:rPr>
        <w:t>Reinfelder</w:t>
      </w:r>
      <w:proofErr w:type="spellEnd"/>
      <w:r w:rsidRPr="006B3048">
        <w:rPr>
          <w:rFonts w:ascii="Arial" w:hAnsi="Arial" w:cs="Arial"/>
          <w:sz w:val="20"/>
          <w:szCs w:val="20"/>
        </w:rPr>
        <w:t>, J. R., Roberts, S. B., Chamberlain, C. P., Lee, J. G., &amp; Yee, D. (1994). Zinc and carbon co-limitation of marine phytoplankton. Nature, 369(6483), 740-742.</w:t>
      </w:r>
    </w:p>
    <w:p w14:paraId="7D1D556E"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National Research Council (NRC) (2011). Nutrient requirements of fish and shrimp. The National Academies Press.</w:t>
      </w:r>
    </w:p>
    <w:p w14:paraId="696364E1"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Ogino, C., &amp; Yang, G. Y. (1980). Requirements of carp for dietary zinc. Bulletin of the Japanese Society of Scientific Fisheries, 46(4), 455–458.</w:t>
      </w:r>
    </w:p>
    <w:p w14:paraId="2521F8C3"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Prasad, A. S. (1995). Zinc: an overview. Nutrition, 11 (</w:t>
      </w:r>
      <w:proofErr w:type="spellStart"/>
      <w:r w:rsidRPr="006B3048">
        <w:rPr>
          <w:rFonts w:ascii="Arial" w:hAnsi="Arial" w:cs="Arial"/>
          <w:bCs/>
          <w:sz w:val="20"/>
          <w:szCs w:val="20"/>
          <w:lang w:eastAsia="en-IN"/>
        </w:rPr>
        <w:t>Suppl</w:t>
      </w:r>
      <w:proofErr w:type="spellEnd"/>
      <w:r w:rsidRPr="006B3048">
        <w:rPr>
          <w:rFonts w:ascii="Arial" w:hAnsi="Arial" w:cs="Arial"/>
          <w:bCs/>
          <w:sz w:val="20"/>
          <w:szCs w:val="20"/>
          <w:lang w:eastAsia="en-IN"/>
        </w:rPr>
        <w:t xml:space="preserve"> 1), 93–99.</w:t>
      </w:r>
    </w:p>
    <w:p w14:paraId="23510F55"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Reddy, P. V. G. K., &amp; Venugopal, K. (1990). Effect of zinc on growth and feed efficiency in Indian major carps. Indian Journal of Fisheries, 37(3), 199–203.</w:t>
      </w:r>
    </w:p>
    <w:p w14:paraId="77C5F615"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Reilly C (2004). Zinc in: The Nutritional Trace Metals. Blackwell Publishing.</w:t>
      </w:r>
    </w:p>
    <w:p w14:paraId="007E8B67"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Shrivastava, P., Saxena, A., &amp; Swarup, A. (2003). Heavy metal pollution in a sewage</w:t>
      </w:r>
      <w:r w:rsidRPr="006B3048">
        <w:rPr>
          <w:rFonts w:ascii="Cambria Math" w:hAnsi="Cambria Math" w:cs="Cambria Math"/>
        </w:rPr>
        <w:t>‐</w:t>
      </w:r>
      <w:r w:rsidRPr="006B3048">
        <w:rPr>
          <w:rFonts w:ascii="Arial" w:hAnsi="Arial" w:cs="Arial"/>
        </w:rPr>
        <w:t>fed lake of Bhopal (MP) India. Lakes &amp; Reservoirs: Research &amp; Management, 8(1), 1-4.</w:t>
      </w:r>
    </w:p>
    <w:p w14:paraId="11B6A6FE"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Shukla, A. K., Tiwari, P. K., &amp; Prakash, C. (2014). Micronutrients Deficiencies </w:t>
      </w:r>
      <w:r w:rsidRPr="006B3048">
        <w:rPr>
          <w:rFonts w:ascii="Arial" w:hAnsi="Arial" w:cs="Arial"/>
          <w:i/>
          <w:iCs/>
          <w:sz w:val="20"/>
          <w:szCs w:val="20"/>
        </w:rPr>
        <w:t>vis-a-vis</w:t>
      </w:r>
      <w:r w:rsidRPr="006B3048">
        <w:rPr>
          <w:rFonts w:ascii="Arial" w:hAnsi="Arial" w:cs="Arial"/>
          <w:sz w:val="20"/>
          <w:szCs w:val="20"/>
        </w:rPr>
        <w:t xml:space="preserve"> Food and Nutritional Security of India. Indian Journal of Fertilisers, 10 (12), 94-112.</w:t>
      </w:r>
    </w:p>
    <w:p w14:paraId="27311712"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lastRenderedPageBreak/>
        <w:t>Spry, D. J., &amp; Wiener, J. G. (1991). Metal bioavailability and toxicity to fish in low-alkalinity lakes: A critical review. Environmental Pollution, 71(2–4), 243–304.</w:t>
      </w:r>
    </w:p>
    <w:p w14:paraId="214EE6BE"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Tawfik, M. S. (2009). The impact of zinc supplementation on the immune response of Nile tilapia (</w:t>
      </w:r>
      <w:r w:rsidRPr="006B3048">
        <w:rPr>
          <w:rFonts w:ascii="Arial" w:hAnsi="Arial" w:cs="Arial"/>
          <w:bCs/>
          <w:i/>
          <w:iCs/>
          <w:sz w:val="20"/>
          <w:szCs w:val="20"/>
          <w:lang w:eastAsia="en-IN"/>
        </w:rPr>
        <w:t xml:space="preserve">Oreochromis </w:t>
      </w:r>
      <w:proofErr w:type="spellStart"/>
      <w:r w:rsidRPr="006B3048">
        <w:rPr>
          <w:rFonts w:ascii="Arial" w:hAnsi="Arial" w:cs="Arial"/>
          <w:bCs/>
          <w:i/>
          <w:iCs/>
          <w:sz w:val="20"/>
          <w:szCs w:val="20"/>
          <w:lang w:eastAsia="en-IN"/>
        </w:rPr>
        <w:t>niloticus</w:t>
      </w:r>
      <w:proofErr w:type="spellEnd"/>
      <w:r w:rsidRPr="006B3048">
        <w:rPr>
          <w:rFonts w:ascii="Arial" w:hAnsi="Arial" w:cs="Arial"/>
          <w:bCs/>
          <w:sz w:val="20"/>
          <w:szCs w:val="20"/>
          <w:lang w:eastAsia="en-IN"/>
        </w:rPr>
        <w:t xml:space="preserve">) to </w:t>
      </w:r>
      <w:r w:rsidRPr="006B3048">
        <w:rPr>
          <w:rFonts w:ascii="Arial" w:hAnsi="Arial" w:cs="Arial"/>
          <w:bCs/>
          <w:i/>
          <w:iCs/>
          <w:sz w:val="20"/>
          <w:szCs w:val="20"/>
          <w:lang w:eastAsia="en-IN"/>
        </w:rPr>
        <w:t xml:space="preserve">Aeromonas </w:t>
      </w:r>
      <w:proofErr w:type="spellStart"/>
      <w:r w:rsidRPr="006B3048">
        <w:rPr>
          <w:rFonts w:ascii="Arial" w:hAnsi="Arial" w:cs="Arial"/>
          <w:bCs/>
          <w:i/>
          <w:iCs/>
          <w:sz w:val="20"/>
          <w:szCs w:val="20"/>
          <w:lang w:eastAsia="en-IN"/>
        </w:rPr>
        <w:t>hydrophila</w:t>
      </w:r>
      <w:proofErr w:type="spellEnd"/>
      <w:r w:rsidRPr="006B3048">
        <w:rPr>
          <w:rFonts w:ascii="Arial" w:hAnsi="Arial" w:cs="Arial"/>
          <w:bCs/>
          <w:sz w:val="20"/>
          <w:szCs w:val="20"/>
          <w:lang w:eastAsia="en-IN"/>
        </w:rPr>
        <w:t xml:space="preserve"> infection. Global </w:t>
      </w:r>
      <w:proofErr w:type="spellStart"/>
      <w:r w:rsidRPr="006B3048">
        <w:rPr>
          <w:rFonts w:ascii="Arial" w:hAnsi="Arial" w:cs="Arial"/>
          <w:bCs/>
          <w:sz w:val="20"/>
          <w:szCs w:val="20"/>
          <w:lang w:eastAsia="en-IN"/>
        </w:rPr>
        <w:t>Veterinaria</w:t>
      </w:r>
      <w:proofErr w:type="spellEnd"/>
      <w:r w:rsidRPr="006B3048">
        <w:rPr>
          <w:rFonts w:ascii="Arial" w:hAnsi="Arial" w:cs="Arial"/>
          <w:bCs/>
          <w:sz w:val="20"/>
          <w:szCs w:val="20"/>
          <w:lang w:eastAsia="en-IN"/>
        </w:rPr>
        <w:t>, 3(1), 1–5.</w:t>
      </w:r>
    </w:p>
    <w:p w14:paraId="6AF6D702"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Twining B. S., Baines S. B., Bozard J. B., Vogt S., Walker E. A., &amp; Nelson D. M. (2011). Metal quotas of plankton in the equatorial Pacific Ocean. Deep Sea Research-II, 58, 325–341.</w:t>
      </w:r>
    </w:p>
    <w:p w14:paraId="1AA350F7"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 xml:space="preserve">Uddin, M. S., Miah, M. S., &amp; Alam, M. S. (1994). Study on production optimization through polyculture of indigenous and exotic </w:t>
      </w:r>
      <w:proofErr w:type="spellStart"/>
      <w:r w:rsidRPr="006B3048">
        <w:rPr>
          <w:rFonts w:ascii="Arial" w:hAnsi="Arial" w:cs="Arial"/>
        </w:rPr>
        <w:t>carps</w:t>
      </w:r>
      <w:proofErr w:type="spellEnd"/>
      <w:r w:rsidRPr="006B3048">
        <w:rPr>
          <w:rFonts w:ascii="Arial" w:hAnsi="Arial" w:cs="Arial"/>
        </w:rPr>
        <w:t>. Bangladesh Journal of Training and Development, 7, 67–72.</w:t>
      </w:r>
    </w:p>
    <w:p w14:paraId="0665DEE3"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Vallee, B. L., &amp; Falchuk, K. H. (1993). The biochemical basis of zinc physiology. Physiological Reviews, 73, 79-118.</w:t>
      </w:r>
    </w:p>
    <w:p w14:paraId="0D246510" w14:textId="77777777" w:rsidR="00D13407" w:rsidRPr="006B3048" w:rsidRDefault="00D13407" w:rsidP="006B3048">
      <w:pPr>
        <w:pStyle w:val="Body"/>
        <w:numPr>
          <w:ilvl w:val="0"/>
          <w:numId w:val="43"/>
        </w:numPr>
        <w:spacing w:after="0"/>
        <w:ind w:left="308"/>
        <w:rPr>
          <w:rFonts w:ascii="Arial" w:hAnsi="Arial" w:cs="Arial"/>
        </w:rPr>
      </w:pPr>
      <w:r w:rsidRPr="006B3048">
        <w:rPr>
          <w:rFonts w:ascii="Arial" w:hAnsi="Arial" w:cs="Arial"/>
        </w:rPr>
        <w:t>Wahab, M. A., Ahmed, Z. F., Haq, M. S., &amp; Begum, M. (1994). Compatibility of silver carp in the polyculture of cyprinid fishes. Progress in Agriculture, 5, 221–227.</w:t>
      </w:r>
    </w:p>
    <w:p w14:paraId="4845CBF0"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Wang, N., Wang, Y., Zhang, C., Zhang, Z., &amp; Zhang, H. (2012). Effect of zinc on growth and antioxidant status of juvenile yellow catfish (</w:t>
      </w:r>
      <w:proofErr w:type="spellStart"/>
      <w:r w:rsidRPr="006B3048">
        <w:rPr>
          <w:rFonts w:ascii="Arial" w:hAnsi="Arial" w:cs="Arial"/>
          <w:bCs/>
          <w:i/>
          <w:iCs/>
          <w:sz w:val="20"/>
          <w:szCs w:val="20"/>
          <w:lang w:eastAsia="en-IN"/>
        </w:rPr>
        <w:t>Pelteobagrus</w:t>
      </w:r>
      <w:proofErr w:type="spellEnd"/>
      <w:r w:rsidRPr="006B3048">
        <w:rPr>
          <w:rFonts w:ascii="Arial" w:hAnsi="Arial" w:cs="Arial"/>
          <w:bCs/>
          <w:i/>
          <w:iCs/>
          <w:sz w:val="20"/>
          <w:szCs w:val="20"/>
          <w:lang w:eastAsia="en-IN"/>
        </w:rPr>
        <w:t xml:space="preserve"> </w:t>
      </w:r>
      <w:proofErr w:type="spellStart"/>
      <w:r w:rsidRPr="006B3048">
        <w:rPr>
          <w:rFonts w:ascii="Arial" w:hAnsi="Arial" w:cs="Arial"/>
          <w:bCs/>
          <w:i/>
          <w:iCs/>
          <w:sz w:val="20"/>
          <w:szCs w:val="20"/>
          <w:lang w:eastAsia="en-IN"/>
        </w:rPr>
        <w:t>fulvidraco</w:t>
      </w:r>
      <w:proofErr w:type="spellEnd"/>
      <w:r w:rsidRPr="006B3048">
        <w:rPr>
          <w:rFonts w:ascii="Arial" w:hAnsi="Arial" w:cs="Arial"/>
          <w:bCs/>
          <w:sz w:val="20"/>
          <w:szCs w:val="20"/>
          <w:lang w:eastAsia="en-IN"/>
        </w:rPr>
        <w:t>). Aquaculture Nutrition, 18(4), 357–364.</w:t>
      </w:r>
    </w:p>
    <w:p w14:paraId="38AD87B6" w14:textId="77777777" w:rsidR="00D13407" w:rsidRPr="006B3048" w:rsidRDefault="00D13407"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6B3048">
        <w:rPr>
          <w:rFonts w:ascii="Arial" w:hAnsi="Arial" w:cs="Arial"/>
          <w:bCs/>
          <w:sz w:val="20"/>
          <w:szCs w:val="20"/>
          <w:lang w:eastAsia="en-IN"/>
        </w:rPr>
        <w:t>Watanabe, T., Kiron, V., &amp; Satoh, S. (1997). Trace minerals in fish nutrition. Aquaculture, 151(1–4), 185–207.</w:t>
      </w:r>
    </w:p>
    <w:p w14:paraId="743C1C91" w14:textId="77777777" w:rsidR="00D13407" w:rsidRPr="006B3048" w:rsidRDefault="00D13407" w:rsidP="006B3048">
      <w:pPr>
        <w:pStyle w:val="ListParagraph"/>
        <w:numPr>
          <w:ilvl w:val="0"/>
          <w:numId w:val="43"/>
        </w:numPr>
        <w:spacing w:after="0" w:line="240" w:lineRule="auto"/>
        <w:ind w:left="308"/>
        <w:contextualSpacing w:val="0"/>
        <w:jc w:val="both"/>
        <w:rPr>
          <w:rFonts w:ascii="Arial" w:hAnsi="Arial" w:cs="Arial"/>
          <w:sz w:val="20"/>
          <w:szCs w:val="20"/>
        </w:rPr>
      </w:pPr>
      <w:r w:rsidRPr="006B3048">
        <w:rPr>
          <w:rFonts w:ascii="Arial" w:hAnsi="Arial" w:cs="Arial"/>
          <w:sz w:val="20"/>
          <w:szCs w:val="20"/>
        </w:rPr>
        <w:t xml:space="preserve">Zhang, J., Kaneko, G., Sun, J., Wang, G., Xie, J., Tian, J., ... &amp; Yu, E. (2021). Key factors affecting the flesh </w:t>
      </w:r>
      <w:proofErr w:type="spellStart"/>
      <w:r w:rsidRPr="006B3048">
        <w:rPr>
          <w:rFonts w:ascii="Arial" w:hAnsi="Arial" w:cs="Arial"/>
          <w:sz w:val="20"/>
          <w:szCs w:val="20"/>
        </w:rPr>
        <w:t>flavor</w:t>
      </w:r>
      <w:proofErr w:type="spellEnd"/>
      <w:r w:rsidRPr="006B3048">
        <w:rPr>
          <w:rFonts w:ascii="Arial" w:hAnsi="Arial" w:cs="Arial"/>
          <w:sz w:val="20"/>
          <w:szCs w:val="20"/>
        </w:rPr>
        <w:t xml:space="preserve"> quality and the nutritional value of grass carp in four culture modes. Foods, 10(9), 2075.</w:t>
      </w:r>
    </w:p>
    <w:sectPr w:rsidR="00D13407" w:rsidRPr="006B3048" w:rsidSect="00EE623C">
      <w:type w:val="continuous"/>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9C36" w14:textId="77777777" w:rsidR="00850FF7" w:rsidRDefault="00850FF7" w:rsidP="00C37E61">
      <w:r>
        <w:separator/>
      </w:r>
    </w:p>
  </w:endnote>
  <w:endnote w:type="continuationSeparator" w:id="0">
    <w:p w14:paraId="2AE177DF" w14:textId="77777777" w:rsidR="00850FF7" w:rsidRDefault="00850F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5EF7" w14:textId="77777777" w:rsidR="00A1181C" w:rsidRDefault="00A11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631846"/>
      <w:docPartObj>
        <w:docPartGallery w:val="Page Numbers (Bottom of Page)"/>
        <w:docPartUnique/>
      </w:docPartObj>
    </w:sdtPr>
    <w:sdtEndPr>
      <w:rPr>
        <w:noProof/>
      </w:rPr>
    </w:sdtEndPr>
    <w:sdtContent>
      <w:p w14:paraId="255B19AD" w14:textId="4F9460C7" w:rsidR="00F0271D" w:rsidRDefault="00F0271D">
        <w:pPr>
          <w:pStyle w:val="Footer"/>
          <w:jc w:val="center"/>
        </w:pPr>
        <w:r>
          <w:fldChar w:fldCharType="begin"/>
        </w:r>
        <w:r>
          <w:instrText xml:space="preserve"> PAGE   \* MERGEFORMAT </w:instrText>
        </w:r>
        <w:r>
          <w:fldChar w:fldCharType="separate"/>
        </w:r>
        <w:r w:rsidR="000A4709">
          <w:rPr>
            <w:noProof/>
          </w:rPr>
          <w:t>2</w:t>
        </w:r>
        <w:r>
          <w:rPr>
            <w:noProof/>
          </w:rPr>
          <w:fldChar w:fldCharType="end"/>
        </w:r>
      </w:p>
    </w:sdtContent>
  </w:sdt>
  <w:p w14:paraId="32F4C9A1" w14:textId="77777777" w:rsidR="00F0271D" w:rsidRDefault="00F0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6B4A" w14:textId="77777777" w:rsidR="00F0271D" w:rsidRDefault="00F0271D">
    <w:pPr>
      <w:pStyle w:val="Footer"/>
      <w:rPr>
        <w:rFonts w:ascii="Arial" w:hAnsi="Arial" w:cs="Arial"/>
        <w:sz w:val="16"/>
      </w:rPr>
    </w:pPr>
  </w:p>
  <w:p w14:paraId="0BC8AA1D" w14:textId="77777777" w:rsidR="00F0271D" w:rsidRDefault="00F0271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C32BECD" w14:textId="77777777" w:rsidR="00F0271D" w:rsidRDefault="00F0271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5F28A" w14:textId="77777777" w:rsidR="00850FF7" w:rsidRDefault="00850FF7" w:rsidP="00C37E61">
      <w:r>
        <w:separator/>
      </w:r>
    </w:p>
  </w:footnote>
  <w:footnote w:type="continuationSeparator" w:id="0">
    <w:p w14:paraId="6397C456" w14:textId="77777777" w:rsidR="00850FF7" w:rsidRDefault="00850F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F400" w14:textId="538F1D67" w:rsidR="00A1181C" w:rsidRDefault="00A1181C">
    <w:pPr>
      <w:pStyle w:val="Header"/>
    </w:pPr>
    <w:r>
      <w:rPr>
        <w:noProof/>
      </w:rPr>
      <w:pict w14:anchorId="1D15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6DCC" w14:textId="330E005D" w:rsidR="00A1181C" w:rsidRDefault="00A1181C">
    <w:pPr>
      <w:pStyle w:val="Header"/>
    </w:pPr>
    <w:r>
      <w:rPr>
        <w:noProof/>
      </w:rPr>
      <w:pict w14:anchorId="1C458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C076" w14:textId="40E56E7E" w:rsidR="00A1181C" w:rsidRDefault="00A1181C">
    <w:pPr>
      <w:pStyle w:val="Header"/>
    </w:pPr>
    <w:r>
      <w:rPr>
        <w:noProof/>
      </w:rPr>
      <w:pict w14:anchorId="0BD68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2641FB"/>
    <w:multiLevelType w:val="multilevel"/>
    <w:tmpl w:val="FF6A5330"/>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B4740"/>
    <w:multiLevelType w:val="multilevel"/>
    <w:tmpl w:val="5380B0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D0F98"/>
    <w:multiLevelType w:val="hybridMultilevel"/>
    <w:tmpl w:val="B4C46E7A"/>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F10D0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D0AA3"/>
    <w:multiLevelType w:val="hybridMultilevel"/>
    <w:tmpl w:val="B6ECF8B2"/>
    <w:lvl w:ilvl="0" w:tplc="4009001B">
      <w:start w:val="1"/>
      <w:numFmt w:val="lowerRoman"/>
      <w:lvlText w:val="%1."/>
      <w:lvlJc w:val="right"/>
      <w:pPr>
        <w:ind w:left="1745" w:hanging="360"/>
      </w:pPr>
    </w:lvl>
    <w:lvl w:ilvl="1" w:tplc="5ED0EE0C">
      <w:start w:val="1"/>
      <w:numFmt w:val="decimal"/>
      <w:lvlText w:val="%2."/>
      <w:lvlJc w:val="left"/>
      <w:pPr>
        <w:ind w:left="2465" w:hanging="360"/>
      </w:pPr>
      <w:rPr>
        <w:rFonts w:hint="default"/>
      </w:rPr>
    </w:lvl>
    <w:lvl w:ilvl="2" w:tplc="4009001B" w:tentative="1">
      <w:start w:val="1"/>
      <w:numFmt w:val="lowerRoman"/>
      <w:lvlText w:val="%3."/>
      <w:lvlJc w:val="right"/>
      <w:pPr>
        <w:ind w:left="3185" w:hanging="180"/>
      </w:pPr>
    </w:lvl>
    <w:lvl w:ilvl="3" w:tplc="4009000F" w:tentative="1">
      <w:start w:val="1"/>
      <w:numFmt w:val="decimal"/>
      <w:lvlText w:val="%4."/>
      <w:lvlJc w:val="left"/>
      <w:pPr>
        <w:ind w:left="3905" w:hanging="360"/>
      </w:pPr>
    </w:lvl>
    <w:lvl w:ilvl="4" w:tplc="40090019" w:tentative="1">
      <w:start w:val="1"/>
      <w:numFmt w:val="lowerLetter"/>
      <w:lvlText w:val="%5."/>
      <w:lvlJc w:val="left"/>
      <w:pPr>
        <w:ind w:left="4625" w:hanging="360"/>
      </w:pPr>
    </w:lvl>
    <w:lvl w:ilvl="5" w:tplc="4009001B" w:tentative="1">
      <w:start w:val="1"/>
      <w:numFmt w:val="lowerRoman"/>
      <w:lvlText w:val="%6."/>
      <w:lvlJc w:val="right"/>
      <w:pPr>
        <w:ind w:left="5345" w:hanging="180"/>
      </w:pPr>
    </w:lvl>
    <w:lvl w:ilvl="6" w:tplc="4009000F" w:tentative="1">
      <w:start w:val="1"/>
      <w:numFmt w:val="decimal"/>
      <w:lvlText w:val="%7."/>
      <w:lvlJc w:val="left"/>
      <w:pPr>
        <w:ind w:left="6065" w:hanging="360"/>
      </w:pPr>
    </w:lvl>
    <w:lvl w:ilvl="7" w:tplc="40090019" w:tentative="1">
      <w:start w:val="1"/>
      <w:numFmt w:val="lowerLetter"/>
      <w:lvlText w:val="%8."/>
      <w:lvlJc w:val="left"/>
      <w:pPr>
        <w:ind w:left="6785" w:hanging="360"/>
      </w:pPr>
    </w:lvl>
    <w:lvl w:ilvl="8" w:tplc="4009001B" w:tentative="1">
      <w:start w:val="1"/>
      <w:numFmt w:val="lowerRoman"/>
      <w:lvlText w:val="%9."/>
      <w:lvlJc w:val="right"/>
      <w:pPr>
        <w:ind w:left="7505" w:hanging="180"/>
      </w:pPr>
    </w:lvl>
  </w:abstractNum>
  <w:abstractNum w:abstractNumId="20" w15:restartNumberingAfterBreak="0">
    <w:nsid w:val="3BF61509"/>
    <w:multiLevelType w:val="hybridMultilevel"/>
    <w:tmpl w:val="05CA7848"/>
    <w:lvl w:ilvl="0" w:tplc="01AC6ECE">
      <w:start w:val="1"/>
      <w:numFmt w:val="lowerRoman"/>
      <w:lvlText w:val="%1."/>
      <w:lvlJc w:val="righ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E925CF"/>
    <w:multiLevelType w:val="multilevel"/>
    <w:tmpl w:val="57803A6E"/>
    <w:lvl w:ilvl="0">
      <w:numFmt w:val="decimal"/>
      <w:lvlText w:val="%1"/>
      <w:lvlJc w:val="left"/>
      <w:pPr>
        <w:ind w:left="420" w:hanging="420"/>
      </w:pPr>
      <w:rPr>
        <w:rFonts w:hint="default"/>
      </w:rPr>
    </w:lvl>
    <w:lvl w:ilvl="1">
      <w:start w:val="6"/>
      <w:numFmt w:val="decimalZero"/>
      <w:lvlText w:val="%1.%2"/>
      <w:lvlJc w:val="left"/>
      <w:pPr>
        <w:ind w:left="515" w:hanging="4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22" w15:restartNumberingAfterBreak="0">
    <w:nsid w:val="3EF32E4C"/>
    <w:multiLevelType w:val="multilevel"/>
    <w:tmpl w:val="B5C49260"/>
    <w:lvl w:ilvl="0">
      <w:numFmt w:val="decimal"/>
      <w:lvlText w:val="%1"/>
      <w:lvlJc w:val="left"/>
      <w:pPr>
        <w:ind w:left="420" w:hanging="420"/>
      </w:pPr>
      <w:rPr>
        <w:rFonts w:hint="default"/>
      </w:rPr>
    </w:lvl>
    <w:lvl w:ilvl="1">
      <w:start w:val="6"/>
      <w:numFmt w:val="decimalZero"/>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3" w15:restartNumberingAfterBreak="0">
    <w:nsid w:val="492C65BB"/>
    <w:multiLevelType w:val="hybridMultilevel"/>
    <w:tmpl w:val="50CAC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53EC3"/>
    <w:multiLevelType w:val="hybridMultilevel"/>
    <w:tmpl w:val="87DA34F0"/>
    <w:lvl w:ilvl="0" w:tplc="7AD82FF6">
      <w:start w:val="1"/>
      <w:numFmt w:val="decimal"/>
      <w:lvlText w:val="%1."/>
      <w:lvlJc w:val="left"/>
      <w:pPr>
        <w:tabs>
          <w:tab w:val="num" w:pos="180"/>
        </w:tabs>
        <w:ind w:left="540" w:hanging="360"/>
      </w:pPr>
      <w:rPr>
        <w:rFonts w:cs="Times New Roman" w:hint="default"/>
        <w:b/>
        <w:bCs w:val="0"/>
        <w:i w:val="0"/>
      </w:rPr>
    </w:lvl>
    <w:lvl w:ilvl="1" w:tplc="04090019">
      <w:start w:val="1"/>
      <w:numFmt w:val="lowerLetter"/>
      <w:lvlText w:val="%2."/>
      <w:lvlJc w:val="left"/>
      <w:pPr>
        <w:ind w:left="1440" w:hanging="360"/>
      </w:pPr>
      <w:rPr>
        <w:rFonts w:cs="Times New Roman"/>
      </w:rPr>
    </w:lvl>
    <w:lvl w:ilvl="2" w:tplc="22CA253E">
      <w:start w:val="1"/>
      <w:numFmt w:val="lowerLetter"/>
      <w:lvlText w:val="(%3)"/>
      <w:lvlJc w:val="left"/>
      <w:pPr>
        <w:tabs>
          <w:tab w:val="num" w:pos="2340"/>
        </w:tabs>
        <w:ind w:left="2340" w:hanging="360"/>
      </w:pPr>
      <w:rPr>
        <w:rFonts w:cs="Times New Roman" w:hint="default"/>
        <w:b/>
        <w:bCs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646A37"/>
    <w:multiLevelType w:val="hybridMultilevel"/>
    <w:tmpl w:val="30C43616"/>
    <w:lvl w:ilvl="0" w:tplc="5CF6A36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5268B1"/>
    <w:multiLevelType w:val="hybridMultilevel"/>
    <w:tmpl w:val="5D586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D62BC1"/>
    <w:multiLevelType w:val="hybridMultilevel"/>
    <w:tmpl w:val="92D8FEA0"/>
    <w:lvl w:ilvl="0" w:tplc="4009001B">
      <w:start w:val="1"/>
      <w:numFmt w:val="lowerRoman"/>
      <w:lvlText w:val="%1."/>
      <w:lvlJc w:val="right"/>
      <w:pPr>
        <w:ind w:left="1745" w:hanging="360"/>
      </w:pPr>
    </w:lvl>
    <w:lvl w:ilvl="1" w:tplc="8AFA4398">
      <w:start w:val="1"/>
      <w:numFmt w:val="lowerRoman"/>
      <w:lvlText w:val="(%2)"/>
      <w:lvlJc w:val="left"/>
      <w:pPr>
        <w:ind w:left="2465" w:hanging="360"/>
      </w:pPr>
      <w:rPr>
        <w:rFonts w:cs="Times New Roman" w:hint="default"/>
      </w:rPr>
    </w:lvl>
    <w:lvl w:ilvl="2" w:tplc="4009001B" w:tentative="1">
      <w:start w:val="1"/>
      <w:numFmt w:val="lowerRoman"/>
      <w:lvlText w:val="%3."/>
      <w:lvlJc w:val="right"/>
      <w:pPr>
        <w:ind w:left="3185" w:hanging="180"/>
      </w:pPr>
    </w:lvl>
    <w:lvl w:ilvl="3" w:tplc="4009000F" w:tentative="1">
      <w:start w:val="1"/>
      <w:numFmt w:val="decimal"/>
      <w:lvlText w:val="%4."/>
      <w:lvlJc w:val="left"/>
      <w:pPr>
        <w:ind w:left="3905" w:hanging="360"/>
      </w:pPr>
    </w:lvl>
    <w:lvl w:ilvl="4" w:tplc="40090019" w:tentative="1">
      <w:start w:val="1"/>
      <w:numFmt w:val="lowerLetter"/>
      <w:lvlText w:val="%5."/>
      <w:lvlJc w:val="left"/>
      <w:pPr>
        <w:ind w:left="4625" w:hanging="360"/>
      </w:pPr>
    </w:lvl>
    <w:lvl w:ilvl="5" w:tplc="4009001B" w:tentative="1">
      <w:start w:val="1"/>
      <w:numFmt w:val="lowerRoman"/>
      <w:lvlText w:val="%6."/>
      <w:lvlJc w:val="right"/>
      <w:pPr>
        <w:ind w:left="5345" w:hanging="180"/>
      </w:pPr>
    </w:lvl>
    <w:lvl w:ilvl="6" w:tplc="4009000F" w:tentative="1">
      <w:start w:val="1"/>
      <w:numFmt w:val="decimal"/>
      <w:lvlText w:val="%7."/>
      <w:lvlJc w:val="left"/>
      <w:pPr>
        <w:ind w:left="6065" w:hanging="360"/>
      </w:pPr>
    </w:lvl>
    <w:lvl w:ilvl="7" w:tplc="40090019" w:tentative="1">
      <w:start w:val="1"/>
      <w:numFmt w:val="lowerLetter"/>
      <w:lvlText w:val="%8."/>
      <w:lvlJc w:val="left"/>
      <w:pPr>
        <w:ind w:left="6785" w:hanging="360"/>
      </w:pPr>
    </w:lvl>
    <w:lvl w:ilvl="8" w:tplc="4009001B" w:tentative="1">
      <w:start w:val="1"/>
      <w:numFmt w:val="lowerRoman"/>
      <w:lvlText w:val="%9."/>
      <w:lvlJc w:val="right"/>
      <w:pPr>
        <w:ind w:left="7505"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8727737"/>
    <w:multiLevelType w:val="hybridMultilevel"/>
    <w:tmpl w:val="91F4D518"/>
    <w:lvl w:ilvl="0" w:tplc="4009001B">
      <w:start w:val="1"/>
      <w:numFmt w:val="lowerRoman"/>
      <w:lvlText w:val="%1."/>
      <w:lvlJc w:val="right"/>
      <w:pPr>
        <w:ind w:left="1440" w:hanging="360"/>
      </w:pPr>
    </w:lvl>
    <w:lvl w:ilvl="1" w:tplc="4009001B">
      <w:start w:val="1"/>
      <w:numFmt w:val="lowerRoman"/>
      <w:lvlText w:val="%2."/>
      <w:lvlJc w:val="right"/>
      <w:pPr>
        <w:ind w:left="2160" w:hanging="360"/>
      </w:pPr>
      <w:rPr>
        <w:rFonts w:cs="Times New Roman"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8"/>
  </w:num>
  <w:num w:numId="10">
    <w:abstractNumId w:val="2"/>
  </w:num>
  <w:num w:numId="11">
    <w:abstractNumId w:val="31"/>
  </w:num>
  <w:num w:numId="12">
    <w:abstractNumId w:val="3"/>
  </w:num>
  <w:num w:numId="13">
    <w:abstractNumId w:val="30"/>
  </w:num>
  <w:num w:numId="14">
    <w:abstractNumId w:val="9"/>
  </w:num>
  <w:num w:numId="15">
    <w:abstractNumId w:val="34"/>
  </w:num>
  <w:num w:numId="16">
    <w:abstractNumId w:val="5"/>
  </w:num>
  <w:num w:numId="17">
    <w:abstractNumId w:val="35"/>
  </w:num>
  <w:num w:numId="18">
    <w:abstractNumId w:val="17"/>
  </w:num>
  <w:num w:numId="19">
    <w:abstractNumId w:val="42"/>
  </w:num>
  <w:num w:numId="20">
    <w:abstractNumId w:val="14"/>
  </w:num>
  <w:num w:numId="21">
    <w:abstractNumId w:val="11"/>
  </w:num>
  <w:num w:numId="22">
    <w:abstractNumId w:val="16"/>
  </w:num>
  <w:num w:numId="23">
    <w:abstractNumId w:val="32"/>
  </w:num>
  <w:num w:numId="24">
    <w:abstractNumId w:val="40"/>
  </w:num>
  <w:num w:numId="25">
    <w:abstractNumId w:val="4"/>
  </w:num>
  <w:num w:numId="26">
    <w:abstractNumId w:val="25"/>
  </w:num>
  <w:num w:numId="27">
    <w:abstractNumId w:val="33"/>
  </w:num>
  <w:num w:numId="28">
    <w:abstractNumId w:val="41"/>
  </w:num>
  <w:num w:numId="29">
    <w:abstractNumId w:val="37"/>
  </w:num>
  <w:num w:numId="30">
    <w:abstractNumId w:val="12"/>
  </w:num>
  <w:num w:numId="31">
    <w:abstractNumId w:val="20"/>
  </w:num>
  <w:num w:numId="32">
    <w:abstractNumId w:val="26"/>
  </w:num>
  <w:num w:numId="33">
    <w:abstractNumId w:val="10"/>
  </w:num>
  <w:num w:numId="34">
    <w:abstractNumId w:val="28"/>
  </w:num>
  <w:num w:numId="35">
    <w:abstractNumId w:val="18"/>
  </w:num>
  <w:num w:numId="36">
    <w:abstractNumId w:val="7"/>
  </w:num>
  <w:num w:numId="37">
    <w:abstractNumId w:val="39"/>
  </w:num>
  <w:num w:numId="38">
    <w:abstractNumId w:val="13"/>
  </w:num>
  <w:num w:numId="39">
    <w:abstractNumId w:val="21"/>
  </w:num>
  <w:num w:numId="40">
    <w:abstractNumId w:val="29"/>
  </w:num>
  <w:num w:numId="41">
    <w:abstractNumId w:val="22"/>
  </w:num>
  <w:num w:numId="42">
    <w:abstractNumId w:val="19"/>
  </w:num>
  <w:num w:numId="43">
    <w:abstractNumId w:val="2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648"/>
    <w:rsid w:val="00000F8F"/>
    <w:rsid w:val="00002191"/>
    <w:rsid w:val="00015982"/>
    <w:rsid w:val="00027AAC"/>
    <w:rsid w:val="00030174"/>
    <w:rsid w:val="00032AC4"/>
    <w:rsid w:val="0004579C"/>
    <w:rsid w:val="00052CB4"/>
    <w:rsid w:val="0006072B"/>
    <w:rsid w:val="00061023"/>
    <w:rsid w:val="000663E6"/>
    <w:rsid w:val="00082172"/>
    <w:rsid w:val="000829A9"/>
    <w:rsid w:val="00085163"/>
    <w:rsid w:val="000A4709"/>
    <w:rsid w:val="000A47FA"/>
    <w:rsid w:val="000A5394"/>
    <w:rsid w:val="000A65D3"/>
    <w:rsid w:val="000B08A7"/>
    <w:rsid w:val="000B1A6D"/>
    <w:rsid w:val="000B1E33"/>
    <w:rsid w:val="000B6E36"/>
    <w:rsid w:val="000C34E3"/>
    <w:rsid w:val="000D14CB"/>
    <w:rsid w:val="000D689F"/>
    <w:rsid w:val="000E01AB"/>
    <w:rsid w:val="000E1274"/>
    <w:rsid w:val="000E7B7B"/>
    <w:rsid w:val="000E7D62"/>
    <w:rsid w:val="000F0088"/>
    <w:rsid w:val="00103357"/>
    <w:rsid w:val="00104CC9"/>
    <w:rsid w:val="00117302"/>
    <w:rsid w:val="00123C9F"/>
    <w:rsid w:val="00125FB9"/>
    <w:rsid w:val="00126190"/>
    <w:rsid w:val="00130F17"/>
    <w:rsid w:val="00131974"/>
    <w:rsid w:val="001320BF"/>
    <w:rsid w:val="00142979"/>
    <w:rsid w:val="001443FD"/>
    <w:rsid w:val="00153F5E"/>
    <w:rsid w:val="001631D3"/>
    <w:rsid w:val="00163BC4"/>
    <w:rsid w:val="00170299"/>
    <w:rsid w:val="001719C7"/>
    <w:rsid w:val="0017655A"/>
    <w:rsid w:val="00176C4D"/>
    <w:rsid w:val="00191062"/>
    <w:rsid w:val="00192B72"/>
    <w:rsid w:val="001A29D8"/>
    <w:rsid w:val="001A5CAA"/>
    <w:rsid w:val="001B0427"/>
    <w:rsid w:val="001C3692"/>
    <w:rsid w:val="001D1B4D"/>
    <w:rsid w:val="001D224E"/>
    <w:rsid w:val="001D3A51"/>
    <w:rsid w:val="001D3B4A"/>
    <w:rsid w:val="001D3D82"/>
    <w:rsid w:val="001D4EF8"/>
    <w:rsid w:val="001D73D4"/>
    <w:rsid w:val="001E10D2"/>
    <w:rsid w:val="001E2539"/>
    <w:rsid w:val="001E25B4"/>
    <w:rsid w:val="001E44FE"/>
    <w:rsid w:val="001F3600"/>
    <w:rsid w:val="00200595"/>
    <w:rsid w:val="00200776"/>
    <w:rsid w:val="00204835"/>
    <w:rsid w:val="002160CF"/>
    <w:rsid w:val="00231920"/>
    <w:rsid w:val="0023195C"/>
    <w:rsid w:val="0024282C"/>
    <w:rsid w:val="00242986"/>
    <w:rsid w:val="00244274"/>
    <w:rsid w:val="002460DC"/>
    <w:rsid w:val="00250985"/>
    <w:rsid w:val="00253B82"/>
    <w:rsid w:val="002556F6"/>
    <w:rsid w:val="00262ADB"/>
    <w:rsid w:val="00283105"/>
    <w:rsid w:val="00284900"/>
    <w:rsid w:val="00284C4C"/>
    <w:rsid w:val="00287E68"/>
    <w:rsid w:val="002906FD"/>
    <w:rsid w:val="00294E1A"/>
    <w:rsid w:val="00296529"/>
    <w:rsid w:val="002B1008"/>
    <w:rsid w:val="002B12ED"/>
    <w:rsid w:val="002B27FB"/>
    <w:rsid w:val="002B685A"/>
    <w:rsid w:val="002C3D72"/>
    <w:rsid w:val="002C4C3A"/>
    <w:rsid w:val="002C57D2"/>
    <w:rsid w:val="002D1C7E"/>
    <w:rsid w:val="002E0D56"/>
    <w:rsid w:val="003033AE"/>
    <w:rsid w:val="00303C73"/>
    <w:rsid w:val="00315186"/>
    <w:rsid w:val="0033343E"/>
    <w:rsid w:val="003348E6"/>
    <w:rsid w:val="00334CDA"/>
    <w:rsid w:val="003512C2"/>
    <w:rsid w:val="00353D0D"/>
    <w:rsid w:val="00354E07"/>
    <w:rsid w:val="003639BA"/>
    <w:rsid w:val="00371FB6"/>
    <w:rsid w:val="00372F2D"/>
    <w:rsid w:val="003763C1"/>
    <w:rsid w:val="00376BBE"/>
    <w:rsid w:val="0038388E"/>
    <w:rsid w:val="0038624F"/>
    <w:rsid w:val="0039224F"/>
    <w:rsid w:val="00397489"/>
    <w:rsid w:val="003A43A4"/>
    <w:rsid w:val="003A7E18"/>
    <w:rsid w:val="003B077A"/>
    <w:rsid w:val="003B5BDE"/>
    <w:rsid w:val="003C4123"/>
    <w:rsid w:val="003C4C86"/>
    <w:rsid w:val="003C6258"/>
    <w:rsid w:val="003C6260"/>
    <w:rsid w:val="003D1447"/>
    <w:rsid w:val="003D24CD"/>
    <w:rsid w:val="003E2904"/>
    <w:rsid w:val="003F11BD"/>
    <w:rsid w:val="00401927"/>
    <w:rsid w:val="0041027F"/>
    <w:rsid w:val="00412475"/>
    <w:rsid w:val="00415CBA"/>
    <w:rsid w:val="00421374"/>
    <w:rsid w:val="00423789"/>
    <w:rsid w:val="004243EF"/>
    <w:rsid w:val="00440F43"/>
    <w:rsid w:val="00441025"/>
    <w:rsid w:val="00441B6F"/>
    <w:rsid w:val="00445F8C"/>
    <w:rsid w:val="00446221"/>
    <w:rsid w:val="00450809"/>
    <w:rsid w:val="00450E62"/>
    <w:rsid w:val="004539DB"/>
    <w:rsid w:val="004622A6"/>
    <w:rsid w:val="00471A80"/>
    <w:rsid w:val="00477F34"/>
    <w:rsid w:val="00480D52"/>
    <w:rsid w:val="004912D1"/>
    <w:rsid w:val="00492280"/>
    <w:rsid w:val="004A3A5B"/>
    <w:rsid w:val="004A3CCA"/>
    <w:rsid w:val="004A7276"/>
    <w:rsid w:val="004B1A66"/>
    <w:rsid w:val="004B3D59"/>
    <w:rsid w:val="004C339E"/>
    <w:rsid w:val="004D305E"/>
    <w:rsid w:val="004D39ED"/>
    <w:rsid w:val="004D4277"/>
    <w:rsid w:val="004D7CFD"/>
    <w:rsid w:val="004E42D0"/>
    <w:rsid w:val="004F4EDF"/>
    <w:rsid w:val="00502516"/>
    <w:rsid w:val="00505F06"/>
    <w:rsid w:val="00506828"/>
    <w:rsid w:val="005111F6"/>
    <w:rsid w:val="00511D0D"/>
    <w:rsid w:val="00523A1C"/>
    <w:rsid w:val="00526536"/>
    <w:rsid w:val="0053056E"/>
    <w:rsid w:val="00535343"/>
    <w:rsid w:val="00540925"/>
    <w:rsid w:val="00554FDA"/>
    <w:rsid w:val="00562BD6"/>
    <w:rsid w:val="00564334"/>
    <w:rsid w:val="00581BD2"/>
    <w:rsid w:val="00585C39"/>
    <w:rsid w:val="005A307A"/>
    <w:rsid w:val="005A64D2"/>
    <w:rsid w:val="005B3691"/>
    <w:rsid w:val="005C0C4D"/>
    <w:rsid w:val="005C1146"/>
    <w:rsid w:val="005C20BF"/>
    <w:rsid w:val="005C2538"/>
    <w:rsid w:val="005C2A4B"/>
    <w:rsid w:val="005C3E28"/>
    <w:rsid w:val="005C784C"/>
    <w:rsid w:val="005D17F6"/>
    <w:rsid w:val="005D19E0"/>
    <w:rsid w:val="005D6059"/>
    <w:rsid w:val="005E0B44"/>
    <w:rsid w:val="005E5539"/>
    <w:rsid w:val="005E6674"/>
    <w:rsid w:val="006012D7"/>
    <w:rsid w:val="00602BF5"/>
    <w:rsid w:val="00617FDD"/>
    <w:rsid w:val="00623858"/>
    <w:rsid w:val="00625112"/>
    <w:rsid w:val="00633614"/>
    <w:rsid w:val="00633F68"/>
    <w:rsid w:val="00636EB2"/>
    <w:rsid w:val="006375B8"/>
    <w:rsid w:val="00645760"/>
    <w:rsid w:val="006551E6"/>
    <w:rsid w:val="006620E9"/>
    <w:rsid w:val="00664171"/>
    <w:rsid w:val="0066510A"/>
    <w:rsid w:val="00673F9F"/>
    <w:rsid w:val="00677240"/>
    <w:rsid w:val="00685AB8"/>
    <w:rsid w:val="00686953"/>
    <w:rsid w:val="00687DEA"/>
    <w:rsid w:val="00687E67"/>
    <w:rsid w:val="006907E7"/>
    <w:rsid w:val="006967F7"/>
    <w:rsid w:val="006A250C"/>
    <w:rsid w:val="006A6176"/>
    <w:rsid w:val="006A7EA2"/>
    <w:rsid w:val="006B21D3"/>
    <w:rsid w:val="006B3048"/>
    <w:rsid w:val="006B57D0"/>
    <w:rsid w:val="006C2733"/>
    <w:rsid w:val="006D30FF"/>
    <w:rsid w:val="006D6940"/>
    <w:rsid w:val="006E1884"/>
    <w:rsid w:val="006F11EC"/>
    <w:rsid w:val="006F1627"/>
    <w:rsid w:val="0070082C"/>
    <w:rsid w:val="0070146F"/>
    <w:rsid w:val="00704BE6"/>
    <w:rsid w:val="00711B4D"/>
    <w:rsid w:val="00713CAF"/>
    <w:rsid w:val="007165E5"/>
    <w:rsid w:val="0072702B"/>
    <w:rsid w:val="00732758"/>
    <w:rsid w:val="00734A32"/>
    <w:rsid w:val="00735721"/>
    <w:rsid w:val="007369E6"/>
    <w:rsid w:val="00736A96"/>
    <w:rsid w:val="007406DD"/>
    <w:rsid w:val="00746E59"/>
    <w:rsid w:val="00747DE1"/>
    <w:rsid w:val="00754C9A"/>
    <w:rsid w:val="0075599A"/>
    <w:rsid w:val="00761D52"/>
    <w:rsid w:val="0076778E"/>
    <w:rsid w:val="0077749E"/>
    <w:rsid w:val="00783C2B"/>
    <w:rsid w:val="00790ADA"/>
    <w:rsid w:val="0079232C"/>
    <w:rsid w:val="0079280B"/>
    <w:rsid w:val="00797497"/>
    <w:rsid w:val="007B04A9"/>
    <w:rsid w:val="007B4199"/>
    <w:rsid w:val="007B5EB8"/>
    <w:rsid w:val="007B7F83"/>
    <w:rsid w:val="007C0C93"/>
    <w:rsid w:val="007D2288"/>
    <w:rsid w:val="007E088F"/>
    <w:rsid w:val="007E6C5F"/>
    <w:rsid w:val="007F7B32"/>
    <w:rsid w:val="00804BC2"/>
    <w:rsid w:val="00804CD6"/>
    <w:rsid w:val="00807642"/>
    <w:rsid w:val="0081431A"/>
    <w:rsid w:val="008152D6"/>
    <w:rsid w:val="00820045"/>
    <w:rsid w:val="00824673"/>
    <w:rsid w:val="0083216F"/>
    <w:rsid w:val="00843111"/>
    <w:rsid w:val="00850FF7"/>
    <w:rsid w:val="00851E0C"/>
    <w:rsid w:val="00854572"/>
    <w:rsid w:val="00860000"/>
    <w:rsid w:val="00862DDD"/>
    <w:rsid w:val="00863BD3"/>
    <w:rsid w:val="008641ED"/>
    <w:rsid w:val="00866D66"/>
    <w:rsid w:val="008671C6"/>
    <w:rsid w:val="008703AA"/>
    <w:rsid w:val="00870500"/>
    <w:rsid w:val="00875803"/>
    <w:rsid w:val="0088517C"/>
    <w:rsid w:val="00893194"/>
    <w:rsid w:val="008A32AD"/>
    <w:rsid w:val="008A73E9"/>
    <w:rsid w:val="008B1418"/>
    <w:rsid w:val="008B2F2D"/>
    <w:rsid w:val="008B459E"/>
    <w:rsid w:val="008C2635"/>
    <w:rsid w:val="008C2E6C"/>
    <w:rsid w:val="008C550D"/>
    <w:rsid w:val="008E13AE"/>
    <w:rsid w:val="008E1506"/>
    <w:rsid w:val="008E3467"/>
    <w:rsid w:val="008E710C"/>
    <w:rsid w:val="008F504E"/>
    <w:rsid w:val="008F69D6"/>
    <w:rsid w:val="00902823"/>
    <w:rsid w:val="00915CA6"/>
    <w:rsid w:val="00927834"/>
    <w:rsid w:val="00936A4D"/>
    <w:rsid w:val="009500A6"/>
    <w:rsid w:val="009521D9"/>
    <w:rsid w:val="00957C18"/>
    <w:rsid w:val="009641D6"/>
    <w:rsid w:val="009659BA"/>
    <w:rsid w:val="0096690C"/>
    <w:rsid w:val="00983040"/>
    <w:rsid w:val="00994FC0"/>
    <w:rsid w:val="009A12CE"/>
    <w:rsid w:val="009A1780"/>
    <w:rsid w:val="009A4CB1"/>
    <w:rsid w:val="009B0CF5"/>
    <w:rsid w:val="009B3FB9"/>
    <w:rsid w:val="009C2465"/>
    <w:rsid w:val="009D35A0"/>
    <w:rsid w:val="009D78FB"/>
    <w:rsid w:val="009D7EB7"/>
    <w:rsid w:val="009E048A"/>
    <w:rsid w:val="009E08E9"/>
    <w:rsid w:val="009E3DB9"/>
    <w:rsid w:val="009E6E35"/>
    <w:rsid w:val="009E7E0C"/>
    <w:rsid w:val="009F0EDA"/>
    <w:rsid w:val="009F415E"/>
    <w:rsid w:val="00A03B96"/>
    <w:rsid w:val="00A05B19"/>
    <w:rsid w:val="00A1134E"/>
    <w:rsid w:val="00A1181C"/>
    <w:rsid w:val="00A22563"/>
    <w:rsid w:val="00A24E7E"/>
    <w:rsid w:val="00A258C3"/>
    <w:rsid w:val="00A27265"/>
    <w:rsid w:val="00A347C0"/>
    <w:rsid w:val="00A40CFF"/>
    <w:rsid w:val="00A41948"/>
    <w:rsid w:val="00A42A57"/>
    <w:rsid w:val="00A50F74"/>
    <w:rsid w:val="00A51431"/>
    <w:rsid w:val="00A517A9"/>
    <w:rsid w:val="00A539AD"/>
    <w:rsid w:val="00A543EC"/>
    <w:rsid w:val="00A62FDA"/>
    <w:rsid w:val="00A72603"/>
    <w:rsid w:val="00A76EAF"/>
    <w:rsid w:val="00A925D0"/>
    <w:rsid w:val="00A94063"/>
    <w:rsid w:val="00AA6219"/>
    <w:rsid w:val="00AA74E0"/>
    <w:rsid w:val="00AB4423"/>
    <w:rsid w:val="00AB703F"/>
    <w:rsid w:val="00AC6BB8"/>
    <w:rsid w:val="00AD59CA"/>
    <w:rsid w:val="00AD5D27"/>
    <w:rsid w:val="00AE008F"/>
    <w:rsid w:val="00AE2091"/>
    <w:rsid w:val="00AE2CFC"/>
    <w:rsid w:val="00AE69A1"/>
    <w:rsid w:val="00AE6BDF"/>
    <w:rsid w:val="00B00DE7"/>
    <w:rsid w:val="00B01C85"/>
    <w:rsid w:val="00B01FCD"/>
    <w:rsid w:val="00B06A56"/>
    <w:rsid w:val="00B142B7"/>
    <w:rsid w:val="00B1666B"/>
    <w:rsid w:val="00B17040"/>
    <w:rsid w:val="00B1776C"/>
    <w:rsid w:val="00B212F9"/>
    <w:rsid w:val="00B21FB9"/>
    <w:rsid w:val="00B2464F"/>
    <w:rsid w:val="00B421D0"/>
    <w:rsid w:val="00B52583"/>
    <w:rsid w:val="00B52839"/>
    <w:rsid w:val="00B52896"/>
    <w:rsid w:val="00B738A8"/>
    <w:rsid w:val="00B7547B"/>
    <w:rsid w:val="00B806EA"/>
    <w:rsid w:val="00B93E62"/>
    <w:rsid w:val="00B93EF7"/>
    <w:rsid w:val="00B95236"/>
    <w:rsid w:val="00B95468"/>
    <w:rsid w:val="00B96BD9"/>
    <w:rsid w:val="00BA1B01"/>
    <w:rsid w:val="00BA2641"/>
    <w:rsid w:val="00BB37AA"/>
    <w:rsid w:val="00BB76A8"/>
    <w:rsid w:val="00BC53A0"/>
    <w:rsid w:val="00BE5833"/>
    <w:rsid w:val="00BE62AD"/>
    <w:rsid w:val="00BF121F"/>
    <w:rsid w:val="00BF1F80"/>
    <w:rsid w:val="00BF4586"/>
    <w:rsid w:val="00C018BC"/>
    <w:rsid w:val="00C025F4"/>
    <w:rsid w:val="00C0719D"/>
    <w:rsid w:val="00C15CCF"/>
    <w:rsid w:val="00C166EF"/>
    <w:rsid w:val="00C17EB0"/>
    <w:rsid w:val="00C224D1"/>
    <w:rsid w:val="00C23864"/>
    <w:rsid w:val="00C27F5F"/>
    <w:rsid w:val="00C30A0F"/>
    <w:rsid w:val="00C37E61"/>
    <w:rsid w:val="00C40786"/>
    <w:rsid w:val="00C4403C"/>
    <w:rsid w:val="00C534AE"/>
    <w:rsid w:val="00C556E4"/>
    <w:rsid w:val="00C6749F"/>
    <w:rsid w:val="00C70AAF"/>
    <w:rsid w:val="00C70F1B"/>
    <w:rsid w:val="00C71A47"/>
    <w:rsid w:val="00C7464C"/>
    <w:rsid w:val="00C80BA4"/>
    <w:rsid w:val="00C85588"/>
    <w:rsid w:val="00C86AA9"/>
    <w:rsid w:val="00C87E60"/>
    <w:rsid w:val="00CB7E22"/>
    <w:rsid w:val="00CD6755"/>
    <w:rsid w:val="00CD6856"/>
    <w:rsid w:val="00CD7337"/>
    <w:rsid w:val="00CE0089"/>
    <w:rsid w:val="00CE354D"/>
    <w:rsid w:val="00CE3D9B"/>
    <w:rsid w:val="00CE4515"/>
    <w:rsid w:val="00CE793C"/>
    <w:rsid w:val="00CF193C"/>
    <w:rsid w:val="00D053EF"/>
    <w:rsid w:val="00D13407"/>
    <w:rsid w:val="00D173F1"/>
    <w:rsid w:val="00D5319F"/>
    <w:rsid w:val="00D56155"/>
    <w:rsid w:val="00D6215E"/>
    <w:rsid w:val="00D6715E"/>
    <w:rsid w:val="00D74CB0"/>
    <w:rsid w:val="00D765E8"/>
    <w:rsid w:val="00D8295D"/>
    <w:rsid w:val="00D96F8E"/>
    <w:rsid w:val="00DA4376"/>
    <w:rsid w:val="00DB28DA"/>
    <w:rsid w:val="00DC06A8"/>
    <w:rsid w:val="00DC2A65"/>
    <w:rsid w:val="00DE15F0"/>
    <w:rsid w:val="00DE218E"/>
    <w:rsid w:val="00DE3DE9"/>
    <w:rsid w:val="00DE4697"/>
    <w:rsid w:val="00DE5663"/>
    <w:rsid w:val="00DE739A"/>
    <w:rsid w:val="00DE78AA"/>
    <w:rsid w:val="00E010F3"/>
    <w:rsid w:val="00E053D0"/>
    <w:rsid w:val="00E07AFE"/>
    <w:rsid w:val="00E15994"/>
    <w:rsid w:val="00E20882"/>
    <w:rsid w:val="00E3114E"/>
    <w:rsid w:val="00E31A70"/>
    <w:rsid w:val="00E340E4"/>
    <w:rsid w:val="00E35158"/>
    <w:rsid w:val="00E35B02"/>
    <w:rsid w:val="00E5253C"/>
    <w:rsid w:val="00E61B07"/>
    <w:rsid w:val="00E65611"/>
    <w:rsid w:val="00E66496"/>
    <w:rsid w:val="00E66B35"/>
    <w:rsid w:val="00E66E10"/>
    <w:rsid w:val="00E769F6"/>
    <w:rsid w:val="00E8030F"/>
    <w:rsid w:val="00E82FE6"/>
    <w:rsid w:val="00E8407C"/>
    <w:rsid w:val="00E84F3C"/>
    <w:rsid w:val="00EA012C"/>
    <w:rsid w:val="00EA0B81"/>
    <w:rsid w:val="00EA1ECD"/>
    <w:rsid w:val="00EB0323"/>
    <w:rsid w:val="00EB05BA"/>
    <w:rsid w:val="00EB4913"/>
    <w:rsid w:val="00EC6A55"/>
    <w:rsid w:val="00ED0288"/>
    <w:rsid w:val="00EE4FF7"/>
    <w:rsid w:val="00EE52CB"/>
    <w:rsid w:val="00EE623C"/>
    <w:rsid w:val="00EE6EF9"/>
    <w:rsid w:val="00EE7979"/>
    <w:rsid w:val="00EF1351"/>
    <w:rsid w:val="00EF581D"/>
    <w:rsid w:val="00EF7FD8"/>
    <w:rsid w:val="00F0143B"/>
    <w:rsid w:val="00F02432"/>
    <w:rsid w:val="00F0266F"/>
    <w:rsid w:val="00F0271D"/>
    <w:rsid w:val="00F06F59"/>
    <w:rsid w:val="00F16065"/>
    <w:rsid w:val="00F17988"/>
    <w:rsid w:val="00F27DFF"/>
    <w:rsid w:val="00F4402D"/>
    <w:rsid w:val="00F469F0"/>
    <w:rsid w:val="00F5146B"/>
    <w:rsid w:val="00F51F92"/>
    <w:rsid w:val="00F53273"/>
    <w:rsid w:val="00F6625A"/>
    <w:rsid w:val="00F72033"/>
    <w:rsid w:val="00F755E4"/>
    <w:rsid w:val="00F77D02"/>
    <w:rsid w:val="00F81A5E"/>
    <w:rsid w:val="00F840D2"/>
    <w:rsid w:val="00F85CF8"/>
    <w:rsid w:val="00F9270D"/>
    <w:rsid w:val="00F9690D"/>
    <w:rsid w:val="00FB1451"/>
    <w:rsid w:val="00FB3A86"/>
    <w:rsid w:val="00FD368D"/>
    <w:rsid w:val="00FD36C8"/>
    <w:rsid w:val="00FE1EA1"/>
    <w:rsid w:val="00FF27E0"/>
    <w:rsid w:val="00FF7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39569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34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DE4697"/>
    <w:pPr>
      <w:spacing w:after="200" w:line="276" w:lineRule="auto"/>
      <w:ind w:left="720"/>
      <w:contextualSpacing/>
    </w:pPr>
    <w:rPr>
      <w:rFonts w:ascii="Calibri" w:hAnsi="Calibri"/>
      <w:sz w:val="22"/>
      <w:szCs w:val="22"/>
      <w:lang w:val="en-IN"/>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125FB9"/>
    <w:rPr>
      <w:rFonts w:ascii="Calibri" w:hAnsi="Calibri"/>
      <w:sz w:val="22"/>
      <w:szCs w:val="22"/>
      <w:lang w:val="en-IN"/>
    </w:rPr>
  </w:style>
  <w:style w:type="table" w:customStyle="1" w:styleId="TableGrid1">
    <w:name w:val="Table Grid1"/>
    <w:basedOn w:val="TableNormal"/>
    <w:next w:val="TableGrid"/>
    <w:uiPriority w:val="59"/>
    <w:rsid w:val="00125FB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5FB9"/>
    <w:pPr>
      <w:spacing w:before="100" w:beforeAutospacing="1" w:after="100" w:afterAutospacing="1"/>
    </w:pPr>
    <w:rPr>
      <w:rFonts w:ascii="Times New Roman" w:eastAsiaTheme="minorEastAsia" w:hAnsi="Times New Roman"/>
      <w:sz w:val="24"/>
      <w:szCs w:val="24"/>
      <w:lang w:val="en-IN" w:eastAsia="en-IN" w:bidi="hi-IN"/>
    </w:rPr>
  </w:style>
  <w:style w:type="paragraph" w:customStyle="1" w:styleId="Default">
    <w:name w:val="Default"/>
    <w:rsid w:val="002160CF"/>
    <w:pPr>
      <w:autoSpaceDE w:val="0"/>
      <w:autoSpaceDN w:val="0"/>
      <w:adjustRightInd w:val="0"/>
    </w:pPr>
    <w:rPr>
      <w:rFonts w:ascii="Arial" w:hAnsi="Arial" w:cs="Arial"/>
      <w:color w:val="000000"/>
      <w:sz w:val="24"/>
      <w:szCs w:val="24"/>
      <w:lang w:val="en-IN" w:bidi="hi-IN"/>
    </w:rPr>
  </w:style>
  <w:style w:type="character" w:customStyle="1" w:styleId="FooterChar">
    <w:name w:val="Footer Char"/>
    <w:basedOn w:val="DefaultParagraphFont"/>
    <w:link w:val="Footer"/>
    <w:uiPriority w:val="99"/>
    <w:rsid w:val="004912D1"/>
    <w:rPr>
      <w:rFonts w:ascii="Helvetica" w:hAnsi="Helvetica"/>
    </w:rPr>
  </w:style>
  <w:style w:type="character" w:customStyle="1" w:styleId="Heading3Char">
    <w:name w:val="Heading 3 Char"/>
    <w:basedOn w:val="DefaultParagraphFont"/>
    <w:link w:val="Heading3"/>
    <w:semiHidden/>
    <w:rsid w:val="00E340E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907E7"/>
    <w:rPr>
      <w:rFonts w:ascii="Helvetica" w:hAnsi="Helvetica"/>
    </w:rPr>
  </w:style>
  <w:style w:type="character" w:styleId="UnresolvedMention">
    <w:name w:val="Unresolved Mention"/>
    <w:basedOn w:val="DefaultParagraphFont"/>
    <w:uiPriority w:val="99"/>
    <w:semiHidden/>
    <w:unhideWhenUsed/>
    <w:rsid w:val="00C5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1701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321398">
      <w:bodyDiv w:val="1"/>
      <w:marLeft w:val="0"/>
      <w:marRight w:val="0"/>
      <w:marTop w:val="0"/>
      <w:marBottom w:val="0"/>
      <w:divBdr>
        <w:top w:val="none" w:sz="0" w:space="0" w:color="auto"/>
        <w:left w:val="none" w:sz="0" w:space="0" w:color="auto"/>
        <w:bottom w:val="none" w:sz="0" w:space="0" w:color="auto"/>
        <w:right w:val="none" w:sz="0" w:space="0" w:color="auto"/>
      </w:divBdr>
    </w:div>
    <w:div w:id="2395627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731319">
      <w:bodyDiv w:val="1"/>
      <w:marLeft w:val="0"/>
      <w:marRight w:val="0"/>
      <w:marTop w:val="0"/>
      <w:marBottom w:val="0"/>
      <w:divBdr>
        <w:top w:val="none" w:sz="0" w:space="0" w:color="auto"/>
        <w:left w:val="none" w:sz="0" w:space="0" w:color="auto"/>
        <w:bottom w:val="none" w:sz="0" w:space="0" w:color="auto"/>
        <w:right w:val="none" w:sz="0" w:space="0" w:color="auto"/>
      </w:divBdr>
    </w:div>
    <w:div w:id="823621336">
      <w:bodyDiv w:val="1"/>
      <w:marLeft w:val="0"/>
      <w:marRight w:val="0"/>
      <w:marTop w:val="0"/>
      <w:marBottom w:val="0"/>
      <w:divBdr>
        <w:top w:val="none" w:sz="0" w:space="0" w:color="auto"/>
        <w:left w:val="none" w:sz="0" w:space="0" w:color="auto"/>
        <w:bottom w:val="none" w:sz="0" w:space="0" w:color="auto"/>
        <w:right w:val="none" w:sz="0" w:space="0" w:color="auto"/>
      </w:divBdr>
    </w:div>
    <w:div w:id="9067683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51826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674200">
      <w:bodyDiv w:val="1"/>
      <w:marLeft w:val="0"/>
      <w:marRight w:val="0"/>
      <w:marTop w:val="0"/>
      <w:marBottom w:val="0"/>
      <w:divBdr>
        <w:top w:val="none" w:sz="0" w:space="0" w:color="auto"/>
        <w:left w:val="none" w:sz="0" w:space="0" w:color="auto"/>
        <w:bottom w:val="none" w:sz="0" w:space="0" w:color="auto"/>
        <w:right w:val="none" w:sz="0" w:space="0" w:color="auto"/>
      </w:divBdr>
    </w:div>
    <w:div w:id="1435515023">
      <w:bodyDiv w:val="1"/>
      <w:marLeft w:val="0"/>
      <w:marRight w:val="0"/>
      <w:marTop w:val="0"/>
      <w:marBottom w:val="0"/>
      <w:divBdr>
        <w:top w:val="none" w:sz="0" w:space="0" w:color="auto"/>
        <w:left w:val="none" w:sz="0" w:space="0" w:color="auto"/>
        <w:bottom w:val="none" w:sz="0" w:space="0" w:color="auto"/>
        <w:right w:val="none" w:sz="0" w:space="0" w:color="auto"/>
      </w:divBdr>
    </w:div>
    <w:div w:id="1536388166">
      <w:bodyDiv w:val="1"/>
      <w:marLeft w:val="0"/>
      <w:marRight w:val="0"/>
      <w:marTop w:val="0"/>
      <w:marBottom w:val="0"/>
      <w:divBdr>
        <w:top w:val="none" w:sz="0" w:space="0" w:color="auto"/>
        <w:left w:val="none" w:sz="0" w:space="0" w:color="auto"/>
        <w:bottom w:val="none" w:sz="0" w:space="0" w:color="auto"/>
        <w:right w:val="none" w:sz="0" w:space="0" w:color="auto"/>
      </w:divBdr>
    </w:div>
    <w:div w:id="1689485163">
      <w:bodyDiv w:val="1"/>
      <w:marLeft w:val="0"/>
      <w:marRight w:val="0"/>
      <w:marTop w:val="0"/>
      <w:marBottom w:val="0"/>
      <w:divBdr>
        <w:top w:val="none" w:sz="0" w:space="0" w:color="auto"/>
        <w:left w:val="none" w:sz="0" w:space="0" w:color="auto"/>
        <w:bottom w:val="none" w:sz="0" w:space="0" w:color="auto"/>
        <w:right w:val="none" w:sz="0" w:space="0" w:color="auto"/>
      </w:divBdr>
    </w:div>
    <w:div w:id="1719206853">
      <w:bodyDiv w:val="1"/>
      <w:marLeft w:val="0"/>
      <w:marRight w:val="0"/>
      <w:marTop w:val="0"/>
      <w:marBottom w:val="0"/>
      <w:divBdr>
        <w:top w:val="none" w:sz="0" w:space="0" w:color="auto"/>
        <w:left w:val="none" w:sz="0" w:space="0" w:color="auto"/>
        <w:bottom w:val="none" w:sz="0" w:space="0" w:color="auto"/>
        <w:right w:val="none" w:sz="0" w:space="0" w:color="auto"/>
      </w:divBdr>
    </w:div>
    <w:div w:id="1719358342">
      <w:bodyDiv w:val="1"/>
      <w:marLeft w:val="0"/>
      <w:marRight w:val="0"/>
      <w:marTop w:val="0"/>
      <w:marBottom w:val="0"/>
      <w:divBdr>
        <w:top w:val="none" w:sz="0" w:space="0" w:color="auto"/>
        <w:left w:val="none" w:sz="0" w:space="0" w:color="auto"/>
        <w:bottom w:val="none" w:sz="0" w:space="0" w:color="auto"/>
        <w:right w:val="none" w:sz="0" w:space="0" w:color="auto"/>
      </w:divBdr>
    </w:div>
    <w:div w:id="1721130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8749136">
      <w:bodyDiv w:val="1"/>
      <w:marLeft w:val="0"/>
      <w:marRight w:val="0"/>
      <w:marTop w:val="0"/>
      <w:marBottom w:val="0"/>
      <w:divBdr>
        <w:top w:val="none" w:sz="0" w:space="0" w:color="auto"/>
        <w:left w:val="none" w:sz="0" w:space="0" w:color="auto"/>
        <w:bottom w:val="none" w:sz="0" w:space="0" w:color="auto"/>
        <w:right w:val="none" w:sz="0" w:space="0" w:color="auto"/>
      </w:divBdr>
      <w:divsChild>
        <w:div w:id="1407150630">
          <w:marLeft w:val="0"/>
          <w:marRight w:val="0"/>
          <w:marTop w:val="0"/>
          <w:marBottom w:val="0"/>
          <w:divBdr>
            <w:top w:val="none" w:sz="0" w:space="0" w:color="auto"/>
            <w:left w:val="none" w:sz="0" w:space="0" w:color="auto"/>
            <w:bottom w:val="none" w:sz="0" w:space="0" w:color="auto"/>
            <w:right w:val="none" w:sz="0" w:space="0" w:color="auto"/>
          </w:divBdr>
        </w:div>
        <w:div w:id="1791316548">
          <w:marLeft w:val="0"/>
          <w:marRight w:val="0"/>
          <w:marTop w:val="0"/>
          <w:marBottom w:val="0"/>
          <w:divBdr>
            <w:top w:val="none" w:sz="0" w:space="0" w:color="auto"/>
            <w:left w:val="none" w:sz="0" w:space="0" w:color="auto"/>
            <w:bottom w:val="none" w:sz="0" w:space="0" w:color="auto"/>
            <w:right w:val="none" w:sz="0" w:space="0" w:color="auto"/>
          </w:divBdr>
        </w:div>
        <w:div w:id="449664666">
          <w:marLeft w:val="0"/>
          <w:marRight w:val="0"/>
          <w:marTop w:val="0"/>
          <w:marBottom w:val="0"/>
          <w:divBdr>
            <w:top w:val="none" w:sz="0" w:space="0" w:color="auto"/>
            <w:left w:val="none" w:sz="0" w:space="0" w:color="auto"/>
            <w:bottom w:val="none" w:sz="0" w:space="0" w:color="auto"/>
            <w:right w:val="none" w:sz="0" w:space="0" w:color="auto"/>
          </w:divBdr>
        </w:div>
        <w:div w:id="1898468991">
          <w:marLeft w:val="0"/>
          <w:marRight w:val="0"/>
          <w:marTop w:val="0"/>
          <w:marBottom w:val="0"/>
          <w:divBdr>
            <w:top w:val="none" w:sz="0" w:space="0" w:color="auto"/>
            <w:left w:val="none" w:sz="0" w:space="0" w:color="auto"/>
            <w:bottom w:val="none" w:sz="0" w:space="0" w:color="auto"/>
            <w:right w:val="none" w:sz="0" w:space="0" w:color="auto"/>
          </w:divBdr>
        </w:div>
        <w:div w:id="1805586284">
          <w:marLeft w:val="0"/>
          <w:marRight w:val="0"/>
          <w:marTop w:val="0"/>
          <w:marBottom w:val="0"/>
          <w:divBdr>
            <w:top w:val="none" w:sz="0" w:space="0" w:color="auto"/>
            <w:left w:val="none" w:sz="0" w:space="0" w:color="auto"/>
            <w:bottom w:val="none" w:sz="0" w:space="0" w:color="auto"/>
            <w:right w:val="none" w:sz="0" w:space="0" w:color="auto"/>
          </w:divBdr>
        </w:div>
        <w:div w:id="1045908523">
          <w:marLeft w:val="0"/>
          <w:marRight w:val="0"/>
          <w:marTop w:val="0"/>
          <w:marBottom w:val="0"/>
          <w:divBdr>
            <w:top w:val="none" w:sz="0" w:space="0" w:color="auto"/>
            <w:left w:val="none" w:sz="0" w:space="0" w:color="auto"/>
            <w:bottom w:val="none" w:sz="0" w:space="0" w:color="auto"/>
            <w:right w:val="none" w:sz="0" w:space="0" w:color="auto"/>
          </w:divBdr>
        </w:div>
        <w:div w:id="737942356">
          <w:marLeft w:val="0"/>
          <w:marRight w:val="0"/>
          <w:marTop w:val="0"/>
          <w:marBottom w:val="0"/>
          <w:divBdr>
            <w:top w:val="none" w:sz="0" w:space="0" w:color="auto"/>
            <w:left w:val="none" w:sz="0" w:space="0" w:color="auto"/>
            <w:bottom w:val="none" w:sz="0" w:space="0" w:color="auto"/>
            <w:right w:val="none" w:sz="0" w:space="0" w:color="auto"/>
          </w:divBdr>
        </w:div>
      </w:divsChild>
    </w:div>
    <w:div w:id="1826704002">
      <w:bodyDiv w:val="1"/>
      <w:marLeft w:val="0"/>
      <w:marRight w:val="0"/>
      <w:marTop w:val="0"/>
      <w:marBottom w:val="0"/>
      <w:divBdr>
        <w:top w:val="none" w:sz="0" w:space="0" w:color="auto"/>
        <w:left w:val="none" w:sz="0" w:space="0" w:color="auto"/>
        <w:bottom w:val="none" w:sz="0" w:space="0" w:color="auto"/>
        <w:right w:val="none" w:sz="0" w:space="0" w:color="auto"/>
      </w:divBdr>
    </w:div>
    <w:div w:id="19221069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RPP__PKT\Mid-Term\Book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Zn_Fe%20Project\Zn__004.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en-IN" sz="1000"/>
              <a:t>Zn treatments vs Chlorophyll a concentration </a:t>
            </a:r>
          </a:p>
        </c:rich>
      </c:tx>
      <c:layout>
        <c:manualLayout>
          <c:xMode val="edge"/>
          <c:yMode val="edge"/>
          <c:x val="0.18160029498525074"/>
          <c:y val="2.2874571101791842E-2"/>
        </c:manualLayout>
      </c:layout>
      <c:overlay val="0"/>
      <c:spPr>
        <a:noFill/>
        <a:ln>
          <a:noFill/>
        </a:ln>
        <a:effectLst/>
      </c:spPr>
    </c:title>
    <c:autoTitleDeleted val="0"/>
    <c:plotArea>
      <c:layout>
        <c:manualLayout>
          <c:layoutTarget val="inner"/>
          <c:xMode val="edge"/>
          <c:yMode val="edge"/>
          <c:x val="0.14279219152073555"/>
          <c:y val="0.27619889424404132"/>
          <c:w val="0.83484227874208505"/>
          <c:h val="0.58374784264558532"/>
        </c:manualLayout>
      </c:layout>
      <c:lineChart>
        <c:grouping val="standard"/>
        <c:varyColors val="0"/>
        <c:ser>
          <c:idx val="6"/>
          <c:order val="0"/>
          <c:tx>
            <c:strRef>
              <c:f>Sheet1!$H$4</c:f>
              <c:strCache>
                <c:ptCount val="1"/>
                <c:pt idx="0">
                  <c:v>No Zn</c:v>
                </c:pt>
              </c:strCache>
            </c:strRef>
          </c:tx>
          <c:cat>
            <c:strRef>
              <c:f>Sheet1!$I$2:$L$3</c:f>
              <c:strCache>
                <c:ptCount val="4"/>
                <c:pt idx="0">
                  <c:v>0 day</c:v>
                </c:pt>
                <c:pt idx="1">
                  <c:v>7 day</c:v>
                </c:pt>
                <c:pt idx="2">
                  <c:v>14 day</c:v>
                </c:pt>
                <c:pt idx="3">
                  <c:v>21 day</c:v>
                </c:pt>
              </c:strCache>
            </c:strRef>
          </c:cat>
          <c:val>
            <c:numRef>
              <c:f>Sheet1!$I$4:$L$4</c:f>
              <c:numCache>
                <c:formatCode>General</c:formatCode>
                <c:ptCount val="4"/>
                <c:pt idx="0">
                  <c:v>43</c:v>
                </c:pt>
                <c:pt idx="1">
                  <c:v>54</c:v>
                </c:pt>
                <c:pt idx="2">
                  <c:v>58</c:v>
                </c:pt>
                <c:pt idx="3">
                  <c:v>45</c:v>
                </c:pt>
              </c:numCache>
            </c:numRef>
          </c:val>
          <c:smooth val="0"/>
          <c:extLst>
            <c:ext xmlns:c16="http://schemas.microsoft.com/office/drawing/2014/chart" uri="{C3380CC4-5D6E-409C-BE32-E72D297353CC}">
              <c16:uniqueId val="{00000000-C784-490D-A365-EAC88C5F3A66}"/>
            </c:ext>
          </c:extLst>
        </c:ser>
        <c:ser>
          <c:idx val="7"/>
          <c:order val="1"/>
          <c:tx>
            <c:strRef>
              <c:f>Sheet1!$H$5</c:f>
              <c:strCache>
                <c:ptCount val="1"/>
                <c:pt idx="0">
                  <c:v>Zn 0.25</c:v>
                </c:pt>
              </c:strCache>
            </c:strRef>
          </c:tx>
          <c:cat>
            <c:strRef>
              <c:f>Sheet1!$I$2:$L$3</c:f>
              <c:strCache>
                <c:ptCount val="4"/>
                <c:pt idx="0">
                  <c:v>0 day</c:v>
                </c:pt>
                <c:pt idx="1">
                  <c:v>7 day</c:v>
                </c:pt>
                <c:pt idx="2">
                  <c:v>14 day</c:v>
                </c:pt>
                <c:pt idx="3">
                  <c:v>21 day</c:v>
                </c:pt>
              </c:strCache>
            </c:strRef>
          </c:cat>
          <c:val>
            <c:numRef>
              <c:f>Sheet1!$I$5:$L$5</c:f>
              <c:numCache>
                <c:formatCode>General</c:formatCode>
                <c:ptCount val="4"/>
                <c:pt idx="0">
                  <c:v>44</c:v>
                </c:pt>
                <c:pt idx="1">
                  <c:v>63</c:v>
                </c:pt>
                <c:pt idx="2">
                  <c:v>69</c:v>
                </c:pt>
                <c:pt idx="3">
                  <c:v>75</c:v>
                </c:pt>
              </c:numCache>
            </c:numRef>
          </c:val>
          <c:smooth val="0"/>
          <c:extLst>
            <c:ext xmlns:c16="http://schemas.microsoft.com/office/drawing/2014/chart" uri="{C3380CC4-5D6E-409C-BE32-E72D297353CC}">
              <c16:uniqueId val="{00000001-C784-490D-A365-EAC88C5F3A66}"/>
            </c:ext>
          </c:extLst>
        </c:ser>
        <c:ser>
          <c:idx val="8"/>
          <c:order val="2"/>
          <c:tx>
            <c:strRef>
              <c:f>Sheet1!$H$6</c:f>
              <c:strCache>
                <c:ptCount val="1"/>
                <c:pt idx="0">
                  <c:v>Zn 0.50</c:v>
                </c:pt>
              </c:strCache>
            </c:strRef>
          </c:tx>
          <c:cat>
            <c:strRef>
              <c:f>Sheet1!$I$2:$L$3</c:f>
              <c:strCache>
                <c:ptCount val="4"/>
                <c:pt idx="0">
                  <c:v>0 day</c:v>
                </c:pt>
                <c:pt idx="1">
                  <c:v>7 day</c:v>
                </c:pt>
                <c:pt idx="2">
                  <c:v>14 day</c:v>
                </c:pt>
                <c:pt idx="3">
                  <c:v>21 day</c:v>
                </c:pt>
              </c:strCache>
            </c:strRef>
          </c:cat>
          <c:val>
            <c:numRef>
              <c:f>Sheet1!$I$6:$L$6</c:f>
              <c:numCache>
                <c:formatCode>General</c:formatCode>
                <c:ptCount val="4"/>
                <c:pt idx="0">
                  <c:v>43</c:v>
                </c:pt>
                <c:pt idx="1">
                  <c:v>74</c:v>
                </c:pt>
                <c:pt idx="2">
                  <c:v>85</c:v>
                </c:pt>
                <c:pt idx="3">
                  <c:v>89</c:v>
                </c:pt>
              </c:numCache>
            </c:numRef>
          </c:val>
          <c:smooth val="0"/>
          <c:extLst>
            <c:ext xmlns:c16="http://schemas.microsoft.com/office/drawing/2014/chart" uri="{C3380CC4-5D6E-409C-BE32-E72D297353CC}">
              <c16:uniqueId val="{00000002-C784-490D-A365-EAC88C5F3A66}"/>
            </c:ext>
          </c:extLst>
        </c:ser>
        <c:ser>
          <c:idx val="9"/>
          <c:order val="3"/>
          <c:tx>
            <c:strRef>
              <c:f>Sheet1!$H$7</c:f>
              <c:strCache>
                <c:ptCount val="1"/>
                <c:pt idx="0">
                  <c:v>Zn 0.75</c:v>
                </c:pt>
              </c:strCache>
            </c:strRef>
          </c:tx>
          <c:cat>
            <c:strRef>
              <c:f>Sheet1!$I$2:$L$3</c:f>
              <c:strCache>
                <c:ptCount val="4"/>
                <c:pt idx="0">
                  <c:v>0 day</c:v>
                </c:pt>
                <c:pt idx="1">
                  <c:v>7 day</c:v>
                </c:pt>
                <c:pt idx="2">
                  <c:v>14 day</c:v>
                </c:pt>
                <c:pt idx="3">
                  <c:v>21 day</c:v>
                </c:pt>
              </c:strCache>
            </c:strRef>
          </c:cat>
          <c:val>
            <c:numRef>
              <c:f>Sheet1!$I$7:$L$7</c:f>
              <c:numCache>
                <c:formatCode>General</c:formatCode>
                <c:ptCount val="4"/>
                <c:pt idx="0">
                  <c:v>45</c:v>
                </c:pt>
                <c:pt idx="1">
                  <c:v>89</c:v>
                </c:pt>
                <c:pt idx="2">
                  <c:v>96</c:v>
                </c:pt>
                <c:pt idx="3">
                  <c:v>102</c:v>
                </c:pt>
              </c:numCache>
            </c:numRef>
          </c:val>
          <c:smooth val="0"/>
          <c:extLst>
            <c:ext xmlns:c16="http://schemas.microsoft.com/office/drawing/2014/chart" uri="{C3380CC4-5D6E-409C-BE32-E72D297353CC}">
              <c16:uniqueId val="{00000003-C784-490D-A365-EAC88C5F3A66}"/>
            </c:ext>
          </c:extLst>
        </c:ser>
        <c:ser>
          <c:idx val="10"/>
          <c:order val="4"/>
          <c:tx>
            <c:strRef>
              <c:f>Sheet1!$H$8</c:f>
              <c:strCache>
                <c:ptCount val="1"/>
                <c:pt idx="0">
                  <c:v>Zn 1.00</c:v>
                </c:pt>
              </c:strCache>
            </c:strRef>
          </c:tx>
          <c:cat>
            <c:strRef>
              <c:f>Sheet1!$I$2:$L$3</c:f>
              <c:strCache>
                <c:ptCount val="4"/>
                <c:pt idx="0">
                  <c:v>0 day</c:v>
                </c:pt>
                <c:pt idx="1">
                  <c:v>7 day</c:v>
                </c:pt>
                <c:pt idx="2">
                  <c:v>14 day</c:v>
                </c:pt>
                <c:pt idx="3">
                  <c:v>21 day</c:v>
                </c:pt>
              </c:strCache>
            </c:strRef>
          </c:cat>
          <c:val>
            <c:numRef>
              <c:f>Sheet1!$I$8:$L$8</c:f>
              <c:numCache>
                <c:formatCode>General</c:formatCode>
                <c:ptCount val="4"/>
                <c:pt idx="0">
                  <c:v>42</c:v>
                </c:pt>
                <c:pt idx="1">
                  <c:v>105</c:v>
                </c:pt>
                <c:pt idx="2">
                  <c:v>136</c:v>
                </c:pt>
                <c:pt idx="3">
                  <c:v>165</c:v>
                </c:pt>
              </c:numCache>
            </c:numRef>
          </c:val>
          <c:smooth val="0"/>
          <c:extLst>
            <c:ext xmlns:c16="http://schemas.microsoft.com/office/drawing/2014/chart" uri="{C3380CC4-5D6E-409C-BE32-E72D297353CC}">
              <c16:uniqueId val="{00000004-C784-490D-A365-EAC88C5F3A66}"/>
            </c:ext>
          </c:extLst>
        </c:ser>
        <c:ser>
          <c:idx val="11"/>
          <c:order val="5"/>
          <c:tx>
            <c:strRef>
              <c:f>Sheet1!$H$9</c:f>
              <c:strCache>
                <c:ptCount val="1"/>
                <c:pt idx="0">
                  <c:v>Zn 2.00</c:v>
                </c:pt>
              </c:strCache>
            </c:strRef>
          </c:tx>
          <c:cat>
            <c:strRef>
              <c:f>Sheet1!$I$2:$L$3</c:f>
              <c:strCache>
                <c:ptCount val="4"/>
                <c:pt idx="0">
                  <c:v>0 day</c:v>
                </c:pt>
                <c:pt idx="1">
                  <c:v>7 day</c:v>
                </c:pt>
                <c:pt idx="2">
                  <c:v>14 day</c:v>
                </c:pt>
                <c:pt idx="3">
                  <c:v>21 day</c:v>
                </c:pt>
              </c:strCache>
            </c:strRef>
          </c:cat>
          <c:val>
            <c:numRef>
              <c:f>Sheet1!$I$9:$L$9</c:f>
              <c:numCache>
                <c:formatCode>General</c:formatCode>
                <c:ptCount val="4"/>
                <c:pt idx="0">
                  <c:v>43</c:v>
                </c:pt>
                <c:pt idx="1">
                  <c:v>93</c:v>
                </c:pt>
                <c:pt idx="2">
                  <c:v>116</c:v>
                </c:pt>
                <c:pt idx="3">
                  <c:v>92</c:v>
                </c:pt>
              </c:numCache>
            </c:numRef>
          </c:val>
          <c:smooth val="0"/>
          <c:extLst>
            <c:ext xmlns:c16="http://schemas.microsoft.com/office/drawing/2014/chart" uri="{C3380CC4-5D6E-409C-BE32-E72D297353CC}">
              <c16:uniqueId val="{00000005-C784-490D-A365-EAC88C5F3A66}"/>
            </c:ext>
          </c:extLst>
        </c:ser>
        <c:dLbls>
          <c:showLegendKey val="0"/>
          <c:showVal val="0"/>
          <c:showCatName val="0"/>
          <c:showSerName val="0"/>
          <c:showPercent val="0"/>
          <c:showBubbleSize val="0"/>
        </c:dLbls>
        <c:marker val="1"/>
        <c:smooth val="0"/>
        <c:axId val="208537240"/>
        <c:axId val="208537632"/>
      </c:lineChart>
      <c:catAx>
        <c:axId val="208537240"/>
        <c:scaling>
          <c:orientation val="minMax"/>
        </c:scaling>
        <c:delete val="0"/>
        <c:axPos val="b"/>
        <c:numFmt formatCode="General" sourceLinked="1"/>
        <c:majorTickMark val="none"/>
        <c:minorTickMark val="none"/>
        <c:tickLblPos val="nextTo"/>
        <c:spPr>
          <a:noFill/>
          <a:ln w="12700" cap="flat" cmpd="sng" algn="ctr">
            <a:solidFill>
              <a:sysClr val="windowText" lastClr="000000"/>
            </a:solidFill>
            <a:round/>
          </a:ln>
          <a:effectLst/>
        </c:spPr>
        <c:txPr>
          <a:bodyPr rot="-60000000" vert="horz"/>
          <a:lstStyle/>
          <a:p>
            <a:pPr>
              <a:defRPr sz="1000"/>
            </a:pPr>
            <a:endParaRPr lang="en-US"/>
          </a:p>
        </c:txPr>
        <c:crossAx val="208537632"/>
        <c:crosses val="autoZero"/>
        <c:auto val="1"/>
        <c:lblAlgn val="ctr"/>
        <c:lblOffset val="100"/>
        <c:noMultiLvlLbl val="0"/>
      </c:catAx>
      <c:valAx>
        <c:axId val="208537632"/>
        <c:scaling>
          <c:orientation val="minMax"/>
          <c:max val="200"/>
        </c:scaling>
        <c:delete val="0"/>
        <c:axPos val="l"/>
        <c:title>
          <c:tx>
            <c:rich>
              <a:bodyPr/>
              <a:lstStyle/>
              <a:p>
                <a:pPr>
                  <a:defRPr sz="1000" b="0"/>
                </a:pPr>
                <a:r>
                  <a:rPr lang="en-IN" sz="1000" b="0"/>
                  <a:t>Chlorophyll a (µg/l)</a:t>
                </a:r>
              </a:p>
            </c:rich>
          </c:tx>
          <c:layout>
            <c:manualLayout>
              <c:xMode val="edge"/>
              <c:yMode val="edge"/>
              <c:x val="1.9986274170818469E-2"/>
              <c:y val="0.24269800445798551"/>
            </c:manualLayout>
          </c:layout>
          <c:overlay val="0"/>
        </c:title>
        <c:numFmt formatCode="General" sourceLinked="1"/>
        <c:majorTickMark val="none"/>
        <c:minorTickMark val="none"/>
        <c:tickLblPos val="nextTo"/>
        <c:spPr>
          <a:noFill/>
          <a:ln w="12700">
            <a:solidFill>
              <a:sysClr val="windowText" lastClr="000000"/>
            </a:solidFill>
          </a:ln>
          <a:effectLst/>
        </c:spPr>
        <c:txPr>
          <a:bodyPr rot="-60000000" vert="horz"/>
          <a:lstStyle/>
          <a:p>
            <a:pPr>
              <a:defRPr/>
            </a:pPr>
            <a:endParaRPr lang="en-US"/>
          </a:p>
        </c:txPr>
        <c:crossAx val="208537240"/>
        <c:crosses val="autoZero"/>
        <c:crossBetween val="between"/>
        <c:majorUnit val="40"/>
      </c:valAx>
    </c:plotArea>
    <c:legend>
      <c:legendPos val="b"/>
      <c:layout>
        <c:manualLayout>
          <c:xMode val="edge"/>
          <c:yMode val="edge"/>
          <c:x val="0.17007874015748031"/>
          <c:y val="0.18115756035227457"/>
          <c:w val="0.70236245198507041"/>
          <c:h val="0.14023751212507249"/>
        </c:manualLayout>
      </c:layout>
      <c:overlay val="0"/>
      <c:spPr>
        <a:noFill/>
        <a:ln>
          <a:noFill/>
        </a:ln>
        <a:effectLst/>
      </c:spPr>
      <c:txPr>
        <a:bodyPr rot="0" vert="horz"/>
        <a:lstStyle/>
        <a:p>
          <a:pPr>
            <a:defRPr sz="800"/>
          </a:pPr>
          <a:endParaRPr lang="en-US"/>
        </a:p>
      </c:txPr>
    </c:legend>
    <c:plotVisOnly val="1"/>
    <c:dispBlanksAs val="gap"/>
    <c:showDLblsOverMax val="0"/>
  </c:chart>
  <c:spPr>
    <a:ln w="6350">
      <a:solidFill>
        <a:sysClr val="windowText" lastClr="000000"/>
      </a:solidFill>
    </a:ln>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n-IN" sz="1000"/>
              <a:t>Zn treatments vs Chlorphyll a concentration </a:t>
            </a:r>
          </a:p>
        </c:rich>
      </c:tx>
      <c:overlay val="0"/>
      <c:spPr>
        <a:noFill/>
        <a:ln>
          <a:noFill/>
        </a:ln>
        <a:effectLst/>
      </c:spPr>
    </c:title>
    <c:autoTitleDeleted val="0"/>
    <c:plotArea>
      <c:layout>
        <c:manualLayout>
          <c:layoutTarget val="inner"/>
          <c:xMode val="edge"/>
          <c:yMode val="edge"/>
          <c:x val="0.15133979831468436"/>
          <c:y val="0.25505636801376397"/>
          <c:w val="0.8218571625915182"/>
          <c:h val="0.58940596821682123"/>
        </c:manualLayout>
      </c:layout>
      <c:lineChart>
        <c:grouping val="standard"/>
        <c:varyColors val="0"/>
        <c:ser>
          <c:idx val="0"/>
          <c:order val="0"/>
          <c:tx>
            <c:strRef>
              <c:f>Sheet1!$O$4</c:f>
              <c:strCache>
                <c:ptCount val="1"/>
                <c:pt idx="0">
                  <c:v>No Zn</c:v>
                </c:pt>
              </c:strCache>
            </c:strRef>
          </c:tx>
          <c:marker>
            <c:symbol val="circle"/>
            <c:size val="5"/>
            <c:spPr>
              <a:solidFill>
                <a:schemeClr val="accent1"/>
              </a:solidFill>
              <a:ln w="9525">
                <a:solidFill>
                  <a:schemeClr val="accent1"/>
                </a:solidFill>
              </a:ln>
              <a:effectLst/>
            </c:spPr>
          </c:marker>
          <c:cat>
            <c:strRef>
              <c:f>Sheet1!$P$2:$S$3</c:f>
              <c:strCache>
                <c:ptCount val="4"/>
                <c:pt idx="0">
                  <c:v>0 day</c:v>
                </c:pt>
                <c:pt idx="1">
                  <c:v>7 day</c:v>
                </c:pt>
                <c:pt idx="2">
                  <c:v>14 day*</c:v>
                </c:pt>
                <c:pt idx="3">
                  <c:v>21 day</c:v>
                </c:pt>
              </c:strCache>
            </c:strRef>
          </c:cat>
          <c:val>
            <c:numRef>
              <c:f>Sheet1!$P$4:$S$4</c:f>
              <c:numCache>
                <c:formatCode>General</c:formatCode>
                <c:ptCount val="4"/>
                <c:pt idx="0">
                  <c:v>53</c:v>
                </c:pt>
                <c:pt idx="1">
                  <c:v>68</c:v>
                </c:pt>
                <c:pt idx="2">
                  <c:v>76</c:v>
                </c:pt>
                <c:pt idx="3">
                  <c:v>68</c:v>
                </c:pt>
              </c:numCache>
            </c:numRef>
          </c:val>
          <c:smooth val="0"/>
          <c:extLst>
            <c:ext xmlns:c16="http://schemas.microsoft.com/office/drawing/2014/chart" uri="{C3380CC4-5D6E-409C-BE32-E72D297353CC}">
              <c16:uniqueId val="{00000000-72DF-45B6-BB51-869ACCC0E4F3}"/>
            </c:ext>
          </c:extLst>
        </c:ser>
        <c:ser>
          <c:idx val="1"/>
          <c:order val="1"/>
          <c:tx>
            <c:strRef>
              <c:f>Sheet1!$O$5</c:f>
              <c:strCache>
                <c:ptCount val="1"/>
                <c:pt idx="0">
                  <c:v>Zn 0.25</c:v>
                </c:pt>
              </c:strCache>
            </c:strRef>
          </c:tx>
          <c:marker>
            <c:symbol val="circle"/>
            <c:size val="5"/>
            <c:spPr>
              <a:solidFill>
                <a:schemeClr val="accent2"/>
              </a:solidFill>
              <a:ln w="9525">
                <a:solidFill>
                  <a:schemeClr val="accent2"/>
                </a:solidFill>
              </a:ln>
              <a:effectLst/>
            </c:spPr>
          </c:marker>
          <c:cat>
            <c:strRef>
              <c:f>Sheet1!$P$2:$S$3</c:f>
              <c:strCache>
                <c:ptCount val="4"/>
                <c:pt idx="0">
                  <c:v>0 day</c:v>
                </c:pt>
                <c:pt idx="1">
                  <c:v>7 day</c:v>
                </c:pt>
                <c:pt idx="2">
                  <c:v>14 day*</c:v>
                </c:pt>
                <c:pt idx="3">
                  <c:v>21 day</c:v>
                </c:pt>
              </c:strCache>
            </c:strRef>
          </c:cat>
          <c:val>
            <c:numRef>
              <c:f>Sheet1!$P$5:$S$5</c:f>
              <c:numCache>
                <c:formatCode>General</c:formatCode>
                <c:ptCount val="4"/>
                <c:pt idx="0">
                  <c:v>54</c:v>
                </c:pt>
                <c:pt idx="1">
                  <c:v>78</c:v>
                </c:pt>
                <c:pt idx="2">
                  <c:v>95</c:v>
                </c:pt>
                <c:pt idx="3">
                  <c:v>108</c:v>
                </c:pt>
              </c:numCache>
            </c:numRef>
          </c:val>
          <c:smooth val="0"/>
          <c:extLst>
            <c:ext xmlns:c16="http://schemas.microsoft.com/office/drawing/2014/chart" uri="{C3380CC4-5D6E-409C-BE32-E72D297353CC}">
              <c16:uniqueId val="{00000001-72DF-45B6-BB51-869ACCC0E4F3}"/>
            </c:ext>
          </c:extLst>
        </c:ser>
        <c:ser>
          <c:idx val="2"/>
          <c:order val="2"/>
          <c:tx>
            <c:strRef>
              <c:f>Sheet1!$O$6</c:f>
              <c:strCache>
                <c:ptCount val="1"/>
                <c:pt idx="0">
                  <c:v>Zn 0.50</c:v>
                </c:pt>
              </c:strCache>
            </c:strRef>
          </c:tx>
          <c:marker>
            <c:symbol val="circle"/>
            <c:size val="5"/>
            <c:spPr>
              <a:solidFill>
                <a:schemeClr val="accent3"/>
              </a:solidFill>
              <a:ln w="9525">
                <a:solidFill>
                  <a:schemeClr val="accent3"/>
                </a:solidFill>
              </a:ln>
              <a:effectLst/>
            </c:spPr>
          </c:marker>
          <c:cat>
            <c:strRef>
              <c:f>Sheet1!$P$2:$S$3</c:f>
              <c:strCache>
                <c:ptCount val="4"/>
                <c:pt idx="0">
                  <c:v>0 day</c:v>
                </c:pt>
                <c:pt idx="1">
                  <c:v>7 day</c:v>
                </c:pt>
                <c:pt idx="2">
                  <c:v>14 day*</c:v>
                </c:pt>
                <c:pt idx="3">
                  <c:v>21 day</c:v>
                </c:pt>
              </c:strCache>
            </c:strRef>
          </c:cat>
          <c:val>
            <c:numRef>
              <c:f>Sheet1!$P$6:$S$6</c:f>
              <c:numCache>
                <c:formatCode>General</c:formatCode>
                <c:ptCount val="4"/>
                <c:pt idx="0">
                  <c:v>58</c:v>
                </c:pt>
                <c:pt idx="1">
                  <c:v>89</c:v>
                </c:pt>
                <c:pt idx="2">
                  <c:v>102</c:v>
                </c:pt>
                <c:pt idx="3">
                  <c:v>115</c:v>
                </c:pt>
              </c:numCache>
            </c:numRef>
          </c:val>
          <c:smooth val="0"/>
          <c:extLst>
            <c:ext xmlns:c16="http://schemas.microsoft.com/office/drawing/2014/chart" uri="{C3380CC4-5D6E-409C-BE32-E72D297353CC}">
              <c16:uniqueId val="{00000002-72DF-45B6-BB51-869ACCC0E4F3}"/>
            </c:ext>
          </c:extLst>
        </c:ser>
        <c:ser>
          <c:idx val="3"/>
          <c:order val="3"/>
          <c:tx>
            <c:strRef>
              <c:f>Sheet1!$O$7</c:f>
              <c:strCache>
                <c:ptCount val="1"/>
                <c:pt idx="0">
                  <c:v>Zn 0.75</c:v>
                </c:pt>
              </c:strCache>
            </c:strRef>
          </c:tx>
          <c:marker>
            <c:symbol val="circle"/>
            <c:size val="5"/>
            <c:spPr>
              <a:solidFill>
                <a:schemeClr val="accent4"/>
              </a:solidFill>
              <a:ln w="9525">
                <a:solidFill>
                  <a:schemeClr val="accent4"/>
                </a:solidFill>
              </a:ln>
              <a:effectLst/>
            </c:spPr>
          </c:marker>
          <c:cat>
            <c:strRef>
              <c:f>Sheet1!$P$2:$S$3</c:f>
              <c:strCache>
                <c:ptCount val="4"/>
                <c:pt idx="0">
                  <c:v>0 day</c:v>
                </c:pt>
                <c:pt idx="1">
                  <c:v>7 day</c:v>
                </c:pt>
                <c:pt idx="2">
                  <c:v>14 day*</c:v>
                </c:pt>
                <c:pt idx="3">
                  <c:v>21 day</c:v>
                </c:pt>
              </c:strCache>
            </c:strRef>
          </c:cat>
          <c:val>
            <c:numRef>
              <c:f>Sheet1!$P$7:$S$7</c:f>
              <c:numCache>
                <c:formatCode>General</c:formatCode>
                <c:ptCount val="4"/>
                <c:pt idx="0">
                  <c:v>56</c:v>
                </c:pt>
                <c:pt idx="1">
                  <c:v>103</c:v>
                </c:pt>
                <c:pt idx="2">
                  <c:v>116</c:v>
                </c:pt>
                <c:pt idx="3">
                  <c:v>136</c:v>
                </c:pt>
              </c:numCache>
            </c:numRef>
          </c:val>
          <c:smooth val="0"/>
          <c:extLst>
            <c:ext xmlns:c16="http://schemas.microsoft.com/office/drawing/2014/chart" uri="{C3380CC4-5D6E-409C-BE32-E72D297353CC}">
              <c16:uniqueId val="{00000003-72DF-45B6-BB51-869ACCC0E4F3}"/>
            </c:ext>
          </c:extLst>
        </c:ser>
        <c:ser>
          <c:idx val="4"/>
          <c:order val="4"/>
          <c:tx>
            <c:strRef>
              <c:f>Sheet1!$O$8</c:f>
              <c:strCache>
                <c:ptCount val="1"/>
                <c:pt idx="0">
                  <c:v>Zn 1.00</c:v>
                </c:pt>
              </c:strCache>
            </c:strRef>
          </c:tx>
          <c:marker>
            <c:symbol val="circle"/>
            <c:size val="5"/>
            <c:spPr>
              <a:solidFill>
                <a:schemeClr val="accent5"/>
              </a:solidFill>
              <a:ln w="9525">
                <a:solidFill>
                  <a:schemeClr val="accent5"/>
                </a:solidFill>
              </a:ln>
              <a:effectLst/>
            </c:spPr>
          </c:marker>
          <c:cat>
            <c:strRef>
              <c:f>Sheet1!$P$2:$S$3</c:f>
              <c:strCache>
                <c:ptCount val="4"/>
                <c:pt idx="0">
                  <c:v>0 day</c:v>
                </c:pt>
                <c:pt idx="1">
                  <c:v>7 day</c:v>
                </c:pt>
                <c:pt idx="2">
                  <c:v>14 day*</c:v>
                </c:pt>
                <c:pt idx="3">
                  <c:v>21 day</c:v>
                </c:pt>
              </c:strCache>
            </c:strRef>
          </c:cat>
          <c:val>
            <c:numRef>
              <c:f>Sheet1!$P$8:$S$8</c:f>
              <c:numCache>
                <c:formatCode>General</c:formatCode>
                <c:ptCount val="4"/>
                <c:pt idx="0">
                  <c:v>52</c:v>
                </c:pt>
                <c:pt idx="1">
                  <c:v>111</c:v>
                </c:pt>
                <c:pt idx="2">
                  <c:v>156</c:v>
                </c:pt>
                <c:pt idx="3">
                  <c:v>135</c:v>
                </c:pt>
              </c:numCache>
            </c:numRef>
          </c:val>
          <c:smooth val="0"/>
          <c:extLst>
            <c:ext xmlns:c16="http://schemas.microsoft.com/office/drawing/2014/chart" uri="{C3380CC4-5D6E-409C-BE32-E72D297353CC}">
              <c16:uniqueId val="{00000004-72DF-45B6-BB51-869ACCC0E4F3}"/>
            </c:ext>
          </c:extLst>
        </c:ser>
        <c:ser>
          <c:idx val="5"/>
          <c:order val="5"/>
          <c:tx>
            <c:strRef>
              <c:f>Sheet1!$O$9</c:f>
              <c:strCache>
                <c:ptCount val="1"/>
                <c:pt idx="0">
                  <c:v>Zn 2.00</c:v>
                </c:pt>
              </c:strCache>
            </c:strRef>
          </c:tx>
          <c:marker>
            <c:symbol val="circle"/>
            <c:size val="5"/>
            <c:spPr>
              <a:solidFill>
                <a:schemeClr val="accent6"/>
              </a:solidFill>
              <a:ln w="9525">
                <a:solidFill>
                  <a:schemeClr val="accent6"/>
                </a:solidFill>
              </a:ln>
              <a:effectLst/>
            </c:spPr>
          </c:marker>
          <c:cat>
            <c:strRef>
              <c:f>Sheet1!$P$2:$S$3</c:f>
              <c:strCache>
                <c:ptCount val="4"/>
                <c:pt idx="0">
                  <c:v>0 day</c:v>
                </c:pt>
                <c:pt idx="1">
                  <c:v>7 day</c:v>
                </c:pt>
                <c:pt idx="2">
                  <c:v>14 day*</c:v>
                </c:pt>
                <c:pt idx="3">
                  <c:v>21 day</c:v>
                </c:pt>
              </c:strCache>
            </c:strRef>
          </c:cat>
          <c:val>
            <c:numRef>
              <c:f>Sheet1!$P$9:$S$9</c:f>
              <c:numCache>
                <c:formatCode>General</c:formatCode>
                <c:ptCount val="4"/>
                <c:pt idx="0">
                  <c:v>55</c:v>
                </c:pt>
                <c:pt idx="1">
                  <c:v>96</c:v>
                </c:pt>
                <c:pt idx="2">
                  <c:v>108</c:v>
                </c:pt>
                <c:pt idx="3">
                  <c:v>92</c:v>
                </c:pt>
              </c:numCache>
            </c:numRef>
          </c:val>
          <c:smooth val="0"/>
          <c:extLst>
            <c:ext xmlns:c16="http://schemas.microsoft.com/office/drawing/2014/chart" uri="{C3380CC4-5D6E-409C-BE32-E72D297353CC}">
              <c16:uniqueId val="{00000005-72DF-45B6-BB51-869ACCC0E4F3}"/>
            </c:ext>
          </c:extLst>
        </c:ser>
        <c:dLbls>
          <c:showLegendKey val="0"/>
          <c:showVal val="0"/>
          <c:showCatName val="0"/>
          <c:showSerName val="0"/>
          <c:showPercent val="0"/>
          <c:showBubbleSize val="0"/>
        </c:dLbls>
        <c:marker val="1"/>
        <c:smooth val="0"/>
        <c:axId val="318671320"/>
        <c:axId val="318671648"/>
      </c:lineChart>
      <c:catAx>
        <c:axId val="318671320"/>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318671648"/>
        <c:crosses val="autoZero"/>
        <c:auto val="1"/>
        <c:lblAlgn val="ctr"/>
        <c:lblOffset val="100"/>
        <c:noMultiLvlLbl val="0"/>
      </c:catAx>
      <c:valAx>
        <c:axId val="318671648"/>
        <c:scaling>
          <c:orientation val="minMax"/>
        </c:scaling>
        <c:delete val="0"/>
        <c:axPos val="l"/>
        <c:title>
          <c:tx>
            <c:rich>
              <a:bodyPr/>
              <a:lstStyle/>
              <a:p>
                <a:pPr>
                  <a:defRPr b="0"/>
                </a:pPr>
                <a:r>
                  <a:rPr lang="en-IN" b="0"/>
                  <a:t>Chlorophyll a (µg/l)</a:t>
                </a:r>
              </a:p>
            </c:rich>
          </c:tx>
          <c:layout>
            <c:manualLayout>
              <c:xMode val="edge"/>
              <c:yMode val="edge"/>
              <c:x val="2.1414670534604222E-2"/>
              <c:y val="0.27997001278726874"/>
            </c:manualLayout>
          </c:layout>
          <c:overlay val="0"/>
        </c:title>
        <c:numFmt formatCode="General" sourceLinked="1"/>
        <c:majorTickMark val="none"/>
        <c:minorTickMark val="none"/>
        <c:tickLblPos val="nextTo"/>
        <c:spPr>
          <a:noFill/>
          <a:ln w="12700">
            <a:solidFill>
              <a:schemeClr val="tx1"/>
            </a:solidFill>
          </a:ln>
          <a:effectLst/>
        </c:spPr>
        <c:txPr>
          <a:bodyPr rot="-60000000" vert="horz"/>
          <a:lstStyle/>
          <a:p>
            <a:pPr>
              <a:defRPr/>
            </a:pPr>
            <a:endParaRPr lang="en-US"/>
          </a:p>
        </c:txPr>
        <c:crossAx val="318671320"/>
        <c:crosses val="autoZero"/>
        <c:crossBetween val="between"/>
        <c:majorUnit val="40"/>
      </c:valAx>
    </c:plotArea>
    <c:legend>
      <c:legendPos val="b"/>
      <c:layout>
        <c:manualLayout>
          <c:xMode val="edge"/>
          <c:yMode val="edge"/>
          <c:x val="0.24736842105263157"/>
          <c:y val="0.13907134426747933"/>
          <c:w val="0.50769980506822621"/>
          <c:h val="0.18199009489101933"/>
        </c:manualLayout>
      </c:layout>
      <c:overlay val="0"/>
      <c:spPr>
        <a:noFill/>
        <a:ln>
          <a:noFill/>
        </a:ln>
        <a:effectLst/>
      </c:spPr>
      <c:txPr>
        <a:bodyPr rot="0" vert="horz"/>
        <a:lstStyle/>
        <a:p>
          <a:pPr>
            <a:defRPr sz="800" b="0"/>
          </a:pPr>
          <a:endParaRPr lang="en-US"/>
        </a:p>
      </c:txPr>
    </c:legend>
    <c:plotVisOnly val="1"/>
    <c:dispBlanksAs val="gap"/>
    <c:showDLblsOverMax val="0"/>
  </c:chart>
  <c:spPr>
    <a:ln w="6350">
      <a:solidFill>
        <a:schemeClr val="tx1"/>
      </a:solidFill>
    </a:ln>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Length!$M$55</c:f>
              <c:strCache>
                <c:ptCount val="1"/>
                <c:pt idx="0">
                  <c:v>Mean Weight (g) at harvest</c:v>
                </c:pt>
              </c:strCache>
            </c:strRef>
          </c:tx>
          <c:spPr>
            <a:pattFill prst="horzBrick">
              <a:fgClr>
                <a:schemeClr val="tx1"/>
              </a:fgClr>
              <a:bgClr>
                <a:schemeClr val="bg1"/>
              </a:bgClr>
            </a:pattFill>
            <a:ln w="3175" cap="flat" cmpd="sng" algn="ctr">
              <a:solidFill>
                <a:schemeClr val="tx1"/>
              </a:solidFill>
              <a:miter lim="800000"/>
            </a:ln>
            <a:effectLst/>
          </c:spPr>
          <c:invertIfNegative val="0"/>
          <c:cat>
            <c:strRef>
              <c:f>Length!$L$56:$L$60</c:f>
              <c:strCache>
                <c:ptCount val="5"/>
                <c:pt idx="0">
                  <c:v>Control</c:v>
                </c:pt>
                <c:pt idx="1">
                  <c:v>Zn-0.10</c:v>
                </c:pt>
                <c:pt idx="2">
                  <c:v>Zn-0.20</c:v>
                </c:pt>
                <c:pt idx="3">
                  <c:v>Zn-0.30</c:v>
                </c:pt>
                <c:pt idx="4">
                  <c:v>Zn-0.50</c:v>
                </c:pt>
              </c:strCache>
            </c:strRef>
          </c:cat>
          <c:val>
            <c:numRef>
              <c:f>Length!$M$56:$M$60</c:f>
              <c:numCache>
                <c:formatCode>0.00</c:formatCode>
                <c:ptCount val="5"/>
                <c:pt idx="0">
                  <c:v>2.5333333333333332</c:v>
                </c:pt>
                <c:pt idx="1">
                  <c:v>3.2666666666666671</c:v>
                </c:pt>
                <c:pt idx="2">
                  <c:v>2.1566666666666667</c:v>
                </c:pt>
                <c:pt idx="3">
                  <c:v>2.04</c:v>
                </c:pt>
                <c:pt idx="4">
                  <c:v>1.7758730158730158</c:v>
                </c:pt>
              </c:numCache>
            </c:numRef>
          </c:val>
          <c:extLst>
            <c:ext xmlns:c16="http://schemas.microsoft.com/office/drawing/2014/chart" uri="{C3380CC4-5D6E-409C-BE32-E72D297353CC}">
              <c16:uniqueId val="{00000000-7898-4FD6-9A9B-0AAB1DCBCE1A}"/>
            </c:ext>
          </c:extLst>
        </c:ser>
        <c:ser>
          <c:idx val="1"/>
          <c:order val="1"/>
          <c:tx>
            <c:strRef>
              <c:f>Length!$N$55</c:f>
              <c:strCache>
                <c:ptCount val="1"/>
                <c:pt idx="0">
                  <c:v>Length (cm) at harvest</c:v>
                </c:pt>
              </c:strCache>
            </c:strRef>
          </c:tx>
          <c:spPr>
            <a:pattFill prst="pct80">
              <a:fgClr>
                <a:schemeClr val="tx1"/>
              </a:fgClr>
              <a:bgClr>
                <a:schemeClr val="bg1"/>
              </a:bgClr>
            </a:pattFill>
            <a:ln w="3175" cap="flat" cmpd="sng" algn="ctr">
              <a:solidFill>
                <a:schemeClr val="tx1"/>
              </a:solidFill>
              <a:miter lim="800000"/>
            </a:ln>
            <a:effectLst/>
          </c:spPr>
          <c:invertIfNegative val="0"/>
          <c:cat>
            <c:strRef>
              <c:f>Length!$L$56:$L$60</c:f>
              <c:strCache>
                <c:ptCount val="5"/>
                <c:pt idx="0">
                  <c:v>Control</c:v>
                </c:pt>
                <c:pt idx="1">
                  <c:v>Zn-0.10</c:v>
                </c:pt>
                <c:pt idx="2">
                  <c:v>Zn-0.20</c:v>
                </c:pt>
                <c:pt idx="3">
                  <c:v>Zn-0.30</c:v>
                </c:pt>
                <c:pt idx="4">
                  <c:v>Zn-0.50</c:v>
                </c:pt>
              </c:strCache>
            </c:strRef>
          </c:cat>
          <c:val>
            <c:numRef>
              <c:f>Length!$N$56:$N$60</c:f>
              <c:numCache>
                <c:formatCode>0.00</c:formatCode>
                <c:ptCount val="5"/>
                <c:pt idx="0">
                  <c:v>6.0233333333333334</c:v>
                </c:pt>
                <c:pt idx="1">
                  <c:v>7.5733333333333333</c:v>
                </c:pt>
                <c:pt idx="2">
                  <c:v>5.7</c:v>
                </c:pt>
                <c:pt idx="3">
                  <c:v>5.4066666666666663</c:v>
                </c:pt>
                <c:pt idx="4">
                  <c:v>4.586666666666666</c:v>
                </c:pt>
              </c:numCache>
            </c:numRef>
          </c:val>
          <c:extLst>
            <c:ext xmlns:c16="http://schemas.microsoft.com/office/drawing/2014/chart" uri="{C3380CC4-5D6E-409C-BE32-E72D297353CC}">
              <c16:uniqueId val="{00000001-7898-4FD6-9A9B-0AAB1DCBCE1A}"/>
            </c:ext>
          </c:extLst>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34824"/>
        <c:crosses val="autoZero"/>
        <c:auto val="1"/>
        <c:lblAlgn val="ctr"/>
        <c:lblOffset val="100"/>
        <c:noMultiLvlLbl val="0"/>
      </c:catAx>
      <c:valAx>
        <c:axId val="438634824"/>
        <c:scaling>
          <c:orientation val="minMax"/>
        </c:scaling>
        <c:delete val="0"/>
        <c:axPos val="l"/>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26952"/>
        <c:crosses val="autoZero"/>
        <c:crossBetween val="between"/>
        <c:majorUnit val="2"/>
      </c:valAx>
      <c:spPr>
        <a:noFill/>
        <a:ln>
          <a:noFill/>
        </a:ln>
        <a:effectLst/>
      </c:spPr>
    </c:plotArea>
    <c:legend>
      <c:legendPos val="t"/>
      <c:layout>
        <c:manualLayout>
          <c:xMode val="edge"/>
          <c:yMode val="edge"/>
          <c:x val="0.15924585186958545"/>
          <c:y val="0.10611735330836454"/>
          <c:w val="0.83520024413921201"/>
          <c:h val="9.9560097122691121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36213974922371"/>
          <c:y val="0.14958422253293108"/>
          <c:w val="0.8408895127784044"/>
          <c:h val="0.70241616994137412"/>
        </c:manualLayout>
      </c:layout>
      <c:barChart>
        <c:barDir val="col"/>
        <c:grouping val="clustered"/>
        <c:varyColors val="0"/>
        <c:ser>
          <c:idx val="0"/>
          <c:order val="0"/>
          <c:tx>
            <c:strRef>
              <c:f>'L &amp; W__Art'!$G$18</c:f>
              <c:strCache>
                <c:ptCount val="1"/>
                <c:pt idx="0">
                  <c:v>Control</c:v>
                </c:pt>
              </c:strCache>
            </c:strRef>
          </c:tx>
          <c:spPr>
            <a:pattFill prst="solidDmnd">
              <a:fgClr>
                <a:schemeClr val="tx1"/>
              </a:fgClr>
              <a:bgClr>
                <a:schemeClr val="bg1"/>
              </a:bgClr>
            </a:pattFill>
            <a:ln w="25400" cap="flat" cmpd="sng" algn="ctr">
              <a:solidFill>
                <a:schemeClr val="tx1"/>
              </a:solidFill>
              <a:miter lim="800000"/>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10-46C4-8505-B7EDFF6A7CE0}"/>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10-46C4-8505-B7EDFF6A7CE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 &amp; W__Art'!$J$18:$J$19</c:f>
                <c:numCache>
                  <c:formatCode>General</c:formatCode>
                  <c:ptCount val="2"/>
                  <c:pt idx="0">
                    <c:v>0.87</c:v>
                  </c:pt>
                  <c:pt idx="1">
                    <c:v>0.84</c:v>
                  </c:pt>
                </c:numCache>
              </c:numRef>
            </c:plus>
            <c:minus>
              <c:numLit>
                <c:formatCode>General</c:formatCode>
                <c:ptCount val="1"/>
                <c:pt idx="0">
                  <c:v>1</c:v>
                </c:pt>
              </c:numLit>
            </c:minus>
            <c:spPr>
              <a:noFill/>
              <a:ln w="9525" cap="flat" cmpd="sng" algn="ctr">
                <a:solidFill>
                  <a:schemeClr val="tx1">
                    <a:lumMod val="50000"/>
                    <a:lumOff val="50000"/>
                  </a:schemeClr>
                </a:solidFill>
                <a:round/>
              </a:ln>
              <a:effectLst/>
            </c:spPr>
          </c:errBars>
          <c:cat>
            <c:strRef>
              <c:f>'L &amp; W__Art'!$H$17:$I$17</c:f>
              <c:strCache>
                <c:ptCount val="2"/>
                <c:pt idx="0">
                  <c:v>Length at harvest (cm)</c:v>
                </c:pt>
                <c:pt idx="1">
                  <c:v>Weight at harvest (g)</c:v>
                </c:pt>
              </c:strCache>
            </c:strRef>
          </c:cat>
          <c:val>
            <c:numRef>
              <c:f>'L &amp; W__Art'!$H$18:$I$18</c:f>
              <c:numCache>
                <c:formatCode>General</c:formatCode>
                <c:ptCount val="2"/>
                <c:pt idx="0" formatCode="0.00">
                  <c:v>20.100000000000001</c:v>
                </c:pt>
                <c:pt idx="1">
                  <c:v>101.83</c:v>
                </c:pt>
              </c:numCache>
            </c:numRef>
          </c:val>
          <c:extLst>
            <c:ext xmlns:c16="http://schemas.microsoft.com/office/drawing/2014/chart" uri="{C3380CC4-5D6E-409C-BE32-E72D297353CC}">
              <c16:uniqueId val="{00000002-A910-46C4-8505-B7EDFF6A7CE0}"/>
            </c:ext>
          </c:extLst>
        </c:ser>
        <c:ser>
          <c:idx val="1"/>
          <c:order val="1"/>
          <c:tx>
            <c:strRef>
              <c:f>'L &amp; W__Art'!$G$19</c:f>
              <c:strCache>
                <c:ptCount val="1"/>
                <c:pt idx="0">
                  <c:v>Zn-0.10</c:v>
                </c:pt>
              </c:strCache>
            </c:strRef>
          </c:tx>
          <c:spPr>
            <a:pattFill prst="pct20">
              <a:fgClr>
                <a:schemeClr val="tx1"/>
              </a:fgClr>
              <a:bgClr>
                <a:schemeClr val="bg1"/>
              </a:bgClr>
            </a:pattFill>
            <a:ln w="25400" cap="flat" cmpd="sng" algn="ctr">
              <a:solidFill>
                <a:schemeClr val="tx1"/>
              </a:solidFill>
              <a:miter lim="800000"/>
            </a:ln>
            <a:effectLst/>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10-46C4-8505-B7EDFF6A7CE0}"/>
                </c:ext>
              </c:extLst>
            </c:dLbl>
            <c:dLbl>
              <c:idx val="1"/>
              <c:layout>
                <c:manualLayout>
                  <c:x val="0"/>
                  <c:y val="-1.9373587342589604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10-46C4-8505-B7EDFF6A7CE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olidFill>
                      <a:round/>
                    </a:ln>
                    <a:effectLst/>
                  </c:spPr>
                </c15:leaderLines>
              </c:ext>
            </c:extLst>
          </c:dLbls>
          <c:errBars>
            <c:errBarType val="both"/>
            <c:errValType val="cust"/>
            <c:noEndCap val="0"/>
            <c:plus>
              <c:numRef>
                <c:f>'L &amp; W__Art'!$K$18:$K$19</c:f>
                <c:numCache>
                  <c:formatCode>General</c:formatCode>
                  <c:ptCount val="2"/>
                  <c:pt idx="0">
                    <c:v>3.64</c:v>
                  </c:pt>
                  <c:pt idx="1">
                    <c:v>8.14</c:v>
                  </c:pt>
                </c:numCache>
              </c:numRef>
            </c:plus>
            <c:minus>
              <c:numLit>
                <c:formatCode>General</c:formatCode>
                <c:ptCount val="1"/>
                <c:pt idx="0">
                  <c:v>1</c:v>
                </c:pt>
              </c:numLit>
            </c:minus>
            <c:spPr>
              <a:noFill/>
              <a:ln w="9525" cap="flat" cmpd="sng" algn="ctr">
                <a:solidFill>
                  <a:sysClr val="windowText" lastClr="000000"/>
                </a:solidFill>
                <a:round/>
              </a:ln>
              <a:effectLst/>
            </c:spPr>
          </c:errBars>
          <c:cat>
            <c:strRef>
              <c:f>'L &amp; W__Art'!$H$17:$I$17</c:f>
              <c:strCache>
                <c:ptCount val="2"/>
                <c:pt idx="0">
                  <c:v>Length at harvest (cm)</c:v>
                </c:pt>
                <c:pt idx="1">
                  <c:v>Weight at harvest (g)</c:v>
                </c:pt>
              </c:strCache>
            </c:strRef>
          </c:cat>
          <c:val>
            <c:numRef>
              <c:f>'L &amp; W__Art'!$H$19:$I$19</c:f>
              <c:numCache>
                <c:formatCode>General</c:formatCode>
                <c:ptCount val="2"/>
                <c:pt idx="0" formatCode="0.00">
                  <c:v>22.84</c:v>
                </c:pt>
                <c:pt idx="1">
                  <c:v>114.23</c:v>
                </c:pt>
              </c:numCache>
            </c:numRef>
          </c:val>
          <c:extLst>
            <c:ext xmlns:c16="http://schemas.microsoft.com/office/drawing/2014/chart" uri="{C3380CC4-5D6E-409C-BE32-E72D297353CC}">
              <c16:uniqueId val="{00000005-A910-46C4-8505-B7EDFF6A7CE0}"/>
            </c:ext>
          </c:extLst>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34824"/>
        <c:crosses val="autoZero"/>
        <c:auto val="1"/>
        <c:lblAlgn val="ctr"/>
        <c:lblOffset val="100"/>
        <c:noMultiLvlLbl val="0"/>
      </c:catAx>
      <c:valAx>
        <c:axId val="438634824"/>
        <c:scaling>
          <c:orientation val="minMax"/>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26952"/>
        <c:crosses val="autoZero"/>
        <c:crossBetween val="between"/>
        <c:majorUnit val="25"/>
      </c:valAx>
      <c:spPr>
        <a:noFill/>
        <a:ln>
          <a:noFill/>
        </a:ln>
        <a:effectLst/>
      </c:spPr>
    </c:plotArea>
    <c:legend>
      <c:legendPos val="t"/>
      <c:layout>
        <c:manualLayout>
          <c:xMode val="edge"/>
          <c:yMode val="edge"/>
          <c:x val="0.21988373923997481"/>
          <c:y val="6.1965330550077566E-2"/>
          <c:w val="0.48778117261579901"/>
          <c:h val="0.1184059979342740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solidFill>
        <a:sysClr val="windowText" lastClr="000000"/>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86C9-36B0-405E-993C-F48BDCA7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11</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2025-07-05T11:10:00Z</dcterms:created>
  <dcterms:modified xsi:type="dcterms:W3CDTF">2025-07-05T13:00:00Z</dcterms:modified>
</cp:coreProperties>
</file>