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DB24B" w14:textId="77777777" w:rsidR="009D7AC4" w:rsidRDefault="009D7AC4" w:rsidP="0003385C">
      <w:pPr>
        <w:jc w:val="both"/>
        <w:rPr>
          <w:rFonts w:ascii="Arial" w:hAnsi="Arial" w:cs="Arial"/>
          <w:b/>
          <w:bCs/>
          <w:sz w:val="36"/>
          <w:szCs w:val="36"/>
        </w:rPr>
      </w:pPr>
      <w:r w:rsidRPr="009D7AC4">
        <w:rPr>
          <w:rFonts w:ascii="Arial" w:hAnsi="Arial" w:cs="Arial"/>
          <w:b/>
          <w:bCs/>
          <w:sz w:val="36"/>
          <w:szCs w:val="36"/>
        </w:rPr>
        <w:t>Review Article</w:t>
      </w:r>
    </w:p>
    <w:p w14:paraId="0022E7BB" w14:textId="77777777" w:rsidR="009D7AC4" w:rsidRDefault="009D7AC4" w:rsidP="0003385C">
      <w:pPr>
        <w:jc w:val="both"/>
        <w:rPr>
          <w:rFonts w:ascii="Arial" w:hAnsi="Arial" w:cs="Arial"/>
          <w:b/>
          <w:bCs/>
          <w:sz w:val="36"/>
          <w:szCs w:val="36"/>
        </w:rPr>
      </w:pPr>
    </w:p>
    <w:p w14:paraId="1C0867F7" w14:textId="21F2CC8F" w:rsidR="00925720" w:rsidRPr="00AD5FD1" w:rsidRDefault="009243CC" w:rsidP="0003385C">
      <w:pPr>
        <w:jc w:val="both"/>
        <w:rPr>
          <w:rFonts w:ascii="Arial" w:hAnsi="Arial" w:cs="Arial"/>
          <w:b/>
          <w:bCs/>
          <w:sz w:val="36"/>
          <w:szCs w:val="36"/>
        </w:rPr>
      </w:pPr>
      <w:r w:rsidRPr="00AD5FD1">
        <w:rPr>
          <w:rFonts w:ascii="Arial" w:hAnsi="Arial" w:cs="Arial"/>
          <w:b/>
          <w:bCs/>
          <w:sz w:val="36"/>
          <w:szCs w:val="36"/>
        </w:rPr>
        <w:t xml:space="preserve">POST-ANTIBIOTIC SURVIVOR </w:t>
      </w:r>
      <w:r w:rsidR="001256D4" w:rsidRPr="00AD5FD1">
        <w:rPr>
          <w:rFonts w:ascii="Arial" w:hAnsi="Arial" w:cs="Arial"/>
          <w:b/>
          <w:bCs/>
          <w:sz w:val="36"/>
          <w:szCs w:val="36"/>
        </w:rPr>
        <w:t>ELIMINATION</w:t>
      </w:r>
      <w:r w:rsidRPr="00AD5FD1">
        <w:rPr>
          <w:rFonts w:ascii="Arial" w:hAnsi="Arial" w:cs="Arial"/>
          <w:b/>
          <w:bCs/>
          <w:sz w:val="36"/>
          <w:szCs w:val="36"/>
        </w:rPr>
        <w:t xml:space="preserve"> USING PLANT-DERIVED ESSENTIAL OILS: INSIGHTS INTO PUTATIVE </w:t>
      </w:r>
      <w:r w:rsidR="001256D4" w:rsidRPr="00AD5FD1">
        <w:rPr>
          <w:rFonts w:ascii="Arial" w:hAnsi="Arial" w:cs="Arial"/>
          <w:b/>
          <w:bCs/>
          <w:sz w:val="36"/>
          <w:szCs w:val="36"/>
        </w:rPr>
        <w:t xml:space="preserve">BACTERIAL CELLS </w:t>
      </w:r>
      <w:r w:rsidRPr="00AD5FD1">
        <w:rPr>
          <w:rFonts w:ascii="Arial" w:hAnsi="Arial" w:cs="Arial"/>
          <w:b/>
          <w:bCs/>
          <w:sz w:val="36"/>
          <w:szCs w:val="36"/>
        </w:rPr>
        <w:t>TARGETS</w:t>
      </w:r>
    </w:p>
    <w:p w14:paraId="7AA45DE8" w14:textId="295BD395" w:rsidR="009243CC" w:rsidRDefault="009243CC" w:rsidP="009243CC">
      <w:pPr>
        <w:rPr>
          <w:rFonts w:ascii="Arial" w:hAnsi="Arial" w:cs="Arial"/>
          <w:sz w:val="20"/>
        </w:rPr>
      </w:pPr>
    </w:p>
    <w:p w14:paraId="42D0BE0A" w14:textId="77777777" w:rsidR="00E4304A" w:rsidRPr="00AD5FD1" w:rsidRDefault="00E4304A" w:rsidP="009243CC">
      <w:pPr>
        <w:rPr>
          <w:rFonts w:ascii="Arial" w:hAnsi="Arial" w:cs="Arial"/>
          <w:sz w:val="20"/>
        </w:rPr>
      </w:pPr>
    </w:p>
    <w:p w14:paraId="68DCE4B8" w14:textId="77777777" w:rsidR="009243CC" w:rsidRPr="00AD5FD1" w:rsidRDefault="009243CC" w:rsidP="009243CC">
      <w:pPr>
        <w:jc w:val="both"/>
        <w:rPr>
          <w:rFonts w:ascii="Arial" w:hAnsi="Arial" w:cs="Arial"/>
          <w:b/>
          <w:bCs/>
          <w:szCs w:val="22"/>
        </w:rPr>
      </w:pPr>
      <w:r w:rsidRPr="00AD5FD1">
        <w:rPr>
          <w:rFonts w:ascii="Arial" w:hAnsi="Arial" w:cs="Arial"/>
          <w:b/>
          <w:bCs/>
          <w:szCs w:val="22"/>
        </w:rPr>
        <w:t>ABSTRACT</w:t>
      </w:r>
    </w:p>
    <w:p w14:paraId="2CDB816F" w14:textId="749E5933" w:rsidR="009243CC" w:rsidRPr="00AD5FD1" w:rsidRDefault="001256D4" w:rsidP="0003385C">
      <w:pPr>
        <w:jc w:val="both"/>
        <w:rPr>
          <w:rFonts w:ascii="Arial" w:hAnsi="Arial" w:cs="Arial"/>
          <w:sz w:val="20"/>
        </w:rPr>
      </w:pPr>
      <w:r w:rsidRPr="00AD5FD1">
        <w:rPr>
          <w:rFonts w:ascii="Arial" w:hAnsi="Arial" w:cs="Arial"/>
          <w:sz w:val="20"/>
        </w:rPr>
        <w:t xml:space="preserve">The Post antibiotic cells are generated in presence of antibiotic during the therapeutic as well as post </w:t>
      </w:r>
      <w:r w:rsidR="00D904BE">
        <w:rPr>
          <w:rFonts w:ascii="Arial" w:hAnsi="Arial" w:cs="Arial"/>
          <w:sz w:val="20"/>
        </w:rPr>
        <w:t xml:space="preserve">antibiotic </w:t>
      </w:r>
      <w:r w:rsidRPr="00AD5FD1">
        <w:rPr>
          <w:rFonts w:ascii="Arial" w:hAnsi="Arial" w:cs="Arial"/>
          <w:sz w:val="20"/>
        </w:rPr>
        <w:t xml:space="preserve">therapeutic period. These cells are subgroup of bacteria which restrict the antibiotic action adopting a sub metastatic phase being hidden inside a biofilm matrix. These typical cells neither resistant nor sensitive towards the antibiotic.  </w:t>
      </w:r>
      <w:r w:rsidR="00D904BE">
        <w:rPr>
          <w:rFonts w:ascii="Arial" w:hAnsi="Arial" w:cs="Arial"/>
          <w:sz w:val="20"/>
        </w:rPr>
        <w:t>A</w:t>
      </w:r>
      <w:r w:rsidRPr="00AD5FD1">
        <w:rPr>
          <w:rFonts w:ascii="Arial" w:hAnsi="Arial" w:cs="Arial"/>
          <w:sz w:val="20"/>
        </w:rPr>
        <w:t xml:space="preserve">fter antibiotic therapy </w:t>
      </w:r>
      <w:r w:rsidR="00D904BE">
        <w:rPr>
          <w:rFonts w:ascii="Arial" w:hAnsi="Arial" w:cs="Arial"/>
          <w:sz w:val="20"/>
        </w:rPr>
        <w:t xml:space="preserve">period, </w:t>
      </w:r>
      <w:r w:rsidRPr="00AD5FD1">
        <w:rPr>
          <w:rFonts w:ascii="Arial" w:hAnsi="Arial" w:cs="Arial"/>
          <w:sz w:val="20"/>
        </w:rPr>
        <w:t>they are the successful survivors and prime cause of chronic infection. As the PAS are generated in response to antibiotic molecule the alternate drug candidate may be thought for</w:t>
      </w:r>
      <w:r w:rsidR="00D904BE">
        <w:rPr>
          <w:rFonts w:ascii="Arial" w:hAnsi="Arial" w:cs="Arial"/>
          <w:sz w:val="20"/>
        </w:rPr>
        <w:t xml:space="preserve">. </w:t>
      </w:r>
      <w:r w:rsidRPr="00AD5FD1">
        <w:rPr>
          <w:rFonts w:ascii="Arial" w:hAnsi="Arial" w:cs="Arial"/>
          <w:sz w:val="20"/>
        </w:rPr>
        <w:t>Plant derived Essential oil which are renowned for</w:t>
      </w:r>
      <w:r w:rsidR="00AD5FD1" w:rsidRPr="00AD5FD1">
        <w:rPr>
          <w:rFonts w:ascii="Arial" w:hAnsi="Arial" w:cs="Arial"/>
          <w:sz w:val="20"/>
        </w:rPr>
        <w:t xml:space="preserve"> their antibacterial action</w:t>
      </w:r>
      <w:r w:rsidR="00D904BE">
        <w:rPr>
          <w:rFonts w:ascii="Arial" w:hAnsi="Arial" w:cs="Arial"/>
          <w:sz w:val="20"/>
        </w:rPr>
        <w:t xml:space="preserve">, with immense potentialities </w:t>
      </w:r>
      <w:r w:rsidR="00AD5FD1" w:rsidRPr="00AD5FD1">
        <w:rPr>
          <w:rFonts w:ascii="Arial" w:hAnsi="Arial" w:cs="Arial"/>
          <w:sz w:val="20"/>
        </w:rPr>
        <w:t>to degrade the biofilm and reach the PAS cell</w:t>
      </w:r>
      <w:r w:rsidR="00D904BE">
        <w:rPr>
          <w:rFonts w:ascii="Arial" w:hAnsi="Arial" w:cs="Arial"/>
          <w:sz w:val="20"/>
        </w:rPr>
        <w:t>s,</w:t>
      </w:r>
      <w:r w:rsidR="00AD5FD1" w:rsidRPr="00AD5FD1">
        <w:rPr>
          <w:rFonts w:ascii="Arial" w:hAnsi="Arial" w:cs="Arial"/>
          <w:sz w:val="20"/>
        </w:rPr>
        <w:t xml:space="preserve"> provoking the cells to respond its target oriented antibacterial </w:t>
      </w:r>
      <w:r w:rsidR="00D904BE">
        <w:rPr>
          <w:rFonts w:ascii="Arial" w:hAnsi="Arial" w:cs="Arial"/>
          <w:sz w:val="20"/>
        </w:rPr>
        <w:t>strategy</w:t>
      </w:r>
      <w:r w:rsidR="00AD5FD1" w:rsidRPr="00AD5FD1">
        <w:rPr>
          <w:rFonts w:ascii="Arial" w:hAnsi="Arial" w:cs="Arial"/>
          <w:sz w:val="20"/>
        </w:rPr>
        <w:t>.</w:t>
      </w:r>
      <w:r w:rsidR="00EC1F31">
        <w:rPr>
          <w:rFonts w:ascii="Arial" w:hAnsi="Arial" w:cs="Arial"/>
          <w:sz w:val="20"/>
        </w:rPr>
        <w:t xml:space="preserve"> </w:t>
      </w:r>
      <w:r w:rsidR="00AD5FD1" w:rsidRPr="00AD5FD1">
        <w:rPr>
          <w:rFonts w:ascii="Arial" w:hAnsi="Arial" w:cs="Arial"/>
          <w:sz w:val="20"/>
        </w:rPr>
        <w:t>The antibacterial target may be specific or nonspecific which are mention</w:t>
      </w:r>
      <w:r w:rsidR="00D904BE">
        <w:rPr>
          <w:rFonts w:ascii="Arial" w:hAnsi="Arial" w:cs="Arial"/>
          <w:sz w:val="20"/>
        </w:rPr>
        <w:t>ed</w:t>
      </w:r>
      <w:r w:rsidR="00AD5FD1" w:rsidRPr="00AD5FD1">
        <w:rPr>
          <w:rFonts w:ascii="Arial" w:hAnsi="Arial" w:cs="Arial"/>
          <w:sz w:val="20"/>
        </w:rPr>
        <w:t xml:space="preserve"> in this review report. This study paved </w:t>
      </w:r>
      <w:r w:rsidR="00D904BE">
        <w:rPr>
          <w:rFonts w:ascii="Arial" w:hAnsi="Arial" w:cs="Arial"/>
          <w:sz w:val="20"/>
        </w:rPr>
        <w:t xml:space="preserve">a </w:t>
      </w:r>
      <w:r w:rsidR="00AD5FD1" w:rsidRPr="00AD5FD1">
        <w:rPr>
          <w:rFonts w:ascii="Arial" w:hAnsi="Arial" w:cs="Arial"/>
          <w:sz w:val="20"/>
        </w:rPr>
        <w:t xml:space="preserve">way for </w:t>
      </w:r>
      <w:r w:rsidR="00D904BE">
        <w:rPr>
          <w:rFonts w:ascii="Arial" w:hAnsi="Arial" w:cs="Arial"/>
          <w:sz w:val="20"/>
        </w:rPr>
        <w:t>e</w:t>
      </w:r>
      <w:r w:rsidR="00AD5FD1" w:rsidRPr="00AD5FD1">
        <w:rPr>
          <w:rFonts w:ascii="Arial" w:hAnsi="Arial" w:cs="Arial"/>
          <w:sz w:val="20"/>
        </w:rPr>
        <w:t xml:space="preserve">ssential oil research in solving the problem </w:t>
      </w:r>
      <w:r w:rsidR="000A4649" w:rsidRPr="00AD5FD1">
        <w:rPr>
          <w:rFonts w:ascii="Arial" w:hAnsi="Arial" w:cs="Arial"/>
          <w:sz w:val="20"/>
        </w:rPr>
        <w:t>arise</w:t>
      </w:r>
      <w:r w:rsidR="00AD5FD1" w:rsidRPr="00AD5FD1">
        <w:rPr>
          <w:rFonts w:ascii="Arial" w:hAnsi="Arial" w:cs="Arial"/>
          <w:sz w:val="20"/>
        </w:rPr>
        <w:t xml:space="preserve"> due to PAS cells in clinical scenario.</w:t>
      </w:r>
    </w:p>
    <w:p w14:paraId="02BD5BEB" w14:textId="77777777" w:rsidR="009243CC" w:rsidRPr="00AD5FD1" w:rsidRDefault="009243CC" w:rsidP="0003385C">
      <w:pPr>
        <w:jc w:val="both"/>
        <w:rPr>
          <w:rFonts w:ascii="Arial" w:hAnsi="Arial" w:cs="Arial"/>
          <w:b/>
          <w:bCs/>
          <w:szCs w:val="22"/>
        </w:rPr>
      </w:pPr>
    </w:p>
    <w:p w14:paraId="6E49E13B" w14:textId="77777777" w:rsidR="009243CC" w:rsidRPr="00AD5FD1" w:rsidRDefault="009243CC" w:rsidP="0003385C">
      <w:pPr>
        <w:jc w:val="both"/>
        <w:rPr>
          <w:rFonts w:ascii="Arial" w:hAnsi="Arial" w:cs="Arial"/>
          <w:b/>
          <w:bCs/>
          <w:szCs w:val="22"/>
        </w:rPr>
      </w:pPr>
    </w:p>
    <w:p w14:paraId="30037B12" w14:textId="7DB7053A" w:rsidR="009243CC" w:rsidRDefault="00AD5FD1" w:rsidP="0003385C">
      <w:pPr>
        <w:jc w:val="both"/>
        <w:rPr>
          <w:rFonts w:ascii="Arial" w:hAnsi="Arial" w:cs="Arial"/>
          <w:b/>
          <w:bCs/>
          <w:sz w:val="20"/>
        </w:rPr>
      </w:pPr>
      <w:r w:rsidRPr="00384352">
        <w:rPr>
          <w:rFonts w:ascii="Arial" w:hAnsi="Arial" w:cs="Arial"/>
          <w:b/>
          <w:bCs/>
          <w:sz w:val="20"/>
        </w:rPr>
        <w:t>Keywords- Post antibiotic survivors, antibiotic, plant derived essential oil</w:t>
      </w:r>
      <w:r w:rsidR="00D904BE">
        <w:rPr>
          <w:rFonts w:ascii="Arial" w:hAnsi="Arial" w:cs="Arial"/>
          <w:b/>
          <w:bCs/>
          <w:sz w:val="20"/>
        </w:rPr>
        <w:t>, targets</w:t>
      </w:r>
    </w:p>
    <w:p w14:paraId="40497A5C" w14:textId="77777777" w:rsidR="006C4836" w:rsidRDefault="006C4836" w:rsidP="0003385C">
      <w:pPr>
        <w:jc w:val="both"/>
        <w:rPr>
          <w:rFonts w:ascii="Arial" w:hAnsi="Arial" w:cs="Arial"/>
          <w:b/>
          <w:bCs/>
          <w:sz w:val="20"/>
        </w:rPr>
      </w:pPr>
    </w:p>
    <w:p w14:paraId="2488563B" w14:textId="2F966688" w:rsidR="006C4836" w:rsidRPr="00384352" w:rsidRDefault="006C4836" w:rsidP="0003385C">
      <w:pPr>
        <w:jc w:val="both"/>
        <w:rPr>
          <w:rFonts w:ascii="Arial" w:hAnsi="Arial" w:cs="Arial"/>
          <w:b/>
          <w:bCs/>
          <w:sz w:val="20"/>
        </w:rPr>
      </w:pPr>
      <w:r>
        <w:rPr>
          <w:rFonts w:ascii="Arial" w:hAnsi="Arial" w:cs="Arial"/>
          <w:b/>
          <w:bCs/>
          <w:sz w:val="20"/>
        </w:rPr>
        <w:t>Introduction</w:t>
      </w:r>
    </w:p>
    <w:p w14:paraId="4883E4DE" w14:textId="195F3E30" w:rsidR="009243CC" w:rsidRPr="00910FD0" w:rsidRDefault="00910FD0" w:rsidP="0003385C">
      <w:pPr>
        <w:jc w:val="both"/>
        <w:rPr>
          <w:rFonts w:ascii="Arial" w:hAnsi="Arial" w:cs="Arial"/>
          <w:bCs/>
          <w:szCs w:val="22"/>
        </w:rPr>
      </w:pPr>
      <w:r w:rsidRPr="00910FD0">
        <w:rPr>
          <w:rFonts w:ascii="Arial" w:hAnsi="Arial" w:cs="Arial"/>
          <w:bCs/>
          <w:szCs w:val="22"/>
        </w:rPr>
        <w:t>In the current era of widespread antimicrobial resistance, the utilization of essential oils (EOs) derived from plants has emerged as a promising alternative in combating pathogens that have developed resistance to antibiotics.</w:t>
      </w:r>
      <w:r>
        <w:rPr>
          <w:rFonts w:ascii="Arial" w:hAnsi="Arial" w:cs="Arial"/>
          <w:bCs/>
          <w:szCs w:val="22"/>
        </w:rPr>
        <w:t xml:space="preserve"> Essential oils</w:t>
      </w:r>
      <w:r w:rsidRPr="00910FD0">
        <w:rPr>
          <w:rFonts w:ascii="Arial" w:hAnsi="Arial" w:cs="Arial"/>
          <w:bCs/>
          <w:szCs w:val="22"/>
        </w:rPr>
        <w:t xml:space="preserve"> are effective in treating infections and offer protection with a low risk of promoting resistance, making them a promising solution to antibiotic resistance due to their ability to target and neutralize airborne bacteria and viruses</w:t>
      </w:r>
      <w:r>
        <w:rPr>
          <w:rFonts w:ascii="Arial" w:hAnsi="Arial" w:cs="Arial"/>
          <w:bCs/>
          <w:szCs w:val="22"/>
        </w:rPr>
        <w:t>.</w:t>
      </w:r>
      <w:r w:rsidRPr="00910FD0">
        <w:t xml:space="preserve"> </w:t>
      </w:r>
      <w:r w:rsidRPr="00910FD0">
        <w:rPr>
          <w:rFonts w:ascii="Arial" w:hAnsi="Arial" w:cs="Arial"/>
          <w:bCs/>
          <w:szCs w:val="22"/>
        </w:rPr>
        <w:t>The use of coatings based on Eos</w:t>
      </w:r>
      <w:r>
        <w:rPr>
          <w:rFonts w:ascii="Arial" w:hAnsi="Arial" w:cs="Arial"/>
          <w:bCs/>
          <w:szCs w:val="22"/>
        </w:rPr>
        <w:t xml:space="preserve"> </w:t>
      </w:r>
      <w:r w:rsidRPr="00910FD0">
        <w:rPr>
          <w:rFonts w:ascii="Arial" w:hAnsi="Arial" w:cs="Arial"/>
          <w:bCs/>
          <w:szCs w:val="22"/>
        </w:rPr>
        <w:t>presents a promising approach to combating antibiotic resistance, a critical issue as a post-antibiotic era is approaching where even minor infections could become lethal. Thus, a comprehensive review of the use of EO-based coatings is justified to explore their dual role in enhancing the effects on both antibiotic-resistant and non-resistant bacteria and to identify factors that could optimize their antimicrobial activity</w:t>
      </w:r>
      <w:r>
        <w:rPr>
          <w:rFonts w:ascii="Arial" w:hAnsi="Arial" w:cs="Arial"/>
          <w:bCs/>
          <w:szCs w:val="22"/>
        </w:rPr>
        <w:t xml:space="preserve"> (</w:t>
      </w:r>
      <w:proofErr w:type="spellStart"/>
      <w:r w:rsidRPr="00910FD0">
        <w:rPr>
          <w:rFonts w:ascii="Arial" w:hAnsi="Arial" w:cs="Arial"/>
          <w:bCs/>
          <w:szCs w:val="22"/>
        </w:rPr>
        <w:t>Visan</w:t>
      </w:r>
      <w:proofErr w:type="spellEnd"/>
      <w:r>
        <w:rPr>
          <w:rFonts w:ascii="Arial" w:hAnsi="Arial" w:cs="Arial"/>
          <w:bCs/>
          <w:szCs w:val="22"/>
        </w:rPr>
        <w:t xml:space="preserve"> </w:t>
      </w:r>
      <w:r w:rsidRPr="00910FD0">
        <w:rPr>
          <w:rFonts w:ascii="Arial" w:hAnsi="Arial" w:cs="Arial"/>
          <w:bCs/>
          <w:szCs w:val="22"/>
        </w:rPr>
        <w:t xml:space="preserve">&amp; </w:t>
      </w:r>
      <w:proofErr w:type="spellStart"/>
      <w:r w:rsidRPr="00910FD0">
        <w:rPr>
          <w:rFonts w:ascii="Arial" w:hAnsi="Arial" w:cs="Arial"/>
          <w:bCs/>
          <w:szCs w:val="22"/>
        </w:rPr>
        <w:t>Negut</w:t>
      </w:r>
      <w:proofErr w:type="spellEnd"/>
      <w:r>
        <w:rPr>
          <w:rFonts w:ascii="Arial" w:hAnsi="Arial" w:cs="Arial"/>
          <w:bCs/>
          <w:szCs w:val="22"/>
        </w:rPr>
        <w:t>, 2024)</w:t>
      </w:r>
      <w:r w:rsidRPr="00910FD0">
        <w:rPr>
          <w:rFonts w:ascii="Arial" w:hAnsi="Arial" w:cs="Arial"/>
          <w:bCs/>
          <w:szCs w:val="22"/>
        </w:rPr>
        <w:t>.</w:t>
      </w:r>
    </w:p>
    <w:p w14:paraId="3D0E6467" w14:textId="77777777" w:rsidR="009243CC" w:rsidRPr="00AD5FD1" w:rsidRDefault="009243CC" w:rsidP="0003385C">
      <w:pPr>
        <w:jc w:val="both"/>
        <w:rPr>
          <w:rFonts w:ascii="Arial" w:hAnsi="Arial" w:cs="Arial"/>
          <w:b/>
          <w:bCs/>
          <w:szCs w:val="22"/>
        </w:rPr>
      </w:pPr>
    </w:p>
    <w:p w14:paraId="53A15B28" w14:textId="77777777" w:rsidR="009243CC" w:rsidRPr="00AD5FD1" w:rsidRDefault="009243CC" w:rsidP="0003385C">
      <w:pPr>
        <w:jc w:val="both"/>
        <w:rPr>
          <w:rFonts w:ascii="Arial" w:hAnsi="Arial" w:cs="Arial"/>
          <w:b/>
          <w:bCs/>
          <w:szCs w:val="22"/>
        </w:rPr>
      </w:pPr>
    </w:p>
    <w:p w14:paraId="6C67333B" w14:textId="77777777" w:rsidR="009243CC" w:rsidRPr="00AD5FD1" w:rsidRDefault="009243CC" w:rsidP="0003385C">
      <w:pPr>
        <w:jc w:val="both"/>
        <w:rPr>
          <w:rFonts w:ascii="Arial" w:hAnsi="Arial" w:cs="Arial"/>
          <w:b/>
          <w:bCs/>
          <w:szCs w:val="22"/>
        </w:rPr>
      </w:pPr>
    </w:p>
    <w:p w14:paraId="0AF161DD" w14:textId="77777777" w:rsidR="009243CC" w:rsidRPr="00AD5FD1" w:rsidRDefault="009243CC" w:rsidP="0003385C">
      <w:pPr>
        <w:jc w:val="both"/>
        <w:rPr>
          <w:rFonts w:ascii="Arial" w:hAnsi="Arial" w:cs="Arial"/>
          <w:b/>
          <w:bCs/>
          <w:szCs w:val="22"/>
        </w:rPr>
      </w:pPr>
    </w:p>
    <w:p w14:paraId="709E5B8A" w14:textId="77777777" w:rsidR="009243CC" w:rsidRPr="00AD5FD1" w:rsidRDefault="009243CC" w:rsidP="0003385C">
      <w:pPr>
        <w:jc w:val="both"/>
        <w:rPr>
          <w:rFonts w:ascii="Arial" w:hAnsi="Arial" w:cs="Arial"/>
          <w:b/>
          <w:bCs/>
          <w:szCs w:val="22"/>
        </w:rPr>
      </w:pPr>
    </w:p>
    <w:p w14:paraId="2D756308" w14:textId="77777777" w:rsidR="009243CC" w:rsidRPr="00AD5FD1" w:rsidRDefault="009243CC" w:rsidP="0003385C">
      <w:pPr>
        <w:jc w:val="both"/>
        <w:rPr>
          <w:rFonts w:ascii="Arial" w:hAnsi="Arial" w:cs="Arial"/>
          <w:b/>
          <w:bCs/>
          <w:szCs w:val="22"/>
        </w:rPr>
      </w:pPr>
    </w:p>
    <w:p w14:paraId="3C423416" w14:textId="77777777" w:rsidR="009243CC" w:rsidRPr="00AD5FD1" w:rsidRDefault="009243CC" w:rsidP="0003385C">
      <w:pPr>
        <w:jc w:val="both"/>
        <w:rPr>
          <w:rFonts w:ascii="Arial" w:hAnsi="Arial" w:cs="Arial"/>
          <w:b/>
          <w:bCs/>
          <w:szCs w:val="22"/>
        </w:rPr>
      </w:pPr>
    </w:p>
    <w:p w14:paraId="314648BA" w14:textId="77777777" w:rsidR="009243CC" w:rsidRPr="00AD5FD1" w:rsidRDefault="009243CC" w:rsidP="0003385C">
      <w:pPr>
        <w:jc w:val="both"/>
        <w:rPr>
          <w:rFonts w:ascii="Arial" w:hAnsi="Arial" w:cs="Arial"/>
          <w:b/>
          <w:bCs/>
          <w:szCs w:val="22"/>
        </w:rPr>
      </w:pPr>
    </w:p>
    <w:p w14:paraId="45FE4223" w14:textId="77777777" w:rsidR="009243CC" w:rsidRPr="00AD5FD1" w:rsidRDefault="009243CC" w:rsidP="0003385C">
      <w:pPr>
        <w:jc w:val="both"/>
        <w:rPr>
          <w:rFonts w:ascii="Arial" w:hAnsi="Arial" w:cs="Arial"/>
          <w:b/>
          <w:bCs/>
          <w:szCs w:val="22"/>
        </w:rPr>
      </w:pPr>
    </w:p>
    <w:p w14:paraId="34224C21" w14:textId="5493CDF4" w:rsidR="0003385C" w:rsidRPr="00AD5FD1" w:rsidRDefault="00AD5FD1" w:rsidP="0003385C">
      <w:pPr>
        <w:jc w:val="both"/>
        <w:rPr>
          <w:rFonts w:ascii="Arial" w:hAnsi="Arial" w:cs="Arial"/>
          <w:b/>
          <w:bCs/>
          <w:szCs w:val="22"/>
        </w:rPr>
      </w:pPr>
      <w:r w:rsidRPr="00AD5FD1">
        <w:rPr>
          <w:rFonts w:ascii="Arial" w:hAnsi="Arial" w:cs="Arial"/>
          <w:b/>
          <w:bCs/>
          <w:szCs w:val="22"/>
        </w:rPr>
        <w:t>1.POST ANTIBIOTIC SURVIVORS</w:t>
      </w:r>
    </w:p>
    <w:p w14:paraId="22CF5E77" w14:textId="0B362905" w:rsidR="0003385C" w:rsidRPr="00AD5FD1" w:rsidRDefault="0003385C" w:rsidP="00AD5FD1">
      <w:pPr>
        <w:spacing w:line="240" w:lineRule="auto"/>
        <w:jc w:val="both"/>
        <w:rPr>
          <w:rFonts w:ascii="Arial" w:hAnsi="Arial" w:cs="Arial"/>
          <w:sz w:val="20"/>
        </w:rPr>
      </w:pPr>
      <w:r w:rsidRPr="00AD5FD1">
        <w:rPr>
          <w:rFonts w:ascii="Arial" w:hAnsi="Arial" w:cs="Arial"/>
          <w:sz w:val="20"/>
        </w:rPr>
        <w:t>The Post antibiotic survivor</w:t>
      </w:r>
      <w:r w:rsidRPr="00AD5FD1">
        <w:rPr>
          <w:rFonts w:ascii="Arial" w:hAnsi="Arial" w:cs="Arial"/>
          <w:b/>
          <w:bCs/>
          <w:sz w:val="20"/>
        </w:rPr>
        <w:t xml:space="preserve"> (</w:t>
      </w:r>
      <w:r w:rsidRPr="00AD5FD1">
        <w:rPr>
          <w:rFonts w:ascii="Arial" w:hAnsi="Arial" w:cs="Arial"/>
          <w:sz w:val="20"/>
        </w:rPr>
        <w:t xml:space="preserve">PAS) cells are sub cluster of </w:t>
      </w:r>
      <w:proofErr w:type="gramStart"/>
      <w:r w:rsidRPr="00AD5FD1">
        <w:rPr>
          <w:rFonts w:ascii="Arial" w:hAnsi="Arial" w:cs="Arial"/>
          <w:sz w:val="20"/>
        </w:rPr>
        <w:t>drug</w:t>
      </w:r>
      <w:proofErr w:type="gramEnd"/>
      <w:r w:rsidR="00F5262F" w:rsidRPr="00AD5FD1">
        <w:rPr>
          <w:rFonts w:ascii="Arial" w:hAnsi="Arial" w:cs="Arial"/>
          <w:sz w:val="20"/>
        </w:rPr>
        <w:t>-</w:t>
      </w:r>
      <w:r w:rsidRPr="00AD5FD1">
        <w:rPr>
          <w:rFonts w:ascii="Arial" w:hAnsi="Arial" w:cs="Arial"/>
          <w:sz w:val="20"/>
        </w:rPr>
        <w:t xml:space="preserve"> resistant bacteria present in chronic infection. As the name indicate</w:t>
      </w:r>
      <w:r w:rsidR="00F5262F" w:rsidRPr="00AD5FD1">
        <w:rPr>
          <w:rFonts w:ascii="Arial" w:hAnsi="Arial" w:cs="Arial"/>
          <w:sz w:val="20"/>
        </w:rPr>
        <w:t>s</w:t>
      </w:r>
      <w:r w:rsidRPr="00AD5FD1">
        <w:rPr>
          <w:rFonts w:ascii="Arial" w:hAnsi="Arial" w:cs="Arial"/>
          <w:sz w:val="20"/>
        </w:rPr>
        <w:t xml:space="preserve"> these cluster of bacteria are very difficult to define in </w:t>
      </w:r>
      <w:r w:rsidR="00F5262F" w:rsidRPr="00AD5FD1">
        <w:rPr>
          <w:rFonts w:ascii="Arial" w:hAnsi="Arial" w:cs="Arial"/>
          <w:sz w:val="20"/>
        </w:rPr>
        <w:t xml:space="preserve">a </w:t>
      </w:r>
      <w:r w:rsidRPr="00AD5FD1">
        <w:rPr>
          <w:rFonts w:ascii="Arial" w:hAnsi="Arial" w:cs="Arial"/>
          <w:sz w:val="20"/>
        </w:rPr>
        <w:t>contest to their morphology as well as functionality. The bacteria by availing genome plasticity mechanism diffuse its entity in various form to evade the antibiotic action. For this purpose</w:t>
      </w:r>
      <w:r w:rsidR="00F5262F" w:rsidRPr="00AD5FD1">
        <w:rPr>
          <w:rFonts w:ascii="Arial" w:hAnsi="Arial" w:cs="Arial"/>
          <w:sz w:val="20"/>
        </w:rPr>
        <w:t>,</w:t>
      </w:r>
      <w:r w:rsidRPr="00AD5FD1">
        <w:rPr>
          <w:rFonts w:ascii="Arial" w:hAnsi="Arial" w:cs="Arial"/>
          <w:sz w:val="20"/>
        </w:rPr>
        <w:t xml:space="preserve"> the PAS are generated, which are otherwise known as persister. Authors also define them as drug tolerance (</w:t>
      </w:r>
      <w:proofErr w:type="spellStart"/>
      <w:r w:rsidRPr="00AD5FD1">
        <w:rPr>
          <w:rFonts w:ascii="Arial" w:hAnsi="Arial" w:cs="Arial"/>
          <w:sz w:val="20"/>
        </w:rPr>
        <w:fldChar w:fldCharType="begin"/>
      </w:r>
      <w:r w:rsidRPr="00AD5FD1">
        <w:rPr>
          <w:rFonts w:ascii="Arial" w:hAnsi="Arial" w:cs="Arial"/>
          <w:sz w:val="20"/>
        </w:rPr>
        <w:instrText xml:space="preserve"> HYPERLINK "https://www.frontiersin.org/articles/10.3389/fmicb.2020.01924/full" \l "ref35" </w:instrText>
      </w:r>
      <w:r w:rsidRPr="00AD5FD1">
        <w:rPr>
          <w:rFonts w:ascii="Arial" w:hAnsi="Arial" w:cs="Arial"/>
          <w:sz w:val="20"/>
        </w:rPr>
        <w:fldChar w:fldCharType="separate"/>
      </w:r>
      <w:r w:rsidRPr="00AD5FD1">
        <w:rPr>
          <w:rFonts w:ascii="Arial" w:hAnsi="Arial" w:cs="Arial"/>
          <w:sz w:val="20"/>
          <w:shd w:val="clear" w:color="auto" w:fill="FFFFFF"/>
        </w:rPr>
        <w:t>Kussell</w:t>
      </w:r>
      <w:proofErr w:type="spellEnd"/>
      <w:r w:rsidRPr="00AD5FD1">
        <w:rPr>
          <w:rFonts w:ascii="Arial" w:hAnsi="Arial" w:cs="Arial"/>
          <w:sz w:val="20"/>
          <w:shd w:val="clear" w:color="auto" w:fill="FFFFFF"/>
        </w:rPr>
        <w:t xml:space="preserve"> et al. 2005</w:t>
      </w:r>
      <w:r w:rsidRPr="00AD5FD1">
        <w:rPr>
          <w:rFonts w:ascii="Arial" w:hAnsi="Arial" w:cs="Arial"/>
          <w:sz w:val="20"/>
          <w:shd w:val="clear" w:color="auto" w:fill="FFFFFF"/>
        </w:rPr>
        <w:fldChar w:fldCharType="end"/>
      </w:r>
      <w:r w:rsidRPr="00AD5FD1">
        <w:rPr>
          <w:rFonts w:ascii="Arial" w:hAnsi="Arial" w:cs="Arial"/>
          <w:sz w:val="20"/>
        </w:rPr>
        <w:t>). They behave indifferent</w:t>
      </w:r>
      <w:r w:rsidR="00834E9B" w:rsidRPr="00AD5FD1">
        <w:rPr>
          <w:rFonts w:ascii="Arial" w:hAnsi="Arial" w:cs="Arial"/>
          <w:sz w:val="20"/>
        </w:rPr>
        <w:t>ly</w:t>
      </w:r>
      <w:r w:rsidRPr="00AD5FD1">
        <w:rPr>
          <w:rFonts w:ascii="Arial" w:hAnsi="Arial" w:cs="Arial"/>
          <w:sz w:val="20"/>
        </w:rPr>
        <w:t xml:space="preserve"> towards the antibiotic molecular mechanistic interaction. They are neither resistant nor sensitive to antibiotic molecules. Therefore</w:t>
      </w:r>
      <w:r w:rsidR="00F5262F" w:rsidRPr="00AD5FD1">
        <w:rPr>
          <w:rFonts w:ascii="Arial" w:hAnsi="Arial" w:cs="Arial"/>
          <w:sz w:val="20"/>
        </w:rPr>
        <w:t>,</w:t>
      </w:r>
      <w:r w:rsidRPr="00AD5FD1">
        <w:rPr>
          <w:rFonts w:ascii="Arial" w:hAnsi="Arial" w:cs="Arial"/>
          <w:sz w:val="20"/>
        </w:rPr>
        <w:t xml:space="preserve"> it is tricky to handle the PAS in clinical scenario</w:t>
      </w:r>
      <w:r w:rsidR="00834E9B" w:rsidRPr="00AD5FD1">
        <w:rPr>
          <w:rFonts w:ascii="Arial" w:hAnsi="Arial" w:cs="Arial"/>
          <w:sz w:val="20"/>
        </w:rPr>
        <w:t>s</w:t>
      </w:r>
      <w:r w:rsidRPr="00AD5FD1">
        <w:rPr>
          <w:rFonts w:ascii="Arial" w:hAnsi="Arial" w:cs="Arial"/>
          <w:sz w:val="20"/>
        </w:rPr>
        <w:t>. This is further to mention that the PAS ha</w:t>
      </w:r>
      <w:r w:rsidR="00834E9B" w:rsidRPr="00AD5FD1">
        <w:rPr>
          <w:rFonts w:ascii="Arial" w:hAnsi="Arial" w:cs="Arial"/>
          <w:sz w:val="20"/>
        </w:rPr>
        <w:t>d a</w:t>
      </w:r>
      <w:r w:rsidRPr="00AD5FD1">
        <w:rPr>
          <w:rFonts w:ascii="Arial" w:hAnsi="Arial" w:cs="Arial"/>
          <w:sz w:val="20"/>
        </w:rPr>
        <w:t xml:space="preserve"> multitude of strategies (a) remain as </w:t>
      </w:r>
      <w:proofErr w:type="spellStart"/>
      <w:r w:rsidRPr="00AD5FD1">
        <w:rPr>
          <w:rFonts w:ascii="Arial" w:hAnsi="Arial" w:cs="Arial"/>
          <w:sz w:val="20"/>
        </w:rPr>
        <w:t>persisters</w:t>
      </w:r>
      <w:proofErr w:type="spellEnd"/>
      <w:r w:rsidRPr="00AD5FD1">
        <w:rPr>
          <w:rFonts w:ascii="Arial" w:hAnsi="Arial" w:cs="Arial"/>
          <w:sz w:val="20"/>
        </w:rPr>
        <w:t xml:space="preserve">, (b) lost their viability, (c) may regain as normal cell and these strategies are mostly related </w:t>
      </w:r>
      <w:r w:rsidR="00834E9B" w:rsidRPr="00AD5FD1">
        <w:rPr>
          <w:rFonts w:ascii="Arial" w:hAnsi="Arial" w:cs="Arial"/>
          <w:sz w:val="20"/>
        </w:rPr>
        <w:t xml:space="preserve">to </w:t>
      </w:r>
      <w:r w:rsidRPr="00AD5FD1">
        <w:rPr>
          <w:rFonts w:ascii="Arial" w:hAnsi="Arial" w:cs="Arial"/>
          <w:sz w:val="20"/>
        </w:rPr>
        <w:t xml:space="preserve">antibiotic present </w:t>
      </w:r>
      <w:r w:rsidRPr="00AD5FD1">
        <w:rPr>
          <w:rFonts w:ascii="Arial" w:hAnsi="Arial" w:cs="Arial"/>
          <w:i/>
          <w:sz w:val="20"/>
        </w:rPr>
        <w:t>in situ</w:t>
      </w:r>
      <w:r w:rsidRPr="00AD5FD1">
        <w:rPr>
          <w:rFonts w:ascii="Arial" w:hAnsi="Arial" w:cs="Arial"/>
          <w:sz w:val="20"/>
        </w:rPr>
        <w:t>. The PAS cells may allow antibiotic molecules to enter inside its cell. However, there w</w:t>
      </w:r>
      <w:r w:rsidR="00834E9B" w:rsidRPr="00AD5FD1">
        <w:rPr>
          <w:rFonts w:ascii="Arial" w:hAnsi="Arial" w:cs="Arial"/>
          <w:sz w:val="20"/>
        </w:rPr>
        <w:t>ere</w:t>
      </w:r>
      <w:r w:rsidRPr="00AD5FD1">
        <w:rPr>
          <w:rFonts w:ascii="Arial" w:hAnsi="Arial" w:cs="Arial"/>
          <w:sz w:val="20"/>
        </w:rPr>
        <w:t xml:space="preserve"> no killing effects by the antibiotics (</w:t>
      </w:r>
      <w:r w:rsidRPr="00AD5FD1">
        <w:rPr>
          <w:rFonts w:ascii="Arial" w:hAnsi="Arial" w:cs="Arial"/>
          <w:iCs/>
          <w:sz w:val="20"/>
        </w:rPr>
        <w:t>Keren</w:t>
      </w:r>
      <w:r w:rsidR="008B02B8" w:rsidRPr="00AD5FD1">
        <w:rPr>
          <w:rFonts w:ascii="Arial" w:hAnsi="Arial" w:cs="Arial"/>
          <w:iCs/>
          <w:sz w:val="20"/>
        </w:rPr>
        <w:t xml:space="preserve"> </w:t>
      </w:r>
      <w:r w:rsidRPr="00AD5FD1">
        <w:rPr>
          <w:rFonts w:ascii="Arial" w:hAnsi="Arial" w:cs="Arial"/>
          <w:iCs/>
          <w:sz w:val="20"/>
          <w:lang w:bidi="or-IN"/>
        </w:rPr>
        <w:t>et al. 2003</w:t>
      </w:r>
      <w:r w:rsidRPr="00AD5FD1">
        <w:rPr>
          <w:rFonts w:ascii="Arial" w:hAnsi="Arial" w:cs="Arial"/>
          <w:sz w:val="20"/>
          <w:shd w:val="clear" w:color="auto" w:fill="FFFFFF"/>
        </w:rPr>
        <w:t xml:space="preserve">). </w:t>
      </w:r>
      <w:r w:rsidR="00834E9B" w:rsidRPr="00AD5FD1">
        <w:rPr>
          <w:rFonts w:ascii="Arial" w:hAnsi="Arial" w:cs="Arial"/>
          <w:sz w:val="20"/>
        </w:rPr>
        <w:t>T</w:t>
      </w:r>
      <w:r w:rsidRPr="00AD5FD1">
        <w:rPr>
          <w:rFonts w:ascii="Arial" w:hAnsi="Arial" w:cs="Arial"/>
          <w:sz w:val="20"/>
        </w:rPr>
        <w:t xml:space="preserve">his leads </w:t>
      </w:r>
      <w:r w:rsidR="00834E9B" w:rsidRPr="00AD5FD1">
        <w:rPr>
          <w:rFonts w:ascii="Arial" w:hAnsi="Arial" w:cs="Arial"/>
          <w:sz w:val="20"/>
        </w:rPr>
        <w:t xml:space="preserve">to </w:t>
      </w:r>
      <w:r w:rsidRPr="00AD5FD1">
        <w:rPr>
          <w:rFonts w:ascii="Arial" w:hAnsi="Arial" w:cs="Arial"/>
          <w:sz w:val="20"/>
        </w:rPr>
        <w:t xml:space="preserve">the prolongation of infection </w:t>
      </w:r>
      <w:r w:rsidRPr="00AD5FD1">
        <w:rPr>
          <w:rFonts w:ascii="Arial" w:hAnsi="Arial" w:cs="Arial"/>
          <w:sz w:val="20"/>
          <w:shd w:val="clear" w:color="auto" w:fill="FFFFFF"/>
        </w:rPr>
        <w:t>(</w:t>
      </w:r>
      <w:hyperlink r:id="rId7" w:anchor="ref48" w:history="1">
        <w:r w:rsidRPr="00AD5FD1">
          <w:rPr>
            <w:rFonts w:ascii="Arial" w:hAnsi="Arial" w:cs="Arial"/>
            <w:sz w:val="20"/>
            <w:shd w:val="clear" w:color="auto" w:fill="FFFFFF"/>
          </w:rPr>
          <w:t>Meylan et al. 2018</w:t>
        </w:r>
      </w:hyperlink>
      <w:r w:rsidRPr="00AD5FD1">
        <w:rPr>
          <w:rFonts w:ascii="Arial" w:hAnsi="Arial" w:cs="Arial"/>
          <w:sz w:val="20"/>
          <w:shd w:val="clear" w:color="auto" w:fill="FFFFFF"/>
        </w:rPr>
        <w:t>). </w:t>
      </w:r>
      <w:r w:rsidRPr="00AD5FD1">
        <w:rPr>
          <w:rFonts w:ascii="Arial" w:hAnsi="Arial" w:cs="Arial"/>
          <w:sz w:val="20"/>
        </w:rPr>
        <w:t xml:space="preserve">The PAS cell arises due to </w:t>
      </w:r>
      <w:r w:rsidR="00834E9B" w:rsidRPr="00AD5FD1">
        <w:rPr>
          <w:rFonts w:ascii="Arial" w:hAnsi="Arial" w:cs="Arial"/>
          <w:sz w:val="20"/>
        </w:rPr>
        <w:t xml:space="preserve">the </w:t>
      </w:r>
      <w:r w:rsidRPr="00AD5FD1">
        <w:rPr>
          <w:rFonts w:ascii="Arial" w:hAnsi="Arial" w:cs="Arial"/>
          <w:sz w:val="20"/>
        </w:rPr>
        <w:t xml:space="preserve">unset of a dormant state, otherwise known as </w:t>
      </w:r>
      <w:r w:rsidR="00834E9B" w:rsidRPr="00AD5FD1">
        <w:rPr>
          <w:rFonts w:ascii="Arial" w:hAnsi="Arial" w:cs="Arial"/>
          <w:sz w:val="20"/>
        </w:rPr>
        <w:t xml:space="preserve">a </w:t>
      </w:r>
      <w:r w:rsidRPr="00AD5FD1">
        <w:rPr>
          <w:rFonts w:ascii="Arial" w:hAnsi="Arial" w:cs="Arial"/>
          <w:sz w:val="20"/>
        </w:rPr>
        <w:t xml:space="preserve">metastatic state. The Metabolic activities </w:t>
      </w:r>
      <w:r w:rsidR="00834E9B" w:rsidRPr="00AD5FD1">
        <w:rPr>
          <w:rFonts w:ascii="Arial" w:hAnsi="Arial" w:cs="Arial"/>
          <w:sz w:val="20"/>
        </w:rPr>
        <w:t>are</w:t>
      </w:r>
      <w:r w:rsidRPr="00AD5FD1">
        <w:rPr>
          <w:rFonts w:ascii="Arial" w:hAnsi="Arial" w:cs="Arial"/>
          <w:sz w:val="20"/>
        </w:rPr>
        <w:t xml:space="preserve"> temporarily stalled but the cells are alive. This is further to note here that the PAS are not the same as the antibiotic-resistant bacteria, because the bacteria </w:t>
      </w:r>
      <w:r w:rsidR="008B02B8" w:rsidRPr="00AD5FD1">
        <w:rPr>
          <w:rFonts w:ascii="Arial" w:hAnsi="Arial" w:cs="Arial"/>
          <w:sz w:val="20"/>
        </w:rPr>
        <w:t xml:space="preserve">are </w:t>
      </w:r>
      <w:r w:rsidRPr="00AD5FD1">
        <w:rPr>
          <w:rFonts w:ascii="Arial" w:hAnsi="Arial" w:cs="Arial"/>
          <w:sz w:val="20"/>
        </w:rPr>
        <w:t>resistant or sensitive is response to the antibiotic, whereas, PAS do not respond antibiotic or are not sensitized by the action of antibiotic</w:t>
      </w:r>
      <w:r w:rsidR="008B02B8" w:rsidRPr="00AD5FD1">
        <w:rPr>
          <w:rFonts w:ascii="Arial" w:hAnsi="Arial" w:cs="Arial"/>
          <w:sz w:val="20"/>
        </w:rPr>
        <w:t>s</w:t>
      </w:r>
      <w:r w:rsidRPr="00AD5FD1">
        <w:rPr>
          <w:rFonts w:ascii="Arial" w:hAnsi="Arial" w:cs="Arial"/>
          <w:sz w:val="20"/>
        </w:rPr>
        <w:t xml:space="preserve"> molecules.</w:t>
      </w:r>
    </w:p>
    <w:p w14:paraId="0867B1DB" w14:textId="7019BC11" w:rsidR="0003385C" w:rsidRPr="00AD5FD1" w:rsidRDefault="0003385C" w:rsidP="00AD5FD1">
      <w:pPr>
        <w:spacing w:line="240" w:lineRule="auto"/>
        <w:jc w:val="both"/>
        <w:rPr>
          <w:rFonts w:ascii="Arial" w:hAnsi="Arial" w:cs="Arial"/>
          <w:sz w:val="20"/>
        </w:rPr>
      </w:pPr>
      <w:r w:rsidRPr="00AD5FD1">
        <w:rPr>
          <w:rFonts w:ascii="Arial" w:hAnsi="Arial" w:cs="Arial"/>
          <w:sz w:val="20"/>
        </w:rPr>
        <w:t xml:space="preserve">The concept of PAS was 1st described by Bigger, (1944) in the cells of </w:t>
      </w:r>
      <w:r w:rsidR="008B02B8" w:rsidRPr="00AD5FD1">
        <w:rPr>
          <w:rFonts w:ascii="Arial" w:hAnsi="Arial" w:cs="Arial"/>
          <w:i/>
          <w:iCs/>
          <w:sz w:val="20"/>
        </w:rPr>
        <w:t>Staphylococcus</w:t>
      </w:r>
      <w:r w:rsidRPr="00AD5FD1">
        <w:rPr>
          <w:rFonts w:ascii="Arial" w:hAnsi="Arial" w:cs="Arial"/>
          <w:i/>
          <w:iCs/>
          <w:sz w:val="20"/>
        </w:rPr>
        <w:t xml:space="preserve"> aureus</w:t>
      </w:r>
      <w:r w:rsidRPr="00AD5FD1">
        <w:rPr>
          <w:rFonts w:ascii="Arial" w:hAnsi="Arial" w:cs="Arial"/>
          <w:sz w:val="20"/>
        </w:rPr>
        <w:t>. The Penicillin administration could not kill one bacterial cell in a million of Staphylococcal cells under test. The surviv</w:t>
      </w:r>
      <w:r w:rsidR="00275956" w:rsidRPr="00AD5FD1">
        <w:rPr>
          <w:rFonts w:ascii="Arial" w:hAnsi="Arial" w:cs="Arial"/>
          <w:sz w:val="20"/>
        </w:rPr>
        <w:t>ing</w:t>
      </w:r>
      <w:r w:rsidRPr="00AD5FD1">
        <w:rPr>
          <w:rFonts w:ascii="Arial" w:hAnsi="Arial" w:cs="Arial"/>
          <w:sz w:val="20"/>
        </w:rPr>
        <w:t xml:space="preserve"> cells were neither resistant nor sensitive. When the cells were sub-cultured, some of the cell</w:t>
      </w:r>
      <w:r w:rsidR="00275956" w:rsidRPr="00AD5FD1">
        <w:rPr>
          <w:rFonts w:ascii="Arial" w:hAnsi="Arial" w:cs="Arial"/>
          <w:sz w:val="20"/>
        </w:rPr>
        <w:t>s</w:t>
      </w:r>
      <w:r w:rsidRPr="00AD5FD1">
        <w:rPr>
          <w:rFonts w:ascii="Arial" w:hAnsi="Arial" w:cs="Arial"/>
          <w:sz w:val="20"/>
        </w:rPr>
        <w:t xml:space="preserve"> didn’t grow while some cell</w:t>
      </w:r>
      <w:r w:rsidR="00275956" w:rsidRPr="00AD5FD1">
        <w:rPr>
          <w:rFonts w:ascii="Arial" w:hAnsi="Arial" w:cs="Arial"/>
          <w:sz w:val="20"/>
        </w:rPr>
        <w:t>s</w:t>
      </w:r>
      <w:r w:rsidRPr="00AD5FD1">
        <w:rPr>
          <w:rFonts w:ascii="Arial" w:hAnsi="Arial" w:cs="Arial"/>
          <w:sz w:val="20"/>
        </w:rPr>
        <w:t xml:space="preserve"> had regrown. Therefore, it was inferred that the regrown cells were alive and started to grow in </w:t>
      </w:r>
      <w:r w:rsidR="00275956" w:rsidRPr="00AD5FD1">
        <w:rPr>
          <w:rFonts w:ascii="Arial" w:hAnsi="Arial" w:cs="Arial"/>
          <w:sz w:val="20"/>
        </w:rPr>
        <w:t xml:space="preserve">the </w:t>
      </w:r>
      <w:r w:rsidRPr="00AD5FD1">
        <w:rPr>
          <w:rFonts w:ascii="Arial" w:hAnsi="Arial" w:cs="Arial"/>
          <w:sz w:val="20"/>
        </w:rPr>
        <w:t>absence of antibiotic</w:t>
      </w:r>
      <w:r w:rsidR="00275956" w:rsidRPr="00AD5FD1">
        <w:rPr>
          <w:rFonts w:ascii="Arial" w:hAnsi="Arial" w:cs="Arial"/>
          <w:sz w:val="20"/>
        </w:rPr>
        <w:t>s</w:t>
      </w:r>
      <w:r w:rsidRPr="00AD5FD1">
        <w:rPr>
          <w:rFonts w:ascii="Arial" w:hAnsi="Arial" w:cs="Arial"/>
          <w:sz w:val="20"/>
        </w:rPr>
        <w:t xml:space="preserve">, which were pretended to be dead. </w:t>
      </w:r>
      <w:r w:rsidRPr="00AD5FD1">
        <w:rPr>
          <w:rFonts w:ascii="Arial" w:hAnsi="Arial" w:cs="Arial"/>
          <w:i/>
          <w:iCs/>
          <w:sz w:val="20"/>
        </w:rPr>
        <w:t xml:space="preserve">Pseudomonas </w:t>
      </w:r>
      <w:r w:rsidR="00275956" w:rsidRPr="00AD5FD1">
        <w:rPr>
          <w:rFonts w:ascii="Arial" w:hAnsi="Arial" w:cs="Arial"/>
          <w:i/>
          <w:iCs/>
          <w:sz w:val="20"/>
        </w:rPr>
        <w:t>aeruginosa</w:t>
      </w:r>
      <w:r w:rsidRPr="00AD5FD1">
        <w:rPr>
          <w:rFonts w:ascii="Arial" w:hAnsi="Arial" w:cs="Arial"/>
          <w:sz w:val="20"/>
        </w:rPr>
        <w:t xml:space="preserve"> was also observed with PAS cells with </w:t>
      </w:r>
      <w:r w:rsidR="00275956" w:rsidRPr="00AD5FD1">
        <w:rPr>
          <w:rFonts w:ascii="Arial" w:hAnsi="Arial" w:cs="Arial"/>
          <w:sz w:val="20"/>
        </w:rPr>
        <w:t xml:space="preserve">the </w:t>
      </w:r>
      <w:r w:rsidRPr="00AD5FD1">
        <w:rPr>
          <w:rFonts w:ascii="Arial" w:hAnsi="Arial" w:cs="Arial"/>
          <w:sz w:val="20"/>
        </w:rPr>
        <w:t xml:space="preserve">administration of Ceftazidime, Gentamicin, and Ciprofloxacin (Patel et al. 2022). Hence, PAS are considered as a substantial resource for consequent drug </w:t>
      </w:r>
      <w:r w:rsidR="00AC7052" w:rsidRPr="00AD5FD1">
        <w:rPr>
          <w:rFonts w:ascii="Arial" w:hAnsi="Arial" w:cs="Arial"/>
          <w:sz w:val="20"/>
        </w:rPr>
        <w:t>resistant</w:t>
      </w:r>
      <w:r w:rsidRPr="00AD5FD1">
        <w:rPr>
          <w:rFonts w:ascii="Arial" w:hAnsi="Arial" w:cs="Arial"/>
          <w:sz w:val="20"/>
        </w:rPr>
        <w:t xml:space="preserve"> in chronic infection (Lee et al. 2019).</w:t>
      </w:r>
    </w:p>
    <w:p w14:paraId="3F12FC17" w14:textId="77777777" w:rsidR="00AD5FD1" w:rsidRDefault="00AD5FD1" w:rsidP="00AD5FD1">
      <w:pPr>
        <w:spacing w:line="360" w:lineRule="auto"/>
        <w:jc w:val="both"/>
        <w:rPr>
          <w:rFonts w:ascii="Arial" w:hAnsi="Arial" w:cs="Arial"/>
          <w:b/>
          <w:bCs/>
          <w:szCs w:val="22"/>
        </w:rPr>
      </w:pPr>
      <w:r w:rsidRPr="00AD5FD1">
        <w:rPr>
          <w:rFonts w:ascii="Arial" w:hAnsi="Arial" w:cs="Arial"/>
          <w:b/>
          <w:bCs/>
          <w:szCs w:val="22"/>
        </w:rPr>
        <w:t xml:space="preserve">2. BIOFILM IS A PLATFORM FOR PAS </w:t>
      </w:r>
    </w:p>
    <w:p w14:paraId="019316A3" w14:textId="1FDEBD5A" w:rsidR="0003385C" w:rsidRDefault="0003385C" w:rsidP="00AD5FD1">
      <w:pPr>
        <w:spacing w:line="240" w:lineRule="auto"/>
        <w:jc w:val="both"/>
        <w:rPr>
          <w:rFonts w:ascii="Arial" w:hAnsi="Arial" w:cs="Arial"/>
          <w:sz w:val="20"/>
        </w:rPr>
      </w:pPr>
      <w:r w:rsidRPr="00AD5FD1">
        <w:rPr>
          <w:rFonts w:ascii="Arial" w:hAnsi="Arial" w:cs="Arial"/>
          <w:sz w:val="20"/>
        </w:rPr>
        <w:t>Biofilm is a universal drug- resistant mechanism convert</w:t>
      </w:r>
      <w:r w:rsidR="00275956" w:rsidRPr="00AD5FD1">
        <w:rPr>
          <w:rFonts w:ascii="Arial" w:hAnsi="Arial" w:cs="Arial"/>
          <w:sz w:val="20"/>
        </w:rPr>
        <w:t>ed</w:t>
      </w:r>
      <w:r w:rsidRPr="00AD5FD1">
        <w:rPr>
          <w:rFonts w:ascii="Arial" w:hAnsi="Arial" w:cs="Arial"/>
          <w:sz w:val="20"/>
        </w:rPr>
        <w:t xml:space="preserve"> by drug </w:t>
      </w:r>
      <w:r w:rsidR="00275956" w:rsidRPr="00AD5FD1">
        <w:rPr>
          <w:rFonts w:ascii="Arial" w:hAnsi="Arial" w:cs="Arial"/>
          <w:sz w:val="20"/>
        </w:rPr>
        <w:t>-</w:t>
      </w:r>
      <w:r w:rsidRPr="00AD5FD1">
        <w:rPr>
          <w:rFonts w:ascii="Arial" w:hAnsi="Arial" w:cs="Arial"/>
          <w:sz w:val="20"/>
        </w:rPr>
        <w:t xml:space="preserve">resistant bacteria. In the event of antibiotic resistance, the biofilm associated genes are expressed may be upstream and or down- stream, specifically in the bacterial genome availing heterogenous molecule like extra cellular DNA (e DNA), extra cellular protein (e protein) or extra cellular lipid (e lipid) and exopolysaccharides.  Bacteria organise a thin film of matrix to cover up entire population. For this purpose, the bacteria may switch on its quorum sensing technology (Mukherjee and Bassler, 2019).  Quorum sensing is a biomass based sensitized tool is operated by both Gram positive as well as Gram negative bacteria. The </w:t>
      </w:r>
      <w:proofErr w:type="spellStart"/>
      <w:r w:rsidRPr="00AD5FD1">
        <w:rPr>
          <w:rFonts w:ascii="Arial" w:hAnsi="Arial" w:cs="Arial"/>
          <w:i/>
          <w:iCs/>
          <w:sz w:val="20"/>
        </w:rPr>
        <w:t>agr</w:t>
      </w:r>
      <w:proofErr w:type="spellEnd"/>
      <w:r w:rsidRPr="00AD5FD1">
        <w:rPr>
          <w:rFonts w:ascii="Arial" w:hAnsi="Arial" w:cs="Arial"/>
          <w:i/>
          <w:iCs/>
          <w:sz w:val="20"/>
        </w:rPr>
        <w:t xml:space="preserve"> </w:t>
      </w:r>
      <w:r w:rsidRPr="00AD5FD1">
        <w:rPr>
          <w:rFonts w:ascii="Arial" w:hAnsi="Arial" w:cs="Arial"/>
          <w:sz w:val="20"/>
        </w:rPr>
        <w:t xml:space="preserve">QS system of </w:t>
      </w:r>
      <w:r w:rsidRPr="00AD5FD1">
        <w:rPr>
          <w:rFonts w:ascii="Arial" w:hAnsi="Arial" w:cs="Arial"/>
          <w:i/>
          <w:iCs/>
          <w:sz w:val="20"/>
        </w:rPr>
        <w:t>Staphylococcus aureus</w:t>
      </w:r>
      <w:r w:rsidRPr="00AD5FD1">
        <w:rPr>
          <w:rFonts w:ascii="Arial" w:hAnsi="Arial" w:cs="Arial"/>
          <w:sz w:val="20"/>
        </w:rPr>
        <w:t xml:space="preserve"> and ComX</w:t>
      </w:r>
      <w:r w:rsidRPr="00AD5FD1">
        <w:rPr>
          <w:rFonts w:ascii="Arial" w:hAnsi="Arial" w:cs="Arial"/>
          <w:sz w:val="24"/>
          <w:szCs w:val="24"/>
        </w:rPr>
        <w:t xml:space="preserve"> </w:t>
      </w:r>
      <w:r w:rsidRPr="00AD5FD1">
        <w:rPr>
          <w:rFonts w:ascii="Arial" w:hAnsi="Arial" w:cs="Arial"/>
          <w:sz w:val="20"/>
        </w:rPr>
        <w:t xml:space="preserve">Quorum-Sensing System of </w:t>
      </w:r>
      <w:r w:rsidRPr="00AD5FD1">
        <w:rPr>
          <w:rFonts w:ascii="Arial" w:hAnsi="Arial" w:cs="Arial"/>
          <w:i/>
          <w:iCs/>
          <w:sz w:val="20"/>
        </w:rPr>
        <w:t>B. Subtilis</w:t>
      </w:r>
      <w:r w:rsidRPr="00AD5FD1">
        <w:rPr>
          <w:rFonts w:ascii="Arial" w:hAnsi="Arial" w:cs="Arial"/>
          <w:sz w:val="20"/>
        </w:rPr>
        <w:t xml:space="preserve"> (Pattnaik, 2023) are well studied. Likewise, Acyl-homoserine lactone quorum sensing (</w:t>
      </w:r>
      <w:proofErr w:type="spellStart"/>
      <w:r w:rsidRPr="00AD5FD1">
        <w:rPr>
          <w:rFonts w:ascii="Arial" w:hAnsi="Arial" w:cs="Arial"/>
          <w:sz w:val="20"/>
        </w:rPr>
        <w:t>Parsek</w:t>
      </w:r>
      <w:proofErr w:type="spellEnd"/>
      <w:r w:rsidRPr="00AD5FD1">
        <w:rPr>
          <w:rFonts w:ascii="Arial" w:hAnsi="Arial" w:cs="Arial"/>
          <w:sz w:val="20"/>
        </w:rPr>
        <w:t xml:space="preserve"> and Greenberg, 2000) is functioned by Gram negative bacteria.</w:t>
      </w:r>
    </w:p>
    <w:p w14:paraId="2A11E6FE" w14:textId="77777777" w:rsidR="00502AC7" w:rsidRDefault="00502AC7" w:rsidP="00AD5FD1">
      <w:pPr>
        <w:spacing w:line="240" w:lineRule="auto"/>
        <w:jc w:val="both"/>
        <w:rPr>
          <w:rFonts w:ascii="Arial" w:hAnsi="Arial" w:cs="Arial"/>
          <w:sz w:val="20"/>
        </w:rPr>
      </w:pPr>
    </w:p>
    <w:p w14:paraId="5F1A3C67" w14:textId="77777777" w:rsidR="00502AC7" w:rsidRDefault="00502AC7" w:rsidP="00AD5FD1">
      <w:pPr>
        <w:spacing w:line="240" w:lineRule="auto"/>
        <w:jc w:val="both"/>
        <w:rPr>
          <w:rFonts w:ascii="Arial" w:hAnsi="Arial" w:cs="Arial"/>
          <w:sz w:val="20"/>
        </w:rPr>
      </w:pPr>
    </w:p>
    <w:p w14:paraId="76FB40EB" w14:textId="77777777" w:rsidR="00502AC7" w:rsidRDefault="00502AC7" w:rsidP="00AD5FD1">
      <w:pPr>
        <w:spacing w:line="240" w:lineRule="auto"/>
        <w:jc w:val="both"/>
        <w:rPr>
          <w:rFonts w:ascii="Arial" w:hAnsi="Arial" w:cs="Arial"/>
          <w:sz w:val="20"/>
        </w:rPr>
      </w:pPr>
    </w:p>
    <w:p w14:paraId="53A17D10" w14:textId="77777777" w:rsidR="00B16B0D" w:rsidRDefault="00B16B0D" w:rsidP="00AD5FD1">
      <w:pPr>
        <w:spacing w:line="240" w:lineRule="auto"/>
        <w:jc w:val="both"/>
        <w:rPr>
          <w:rFonts w:ascii="Arial" w:hAnsi="Arial" w:cs="Arial"/>
          <w:sz w:val="20"/>
        </w:rPr>
      </w:pPr>
    </w:p>
    <w:p w14:paraId="589106AD" w14:textId="77777777" w:rsidR="00B16B0D" w:rsidRDefault="00B16B0D" w:rsidP="00AD5FD1">
      <w:pPr>
        <w:spacing w:line="240" w:lineRule="auto"/>
        <w:jc w:val="both"/>
        <w:rPr>
          <w:rFonts w:ascii="Arial" w:hAnsi="Arial" w:cs="Arial"/>
          <w:sz w:val="20"/>
        </w:rPr>
      </w:pPr>
    </w:p>
    <w:p w14:paraId="506284CC" w14:textId="77777777" w:rsidR="00B16B0D" w:rsidRDefault="00B16B0D" w:rsidP="00AD5FD1">
      <w:pPr>
        <w:spacing w:line="240" w:lineRule="auto"/>
        <w:jc w:val="both"/>
        <w:rPr>
          <w:rFonts w:ascii="Arial" w:hAnsi="Arial" w:cs="Arial"/>
          <w:sz w:val="20"/>
        </w:rPr>
      </w:pPr>
    </w:p>
    <w:p w14:paraId="40C93D66" w14:textId="77777777" w:rsidR="00B16B0D" w:rsidRDefault="00B16B0D" w:rsidP="00AD5FD1">
      <w:pPr>
        <w:spacing w:line="240" w:lineRule="auto"/>
        <w:jc w:val="both"/>
        <w:rPr>
          <w:rFonts w:ascii="Arial" w:hAnsi="Arial" w:cs="Arial"/>
          <w:sz w:val="20"/>
        </w:rPr>
      </w:pPr>
    </w:p>
    <w:p w14:paraId="12C87586" w14:textId="77777777" w:rsidR="00B16B0D" w:rsidRDefault="00B16B0D" w:rsidP="00AD5FD1">
      <w:pPr>
        <w:spacing w:line="240" w:lineRule="auto"/>
        <w:jc w:val="both"/>
        <w:rPr>
          <w:rFonts w:ascii="Arial" w:hAnsi="Arial" w:cs="Arial"/>
          <w:sz w:val="20"/>
        </w:rPr>
      </w:pPr>
    </w:p>
    <w:p w14:paraId="5E421741" w14:textId="77777777" w:rsidR="00B16B0D" w:rsidRPr="00AD5FD1" w:rsidRDefault="00B16B0D" w:rsidP="00AD5FD1">
      <w:pPr>
        <w:spacing w:line="240" w:lineRule="auto"/>
        <w:jc w:val="both"/>
        <w:rPr>
          <w:rFonts w:ascii="Arial" w:hAnsi="Arial" w:cs="Arial"/>
          <w:b/>
          <w:bCs/>
          <w:szCs w:val="22"/>
        </w:rPr>
      </w:pPr>
    </w:p>
    <w:p w14:paraId="5C1FCA03" w14:textId="7B3C37D1" w:rsidR="006A2EF9" w:rsidRPr="00AD5FD1" w:rsidRDefault="00370A58" w:rsidP="0003385C">
      <w:pPr>
        <w:spacing w:line="360" w:lineRule="auto"/>
        <w:jc w:val="both"/>
        <w:rPr>
          <w:rFonts w:ascii="Arial" w:hAnsi="Arial" w:cs="Arial"/>
          <w:sz w:val="24"/>
          <w:szCs w:val="24"/>
        </w:rPr>
      </w:pPr>
      <w:r w:rsidRPr="00AD5FD1">
        <w:rPr>
          <w:rFonts w:ascii="Arial" w:hAnsi="Arial" w:cs="Arial"/>
          <w:noProof/>
        </w:rPr>
        <w:drawing>
          <wp:anchor distT="0" distB="0" distL="114300" distR="114300" simplePos="0" relativeHeight="251665408" behindDoc="0" locked="0" layoutInCell="1" allowOverlap="1" wp14:anchorId="39B70E43" wp14:editId="292F1FFF">
            <wp:simplePos x="0" y="0"/>
            <wp:positionH relativeFrom="column">
              <wp:posOffset>1451113</wp:posOffset>
            </wp:positionH>
            <wp:positionV relativeFrom="paragraph">
              <wp:posOffset>9497</wp:posOffset>
            </wp:positionV>
            <wp:extent cx="2497455" cy="2517913"/>
            <wp:effectExtent l="0" t="0" r="0" b="0"/>
            <wp:wrapNone/>
            <wp:docPr id="9177326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colorTemperature colorTemp="4700"/>
                              </a14:imgEffect>
                            </a14:imgLayer>
                          </a14:imgProps>
                        </a:ext>
                        <a:ext uri="{28A0092B-C50C-407E-A947-70E740481C1C}">
                          <a14:useLocalDpi xmlns:a14="http://schemas.microsoft.com/office/drawing/2010/main" val="0"/>
                        </a:ext>
                      </a:extLst>
                    </a:blip>
                    <a:srcRect l="4416"/>
                    <a:stretch>
                      <a:fillRect/>
                    </a:stretch>
                  </pic:blipFill>
                  <pic:spPr bwMode="auto">
                    <a:xfrm>
                      <a:off x="0" y="0"/>
                      <a:ext cx="2511841" cy="2532417"/>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C3B95F" w14:textId="727BF454" w:rsidR="006A2EF9" w:rsidRPr="00AD5FD1" w:rsidRDefault="006A2EF9" w:rsidP="0003385C">
      <w:pPr>
        <w:spacing w:line="360" w:lineRule="auto"/>
        <w:jc w:val="both"/>
        <w:rPr>
          <w:rFonts w:ascii="Arial" w:hAnsi="Arial" w:cs="Arial"/>
          <w:sz w:val="24"/>
          <w:szCs w:val="24"/>
        </w:rPr>
      </w:pPr>
    </w:p>
    <w:p w14:paraId="593C0AE4" w14:textId="77777777" w:rsidR="006A2EF9" w:rsidRPr="00AD5FD1" w:rsidRDefault="006A2EF9" w:rsidP="0003385C">
      <w:pPr>
        <w:spacing w:line="360" w:lineRule="auto"/>
        <w:jc w:val="both"/>
        <w:rPr>
          <w:rFonts w:ascii="Arial" w:hAnsi="Arial" w:cs="Arial"/>
          <w:sz w:val="24"/>
          <w:szCs w:val="24"/>
        </w:rPr>
      </w:pPr>
    </w:p>
    <w:p w14:paraId="53CB0C94" w14:textId="77777777" w:rsidR="006A2EF9" w:rsidRPr="00AD5FD1" w:rsidRDefault="006A2EF9" w:rsidP="0003385C">
      <w:pPr>
        <w:spacing w:line="360" w:lineRule="auto"/>
        <w:jc w:val="both"/>
        <w:rPr>
          <w:rFonts w:ascii="Arial" w:hAnsi="Arial" w:cs="Arial"/>
          <w:sz w:val="24"/>
          <w:szCs w:val="24"/>
        </w:rPr>
      </w:pPr>
    </w:p>
    <w:p w14:paraId="3AAFFB49" w14:textId="77777777" w:rsidR="006A2EF9" w:rsidRPr="00AD5FD1" w:rsidRDefault="006A2EF9" w:rsidP="0003385C">
      <w:pPr>
        <w:spacing w:line="360" w:lineRule="auto"/>
        <w:jc w:val="both"/>
        <w:rPr>
          <w:rFonts w:ascii="Arial" w:hAnsi="Arial" w:cs="Arial"/>
          <w:sz w:val="24"/>
          <w:szCs w:val="24"/>
        </w:rPr>
      </w:pPr>
    </w:p>
    <w:p w14:paraId="3DF44A17" w14:textId="77777777" w:rsidR="006A2EF9" w:rsidRPr="00AD5FD1" w:rsidRDefault="006A2EF9" w:rsidP="0003385C">
      <w:pPr>
        <w:spacing w:line="360" w:lineRule="auto"/>
        <w:jc w:val="both"/>
        <w:rPr>
          <w:rFonts w:ascii="Arial" w:hAnsi="Arial" w:cs="Arial"/>
          <w:sz w:val="24"/>
          <w:szCs w:val="24"/>
        </w:rPr>
      </w:pPr>
    </w:p>
    <w:p w14:paraId="20FFBE65" w14:textId="77777777" w:rsidR="0059043F" w:rsidRPr="00AD5FD1" w:rsidRDefault="0059043F" w:rsidP="0003385C">
      <w:pPr>
        <w:spacing w:line="360" w:lineRule="auto"/>
        <w:jc w:val="both"/>
        <w:rPr>
          <w:rFonts w:ascii="Arial" w:hAnsi="Arial" w:cs="Arial"/>
          <w:sz w:val="24"/>
          <w:szCs w:val="24"/>
        </w:rPr>
      </w:pPr>
    </w:p>
    <w:p w14:paraId="7C68ABD2" w14:textId="10C5E21F" w:rsidR="006A2EF9" w:rsidRPr="0059043F" w:rsidRDefault="006A2EF9" w:rsidP="0059043F">
      <w:pPr>
        <w:spacing w:line="240" w:lineRule="auto"/>
        <w:jc w:val="both"/>
        <w:rPr>
          <w:rFonts w:ascii="Arial" w:hAnsi="Arial" w:cs="Arial"/>
          <w:b/>
          <w:bCs/>
          <w:sz w:val="20"/>
        </w:rPr>
      </w:pPr>
      <w:r w:rsidRPr="0059043F">
        <w:rPr>
          <w:rFonts w:ascii="Arial" w:hAnsi="Arial" w:cs="Arial"/>
          <w:b/>
          <w:bCs/>
          <w:sz w:val="20"/>
        </w:rPr>
        <w:t>Fig</w:t>
      </w:r>
      <w:r w:rsidR="0059043F" w:rsidRPr="0059043F">
        <w:rPr>
          <w:rFonts w:ascii="Arial" w:hAnsi="Arial" w:cs="Arial"/>
          <w:b/>
          <w:bCs/>
          <w:sz w:val="20"/>
        </w:rPr>
        <w:t>.</w:t>
      </w:r>
      <w:r w:rsidRPr="0059043F">
        <w:rPr>
          <w:rFonts w:ascii="Arial" w:hAnsi="Arial" w:cs="Arial"/>
          <w:b/>
          <w:bCs/>
          <w:sz w:val="20"/>
        </w:rPr>
        <w:t>1</w:t>
      </w:r>
      <w:r w:rsidR="0059043F" w:rsidRPr="0059043F">
        <w:rPr>
          <w:rFonts w:ascii="Arial" w:hAnsi="Arial" w:cs="Arial"/>
          <w:b/>
          <w:bCs/>
          <w:sz w:val="20"/>
        </w:rPr>
        <w:t>.</w:t>
      </w:r>
      <w:r w:rsidRPr="0059043F">
        <w:rPr>
          <w:rFonts w:ascii="Arial" w:hAnsi="Arial" w:cs="Arial"/>
          <w:b/>
          <w:bCs/>
          <w:sz w:val="20"/>
        </w:rPr>
        <w:t xml:space="preserve"> A typical image showing the hidden bacteria (marked by yellow arrow) inside biofilm (marked by black arrow). </w:t>
      </w:r>
    </w:p>
    <w:p w14:paraId="02D8292F" w14:textId="2119F8C0" w:rsidR="0003385C" w:rsidRPr="0059043F" w:rsidRDefault="0003385C" w:rsidP="0059043F">
      <w:pPr>
        <w:spacing w:line="240" w:lineRule="auto"/>
        <w:jc w:val="both"/>
        <w:rPr>
          <w:rFonts w:ascii="Arial" w:hAnsi="Arial" w:cs="Arial"/>
          <w:sz w:val="20"/>
        </w:rPr>
      </w:pPr>
      <w:r w:rsidRPr="0059043F">
        <w:rPr>
          <w:rFonts w:ascii="Arial" w:hAnsi="Arial" w:cs="Arial"/>
          <w:sz w:val="20"/>
        </w:rPr>
        <w:t xml:space="preserve">Prior to biofilm formation the bacteria undergo a metabolic transformation along with switching on a sedentary mode of life cycle. Therefore, the flagellated bacteria withdraw flagellation process. Hence, the motile cell becomes temporarily non motile to maintain its stationary phase and the bacteria searches for a platform (solid or tissue environment) where it can settle securely.  </w:t>
      </w:r>
    </w:p>
    <w:p w14:paraId="39B0ABDE" w14:textId="72AAC855" w:rsidR="0003385C" w:rsidRPr="0059043F" w:rsidRDefault="0003385C" w:rsidP="0059043F">
      <w:pPr>
        <w:spacing w:line="240" w:lineRule="auto"/>
        <w:jc w:val="both"/>
        <w:rPr>
          <w:rFonts w:ascii="Arial" w:hAnsi="Arial" w:cs="Arial"/>
          <w:iCs/>
          <w:sz w:val="20"/>
        </w:rPr>
      </w:pPr>
      <w:r w:rsidRPr="0059043F">
        <w:rPr>
          <w:rFonts w:ascii="Arial" w:hAnsi="Arial" w:cs="Arial"/>
          <w:sz w:val="20"/>
        </w:rPr>
        <w:t>In the event of external tissue transplantation, introduction of various implants, stretches in surgery, contact lenses, ortho-associated elements are the supportive surface for the settling of non-motile bacterial cells (Li et al. 2023). As a result of which the bacteria protect itself from antibiotic action by wrapping its cellular cluster with a biofilm and restrict the entry of antibiotic molecule into the biofilm, leading to chronic infection. Investigatory reports have confirmed that biofilm act as a secured niche to accommodate PAS cells to evade action of   phagocytosis as well as antibiotic action. It is also found out that</w:t>
      </w:r>
      <w:r w:rsidRPr="0059043F">
        <w:rPr>
          <w:rFonts w:ascii="Arial" w:hAnsi="Arial" w:cs="Arial"/>
          <w:b/>
          <w:bCs/>
          <w:sz w:val="20"/>
        </w:rPr>
        <w:t xml:space="preserve"> </w:t>
      </w:r>
      <w:r w:rsidRPr="0059043F">
        <w:rPr>
          <w:rFonts w:ascii="Arial" w:hAnsi="Arial" w:cs="Arial"/>
          <w:sz w:val="20"/>
        </w:rPr>
        <w:t xml:space="preserve">the PAS cluster is found in core of the biofilm, while antibiotic sensitized bacteria cell (normal cell) are located in periphery of biofilm (Pan et al. 2023). This to mention that, when antibiotics are delivered to interact with bacterial cell the first resistance mechanism is the biofilm. This is important to note that most of the antibiotic like aminoglycoside </w:t>
      </w:r>
      <w:r w:rsidR="00765D3B" w:rsidRPr="0059043F">
        <w:rPr>
          <w:rFonts w:ascii="Arial" w:hAnsi="Arial" w:cs="Arial"/>
          <w:sz w:val="20"/>
        </w:rPr>
        <w:t>cannot</w:t>
      </w:r>
      <w:r w:rsidRPr="0059043F">
        <w:rPr>
          <w:rFonts w:ascii="Arial" w:hAnsi="Arial" w:cs="Arial"/>
          <w:sz w:val="20"/>
        </w:rPr>
        <w:t xml:space="preserve"> enter into the biofilm, because of their molecular complexity. If the antibiotics able to enter inside the biofilm will encounter the antibiotic response bacteria (ARB) as these bacteria are present in the periphery, like boarder security force, encounter with antibiotic molecules. The ARB cells may be killed or survive based upon degree as well as modality of antibiotic action. While PAS cells remain dormant and don not respond the presence of antibiotic molecules. Hence, these categories of cells may be categorized as ANRB (Antibiotic Non - Responsive Bacteria). But it is understood that the biology of PAS cells is </w:t>
      </w:r>
      <w:r w:rsidRPr="0059043F">
        <w:rPr>
          <w:rFonts w:ascii="Arial" w:hAnsi="Arial" w:cs="Arial"/>
          <w:iCs/>
          <w:sz w:val="20"/>
        </w:rPr>
        <w:t xml:space="preserve">very complex.  Therefore, the whole world is vulnerable with these drug tolerant bacteria in clinical scenario. </w:t>
      </w:r>
    </w:p>
    <w:p w14:paraId="2D5B0FCC" w14:textId="4EDAD52E" w:rsidR="0003385C" w:rsidRPr="0059043F" w:rsidRDefault="0003385C" w:rsidP="0059043F">
      <w:pPr>
        <w:spacing w:line="240" w:lineRule="auto"/>
        <w:jc w:val="both"/>
        <w:rPr>
          <w:rFonts w:ascii="Arial" w:hAnsi="Arial" w:cs="Arial"/>
          <w:iCs/>
          <w:sz w:val="20"/>
        </w:rPr>
      </w:pPr>
      <w:r w:rsidRPr="0059043F">
        <w:rPr>
          <w:rFonts w:ascii="Arial" w:hAnsi="Arial" w:cs="Arial"/>
          <w:iCs/>
          <w:sz w:val="20"/>
        </w:rPr>
        <w:t xml:space="preserve">Post antibiotic survivors (PAS) have occupied a special entity because of its uniqueness in respect to morphology, metabolic activity as well as behavioural aspects. The clinician may mislead by its attitudes towards antibiotic action. It is easier to detect the drug resistance or drug sensitive bacteria in clinical setup but it is tricky to recognize definite persister. </w:t>
      </w:r>
      <w:proofErr w:type="spellStart"/>
      <w:r w:rsidR="00015ADC" w:rsidRPr="0059043F">
        <w:rPr>
          <w:rFonts w:ascii="Arial" w:hAnsi="Arial" w:cs="Arial"/>
          <w:iCs/>
          <w:sz w:val="20"/>
        </w:rPr>
        <w:t>P</w:t>
      </w:r>
      <w:r w:rsidRPr="0059043F">
        <w:rPr>
          <w:rFonts w:ascii="Arial" w:hAnsi="Arial" w:cs="Arial"/>
          <w:iCs/>
          <w:sz w:val="20"/>
        </w:rPr>
        <w:t>ersister</w:t>
      </w:r>
      <w:r w:rsidR="00015ADC" w:rsidRPr="0059043F">
        <w:rPr>
          <w:rFonts w:ascii="Arial" w:hAnsi="Arial" w:cs="Arial"/>
          <w:iCs/>
          <w:sz w:val="20"/>
        </w:rPr>
        <w:t>s</w:t>
      </w:r>
      <w:proofErr w:type="spellEnd"/>
      <w:r w:rsidRPr="0059043F">
        <w:rPr>
          <w:rFonts w:ascii="Arial" w:hAnsi="Arial" w:cs="Arial"/>
          <w:iCs/>
          <w:sz w:val="20"/>
        </w:rPr>
        <w:t xml:space="preserve"> or PAS may appear as like as normal bacteria but internally the metabolic activity is different. Many of metabolic product are stalled for a particular time period which is not felt in normal bacteria. Therefore, the PAS may be called as metabolically dormant bacteria. However, the typical dormant bacteria avail a specific time period to be get activated, in contrast PAS dormancy period is not definite.</w:t>
      </w:r>
    </w:p>
    <w:p w14:paraId="49BE470A" w14:textId="77777777" w:rsidR="0003385C" w:rsidRPr="0059043F" w:rsidRDefault="0003385C" w:rsidP="0059043F">
      <w:pPr>
        <w:spacing w:line="240" w:lineRule="auto"/>
        <w:jc w:val="both"/>
        <w:rPr>
          <w:rFonts w:ascii="Arial" w:hAnsi="Arial" w:cs="Arial"/>
          <w:iCs/>
          <w:sz w:val="20"/>
        </w:rPr>
      </w:pPr>
      <w:r w:rsidRPr="0059043F">
        <w:rPr>
          <w:rFonts w:ascii="Arial" w:hAnsi="Arial" w:cs="Arial"/>
          <w:iCs/>
          <w:sz w:val="20"/>
        </w:rPr>
        <w:t xml:space="preserve">As antibiotics are the prime cause of PAS cell survival, efforts should be made for alternative agents, which can have PAS cell killing activity. The agents should have sufficient druggability, specificity, target oriented and more so cost effective. </w:t>
      </w:r>
    </w:p>
    <w:p w14:paraId="428A0D86" w14:textId="70327E1A" w:rsidR="0003385C" w:rsidRPr="0059043F" w:rsidRDefault="0003385C" w:rsidP="0059043F">
      <w:pPr>
        <w:spacing w:line="240" w:lineRule="auto"/>
        <w:jc w:val="both"/>
        <w:rPr>
          <w:rFonts w:ascii="Arial" w:hAnsi="Arial" w:cs="Arial"/>
          <w:iCs/>
          <w:sz w:val="20"/>
        </w:rPr>
      </w:pPr>
      <w:r w:rsidRPr="0059043F">
        <w:rPr>
          <w:rFonts w:ascii="Arial" w:hAnsi="Arial" w:cs="Arial"/>
          <w:iCs/>
          <w:sz w:val="20"/>
        </w:rPr>
        <w:t xml:space="preserve">Patel et al., (2022) had explained that Persister cell was a dormant, tolerant to antibiotics, and adapted for changeable phenotype in Pseudomonas aeruginosa, in presence of Ceftazidime, Gentamicin, and </w:t>
      </w:r>
      <w:r w:rsidRPr="0059043F">
        <w:rPr>
          <w:rFonts w:ascii="Arial" w:hAnsi="Arial" w:cs="Arial"/>
          <w:iCs/>
          <w:sz w:val="20"/>
        </w:rPr>
        <w:lastRenderedPageBreak/>
        <w:t xml:space="preserve">Ciprofloxacin. It was stated that there were </w:t>
      </w:r>
      <w:proofErr w:type="spellStart"/>
      <w:r w:rsidRPr="0059043F">
        <w:rPr>
          <w:rFonts w:ascii="Arial" w:hAnsi="Arial" w:cs="Arial"/>
          <w:iCs/>
          <w:sz w:val="20"/>
        </w:rPr>
        <w:t>persisters</w:t>
      </w:r>
      <w:proofErr w:type="spellEnd"/>
      <w:r w:rsidRPr="0059043F">
        <w:rPr>
          <w:rFonts w:ascii="Arial" w:hAnsi="Arial" w:cs="Arial"/>
          <w:iCs/>
          <w:sz w:val="20"/>
        </w:rPr>
        <w:t xml:space="preserve">/PAS cells both in planktonic as well inside biofilms, evidenced from persister detection assay, flow cytometry using Redox Sensor Green, fluorescence as well as Confocal Laser Scanning Microscopy. IN addition, the Toxin/Antitoxin (T/A) module was also active to generate PAS, which was up-regulated. While, Proma et al., (2020) had observed effect of antibiotic on a single colony level using microscopic imaging system. For which the investigators had enumerated cells exposed with antibiotics, following a time line using their ‘Self - developed image processing program’. It was mentioned that there was a direct relationship between the period of exposure time and bacteria survival strategy. Frenkel et.al., (2021) had suggested that there was impact of Inoculum Effect on the initial cell numbers. The investigators had proposed a model considering </w:t>
      </w:r>
      <w:r w:rsidRPr="0059043F">
        <w:rPr>
          <w:rFonts w:ascii="Arial" w:hAnsi="Arial" w:cs="Arial"/>
          <w:i/>
          <w:sz w:val="20"/>
        </w:rPr>
        <w:t>Escherichia coli</w:t>
      </w:r>
      <w:r w:rsidRPr="0059043F">
        <w:rPr>
          <w:rFonts w:ascii="Arial" w:hAnsi="Arial" w:cs="Arial"/>
          <w:iCs/>
          <w:sz w:val="20"/>
        </w:rPr>
        <w:t xml:space="preserve"> as model organism, in presence of conventional antibiotics as well as cationic peptides. There was a direct correlation between the concentration of antibacterials and the cell numbers. Further it was added that the antibacterials were bacteriostatic. </w:t>
      </w:r>
    </w:p>
    <w:p w14:paraId="4535A8CB" w14:textId="297E7C59" w:rsidR="0003385C" w:rsidRPr="0059043F" w:rsidRDefault="0003385C" w:rsidP="0059043F">
      <w:pPr>
        <w:spacing w:line="240" w:lineRule="auto"/>
        <w:jc w:val="both"/>
        <w:rPr>
          <w:rFonts w:ascii="Arial" w:hAnsi="Arial" w:cs="Arial"/>
          <w:iCs/>
          <w:sz w:val="20"/>
        </w:rPr>
      </w:pPr>
      <w:r w:rsidRPr="0059043F">
        <w:rPr>
          <w:rFonts w:ascii="Arial" w:hAnsi="Arial" w:cs="Arial"/>
          <w:iCs/>
          <w:sz w:val="20"/>
        </w:rPr>
        <w:t xml:space="preserve">Liu et al., (2021) had demonstrated that the spore forming Gram positive model organism </w:t>
      </w:r>
      <w:r w:rsidRPr="0059043F">
        <w:rPr>
          <w:rFonts w:ascii="Arial" w:hAnsi="Arial" w:cs="Arial"/>
          <w:i/>
          <w:sz w:val="20"/>
        </w:rPr>
        <w:t>Bacillus subtilis</w:t>
      </w:r>
      <w:r w:rsidRPr="0059043F">
        <w:rPr>
          <w:rFonts w:ascii="Arial" w:hAnsi="Arial" w:cs="Arial"/>
          <w:iCs/>
          <w:sz w:val="20"/>
        </w:rPr>
        <w:t xml:space="preserve"> can be used to generate persister cells during exposure to antimicrobial compounds. The qPCR results could infer the differential stress responses related to persister formation in various environmental conditions. It was proposed that fluorescence-activated cell sorting (FACS) could differentiate </w:t>
      </w:r>
      <w:proofErr w:type="spellStart"/>
      <w:r w:rsidRPr="0059043F">
        <w:rPr>
          <w:rFonts w:ascii="Arial" w:hAnsi="Arial" w:cs="Arial"/>
          <w:iCs/>
          <w:sz w:val="20"/>
        </w:rPr>
        <w:t>persisters</w:t>
      </w:r>
      <w:proofErr w:type="spellEnd"/>
      <w:r w:rsidRPr="0059043F">
        <w:rPr>
          <w:rFonts w:ascii="Arial" w:hAnsi="Arial" w:cs="Arial"/>
          <w:iCs/>
          <w:sz w:val="20"/>
        </w:rPr>
        <w:t xml:space="preserve">. It was shown that alpha-helical cationic antimicrobial peptides SAAP-148 and TC-19, derived from human </w:t>
      </w:r>
      <w:proofErr w:type="spellStart"/>
      <w:r w:rsidRPr="0059043F">
        <w:rPr>
          <w:rFonts w:ascii="Arial" w:hAnsi="Arial" w:cs="Arial"/>
          <w:iCs/>
          <w:sz w:val="20"/>
        </w:rPr>
        <w:t>cathelicidin</w:t>
      </w:r>
      <w:proofErr w:type="spellEnd"/>
      <w:r w:rsidRPr="0059043F">
        <w:rPr>
          <w:rFonts w:ascii="Arial" w:hAnsi="Arial" w:cs="Arial"/>
          <w:iCs/>
          <w:sz w:val="20"/>
        </w:rPr>
        <w:t xml:space="preserve"> LL-37 and human thrombocidin-1, had the killing effect upon </w:t>
      </w:r>
      <w:r w:rsidRPr="0059043F">
        <w:rPr>
          <w:rFonts w:ascii="Arial" w:hAnsi="Arial" w:cs="Arial"/>
          <w:i/>
          <w:sz w:val="20"/>
        </w:rPr>
        <w:t>B. subtilis</w:t>
      </w:r>
      <w:r w:rsidRPr="0059043F">
        <w:rPr>
          <w:rFonts w:ascii="Arial" w:hAnsi="Arial" w:cs="Arial"/>
          <w:iCs/>
          <w:sz w:val="20"/>
        </w:rPr>
        <w:t xml:space="preserve"> a</w:t>
      </w:r>
      <w:r w:rsidR="002D67FD" w:rsidRPr="0059043F">
        <w:rPr>
          <w:rFonts w:ascii="Arial" w:hAnsi="Arial" w:cs="Arial"/>
          <w:iCs/>
          <w:sz w:val="20"/>
        </w:rPr>
        <w:t>nd its</w:t>
      </w:r>
      <w:r w:rsidRPr="0059043F">
        <w:rPr>
          <w:rFonts w:ascii="Arial" w:hAnsi="Arial" w:cs="Arial"/>
          <w:iCs/>
          <w:sz w:val="20"/>
        </w:rPr>
        <w:t xml:space="preserve"> </w:t>
      </w:r>
      <w:proofErr w:type="spellStart"/>
      <w:r w:rsidRPr="0059043F">
        <w:rPr>
          <w:rFonts w:ascii="Arial" w:hAnsi="Arial" w:cs="Arial"/>
          <w:iCs/>
          <w:sz w:val="20"/>
        </w:rPr>
        <w:t>persisters</w:t>
      </w:r>
      <w:proofErr w:type="spellEnd"/>
      <w:r w:rsidR="002D67FD" w:rsidRPr="0059043F">
        <w:rPr>
          <w:rFonts w:ascii="Arial" w:hAnsi="Arial" w:cs="Arial"/>
          <w:iCs/>
          <w:sz w:val="20"/>
        </w:rPr>
        <w:t xml:space="preserve"> (post antibiotic survivors)</w:t>
      </w:r>
      <w:r w:rsidRPr="0059043F">
        <w:rPr>
          <w:rFonts w:ascii="Arial" w:hAnsi="Arial" w:cs="Arial"/>
          <w:iCs/>
          <w:sz w:val="20"/>
        </w:rPr>
        <w:t xml:space="preserve">. </w:t>
      </w:r>
    </w:p>
    <w:p w14:paraId="369948CA" w14:textId="3FD31567" w:rsidR="0003385C" w:rsidRPr="0059043F" w:rsidRDefault="0003385C" w:rsidP="0059043F">
      <w:pPr>
        <w:spacing w:line="240" w:lineRule="auto"/>
        <w:jc w:val="both"/>
        <w:rPr>
          <w:rFonts w:ascii="Arial" w:hAnsi="Arial" w:cs="Arial"/>
          <w:iCs/>
          <w:sz w:val="20"/>
        </w:rPr>
      </w:pPr>
      <w:r w:rsidRPr="0059043F">
        <w:rPr>
          <w:rFonts w:ascii="Arial" w:hAnsi="Arial" w:cs="Arial"/>
          <w:iCs/>
          <w:sz w:val="20"/>
        </w:rPr>
        <w:t>Svenningsen et al., (2019) had induced (p)</w:t>
      </w:r>
      <w:proofErr w:type="spellStart"/>
      <w:r w:rsidRPr="0059043F">
        <w:rPr>
          <w:rFonts w:ascii="Arial" w:hAnsi="Arial" w:cs="Arial"/>
          <w:iCs/>
          <w:sz w:val="20"/>
        </w:rPr>
        <w:t>ppGpp</w:t>
      </w:r>
      <w:proofErr w:type="spellEnd"/>
      <w:r w:rsidRPr="0059043F">
        <w:rPr>
          <w:rFonts w:ascii="Arial" w:hAnsi="Arial" w:cs="Arial"/>
          <w:iCs/>
          <w:sz w:val="20"/>
        </w:rPr>
        <w:t xml:space="preserve"> synthesis by modulating tRNA charging, for direct vision of stochastic appearance, antibiotic tolerance, and resuscitation of persister cells using live imaging microscopy as evidenced from fluorescent reporters. The researchers were not in conclusion about the direct relationship between low concentration of intra-cellular ATP with post transcriptional effects of (p)</w:t>
      </w:r>
      <w:proofErr w:type="spellStart"/>
      <w:r w:rsidRPr="0059043F">
        <w:rPr>
          <w:rFonts w:ascii="Arial" w:hAnsi="Arial" w:cs="Arial"/>
          <w:iCs/>
          <w:sz w:val="20"/>
        </w:rPr>
        <w:t>ppGpp</w:t>
      </w:r>
      <w:proofErr w:type="spellEnd"/>
      <w:r w:rsidRPr="0059043F">
        <w:rPr>
          <w:rFonts w:ascii="Arial" w:hAnsi="Arial" w:cs="Arial"/>
          <w:iCs/>
          <w:sz w:val="20"/>
        </w:rPr>
        <w:t xml:space="preserve"> through T/A modules. But it was concluded that </w:t>
      </w:r>
      <w:r w:rsidR="00A20F9C" w:rsidRPr="0059043F">
        <w:rPr>
          <w:rFonts w:ascii="Arial" w:hAnsi="Arial" w:cs="Arial"/>
          <w:iCs/>
          <w:sz w:val="20"/>
        </w:rPr>
        <w:t>the increased</w:t>
      </w:r>
      <w:r w:rsidRPr="0059043F">
        <w:rPr>
          <w:rFonts w:ascii="Arial" w:hAnsi="Arial" w:cs="Arial"/>
          <w:iCs/>
          <w:sz w:val="20"/>
        </w:rPr>
        <w:t xml:space="preserve"> (p)</w:t>
      </w:r>
      <w:proofErr w:type="spellStart"/>
      <w:r w:rsidRPr="0059043F">
        <w:rPr>
          <w:rFonts w:ascii="Arial" w:hAnsi="Arial" w:cs="Arial"/>
          <w:iCs/>
          <w:sz w:val="20"/>
        </w:rPr>
        <w:t>ppGpp</w:t>
      </w:r>
      <w:proofErr w:type="spellEnd"/>
      <w:r w:rsidRPr="0059043F">
        <w:rPr>
          <w:rFonts w:ascii="Arial" w:hAnsi="Arial" w:cs="Arial"/>
          <w:iCs/>
          <w:sz w:val="20"/>
        </w:rPr>
        <w:t xml:space="preserve"> levels had effect upon transcriptional responses.</w:t>
      </w:r>
    </w:p>
    <w:p w14:paraId="318A4D71" w14:textId="7678225A" w:rsidR="0003385C" w:rsidRPr="0059043F" w:rsidRDefault="0003385C" w:rsidP="0059043F">
      <w:pPr>
        <w:spacing w:line="240" w:lineRule="auto"/>
        <w:jc w:val="both"/>
        <w:rPr>
          <w:rFonts w:ascii="Arial" w:hAnsi="Arial" w:cs="Arial"/>
          <w:iCs/>
          <w:sz w:val="20"/>
        </w:rPr>
      </w:pPr>
      <w:r w:rsidRPr="0059043F">
        <w:rPr>
          <w:rFonts w:ascii="Arial" w:hAnsi="Arial" w:cs="Arial"/>
          <w:iCs/>
          <w:sz w:val="20"/>
        </w:rPr>
        <w:t xml:space="preserve">Joers and Tenson (2016) had reported about effect of nutrients upon the growth of bacteria under study. Further, the researchers had made a statement that </w:t>
      </w:r>
      <w:proofErr w:type="spellStart"/>
      <w:r w:rsidRPr="0059043F">
        <w:rPr>
          <w:rFonts w:ascii="Arial" w:hAnsi="Arial" w:cs="Arial"/>
          <w:iCs/>
          <w:sz w:val="20"/>
        </w:rPr>
        <w:t>persisters</w:t>
      </w:r>
      <w:proofErr w:type="spellEnd"/>
      <w:r w:rsidRPr="0059043F">
        <w:rPr>
          <w:rFonts w:ascii="Arial" w:hAnsi="Arial" w:cs="Arial"/>
          <w:iCs/>
          <w:sz w:val="20"/>
        </w:rPr>
        <w:t xml:space="preserve"> /PAS had entered into stationary phase, but could resume its viability in the next period of proliferation. More so the resumption of growth was dependent upon the rich source of carbon (Glucose). It was also mentioned that there was heterogenous type of growth resumption. It was also described that the attainment of heterogenous growth to combat against stress related adverse factors evidenced from stress resilience events.</w:t>
      </w:r>
    </w:p>
    <w:p w14:paraId="5356E28D" w14:textId="138F762E" w:rsidR="0003385C" w:rsidRPr="0059043F" w:rsidRDefault="0003385C" w:rsidP="0059043F">
      <w:pPr>
        <w:spacing w:line="240" w:lineRule="auto"/>
        <w:jc w:val="both"/>
        <w:rPr>
          <w:rFonts w:ascii="Arial" w:hAnsi="Arial" w:cs="Arial"/>
          <w:iCs/>
          <w:sz w:val="20"/>
        </w:rPr>
      </w:pPr>
      <w:r w:rsidRPr="0059043F">
        <w:rPr>
          <w:rFonts w:ascii="Arial" w:hAnsi="Arial" w:cs="Arial"/>
          <w:iCs/>
          <w:sz w:val="20"/>
        </w:rPr>
        <w:t xml:space="preserve">In the direction of post antibiotic effect (PAE) studies, Stubbings et al. (2004) had determined PAE values for multitude of antibiotics against strains of </w:t>
      </w:r>
      <w:r w:rsidRPr="0059043F">
        <w:rPr>
          <w:rFonts w:ascii="Arial" w:hAnsi="Arial" w:cs="Arial"/>
          <w:i/>
          <w:sz w:val="20"/>
        </w:rPr>
        <w:t>Staphylococcus aureus</w:t>
      </w:r>
      <w:r w:rsidRPr="0059043F">
        <w:rPr>
          <w:rFonts w:ascii="Arial" w:hAnsi="Arial" w:cs="Arial"/>
          <w:iCs/>
          <w:sz w:val="20"/>
        </w:rPr>
        <w:t xml:space="preserve"> and </w:t>
      </w:r>
      <w:r w:rsidRPr="0059043F">
        <w:rPr>
          <w:rFonts w:ascii="Arial" w:hAnsi="Arial" w:cs="Arial"/>
          <w:i/>
          <w:sz w:val="20"/>
        </w:rPr>
        <w:t>Escherichia coli</w:t>
      </w:r>
      <w:r w:rsidRPr="0059043F">
        <w:rPr>
          <w:rFonts w:ascii="Arial" w:hAnsi="Arial" w:cs="Arial"/>
          <w:iCs/>
          <w:sz w:val="20"/>
        </w:rPr>
        <w:t xml:space="preserve"> in the presence of 5 × MIC antibiotic concentrations for a period of 60 min in Mueller–Hinton Broth. The duration of the PAE was obtained by following the recovery of bacterial growth in antibiotic-free MHB measured from </w:t>
      </w:r>
      <w:proofErr w:type="spellStart"/>
      <w:r w:rsidRPr="0059043F">
        <w:rPr>
          <w:rFonts w:ascii="Arial" w:hAnsi="Arial" w:cs="Arial"/>
          <w:iCs/>
          <w:sz w:val="20"/>
        </w:rPr>
        <w:t>Cfu</w:t>
      </w:r>
      <w:proofErr w:type="spellEnd"/>
      <w:r w:rsidRPr="0059043F">
        <w:rPr>
          <w:rFonts w:ascii="Arial" w:hAnsi="Arial" w:cs="Arial"/>
          <w:iCs/>
          <w:sz w:val="20"/>
        </w:rPr>
        <w:t xml:space="preserve"> as well as absorbance values taken at 600nm (λ). And it was concluded that there </w:t>
      </w:r>
      <w:r w:rsidR="0024697A" w:rsidRPr="0059043F">
        <w:rPr>
          <w:rFonts w:ascii="Arial" w:hAnsi="Arial" w:cs="Arial"/>
          <w:iCs/>
          <w:sz w:val="20"/>
        </w:rPr>
        <w:t>was</w:t>
      </w:r>
      <w:r w:rsidRPr="0059043F">
        <w:rPr>
          <w:rFonts w:ascii="Arial" w:hAnsi="Arial" w:cs="Arial"/>
          <w:iCs/>
          <w:sz w:val="20"/>
        </w:rPr>
        <w:t xml:space="preserve"> poor correlation between two methods, considering </w:t>
      </w:r>
      <w:proofErr w:type="spellStart"/>
      <w:r w:rsidRPr="0059043F">
        <w:rPr>
          <w:rFonts w:ascii="Arial" w:hAnsi="Arial" w:cs="Arial"/>
          <w:iCs/>
          <w:sz w:val="20"/>
        </w:rPr>
        <w:t>bacteriocidal</w:t>
      </w:r>
      <w:proofErr w:type="spellEnd"/>
      <w:r w:rsidRPr="0059043F">
        <w:rPr>
          <w:rFonts w:ascii="Arial" w:hAnsi="Arial" w:cs="Arial"/>
          <w:iCs/>
          <w:sz w:val="20"/>
        </w:rPr>
        <w:t xml:space="preserve"> agents at test drug. In contrast, there was significant correlation between the two methods, when bacteriostatic agents were considered as test drugs. </w:t>
      </w:r>
      <w:proofErr w:type="spellStart"/>
      <w:r w:rsidRPr="0059043F">
        <w:rPr>
          <w:rFonts w:ascii="Arial" w:hAnsi="Arial" w:cs="Arial"/>
          <w:iCs/>
          <w:sz w:val="20"/>
        </w:rPr>
        <w:t>Dolcino</w:t>
      </w:r>
      <w:proofErr w:type="spellEnd"/>
      <w:r w:rsidRPr="0059043F">
        <w:rPr>
          <w:rFonts w:ascii="Arial" w:hAnsi="Arial" w:cs="Arial"/>
          <w:iCs/>
          <w:sz w:val="20"/>
        </w:rPr>
        <w:t xml:space="preserve"> et al., (2002) had investigated about post antibiotic survivor mechanism </w:t>
      </w:r>
      <w:r w:rsidR="0024697A" w:rsidRPr="0059043F">
        <w:rPr>
          <w:rFonts w:ascii="Arial" w:hAnsi="Arial" w:cs="Arial"/>
          <w:iCs/>
          <w:sz w:val="20"/>
        </w:rPr>
        <w:t>for proteinase</w:t>
      </w:r>
      <w:r w:rsidRPr="0059043F">
        <w:rPr>
          <w:rFonts w:ascii="Arial" w:hAnsi="Arial" w:cs="Arial"/>
          <w:iCs/>
          <w:sz w:val="20"/>
        </w:rPr>
        <w:t xml:space="preserve">-defective (Lon−) </w:t>
      </w:r>
      <w:r w:rsidRPr="0059043F">
        <w:rPr>
          <w:rFonts w:ascii="Arial" w:hAnsi="Arial" w:cs="Arial"/>
          <w:i/>
          <w:sz w:val="20"/>
        </w:rPr>
        <w:t>Escherichia coli</w:t>
      </w:r>
      <w:r w:rsidRPr="0059043F">
        <w:rPr>
          <w:rFonts w:ascii="Arial" w:hAnsi="Arial" w:cs="Arial"/>
          <w:iCs/>
          <w:sz w:val="20"/>
        </w:rPr>
        <w:t xml:space="preserve"> and RNase-defective </w:t>
      </w:r>
      <w:r w:rsidRPr="0059043F">
        <w:rPr>
          <w:rFonts w:ascii="Arial" w:hAnsi="Arial" w:cs="Arial"/>
          <w:i/>
          <w:sz w:val="20"/>
        </w:rPr>
        <w:t>E. coli</w:t>
      </w:r>
      <w:r w:rsidRPr="0059043F">
        <w:rPr>
          <w:rFonts w:ascii="Arial" w:hAnsi="Arial" w:cs="Arial"/>
          <w:iCs/>
          <w:sz w:val="20"/>
        </w:rPr>
        <w:t xml:space="preserve"> exposed to antibiotics. There was reduction </w:t>
      </w:r>
      <w:r w:rsidR="00384352" w:rsidRPr="0059043F">
        <w:rPr>
          <w:rFonts w:ascii="Arial" w:hAnsi="Arial" w:cs="Arial"/>
          <w:iCs/>
          <w:sz w:val="20"/>
        </w:rPr>
        <w:t>of PAE</w:t>
      </w:r>
      <w:r w:rsidRPr="0059043F">
        <w:rPr>
          <w:rFonts w:ascii="Arial" w:hAnsi="Arial" w:cs="Arial"/>
          <w:iCs/>
          <w:sz w:val="20"/>
        </w:rPr>
        <w:t xml:space="preserve"> from 31 to 60% and 35 to 50%, respectively in comparison with the control (AB1157), and in the recA13 mutants.  Whereas, Nalidixic acid, a quinolone compound had not induced any PAE under anaerobic conditions, </w:t>
      </w:r>
      <w:proofErr w:type="gramStart"/>
      <w:r w:rsidRPr="0059043F">
        <w:rPr>
          <w:rFonts w:ascii="Arial" w:hAnsi="Arial" w:cs="Arial"/>
          <w:iCs/>
          <w:sz w:val="20"/>
        </w:rPr>
        <w:t>But</w:t>
      </w:r>
      <w:proofErr w:type="gramEnd"/>
      <w:r w:rsidRPr="0059043F">
        <w:rPr>
          <w:rFonts w:ascii="Arial" w:hAnsi="Arial" w:cs="Arial"/>
          <w:iCs/>
          <w:sz w:val="20"/>
        </w:rPr>
        <w:t xml:space="preserve"> it had been noticed by the authors that there was delay in regrowth. It was inferred that if protein and RNA would have been saved by the bacteria, then there was resumption of original growth rate. </w:t>
      </w:r>
    </w:p>
    <w:p w14:paraId="5BAB3967" w14:textId="747EAD61" w:rsidR="0003385C" w:rsidRPr="0059043F" w:rsidRDefault="0003385C" w:rsidP="0059043F">
      <w:pPr>
        <w:spacing w:line="240" w:lineRule="auto"/>
        <w:jc w:val="both"/>
        <w:rPr>
          <w:rFonts w:ascii="Arial" w:hAnsi="Arial" w:cs="Arial"/>
          <w:iCs/>
          <w:sz w:val="20"/>
        </w:rPr>
      </w:pPr>
      <w:r w:rsidRPr="0059043F">
        <w:rPr>
          <w:rFonts w:ascii="Arial" w:hAnsi="Arial" w:cs="Arial"/>
          <w:iCs/>
          <w:sz w:val="20"/>
        </w:rPr>
        <w:t xml:space="preserve">Libby (1998) had quantified the metabolic activity of bacteria, </w:t>
      </w:r>
      <w:r w:rsidRPr="0059043F">
        <w:rPr>
          <w:rFonts w:ascii="Arial" w:hAnsi="Arial" w:cs="Arial"/>
          <w:i/>
          <w:sz w:val="20"/>
        </w:rPr>
        <w:t>Escherichia coli</w:t>
      </w:r>
      <w:r w:rsidRPr="0059043F">
        <w:rPr>
          <w:rFonts w:ascii="Arial" w:hAnsi="Arial" w:cs="Arial"/>
          <w:iCs/>
          <w:sz w:val="20"/>
        </w:rPr>
        <w:t xml:space="preserve"> after limited exposures, </w:t>
      </w:r>
      <w:proofErr w:type="spellStart"/>
      <w:r w:rsidRPr="0059043F">
        <w:rPr>
          <w:rFonts w:ascii="Arial" w:hAnsi="Arial" w:cs="Arial"/>
          <w:iCs/>
          <w:sz w:val="20"/>
        </w:rPr>
        <w:t>detrermined</w:t>
      </w:r>
      <w:proofErr w:type="spellEnd"/>
      <w:r w:rsidRPr="0059043F">
        <w:rPr>
          <w:rFonts w:ascii="Arial" w:hAnsi="Arial" w:cs="Arial"/>
          <w:iCs/>
          <w:sz w:val="20"/>
        </w:rPr>
        <w:t xml:space="preserve"> by programmed valve changes to cefotaxime and piperacillin measured by a micro-</w:t>
      </w:r>
      <w:proofErr w:type="spellStart"/>
      <w:r w:rsidRPr="0059043F">
        <w:rPr>
          <w:rFonts w:ascii="Arial" w:hAnsi="Arial" w:cs="Arial"/>
          <w:iCs/>
          <w:sz w:val="20"/>
        </w:rPr>
        <w:t>physiometer</w:t>
      </w:r>
      <w:proofErr w:type="spellEnd"/>
      <w:r w:rsidRPr="0059043F">
        <w:rPr>
          <w:rFonts w:ascii="Arial" w:hAnsi="Arial" w:cs="Arial"/>
          <w:iCs/>
          <w:sz w:val="20"/>
        </w:rPr>
        <w:t>, which could detect pH change, in the cellular environment thus reflecting metabolic activity of cells The antibiotics were rapidly pumped into and flushed from each cellular environment. The post antibiotic effect was analysed by graphical sketches. It was reported that after exposure with 95-101 min of antibiotic exposure, there were reappearance of short, highly motile cells in many more numbers.</w:t>
      </w:r>
    </w:p>
    <w:p w14:paraId="216AD4F4" w14:textId="6622413E" w:rsidR="002D67FD" w:rsidRPr="0059043F" w:rsidRDefault="0059043F" w:rsidP="0003385C">
      <w:pPr>
        <w:spacing w:line="360" w:lineRule="auto"/>
        <w:jc w:val="both"/>
        <w:rPr>
          <w:rFonts w:ascii="Arial" w:hAnsi="Arial" w:cs="Arial"/>
          <w:b/>
          <w:bCs/>
          <w:iCs/>
          <w:szCs w:val="22"/>
        </w:rPr>
      </w:pPr>
      <w:r w:rsidRPr="0059043F">
        <w:rPr>
          <w:rFonts w:ascii="Arial" w:hAnsi="Arial" w:cs="Arial"/>
          <w:b/>
          <w:bCs/>
          <w:iCs/>
          <w:szCs w:val="22"/>
        </w:rPr>
        <w:t>3. MEDICINAL AND AROMATIC PLANT ESSENTIAL OILS AS POST ANTIBIOTIC SURVIVOR KILLING AGENTS</w:t>
      </w:r>
    </w:p>
    <w:p w14:paraId="3B9E39E1" w14:textId="4B1B67A9" w:rsidR="002D67FD" w:rsidRPr="0059043F" w:rsidRDefault="0003385C" w:rsidP="0059043F">
      <w:pPr>
        <w:spacing w:line="240" w:lineRule="auto"/>
        <w:jc w:val="both"/>
        <w:rPr>
          <w:rFonts w:ascii="Arial" w:hAnsi="Arial" w:cs="Arial"/>
          <w:iCs/>
          <w:sz w:val="20"/>
        </w:rPr>
      </w:pPr>
      <w:r w:rsidRPr="0059043F">
        <w:rPr>
          <w:rFonts w:ascii="Arial" w:hAnsi="Arial" w:cs="Arial"/>
          <w:iCs/>
          <w:sz w:val="20"/>
        </w:rPr>
        <w:lastRenderedPageBreak/>
        <w:t xml:space="preserve">In this </w:t>
      </w:r>
      <w:r w:rsidR="009E566B" w:rsidRPr="0059043F">
        <w:rPr>
          <w:rFonts w:ascii="Arial" w:hAnsi="Arial" w:cs="Arial"/>
          <w:iCs/>
          <w:sz w:val="20"/>
        </w:rPr>
        <w:t xml:space="preserve">scenario, </w:t>
      </w:r>
      <w:r w:rsidRPr="0059043F">
        <w:rPr>
          <w:rFonts w:ascii="Arial" w:hAnsi="Arial" w:cs="Arial"/>
          <w:iCs/>
          <w:sz w:val="20"/>
        </w:rPr>
        <w:t xml:space="preserve">medicinal plants may be considered as source of an array of antibacterial agents. </w:t>
      </w:r>
      <w:r w:rsidR="002D67FD" w:rsidRPr="0059043F">
        <w:rPr>
          <w:rFonts w:ascii="Arial" w:hAnsi="Arial" w:cs="Arial"/>
          <w:iCs/>
          <w:sz w:val="20"/>
        </w:rPr>
        <w:t>T</w:t>
      </w:r>
      <w:r w:rsidRPr="0059043F">
        <w:rPr>
          <w:rFonts w:ascii="Arial" w:hAnsi="Arial" w:cs="Arial"/>
          <w:iCs/>
          <w:sz w:val="20"/>
        </w:rPr>
        <w:t xml:space="preserve">he group, named as medicinal and aromatic plants (MAPs) have also drawn attention of mankind since time immemorial. The members of this group are renowned for their prolific source of secondary metabolites which are the active principles of medicinal values of plant species. The secondary metabolites are produced in response to stress (Pattnaik. 2018), and also to restrict the predators from gazing. These </w:t>
      </w:r>
      <w:proofErr w:type="spellStart"/>
      <w:r w:rsidRPr="0059043F">
        <w:rPr>
          <w:rFonts w:ascii="Arial" w:hAnsi="Arial" w:cs="Arial"/>
          <w:iCs/>
          <w:sz w:val="20"/>
        </w:rPr>
        <w:t>phyto</w:t>
      </w:r>
      <w:proofErr w:type="spellEnd"/>
      <w:r w:rsidRPr="0059043F">
        <w:rPr>
          <w:rFonts w:ascii="Arial" w:hAnsi="Arial" w:cs="Arial"/>
          <w:iCs/>
          <w:sz w:val="20"/>
        </w:rPr>
        <w:t xml:space="preserve">- principles, have been experimented as well as used as various dosage forms by Pharmaceuticals, because of sustainability and least toxicity. </w:t>
      </w:r>
    </w:p>
    <w:p w14:paraId="1E0D7777" w14:textId="055441AD" w:rsidR="009E566B" w:rsidRPr="0059043F" w:rsidRDefault="00370A58" w:rsidP="009E566B">
      <w:pPr>
        <w:spacing w:after="0" w:line="360" w:lineRule="auto"/>
        <w:jc w:val="both"/>
        <w:rPr>
          <w:rFonts w:ascii="Arial" w:hAnsi="Arial" w:cs="Arial"/>
          <w:b/>
          <w:bCs/>
          <w:szCs w:val="22"/>
          <w:lang w:val="en-US"/>
        </w:rPr>
      </w:pPr>
      <w:r w:rsidRPr="0059043F">
        <w:rPr>
          <w:rFonts w:ascii="Arial" w:hAnsi="Arial" w:cs="Arial"/>
          <w:b/>
          <w:bCs/>
          <w:szCs w:val="22"/>
          <w:lang w:val="en-US"/>
        </w:rPr>
        <w:t>3</w:t>
      </w:r>
      <w:r w:rsidR="002D67FD" w:rsidRPr="0059043F">
        <w:rPr>
          <w:rFonts w:ascii="Arial" w:hAnsi="Arial" w:cs="Arial"/>
          <w:b/>
          <w:bCs/>
          <w:szCs w:val="22"/>
          <w:lang w:val="en-US"/>
        </w:rPr>
        <w:t xml:space="preserve">.1 </w:t>
      </w:r>
      <w:r w:rsidR="009E566B" w:rsidRPr="0059043F">
        <w:rPr>
          <w:rFonts w:ascii="Arial" w:hAnsi="Arial" w:cs="Arial"/>
          <w:b/>
          <w:bCs/>
          <w:szCs w:val="22"/>
          <w:lang w:val="en-US"/>
        </w:rPr>
        <w:t xml:space="preserve">Non -specific Interaction module </w:t>
      </w:r>
    </w:p>
    <w:p w14:paraId="05ACC941" w14:textId="4C9FDE4E" w:rsidR="009E566B" w:rsidRPr="0059043F" w:rsidRDefault="009E566B" w:rsidP="0059043F">
      <w:pPr>
        <w:spacing w:after="0" w:line="240" w:lineRule="auto"/>
        <w:jc w:val="both"/>
        <w:rPr>
          <w:rFonts w:ascii="Arial" w:hAnsi="Arial" w:cs="Arial"/>
          <w:sz w:val="20"/>
          <w:lang w:val="en-US"/>
        </w:rPr>
      </w:pPr>
      <w:r w:rsidRPr="0059043F">
        <w:rPr>
          <w:rFonts w:ascii="Arial" w:hAnsi="Arial" w:cs="Arial"/>
          <w:sz w:val="20"/>
          <w:lang w:val="en-US"/>
        </w:rPr>
        <w:t xml:space="preserve">The essential oils derived from MAPs, are chemically bioactive and therefore can have bacteria dealing activity </w:t>
      </w:r>
      <w:r w:rsidR="00A20F9C" w:rsidRPr="0059043F">
        <w:rPr>
          <w:rFonts w:ascii="Arial" w:hAnsi="Arial" w:cs="Arial"/>
          <w:sz w:val="20"/>
          <w:lang w:val="en-US"/>
        </w:rPr>
        <w:t>nonspecifically</w:t>
      </w:r>
      <w:r w:rsidRPr="0059043F">
        <w:rPr>
          <w:rFonts w:ascii="Arial" w:hAnsi="Arial" w:cs="Arial"/>
          <w:sz w:val="20"/>
          <w:lang w:val="en-US"/>
        </w:rPr>
        <w:t xml:space="preserve"> also. This is important to mention that the essential oils are secreted in response to stress factor imposed upon the plant life. The plant defend itself against the factors using essential oils or its relevant phytochemicals. The EOs are secreted during onset of drought, elevation of temperature, alternation of soil pH, salinity even during invasion of microorganisms into the plant body and /or during self would healing activity. Therefore, EOS are constituted with multitude of defensive factors, which may be related with its non-specific mechanism of action. The most alluring non-specific mechanism of action is the induction of stress (Pattnaik, 2018 a) and killing of whole cell of bacteria. </w:t>
      </w:r>
    </w:p>
    <w:p w14:paraId="50B17EDB" w14:textId="449CAE7E" w:rsidR="009E566B" w:rsidRPr="00AD5FD1" w:rsidRDefault="009E566B" w:rsidP="009E566B">
      <w:pPr>
        <w:spacing w:after="0" w:line="360" w:lineRule="auto"/>
        <w:jc w:val="both"/>
        <w:rPr>
          <w:rFonts w:ascii="Arial" w:hAnsi="Arial" w:cs="Arial"/>
          <w:sz w:val="24"/>
          <w:szCs w:val="24"/>
          <w:lang w:val="en-US"/>
        </w:rPr>
      </w:pPr>
    </w:p>
    <w:p w14:paraId="445C72E5" w14:textId="2C040D00" w:rsidR="009E566B" w:rsidRDefault="009E566B" w:rsidP="009E566B">
      <w:pPr>
        <w:spacing w:after="0" w:line="360" w:lineRule="auto"/>
        <w:jc w:val="both"/>
        <w:rPr>
          <w:rFonts w:ascii="Arial" w:hAnsi="Arial" w:cs="Arial"/>
          <w:sz w:val="24"/>
          <w:szCs w:val="24"/>
          <w:lang w:val="en-US"/>
        </w:rPr>
      </w:pPr>
    </w:p>
    <w:p w14:paraId="7D1E066B" w14:textId="77777777" w:rsidR="0059043F" w:rsidRDefault="0059043F" w:rsidP="009E566B">
      <w:pPr>
        <w:spacing w:after="0" w:line="360" w:lineRule="auto"/>
        <w:jc w:val="both"/>
        <w:rPr>
          <w:rFonts w:ascii="Arial" w:hAnsi="Arial" w:cs="Arial"/>
          <w:sz w:val="24"/>
          <w:szCs w:val="24"/>
          <w:lang w:val="en-US"/>
        </w:rPr>
      </w:pPr>
    </w:p>
    <w:p w14:paraId="0D8CA0D0" w14:textId="77777777" w:rsidR="0059043F" w:rsidRDefault="0059043F" w:rsidP="009E566B">
      <w:pPr>
        <w:spacing w:after="0" w:line="360" w:lineRule="auto"/>
        <w:jc w:val="both"/>
        <w:rPr>
          <w:rFonts w:ascii="Arial" w:hAnsi="Arial" w:cs="Arial"/>
          <w:sz w:val="24"/>
          <w:szCs w:val="24"/>
          <w:lang w:val="en-US"/>
        </w:rPr>
      </w:pPr>
    </w:p>
    <w:p w14:paraId="55F1EE27" w14:textId="329EEAEF" w:rsidR="0059043F" w:rsidRDefault="0059043F" w:rsidP="009E566B">
      <w:pPr>
        <w:spacing w:after="0" w:line="360" w:lineRule="auto"/>
        <w:jc w:val="both"/>
        <w:rPr>
          <w:rFonts w:ascii="Arial" w:hAnsi="Arial" w:cs="Arial"/>
          <w:sz w:val="24"/>
          <w:szCs w:val="24"/>
          <w:lang w:val="en-US"/>
        </w:rPr>
      </w:pPr>
    </w:p>
    <w:p w14:paraId="62A5729C" w14:textId="7B7D9154" w:rsidR="0059043F" w:rsidRDefault="0059043F" w:rsidP="009E566B">
      <w:pPr>
        <w:spacing w:after="0" w:line="360" w:lineRule="auto"/>
        <w:jc w:val="both"/>
        <w:rPr>
          <w:rFonts w:ascii="Arial" w:hAnsi="Arial" w:cs="Arial"/>
          <w:sz w:val="24"/>
          <w:szCs w:val="24"/>
          <w:lang w:val="en-US"/>
        </w:rPr>
      </w:pPr>
    </w:p>
    <w:p w14:paraId="022382AB" w14:textId="15A79477" w:rsidR="0059043F" w:rsidRDefault="0059043F" w:rsidP="009E566B">
      <w:pPr>
        <w:spacing w:after="0" w:line="360" w:lineRule="auto"/>
        <w:jc w:val="both"/>
        <w:rPr>
          <w:rFonts w:ascii="Arial" w:hAnsi="Arial" w:cs="Arial"/>
          <w:sz w:val="24"/>
          <w:szCs w:val="24"/>
          <w:lang w:val="en-US"/>
        </w:rPr>
      </w:pPr>
      <w:r w:rsidRPr="00AD5FD1">
        <w:rPr>
          <w:rFonts w:ascii="Arial" w:hAnsi="Arial" w:cs="Arial"/>
          <w:noProof/>
        </w:rPr>
        <w:drawing>
          <wp:anchor distT="0" distB="0" distL="114300" distR="114300" simplePos="0" relativeHeight="251666432" behindDoc="1" locked="0" layoutInCell="1" allowOverlap="1" wp14:anchorId="4D8EEDCB" wp14:editId="6BFA0659">
            <wp:simplePos x="0" y="0"/>
            <wp:positionH relativeFrom="margin">
              <wp:posOffset>440540</wp:posOffset>
            </wp:positionH>
            <wp:positionV relativeFrom="paragraph">
              <wp:posOffset>10645</wp:posOffset>
            </wp:positionV>
            <wp:extent cx="5262613" cy="2542540"/>
            <wp:effectExtent l="0" t="0" r="0" b="0"/>
            <wp:wrapNone/>
            <wp:docPr id="281268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PlasticWrap/>
                              </a14:imgEffect>
                            </a14:imgLayer>
                          </a14:imgProps>
                        </a:ext>
                        <a:ext uri="{28A0092B-C50C-407E-A947-70E740481C1C}">
                          <a14:useLocalDpi xmlns:a14="http://schemas.microsoft.com/office/drawing/2010/main" val="0"/>
                        </a:ext>
                      </a:extLst>
                    </a:blip>
                    <a:srcRect r="4941"/>
                    <a:stretch/>
                  </pic:blipFill>
                  <pic:spPr bwMode="auto">
                    <a:xfrm>
                      <a:off x="0" y="0"/>
                      <a:ext cx="5262613" cy="2542540"/>
                    </a:xfrm>
                    <a:prstGeom prst="rect">
                      <a:avLst/>
                    </a:prstGeom>
                    <a:noFill/>
                    <a:ln>
                      <a:noFill/>
                    </a:ln>
                    <a:extLst>
                      <a:ext uri="{53640926-AAD7-44D8-BBD7-CCE9431645EC}">
                        <a14:shadowObscured xmlns:a14="http://schemas.microsoft.com/office/drawing/2010/main"/>
                      </a:ext>
                    </a:extLst>
                  </pic:spPr>
                </pic:pic>
              </a:graphicData>
            </a:graphic>
          </wp:anchor>
        </w:drawing>
      </w:r>
    </w:p>
    <w:p w14:paraId="08DE81EB" w14:textId="77777777" w:rsidR="0059043F" w:rsidRDefault="0059043F" w:rsidP="009E566B">
      <w:pPr>
        <w:spacing w:after="0" w:line="360" w:lineRule="auto"/>
        <w:jc w:val="both"/>
        <w:rPr>
          <w:rFonts w:ascii="Arial" w:hAnsi="Arial" w:cs="Arial"/>
          <w:sz w:val="24"/>
          <w:szCs w:val="24"/>
          <w:lang w:val="en-US"/>
        </w:rPr>
      </w:pPr>
    </w:p>
    <w:p w14:paraId="1650EE44" w14:textId="77777777" w:rsidR="0059043F" w:rsidRDefault="0059043F" w:rsidP="009E566B">
      <w:pPr>
        <w:spacing w:after="0" w:line="360" w:lineRule="auto"/>
        <w:jc w:val="both"/>
        <w:rPr>
          <w:rFonts w:ascii="Arial" w:hAnsi="Arial" w:cs="Arial"/>
          <w:sz w:val="24"/>
          <w:szCs w:val="24"/>
          <w:lang w:val="en-US"/>
        </w:rPr>
      </w:pPr>
    </w:p>
    <w:p w14:paraId="30BC7A07" w14:textId="77777777" w:rsidR="0059043F" w:rsidRDefault="0059043F" w:rsidP="009E566B">
      <w:pPr>
        <w:spacing w:after="0" w:line="360" w:lineRule="auto"/>
        <w:jc w:val="both"/>
        <w:rPr>
          <w:rFonts w:ascii="Arial" w:hAnsi="Arial" w:cs="Arial"/>
          <w:sz w:val="24"/>
          <w:szCs w:val="24"/>
          <w:lang w:val="en-US"/>
        </w:rPr>
      </w:pPr>
    </w:p>
    <w:p w14:paraId="6FB8B501" w14:textId="77777777" w:rsidR="0059043F" w:rsidRDefault="0059043F" w:rsidP="009E566B">
      <w:pPr>
        <w:spacing w:after="0" w:line="360" w:lineRule="auto"/>
        <w:jc w:val="both"/>
        <w:rPr>
          <w:rFonts w:ascii="Arial" w:hAnsi="Arial" w:cs="Arial"/>
          <w:sz w:val="24"/>
          <w:szCs w:val="24"/>
          <w:lang w:val="en-US"/>
        </w:rPr>
      </w:pPr>
    </w:p>
    <w:p w14:paraId="00013C5C" w14:textId="77777777" w:rsidR="0059043F" w:rsidRDefault="0059043F" w:rsidP="009E566B">
      <w:pPr>
        <w:spacing w:after="0" w:line="360" w:lineRule="auto"/>
        <w:jc w:val="both"/>
        <w:rPr>
          <w:rFonts w:ascii="Arial" w:hAnsi="Arial" w:cs="Arial"/>
          <w:sz w:val="24"/>
          <w:szCs w:val="24"/>
          <w:lang w:val="en-US"/>
        </w:rPr>
      </w:pPr>
    </w:p>
    <w:p w14:paraId="1049936E" w14:textId="77777777" w:rsidR="0059043F" w:rsidRDefault="0059043F" w:rsidP="009E566B">
      <w:pPr>
        <w:spacing w:after="0" w:line="360" w:lineRule="auto"/>
        <w:jc w:val="both"/>
        <w:rPr>
          <w:rFonts w:ascii="Arial" w:hAnsi="Arial" w:cs="Arial"/>
          <w:sz w:val="24"/>
          <w:szCs w:val="24"/>
          <w:lang w:val="en-US"/>
        </w:rPr>
      </w:pPr>
    </w:p>
    <w:p w14:paraId="12FFCCB9" w14:textId="77777777" w:rsidR="0059043F" w:rsidRPr="00AD5FD1" w:rsidRDefault="0059043F" w:rsidP="009E566B">
      <w:pPr>
        <w:spacing w:after="0" w:line="360" w:lineRule="auto"/>
        <w:jc w:val="both"/>
        <w:rPr>
          <w:rFonts w:ascii="Arial" w:hAnsi="Arial" w:cs="Arial"/>
          <w:sz w:val="24"/>
          <w:szCs w:val="24"/>
          <w:lang w:val="en-US"/>
        </w:rPr>
      </w:pPr>
    </w:p>
    <w:p w14:paraId="22F305AB" w14:textId="77777777" w:rsidR="0059043F" w:rsidRDefault="0059043F" w:rsidP="009E566B">
      <w:pPr>
        <w:spacing w:after="0" w:line="240" w:lineRule="auto"/>
        <w:jc w:val="both"/>
        <w:rPr>
          <w:rFonts w:ascii="Arial" w:hAnsi="Arial" w:cs="Arial"/>
          <w:b/>
          <w:bCs/>
          <w:sz w:val="24"/>
          <w:szCs w:val="24"/>
          <w:lang w:val="en-US"/>
        </w:rPr>
      </w:pPr>
    </w:p>
    <w:p w14:paraId="4200EF4D" w14:textId="77777777" w:rsidR="0059043F" w:rsidRDefault="0059043F" w:rsidP="009E566B">
      <w:pPr>
        <w:spacing w:after="0" w:line="240" w:lineRule="auto"/>
        <w:jc w:val="both"/>
        <w:rPr>
          <w:rFonts w:ascii="Arial" w:hAnsi="Arial" w:cs="Arial"/>
          <w:b/>
          <w:bCs/>
          <w:sz w:val="24"/>
          <w:szCs w:val="24"/>
          <w:lang w:val="en-US"/>
        </w:rPr>
      </w:pPr>
    </w:p>
    <w:p w14:paraId="66A092F5" w14:textId="77777777" w:rsidR="0059043F" w:rsidRDefault="0059043F" w:rsidP="009E566B">
      <w:pPr>
        <w:spacing w:after="0" w:line="240" w:lineRule="auto"/>
        <w:jc w:val="both"/>
        <w:rPr>
          <w:rFonts w:ascii="Arial" w:hAnsi="Arial" w:cs="Arial"/>
          <w:b/>
          <w:bCs/>
          <w:sz w:val="24"/>
          <w:szCs w:val="24"/>
          <w:lang w:val="en-US"/>
        </w:rPr>
      </w:pPr>
    </w:p>
    <w:p w14:paraId="6611DAA3" w14:textId="77777777" w:rsidR="0059043F" w:rsidRDefault="0059043F" w:rsidP="009E566B">
      <w:pPr>
        <w:spacing w:after="0" w:line="240" w:lineRule="auto"/>
        <w:jc w:val="both"/>
        <w:rPr>
          <w:rFonts w:ascii="Arial" w:hAnsi="Arial" w:cs="Arial"/>
          <w:b/>
          <w:bCs/>
          <w:sz w:val="24"/>
          <w:szCs w:val="24"/>
          <w:lang w:val="en-US"/>
        </w:rPr>
      </w:pPr>
    </w:p>
    <w:p w14:paraId="78E7179E" w14:textId="77777777" w:rsidR="0059043F" w:rsidRDefault="0059043F" w:rsidP="009E566B">
      <w:pPr>
        <w:spacing w:after="0" w:line="240" w:lineRule="auto"/>
        <w:jc w:val="both"/>
        <w:rPr>
          <w:rFonts w:ascii="Arial" w:hAnsi="Arial" w:cs="Arial"/>
          <w:b/>
          <w:bCs/>
          <w:sz w:val="24"/>
          <w:szCs w:val="24"/>
          <w:lang w:val="en-US"/>
        </w:rPr>
      </w:pPr>
    </w:p>
    <w:p w14:paraId="29B0A524" w14:textId="52B4CEE2" w:rsidR="009E566B" w:rsidRPr="0059043F" w:rsidRDefault="009E566B" w:rsidP="009E566B">
      <w:pPr>
        <w:spacing w:after="0" w:line="240" w:lineRule="auto"/>
        <w:jc w:val="both"/>
        <w:rPr>
          <w:rFonts w:ascii="Arial" w:hAnsi="Arial" w:cs="Arial"/>
          <w:b/>
          <w:bCs/>
          <w:sz w:val="20"/>
          <w:lang w:val="en-US"/>
        </w:rPr>
      </w:pPr>
      <w:r w:rsidRPr="0059043F">
        <w:rPr>
          <w:rFonts w:ascii="Arial" w:hAnsi="Arial" w:cs="Arial"/>
          <w:b/>
          <w:bCs/>
          <w:sz w:val="20"/>
          <w:lang w:val="en-US"/>
        </w:rPr>
        <w:t>Fig</w:t>
      </w:r>
      <w:r w:rsidR="0059043F" w:rsidRPr="0059043F">
        <w:rPr>
          <w:rFonts w:ascii="Arial" w:hAnsi="Arial" w:cs="Arial"/>
          <w:b/>
          <w:bCs/>
          <w:sz w:val="20"/>
          <w:lang w:val="en-US"/>
        </w:rPr>
        <w:t xml:space="preserve">. </w:t>
      </w:r>
      <w:r w:rsidR="00370A58" w:rsidRPr="0059043F">
        <w:rPr>
          <w:rFonts w:ascii="Arial" w:hAnsi="Arial" w:cs="Arial"/>
          <w:b/>
          <w:bCs/>
          <w:sz w:val="20"/>
          <w:lang w:val="en-US"/>
        </w:rPr>
        <w:t>2</w:t>
      </w:r>
      <w:r w:rsidR="0059043F" w:rsidRPr="0059043F">
        <w:rPr>
          <w:rFonts w:ascii="Arial" w:hAnsi="Arial" w:cs="Arial"/>
          <w:b/>
          <w:bCs/>
          <w:sz w:val="20"/>
          <w:lang w:val="en-US"/>
        </w:rPr>
        <w:t>.</w:t>
      </w:r>
      <w:r w:rsidR="00370A58" w:rsidRPr="0059043F">
        <w:rPr>
          <w:rFonts w:ascii="Arial" w:hAnsi="Arial" w:cs="Arial"/>
          <w:b/>
          <w:bCs/>
          <w:sz w:val="20"/>
          <w:lang w:val="en-US"/>
        </w:rPr>
        <w:t xml:space="preserve"> </w:t>
      </w:r>
      <w:r w:rsidRPr="0059043F">
        <w:rPr>
          <w:rFonts w:ascii="Arial" w:hAnsi="Arial" w:cs="Arial"/>
          <w:b/>
          <w:bCs/>
          <w:sz w:val="20"/>
          <w:lang w:val="en-US"/>
        </w:rPr>
        <w:t>An artwork showing the total bacterial cell killing of essential oils by inducing stress</w:t>
      </w:r>
    </w:p>
    <w:p w14:paraId="78BC29C5" w14:textId="77777777" w:rsidR="009E566B" w:rsidRPr="00AD5FD1" w:rsidRDefault="009E566B" w:rsidP="009E566B">
      <w:pPr>
        <w:spacing w:after="0" w:line="240" w:lineRule="auto"/>
        <w:rPr>
          <w:rFonts w:ascii="Arial" w:hAnsi="Arial" w:cs="Arial"/>
          <w:b/>
          <w:bCs/>
          <w:sz w:val="24"/>
          <w:szCs w:val="24"/>
          <w:lang w:val="en-US"/>
        </w:rPr>
      </w:pPr>
    </w:p>
    <w:p w14:paraId="17FDAD6C" w14:textId="6DC61C0A" w:rsidR="00765D3B" w:rsidRPr="00B36AD8" w:rsidRDefault="009E566B" w:rsidP="00B36AD8">
      <w:pPr>
        <w:spacing w:line="240" w:lineRule="auto"/>
        <w:jc w:val="both"/>
        <w:rPr>
          <w:rFonts w:ascii="Arial" w:hAnsi="Arial" w:cs="Arial"/>
          <w:sz w:val="20"/>
          <w:lang w:val="en-US"/>
        </w:rPr>
      </w:pPr>
      <w:r w:rsidRPr="00B36AD8">
        <w:rPr>
          <w:rFonts w:ascii="Arial" w:hAnsi="Arial" w:cs="Arial"/>
          <w:sz w:val="20"/>
          <w:lang w:val="en-US"/>
        </w:rPr>
        <w:t xml:space="preserve">Stress factor may cause the cellular proton pump imbalance (Pattnaik, 2018 b), widening of protein pores thus making the cellular membrane prone to accept unwanted solutes, or take more solutes beyond threshold values, as a result of which the cell loss it’s homeostatic environment and undergoes degradation, and the bacteria is killed. </w:t>
      </w:r>
    </w:p>
    <w:p w14:paraId="15BDC05B" w14:textId="1CD44F94" w:rsidR="009E566B" w:rsidRPr="0059043F" w:rsidRDefault="00370A58" w:rsidP="009E566B">
      <w:pPr>
        <w:spacing w:line="360" w:lineRule="auto"/>
        <w:jc w:val="both"/>
        <w:rPr>
          <w:rFonts w:ascii="Arial" w:hAnsi="Arial" w:cs="Arial"/>
          <w:b/>
          <w:bCs/>
          <w:szCs w:val="22"/>
          <w:lang w:val="en-US"/>
        </w:rPr>
      </w:pPr>
      <w:r w:rsidRPr="0059043F">
        <w:rPr>
          <w:rFonts w:ascii="Arial" w:hAnsi="Arial" w:cs="Arial"/>
          <w:b/>
          <w:bCs/>
          <w:szCs w:val="22"/>
          <w:lang w:val="en-US"/>
        </w:rPr>
        <w:t xml:space="preserve">3.2 </w:t>
      </w:r>
      <w:r w:rsidR="009E566B" w:rsidRPr="0059043F">
        <w:rPr>
          <w:rFonts w:ascii="Arial" w:hAnsi="Arial" w:cs="Arial"/>
          <w:b/>
          <w:bCs/>
          <w:szCs w:val="22"/>
          <w:lang w:val="en-US"/>
        </w:rPr>
        <w:t>Specific Interaction module</w:t>
      </w:r>
    </w:p>
    <w:p w14:paraId="2B891291" w14:textId="590D185F" w:rsidR="009E566B" w:rsidRPr="0059043F" w:rsidRDefault="009E566B" w:rsidP="00B36AD8">
      <w:pPr>
        <w:spacing w:line="240" w:lineRule="auto"/>
        <w:jc w:val="both"/>
        <w:rPr>
          <w:rFonts w:ascii="Arial" w:hAnsi="Arial" w:cs="Arial"/>
          <w:sz w:val="20"/>
          <w:lang w:val="en-US"/>
        </w:rPr>
      </w:pPr>
      <w:r w:rsidRPr="0059043F">
        <w:rPr>
          <w:rFonts w:ascii="Arial" w:hAnsi="Arial" w:cs="Arial"/>
          <w:sz w:val="20"/>
          <w:lang w:val="en-US"/>
        </w:rPr>
        <w:lastRenderedPageBreak/>
        <w:t>The essential oils can have specific act of killing bacteria. The EOS, may have interaction upon cell wall enzymes</w:t>
      </w:r>
      <w:r w:rsidR="00370A58" w:rsidRPr="0059043F">
        <w:rPr>
          <w:rFonts w:ascii="Arial" w:hAnsi="Arial" w:cs="Arial"/>
          <w:sz w:val="20"/>
          <w:lang w:val="en-US"/>
        </w:rPr>
        <w:t xml:space="preserve"> (Fig. 3)</w:t>
      </w:r>
      <w:r w:rsidRPr="0059043F">
        <w:rPr>
          <w:rFonts w:ascii="Arial" w:hAnsi="Arial" w:cs="Arial"/>
          <w:sz w:val="20"/>
          <w:lang w:val="en-US"/>
        </w:rPr>
        <w:t xml:space="preserve">, cell membranes, </w:t>
      </w:r>
      <w:proofErr w:type="spellStart"/>
      <w:r w:rsidRPr="0059043F">
        <w:rPr>
          <w:rFonts w:ascii="Arial" w:hAnsi="Arial" w:cs="Arial"/>
          <w:sz w:val="20"/>
          <w:lang w:val="en-US"/>
        </w:rPr>
        <w:t>FtsZ</w:t>
      </w:r>
      <w:proofErr w:type="spellEnd"/>
      <w:r w:rsidRPr="0059043F">
        <w:rPr>
          <w:rFonts w:ascii="Arial" w:hAnsi="Arial" w:cs="Arial"/>
          <w:sz w:val="20"/>
          <w:lang w:val="en-US"/>
        </w:rPr>
        <w:t>, the cell division proteins</w:t>
      </w:r>
      <w:r w:rsidR="00370A58" w:rsidRPr="0059043F">
        <w:rPr>
          <w:rFonts w:ascii="Arial" w:hAnsi="Arial" w:cs="Arial"/>
          <w:sz w:val="20"/>
          <w:lang w:val="en-US"/>
        </w:rPr>
        <w:t xml:space="preserve"> (Fig. 4)</w:t>
      </w:r>
      <w:r w:rsidRPr="0059043F">
        <w:rPr>
          <w:rFonts w:ascii="Arial" w:hAnsi="Arial" w:cs="Arial"/>
          <w:sz w:val="20"/>
          <w:lang w:val="en-US"/>
        </w:rPr>
        <w:t xml:space="preserve">, </w:t>
      </w:r>
      <w:r w:rsidR="00370A58" w:rsidRPr="0059043F">
        <w:rPr>
          <w:rFonts w:ascii="Arial" w:hAnsi="Arial" w:cs="Arial"/>
          <w:sz w:val="20"/>
          <w:lang w:val="en-US"/>
        </w:rPr>
        <w:t xml:space="preserve">DNA Topo-isomerases (Fig. 5), </w:t>
      </w:r>
      <w:r w:rsidRPr="0059043F">
        <w:rPr>
          <w:rFonts w:ascii="Arial" w:hAnsi="Arial" w:cs="Arial"/>
          <w:sz w:val="20"/>
          <w:lang w:val="en-US"/>
        </w:rPr>
        <w:t xml:space="preserve">cellular proteins, RNA etc. evidenced from reports published in literature. </w:t>
      </w:r>
    </w:p>
    <w:p w14:paraId="62BD773C" w14:textId="28F1616B" w:rsidR="009E566B" w:rsidRPr="00AD5FD1" w:rsidRDefault="009E566B" w:rsidP="009E566B">
      <w:pPr>
        <w:rPr>
          <w:rFonts w:ascii="Arial" w:hAnsi="Arial" w:cs="Arial"/>
          <w:b/>
          <w:bCs/>
          <w:sz w:val="24"/>
          <w:szCs w:val="24"/>
          <w:lang w:val="en-US"/>
        </w:rPr>
      </w:pPr>
      <w:r w:rsidRPr="00AD5FD1">
        <w:rPr>
          <w:rFonts w:ascii="Arial" w:hAnsi="Arial" w:cs="Arial"/>
          <w:noProof/>
        </w:rPr>
        <w:drawing>
          <wp:inline distT="0" distB="0" distL="0" distR="0" wp14:anchorId="236A10BE" wp14:editId="582CBBF0">
            <wp:extent cx="5303104" cy="2556659"/>
            <wp:effectExtent l="0" t="0" r="0" b="0"/>
            <wp:docPr id="14852539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BEBA8EAE-BF5A-486C-A8C5-ECC9F3942E4B}">
                          <a14:imgProps xmlns:a14="http://schemas.microsoft.com/office/drawing/2010/main">
                            <a14:imgLayer r:embed="rId13">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5313849" cy="2561839"/>
                    </a:xfrm>
                    <a:prstGeom prst="rect">
                      <a:avLst/>
                    </a:prstGeom>
                    <a:noFill/>
                    <a:ln>
                      <a:noFill/>
                    </a:ln>
                  </pic:spPr>
                </pic:pic>
              </a:graphicData>
            </a:graphic>
          </wp:inline>
        </w:drawing>
      </w:r>
    </w:p>
    <w:p w14:paraId="19941988" w14:textId="023CAFDD" w:rsidR="009E566B" w:rsidRPr="0059043F" w:rsidRDefault="009E566B" w:rsidP="009E566B">
      <w:pPr>
        <w:jc w:val="both"/>
        <w:rPr>
          <w:rFonts w:ascii="Arial" w:hAnsi="Arial" w:cs="Arial"/>
          <w:b/>
          <w:bCs/>
          <w:sz w:val="20"/>
          <w:lang w:val="en-US"/>
        </w:rPr>
      </w:pPr>
      <w:r w:rsidRPr="0059043F">
        <w:rPr>
          <w:rFonts w:ascii="Arial" w:hAnsi="Arial" w:cs="Arial"/>
          <w:b/>
          <w:bCs/>
          <w:sz w:val="20"/>
          <w:lang w:val="en-US"/>
        </w:rPr>
        <w:t>Fig</w:t>
      </w:r>
      <w:r w:rsidR="0059043F" w:rsidRPr="0059043F">
        <w:rPr>
          <w:rFonts w:ascii="Arial" w:hAnsi="Arial" w:cs="Arial"/>
          <w:b/>
          <w:bCs/>
          <w:sz w:val="20"/>
          <w:lang w:val="en-US"/>
        </w:rPr>
        <w:t xml:space="preserve">. </w:t>
      </w:r>
      <w:r w:rsidR="00370A58" w:rsidRPr="0059043F">
        <w:rPr>
          <w:rFonts w:ascii="Arial" w:hAnsi="Arial" w:cs="Arial"/>
          <w:b/>
          <w:bCs/>
          <w:sz w:val="20"/>
          <w:lang w:val="en-US"/>
        </w:rPr>
        <w:t>3</w:t>
      </w:r>
      <w:r w:rsidR="0059043F" w:rsidRPr="0059043F">
        <w:rPr>
          <w:rFonts w:ascii="Arial" w:hAnsi="Arial" w:cs="Arial"/>
          <w:b/>
          <w:bCs/>
          <w:sz w:val="20"/>
          <w:lang w:val="en-US"/>
        </w:rPr>
        <w:t>.</w:t>
      </w:r>
      <w:r w:rsidRPr="0059043F">
        <w:rPr>
          <w:rFonts w:ascii="Arial" w:hAnsi="Arial" w:cs="Arial"/>
          <w:b/>
          <w:bCs/>
          <w:sz w:val="20"/>
          <w:lang w:val="en-US"/>
        </w:rPr>
        <w:t xml:space="preserve"> Structure of Gram positive and </w:t>
      </w:r>
      <w:r w:rsidR="00A20F9C" w:rsidRPr="0059043F">
        <w:rPr>
          <w:rFonts w:ascii="Arial" w:hAnsi="Arial" w:cs="Arial"/>
          <w:b/>
          <w:bCs/>
          <w:sz w:val="20"/>
          <w:lang w:val="en-US"/>
        </w:rPr>
        <w:t>Gram-negative</w:t>
      </w:r>
      <w:r w:rsidRPr="0059043F">
        <w:rPr>
          <w:rFonts w:ascii="Arial" w:hAnsi="Arial" w:cs="Arial"/>
          <w:b/>
          <w:bCs/>
          <w:sz w:val="20"/>
          <w:lang w:val="en-US"/>
        </w:rPr>
        <w:t xml:space="preserve"> cell wall, the enzymes/modified proteins could be targets of essential oils and/or its components like porin channels, penicillin binding proteins.</w:t>
      </w:r>
    </w:p>
    <w:p w14:paraId="61A43CFD" w14:textId="77777777" w:rsidR="009E566B" w:rsidRPr="00AD5FD1" w:rsidRDefault="009E566B" w:rsidP="009E566B">
      <w:pPr>
        <w:jc w:val="both"/>
        <w:rPr>
          <w:rFonts w:ascii="Arial" w:hAnsi="Arial" w:cs="Arial"/>
          <w:b/>
          <w:bCs/>
          <w:sz w:val="24"/>
          <w:szCs w:val="24"/>
          <w:lang w:val="en-US"/>
        </w:rPr>
      </w:pPr>
    </w:p>
    <w:p w14:paraId="74C493CB" w14:textId="77777777" w:rsidR="009E566B" w:rsidRPr="00AD5FD1" w:rsidRDefault="009E566B" w:rsidP="009E566B">
      <w:pPr>
        <w:jc w:val="both"/>
        <w:rPr>
          <w:rFonts w:ascii="Arial" w:hAnsi="Arial" w:cs="Arial"/>
          <w:b/>
          <w:bCs/>
          <w:sz w:val="24"/>
          <w:szCs w:val="24"/>
          <w:lang w:val="en-US"/>
        </w:rPr>
      </w:pPr>
      <w:r w:rsidRPr="00AD5FD1">
        <w:rPr>
          <w:rFonts w:ascii="Arial" w:hAnsi="Arial" w:cs="Arial"/>
          <w:noProof/>
        </w:rPr>
        <w:drawing>
          <wp:inline distT="0" distB="0" distL="0" distR="0" wp14:anchorId="265996A2" wp14:editId="7EA2398D">
            <wp:extent cx="5731510" cy="2255520"/>
            <wp:effectExtent l="0" t="0" r="2540" b="0"/>
            <wp:docPr id="1967447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5731510" cy="2255520"/>
                    </a:xfrm>
                    <a:prstGeom prst="rect">
                      <a:avLst/>
                    </a:prstGeom>
                    <a:noFill/>
                    <a:ln>
                      <a:noFill/>
                    </a:ln>
                  </pic:spPr>
                </pic:pic>
              </a:graphicData>
            </a:graphic>
          </wp:inline>
        </w:drawing>
      </w:r>
    </w:p>
    <w:p w14:paraId="3466C370" w14:textId="36C1B5CC" w:rsidR="009E566B" w:rsidRDefault="009E566B" w:rsidP="009E566B">
      <w:pPr>
        <w:jc w:val="both"/>
        <w:rPr>
          <w:rFonts w:ascii="Arial" w:hAnsi="Arial" w:cs="Arial"/>
          <w:b/>
          <w:bCs/>
          <w:sz w:val="20"/>
          <w:lang w:val="en-US"/>
        </w:rPr>
      </w:pPr>
      <w:r w:rsidRPr="0059043F">
        <w:rPr>
          <w:rFonts w:ascii="Arial" w:hAnsi="Arial" w:cs="Arial"/>
          <w:b/>
          <w:bCs/>
          <w:sz w:val="20"/>
          <w:lang w:val="en-US"/>
        </w:rPr>
        <w:t>Fig</w:t>
      </w:r>
      <w:r w:rsidR="0059043F" w:rsidRPr="0059043F">
        <w:rPr>
          <w:rFonts w:ascii="Arial" w:hAnsi="Arial" w:cs="Arial"/>
          <w:b/>
          <w:bCs/>
          <w:sz w:val="20"/>
          <w:lang w:val="en-US"/>
        </w:rPr>
        <w:t>.</w:t>
      </w:r>
      <w:r w:rsidRPr="0059043F">
        <w:rPr>
          <w:rFonts w:ascii="Arial" w:hAnsi="Arial" w:cs="Arial"/>
          <w:b/>
          <w:bCs/>
          <w:sz w:val="20"/>
          <w:lang w:val="en-US"/>
        </w:rPr>
        <w:t xml:space="preserve"> </w:t>
      </w:r>
      <w:r w:rsidR="00370A58" w:rsidRPr="0059043F">
        <w:rPr>
          <w:rFonts w:ascii="Arial" w:hAnsi="Arial" w:cs="Arial"/>
          <w:b/>
          <w:bCs/>
          <w:sz w:val="20"/>
          <w:lang w:val="en-US"/>
        </w:rPr>
        <w:t>4</w:t>
      </w:r>
      <w:r w:rsidR="0059043F" w:rsidRPr="0059043F">
        <w:rPr>
          <w:rFonts w:ascii="Arial" w:hAnsi="Arial" w:cs="Arial"/>
          <w:b/>
          <w:bCs/>
          <w:sz w:val="20"/>
          <w:lang w:val="en-US"/>
        </w:rPr>
        <w:t>.</w:t>
      </w:r>
      <w:r w:rsidRPr="0059043F">
        <w:rPr>
          <w:rFonts w:ascii="Arial" w:hAnsi="Arial" w:cs="Arial"/>
          <w:b/>
          <w:bCs/>
          <w:sz w:val="20"/>
          <w:lang w:val="en-US"/>
        </w:rPr>
        <w:t xml:space="preserve"> The effect of essential oils/components on the cell division proteins. a: The normal cell division of a typical rod form of bacteria causing cytokinesis of bacteria with binary fission, b: giving 2</w:t>
      </w:r>
      <w:r w:rsidRPr="0059043F">
        <w:rPr>
          <w:rFonts w:ascii="Arial" w:hAnsi="Arial" w:cs="Arial"/>
          <w:b/>
          <w:bCs/>
          <w:sz w:val="20"/>
          <w:vertAlign w:val="superscript"/>
          <w:lang w:val="en-US"/>
        </w:rPr>
        <w:t>n</w:t>
      </w:r>
      <w:r w:rsidRPr="0059043F">
        <w:rPr>
          <w:rFonts w:ascii="Arial" w:hAnsi="Arial" w:cs="Arial"/>
          <w:b/>
          <w:bCs/>
          <w:sz w:val="20"/>
          <w:lang w:val="en-US"/>
        </w:rPr>
        <w:t xml:space="preserve"> number of daughter cells. b: The essential oils/its components can inhibit the cell division proteins, thus impairing cell division leading generation of elongated cells (Pattnaik et al. 1995).  </w:t>
      </w:r>
    </w:p>
    <w:p w14:paraId="2005FB71" w14:textId="77777777" w:rsidR="00365A89" w:rsidRDefault="00365A89" w:rsidP="009E566B">
      <w:pPr>
        <w:jc w:val="both"/>
        <w:rPr>
          <w:rFonts w:ascii="Arial" w:hAnsi="Arial" w:cs="Arial"/>
          <w:b/>
          <w:bCs/>
          <w:sz w:val="20"/>
          <w:lang w:val="en-US"/>
        </w:rPr>
      </w:pPr>
    </w:p>
    <w:p w14:paraId="31DD5817" w14:textId="77777777" w:rsidR="00365A89" w:rsidRDefault="00365A89" w:rsidP="009E566B">
      <w:pPr>
        <w:jc w:val="both"/>
        <w:rPr>
          <w:rFonts w:ascii="Arial" w:hAnsi="Arial" w:cs="Arial"/>
          <w:b/>
          <w:bCs/>
          <w:sz w:val="20"/>
          <w:lang w:val="en-US"/>
        </w:rPr>
      </w:pPr>
    </w:p>
    <w:p w14:paraId="14603FF6" w14:textId="77777777" w:rsidR="00365A89" w:rsidRDefault="00365A89" w:rsidP="009E566B">
      <w:pPr>
        <w:jc w:val="both"/>
        <w:rPr>
          <w:rFonts w:ascii="Arial" w:hAnsi="Arial" w:cs="Arial"/>
          <w:b/>
          <w:bCs/>
          <w:sz w:val="20"/>
          <w:lang w:val="en-US"/>
        </w:rPr>
      </w:pPr>
    </w:p>
    <w:p w14:paraId="654A06A8" w14:textId="77777777" w:rsidR="00365A89" w:rsidRDefault="00365A89" w:rsidP="009E566B">
      <w:pPr>
        <w:jc w:val="both"/>
        <w:rPr>
          <w:rFonts w:ascii="Arial" w:hAnsi="Arial" w:cs="Arial"/>
          <w:b/>
          <w:bCs/>
          <w:sz w:val="20"/>
          <w:lang w:val="en-US"/>
        </w:rPr>
      </w:pPr>
    </w:p>
    <w:p w14:paraId="497CA67D" w14:textId="77777777" w:rsidR="00365A89" w:rsidRDefault="00365A89" w:rsidP="009E566B">
      <w:pPr>
        <w:jc w:val="both"/>
        <w:rPr>
          <w:rFonts w:ascii="Arial" w:hAnsi="Arial" w:cs="Arial"/>
          <w:b/>
          <w:bCs/>
          <w:sz w:val="20"/>
          <w:lang w:val="en-US"/>
        </w:rPr>
      </w:pPr>
    </w:p>
    <w:p w14:paraId="37147734" w14:textId="77777777" w:rsidR="00365A89" w:rsidRDefault="00365A89" w:rsidP="009E566B">
      <w:pPr>
        <w:jc w:val="both"/>
        <w:rPr>
          <w:rFonts w:ascii="Arial" w:hAnsi="Arial" w:cs="Arial"/>
          <w:b/>
          <w:bCs/>
          <w:sz w:val="20"/>
          <w:lang w:val="en-US"/>
        </w:rPr>
      </w:pPr>
    </w:p>
    <w:p w14:paraId="220A475B" w14:textId="77777777" w:rsidR="00365A89" w:rsidRDefault="00365A89" w:rsidP="009E566B">
      <w:pPr>
        <w:jc w:val="both"/>
        <w:rPr>
          <w:rFonts w:ascii="Arial" w:hAnsi="Arial" w:cs="Arial"/>
          <w:b/>
          <w:bCs/>
          <w:sz w:val="20"/>
          <w:lang w:val="en-US"/>
        </w:rPr>
      </w:pPr>
    </w:p>
    <w:p w14:paraId="26D94C19" w14:textId="77777777" w:rsidR="00365A89" w:rsidRPr="0059043F" w:rsidRDefault="00365A89" w:rsidP="009E566B">
      <w:pPr>
        <w:jc w:val="both"/>
        <w:rPr>
          <w:rFonts w:ascii="Arial" w:hAnsi="Arial" w:cs="Arial"/>
          <w:b/>
          <w:bCs/>
          <w:sz w:val="20"/>
          <w:lang w:val="en-US"/>
        </w:rPr>
      </w:pPr>
    </w:p>
    <w:p w14:paraId="6E08EA55" w14:textId="0B42480C" w:rsidR="002D67FD" w:rsidRPr="0059043F" w:rsidRDefault="002D67FD" w:rsidP="009E566B">
      <w:pPr>
        <w:jc w:val="both"/>
        <w:rPr>
          <w:rFonts w:ascii="Arial" w:hAnsi="Arial" w:cs="Arial"/>
          <w:b/>
          <w:bCs/>
          <w:sz w:val="20"/>
          <w:lang w:val="en-US"/>
        </w:rPr>
      </w:pPr>
    </w:p>
    <w:p w14:paraId="5400088C" w14:textId="51B95348" w:rsidR="002D67FD" w:rsidRPr="0059043F" w:rsidRDefault="002D67FD" w:rsidP="009E566B">
      <w:pPr>
        <w:jc w:val="both"/>
        <w:rPr>
          <w:rFonts w:ascii="Arial" w:hAnsi="Arial" w:cs="Arial"/>
          <w:b/>
          <w:bCs/>
          <w:sz w:val="20"/>
          <w:lang w:val="en-US"/>
        </w:rPr>
      </w:pPr>
    </w:p>
    <w:p w14:paraId="6E310CB0" w14:textId="069B625E" w:rsidR="002D67FD" w:rsidRPr="00AD5FD1" w:rsidRDefault="00A20F9C" w:rsidP="009E566B">
      <w:pPr>
        <w:jc w:val="both"/>
        <w:rPr>
          <w:rFonts w:ascii="Arial" w:hAnsi="Arial" w:cs="Arial"/>
          <w:b/>
          <w:bCs/>
          <w:sz w:val="24"/>
          <w:szCs w:val="24"/>
          <w:lang w:val="en-US"/>
        </w:rPr>
      </w:pPr>
      <w:r w:rsidRPr="00AD5FD1">
        <w:rPr>
          <w:rFonts w:ascii="Arial" w:hAnsi="Arial" w:cs="Arial"/>
          <w:noProof/>
        </w:rPr>
        <w:drawing>
          <wp:anchor distT="0" distB="0" distL="114300" distR="114300" simplePos="0" relativeHeight="251659264" behindDoc="0" locked="0" layoutInCell="1" allowOverlap="1" wp14:anchorId="21AFDE0C" wp14:editId="2D32BFB8">
            <wp:simplePos x="0" y="0"/>
            <wp:positionH relativeFrom="column">
              <wp:posOffset>542813</wp:posOffset>
            </wp:positionH>
            <wp:positionV relativeFrom="paragraph">
              <wp:posOffset>8815</wp:posOffset>
            </wp:positionV>
            <wp:extent cx="4274156" cy="4008120"/>
            <wp:effectExtent l="0" t="0" r="0" b="0"/>
            <wp:wrapNone/>
            <wp:docPr id="764452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BEBA8EAE-BF5A-486C-A8C5-ECC9F3942E4B}">
                          <a14:imgProps xmlns:a14="http://schemas.microsoft.com/office/drawing/2010/main">
                            <a14:imgLayer r:embed="rId17">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4274156" cy="4008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77961" w14:textId="5B05D086" w:rsidR="002D67FD" w:rsidRPr="00AD5FD1" w:rsidRDefault="002D67FD" w:rsidP="009E566B">
      <w:pPr>
        <w:jc w:val="both"/>
        <w:rPr>
          <w:rFonts w:ascii="Arial" w:hAnsi="Arial" w:cs="Arial"/>
          <w:b/>
          <w:bCs/>
          <w:sz w:val="24"/>
          <w:szCs w:val="24"/>
          <w:lang w:val="en-US"/>
        </w:rPr>
      </w:pPr>
    </w:p>
    <w:p w14:paraId="7F6E34F7" w14:textId="70771527" w:rsidR="002D67FD" w:rsidRPr="00AD5FD1" w:rsidRDefault="002D67FD" w:rsidP="009E566B">
      <w:pPr>
        <w:jc w:val="both"/>
        <w:rPr>
          <w:rFonts w:ascii="Arial" w:hAnsi="Arial" w:cs="Arial"/>
          <w:b/>
          <w:bCs/>
          <w:sz w:val="24"/>
          <w:szCs w:val="24"/>
          <w:lang w:val="en-US"/>
        </w:rPr>
      </w:pPr>
    </w:p>
    <w:p w14:paraId="1F11A9A4" w14:textId="77777777" w:rsidR="002D67FD" w:rsidRPr="00AD5FD1" w:rsidRDefault="002D67FD" w:rsidP="009E566B">
      <w:pPr>
        <w:jc w:val="both"/>
        <w:rPr>
          <w:rFonts w:ascii="Arial" w:hAnsi="Arial" w:cs="Arial"/>
          <w:b/>
          <w:bCs/>
          <w:sz w:val="24"/>
          <w:szCs w:val="24"/>
          <w:lang w:val="en-US"/>
        </w:rPr>
      </w:pPr>
    </w:p>
    <w:p w14:paraId="48915860" w14:textId="77B219F9" w:rsidR="009E566B" w:rsidRPr="00AD5FD1" w:rsidRDefault="009E566B" w:rsidP="009E566B">
      <w:pPr>
        <w:rPr>
          <w:rFonts w:ascii="Arial" w:hAnsi="Arial" w:cs="Arial"/>
          <w:b/>
          <w:bCs/>
          <w:sz w:val="24"/>
          <w:szCs w:val="24"/>
          <w:lang w:val="en-US"/>
        </w:rPr>
      </w:pPr>
    </w:p>
    <w:p w14:paraId="0AF826B5" w14:textId="77777777" w:rsidR="009E566B" w:rsidRPr="00AD5FD1" w:rsidRDefault="009E566B" w:rsidP="009E566B">
      <w:pPr>
        <w:rPr>
          <w:rFonts w:ascii="Arial" w:hAnsi="Arial" w:cs="Arial"/>
          <w:b/>
          <w:bCs/>
          <w:sz w:val="24"/>
          <w:szCs w:val="24"/>
          <w:lang w:val="en-US"/>
        </w:rPr>
      </w:pPr>
    </w:p>
    <w:p w14:paraId="6CF19A55" w14:textId="77777777" w:rsidR="009E566B" w:rsidRPr="00AD5FD1" w:rsidRDefault="009E566B" w:rsidP="009E566B">
      <w:pPr>
        <w:rPr>
          <w:rFonts w:ascii="Arial" w:hAnsi="Arial" w:cs="Arial"/>
          <w:b/>
          <w:bCs/>
          <w:sz w:val="24"/>
          <w:szCs w:val="24"/>
          <w:lang w:val="en-US"/>
        </w:rPr>
      </w:pPr>
    </w:p>
    <w:p w14:paraId="0BBAB202" w14:textId="77777777" w:rsidR="009E566B" w:rsidRPr="00AD5FD1" w:rsidRDefault="009E566B" w:rsidP="009E566B">
      <w:pPr>
        <w:rPr>
          <w:rFonts w:ascii="Arial" w:hAnsi="Arial" w:cs="Arial"/>
          <w:b/>
          <w:bCs/>
          <w:sz w:val="24"/>
          <w:szCs w:val="24"/>
          <w:lang w:val="en-US"/>
        </w:rPr>
      </w:pPr>
    </w:p>
    <w:p w14:paraId="144BA569" w14:textId="77777777" w:rsidR="009E566B" w:rsidRPr="00AD5FD1" w:rsidRDefault="009E566B" w:rsidP="009E566B">
      <w:pPr>
        <w:rPr>
          <w:rFonts w:ascii="Arial" w:hAnsi="Arial" w:cs="Arial"/>
          <w:b/>
          <w:bCs/>
          <w:sz w:val="24"/>
          <w:szCs w:val="24"/>
          <w:lang w:val="en-US"/>
        </w:rPr>
      </w:pPr>
    </w:p>
    <w:p w14:paraId="351566D7" w14:textId="77777777" w:rsidR="009E566B" w:rsidRPr="00AD5FD1" w:rsidRDefault="009E566B" w:rsidP="009E566B">
      <w:pPr>
        <w:rPr>
          <w:rFonts w:ascii="Arial" w:hAnsi="Arial" w:cs="Arial"/>
          <w:b/>
          <w:bCs/>
          <w:sz w:val="24"/>
          <w:szCs w:val="24"/>
          <w:lang w:val="en-US"/>
        </w:rPr>
      </w:pPr>
    </w:p>
    <w:p w14:paraId="11171AB4" w14:textId="77777777" w:rsidR="009E566B" w:rsidRPr="00AD5FD1" w:rsidRDefault="009E566B" w:rsidP="009E566B">
      <w:pPr>
        <w:rPr>
          <w:rFonts w:ascii="Arial" w:hAnsi="Arial" w:cs="Arial"/>
          <w:b/>
          <w:bCs/>
          <w:sz w:val="24"/>
          <w:szCs w:val="24"/>
          <w:lang w:val="en-US"/>
        </w:rPr>
      </w:pPr>
    </w:p>
    <w:p w14:paraId="3E6821A4" w14:textId="77777777" w:rsidR="009E566B" w:rsidRPr="00AD5FD1" w:rsidRDefault="009E566B" w:rsidP="009E566B">
      <w:pPr>
        <w:rPr>
          <w:rFonts w:ascii="Arial" w:hAnsi="Arial" w:cs="Arial"/>
          <w:b/>
          <w:bCs/>
          <w:sz w:val="24"/>
          <w:szCs w:val="24"/>
          <w:lang w:val="en-US"/>
        </w:rPr>
      </w:pPr>
    </w:p>
    <w:p w14:paraId="3BDF5789" w14:textId="77777777" w:rsidR="009E566B" w:rsidRPr="00AD5FD1" w:rsidRDefault="009E566B" w:rsidP="009E566B">
      <w:pPr>
        <w:rPr>
          <w:rFonts w:ascii="Arial" w:hAnsi="Arial" w:cs="Arial"/>
          <w:b/>
          <w:bCs/>
          <w:sz w:val="24"/>
          <w:szCs w:val="24"/>
          <w:lang w:val="en-US"/>
        </w:rPr>
      </w:pPr>
    </w:p>
    <w:p w14:paraId="022DFD23" w14:textId="77777777" w:rsidR="009E566B" w:rsidRPr="00AD5FD1" w:rsidRDefault="009E566B" w:rsidP="009E566B">
      <w:pPr>
        <w:rPr>
          <w:rFonts w:ascii="Arial" w:hAnsi="Arial" w:cs="Arial"/>
          <w:b/>
          <w:bCs/>
          <w:sz w:val="24"/>
          <w:szCs w:val="24"/>
          <w:lang w:val="en-US"/>
        </w:rPr>
      </w:pPr>
    </w:p>
    <w:p w14:paraId="3954DD70" w14:textId="77777777" w:rsidR="009E566B" w:rsidRPr="00AD5FD1" w:rsidRDefault="009E566B" w:rsidP="009E566B">
      <w:pPr>
        <w:rPr>
          <w:rFonts w:ascii="Arial" w:hAnsi="Arial" w:cs="Arial"/>
          <w:b/>
          <w:bCs/>
          <w:sz w:val="24"/>
          <w:szCs w:val="24"/>
          <w:lang w:val="en-US"/>
        </w:rPr>
      </w:pPr>
    </w:p>
    <w:p w14:paraId="1EB0E2D0" w14:textId="42774ECC" w:rsidR="009E566B" w:rsidRPr="0059043F" w:rsidRDefault="009E566B" w:rsidP="009E566B">
      <w:pPr>
        <w:jc w:val="both"/>
        <w:rPr>
          <w:rFonts w:ascii="Arial" w:hAnsi="Arial" w:cs="Arial"/>
          <w:b/>
          <w:bCs/>
          <w:sz w:val="20"/>
          <w:lang w:val="en-US"/>
        </w:rPr>
      </w:pPr>
      <w:r w:rsidRPr="0059043F">
        <w:rPr>
          <w:rFonts w:ascii="Arial" w:hAnsi="Arial" w:cs="Arial"/>
          <w:b/>
          <w:bCs/>
          <w:sz w:val="20"/>
          <w:lang w:val="en-US"/>
        </w:rPr>
        <w:t>Fig</w:t>
      </w:r>
      <w:r w:rsidR="0059043F" w:rsidRPr="0059043F">
        <w:rPr>
          <w:rFonts w:ascii="Arial" w:hAnsi="Arial" w:cs="Arial"/>
          <w:b/>
          <w:bCs/>
          <w:sz w:val="20"/>
          <w:lang w:val="en-US"/>
        </w:rPr>
        <w:t>.</w:t>
      </w:r>
      <w:r w:rsidRPr="0059043F">
        <w:rPr>
          <w:rFonts w:ascii="Arial" w:hAnsi="Arial" w:cs="Arial"/>
          <w:b/>
          <w:bCs/>
          <w:sz w:val="20"/>
          <w:lang w:val="en-US"/>
        </w:rPr>
        <w:t xml:space="preserve"> </w:t>
      </w:r>
      <w:r w:rsidR="00370A58" w:rsidRPr="0059043F">
        <w:rPr>
          <w:rFonts w:ascii="Arial" w:hAnsi="Arial" w:cs="Arial"/>
          <w:b/>
          <w:bCs/>
          <w:sz w:val="20"/>
          <w:lang w:val="en-US"/>
        </w:rPr>
        <w:t>5</w:t>
      </w:r>
      <w:r w:rsidR="0059043F" w:rsidRPr="0059043F">
        <w:rPr>
          <w:rFonts w:ascii="Arial" w:hAnsi="Arial" w:cs="Arial"/>
          <w:b/>
          <w:bCs/>
          <w:sz w:val="20"/>
          <w:lang w:val="en-US"/>
        </w:rPr>
        <w:t>.</w:t>
      </w:r>
      <w:r w:rsidRPr="0059043F">
        <w:rPr>
          <w:rFonts w:ascii="Arial" w:hAnsi="Arial" w:cs="Arial"/>
          <w:b/>
          <w:bCs/>
          <w:sz w:val="20"/>
          <w:lang w:val="en-US"/>
        </w:rPr>
        <w:t xml:space="preserve"> The position of DNA gyrase to settle topology of DNA. a: DNA gyrase (2 Gyrase A unit and 2 Gyrase B unit) is active for the negative supercoiling by DNA; b: Denaturation of Gyrase by essential oil/ components lead topological disturbance, affecting DNA replication, it’s partition during cell division and also impending lesion repair leading cell death.   </w:t>
      </w:r>
    </w:p>
    <w:p w14:paraId="02FA0AF3" w14:textId="7628345A" w:rsidR="009E566B" w:rsidRPr="0059043F" w:rsidRDefault="009E566B" w:rsidP="00A20F9C">
      <w:pPr>
        <w:spacing w:after="0" w:line="240" w:lineRule="auto"/>
        <w:jc w:val="both"/>
        <w:rPr>
          <w:rFonts w:ascii="Arial" w:hAnsi="Arial" w:cs="Arial"/>
          <w:sz w:val="20"/>
          <w:lang w:val="en-US"/>
        </w:rPr>
      </w:pPr>
      <w:r w:rsidRPr="0059043F">
        <w:rPr>
          <w:rFonts w:ascii="Arial" w:hAnsi="Arial" w:cs="Arial"/>
          <w:sz w:val="20"/>
          <w:lang w:val="en-US"/>
        </w:rPr>
        <w:t>This is to mention that DNA gyrases are attractive targets of Fluoroquinolone antibiotics (Collin e</w:t>
      </w:r>
      <w:r w:rsidR="00E355F8" w:rsidRPr="0059043F">
        <w:rPr>
          <w:rFonts w:ascii="Arial" w:hAnsi="Arial" w:cs="Arial"/>
          <w:sz w:val="20"/>
          <w:lang w:val="en-US"/>
        </w:rPr>
        <w:t xml:space="preserve">t </w:t>
      </w:r>
      <w:r w:rsidRPr="0059043F">
        <w:rPr>
          <w:rFonts w:ascii="Arial" w:hAnsi="Arial" w:cs="Arial"/>
          <w:sz w:val="20"/>
          <w:lang w:val="en-US"/>
        </w:rPr>
        <w:t xml:space="preserve">al., 2011). DNA gyrase of </w:t>
      </w:r>
      <w:r w:rsidRPr="0059043F">
        <w:rPr>
          <w:rFonts w:ascii="Arial" w:hAnsi="Arial" w:cs="Arial"/>
          <w:i/>
          <w:iCs/>
          <w:sz w:val="20"/>
          <w:lang w:val="en-US"/>
        </w:rPr>
        <w:t>Escherichia coli</w:t>
      </w:r>
      <w:r w:rsidRPr="0059043F">
        <w:rPr>
          <w:rFonts w:ascii="Arial" w:hAnsi="Arial" w:cs="Arial"/>
          <w:sz w:val="20"/>
          <w:lang w:val="en-US"/>
        </w:rPr>
        <w:t xml:space="preserve"> is under Topoisomerase-II family dependent upon ATP. Figure 6 is graphically represented with different Topoisomerases (Topoisomerase I, II, III and IV) and the typical functions. </w:t>
      </w:r>
    </w:p>
    <w:p w14:paraId="4D82C765" w14:textId="77777777" w:rsidR="009E566B" w:rsidRPr="00AD5FD1" w:rsidRDefault="009E566B" w:rsidP="009E566B">
      <w:pPr>
        <w:spacing w:after="0" w:line="360" w:lineRule="auto"/>
        <w:jc w:val="both"/>
        <w:rPr>
          <w:rFonts w:ascii="Arial" w:hAnsi="Arial" w:cs="Arial"/>
          <w:sz w:val="24"/>
          <w:szCs w:val="24"/>
          <w:lang w:val="en-US"/>
        </w:rPr>
      </w:pPr>
    </w:p>
    <w:p w14:paraId="2D285399" w14:textId="77777777" w:rsidR="009E566B" w:rsidRPr="00AD5FD1" w:rsidRDefault="009E566B" w:rsidP="009E566B">
      <w:pPr>
        <w:spacing w:after="0" w:line="360" w:lineRule="auto"/>
        <w:jc w:val="both"/>
        <w:rPr>
          <w:rFonts w:ascii="Arial" w:hAnsi="Arial" w:cs="Arial"/>
          <w:sz w:val="24"/>
          <w:szCs w:val="24"/>
          <w:lang w:val="en-US"/>
        </w:rPr>
      </w:pPr>
    </w:p>
    <w:p w14:paraId="60FC5B2C" w14:textId="77777777" w:rsidR="009E566B" w:rsidRPr="00AD5FD1" w:rsidRDefault="009E566B" w:rsidP="009E566B">
      <w:pPr>
        <w:spacing w:after="0" w:line="360" w:lineRule="auto"/>
        <w:jc w:val="both"/>
        <w:rPr>
          <w:rFonts w:ascii="Arial" w:hAnsi="Arial" w:cs="Arial"/>
          <w:sz w:val="24"/>
          <w:szCs w:val="24"/>
          <w:lang w:val="en-US"/>
        </w:rPr>
      </w:pPr>
    </w:p>
    <w:p w14:paraId="4C428013" w14:textId="77777777" w:rsidR="009E566B" w:rsidRPr="00AD5FD1" w:rsidRDefault="009E566B" w:rsidP="009E566B">
      <w:pPr>
        <w:spacing w:after="0" w:line="360" w:lineRule="auto"/>
        <w:jc w:val="both"/>
        <w:rPr>
          <w:rFonts w:ascii="Arial" w:hAnsi="Arial" w:cs="Arial"/>
          <w:sz w:val="24"/>
          <w:szCs w:val="24"/>
          <w:lang w:val="en-US"/>
        </w:rPr>
      </w:pPr>
      <w:r w:rsidRPr="00AD5FD1">
        <w:rPr>
          <w:rFonts w:ascii="Arial" w:hAnsi="Arial" w:cs="Arial"/>
          <w:noProof/>
          <w:sz w:val="24"/>
          <w:szCs w:val="24"/>
          <w:lang w:val="en-US"/>
        </w:rPr>
        <w:lastRenderedPageBreak/>
        <w:drawing>
          <wp:inline distT="0" distB="0" distL="0" distR="0" wp14:anchorId="05E3EAC6" wp14:editId="13B270B2">
            <wp:extent cx="5425440" cy="3489960"/>
            <wp:effectExtent l="0" t="228600" r="0" b="224790"/>
            <wp:docPr id="158990767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E38319E" w14:textId="77777777" w:rsidR="009E566B" w:rsidRPr="00AD5FD1" w:rsidRDefault="009E566B" w:rsidP="009E566B">
      <w:pPr>
        <w:spacing w:after="0" w:line="240" w:lineRule="auto"/>
        <w:jc w:val="both"/>
        <w:rPr>
          <w:rFonts w:ascii="Arial" w:hAnsi="Arial" w:cs="Arial"/>
          <w:b/>
          <w:bCs/>
          <w:sz w:val="24"/>
          <w:szCs w:val="24"/>
          <w:lang w:val="en-US"/>
        </w:rPr>
      </w:pPr>
    </w:p>
    <w:p w14:paraId="3CD456A3" w14:textId="3C0A6742" w:rsidR="009E566B" w:rsidRPr="0059043F" w:rsidRDefault="009E566B" w:rsidP="009E566B">
      <w:pPr>
        <w:spacing w:after="0" w:line="240" w:lineRule="auto"/>
        <w:jc w:val="both"/>
        <w:rPr>
          <w:rFonts w:ascii="Arial" w:hAnsi="Arial" w:cs="Arial"/>
          <w:b/>
          <w:bCs/>
          <w:sz w:val="20"/>
          <w:lang w:val="en-US"/>
        </w:rPr>
      </w:pPr>
      <w:r w:rsidRPr="0059043F">
        <w:rPr>
          <w:rFonts w:ascii="Arial" w:hAnsi="Arial" w:cs="Arial"/>
          <w:b/>
          <w:bCs/>
          <w:sz w:val="20"/>
          <w:lang w:val="en-US"/>
        </w:rPr>
        <w:t>Fig</w:t>
      </w:r>
      <w:r w:rsidR="0059043F" w:rsidRPr="0059043F">
        <w:rPr>
          <w:rFonts w:ascii="Arial" w:hAnsi="Arial" w:cs="Arial"/>
          <w:b/>
          <w:bCs/>
          <w:sz w:val="20"/>
          <w:lang w:val="en-US"/>
        </w:rPr>
        <w:t>.</w:t>
      </w:r>
      <w:r w:rsidRPr="0059043F">
        <w:rPr>
          <w:rFonts w:ascii="Arial" w:hAnsi="Arial" w:cs="Arial"/>
          <w:b/>
          <w:bCs/>
          <w:sz w:val="20"/>
          <w:lang w:val="en-US"/>
        </w:rPr>
        <w:t xml:space="preserve"> 6</w:t>
      </w:r>
      <w:r w:rsidR="0059043F" w:rsidRPr="0059043F">
        <w:rPr>
          <w:rFonts w:ascii="Arial" w:hAnsi="Arial" w:cs="Arial"/>
          <w:b/>
          <w:bCs/>
          <w:sz w:val="20"/>
          <w:lang w:val="en-US"/>
        </w:rPr>
        <w:t>.</w:t>
      </w:r>
      <w:r w:rsidRPr="0059043F">
        <w:rPr>
          <w:rFonts w:ascii="Arial" w:hAnsi="Arial" w:cs="Arial"/>
          <w:b/>
          <w:bCs/>
          <w:sz w:val="20"/>
          <w:lang w:val="en-US"/>
        </w:rPr>
        <w:t xml:space="preserve"> The types of Topoisomerases of Escherichia coli, </w:t>
      </w:r>
      <w:r w:rsidR="00B36AD8" w:rsidRPr="0059043F">
        <w:rPr>
          <w:rFonts w:ascii="Arial" w:hAnsi="Arial" w:cs="Arial"/>
          <w:b/>
          <w:bCs/>
          <w:sz w:val="20"/>
          <w:lang w:val="en-US"/>
        </w:rPr>
        <w:t>variously associated</w:t>
      </w:r>
      <w:r w:rsidRPr="0059043F">
        <w:rPr>
          <w:rFonts w:ascii="Arial" w:hAnsi="Arial" w:cs="Arial"/>
          <w:b/>
          <w:bCs/>
          <w:sz w:val="20"/>
          <w:lang w:val="en-US"/>
        </w:rPr>
        <w:t xml:space="preserve"> with DNA topology </w:t>
      </w:r>
    </w:p>
    <w:p w14:paraId="390C75B2" w14:textId="77777777" w:rsidR="009E566B" w:rsidRPr="00A20F9C" w:rsidRDefault="009E566B" w:rsidP="00A20F9C">
      <w:pPr>
        <w:spacing w:after="0" w:line="240" w:lineRule="auto"/>
        <w:jc w:val="both"/>
        <w:rPr>
          <w:rFonts w:ascii="Arial" w:hAnsi="Arial" w:cs="Arial"/>
          <w:sz w:val="20"/>
          <w:lang w:val="en-US"/>
        </w:rPr>
      </w:pPr>
    </w:p>
    <w:p w14:paraId="2E0BF645" w14:textId="77777777" w:rsidR="009E566B" w:rsidRPr="00A20F9C" w:rsidRDefault="009E566B" w:rsidP="00A20F9C">
      <w:pPr>
        <w:spacing w:after="0" w:line="240" w:lineRule="auto"/>
        <w:jc w:val="both"/>
        <w:rPr>
          <w:rFonts w:ascii="Arial" w:hAnsi="Arial" w:cs="Arial"/>
          <w:sz w:val="20"/>
          <w:lang w:val="en-US"/>
        </w:rPr>
      </w:pPr>
      <w:r w:rsidRPr="00A20F9C">
        <w:rPr>
          <w:rFonts w:ascii="Arial" w:hAnsi="Arial" w:cs="Arial"/>
          <w:sz w:val="20"/>
          <w:lang w:val="en-US"/>
        </w:rPr>
        <w:t xml:space="preserve">The gyrase inhibitors bind to </w:t>
      </w:r>
      <w:proofErr w:type="spellStart"/>
      <w:r w:rsidRPr="00A20F9C">
        <w:rPr>
          <w:rFonts w:ascii="Arial" w:hAnsi="Arial" w:cs="Arial"/>
          <w:sz w:val="20"/>
          <w:lang w:val="en-US"/>
        </w:rPr>
        <w:t>GyrB</w:t>
      </w:r>
      <w:proofErr w:type="spellEnd"/>
      <w:r w:rsidRPr="00A20F9C">
        <w:rPr>
          <w:rFonts w:ascii="Arial" w:hAnsi="Arial" w:cs="Arial"/>
          <w:sz w:val="20"/>
          <w:lang w:val="en-US"/>
        </w:rPr>
        <w:t xml:space="preserve"> amino terminal domain with ATPase activity, thus stalling the gyrase activity. The </w:t>
      </w:r>
      <w:proofErr w:type="spellStart"/>
      <w:r w:rsidRPr="00A20F9C">
        <w:rPr>
          <w:rFonts w:ascii="Arial" w:hAnsi="Arial" w:cs="Arial"/>
          <w:sz w:val="20"/>
          <w:lang w:val="en-US"/>
        </w:rPr>
        <w:t>GyrA</w:t>
      </w:r>
      <w:proofErr w:type="spellEnd"/>
      <w:r w:rsidRPr="00A20F9C">
        <w:rPr>
          <w:rFonts w:ascii="Arial" w:hAnsi="Arial" w:cs="Arial"/>
          <w:sz w:val="20"/>
          <w:lang w:val="en-US"/>
        </w:rPr>
        <w:t xml:space="preserve"> and </w:t>
      </w:r>
      <w:proofErr w:type="spellStart"/>
      <w:r w:rsidRPr="00A20F9C">
        <w:rPr>
          <w:rFonts w:ascii="Arial" w:hAnsi="Arial" w:cs="Arial"/>
          <w:sz w:val="20"/>
          <w:lang w:val="en-US"/>
        </w:rPr>
        <w:t>Gyr</w:t>
      </w:r>
      <w:proofErr w:type="spellEnd"/>
      <w:r w:rsidRPr="00A20F9C">
        <w:rPr>
          <w:rFonts w:ascii="Arial" w:hAnsi="Arial" w:cs="Arial"/>
          <w:sz w:val="20"/>
          <w:lang w:val="en-US"/>
        </w:rPr>
        <w:t xml:space="preserve"> B units are encoded by </w:t>
      </w:r>
      <w:proofErr w:type="spellStart"/>
      <w:r w:rsidRPr="00A20F9C">
        <w:rPr>
          <w:rFonts w:ascii="Arial" w:hAnsi="Arial" w:cs="Arial"/>
          <w:i/>
          <w:iCs/>
          <w:sz w:val="20"/>
          <w:lang w:val="en-US"/>
        </w:rPr>
        <w:t>gyr</w:t>
      </w:r>
      <w:r w:rsidRPr="00A20F9C">
        <w:rPr>
          <w:rFonts w:ascii="Arial" w:hAnsi="Arial" w:cs="Arial"/>
          <w:sz w:val="20"/>
          <w:lang w:val="en-US"/>
        </w:rPr>
        <w:t>A</w:t>
      </w:r>
      <w:proofErr w:type="spellEnd"/>
      <w:r w:rsidRPr="00A20F9C">
        <w:rPr>
          <w:rFonts w:ascii="Arial" w:hAnsi="Arial" w:cs="Arial"/>
          <w:sz w:val="20"/>
          <w:lang w:val="en-US"/>
        </w:rPr>
        <w:t xml:space="preserve"> and </w:t>
      </w:r>
      <w:proofErr w:type="spellStart"/>
      <w:r w:rsidRPr="00A20F9C">
        <w:rPr>
          <w:rFonts w:ascii="Arial" w:hAnsi="Arial" w:cs="Arial"/>
          <w:sz w:val="20"/>
          <w:lang w:val="en-US"/>
        </w:rPr>
        <w:t>gyr</w:t>
      </w:r>
      <w:proofErr w:type="spellEnd"/>
      <w:r w:rsidRPr="00A20F9C">
        <w:rPr>
          <w:rFonts w:ascii="Arial" w:hAnsi="Arial" w:cs="Arial"/>
          <w:sz w:val="20"/>
          <w:lang w:val="en-US"/>
        </w:rPr>
        <w:t xml:space="preserve"> B respectively. </w:t>
      </w:r>
    </w:p>
    <w:p w14:paraId="1BF38F48" w14:textId="77777777" w:rsidR="009E566B" w:rsidRPr="00AD5FD1" w:rsidRDefault="009E566B" w:rsidP="009E566B">
      <w:pPr>
        <w:spacing w:after="0" w:line="360" w:lineRule="auto"/>
        <w:jc w:val="both"/>
        <w:rPr>
          <w:rFonts w:ascii="Arial" w:hAnsi="Arial" w:cs="Arial"/>
          <w:sz w:val="24"/>
          <w:szCs w:val="24"/>
          <w:lang w:val="en-US"/>
        </w:rPr>
      </w:pPr>
    </w:p>
    <w:p w14:paraId="69CC8B4E" w14:textId="04738EC1" w:rsidR="009E566B" w:rsidRPr="0059043F" w:rsidRDefault="0059043F" w:rsidP="009E566B">
      <w:pPr>
        <w:spacing w:after="0" w:line="360" w:lineRule="auto"/>
        <w:jc w:val="both"/>
        <w:rPr>
          <w:rFonts w:ascii="Arial" w:hAnsi="Arial" w:cs="Arial"/>
          <w:b/>
          <w:bCs/>
          <w:szCs w:val="22"/>
          <w:lang w:val="en-US"/>
        </w:rPr>
      </w:pPr>
      <w:r>
        <w:rPr>
          <w:rFonts w:ascii="Arial" w:hAnsi="Arial" w:cs="Arial"/>
          <w:b/>
          <w:bCs/>
          <w:szCs w:val="22"/>
          <w:lang w:val="en-US"/>
        </w:rPr>
        <w:t xml:space="preserve">3.3 </w:t>
      </w:r>
      <w:r w:rsidR="009E566B" w:rsidRPr="0059043F">
        <w:rPr>
          <w:rFonts w:ascii="Arial" w:hAnsi="Arial" w:cs="Arial"/>
          <w:b/>
          <w:bCs/>
          <w:szCs w:val="22"/>
          <w:lang w:val="en-US"/>
        </w:rPr>
        <w:t>Topoisomerase II: (</w:t>
      </w:r>
      <w:proofErr w:type="spellStart"/>
      <w:r w:rsidR="009E566B" w:rsidRPr="0059043F">
        <w:rPr>
          <w:rFonts w:ascii="Arial" w:hAnsi="Arial" w:cs="Arial"/>
          <w:b/>
          <w:bCs/>
          <w:szCs w:val="22"/>
          <w:lang w:val="en-US"/>
        </w:rPr>
        <w:t>gyrAB</w:t>
      </w:r>
      <w:proofErr w:type="spellEnd"/>
      <w:r w:rsidR="009E566B" w:rsidRPr="0059043F">
        <w:rPr>
          <w:rFonts w:ascii="Arial" w:hAnsi="Arial" w:cs="Arial"/>
          <w:b/>
          <w:bCs/>
          <w:szCs w:val="22"/>
          <w:lang w:val="en-US"/>
        </w:rPr>
        <w:t xml:space="preserve"> and </w:t>
      </w:r>
      <w:proofErr w:type="spellStart"/>
      <w:r w:rsidR="009E566B" w:rsidRPr="0059043F">
        <w:rPr>
          <w:rFonts w:ascii="Arial" w:hAnsi="Arial" w:cs="Arial"/>
          <w:b/>
          <w:bCs/>
          <w:szCs w:val="22"/>
          <w:lang w:val="en-US"/>
        </w:rPr>
        <w:t>parCE</w:t>
      </w:r>
      <w:proofErr w:type="spellEnd"/>
      <w:r w:rsidR="009E566B" w:rsidRPr="0059043F">
        <w:rPr>
          <w:rFonts w:ascii="Arial" w:hAnsi="Arial" w:cs="Arial"/>
          <w:b/>
          <w:bCs/>
          <w:szCs w:val="22"/>
          <w:lang w:val="en-US"/>
        </w:rPr>
        <w:t xml:space="preserve">) of </w:t>
      </w:r>
      <w:r w:rsidR="009E566B" w:rsidRPr="0059043F">
        <w:rPr>
          <w:rFonts w:ascii="Arial" w:hAnsi="Arial" w:cs="Arial"/>
          <w:b/>
          <w:bCs/>
          <w:i/>
          <w:iCs/>
          <w:szCs w:val="22"/>
          <w:lang w:val="en-US"/>
        </w:rPr>
        <w:t>Escherichia coli</w:t>
      </w:r>
    </w:p>
    <w:p w14:paraId="67091A7B" w14:textId="77777777" w:rsidR="009E566B" w:rsidRPr="00AD5FD1" w:rsidRDefault="009E566B" w:rsidP="009E566B">
      <w:pPr>
        <w:spacing w:after="0" w:line="360" w:lineRule="auto"/>
        <w:jc w:val="both"/>
        <w:rPr>
          <w:rFonts w:ascii="Arial" w:hAnsi="Arial" w:cs="Arial"/>
          <w:sz w:val="24"/>
          <w:szCs w:val="24"/>
          <w:lang w:val="en-US"/>
        </w:rPr>
      </w:pPr>
      <w:r w:rsidRPr="00AD5FD1">
        <w:rPr>
          <w:rFonts w:ascii="Arial" w:hAnsi="Arial" w:cs="Arial"/>
          <w:noProof/>
          <w:sz w:val="24"/>
          <w:szCs w:val="24"/>
        </w:rPr>
        <w:drawing>
          <wp:anchor distT="0" distB="0" distL="114300" distR="114300" simplePos="0" relativeHeight="251660288" behindDoc="0" locked="0" layoutInCell="1" allowOverlap="1" wp14:anchorId="3F9A0A12" wp14:editId="1381313A">
            <wp:simplePos x="0" y="0"/>
            <wp:positionH relativeFrom="margin">
              <wp:posOffset>15240</wp:posOffset>
            </wp:positionH>
            <wp:positionV relativeFrom="paragraph">
              <wp:posOffset>57150</wp:posOffset>
            </wp:positionV>
            <wp:extent cx="5731510" cy="967740"/>
            <wp:effectExtent l="0" t="0" r="2540" b="3810"/>
            <wp:wrapNone/>
            <wp:docPr id="1162843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8383" b="28742"/>
                    <a:stretch/>
                  </pic:blipFill>
                  <pic:spPr bwMode="auto">
                    <a:xfrm>
                      <a:off x="0" y="0"/>
                      <a:ext cx="5731510" cy="967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49D725" w14:textId="77777777" w:rsidR="009E566B" w:rsidRPr="00AD5FD1" w:rsidRDefault="009E566B" w:rsidP="009E566B">
      <w:pPr>
        <w:spacing w:after="0" w:line="360" w:lineRule="auto"/>
        <w:jc w:val="both"/>
        <w:rPr>
          <w:rFonts w:ascii="Arial" w:hAnsi="Arial" w:cs="Arial"/>
          <w:sz w:val="24"/>
          <w:szCs w:val="24"/>
          <w:lang w:val="en-US"/>
        </w:rPr>
      </w:pPr>
    </w:p>
    <w:p w14:paraId="22CF86F3" w14:textId="77777777" w:rsidR="009E566B" w:rsidRPr="00AD5FD1" w:rsidRDefault="009E566B" w:rsidP="009E566B">
      <w:pPr>
        <w:spacing w:after="0" w:line="360" w:lineRule="auto"/>
        <w:jc w:val="both"/>
        <w:rPr>
          <w:rFonts w:ascii="Arial" w:hAnsi="Arial" w:cs="Arial"/>
          <w:sz w:val="24"/>
          <w:szCs w:val="24"/>
          <w:lang w:val="en-US"/>
        </w:rPr>
      </w:pPr>
    </w:p>
    <w:p w14:paraId="0E78F052" w14:textId="77777777" w:rsidR="009E566B" w:rsidRPr="00AD5FD1" w:rsidRDefault="009E566B" w:rsidP="009E566B">
      <w:pPr>
        <w:spacing w:after="0" w:line="360" w:lineRule="auto"/>
        <w:jc w:val="both"/>
        <w:rPr>
          <w:rFonts w:ascii="Arial" w:hAnsi="Arial" w:cs="Arial"/>
          <w:sz w:val="24"/>
          <w:szCs w:val="24"/>
          <w:lang w:val="en-US"/>
        </w:rPr>
      </w:pPr>
    </w:p>
    <w:p w14:paraId="50A83DAC" w14:textId="77777777" w:rsidR="009E566B" w:rsidRPr="00AD5FD1" w:rsidRDefault="009E566B" w:rsidP="009E566B">
      <w:pPr>
        <w:spacing w:after="0" w:line="240" w:lineRule="auto"/>
        <w:jc w:val="both"/>
        <w:rPr>
          <w:rFonts w:ascii="Arial" w:hAnsi="Arial" w:cs="Arial"/>
          <w:b/>
          <w:bCs/>
          <w:sz w:val="24"/>
          <w:szCs w:val="24"/>
          <w:lang w:val="en-US"/>
        </w:rPr>
      </w:pPr>
    </w:p>
    <w:p w14:paraId="6152DF0D" w14:textId="77777777" w:rsidR="009E566B" w:rsidRPr="00AD5FD1" w:rsidRDefault="009E566B" w:rsidP="009E566B">
      <w:pPr>
        <w:spacing w:after="0" w:line="240" w:lineRule="auto"/>
        <w:jc w:val="both"/>
        <w:rPr>
          <w:rFonts w:ascii="Arial" w:hAnsi="Arial" w:cs="Arial"/>
          <w:b/>
          <w:bCs/>
          <w:sz w:val="24"/>
          <w:szCs w:val="24"/>
          <w:lang w:val="en-US"/>
        </w:rPr>
      </w:pPr>
    </w:p>
    <w:p w14:paraId="4343E152" w14:textId="44A36818" w:rsidR="009E566B" w:rsidRPr="0059043F" w:rsidRDefault="009E566B" w:rsidP="009E566B">
      <w:pPr>
        <w:spacing w:after="0" w:line="240" w:lineRule="auto"/>
        <w:jc w:val="both"/>
        <w:rPr>
          <w:rFonts w:ascii="Arial" w:hAnsi="Arial" w:cs="Arial"/>
          <w:b/>
          <w:bCs/>
          <w:sz w:val="20"/>
          <w:lang w:val="en-US"/>
        </w:rPr>
      </w:pPr>
      <w:r w:rsidRPr="0059043F">
        <w:rPr>
          <w:rFonts w:ascii="Arial" w:hAnsi="Arial" w:cs="Arial"/>
          <w:b/>
          <w:bCs/>
          <w:sz w:val="20"/>
          <w:lang w:val="en-US"/>
        </w:rPr>
        <w:t xml:space="preserve">Figure </w:t>
      </w:r>
      <w:r w:rsidR="00370A58" w:rsidRPr="0059043F">
        <w:rPr>
          <w:rFonts w:ascii="Arial" w:hAnsi="Arial" w:cs="Arial"/>
          <w:b/>
          <w:bCs/>
          <w:sz w:val="20"/>
          <w:lang w:val="en-US"/>
        </w:rPr>
        <w:t>7</w:t>
      </w:r>
      <w:r w:rsidRPr="0059043F">
        <w:rPr>
          <w:rFonts w:ascii="Arial" w:hAnsi="Arial" w:cs="Arial"/>
          <w:b/>
          <w:bCs/>
          <w:sz w:val="20"/>
          <w:lang w:val="en-US"/>
        </w:rPr>
        <w:t xml:space="preserve"> DNA gyrase (</w:t>
      </w:r>
      <w:proofErr w:type="spellStart"/>
      <w:r w:rsidRPr="0059043F">
        <w:rPr>
          <w:rFonts w:ascii="Arial" w:hAnsi="Arial" w:cs="Arial"/>
          <w:b/>
          <w:bCs/>
          <w:sz w:val="20"/>
          <w:lang w:val="en-US"/>
        </w:rPr>
        <w:t>gyrAB</w:t>
      </w:r>
      <w:proofErr w:type="spellEnd"/>
      <w:r w:rsidRPr="0059043F">
        <w:rPr>
          <w:rFonts w:ascii="Arial" w:hAnsi="Arial" w:cs="Arial"/>
          <w:b/>
          <w:bCs/>
          <w:sz w:val="20"/>
          <w:lang w:val="en-US"/>
        </w:rPr>
        <w:t>) and DNA topoisomerase IV (</w:t>
      </w:r>
      <w:proofErr w:type="spellStart"/>
      <w:r w:rsidRPr="0059043F">
        <w:rPr>
          <w:rFonts w:ascii="Arial" w:hAnsi="Arial" w:cs="Arial"/>
          <w:b/>
          <w:bCs/>
          <w:sz w:val="20"/>
          <w:lang w:val="en-US"/>
        </w:rPr>
        <w:t>parCE</w:t>
      </w:r>
      <w:proofErr w:type="spellEnd"/>
      <w:r w:rsidRPr="0059043F">
        <w:rPr>
          <w:rFonts w:ascii="Arial" w:hAnsi="Arial" w:cs="Arial"/>
          <w:b/>
          <w:bCs/>
          <w:sz w:val="20"/>
          <w:lang w:val="en-US"/>
        </w:rPr>
        <w:t xml:space="preserve">) genes </w:t>
      </w:r>
      <w:proofErr w:type="spellStart"/>
      <w:proofErr w:type="gramStart"/>
      <w:r w:rsidRPr="0059043F">
        <w:rPr>
          <w:rFonts w:ascii="Arial" w:hAnsi="Arial" w:cs="Arial"/>
          <w:b/>
          <w:bCs/>
          <w:sz w:val="20"/>
          <w:lang w:val="en-US"/>
        </w:rPr>
        <w:t>Topoismerase</w:t>
      </w:r>
      <w:proofErr w:type="spellEnd"/>
      <w:r w:rsidRPr="0059043F">
        <w:rPr>
          <w:rFonts w:ascii="Arial" w:hAnsi="Arial" w:cs="Arial"/>
          <w:b/>
          <w:bCs/>
          <w:sz w:val="20"/>
          <w:lang w:val="en-US"/>
        </w:rPr>
        <w:t xml:space="preserve">  type</w:t>
      </w:r>
      <w:proofErr w:type="gramEnd"/>
      <w:r w:rsidRPr="0059043F">
        <w:rPr>
          <w:rFonts w:ascii="Arial" w:hAnsi="Arial" w:cs="Arial"/>
          <w:b/>
          <w:bCs/>
          <w:sz w:val="20"/>
          <w:lang w:val="en-US"/>
        </w:rPr>
        <w:t xml:space="preserve"> II category of </w:t>
      </w:r>
      <w:r w:rsidRPr="0059043F">
        <w:rPr>
          <w:rFonts w:ascii="Arial" w:hAnsi="Arial" w:cs="Arial"/>
          <w:b/>
          <w:bCs/>
          <w:i/>
          <w:iCs/>
          <w:sz w:val="20"/>
          <w:lang w:val="en-US"/>
        </w:rPr>
        <w:t>E. coli</w:t>
      </w:r>
      <w:r w:rsidRPr="0059043F">
        <w:rPr>
          <w:rFonts w:ascii="Arial" w:hAnsi="Arial" w:cs="Arial"/>
          <w:b/>
          <w:bCs/>
          <w:sz w:val="20"/>
          <w:lang w:val="en-US"/>
        </w:rPr>
        <w:t xml:space="preserve"> Reproduced after Fricke et al.  2008).</w:t>
      </w:r>
    </w:p>
    <w:p w14:paraId="1E27DA56" w14:textId="77777777" w:rsidR="009E566B" w:rsidRPr="0059043F" w:rsidRDefault="009E566B" w:rsidP="009E566B">
      <w:pPr>
        <w:spacing w:after="0" w:line="240" w:lineRule="auto"/>
        <w:jc w:val="both"/>
        <w:rPr>
          <w:rFonts w:ascii="Arial" w:hAnsi="Arial" w:cs="Arial"/>
          <w:b/>
          <w:bCs/>
          <w:sz w:val="20"/>
          <w:lang w:val="en-US"/>
        </w:rPr>
      </w:pPr>
    </w:p>
    <w:p w14:paraId="2680295F" w14:textId="77777777" w:rsidR="00370A58" w:rsidRPr="00AD5FD1" w:rsidRDefault="00370A58" w:rsidP="009E566B">
      <w:pPr>
        <w:spacing w:after="0" w:line="240" w:lineRule="auto"/>
        <w:jc w:val="both"/>
        <w:rPr>
          <w:rFonts w:ascii="Arial" w:hAnsi="Arial" w:cs="Arial"/>
          <w:b/>
          <w:bCs/>
          <w:sz w:val="24"/>
          <w:szCs w:val="24"/>
          <w:lang w:val="en-US"/>
        </w:rPr>
      </w:pPr>
    </w:p>
    <w:p w14:paraId="674032B4" w14:textId="77777777" w:rsidR="00370A58" w:rsidRPr="00AD5FD1" w:rsidRDefault="00370A58" w:rsidP="009E566B">
      <w:pPr>
        <w:spacing w:after="0" w:line="240" w:lineRule="auto"/>
        <w:jc w:val="both"/>
        <w:rPr>
          <w:rFonts w:ascii="Arial" w:hAnsi="Arial" w:cs="Arial"/>
          <w:b/>
          <w:bCs/>
          <w:sz w:val="24"/>
          <w:szCs w:val="24"/>
          <w:lang w:val="en-US"/>
        </w:rPr>
      </w:pPr>
    </w:p>
    <w:p w14:paraId="4C63B2CF" w14:textId="0F8F0163" w:rsidR="009E566B" w:rsidRPr="0059043F" w:rsidRDefault="0059043F" w:rsidP="009E566B">
      <w:pPr>
        <w:spacing w:after="0" w:line="240" w:lineRule="auto"/>
        <w:jc w:val="both"/>
        <w:rPr>
          <w:rFonts w:ascii="Arial" w:hAnsi="Arial" w:cs="Arial"/>
          <w:b/>
          <w:bCs/>
          <w:i/>
          <w:iCs/>
          <w:szCs w:val="22"/>
          <w:lang w:val="en-US"/>
        </w:rPr>
      </w:pPr>
      <w:r>
        <w:rPr>
          <w:rFonts w:ascii="Arial" w:hAnsi="Arial" w:cs="Arial"/>
          <w:b/>
          <w:bCs/>
          <w:szCs w:val="22"/>
          <w:lang w:val="en-US"/>
        </w:rPr>
        <w:t xml:space="preserve">3.4 </w:t>
      </w:r>
      <w:r w:rsidRPr="0059043F">
        <w:rPr>
          <w:rFonts w:ascii="Arial" w:hAnsi="Arial" w:cs="Arial"/>
          <w:b/>
          <w:bCs/>
          <w:szCs w:val="22"/>
          <w:lang w:val="en-US"/>
        </w:rPr>
        <w:t>Topoisomerase IV</w:t>
      </w:r>
      <w:r w:rsidR="009E566B" w:rsidRPr="0059043F">
        <w:rPr>
          <w:rFonts w:ascii="Arial" w:hAnsi="Arial" w:cs="Arial"/>
          <w:b/>
          <w:bCs/>
          <w:szCs w:val="22"/>
          <w:lang w:val="en-US"/>
        </w:rPr>
        <w:t xml:space="preserve"> of </w:t>
      </w:r>
      <w:r w:rsidR="009E566B" w:rsidRPr="0059043F">
        <w:rPr>
          <w:rFonts w:ascii="Arial" w:hAnsi="Arial" w:cs="Arial"/>
          <w:b/>
          <w:bCs/>
          <w:i/>
          <w:iCs/>
          <w:szCs w:val="22"/>
          <w:lang w:val="en-US"/>
        </w:rPr>
        <w:t>Staphylococcus aureus</w:t>
      </w:r>
    </w:p>
    <w:p w14:paraId="27CF837F" w14:textId="77777777" w:rsidR="009E566B" w:rsidRPr="00AD5FD1" w:rsidRDefault="009E566B" w:rsidP="009E566B">
      <w:pPr>
        <w:spacing w:after="0" w:line="240" w:lineRule="auto"/>
        <w:jc w:val="both"/>
        <w:rPr>
          <w:rFonts w:ascii="Arial" w:hAnsi="Arial" w:cs="Arial"/>
          <w:b/>
          <w:bCs/>
          <w:i/>
          <w:iCs/>
          <w:sz w:val="24"/>
          <w:szCs w:val="24"/>
          <w:lang w:val="en-US"/>
        </w:rPr>
      </w:pPr>
    </w:p>
    <w:p w14:paraId="5EF45FE0" w14:textId="6111F1B1" w:rsidR="009E566B" w:rsidRDefault="009E566B" w:rsidP="0059043F">
      <w:pPr>
        <w:spacing w:line="240" w:lineRule="auto"/>
        <w:jc w:val="both"/>
        <w:rPr>
          <w:rFonts w:ascii="Arial" w:hAnsi="Arial" w:cs="Arial"/>
          <w:sz w:val="20"/>
          <w:lang w:val="en-US"/>
        </w:rPr>
      </w:pPr>
      <w:r w:rsidRPr="0059043F">
        <w:rPr>
          <w:rFonts w:ascii="Arial" w:hAnsi="Arial" w:cs="Arial"/>
          <w:sz w:val="20"/>
          <w:lang w:val="en-US"/>
        </w:rPr>
        <w:t xml:space="preserve">Topoisomerase IV is an A2B2 tetramer that is comprised of two distinct subunits, </w:t>
      </w:r>
      <w:proofErr w:type="spellStart"/>
      <w:r w:rsidRPr="0059043F">
        <w:rPr>
          <w:rFonts w:ascii="Arial" w:hAnsi="Arial" w:cs="Arial"/>
          <w:sz w:val="20"/>
          <w:lang w:val="en-US"/>
        </w:rPr>
        <w:t>ParC</w:t>
      </w:r>
      <w:proofErr w:type="spellEnd"/>
      <w:r w:rsidRPr="0059043F">
        <w:rPr>
          <w:rFonts w:ascii="Arial" w:hAnsi="Arial" w:cs="Arial"/>
          <w:sz w:val="20"/>
          <w:lang w:val="en-US"/>
        </w:rPr>
        <w:t xml:space="preserve"> and </w:t>
      </w:r>
      <w:proofErr w:type="spellStart"/>
      <w:r w:rsidRPr="0059043F">
        <w:rPr>
          <w:rFonts w:ascii="Arial" w:hAnsi="Arial" w:cs="Arial"/>
          <w:sz w:val="20"/>
          <w:lang w:val="en-US"/>
        </w:rPr>
        <w:t>ParE</w:t>
      </w:r>
      <w:proofErr w:type="spellEnd"/>
      <w:r w:rsidRPr="0059043F">
        <w:rPr>
          <w:rFonts w:ascii="Arial" w:hAnsi="Arial" w:cs="Arial"/>
          <w:sz w:val="20"/>
          <w:lang w:val="en-US"/>
        </w:rPr>
        <w:t xml:space="preserve"> which are homologous to the A- and B-subunits of DNA gyrase. Hence, in Gram-positive bacteria, like </w:t>
      </w:r>
      <w:r w:rsidRPr="0059043F">
        <w:rPr>
          <w:rFonts w:ascii="Arial" w:hAnsi="Arial" w:cs="Arial"/>
          <w:i/>
          <w:iCs/>
          <w:sz w:val="20"/>
          <w:lang w:val="en-US"/>
        </w:rPr>
        <w:t>Staphylococcus aureus</w:t>
      </w:r>
      <w:r w:rsidRPr="0059043F">
        <w:rPr>
          <w:rFonts w:ascii="Arial" w:hAnsi="Arial" w:cs="Arial"/>
          <w:sz w:val="20"/>
          <w:lang w:val="en-US"/>
        </w:rPr>
        <w:t xml:space="preserve">, the subunits of topoisomerase IV are designated </w:t>
      </w:r>
      <w:bookmarkStart w:id="0" w:name="_Hlk195538010"/>
      <w:proofErr w:type="spellStart"/>
      <w:r w:rsidRPr="0059043F">
        <w:rPr>
          <w:rFonts w:ascii="Arial" w:hAnsi="Arial" w:cs="Arial"/>
          <w:sz w:val="20"/>
          <w:lang w:val="en-US"/>
        </w:rPr>
        <w:t>GrlA</w:t>
      </w:r>
      <w:proofErr w:type="spellEnd"/>
      <w:r w:rsidRPr="0059043F">
        <w:rPr>
          <w:rFonts w:ascii="Arial" w:hAnsi="Arial" w:cs="Arial"/>
          <w:sz w:val="20"/>
          <w:lang w:val="en-US"/>
        </w:rPr>
        <w:t xml:space="preserve"> and </w:t>
      </w:r>
      <w:proofErr w:type="spellStart"/>
      <w:r w:rsidRPr="0059043F">
        <w:rPr>
          <w:rFonts w:ascii="Arial" w:hAnsi="Arial" w:cs="Arial"/>
          <w:sz w:val="20"/>
          <w:lang w:val="en-US"/>
        </w:rPr>
        <w:t>GrlB</w:t>
      </w:r>
      <w:proofErr w:type="spellEnd"/>
      <w:r w:rsidRPr="0059043F">
        <w:rPr>
          <w:rFonts w:ascii="Arial" w:hAnsi="Arial" w:cs="Arial"/>
          <w:sz w:val="20"/>
          <w:lang w:val="en-US"/>
        </w:rPr>
        <w:t>,</w:t>
      </w:r>
      <w:bookmarkEnd w:id="0"/>
      <w:r w:rsidRPr="0059043F">
        <w:rPr>
          <w:rFonts w:ascii="Arial" w:hAnsi="Arial" w:cs="Arial"/>
          <w:sz w:val="20"/>
          <w:lang w:val="en-US"/>
        </w:rPr>
        <w:t xml:space="preserve"> respectively (Vélez-Cruz and Osheroff, 2004</w:t>
      </w:r>
      <w:r w:rsidR="00370A58" w:rsidRPr="0059043F">
        <w:rPr>
          <w:rFonts w:ascii="Arial" w:hAnsi="Arial" w:cs="Arial"/>
          <w:sz w:val="20"/>
          <w:lang w:val="en-US"/>
        </w:rPr>
        <w:t>)</w:t>
      </w:r>
      <w:r w:rsidRPr="0059043F">
        <w:rPr>
          <w:rFonts w:ascii="Arial" w:hAnsi="Arial" w:cs="Arial"/>
          <w:sz w:val="20"/>
          <w:lang w:val="en-US"/>
        </w:rPr>
        <w:t xml:space="preserve">. </w:t>
      </w:r>
    </w:p>
    <w:p w14:paraId="548541B0" w14:textId="77777777" w:rsidR="00CB498D" w:rsidRDefault="00CB498D" w:rsidP="0059043F">
      <w:pPr>
        <w:spacing w:line="240" w:lineRule="auto"/>
        <w:jc w:val="both"/>
        <w:rPr>
          <w:rFonts w:ascii="Arial" w:hAnsi="Arial" w:cs="Arial"/>
          <w:sz w:val="20"/>
          <w:lang w:val="en-US"/>
        </w:rPr>
      </w:pPr>
    </w:p>
    <w:p w14:paraId="06554F4A" w14:textId="77777777" w:rsidR="00CB498D" w:rsidRPr="0059043F" w:rsidRDefault="00CB498D" w:rsidP="0059043F">
      <w:pPr>
        <w:spacing w:line="240" w:lineRule="auto"/>
        <w:jc w:val="both"/>
        <w:rPr>
          <w:rFonts w:ascii="Arial" w:hAnsi="Arial" w:cs="Arial"/>
          <w:sz w:val="20"/>
          <w:lang w:val="en-US"/>
        </w:rPr>
      </w:pPr>
    </w:p>
    <w:p w14:paraId="600EEBD1" w14:textId="77777777" w:rsidR="009E566B" w:rsidRPr="00AD5FD1" w:rsidRDefault="009E566B" w:rsidP="009E566B">
      <w:pPr>
        <w:jc w:val="both"/>
        <w:rPr>
          <w:rFonts w:ascii="Arial" w:hAnsi="Arial" w:cs="Arial"/>
          <w:b/>
          <w:bCs/>
          <w:sz w:val="24"/>
          <w:szCs w:val="24"/>
          <w:lang w:val="en-US"/>
        </w:rPr>
      </w:pPr>
      <w:r w:rsidRPr="00AD5FD1">
        <w:rPr>
          <w:rFonts w:ascii="Arial" w:hAnsi="Arial" w:cs="Arial"/>
          <w:b/>
          <w:bCs/>
          <w:noProof/>
          <w:sz w:val="24"/>
          <w:szCs w:val="24"/>
          <w:lang w:val="en-US"/>
        </w:rPr>
        <w:drawing>
          <wp:anchor distT="0" distB="0" distL="114300" distR="114300" simplePos="0" relativeHeight="251661312" behindDoc="0" locked="0" layoutInCell="1" allowOverlap="1" wp14:anchorId="5E4A4BFF" wp14:editId="63524BE1">
            <wp:simplePos x="0" y="0"/>
            <wp:positionH relativeFrom="column">
              <wp:posOffset>998220</wp:posOffset>
            </wp:positionH>
            <wp:positionV relativeFrom="paragraph">
              <wp:posOffset>104140</wp:posOffset>
            </wp:positionV>
            <wp:extent cx="3243580" cy="2781300"/>
            <wp:effectExtent l="0" t="0" r="0" b="0"/>
            <wp:wrapNone/>
            <wp:docPr id="6999728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3580" cy="2781300"/>
                    </a:xfrm>
                    <a:prstGeom prst="rect">
                      <a:avLst/>
                    </a:prstGeom>
                    <a:noFill/>
                  </pic:spPr>
                </pic:pic>
              </a:graphicData>
            </a:graphic>
            <wp14:sizeRelH relativeFrom="page">
              <wp14:pctWidth>0</wp14:pctWidth>
            </wp14:sizeRelH>
            <wp14:sizeRelV relativeFrom="page">
              <wp14:pctHeight>0</wp14:pctHeight>
            </wp14:sizeRelV>
          </wp:anchor>
        </w:drawing>
      </w:r>
    </w:p>
    <w:p w14:paraId="377989CB" w14:textId="77777777" w:rsidR="009E566B" w:rsidRPr="00AD5FD1" w:rsidRDefault="009E566B" w:rsidP="009E566B">
      <w:pPr>
        <w:jc w:val="both"/>
        <w:rPr>
          <w:rFonts w:ascii="Arial" w:hAnsi="Arial" w:cs="Arial"/>
          <w:b/>
          <w:bCs/>
          <w:sz w:val="24"/>
          <w:szCs w:val="24"/>
          <w:lang w:val="en-US"/>
        </w:rPr>
      </w:pPr>
    </w:p>
    <w:p w14:paraId="4CA7F48E" w14:textId="77777777" w:rsidR="009E566B" w:rsidRPr="00AD5FD1" w:rsidRDefault="009E566B" w:rsidP="009E566B">
      <w:pPr>
        <w:jc w:val="both"/>
        <w:rPr>
          <w:rFonts w:ascii="Arial" w:hAnsi="Arial" w:cs="Arial"/>
          <w:b/>
          <w:bCs/>
          <w:sz w:val="24"/>
          <w:szCs w:val="24"/>
          <w:lang w:val="en-US"/>
        </w:rPr>
      </w:pPr>
    </w:p>
    <w:p w14:paraId="625DD42F" w14:textId="77777777" w:rsidR="009E566B" w:rsidRPr="00AD5FD1" w:rsidRDefault="009E566B" w:rsidP="009E566B">
      <w:pPr>
        <w:jc w:val="both"/>
        <w:rPr>
          <w:rFonts w:ascii="Arial" w:hAnsi="Arial" w:cs="Arial"/>
          <w:b/>
          <w:bCs/>
          <w:sz w:val="24"/>
          <w:szCs w:val="24"/>
          <w:lang w:val="en-US"/>
        </w:rPr>
      </w:pPr>
    </w:p>
    <w:p w14:paraId="44A1FECB" w14:textId="77777777" w:rsidR="009E566B" w:rsidRPr="00AD5FD1" w:rsidRDefault="009E566B" w:rsidP="009E566B">
      <w:pPr>
        <w:jc w:val="both"/>
        <w:rPr>
          <w:rFonts w:ascii="Arial" w:hAnsi="Arial" w:cs="Arial"/>
          <w:b/>
          <w:bCs/>
          <w:sz w:val="24"/>
          <w:szCs w:val="24"/>
          <w:lang w:val="en-US"/>
        </w:rPr>
      </w:pPr>
    </w:p>
    <w:p w14:paraId="15B884EB" w14:textId="77777777" w:rsidR="009E566B" w:rsidRPr="00AD5FD1" w:rsidRDefault="009E566B" w:rsidP="009E566B">
      <w:pPr>
        <w:jc w:val="both"/>
        <w:rPr>
          <w:rFonts w:ascii="Arial" w:hAnsi="Arial" w:cs="Arial"/>
          <w:b/>
          <w:bCs/>
          <w:sz w:val="24"/>
          <w:szCs w:val="24"/>
          <w:lang w:val="en-US"/>
        </w:rPr>
      </w:pPr>
    </w:p>
    <w:p w14:paraId="62CFF6AC" w14:textId="77777777" w:rsidR="009E566B" w:rsidRPr="00AD5FD1" w:rsidRDefault="009E566B" w:rsidP="009E566B">
      <w:pPr>
        <w:jc w:val="both"/>
        <w:rPr>
          <w:rFonts w:ascii="Arial" w:hAnsi="Arial" w:cs="Arial"/>
          <w:b/>
          <w:bCs/>
          <w:sz w:val="24"/>
          <w:szCs w:val="24"/>
          <w:lang w:val="en-US"/>
        </w:rPr>
      </w:pPr>
    </w:p>
    <w:p w14:paraId="5F371360" w14:textId="77777777" w:rsidR="009E566B" w:rsidRPr="00AD5FD1" w:rsidRDefault="009E566B" w:rsidP="009E566B">
      <w:pPr>
        <w:jc w:val="both"/>
        <w:rPr>
          <w:rFonts w:ascii="Arial" w:hAnsi="Arial" w:cs="Arial"/>
          <w:b/>
          <w:bCs/>
          <w:sz w:val="24"/>
          <w:szCs w:val="24"/>
          <w:lang w:val="en-US"/>
        </w:rPr>
      </w:pPr>
    </w:p>
    <w:p w14:paraId="5EEF437B" w14:textId="77777777" w:rsidR="009E566B" w:rsidRPr="00AD5FD1" w:rsidRDefault="009E566B" w:rsidP="009E566B">
      <w:pPr>
        <w:jc w:val="both"/>
        <w:rPr>
          <w:rFonts w:ascii="Arial" w:hAnsi="Arial" w:cs="Arial"/>
          <w:b/>
          <w:bCs/>
          <w:sz w:val="24"/>
          <w:szCs w:val="24"/>
          <w:lang w:val="en-US"/>
        </w:rPr>
      </w:pPr>
    </w:p>
    <w:p w14:paraId="1BFCBE52" w14:textId="77777777" w:rsidR="009E566B" w:rsidRPr="0059043F" w:rsidRDefault="009E566B" w:rsidP="0059043F">
      <w:pPr>
        <w:spacing w:line="240" w:lineRule="auto"/>
        <w:jc w:val="both"/>
        <w:rPr>
          <w:rFonts w:ascii="Arial" w:hAnsi="Arial" w:cs="Arial"/>
          <w:b/>
          <w:bCs/>
          <w:sz w:val="20"/>
          <w:lang w:val="en-US"/>
        </w:rPr>
      </w:pPr>
    </w:p>
    <w:p w14:paraId="4A1E1433" w14:textId="7B0BAF02" w:rsidR="009E566B" w:rsidRPr="0059043F" w:rsidRDefault="009E566B" w:rsidP="0059043F">
      <w:pPr>
        <w:spacing w:line="240" w:lineRule="auto"/>
        <w:jc w:val="both"/>
        <w:rPr>
          <w:rFonts w:ascii="Arial" w:hAnsi="Arial" w:cs="Arial"/>
          <w:b/>
          <w:bCs/>
          <w:sz w:val="20"/>
          <w:lang w:val="en-US"/>
        </w:rPr>
      </w:pPr>
      <w:r w:rsidRPr="0059043F">
        <w:rPr>
          <w:rFonts w:ascii="Arial" w:hAnsi="Arial" w:cs="Arial"/>
          <w:b/>
          <w:bCs/>
          <w:sz w:val="20"/>
          <w:lang w:val="en-US"/>
        </w:rPr>
        <w:t>Fig</w:t>
      </w:r>
      <w:r w:rsidR="0059043F" w:rsidRPr="0059043F">
        <w:rPr>
          <w:rFonts w:ascii="Arial" w:hAnsi="Arial" w:cs="Arial"/>
          <w:b/>
          <w:bCs/>
          <w:sz w:val="20"/>
          <w:lang w:val="en-US"/>
        </w:rPr>
        <w:t>.</w:t>
      </w:r>
      <w:r w:rsidR="00370A58" w:rsidRPr="0059043F">
        <w:rPr>
          <w:rFonts w:ascii="Arial" w:hAnsi="Arial" w:cs="Arial"/>
          <w:b/>
          <w:bCs/>
          <w:sz w:val="20"/>
          <w:lang w:val="en-US"/>
        </w:rPr>
        <w:t xml:space="preserve"> 8</w:t>
      </w:r>
      <w:r w:rsidR="0059043F" w:rsidRPr="0059043F">
        <w:rPr>
          <w:rFonts w:ascii="Arial" w:hAnsi="Arial" w:cs="Arial"/>
          <w:b/>
          <w:bCs/>
          <w:sz w:val="20"/>
          <w:lang w:val="en-US"/>
        </w:rPr>
        <w:t>.</w:t>
      </w:r>
      <w:r w:rsidRPr="0059043F">
        <w:rPr>
          <w:rFonts w:ascii="Arial" w:hAnsi="Arial" w:cs="Arial"/>
          <w:b/>
          <w:bCs/>
          <w:sz w:val="20"/>
          <w:lang w:val="en-US"/>
        </w:rPr>
        <w:t xml:space="preserve"> The function of DNA </w:t>
      </w:r>
      <w:proofErr w:type="spellStart"/>
      <w:r w:rsidRPr="0059043F">
        <w:rPr>
          <w:rFonts w:ascii="Arial" w:hAnsi="Arial" w:cs="Arial"/>
          <w:b/>
          <w:bCs/>
          <w:sz w:val="20"/>
          <w:lang w:val="en-US"/>
        </w:rPr>
        <w:t>Topoisomaerase</w:t>
      </w:r>
      <w:proofErr w:type="spellEnd"/>
      <w:r w:rsidRPr="0059043F">
        <w:rPr>
          <w:rFonts w:ascii="Arial" w:hAnsi="Arial" w:cs="Arial"/>
          <w:b/>
          <w:bCs/>
          <w:sz w:val="20"/>
          <w:lang w:val="en-US"/>
        </w:rPr>
        <w:t xml:space="preserve"> IV in Staphylococcus </w:t>
      </w:r>
      <w:proofErr w:type="gramStart"/>
      <w:r w:rsidRPr="0059043F">
        <w:rPr>
          <w:rFonts w:ascii="Arial" w:hAnsi="Arial" w:cs="Arial"/>
          <w:b/>
          <w:bCs/>
          <w:sz w:val="20"/>
          <w:lang w:val="en-US"/>
        </w:rPr>
        <w:t>aureus .</w:t>
      </w:r>
      <w:proofErr w:type="gramEnd"/>
      <w:r w:rsidRPr="0059043F">
        <w:rPr>
          <w:rFonts w:ascii="Arial" w:hAnsi="Arial" w:cs="Arial"/>
          <w:b/>
          <w:bCs/>
          <w:sz w:val="20"/>
          <w:lang w:val="en-US"/>
        </w:rPr>
        <w:t xml:space="preserve"> a: Conversion to relaxed DNA irrespective of +</w:t>
      </w:r>
      <w:proofErr w:type="spellStart"/>
      <w:r w:rsidRPr="0059043F">
        <w:rPr>
          <w:rFonts w:ascii="Arial" w:hAnsi="Arial" w:cs="Arial"/>
          <w:b/>
          <w:bCs/>
          <w:sz w:val="20"/>
          <w:lang w:val="en-US"/>
        </w:rPr>
        <w:t>ve</w:t>
      </w:r>
      <w:proofErr w:type="spellEnd"/>
      <w:r w:rsidRPr="0059043F">
        <w:rPr>
          <w:rFonts w:ascii="Arial" w:hAnsi="Arial" w:cs="Arial"/>
          <w:b/>
          <w:bCs/>
          <w:sz w:val="20"/>
          <w:lang w:val="en-US"/>
        </w:rPr>
        <w:t xml:space="preserve"> or -</w:t>
      </w:r>
      <w:proofErr w:type="spellStart"/>
      <w:r w:rsidRPr="0059043F">
        <w:rPr>
          <w:rFonts w:ascii="Arial" w:hAnsi="Arial" w:cs="Arial"/>
          <w:b/>
          <w:bCs/>
          <w:sz w:val="20"/>
          <w:lang w:val="en-US"/>
        </w:rPr>
        <w:t>ve</w:t>
      </w:r>
      <w:proofErr w:type="spellEnd"/>
      <w:r w:rsidRPr="0059043F">
        <w:rPr>
          <w:rFonts w:ascii="Arial" w:hAnsi="Arial" w:cs="Arial"/>
          <w:b/>
          <w:bCs/>
          <w:sz w:val="20"/>
          <w:lang w:val="en-US"/>
        </w:rPr>
        <w:t xml:space="preserve"> supercoil; b: Formation of </w:t>
      </w:r>
      <w:proofErr w:type="spellStart"/>
      <w:r w:rsidRPr="0059043F">
        <w:rPr>
          <w:rFonts w:ascii="Arial" w:hAnsi="Arial" w:cs="Arial"/>
          <w:b/>
          <w:bCs/>
          <w:sz w:val="20"/>
          <w:lang w:val="en-US"/>
        </w:rPr>
        <w:t>catenenated</w:t>
      </w:r>
      <w:proofErr w:type="spellEnd"/>
      <w:r w:rsidRPr="0059043F">
        <w:rPr>
          <w:rFonts w:ascii="Arial" w:hAnsi="Arial" w:cs="Arial"/>
          <w:b/>
          <w:bCs/>
          <w:sz w:val="20"/>
          <w:lang w:val="en-US"/>
        </w:rPr>
        <w:t xml:space="preserve"> DNA to segregated DNA or vice versa; c: Formation of Knotted DNA from circular DNA or vice versa (Reproduced from Collins and Osheroff (2024).</w:t>
      </w:r>
    </w:p>
    <w:p w14:paraId="7EF9BC25" w14:textId="2880C293" w:rsidR="009E566B" w:rsidRPr="0059043F" w:rsidRDefault="009E566B" w:rsidP="0059043F">
      <w:pPr>
        <w:spacing w:line="240" w:lineRule="auto"/>
        <w:jc w:val="both"/>
        <w:rPr>
          <w:rFonts w:ascii="Arial" w:hAnsi="Arial" w:cs="Arial"/>
          <w:sz w:val="20"/>
          <w:lang w:val="en-US"/>
        </w:rPr>
      </w:pPr>
      <w:r w:rsidRPr="0059043F">
        <w:rPr>
          <w:rFonts w:ascii="Arial" w:hAnsi="Arial" w:cs="Arial"/>
          <w:sz w:val="20"/>
          <w:lang w:val="en-US"/>
        </w:rPr>
        <w:t xml:space="preserve">While Topoisomerase IV encoded by gene </w:t>
      </w:r>
      <w:proofErr w:type="spellStart"/>
      <w:r w:rsidRPr="0059043F">
        <w:rPr>
          <w:rFonts w:ascii="Arial" w:hAnsi="Arial" w:cs="Arial"/>
          <w:sz w:val="20"/>
          <w:lang w:val="en-US"/>
        </w:rPr>
        <w:t>parC</w:t>
      </w:r>
      <w:proofErr w:type="spellEnd"/>
      <w:r w:rsidRPr="0059043F">
        <w:rPr>
          <w:rFonts w:ascii="Arial" w:hAnsi="Arial" w:cs="Arial"/>
          <w:sz w:val="20"/>
          <w:lang w:val="en-US"/>
        </w:rPr>
        <w:t xml:space="preserve"> and par E (</w:t>
      </w:r>
      <w:proofErr w:type="spellStart"/>
      <w:r w:rsidRPr="0059043F">
        <w:rPr>
          <w:rFonts w:ascii="Arial" w:hAnsi="Arial" w:cs="Arial"/>
          <w:sz w:val="20"/>
          <w:lang w:val="en-US"/>
        </w:rPr>
        <w:t>GrlA</w:t>
      </w:r>
      <w:proofErr w:type="spellEnd"/>
      <w:r w:rsidRPr="0059043F">
        <w:rPr>
          <w:rFonts w:ascii="Arial" w:hAnsi="Arial" w:cs="Arial"/>
          <w:sz w:val="20"/>
          <w:lang w:val="en-US"/>
        </w:rPr>
        <w:t xml:space="preserve"> and </w:t>
      </w:r>
      <w:proofErr w:type="spellStart"/>
      <w:proofErr w:type="gramStart"/>
      <w:r w:rsidRPr="0059043F">
        <w:rPr>
          <w:rFonts w:ascii="Arial" w:hAnsi="Arial" w:cs="Arial"/>
          <w:sz w:val="20"/>
          <w:lang w:val="en-US"/>
        </w:rPr>
        <w:t>GrlB</w:t>
      </w:r>
      <w:proofErr w:type="spellEnd"/>
      <w:r w:rsidRPr="0059043F">
        <w:rPr>
          <w:rFonts w:ascii="Arial" w:hAnsi="Arial" w:cs="Arial"/>
          <w:sz w:val="20"/>
          <w:lang w:val="en-US"/>
        </w:rPr>
        <w:t>)  is</w:t>
      </w:r>
      <w:proofErr w:type="gramEnd"/>
      <w:r w:rsidRPr="0059043F">
        <w:rPr>
          <w:rFonts w:ascii="Arial" w:hAnsi="Arial" w:cs="Arial"/>
          <w:sz w:val="20"/>
          <w:lang w:val="en-US"/>
        </w:rPr>
        <w:t xml:space="preserve"> engaged for chromosome segregation, unlinking of daughter chromosome following replication in </w:t>
      </w:r>
      <w:proofErr w:type="spellStart"/>
      <w:r w:rsidRPr="0059043F">
        <w:rPr>
          <w:rFonts w:ascii="Arial" w:hAnsi="Arial" w:cs="Arial"/>
          <w:i/>
          <w:iCs/>
          <w:sz w:val="20"/>
          <w:lang w:val="en-US"/>
        </w:rPr>
        <w:t>Staphylococus</w:t>
      </w:r>
      <w:proofErr w:type="spellEnd"/>
      <w:r w:rsidRPr="0059043F">
        <w:rPr>
          <w:rFonts w:ascii="Arial" w:hAnsi="Arial" w:cs="Arial"/>
          <w:i/>
          <w:iCs/>
          <w:sz w:val="20"/>
          <w:lang w:val="en-US"/>
        </w:rPr>
        <w:t xml:space="preserve"> aureus</w:t>
      </w:r>
      <w:r w:rsidRPr="0059043F">
        <w:rPr>
          <w:rFonts w:ascii="Arial" w:hAnsi="Arial" w:cs="Arial"/>
          <w:sz w:val="20"/>
          <w:lang w:val="en-US"/>
        </w:rPr>
        <w:t xml:space="preserve">. </w:t>
      </w:r>
      <w:proofErr w:type="spellStart"/>
      <w:r w:rsidRPr="0059043F">
        <w:rPr>
          <w:rFonts w:ascii="Arial" w:hAnsi="Arial" w:cs="Arial"/>
          <w:sz w:val="20"/>
          <w:lang w:val="en-US"/>
        </w:rPr>
        <w:t>GlaI</w:t>
      </w:r>
      <w:proofErr w:type="spellEnd"/>
      <w:r w:rsidRPr="0059043F">
        <w:rPr>
          <w:rFonts w:ascii="Arial" w:hAnsi="Arial" w:cs="Arial"/>
          <w:sz w:val="20"/>
          <w:lang w:val="en-US"/>
        </w:rPr>
        <w:t xml:space="preserve"> A and </w:t>
      </w:r>
      <w:proofErr w:type="spellStart"/>
      <w:r w:rsidRPr="0059043F">
        <w:rPr>
          <w:rFonts w:ascii="Arial" w:hAnsi="Arial" w:cs="Arial"/>
          <w:sz w:val="20"/>
          <w:lang w:val="en-US"/>
        </w:rPr>
        <w:t>GrIB</w:t>
      </w:r>
      <w:proofErr w:type="spellEnd"/>
      <w:r w:rsidRPr="0059043F">
        <w:rPr>
          <w:rFonts w:ascii="Arial" w:hAnsi="Arial" w:cs="Arial"/>
          <w:sz w:val="20"/>
          <w:lang w:val="en-US"/>
        </w:rPr>
        <w:t xml:space="preserve"> not </w:t>
      </w:r>
      <w:proofErr w:type="spellStart"/>
      <w:r w:rsidRPr="0059043F">
        <w:rPr>
          <w:rFonts w:ascii="Arial" w:hAnsi="Arial" w:cs="Arial"/>
          <w:sz w:val="20"/>
          <w:lang w:val="en-US"/>
        </w:rPr>
        <w:t>GyrAB</w:t>
      </w:r>
      <w:proofErr w:type="spellEnd"/>
      <w:r w:rsidRPr="0059043F">
        <w:rPr>
          <w:rFonts w:ascii="Arial" w:hAnsi="Arial" w:cs="Arial"/>
          <w:sz w:val="20"/>
          <w:lang w:val="en-US"/>
        </w:rPr>
        <w:t xml:space="preserve"> are the prime targets of Fluoroquinolones in </w:t>
      </w:r>
      <w:r w:rsidRPr="0059043F">
        <w:rPr>
          <w:rFonts w:ascii="Arial" w:hAnsi="Arial" w:cs="Arial"/>
          <w:i/>
          <w:iCs/>
          <w:sz w:val="20"/>
          <w:lang w:val="en-US"/>
        </w:rPr>
        <w:t>Staphylococcus aureus</w:t>
      </w:r>
      <w:r w:rsidRPr="0059043F">
        <w:rPr>
          <w:rFonts w:ascii="Arial" w:hAnsi="Arial" w:cs="Arial"/>
          <w:sz w:val="20"/>
          <w:lang w:val="en-US"/>
        </w:rPr>
        <w:t xml:space="preserve"> (Ferrero at al. 1994). Topoisomerase IV is a </w:t>
      </w:r>
      <w:r w:rsidR="00B36AD8" w:rsidRPr="0059043F">
        <w:rPr>
          <w:rFonts w:ascii="Arial" w:hAnsi="Arial" w:cs="Arial"/>
          <w:sz w:val="20"/>
          <w:lang w:val="en-US"/>
        </w:rPr>
        <w:t>heterodimer</w:t>
      </w:r>
      <w:r w:rsidRPr="0059043F">
        <w:rPr>
          <w:rFonts w:ascii="Arial" w:hAnsi="Arial" w:cs="Arial"/>
          <w:sz w:val="20"/>
          <w:lang w:val="en-US"/>
        </w:rPr>
        <w:t xml:space="preserve"> comprised of two A subunits (</w:t>
      </w:r>
      <w:proofErr w:type="spellStart"/>
      <w:r w:rsidRPr="0059043F">
        <w:rPr>
          <w:rFonts w:ascii="Arial" w:hAnsi="Arial" w:cs="Arial"/>
          <w:sz w:val="20"/>
          <w:lang w:val="en-US"/>
        </w:rPr>
        <w:t>parC</w:t>
      </w:r>
      <w:proofErr w:type="spellEnd"/>
      <w:r w:rsidRPr="0059043F">
        <w:rPr>
          <w:rFonts w:ascii="Arial" w:hAnsi="Arial" w:cs="Arial"/>
          <w:sz w:val="20"/>
          <w:lang w:val="en-US"/>
        </w:rPr>
        <w:t xml:space="preserve"> gene encoded) and two B subunits (pare encoded). The mechanism of action of Topoisomerase IV is different from Topoisomerase II. Topoisomerase IV unlink daughter chromosomes following DNA replication and also resolve DNA </w:t>
      </w:r>
      <w:r w:rsidR="00B36AD8" w:rsidRPr="0059043F">
        <w:rPr>
          <w:rFonts w:ascii="Arial" w:hAnsi="Arial" w:cs="Arial"/>
          <w:sz w:val="20"/>
          <w:lang w:val="en-US"/>
        </w:rPr>
        <w:t>knots, formed</w:t>
      </w:r>
      <w:r w:rsidRPr="0059043F">
        <w:rPr>
          <w:rFonts w:ascii="Arial" w:hAnsi="Arial" w:cs="Arial"/>
          <w:sz w:val="20"/>
          <w:lang w:val="en-US"/>
        </w:rPr>
        <w:t xml:space="preserve"> during recombination (Fig</w:t>
      </w:r>
      <w:r w:rsidR="00370A58" w:rsidRPr="0059043F">
        <w:rPr>
          <w:rFonts w:ascii="Arial" w:hAnsi="Arial" w:cs="Arial"/>
          <w:sz w:val="20"/>
          <w:lang w:val="en-US"/>
        </w:rPr>
        <w:t>. 8</w:t>
      </w:r>
      <w:r w:rsidRPr="0059043F">
        <w:rPr>
          <w:rFonts w:ascii="Arial" w:hAnsi="Arial" w:cs="Arial"/>
          <w:sz w:val="20"/>
          <w:lang w:val="en-US"/>
        </w:rPr>
        <w:t xml:space="preserve">). </w:t>
      </w:r>
    </w:p>
    <w:p w14:paraId="4DB3CC8E" w14:textId="23F0D316" w:rsidR="009E566B" w:rsidRPr="00AD5FD1" w:rsidRDefault="009E566B" w:rsidP="0059043F">
      <w:pPr>
        <w:spacing w:line="240" w:lineRule="auto"/>
        <w:jc w:val="both"/>
        <w:rPr>
          <w:rFonts w:ascii="Arial" w:hAnsi="Arial" w:cs="Arial"/>
          <w:sz w:val="24"/>
          <w:szCs w:val="24"/>
          <w:lang w:val="en-US"/>
        </w:rPr>
      </w:pPr>
      <w:r w:rsidRPr="0059043F">
        <w:rPr>
          <w:rFonts w:ascii="Arial" w:hAnsi="Arial" w:cs="Arial"/>
          <w:sz w:val="20"/>
          <w:lang w:val="en-US"/>
        </w:rPr>
        <w:t xml:space="preserve">Although </w:t>
      </w:r>
      <w:r w:rsidR="000C6618" w:rsidRPr="0059043F">
        <w:rPr>
          <w:rFonts w:ascii="Arial" w:hAnsi="Arial" w:cs="Arial"/>
          <w:sz w:val="20"/>
          <w:lang w:val="en-US"/>
        </w:rPr>
        <w:t>Fluoroquinolones</w:t>
      </w:r>
      <w:r w:rsidRPr="0059043F">
        <w:rPr>
          <w:rFonts w:ascii="Arial" w:hAnsi="Arial" w:cs="Arial"/>
          <w:sz w:val="20"/>
          <w:lang w:val="en-US"/>
        </w:rPr>
        <w:t xml:space="preserve"> are defined with to interact Gyrases, but due to advent of many fold drug resistance mechanisms conferred by bacteria, posing a serious threat to mankind. In this scenario, antibacterial agents of natural source, essential oils are to be exploited. Therefore, investigators have made attempts to target gyrases of interest using essential oil components, although in silico docking approaches were reported (Mentha essential oil constituents, </w:t>
      </w:r>
      <w:proofErr w:type="spellStart"/>
      <w:r w:rsidRPr="0059043F">
        <w:rPr>
          <w:rFonts w:ascii="Arial" w:hAnsi="Arial" w:cs="Arial"/>
          <w:sz w:val="20"/>
          <w:lang w:val="en-US"/>
        </w:rPr>
        <w:t>Alenazy</w:t>
      </w:r>
      <w:proofErr w:type="spellEnd"/>
      <w:r w:rsidRPr="0059043F">
        <w:rPr>
          <w:rFonts w:ascii="Arial" w:hAnsi="Arial" w:cs="Arial"/>
          <w:sz w:val="20"/>
          <w:lang w:val="en-US"/>
        </w:rPr>
        <w:t xml:space="preserve">, 2024; </w:t>
      </w:r>
      <w:r w:rsidRPr="0059043F">
        <w:rPr>
          <w:rFonts w:ascii="Arial" w:hAnsi="Arial" w:cs="Arial"/>
          <w:i/>
          <w:iCs/>
          <w:sz w:val="20"/>
          <w:lang w:val="en-US"/>
        </w:rPr>
        <w:t xml:space="preserve">Cupressus </w:t>
      </w:r>
      <w:proofErr w:type="spellStart"/>
      <w:r w:rsidRPr="0059043F">
        <w:rPr>
          <w:rFonts w:ascii="Arial" w:hAnsi="Arial" w:cs="Arial"/>
          <w:i/>
          <w:iCs/>
          <w:sz w:val="20"/>
          <w:lang w:val="en-US"/>
        </w:rPr>
        <w:t>funebris</w:t>
      </w:r>
      <w:proofErr w:type="spellEnd"/>
      <w:r w:rsidRPr="0059043F">
        <w:rPr>
          <w:rFonts w:ascii="Arial" w:hAnsi="Arial" w:cs="Arial"/>
          <w:sz w:val="20"/>
          <w:lang w:val="en-US"/>
        </w:rPr>
        <w:t xml:space="preserve"> essential oil, Yuan and Hao, 2023). However, there was a big literature gap in the subject of interaction of essential oils or its active constituents with Gyrase enzymes of either </w:t>
      </w:r>
      <w:r w:rsidRPr="0059043F">
        <w:rPr>
          <w:rFonts w:ascii="Arial" w:hAnsi="Arial" w:cs="Arial"/>
          <w:i/>
          <w:iCs/>
          <w:sz w:val="20"/>
          <w:lang w:val="en-US"/>
        </w:rPr>
        <w:t>Escherichia coli</w:t>
      </w:r>
      <w:r w:rsidRPr="0059043F">
        <w:rPr>
          <w:rFonts w:ascii="Arial" w:hAnsi="Arial" w:cs="Arial"/>
          <w:sz w:val="20"/>
          <w:lang w:val="en-US"/>
        </w:rPr>
        <w:t xml:space="preserve"> or </w:t>
      </w:r>
      <w:r w:rsidRPr="0059043F">
        <w:rPr>
          <w:rFonts w:ascii="Arial" w:hAnsi="Arial" w:cs="Arial"/>
          <w:i/>
          <w:iCs/>
          <w:sz w:val="20"/>
          <w:lang w:val="en-US"/>
        </w:rPr>
        <w:t>Staphylococcus aureus</w:t>
      </w:r>
      <w:r w:rsidRPr="0059043F">
        <w:rPr>
          <w:rFonts w:ascii="Arial" w:hAnsi="Arial" w:cs="Arial"/>
          <w:sz w:val="20"/>
          <w:lang w:val="en-US"/>
        </w:rPr>
        <w:t xml:space="preserve"> with </w:t>
      </w:r>
      <w:proofErr w:type="spellStart"/>
      <w:r w:rsidRPr="0059043F">
        <w:rPr>
          <w:rFonts w:ascii="Arial" w:hAnsi="Arial" w:cs="Arial"/>
          <w:sz w:val="20"/>
          <w:lang w:val="en-US"/>
        </w:rPr>
        <w:t>gyrAB</w:t>
      </w:r>
      <w:proofErr w:type="spellEnd"/>
      <w:r w:rsidRPr="0059043F">
        <w:rPr>
          <w:rFonts w:ascii="Arial" w:hAnsi="Arial" w:cs="Arial"/>
          <w:sz w:val="20"/>
          <w:lang w:val="en-US"/>
        </w:rPr>
        <w:t xml:space="preserve"> and or par CE genes/it’s enzymes. The genomics approaches on these genes considering essential oils specifically Thymol (the compound under study) had not been made by any researchers</w:t>
      </w:r>
      <w:r w:rsidRPr="00AD5FD1">
        <w:rPr>
          <w:rFonts w:ascii="Arial" w:hAnsi="Arial" w:cs="Arial"/>
          <w:sz w:val="24"/>
          <w:szCs w:val="24"/>
          <w:lang w:val="en-US"/>
        </w:rPr>
        <w:t xml:space="preserve">. </w:t>
      </w:r>
    </w:p>
    <w:p w14:paraId="05BB39D5" w14:textId="1F9E400E" w:rsidR="009E566B" w:rsidRPr="0059043F" w:rsidRDefault="0059043F" w:rsidP="00B36AD8">
      <w:pPr>
        <w:spacing w:line="360" w:lineRule="auto"/>
        <w:rPr>
          <w:rFonts w:ascii="Arial" w:hAnsi="Arial" w:cs="Arial"/>
          <w:b/>
          <w:bCs/>
          <w:szCs w:val="22"/>
          <w:lang w:val="en-US"/>
        </w:rPr>
      </w:pPr>
      <w:r w:rsidRPr="0059043F">
        <w:rPr>
          <w:rFonts w:ascii="Arial" w:hAnsi="Arial" w:cs="Arial"/>
          <w:b/>
          <w:bCs/>
          <w:szCs w:val="22"/>
          <w:lang w:val="en-US"/>
        </w:rPr>
        <w:t>4. GENOMICS OF INTERACTION MODES</w:t>
      </w:r>
    </w:p>
    <w:p w14:paraId="7AA65679" w14:textId="61ADE7BA" w:rsidR="009E566B" w:rsidRDefault="009E566B" w:rsidP="0059043F">
      <w:pPr>
        <w:spacing w:line="240" w:lineRule="auto"/>
        <w:jc w:val="both"/>
        <w:rPr>
          <w:rFonts w:ascii="Arial" w:hAnsi="Arial" w:cs="Arial"/>
          <w:sz w:val="20"/>
          <w:lang w:val="en-US"/>
        </w:rPr>
      </w:pPr>
      <w:r w:rsidRPr="0059043F">
        <w:rPr>
          <w:rFonts w:ascii="Arial" w:hAnsi="Arial" w:cs="Arial"/>
          <w:sz w:val="20"/>
          <w:lang w:val="en-US"/>
        </w:rPr>
        <w:t xml:space="preserve">Genomics of interaction modes of essential oils and or its constituents are considered under the contemporary research. After preliminary screening of essential oils/its active constituents, it is essential to have a vertical study. The target molecules (enzymes/proteins of bacteria understudy) have to be specified and related experimental to be carried out.  Genomics approaches may be well-thought-out for the purpose. The genes of interest may be detected based upon </w:t>
      </w:r>
      <w:r w:rsidRPr="0059043F">
        <w:rPr>
          <w:rFonts w:ascii="Arial" w:hAnsi="Arial" w:cs="Arial"/>
          <w:i/>
          <w:iCs/>
          <w:sz w:val="20"/>
          <w:lang w:val="en-US"/>
        </w:rPr>
        <w:t xml:space="preserve">in -vitro </w:t>
      </w:r>
      <w:r w:rsidRPr="0059043F">
        <w:rPr>
          <w:rFonts w:ascii="Arial" w:hAnsi="Arial" w:cs="Arial"/>
          <w:sz w:val="20"/>
          <w:lang w:val="en-US"/>
        </w:rPr>
        <w:t>observations using PCR based amplicon elution (Figure 6.8) followed by gene sequencing (Fig</w:t>
      </w:r>
      <w:r w:rsidR="00370A58" w:rsidRPr="0059043F">
        <w:rPr>
          <w:rFonts w:ascii="Arial" w:hAnsi="Arial" w:cs="Arial"/>
          <w:sz w:val="20"/>
          <w:lang w:val="en-US"/>
        </w:rPr>
        <w:t>. 9</w:t>
      </w:r>
      <w:r w:rsidRPr="0059043F">
        <w:rPr>
          <w:rFonts w:ascii="Arial" w:hAnsi="Arial" w:cs="Arial"/>
          <w:sz w:val="20"/>
          <w:lang w:val="en-US"/>
        </w:rPr>
        <w:t xml:space="preserve">). The sequencings may be annotated both structurally as well functionally, availing online and off line standalone bioinformatic tool.  In addition, the ORFs (Open Reading frames) may be detected, the sequences predict the gene. Besides, conserved domain search can put the sequence in conserved family and superfamily groups. The eluted three- dimensional protein may be simulated </w:t>
      </w:r>
      <w:r w:rsidRPr="0059043F">
        <w:rPr>
          <w:rFonts w:ascii="Arial" w:hAnsi="Arial" w:cs="Arial"/>
          <w:i/>
          <w:iCs/>
          <w:sz w:val="20"/>
          <w:lang w:val="en-US"/>
        </w:rPr>
        <w:t>in silico</w:t>
      </w:r>
      <w:r w:rsidRPr="0059043F">
        <w:rPr>
          <w:rFonts w:ascii="Arial" w:hAnsi="Arial" w:cs="Arial"/>
          <w:sz w:val="20"/>
          <w:lang w:val="en-US"/>
        </w:rPr>
        <w:t xml:space="preserve">, for prediction of target molecule interaction to support the in vitro based assays and experiments.    </w:t>
      </w:r>
    </w:p>
    <w:p w14:paraId="050ABB3E" w14:textId="77777777" w:rsidR="00365A89" w:rsidRDefault="00365A89" w:rsidP="0059043F">
      <w:pPr>
        <w:spacing w:line="240" w:lineRule="auto"/>
        <w:jc w:val="both"/>
        <w:rPr>
          <w:rFonts w:ascii="Arial" w:hAnsi="Arial" w:cs="Arial"/>
          <w:sz w:val="20"/>
          <w:lang w:val="en-US"/>
        </w:rPr>
      </w:pPr>
    </w:p>
    <w:p w14:paraId="1CACE580" w14:textId="77777777" w:rsidR="00365A89" w:rsidRDefault="00365A89" w:rsidP="0059043F">
      <w:pPr>
        <w:spacing w:line="240" w:lineRule="auto"/>
        <w:jc w:val="both"/>
        <w:rPr>
          <w:rFonts w:ascii="Arial" w:hAnsi="Arial" w:cs="Arial"/>
          <w:sz w:val="20"/>
          <w:lang w:val="en-US"/>
        </w:rPr>
      </w:pPr>
    </w:p>
    <w:p w14:paraId="310B2764" w14:textId="77777777" w:rsidR="0059043F" w:rsidRDefault="0059043F" w:rsidP="0059043F">
      <w:pPr>
        <w:spacing w:line="240" w:lineRule="auto"/>
        <w:jc w:val="both"/>
        <w:rPr>
          <w:rFonts w:ascii="Arial" w:hAnsi="Arial" w:cs="Arial"/>
          <w:sz w:val="20"/>
          <w:lang w:val="en-US"/>
        </w:rPr>
      </w:pPr>
    </w:p>
    <w:p w14:paraId="6A363AAC" w14:textId="77777777" w:rsidR="0059043F" w:rsidRPr="0059043F" w:rsidRDefault="0059043F" w:rsidP="0059043F">
      <w:pPr>
        <w:spacing w:line="240" w:lineRule="auto"/>
        <w:jc w:val="both"/>
        <w:rPr>
          <w:rFonts w:ascii="Arial" w:hAnsi="Arial" w:cs="Arial"/>
          <w:sz w:val="20"/>
          <w:lang w:val="en-US"/>
        </w:rPr>
      </w:pPr>
    </w:p>
    <w:p w14:paraId="5A5065B4" w14:textId="77777777" w:rsidR="009E566B" w:rsidRPr="00AD5FD1" w:rsidRDefault="009E566B" w:rsidP="009E566B">
      <w:pPr>
        <w:spacing w:line="360" w:lineRule="auto"/>
        <w:jc w:val="both"/>
        <w:rPr>
          <w:rFonts w:ascii="Arial" w:hAnsi="Arial" w:cs="Arial"/>
          <w:sz w:val="24"/>
          <w:szCs w:val="24"/>
          <w:lang w:val="en-US"/>
        </w:rPr>
      </w:pPr>
      <w:r w:rsidRPr="00AD5FD1">
        <w:rPr>
          <w:rFonts w:ascii="Arial" w:hAnsi="Arial" w:cs="Arial"/>
          <w:noProof/>
        </w:rPr>
        <w:drawing>
          <wp:anchor distT="0" distB="0" distL="114300" distR="114300" simplePos="0" relativeHeight="251662336" behindDoc="0" locked="0" layoutInCell="1" allowOverlap="1" wp14:anchorId="6735D333" wp14:editId="16F42AEA">
            <wp:simplePos x="0" y="0"/>
            <wp:positionH relativeFrom="margin">
              <wp:posOffset>-106680</wp:posOffset>
            </wp:positionH>
            <wp:positionV relativeFrom="paragraph">
              <wp:posOffset>50165</wp:posOffset>
            </wp:positionV>
            <wp:extent cx="5570220" cy="2522220"/>
            <wp:effectExtent l="0" t="0" r="0" b="0"/>
            <wp:wrapNone/>
            <wp:docPr id="18992689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0220" cy="2522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A8D12" w14:textId="77777777" w:rsidR="009E566B" w:rsidRPr="00AD5FD1" w:rsidRDefault="009E566B" w:rsidP="009E566B">
      <w:pPr>
        <w:rPr>
          <w:rFonts w:ascii="Arial" w:hAnsi="Arial" w:cs="Arial"/>
          <w:sz w:val="24"/>
          <w:szCs w:val="24"/>
          <w:lang w:val="en-US"/>
        </w:rPr>
      </w:pPr>
    </w:p>
    <w:p w14:paraId="01E2CDD9" w14:textId="77777777" w:rsidR="009E566B" w:rsidRPr="00AD5FD1" w:rsidRDefault="009E566B" w:rsidP="009E566B">
      <w:pPr>
        <w:rPr>
          <w:rFonts w:ascii="Arial" w:hAnsi="Arial" w:cs="Arial"/>
          <w:sz w:val="24"/>
          <w:szCs w:val="24"/>
          <w:lang w:val="en-US"/>
        </w:rPr>
      </w:pPr>
    </w:p>
    <w:p w14:paraId="74FFBD4B" w14:textId="77777777" w:rsidR="009E566B" w:rsidRPr="00AD5FD1" w:rsidRDefault="009E566B" w:rsidP="009E566B">
      <w:pPr>
        <w:rPr>
          <w:rFonts w:ascii="Arial" w:hAnsi="Arial" w:cs="Arial"/>
          <w:sz w:val="24"/>
          <w:szCs w:val="24"/>
          <w:lang w:val="en-US"/>
        </w:rPr>
      </w:pPr>
    </w:p>
    <w:p w14:paraId="120DE0AF" w14:textId="77777777" w:rsidR="009E566B" w:rsidRPr="00AD5FD1" w:rsidRDefault="009E566B" w:rsidP="009E566B">
      <w:pPr>
        <w:rPr>
          <w:rFonts w:ascii="Arial" w:hAnsi="Arial" w:cs="Arial"/>
          <w:b/>
          <w:bCs/>
          <w:sz w:val="24"/>
          <w:szCs w:val="24"/>
          <w:lang w:val="en-US"/>
        </w:rPr>
      </w:pPr>
    </w:p>
    <w:p w14:paraId="39715C7C" w14:textId="77777777" w:rsidR="009E566B" w:rsidRPr="00AD5FD1" w:rsidRDefault="009E566B" w:rsidP="009E566B">
      <w:pPr>
        <w:rPr>
          <w:rFonts w:ascii="Arial" w:hAnsi="Arial" w:cs="Arial"/>
          <w:b/>
          <w:bCs/>
          <w:sz w:val="24"/>
          <w:szCs w:val="24"/>
          <w:lang w:val="en-US"/>
        </w:rPr>
      </w:pPr>
    </w:p>
    <w:p w14:paraId="4CF5E2C1" w14:textId="77777777" w:rsidR="009E566B" w:rsidRPr="00AD5FD1" w:rsidRDefault="009E566B" w:rsidP="009E566B">
      <w:pPr>
        <w:rPr>
          <w:rFonts w:ascii="Arial" w:hAnsi="Arial" w:cs="Arial"/>
          <w:b/>
          <w:bCs/>
          <w:sz w:val="24"/>
          <w:szCs w:val="24"/>
          <w:lang w:val="en-US"/>
        </w:rPr>
      </w:pPr>
    </w:p>
    <w:p w14:paraId="1008DA90" w14:textId="77777777" w:rsidR="009E566B" w:rsidRPr="00AD5FD1" w:rsidRDefault="009E566B" w:rsidP="009E566B">
      <w:pPr>
        <w:rPr>
          <w:rFonts w:ascii="Arial" w:hAnsi="Arial" w:cs="Arial"/>
          <w:b/>
          <w:bCs/>
          <w:sz w:val="24"/>
          <w:szCs w:val="24"/>
          <w:lang w:val="en-US"/>
        </w:rPr>
      </w:pPr>
    </w:p>
    <w:p w14:paraId="3EB56EA0" w14:textId="77777777" w:rsidR="009E566B" w:rsidRPr="00AD5FD1" w:rsidRDefault="009E566B" w:rsidP="009E566B">
      <w:pPr>
        <w:spacing w:line="360" w:lineRule="auto"/>
        <w:jc w:val="both"/>
        <w:rPr>
          <w:rFonts w:ascii="Arial" w:hAnsi="Arial" w:cs="Arial"/>
          <w:sz w:val="24"/>
          <w:szCs w:val="24"/>
          <w:lang w:val="en-US"/>
        </w:rPr>
      </w:pPr>
    </w:p>
    <w:p w14:paraId="5161BF53" w14:textId="4C72DC7B" w:rsidR="009E566B" w:rsidRPr="0059043F" w:rsidRDefault="009E566B" w:rsidP="009E566B">
      <w:pPr>
        <w:spacing w:line="240" w:lineRule="auto"/>
        <w:jc w:val="both"/>
        <w:rPr>
          <w:rFonts w:ascii="Arial" w:hAnsi="Arial" w:cs="Arial"/>
          <w:b/>
          <w:bCs/>
          <w:sz w:val="20"/>
          <w:lang w:val="en-US"/>
        </w:rPr>
      </w:pPr>
      <w:r w:rsidRPr="0059043F">
        <w:rPr>
          <w:rFonts w:ascii="Arial" w:hAnsi="Arial" w:cs="Arial"/>
          <w:b/>
          <w:bCs/>
          <w:sz w:val="20"/>
          <w:lang w:val="en-US"/>
        </w:rPr>
        <w:t>Fig</w:t>
      </w:r>
      <w:r w:rsidR="0059043F" w:rsidRPr="0059043F">
        <w:rPr>
          <w:rFonts w:ascii="Arial" w:hAnsi="Arial" w:cs="Arial"/>
          <w:b/>
          <w:bCs/>
          <w:sz w:val="20"/>
          <w:lang w:val="en-US"/>
        </w:rPr>
        <w:t>.</w:t>
      </w:r>
      <w:r w:rsidRPr="0059043F">
        <w:rPr>
          <w:rFonts w:ascii="Arial" w:hAnsi="Arial" w:cs="Arial"/>
          <w:b/>
          <w:bCs/>
          <w:sz w:val="20"/>
          <w:lang w:val="en-US"/>
        </w:rPr>
        <w:t xml:space="preserve"> </w:t>
      </w:r>
      <w:r w:rsidR="00370A58" w:rsidRPr="0059043F">
        <w:rPr>
          <w:rFonts w:ascii="Arial" w:hAnsi="Arial" w:cs="Arial"/>
          <w:b/>
          <w:bCs/>
          <w:sz w:val="20"/>
          <w:lang w:val="en-US"/>
        </w:rPr>
        <w:t>9</w:t>
      </w:r>
      <w:r w:rsidR="0059043F" w:rsidRPr="0059043F">
        <w:rPr>
          <w:rFonts w:ascii="Arial" w:hAnsi="Arial" w:cs="Arial"/>
          <w:b/>
          <w:bCs/>
          <w:sz w:val="20"/>
          <w:lang w:val="en-US"/>
        </w:rPr>
        <w:t xml:space="preserve">. </w:t>
      </w:r>
      <w:r w:rsidRPr="0059043F">
        <w:rPr>
          <w:rFonts w:ascii="Arial" w:hAnsi="Arial" w:cs="Arial"/>
          <w:b/>
          <w:bCs/>
          <w:sz w:val="20"/>
          <w:lang w:val="en-US"/>
        </w:rPr>
        <w:t xml:space="preserve">The fundamental work flow of PCR for amplification of Gene of </w:t>
      </w:r>
      <w:r w:rsidR="00B36AD8" w:rsidRPr="0059043F">
        <w:rPr>
          <w:rFonts w:ascii="Arial" w:hAnsi="Arial" w:cs="Arial"/>
          <w:b/>
          <w:bCs/>
          <w:sz w:val="20"/>
          <w:lang w:val="en-US"/>
        </w:rPr>
        <w:t>Interest</w:t>
      </w:r>
      <w:r w:rsidRPr="0059043F">
        <w:rPr>
          <w:rFonts w:ascii="Arial" w:hAnsi="Arial" w:cs="Arial"/>
          <w:b/>
          <w:bCs/>
          <w:sz w:val="20"/>
          <w:lang w:val="en-US"/>
        </w:rPr>
        <w:t xml:space="preserve"> (GOI). a: The Thermocycler; b: The DNA, Taq polymerase, primers; c: The gradual- amplified DNA sequence</w:t>
      </w:r>
    </w:p>
    <w:p w14:paraId="2DF5ACC5" w14:textId="360BE385" w:rsidR="009E566B" w:rsidRPr="0059043F" w:rsidRDefault="00B36AD8" w:rsidP="00B36AD8">
      <w:pPr>
        <w:spacing w:line="360" w:lineRule="auto"/>
        <w:rPr>
          <w:rFonts w:ascii="Arial" w:hAnsi="Arial" w:cs="Arial"/>
          <w:b/>
          <w:bCs/>
          <w:szCs w:val="22"/>
          <w:lang w:val="en-US"/>
        </w:rPr>
      </w:pPr>
      <w:r>
        <w:rPr>
          <w:rFonts w:ascii="Arial" w:hAnsi="Arial" w:cs="Arial"/>
          <w:b/>
          <w:bCs/>
          <w:szCs w:val="22"/>
          <w:lang w:val="en-US"/>
        </w:rPr>
        <w:t xml:space="preserve">4.1 </w:t>
      </w:r>
      <w:r w:rsidR="009E566B" w:rsidRPr="0059043F">
        <w:rPr>
          <w:rFonts w:ascii="Arial" w:hAnsi="Arial" w:cs="Arial"/>
          <w:b/>
          <w:bCs/>
          <w:szCs w:val="22"/>
          <w:lang w:val="en-US"/>
        </w:rPr>
        <w:t xml:space="preserve">Sequencing of PCR amplicon using NGS approaches </w:t>
      </w:r>
    </w:p>
    <w:p w14:paraId="44F1BE55" w14:textId="490D8EE6" w:rsidR="009E566B" w:rsidRPr="0059043F" w:rsidRDefault="009E566B" w:rsidP="0059043F">
      <w:pPr>
        <w:spacing w:line="240" w:lineRule="auto"/>
        <w:jc w:val="both"/>
        <w:rPr>
          <w:rFonts w:ascii="Arial" w:hAnsi="Arial" w:cs="Arial"/>
          <w:sz w:val="20"/>
          <w:lang w:val="en-US"/>
        </w:rPr>
      </w:pPr>
      <w:r w:rsidRPr="0059043F">
        <w:rPr>
          <w:rFonts w:ascii="Arial" w:hAnsi="Arial" w:cs="Arial"/>
          <w:sz w:val="20"/>
          <w:lang w:val="en-US"/>
        </w:rPr>
        <w:t xml:space="preserve">Sequencing using NGS approaches, of course following the Sanger’s method of sequencing. The protocol is fully automated. The sequence is eluted as sequence gram as shown in </w:t>
      </w:r>
      <w:r w:rsidR="00370A58" w:rsidRPr="0059043F">
        <w:rPr>
          <w:rFonts w:ascii="Arial" w:hAnsi="Arial" w:cs="Arial"/>
          <w:sz w:val="20"/>
          <w:lang w:val="en-US"/>
        </w:rPr>
        <w:t>Fig. 10</w:t>
      </w:r>
      <w:r w:rsidRPr="0059043F">
        <w:rPr>
          <w:rFonts w:ascii="Arial" w:hAnsi="Arial" w:cs="Arial"/>
          <w:sz w:val="20"/>
          <w:lang w:val="en-US"/>
        </w:rPr>
        <w:t xml:space="preserve">. The base nucleotides are eluted based upon position. The sequence machine software makes the sequence noise free and refined sequence is received in FASTA format which is subjected to </w:t>
      </w:r>
      <w:proofErr w:type="spellStart"/>
      <w:r w:rsidRPr="0059043F">
        <w:rPr>
          <w:rFonts w:ascii="Arial" w:hAnsi="Arial" w:cs="Arial"/>
          <w:sz w:val="20"/>
          <w:lang w:val="en-US"/>
        </w:rPr>
        <w:t>BLASTn</w:t>
      </w:r>
      <w:proofErr w:type="spellEnd"/>
      <w:r w:rsidRPr="0059043F">
        <w:rPr>
          <w:rFonts w:ascii="Arial" w:hAnsi="Arial" w:cs="Arial"/>
          <w:sz w:val="20"/>
          <w:lang w:val="en-US"/>
        </w:rPr>
        <w:t xml:space="preserve"> analysis as well gene annotation tactics. </w:t>
      </w:r>
    </w:p>
    <w:p w14:paraId="091FA8A3" w14:textId="77777777" w:rsidR="009E566B" w:rsidRPr="00AD5FD1" w:rsidRDefault="009E566B" w:rsidP="009E566B">
      <w:pPr>
        <w:spacing w:line="360" w:lineRule="auto"/>
        <w:jc w:val="both"/>
        <w:rPr>
          <w:rFonts w:ascii="Arial" w:hAnsi="Arial" w:cs="Arial"/>
          <w:sz w:val="24"/>
          <w:szCs w:val="24"/>
          <w:lang w:val="en-US"/>
        </w:rPr>
      </w:pPr>
      <w:r w:rsidRPr="00AD5FD1">
        <w:rPr>
          <w:rFonts w:ascii="Arial" w:hAnsi="Arial" w:cs="Arial"/>
          <w:noProof/>
          <w:sz w:val="24"/>
          <w:szCs w:val="24"/>
          <w:lang w:val="en-US"/>
        </w:rPr>
        <w:drawing>
          <wp:inline distT="0" distB="0" distL="0" distR="0" wp14:anchorId="301F0F40" wp14:editId="3298E597">
            <wp:extent cx="5731510" cy="2324100"/>
            <wp:effectExtent l="0" t="0" r="2540" b="0"/>
            <wp:docPr id="14912730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lum bright="-20000"/>
                      <a:extLst>
                        <a:ext uri="{28A0092B-C50C-407E-A947-70E740481C1C}">
                          <a14:useLocalDpi xmlns:a14="http://schemas.microsoft.com/office/drawing/2010/main" val="0"/>
                        </a:ext>
                      </a:extLst>
                    </a:blip>
                    <a:srcRect t="12057" b="33865"/>
                    <a:stretch/>
                  </pic:blipFill>
                  <pic:spPr bwMode="auto">
                    <a:xfrm>
                      <a:off x="0" y="0"/>
                      <a:ext cx="5731510" cy="2324100"/>
                    </a:xfrm>
                    <a:prstGeom prst="rect">
                      <a:avLst/>
                    </a:prstGeom>
                    <a:noFill/>
                    <a:ln>
                      <a:noFill/>
                    </a:ln>
                    <a:extLst>
                      <a:ext uri="{53640926-AAD7-44D8-BBD7-CCE9431645EC}">
                        <a14:shadowObscured xmlns:a14="http://schemas.microsoft.com/office/drawing/2010/main"/>
                      </a:ext>
                    </a:extLst>
                  </pic:spPr>
                </pic:pic>
              </a:graphicData>
            </a:graphic>
          </wp:inline>
        </w:drawing>
      </w:r>
    </w:p>
    <w:p w14:paraId="1E951BF5" w14:textId="0B08D470" w:rsidR="009E566B" w:rsidRPr="0059043F" w:rsidRDefault="009E566B" w:rsidP="009E566B">
      <w:pPr>
        <w:spacing w:line="360" w:lineRule="auto"/>
        <w:jc w:val="both"/>
        <w:rPr>
          <w:rFonts w:ascii="Arial" w:hAnsi="Arial" w:cs="Arial"/>
          <w:b/>
          <w:bCs/>
          <w:sz w:val="20"/>
          <w:lang w:val="en-US"/>
        </w:rPr>
      </w:pPr>
      <w:r w:rsidRPr="0059043F">
        <w:rPr>
          <w:rFonts w:ascii="Arial" w:hAnsi="Arial" w:cs="Arial"/>
          <w:b/>
          <w:bCs/>
          <w:sz w:val="20"/>
          <w:lang w:val="en-US"/>
        </w:rPr>
        <w:t>Fig</w:t>
      </w:r>
      <w:r w:rsidR="0059043F" w:rsidRPr="0059043F">
        <w:rPr>
          <w:rFonts w:ascii="Arial" w:hAnsi="Arial" w:cs="Arial"/>
          <w:b/>
          <w:bCs/>
          <w:sz w:val="20"/>
          <w:lang w:val="en-US"/>
        </w:rPr>
        <w:t>.</w:t>
      </w:r>
      <w:r w:rsidRPr="0059043F">
        <w:rPr>
          <w:rFonts w:ascii="Arial" w:hAnsi="Arial" w:cs="Arial"/>
          <w:b/>
          <w:bCs/>
          <w:sz w:val="20"/>
          <w:lang w:val="en-US"/>
        </w:rPr>
        <w:t xml:space="preserve"> </w:t>
      </w:r>
      <w:r w:rsidR="00370A58" w:rsidRPr="0059043F">
        <w:rPr>
          <w:rFonts w:ascii="Arial" w:hAnsi="Arial" w:cs="Arial"/>
          <w:b/>
          <w:bCs/>
          <w:sz w:val="20"/>
          <w:lang w:val="en-US"/>
        </w:rPr>
        <w:t>10</w:t>
      </w:r>
      <w:r w:rsidR="00B14A87" w:rsidRPr="0059043F">
        <w:rPr>
          <w:rFonts w:ascii="Arial" w:hAnsi="Arial" w:cs="Arial"/>
          <w:b/>
          <w:bCs/>
          <w:sz w:val="20"/>
          <w:lang w:val="en-US"/>
        </w:rPr>
        <w:t>.</w:t>
      </w:r>
      <w:r w:rsidR="0059043F" w:rsidRPr="0059043F">
        <w:rPr>
          <w:rFonts w:ascii="Arial" w:hAnsi="Arial" w:cs="Arial"/>
          <w:b/>
          <w:bCs/>
          <w:sz w:val="20"/>
          <w:lang w:val="en-US"/>
        </w:rPr>
        <w:t xml:space="preserve"> </w:t>
      </w:r>
      <w:r w:rsidRPr="0059043F">
        <w:rPr>
          <w:rFonts w:ascii="Arial" w:hAnsi="Arial" w:cs="Arial"/>
          <w:b/>
          <w:bCs/>
          <w:sz w:val="20"/>
          <w:lang w:val="en-US"/>
        </w:rPr>
        <w:t xml:space="preserve">A typical sequence </w:t>
      </w:r>
      <w:proofErr w:type="gramStart"/>
      <w:r w:rsidRPr="0059043F">
        <w:rPr>
          <w:rFonts w:ascii="Arial" w:hAnsi="Arial" w:cs="Arial"/>
          <w:b/>
          <w:bCs/>
          <w:sz w:val="20"/>
          <w:lang w:val="en-US"/>
        </w:rPr>
        <w:t>gram  (</w:t>
      </w:r>
      <w:proofErr w:type="gramEnd"/>
      <w:r w:rsidRPr="0059043F">
        <w:rPr>
          <w:rFonts w:ascii="Arial" w:hAnsi="Arial" w:cs="Arial"/>
          <w:b/>
          <w:bCs/>
          <w:sz w:val="20"/>
          <w:lang w:val="en-US"/>
        </w:rPr>
        <w:t xml:space="preserve">AGCT) eluted in Sequencer </w:t>
      </w:r>
    </w:p>
    <w:p w14:paraId="595E35F5" w14:textId="663BC2CE" w:rsidR="009E566B" w:rsidRPr="0059043F" w:rsidRDefault="0059043F" w:rsidP="00B36AD8">
      <w:pPr>
        <w:spacing w:line="360" w:lineRule="auto"/>
        <w:rPr>
          <w:rFonts w:ascii="Arial" w:hAnsi="Arial" w:cs="Arial"/>
          <w:b/>
          <w:bCs/>
          <w:szCs w:val="22"/>
          <w:lang w:val="en-US"/>
        </w:rPr>
      </w:pPr>
      <w:r w:rsidRPr="0059043F">
        <w:rPr>
          <w:rFonts w:ascii="Arial" w:hAnsi="Arial" w:cs="Arial"/>
          <w:b/>
          <w:bCs/>
          <w:szCs w:val="22"/>
          <w:lang w:val="en-US"/>
        </w:rPr>
        <w:t>4.</w:t>
      </w:r>
      <w:r w:rsidR="00B36AD8">
        <w:rPr>
          <w:rFonts w:ascii="Arial" w:hAnsi="Arial" w:cs="Arial"/>
          <w:b/>
          <w:bCs/>
          <w:szCs w:val="22"/>
          <w:lang w:val="en-US"/>
        </w:rPr>
        <w:t>2</w:t>
      </w:r>
      <w:r w:rsidRPr="0059043F">
        <w:rPr>
          <w:rFonts w:ascii="Arial" w:hAnsi="Arial" w:cs="Arial"/>
          <w:b/>
          <w:bCs/>
          <w:szCs w:val="22"/>
          <w:lang w:val="en-US"/>
        </w:rPr>
        <w:t xml:space="preserve"> </w:t>
      </w:r>
      <w:r w:rsidR="009E566B" w:rsidRPr="0059043F">
        <w:rPr>
          <w:rFonts w:ascii="Arial" w:hAnsi="Arial" w:cs="Arial"/>
          <w:b/>
          <w:bCs/>
          <w:szCs w:val="22"/>
          <w:lang w:val="en-US"/>
        </w:rPr>
        <w:t xml:space="preserve">ORF finding </w:t>
      </w:r>
    </w:p>
    <w:p w14:paraId="07C29038" w14:textId="2F4D9C39" w:rsidR="009E566B" w:rsidRPr="0059043F" w:rsidRDefault="009E566B" w:rsidP="0059043F">
      <w:pPr>
        <w:spacing w:line="240" w:lineRule="auto"/>
        <w:jc w:val="both"/>
        <w:rPr>
          <w:rFonts w:ascii="Arial" w:hAnsi="Arial" w:cs="Arial"/>
          <w:sz w:val="20"/>
          <w:lang w:val="en-US"/>
        </w:rPr>
      </w:pPr>
      <w:r w:rsidRPr="0059043F">
        <w:rPr>
          <w:rFonts w:ascii="Arial" w:hAnsi="Arial" w:cs="Arial"/>
          <w:sz w:val="20"/>
          <w:lang w:val="en-US"/>
        </w:rPr>
        <w:t xml:space="preserve">The Open Reading Frame as per the Genomics version, a DNA sequence that does not include a stop codon. The trinucleotides are the functional units of genomic information for protein </w:t>
      </w:r>
      <w:r w:rsidR="00370A58" w:rsidRPr="0059043F">
        <w:rPr>
          <w:rFonts w:ascii="Arial" w:hAnsi="Arial" w:cs="Arial"/>
          <w:sz w:val="20"/>
          <w:lang w:val="en-US"/>
        </w:rPr>
        <w:t xml:space="preserve">coding for a protein) active during amino acid </w:t>
      </w:r>
      <w:proofErr w:type="spellStart"/>
      <w:r w:rsidR="00370A58" w:rsidRPr="0059043F">
        <w:rPr>
          <w:rFonts w:ascii="Arial" w:hAnsi="Arial" w:cs="Arial"/>
          <w:sz w:val="20"/>
          <w:lang w:val="en-US"/>
        </w:rPr>
        <w:t>signalling</w:t>
      </w:r>
      <w:proofErr w:type="spellEnd"/>
      <w:r w:rsidR="00370A58" w:rsidRPr="0059043F">
        <w:rPr>
          <w:rFonts w:ascii="Arial" w:hAnsi="Arial" w:cs="Arial"/>
          <w:sz w:val="20"/>
          <w:lang w:val="en-US"/>
        </w:rPr>
        <w:t xml:space="preserve"> on the clefts of ribosome (Fig. 11) </w:t>
      </w:r>
      <w:r w:rsidRPr="0059043F">
        <w:rPr>
          <w:rFonts w:ascii="Arial" w:hAnsi="Arial" w:cs="Arial"/>
          <w:sz w:val="20"/>
          <w:lang w:val="en-US"/>
        </w:rPr>
        <w:t>translation.  A long open reading frame is often part of a gene (that is, a sequence directly</w:t>
      </w:r>
      <w:r w:rsidR="0059043F">
        <w:rPr>
          <w:rFonts w:ascii="Arial" w:hAnsi="Arial" w:cs="Arial"/>
          <w:sz w:val="20"/>
          <w:lang w:val="en-US"/>
        </w:rPr>
        <w:t>.</w:t>
      </w:r>
      <w:r w:rsidRPr="0059043F">
        <w:rPr>
          <w:rFonts w:ascii="Arial" w:hAnsi="Arial" w:cs="Arial"/>
          <w:sz w:val="20"/>
          <w:lang w:val="en-US"/>
        </w:rPr>
        <w:t xml:space="preserve"> </w:t>
      </w:r>
    </w:p>
    <w:p w14:paraId="2F09E152" w14:textId="593DA4AE" w:rsidR="009E566B" w:rsidRPr="00AD5FD1" w:rsidRDefault="009E566B" w:rsidP="009E566B">
      <w:pPr>
        <w:spacing w:line="360" w:lineRule="auto"/>
        <w:jc w:val="both"/>
        <w:rPr>
          <w:rFonts w:ascii="Arial" w:hAnsi="Arial" w:cs="Arial"/>
          <w:sz w:val="24"/>
          <w:szCs w:val="24"/>
          <w:lang w:val="en-US"/>
        </w:rPr>
      </w:pPr>
    </w:p>
    <w:p w14:paraId="477410DE" w14:textId="6357BCE0" w:rsidR="009E566B" w:rsidRPr="00AD5FD1" w:rsidRDefault="00A20F9C" w:rsidP="009E566B">
      <w:pPr>
        <w:spacing w:line="360" w:lineRule="auto"/>
        <w:jc w:val="both"/>
        <w:rPr>
          <w:rFonts w:ascii="Arial" w:hAnsi="Arial" w:cs="Arial"/>
          <w:sz w:val="24"/>
          <w:szCs w:val="24"/>
          <w:lang w:val="en-US"/>
        </w:rPr>
      </w:pPr>
      <w:r w:rsidRPr="00AD5FD1">
        <w:rPr>
          <w:rFonts w:ascii="Arial" w:hAnsi="Arial" w:cs="Arial"/>
          <w:noProof/>
        </w:rPr>
        <w:drawing>
          <wp:anchor distT="0" distB="0" distL="114300" distR="114300" simplePos="0" relativeHeight="251663360" behindDoc="0" locked="0" layoutInCell="1" allowOverlap="1" wp14:anchorId="2EAC9571" wp14:editId="53108446">
            <wp:simplePos x="0" y="0"/>
            <wp:positionH relativeFrom="margin">
              <wp:posOffset>78932</wp:posOffset>
            </wp:positionH>
            <wp:positionV relativeFrom="paragraph">
              <wp:posOffset>128046</wp:posOffset>
            </wp:positionV>
            <wp:extent cx="5600700" cy="2071911"/>
            <wp:effectExtent l="0" t="0" r="0" b="5080"/>
            <wp:wrapNone/>
            <wp:docPr id="3671903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600700" cy="20719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688C7" w14:textId="0C9D950E" w:rsidR="009E566B" w:rsidRPr="00AD5FD1" w:rsidRDefault="009E566B" w:rsidP="009E566B">
      <w:pPr>
        <w:spacing w:line="360" w:lineRule="auto"/>
        <w:jc w:val="both"/>
        <w:rPr>
          <w:rFonts w:ascii="Arial" w:hAnsi="Arial" w:cs="Arial"/>
          <w:sz w:val="24"/>
          <w:szCs w:val="24"/>
          <w:lang w:val="en-US"/>
        </w:rPr>
      </w:pPr>
    </w:p>
    <w:p w14:paraId="40E522DB" w14:textId="7F75C01B" w:rsidR="009E566B" w:rsidRPr="00AD5FD1" w:rsidRDefault="009E566B" w:rsidP="009E566B">
      <w:pPr>
        <w:spacing w:line="360" w:lineRule="auto"/>
        <w:jc w:val="both"/>
        <w:rPr>
          <w:rFonts w:ascii="Arial" w:hAnsi="Arial" w:cs="Arial"/>
          <w:sz w:val="24"/>
          <w:szCs w:val="24"/>
          <w:lang w:val="en-US"/>
        </w:rPr>
      </w:pPr>
    </w:p>
    <w:p w14:paraId="3DCC2F17" w14:textId="77777777" w:rsidR="009E566B" w:rsidRPr="00AD5FD1" w:rsidRDefault="009E566B" w:rsidP="009E566B">
      <w:pPr>
        <w:spacing w:line="360" w:lineRule="auto"/>
        <w:jc w:val="both"/>
        <w:rPr>
          <w:rFonts w:ascii="Arial" w:hAnsi="Arial" w:cs="Arial"/>
          <w:sz w:val="24"/>
          <w:szCs w:val="24"/>
          <w:lang w:val="en-US"/>
        </w:rPr>
      </w:pPr>
    </w:p>
    <w:p w14:paraId="711470F6" w14:textId="77777777" w:rsidR="0059043F" w:rsidRDefault="0059043F" w:rsidP="009E566B">
      <w:pPr>
        <w:spacing w:line="360" w:lineRule="auto"/>
        <w:jc w:val="both"/>
        <w:rPr>
          <w:rFonts w:ascii="Arial" w:hAnsi="Arial" w:cs="Arial"/>
          <w:b/>
          <w:bCs/>
          <w:sz w:val="24"/>
          <w:szCs w:val="24"/>
          <w:lang w:val="en-US"/>
        </w:rPr>
      </w:pPr>
    </w:p>
    <w:p w14:paraId="52906E5F" w14:textId="77777777" w:rsidR="0059043F" w:rsidRDefault="0059043F" w:rsidP="009E566B">
      <w:pPr>
        <w:spacing w:line="360" w:lineRule="auto"/>
        <w:jc w:val="both"/>
        <w:rPr>
          <w:rFonts w:ascii="Arial" w:hAnsi="Arial" w:cs="Arial"/>
          <w:b/>
          <w:bCs/>
          <w:sz w:val="24"/>
          <w:szCs w:val="24"/>
          <w:lang w:val="en-US"/>
        </w:rPr>
      </w:pPr>
    </w:p>
    <w:p w14:paraId="01A6354B" w14:textId="77777777" w:rsidR="0059043F" w:rsidRDefault="0059043F" w:rsidP="009E566B">
      <w:pPr>
        <w:spacing w:line="360" w:lineRule="auto"/>
        <w:jc w:val="both"/>
        <w:rPr>
          <w:rFonts w:ascii="Arial" w:hAnsi="Arial" w:cs="Arial"/>
          <w:b/>
          <w:bCs/>
          <w:sz w:val="24"/>
          <w:szCs w:val="24"/>
          <w:lang w:val="en-US"/>
        </w:rPr>
      </w:pPr>
    </w:p>
    <w:p w14:paraId="6B071A1C" w14:textId="7F8BE2EF" w:rsidR="009E566B" w:rsidRPr="0059043F" w:rsidRDefault="009E566B" w:rsidP="009E566B">
      <w:pPr>
        <w:spacing w:line="360" w:lineRule="auto"/>
        <w:jc w:val="both"/>
        <w:rPr>
          <w:rFonts w:ascii="Arial" w:hAnsi="Arial" w:cs="Arial"/>
          <w:b/>
          <w:bCs/>
          <w:sz w:val="20"/>
          <w:lang w:val="en-US"/>
        </w:rPr>
      </w:pPr>
      <w:r w:rsidRPr="0059043F">
        <w:rPr>
          <w:rFonts w:ascii="Arial" w:hAnsi="Arial" w:cs="Arial"/>
          <w:b/>
          <w:bCs/>
          <w:sz w:val="20"/>
          <w:lang w:val="en-US"/>
        </w:rPr>
        <w:t>Fig</w:t>
      </w:r>
      <w:r w:rsidR="0059043F" w:rsidRPr="0059043F">
        <w:rPr>
          <w:rFonts w:ascii="Arial" w:hAnsi="Arial" w:cs="Arial"/>
          <w:b/>
          <w:bCs/>
          <w:sz w:val="20"/>
          <w:lang w:val="en-US"/>
        </w:rPr>
        <w:t>.</w:t>
      </w:r>
      <w:r w:rsidR="00370A58" w:rsidRPr="0059043F">
        <w:rPr>
          <w:rFonts w:ascii="Arial" w:hAnsi="Arial" w:cs="Arial"/>
          <w:b/>
          <w:bCs/>
          <w:sz w:val="20"/>
          <w:lang w:val="en-US"/>
        </w:rPr>
        <w:t>11</w:t>
      </w:r>
      <w:r w:rsidR="0059043F" w:rsidRPr="0059043F">
        <w:rPr>
          <w:rFonts w:ascii="Arial" w:hAnsi="Arial" w:cs="Arial"/>
          <w:b/>
          <w:bCs/>
          <w:sz w:val="20"/>
          <w:lang w:val="en-US"/>
        </w:rPr>
        <w:t>.</w:t>
      </w:r>
      <w:r w:rsidR="00370A58" w:rsidRPr="0059043F">
        <w:rPr>
          <w:rFonts w:ascii="Arial" w:hAnsi="Arial" w:cs="Arial"/>
          <w:b/>
          <w:bCs/>
          <w:sz w:val="20"/>
          <w:lang w:val="en-US"/>
        </w:rPr>
        <w:t xml:space="preserve"> </w:t>
      </w:r>
      <w:r w:rsidRPr="0059043F">
        <w:rPr>
          <w:rFonts w:ascii="Arial" w:hAnsi="Arial" w:cs="Arial"/>
          <w:b/>
          <w:bCs/>
          <w:sz w:val="20"/>
          <w:lang w:val="en-US"/>
        </w:rPr>
        <w:t>The process of protein translation from ORFs (genes) on the clefts of ribosome</w:t>
      </w:r>
    </w:p>
    <w:p w14:paraId="719DE537" w14:textId="19BD05A2" w:rsidR="009E566B" w:rsidRPr="0059043F" w:rsidRDefault="0059043F" w:rsidP="00B36AD8">
      <w:pPr>
        <w:spacing w:line="360" w:lineRule="auto"/>
        <w:rPr>
          <w:rFonts w:ascii="Arial" w:hAnsi="Arial" w:cs="Arial"/>
          <w:b/>
          <w:bCs/>
          <w:szCs w:val="22"/>
          <w:lang w:val="en-US"/>
        </w:rPr>
      </w:pPr>
      <w:r w:rsidRPr="0059043F">
        <w:rPr>
          <w:rFonts w:ascii="Arial" w:hAnsi="Arial" w:cs="Arial"/>
          <w:b/>
          <w:bCs/>
          <w:szCs w:val="22"/>
          <w:lang w:val="en-US"/>
        </w:rPr>
        <w:t>4.</w:t>
      </w:r>
      <w:r w:rsidR="00B36AD8">
        <w:rPr>
          <w:rFonts w:ascii="Arial" w:hAnsi="Arial" w:cs="Arial"/>
          <w:b/>
          <w:bCs/>
          <w:szCs w:val="22"/>
          <w:lang w:val="en-US"/>
        </w:rPr>
        <w:t>3</w:t>
      </w:r>
      <w:r w:rsidRPr="0059043F">
        <w:rPr>
          <w:rFonts w:ascii="Arial" w:hAnsi="Arial" w:cs="Arial"/>
          <w:b/>
          <w:bCs/>
          <w:szCs w:val="22"/>
          <w:lang w:val="en-US"/>
        </w:rPr>
        <w:t xml:space="preserve"> </w:t>
      </w:r>
      <w:r w:rsidR="009E566B" w:rsidRPr="0059043F">
        <w:rPr>
          <w:rFonts w:ascii="Arial" w:hAnsi="Arial" w:cs="Arial"/>
          <w:b/>
          <w:bCs/>
          <w:szCs w:val="22"/>
          <w:lang w:val="en-US"/>
        </w:rPr>
        <w:t>Conserved domain search</w:t>
      </w:r>
    </w:p>
    <w:p w14:paraId="516F582E" w14:textId="44F6BF16" w:rsidR="009E566B" w:rsidRPr="0059043F" w:rsidRDefault="009E566B" w:rsidP="0059043F">
      <w:pPr>
        <w:spacing w:line="240" w:lineRule="auto"/>
        <w:jc w:val="both"/>
        <w:rPr>
          <w:rFonts w:ascii="Arial" w:hAnsi="Arial" w:cs="Arial"/>
          <w:sz w:val="20"/>
          <w:lang w:val="en-US"/>
        </w:rPr>
      </w:pPr>
      <w:r w:rsidRPr="0059043F">
        <w:rPr>
          <w:rFonts w:ascii="Arial" w:hAnsi="Arial" w:cs="Arial"/>
          <w:sz w:val="20"/>
          <w:lang w:val="en-US"/>
        </w:rPr>
        <w:t xml:space="preserve">Conserved domains as recurring units in molecular evolution of a species, detected by sequence analysis. The conserved domains contain specific patterns or motifs, because of which are reflected in polypeptide sequence. </w:t>
      </w:r>
      <w:proofErr w:type="gramStart"/>
      <w:r w:rsidRPr="0059043F">
        <w:rPr>
          <w:rFonts w:ascii="Arial" w:hAnsi="Arial" w:cs="Arial"/>
          <w:sz w:val="20"/>
          <w:lang w:val="en-US"/>
        </w:rPr>
        <w:t>Therefore</w:t>
      </w:r>
      <w:r w:rsidR="00370A58" w:rsidRPr="0059043F">
        <w:rPr>
          <w:rFonts w:ascii="Arial" w:hAnsi="Arial" w:cs="Arial"/>
          <w:sz w:val="20"/>
          <w:lang w:val="en-US"/>
        </w:rPr>
        <w:t xml:space="preserve">, </w:t>
      </w:r>
      <w:r w:rsidRPr="0059043F">
        <w:rPr>
          <w:rFonts w:ascii="Arial" w:hAnsi="Arial" w:cs="Arial"/>
          <w:sz w:val="20"/>
          <w:lang w:val="en-US"/>
        </w:rPr>
        <w:t xml:space="preserve"> the</w:t>
      </w:r>
      <w:proofErr w:type="gramEnd"/>
      <w:r w:rsidRPr="0059043F">
        <w:rPr>
          <w:rFonts w:ascii="Arial" w:hAnsi="Arial" w:cs="Arial"/>
          <w:sz w:val="20"/>
          <w:lang w:val="en-US"/>
        </w:rPr>
        <w:t xml:space="preserve"> protein structure as well as functions can be annotated based upon types of protein families and</w:t>
      </w:r>
      <w:r w:rsidR="00B36AD8">
        <w:rPr>
          <w:rFonts w:ascii="Arial" w:hAnsi="Arial" w:cs="Arial"/>
          <w:sz w:val="20"/>
          <w:lang w:val="en-US"/>
        </w:rPr>
        <w:t xml:space="preserve"> </w:t>
      </w:r>
      <w:r w:rsidRPr="0059043F">
        <w:rPr>
          <w:rFonts w:ascii="Arial" w:hAnsi="Arial" w:cs="Arial"/>
          <w:sz w:val="20"/>
          <w:lang w:val="en-US"/>
        </w:rPr>
        <w:t xml:space="preserve">subfamilies deposited in public database. </w:t>
      </w:r>
    </w:p>
    <w:p w14:paraId="3796B773" w14:textId="20F746F6" w:rsidR="009E566B" w:rsidRPr="00B36AD8" w:rsidRDefault="00B36AD8" w:rsidP="00B36AD8">
      <w:pPr>
        <w:spacing w:line="360" w:lineRule="auto"/>
        <w:rPr>
          <w:rFonts w:ascii="Arial" w:hAnsi="Arial" w:cs="Arial"/>
          <w:b/>
          <w:bCs/>
          <w:szCs w:val="22"/>
          <w:lang w:val="en-US"/>
        </w:rPr>
      </w:pPr>
      <w:r w:rsidRPr="00B36AD8">
        <w:rPr>
          <w:rFonts w:ascii="Arial" w:hAnsi="Arial" w:cs="Arial"/>
          <w:b/>
          <w:bCs/>
          <w:szCs w:val="22"/>
          <w:lang w:val="en-US"/>
        </w:rPr>
        <w:t>5.</w:t>
      </w:r>
      <w:r>
        <w:rPr>
          <w:rFonts w:ascii="Arial" w:hAnsi="Arial" w:cs="Arial"/>
          <w:b/>
          <w:bCs/>
          <w:szCs w:val="22"/>
          <w:lang w:val="en-US"/>
        </w:rPr>
        <w:t xml:space="preserve"> </w:t>
      </w:r>
      <w:r w:rsidRPr="00B36AD8">
        <w:rPr>
          <w:rFonts w:ascii="Arial" w:hAnsi="Arial" w:cs="Arial"/>
          <w:b/>
          <w:bCs/>
          <w:szCs w:val="22"/>
          <w:lang w:val="en-US"/>
        </w:rPr>
        <w:t>MOLECULAR DOCKING APPROACH TO PREDICT THE DRUG-TARGET INTERACTION</w:t>
      </w:r>
    </w:p>
    <w:p w14:paraId="2C088F58" w14:textId="77777777" w:rsidR="009E566B" w:rsidRPr="00AD5FD1" w:rsidRDefault="009E566B" w:rsidP="009E566B">
      <w:pPr>
        <w:spacing w:line="360" w:lineRule="auto"/>
        <w:jc w:val="both"/>
        <w:rPr>
          <w:rFonts w:ascii="Arial" w:hAnsi="Arial" w:cs="Arial"/>
          <w:sz w:val="24"/>
          <w:szCs w:val="24"/>
          <w:lang w:val="en-US"/>
        </w:rPr>
      </w:pPr>
      <w:r w:rsidRPr="00AD5FD1">
        <w:rPr>
          <w:rFonts w:ascii="Arial" w:hAnsi="Arial" w:cs="Arial"/>
          <w:noProof/>
        </w:rPr>
        <w:drawing>
          <wp:anchor distT="0" distB="0" distL="114300" distR="114300" simplePos="0" relativeHeight="251664384" behindDoc="0" locked="0" layoutInCell="1" allowOverlap="1" wp14:anchorId="1A46EC1B" wp14:editId="2DDC99DB">
            <wp:simplePos x="0" y="0"/>
            <wp:positionH relativeFrom="column">
              <wp:posOffset>1386840</wp:posOffset>
            </wp:positionH>
            <wp:positionV relativeFrom="paragraph">
              <wp:posOffset>6350</wp:posOffset>
            </wp:positionV>
            <wp:extent cx="3413760" cy="2979420"/>
            <wp:effectExtent l="0" t="0" r="0" b="0"/>
            <wp:wrapNone/>
            <wp:docPr id="19891097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BEBA8EAE-BF5A-486C-A8C5-ECC9F3942E4B}">
                          <a14:imgProps xmlns:a14="http://schemas.microsoft.com/office/drawing/2010/main">
                            <a14:imgLayer r:embed="rId30">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3413760" cy="297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FF144" w14:textId="77777777" w:rsidR="009E566B" w:rsidRPr="00AD5FD1" w:rsidRDefault="009E566B" w:rsidP="009E566B">
      <w:pPr>
        <w:spacing w:line="360" w:lineRule="auto"/>
        <w:jc w:val="both"/>
        <w:rPr>
          <w:rFonts w:ascii="Arial" w:hAnsi="Arial" w:cs="Arial"/>
          <w:sz w:val="24"/>
          <w:szCs w:val="24"/>
          <w:lang w:val="en-US"/>
        </w:rPr>
      </w:pPr>
    </w:p>
    <w:p w14:paraId="6487B6C9" w14:textId="77777777" w:rsidR="009E566B" w:rsidRPr="00AD5FD1" w:rsidRDefault="009E566B" w:rsidP="009E566B">
      <w:pPr>
        <w:spacing w:line="360" w:lineRule="auto"/>
        <w:jc w:val="both"/>
        <w:rPr>
          <w:rFonts w:ascii="Arial" w:hAnsi="Arial" w:cs="Arial"/>
          <w:sz w:val="24"/>
          <w:szCs w:val="24"/>
          <w:lang w:val="en-US"/>
        </w:rPr>
      </w:pPr>
    </w:p>
    <w:p w14:paraId="457C2B3D" w14:textId="77777777" w:rsidR="009E566B" w:rsidRPr="00AD5FD1" w:rsidRDefault="009E566B" w:rsidP="009E566B">
      <w:pPr>
        <w:spacing w:line="360" w:lineRule="auto"/>
        <w:jc w:val="both"/>
        <w:rPr>
          <w:rFonts w:ascii="Arial" w:hAnsi="Arial" w:cs="Arial"/>
          <w:sz w:val="24"/>
          <w:szCs w:val="24"/>
          <w:lang w:val="en-US"/>
        </w:rPr>
      </w:pPr>
    </w:p>
    <w:p w14:paraId="4793A46B" w14:textId="77777777" w:rsidR="009E566B" w:rsidRPr="00AD5FD1" w:rsidRDefault="009E566B" w:rsidP="009E566B">
      <w:pPr>
        <w:spacing w:line="360" w:lineRule="auto"/>
        <w:jc w:val="both"/>
        <w:rPr>
          <w:rFonts w:ascii="Arial" w:hAnsi="Arial" w:cs="Arial"/>
          <w:sz w:val="24"/>
          <w:szCs w:val="24"/>
          <w:lang w:val="en-US"/>
        </w:rPr>
      </w:pPr>
    </w:p>
    <w:p w14:paraId="06176DDF" w14:textId="77777777" w:rsidR="009E566B" w:rsidRPr="00AD5FD1" w:rsidRDefault="009E566B" w:rsidP="009E566B">
      <w:pPr>
        <w:spacing w:line="360" w:lineRule="auto"/>
        <w:jc w:val="both"/>
        <w:rPr>
          <w:rFonts w:ascii="Arial" w:hAnsi="Arial" w:cs="Arial"/>
          <w:sz w:val="24"/>
          <w:szCs w:val="24"/>
          <w:lang w:val="en-US"/>
        </w:rPr>
      </w:pPr>
    </w:p>
    <w:p w14:paraId="4BDEC50D" w14:textId="77777777" w:rsidR="009E566B" w:rsidRPr="00AD5FD1" w:rsidRDefault="009E566B" w:rsidP="009E566B">
      <w:pPr>
        <w:spacing w:line="360" w:lineRule="auto"/>
        <w:jc w:val="both"/>
        <w:rPr>
          <w:rFonts w:ascii="Arial" w:hAnsi="Arial" w:cs="Arial"/>
          <w:sz w:val="24"/>
          <w:szCs w:val="24"/>
          <w:lang w:val="en-US"/>
        </w:rPr>
      </w:pPr>
    </w:p>
    <w:p w14:paraId="3C3A50AD" w14:textId="77777777" w:rsidR="009E566B" w:rsidRPr="00AD5FD1" w:rsidRDefault="009E566B" w:rsidP="009E566B">
      <w:pPr>
        <w:spacing w:line="360" w:lineRule="auto"/>
        <w:jc w:val="both"/>
        <w:rPr>
          <w:rFonts w:ascii="Arial" w:hAnsi="Arial" w:cs="Arial"/>
          <w:sz w:val="24"/>
          <w:szCs w:val="24"/>
          <w:lang w:val="en-US"/>
        </w:rPr>
      </w:pPr>
    </w:p>
    <w:p w14:paraId="2435C53B" w14:textId="77777777" w:rsidR="009E566B" w:rsidRPr="00AD5FD1" w:rsidRDefault="009E566B" w:rsidP="009E566B">
      <w:pPr>
        <w:spacing w:line="360" w:lineRule="auto"/>
        <w:jc w:val="both"/>
        <w:rPr>
          <w:rFonts w:ascii="Arial" w:hAnsi="Arial" w:cs="Arial"/>
          <w:sz w:val="24"/>
          <w:szCs w:val="24"/>
          <w:lang w:val="en-US"/>
        </w:rPr>
      </w:pPr>
    </w:p>
    <w:p w14:paraId="3DDC2DBE" w14:textId="5C9B53B3" w:rsidR="009E566B" w:rsidRPr="00B36AD8" w:rsidRDefault="009E566B" w:rsidP="009E566B">
      <w:pPr>
        <w:spacing w:line="240" w:lineRule="auto"/>
        <w:jc w:val="both"/>
        <w:rPr>
          <w:rFonts w:ascii="Arial" w:hAnsi="Arial" w:cs="Arial"/>
          <w:b/>
          <w:bCs/>
          <w:sz w:val="20"/>
          <w:lang w:val="en-US"/>
        </w:rPr>
      </w:pPr>
      <w:r w:rsidRPr="00B36AD8">
        <w:rPr>
          <w:rFonts w:ascii="Arial" w:hAnsi="Arial" w:cs="Arial"/>
          <w:b/>
          <w:bCs/>
          <w:sz w:val="20"/>
          <w:lang w:val="en-US"/>
        </w:rPr>
        <w:t>Fig</w:t>
      </w:r>
      <w:r w:rsidR="00B36AD8">
        <w:rPr>
          <w:rFonts w:ascii="Arial" w:hAnsi="Arial" w:cs="Arial"/>
          <w:b/>
          <w:bCs/>
          <w:sz w:val="20"/>
          <w:lang w:val="en-US"/>
        </w:rPr>
        <w:t>.</w:t>
      </w:r>
      <w:r w:rsidR="00370A58" w:rsidRPr="00B36AD8">
        <w:rPr>
          <w:rFonts w:ascii="Arial" w:hAnsi="Arial" w:cs="Arial"/>
          <w:b/>
          <w:bCs/>
          <w:sz w:val="20"/>
          <w:lang w:val="en-US"/>
        </w:rPr>
        <w:t>12</w:t>
      </w:r>
      <w:r w:rsidR="00B36AD8">
        <w:rPr>
          <w:rFonts w:ascii="Arial" w:hAnsi="Arial" w:cs="Arial"/>
          <w:b/>
          <w:bCs/>
          <w:sz w:val="20"/>
          <w:lang w:val="en-US"/>
        </w:rPr>
        <w:t>.</w:t>
      </w:r>
      <w:r w:rsidRPr="00B36AD8">
        <w:rPr>
          <w:rFonts w:ascii="Arial" w:hAnsi="Arial" w:cs="Arial"/>
          <w:b/>
          <w:bCs/>
          <w:sz w:val="20"/>
          <w:lang w:val="en-US"/>
        </w:rPr>
        <w:t xml:space="preserve"> The typical receptor (Target protein) and drug compound (ligand) interaction pose in molecular docking </w:t>
      </w:r>
    </w:p>
    <w:p w14:paraId="42D3AC89" w14:textId="32F47710" w:rsidR="009E566B" w:rsidRPr="00B36AD8" w:rsidRDefault="009E566B" w:rsidP="00B36AD8">
      <w:pPr>
        <w:spacing w:line="240" w:lineRule="auto"/>
        <w:jc w:val="both"/>
        <w:rPr>
          <w:rFonts w:ascii="Arial" w:hAnsi="Arial" w:cs="Arial"/>
          <w:sz w:val="20"/>
          <w:lang w:val="en-US"/>
        </w:rPr>
      </w:pPr>
      <w:r w:rsidRPr="00B36AD8">
        <w:rPr>
          <w:rFonts w:ascii="Arial" w:hAnsi="Arial" w:cs="Arial"/>
          <w:sz w:val="20"/>
          <w:lang w:val="en-US"/>
        </w:rPr>
        <w:t>The molecular dockings are carried out taking target protein of bacteria and drug compound of interest</w:t>
      </w:r>
      <w:r w:rsidR="00370A58" w:rsidRPr="00B36AD8">
        <w:rPr>
          <w:rFonts w:ascii="Arial" w:hAnsi="Arial" w:cs="Arial"/>
          <w:sz w:val="20"/>
          <w:lang w:val="en-US"/>
        </w:rPr>
        <w:t xml:space="preserve"> (Fig. 12)</w:t>
      </w:r>
      <w:r w:rsidRPr="00B36AD8">
        <w:rPr>
          <w:rFonts w:ascii="Arial" w:hAnsi="Arial" w:cs="Arial"/>
          <w:sz w:val="20"/>
          <w:lang w:val="en-US"/>
        </w:rPr>
        <w:t xml:space="preserve">. The sequences, eluted in sequencing, are transformed into PDB files. The drug compound </w:t>
      </w:r>
      <w:r w:rsidRPr="00B36AD8">
        <w:rPr>
          <w:rFonts w:ascii="Arial" w:hAnsi="Arial" w:cs="Arial"/>
          <w:sz w:val="20"/>
          <w:lang w:val="en-US"/>
        </w:rPr>
        <w:lastRenderedPageBreak/>
        <w:t xml:space="preserve">also transformed into its PDB file. The receptor PDB and ligand PDB are uploaded in the work station of relevant </w:t>
      </w:r>
      <w:proofErr w:type="spellStart"/>
      <w:r w:rsidRPr="00B36AD8">
        <w:rPr>
          <w:rFonts w:ascii="Arial" w:hAnsi="Arial" w:cs="Arial"/>
          <w:sz w:val="20"/>
          <w:lang w:val="en-US"/>
        </w:rPr>
        <w:t>softwares</w:t>
      </w:r>
      <w:proofErr w:type="spellEnd"/>
      <w:r w:rsidRPr="00B36AD8">
        <w:rPr>
          <w:rFonts w:ascii="Arial" w:hAnsi="Arial" w:cs="Arial"/>
          <w:sz w:val="20"/>
          <w:lang w:val="en-US"/>
        </w:rPr>
        <w:t xml:space="preserve">. The </w:t>
      </w:r>
      <w:proofErr w:type="spellStart"/>
      <w:r w:rsidRPr="00B36AD8">
        <w:rPr>
          <w:rFonts w:ascii="Arial" w:hAnsi="Arial" w:cs="Arial"/>
          <w:sz w:val="20"/>
          <w:lang w:val="en-US"/>
        </w:rPr>
        <w:t>Pyrx</w:t>
      </w:r>
      <w:proofErr w:type="spellEnd"/>
      <w:r w:rsidRPr="00B36AD8">
        <w:rPr>
          <w:rFonts w:ascii="Arial" w:hAnsi="Arial" w:cs="Arial"/>
          <w:sz w:val="20"/>
          <w:lang w:val="en-US"/>
        </w:rPr>
        <w:t xml:space="preserve">, Auto dock and its deviations may be used for simulation study. The </w:t>
      </w:r>
      <w:proofErr w:type="spellStart"/>
      <w:r w:rsidRPr="00B36AD8">
        <w:rPr>
          <w:rFonts w:ascii="Arial" w:hAnsi="Arial" w:cs="Arial"/>
          <w:sz w:val="20"/>
          <w:lang w:val="en-US"/>
        </w:rPr>
        <w:t>Pymole</w:t>
      </w:r>
      <w:proofErr w:type="spellEnd"/>
      <w:r w:rsidRPr="00B36AD8">
        <w:rPr>
          <w:rFonts w:ascii="Arial" w:hAnsi="Arial" w:cs="Arial"/>
          <w:sz w:val="20"/>
          <w:lang w:val="en-US"/>
        </w:rPr>
        <w:t xml:space="preserve"> or Discovery studio may be used for visualization. The degree of interaction is measured by number of conventional H-bonds and the </w:t>
      </w:r>
      <w:proofErr w:type="spellStart"/>
      <w:r w:rsidRPr="00B36AD8">
        <w:rPr>
          <w:rFonts w:ascii="Arial" w:hAnsi="Arial" w:cs="Arial"/>
          <w:sz w:val="20"/>
          <w:lang w:val="en-US"/>
        </w:rPr>
        <w:t>aminoacod</w:t>
      </w:r>
      <w:proofErr w:type="spellEnd"/>
      <w:r w:rsidRPr="00B36AD8">
        <w:rPr>
          <w:rFonts w:ascii="Arial" w:hAnsi="Arial" w:cs="Arial"/>
          <w:sz w:val="20"/>
          <w:lang w:val="en-US"/>
        </w:rPr>
        <w:t xml:space="preserve"> residues making hydrophobic interaction. In addition, electrostatic, pi-pi bonds are also considered. Based upon the said parameters, the receptor molecule fate is predicted and corroborated with </w:t>
      </w:r>
      <w:r w:rsidRPr="00B36AD8">
        <w:rPr>
          <w:rFonts w:ascii="Arial" w:hAnsi="Arial" w:cs="Arial"/>
          <w:i/>
          <w:iCs/>
          <w:sz w:val="20"/>
          <w:lang w:val="en-US"/>
        </w:rPr>
        <w:t>in vitro</w:t>
      </w:r>
      <w:r w:rsidRPr="00B36AD8">
        <w:rPr>
          <w:rFonts w:ascii="Arial" w:hAnsi="Arial" w:cs="Arial"/>
          <w:sz w:val="20"/>
          <w:lang w:val="en-US"/>
        </w:rPr>
        <w:t xml:space="preserve"> observations. </w:t>
      </w:r>
    </w:p>
    <w:p w14:paraId="359803E7" w14:textId="77777777" w:rsidR="00015ADC" w:rsidRPr="00AD5FD1" w:rsidRDefault="00015ADC" w:rsidP="002D67FD">
      <w:pPr>
        <w:spacing w:after="0" w:line="360" w:lineRule="auto"/>
        <w:jc w:val="both"/>
        <w:rPr>
          <w:rFonts w:ascii="Arial" w:hAnsi="Arial" w:cs="Arial"/>
          <w:sz w:val="24"/>
          <w:szCs w:val="24"/>
          <w:lang w:val="en-US"/>
        </w:rPr>
      </w:pPr>
    </w:p>
    <w:p w14:paraId="116A2840" w14:textId="7731623E" w:rsidR="00015ADC" w:rsidRPr="00B36AD8" w:rsidRDefault="00B36AD8" w:rsidP="00B36AD8">
      <w:pPr>
        <w:spacing w:after="0" w:line="360" w:lineRule="auto"/>
        <w:rPr>
          <w:rFonts w:ascii="Arial" w:hAnsi="Arial" w:cs="Arial"/>
          <w:b/>
          <w:bCs/>
          <w:szCs w:val="22"/>
          <w:lang w:val="en-US"/>
        </w:rPr>
      </w:pPr>
      <w:r w:rsidRPr="00B36AD8">
        <w:rPr>
          <w:rFonts w:ascii="Arial" w:hAnsi="Arial" w:cs="Arial"/>
          <w:b/>
          <w:bCs/>
          <w:szCs w:val="22"/>
          <w:lang w:val="en-US"/>
        </w:rPr>
        <w:t>6. CONCLUSION</w:t>
      </w:r>
    </w:p>
    <w:p w14:paraId="3FB3D323" w14:textId="71E29A73" w:rsidR="009E566B" w:rsidRPr="00B36AD8" w:rsidRDefault="002D67FD" w:rsidP="00B36AD8">
      <w:pPr>
        <w:spacing w:after="0" w:line="240" w:lineRule="auto"/>
        <w:jc w:val="both"/>
        <w:rPr>
          <w:rFonts w:ascii="Arial" w:hAnsi="Arial" w:cs="Arial"/>
          <w:sz w:val="20"/>
          <w:lang w:val="en-US"/>
        </w:rPr>
      </w:pPr>
      <w:r w:rsidRPr="00B36AD8">
        <w:rPr>
          <w:rFonts w:ascii="Arial" w:hAnsi="Arial" w:cs="Arial"/>
          <w:sz w:val="20"/>
          <w:lang w:val="en-US"/>
        </w:rPr>
        <w:t xml:space="preserve">The antibacterial activity of essential oils and/or its active constituents of medicinal and aromatic plants (MAPs), against strains of bacteria belonging to Gram positive, Garm negative and more so Acid-fast bacteria have been subject of research since decades. Even, authors have contributed relevant research papers on possible mechanism of action of essential oils on the sensitive bacteria. The essential oils, as composited form of a number of active constituents belonging to phenolics, </w:t>
      </w:r>
      <w:proofErr w:type="spellStart"/>
      <w:r w:rsidRPr="00B36AD8">
        <w:rPr>
          <w:rFonts w:ascii="Arial" w:hAnsi="Arial" w:cs="Arial"/>
          <w:sz w:val="20"/>
          <w:lang w:val="en-US"/>
        </w:rPr>
        <w:t>terpenoides</w:t>
      </w:r>
      <w:proofErr w:type="spellEnd"/>
      <w:r w:rsidRPr="00B36AD8">
        <w:rPr>
          <w:rFonts w:ascii="Arial" w:hAnsi="Arial" w:cs="Arial"/>
          <w:sz w:val="20"/>
          <w:lang w:val="en-US"/>
        </w:rPr>
        <w:t xml:space="preserve">, aldehydes, alcohols etc. can have </w:t>
      </w:r>
      <w:r w:rsidR="00B36AD8" w:rsidRPr="00B36AD8">
        <w:rPr>
          <w:rFonts w:ascii="Arial" w:hAnsi="Arial" w:cs="Arial"/>
          <w:sz w:val="20"/>
          <w:lang w:val="en-US"/>
        </w:rPr>
        <w:t>nonspecific</w:t>
      </w:r>
      <w:r w:rsidRPr="00B36AD8">
        <w:rPr>
          <w:rFonts w:ascii="Arial" w:hAnsi="Arial" w:cs="Arial"/>
          <w:sz w:val="20"/>
          <w:lang w:val="en-US"/>
        </w:rPr>
        <w:t xml:space="preserve"> as well as specific interaction with the bacterial cell.</w:t>
      </w:r>
      <w:r w:rsidR="00015ADC" w:rsidRPr="00B36AD8">
        <w:rPr>
          <w:rFonts w:ascii="Arial" w:hAnsi="Arial" w:cs="Arial"/>
          <w:sz w:val="20"/>
          <w:lang w:val="en-US"/>
        </w:rPr>
        <w:t xml:space="preserve"> Importantly, biofilm has been considered as a prime target by essential oils. After degradation of biofilm, the essential </w:t>
      </w:r>
      <w:r w:rsidR="00B36AD8" w:rsidRPr="00B36AD8">
        <w:rPr>
          <w:rFonts w:ascii="Arial" w:hAnsi="Arial" w:cs="Arial"/>
          <w:sz w:val="20"/>
          <w:lang w:val="en-US"/>
        </w:rPr>
        <w:t>oil active</w:t>
      </w:r>
      <w:r w:rsidR="00015ADC" w:rsidRPr="00B36AD8">
        <w:rPr>
          <w:rFonts w:ascii="Arial" w:hAnsi="Arial" w:cs="Arial"/>
          <w:sz w:val="20"/>
          <w:lang w:val="en-US"/>
        </w:rPr>
        <w:t xml:space="preserve"> constituents may reach to target proteins and or enzymes, to kill the bacterial candidate. </w:t>
      </w:r>
    </w:p>
    <w:p w14:paraId="51A7A2AC" w14:textId="77777777" w:rsidR="009E566B" w:rsidRDefault="009E566B" w:rsidP="009E566B">
      <w:pPr>
        <w:spacing w:after="0" w:line="360" w:lineRule="auto"/>
        <w:jc w:val="both"/>
        <w:rPr>
          <w:rFonts w:ascii="Arial" w:hAnsi="Arial" w:cs="Arial"/>
          <w:sz w:val="24"/>
          <w:szCs w:val="24"/>
          <w:lang w:val="en-US"/>
        </w:rPr>
      </w:pPr>
    </w:p>
    <w:p w14:paraId="571F9D79" w14:textId="029D5ABA" w:rsidR="009E566B" w:rsidRPr="00B36AD8" w:rsidRDefault="00B36AD8" w:rsidP="009E566B">
      <w:pPr>
        <w:spacing w:after="0" w:line="360" w:lineRule="auto"/>
        <w:jc w:val="both"/>
        <w:rPr>
          <w:rFonts w:ascii="Arial" w:hAnsi="Arial" w:cs="Arial"/>
          <w:b/>
          <w:bCs/>
          <w:szCs w:val="22"/>
          <w:lang w:val="en-US"/>
        </w:rPr>
      </w:pPr>
      <w:bookmarkStart w:id="1" w:name="_GoBack"/>
      <w:bookmarkEnd w:id="1"/>
      <w:r w:rsidRPr="00B36AD8">
        <w:rPr>
          <w:rFonts w:ascii="Arial" w:hAnsi="Arial" w:cs="Arial"/>
          <w:b/>
          <w:bCs/>
          <w:szCs w:val="22"/>
          <w:lang w:val="en-US"/>
        </w:rPr>
        <w:t>REFERENCES</w:t>
      </w:r>
    </w:p>
    <w:p w14:paraId="429D459F" w14:textId="77777777" w:rsidR="00F30E30" w:rsidRPr="00B36AD8" w:rsidRDefault="00F30E30" w:rsidP="00F30E30">
      <w:pPr>
        <w:pStyle w:val="ListParagraph"/>
        <w:numPr>
          <w:ilvl w:val="0"/>
          <w:numId w:val="1"/>
        </w:numPr>
        <w:spacing w:line="360" w:lineRule="auto"/>
        <w:jc w:val="both"/>
        <w:rPr>
          <w:rFonts w:ascii="Arial" w:hAnsi="Arial" w:cs="Arial"/>
          <w:sz w:val="20"/>
          <w:szCs w:val="20"/>
          <w:lang w:val="en-US"/>
        </w:rPr>
      </w:pPr>
      <w:bookmarkStart w:id="2" w:name="_Hlk195816033"/>
      <w:proofErr w:type="spellStart"/>
      <w:r w:rsidRPr="00B36AD8">
        <w:rPr>
          <w:rFonts w:ascii="Arial" w:hAnsi="Arial" w:cs="Arial"/>
          <w:sz w:val="20"/>
          <w:szCs w:val="20"/>
        </w:rPr>
        <w:t>Alenazy</w:t>
      </w:r>
      <w:proofErr w:type="spellEnd"/>
      <w:r w:rsidRPr="00B36AD8">
        <w:rPr>
          <w:rFonts w:ascii="Arial" w:hAnsi="Arial" w:cs="Arial"/>
          <w:sz w:val="20"/>
          <w:szCs w:val="20"/>
        </w:rPr>
        <w:t xml:space="preserve">, R. (2024). Identification of Potential Therapeutics of Mentha Essential Oil Content as Antibacterial MDR Agents against </w:t>
      </w:r>
      <w:proofErr w:type="spellStart"/>
      <w:r w:rsidRPr="00B36AD8">
        <w:rPr>
          <w:rFonts w:ascii="Arial" w:hAnsi="Arial" w:cs="Arial"/>
          <w:sz w:val="20"/>
          <w:szCs w:val="20"/>
        </w:rPr>
        <w:t>AcrAB-TolC</w:t>
      </w:r>
      <w:proofErr w:type="spellEnd"/>
      <w:r w:rsidRPr="00B36AD8">
        <w:rPr>
          <w:rFonts w:ascii="Arial" w:hAnsi="Arial" w:cs="Arial"/>
          <w:sz w:val="20"/>
          <w:szCs w:val="20"/>
        </w:rPr>
        <w:t xml:space="preserve"> Multidrug Efflux Pump from </w:t>
      </w:r>
      <w:r w:rsidRPr="00B36AD8">
        <w:rPr>
          <w:rFonts w:ascii="Arial" w:hAnsi="Arial" w:cs="Arial"/>
          <w:i/>
          <w:iCs/>
          <w:sz w:val="20"/>
          <w:szCs w:val="20"/>
        </w:rPr>
        <w:t>Escherichia coli</w:t>
      </w:r>
      <w:r w:rsidRPr="00B36AD8">
        <w:rPr>
          <w:rFonts w:ascii="Arial" w:hAnsi="Arial" w:cs="Arial"/>
          <w:sz w:val="20"/>
          <w:szCs w:val="20"/>
        </w:rPr>
        <w:t xml:space="preserve">: An </w:t>
      </w:r>
      <w:proofErr w:type="gramStart"/>
      <w:r w:rsidRPr="00B36AD8">
        <w:rPr>
          <w:rFonts w:ascii="Arial" w:hAnsi="Arial" w:cs="Arial"/>
          <w:sz w:val="20"/>
          <w:szCs w:val="20"/>
        </w:rPr>
        <w:t>In</w:t>
      </w:r>
      <w:proofErr w:type="gramEnd"/>
      <w:r w:rsidRPr="00B36AD8">
        <w:rPr>
          <w:rFonts w:ascii="Arial" w:hAnsi="Arial" w:cs="Arial"/>
          <w:sz w:val="20"/>
          <w:szCs w:val="20"/>
        </w:rPr>
        <w:t xml:space="preserve"> Silico Exploration. </w:t>
      </w:r>
      <w:r w:rsidRPr="00B36AD8">
        <w:rPr>
          <w:rFonts w:ascii="Arial" w:hAnsi="Arial" w:cs="Arial"/>
          <w:i/>
          <w:iCs/>
          <w:sz w:val="20"/>
          <w:szCs w:val="20"/>
        </w:rPr>
        <w:t>Life</w:t>
      </w:r>
      <w:r w:rsidRPr="00B36AD8">
        <w:rPr>
          <w:rFonts w:ascii="Arial" w:hAnsi="Arial" w:cs="Arial"/>
          <w:sz w:val="20"/>
          <w:szCs w:val="20"/>
        </w:rPr>
        <w:t>, </w:t>
      </w:r>
      <w:r w:rsidRPr="00B36AD8">
        <w:rPr>
          <w:rFonts w:ascii="Arial" w:hAnsi="Arial" w:cs="Arial"/>
          <w:i/>
          <w:iCs/>
          <w:sz w:val="20"/>
          <w:szCs w:val="20"/>
        </w:rPr>
        <w:t>14</w:t>
      </w:r>
      <w:r w:rsidRPr="00B36AD8">
        <w:rPr>
          <w:rFonts w:ascii="Arial" w:hAnsi="Arial" w:cs="Arial"/>
          <w:sz w:val="20"/>
          <w:szCs w:val="20"/>
        </w:rPr>
        <w:t>(5), p.610.</w:t>
      </w:r>
    </w:p>
    <w:p w14:paraId="18C7DE10" w14:textId="77777777" w:rsidR="004B49A7" w:rsidRPr="00B36AD8" w:rsidRDefault="004B49A7" w:rsidP="004B49A7">
      <w:pPr>
        <w:numPr>
          <w:ilvl w:val="0"/>
          <w:numId w:val="1"/>
        </w:numPr>
        <w:spacing w:line="360" w:lineRule="auto"/>
        <w:jc w:val="both"/>
        <w:rPr>
          <w:rFonts w:ascii="Arial" w:hAnsi="Arial" w:cs="Arial"/>
          <w:sz w:val="20"/>
        </w:rPr>
      </w:pPr>
      <w:r w:rsidRPr="00B36AD8">
        <w:rPr>
          <w:rFonts w:ascii="Arial" w:hAnsi="Arial" w:cs="Arial"/>
          <w:sz w:val="20"/>
        </w:rPr>
        <w:t xml:space="preserve">Bigger, J.W. (1944). The bactericidal action of penicillin on </w:t>
      </w:r>
      <w:r w:rsidRPr="00B36AD8">
        <w:rPr>
          <w:rFonts w:ascii="Arial" w:hAnsi="Arial" w:cs="Arial"/>
          <w:i/>
          <w:iCs/>
          <w:sz w:val="20"/>
        </w:rPr>
        <w:t>Staphylococcus</w:t>
      </w:r>
      <w:r w:rsidRPr="00B36AD8">
        <w:rPr>
          <w:rFonts w:ascii="Arial" w:hAnsi="Arial" w:cs="Arial"/>
          <w:sz w:val="20"/>
        </w:rPr>
        <w:t xml:space="preserve"> </w:t>
      </w:r>
      <w:r w:rsidRPr="00B36AD8">
        <w:rPr>
          <w:rFonts w:ascii="Arial" w:hAnsi="Arial" w:cs="Arial"/>
          <w:i/>
          <w:iCs/>
          <w:sz w:val="20"/>
        </w:rPr>
        <w:t>pyogenes</w:t>
      </w:r>
      <w:r w:rsidRPr="00B36AD8">
        <w:rPr>
          <w:rFonts w:ascii="Arial" w:hAnsi="Arial" w:cs="Arial"/>
          <w:sz w:val="20"/>
        </w:rPr>
        <w:t>. </w:t>
      </w:r>
      <w:r w:rsidRPr="00B36AD8">
        <w:rPr>
          <w:rFonts w:ascii="Arial" w:hAnsi="Arial" w:cs="Arial"/>
          <w:i/>
          <w:iCs/>
          <w:sz w:val="20"/>
        </w:rPr>
        <w:t>Irish Journal of Medical Science (1926-1967)</w:t>
      </w:r>
      <w:r w:rsidRPr="00B36AD8">
        <w:rPr>
          <w:rFonts w:ascii="Arial" w:hAnsi="Arial" w:cs="Arial"/>
          <w:sz w:val="20"/>
        </w:rPr>
        <w:t>, </w:t>
      </w:r>
      <w:r w:rsidRPr="00B36AD8">
        <w:rPr>
          <w:rFonts w:ascii="Arial" w:hAnsi="Arial" w:cs="Arial"/>
          <w:i/>
          <w:iCs/>
          <w:sz w:val="20"/>
        </w:rPr>
        <w:t>19</w:t>
      </w:r>
      <w:r w:rsidRPr="00B36AD8">
        <w:rPr>
          <w:rFonts w:ascii="Arial" w:hAnsi="Arial" w:cs="Arial"/>
          <w:sz w:val="20"/>
        </w:rPr>
        <w:t>(11), pp.553-568</w:t>
      </w:r>
    </w:p>
    <w:p w14:paraId="20AF7A0C" w14:textId="3277A9B3" w:rsidR="00F30E30" w:rsidRPr="00B36AD8" w:rsidRDefault="00F30E30" w:rsidP="004B155E">
      <w:pPr>
        <w:pStyle w:val="ListParagraph"/>
        <w:numPr>
          <w:ilvl w:val="0"/>
          <w:numId w:val="1"/>
        </w:numPr>
        <w:spacing w:line="360" w:lineRule="auto"/>
        <w:jc w:val="both"/>
        <w:rPr>
          <w:rFonts w:ascii="Arial" w:hAnsi="Arial" w:cs="Arial"/>
          <w:sz w:val="20"/>
          <w:szCs w:val="20"/>
          <w:lang w:val="en-US"/>
        </w:rPr>
      </w:pPr>
      <w:r w:rsidRPr="00B36AD8">
        <w:rPr>
          <w:rFonts w:ascii="Arial" w:hAnsi="Arial" w:cs="Arial"/>
          <w:sz w:val="20"/>
          <w:szCs w:val="20"/>
        </w:rPr>
        <w:t>Collins, J.A. and Osheroff, N. (2024). Gyrase and topoisomerase IV: recycling old targets for new antibacterials to combat fluoroquinolone resistance. </w:t>
      </w:r>
      <w:r w:rsidRPr="00B36AD8">
        <w:rPr>
          <w:rFonts w:ascii="Arial" w:hAnsi="Arial" w:cs="Arial"/>
          <w:i/>
          <w:iCs/>
          <w:sz w:val="20"/>
          <w:szCs w:val="20"/>
        </w:rPr>
        <w:t>ACS Infectious Diseases</w:t>
      </w:r>
      <w:r w:rsidRPr="00B36AD8">
        <w:rPr>
          <w:rFonts w:ascii="Arial" w:hAnsi="Arial" w:cs="Arial"/>
          <w:sz w:val="20"/>
          <w:szCs w:val="20"/>
        </w:rPr>
        <w:t>, </w:t>
      </w:r>
      <w:r w:rsidRPr="00B36AD8">
        <w:rPr>
          <w:rFonts w:ascii="Arial" w:hAnsi="Arial" w:cs="Arial"/>
          <w:i/>
          <w:iCs/>
          <w:sz w:val="20"/>
          <w:szCs w:val="20"/>
        </w:rPr>
        <w:t>10</w:t>
      </w:r>
      <w:r w:rsidRPr="00B36AD8">
        <w:rPr>
          <w:rFonts w:ascii="Arial" w:hAnsi="Arial" w:cs="Arial"/>
          <w:sz w:val="20"/>
          <w:szCs w:val="20"/>
        </w:rPr>
        <w:t>(4), pp.1097-1115.</w:t>
      </w:r>
    </w:p>
    <w:p w14:paraId="2F112D0F" w14:textId="77777777" w:rsidR="00F30E30" w:rsidRPr="00B36AD8" w:rsidRDefault="00F30E30" w:rsidP="00F30E30">
      <w:pPr>
        <w:pStyle w:val="ListParagraph"/>
        <w:numPr>
          <w:ilvl w:val="0"/>
          <w:numId w:val="1"/>
        </w:numPr>
        <w:spacing w:line="360" w:lineRule="auto"/>
        <w:jc w:val="both"/>
        <w:rPr>
          <w:rFonts w:ascii="Arial" w:hAnsi="Arial" w:cs="Arial"/>
          <w:sz w:val="20"/>
          <w:szCs w:val="20"/>
        </w:rPr>
      </w:pPr>
      <w:proofErr w:type="spellStart"/>
      <w:r w:rsidRPr="00B36AD8">
        <w:rPr>
          <w:rFonts w:ascii="Arial" w:hAnsi="Arial" w:cs="Arial"/>
          <w:sz w:val="20"/>
          <w:szCs w:val="20"/>
        </w:rPr>
        <w:t>Dolcino</w:t>
      </w:r>
      <w:proofErr w:type="spellEnd"/>
      <w:r w:rsidRPr="00B36AD8">
        <w:rPr>
          <w:rFonts w:ascii="Arial" w:hAnsi="Arial" w:cs="Arial"/>
          <w:sz w:val="20"/>
          <w:szCs w:val="20"/>
        </w:rPr>
        <w:t xml:space="preserve">, M., </w:t>
      </w:r>
      <w:proofErr w:type="spellStart"/>
      <w:r w:rsidRPr="00B36AD8">
        <w:rPr>
          <w:rFonts w:ascii="Arial" w:hAnsi="Arial" w:cs="Arial"/>
          <w:sz w:val="20"/>
          <w:szCs w:val="20"/>
        </w:rPr>
        <w:t>Zoratti</w:t>
      </w:r>
      <w:proofErr w:type="spellEnd"/>
      <w:r w:rsidRPr="00B36AD8">
        <w:rPr>
          <w:rFonts w:ascii="Arial" w:hAnsi="Arial" w:cs="Arial"/>
          <w:sz w:val="20"/>
          <w:szCs w:val="20"/>
        </w:rPr>
        <w:t xml:space="preserve">, A., </w:t>
      </w:r>
      <w:proofErr w:type="spellStart"/>
      <w:r w:rsidRPr="00B36AD8">
        <w:rPr>
          <w:rFonts w:ascii="Arial" w:hAnsi="Arial" w:cs="Arial"/>
          <w:sz w:val="20"/>
          <w:szCs w:val="20"/>
        </w:rPr>
        <w:t>Debbia</w:t>
      </w:r>
      <w:proofErr w:type="spellEnd"/>
      <w:r w:rsidRPr="00B36AD8">
        <w:rPr>
          <w:rFonts w:ascii="Arial" w:hAnsi="Arial" w:cs="Arial"/>
          <w:sz w:val="20"/>
          <w:szCs w:val="20"/>
        </w:rPr>
        <w:t xml:space="preserve">, E.A., </w:t>
      </w:r>
      <w:proofErr w:type="spellStart"/>
      <w:r w:rsidRPr="00B36AD8">
        <w:rPr>
          <w:rFonts w:ascii="Arial" w:hAnsi="Arial" w:cs="Arial"/>
          <w:sz w:val="20"/>
          <w:szCs w:val="20"/>
        </w:rPr>
        <w:t>Schito</w:t>
      </w:r>
      <w:proofErr w:type="spellEnd"/>
      <w:r w:rsidRPr="00B36AD8">
        <w:rPr>
          <w:rFonts w:ascii="Arial" w:hAnsi="Arial" w:cs="Arial"/>
          <w:sz w:val="20"/>
          <w:szCs w:val="20"/>
        </w:rPr>
        <w:t xml:space="preserve">, G.C. and Marchese, A. (2002). </w:t>
      </w:r>
      <w:proofErr w:type="spellStart"/>
      <w:r w:rsidRPr="00B36AD8">
        <w:rPr>
          <w:rFonts w:ascii="Arial" w:hAnsi="Arial" w:cs="Arial"/>
          <w:sz w:val="20"/>
          <w:szCs w:val="20"/>
        </w:rPr>
        <w:t>Postantibiotic</w:t>
      </w:r>
      <w:proofErr w:type="spellEnd"/>
      <w:r w:rsidRPr="00B36AD8">
        <w:rPr>
          <w:rFonts w:ascii="Arial" w:hAnsi="Arial" w:cs="Arial"/>
          <w:sz w:val="20"/>
          <w:szCs w:val="20"/>
        </w:rPr>
        <w:t xml:space="preserve"> effect and delay of regrowth in strains carrying mutations that save proteins or RNA. </w:t>
      </w:r>
      <w:r w:rsidRPr="00B36AD8">
        <w:rPr>
          <w:rFonts w:ascii="Arial" w:hAnsi="Arial" w:cs="Arial"/>
          <w:i/>
          <w:iCs/>
          <w:sz w:val="20"/>
          <w:szCs w:val="20"/>
        </w:rPr>
        <w:t>Antimicrobial agents and chemotherapy</w:t>
      </w:r>
      <w:r w:rsidRPr="00B36AD8">
        <w:rPr>
          <w:rFonts w:ascii="Arial" w:hAnsi="Arial" w:cs="Arial"/>
          <w:sz w:val="20"/>
          <w:szCs w:val="20"/>
        </w:rPr>
        <w:t>, 46(12), pp.4022-4025.</w:t>
      </w:r>
    </w:p>
    <w:p w14:paraId="7A34E0E3" w14:textId="77777777" w:rsidR="00F30E30" w:rsidRPr="00B36AD8" w:rsidRDefault="00F30E30" w:rsidP="00F30E30">
      <w:pPr>
        <w:pStyle w:val="ListParagraph"/>
        <w:numPr>
          <w:ilvl w:val="0"/>
          <w:numId w:val="1"/>
        </w:numPr>
        <w:spacing w:line="360" w:lineRule="auto"/>
        <w:jc w:val="both"/>
        <w:rPr>
          <w:rFonts w:ascii="Arial" w:hAnsi="Arial" w:cs="Arial"/>
          <w:sz w:val="20"/>
          <w:szCs w:val="20"/>
        </w:rPr>
      </w:pPr>
      <w:r w:rsidRPr="00B36AD8">
        <w:rPr>
          <w:rFonts w:ascii="Arial" w:hAnsi="Arial" w:cs="Arial"/>
          <w:sz w:val="20"/>
          <w:szCs w:val="20"/>
        </w:rPr>
        <w:t xml:space="preserve">Frenkel, N., Saar Dover, R., </w:t>
      </w:r>
      <w:proofErr w:type="spellStart"/>
      <w:r w:rsidRPr="00B36AD8">
        <w:rPr>
          <w:rFonts w:ascii="Arial" w:hAnsi="Arial" w:cs="Arial"/>
          <w:sz w:val="20"/>
          <w:szCs w:val="20"/>
        </w:rPr>
        <w:t>Titon</w:t>
      </w:r>
      <w:proofErr w:type="spellEnd"/>
      <w:r w:rsidRPr="00B36AD8">
        <w:rPr>
          <w:rFonts w:ascii="Arial" w:hAnsi="Arial" w:cs="Arial"/>
          <w:sz w:val="20"/>
          <w:szCs w:val="20"/>
        </w:rPr>
        <w:t>, E., Shai, Y. and Rom-Kedar, V. (2021). Bistable Bacterial Growth Dynamics in the Presence of Antimicrobial Agents</w:t>
      </w:r>
      <w:r w:rsidRPr="00B36AD8">
        <w:rPr>
          <w:rFonts w:ascii="Arial" w:hAnsi="Arial" w:cs="Arial"/>
          <w:i/>
          <w:iCs/>
          <w:sz w:val="20"/>
          <w:szCs w:val="20"/>
        </w:rPr>
        <w:t xml:space="preserve">. Antibiotics 2021, </w:t>
      </w:r>
      <w:r w:rsidRPr="00B36AD8">
        <w:rPr>
          <w:rFonts w:ascii="Arial" w:hAnsi="Arial" w:cs="Arial"/>
          <w:sz w:val="20"/>
          <w:szCs w:val="20"/>
        </w:rPr>
        <w:t xml:space="preserve">10(1), 87  </w:t>
      </w:r>
    </w:p>
    <w:p w14:paraId="3BC123D4" w14:textId="77777777" w:rsidR="00F30E30" w:rsidRPr="00B36AD8" w:rsidRDefault="00F30E30" w:rsidP="00F30E30">
      <w:pPr>
        <w:pStyle w:val="ListParagraph"/>
        <w:numPr>
          <w:ilvl w:val="0"/>
          <w:numId w:val="1"/>
        </w:numPr>
        <w:spacing w:line="360" w:lineRule="auto"/>
        <w:jc w:val="both"/>
        <w:rPr>
          <w:rFonts w:ascii="Arial" w:hAnsi="Arial" w:cs="Arial"/>
          <w:sz w:val="20"/>
          <w:szCs w:val="20"/>
          <w:lang w:val="en-US"/>
        </w:rPr>
      </w:pPr>
      <w:r w:rsidRPr="00B36AD8">
        <w:rPr>
          <w:rFonts w:ascii="Arial" w:hAnsi="Arial" w:cs="Arial"/>
          <w:sz w:val="20"/>
          <w:szCs w:val="20"/>
          <w:lang w:val="en-US"/>
        </w:rPr>
        <w:t xml:space="preserve">Fricke, W.F., Wright, M.S., Lindell, A.H., Harkins, D.M., Baker-Austin, C., Ravel, J. and </w:t>
      </w:r>
      <w:proofErr w:type="spellStart"/>
      <w:r w:rsidRPr="00B36AD8">
        <w:rPr>
          <w:rFonts w:ascii="Arial" w:hAnsi="Arial" w:cs="Arial"/>
          <w:sz w:val="20"/>
          <w:szCs w:val="20"/>
          <w:lang w:val="en-US"/>
        </w:rPr>
        <w:t>Stepanauskas</w:t>
      </w:r>
      <w:proofErr w:type="spellEnd"/>
      <w:r w:rsidRPr="00B36AD8">
        <w:rPr>
          <w:rFonts w:ascii="Arial" w:hAnsi="Arial" w:cs="Arial"/>
          <w:sz w:val="20"/>
          <w:szCs w:val="20"/>
          <w:lang w:val="en-US"/>
        </w:rPr>
        <w:t xml:space="preserve">, R. (2008). Insights into the environmental resistance gene pool from the genome sequence of the multidrug-resistant environmental isolate </w:t>
      </w:r>
      <w:r w:rsidRPr="00B36AD8">
        <w:rPr>
          <w:rFonts w:ascii="Arial" w:hAnsi="Arial" w:cs="Arial"/>
          <w:i/>
          <w:iCs/>
          <w:sz w:val="20"/>
          <w:szCs w:val="20"/>
          <w:lang w:val="en-US"/>
        </w:rPr>
        <w:t>Escherichia coli</w:t>
      </w:r>
      <w:r w:rsidRPr="00B36AD8">
        <w:rPr>
          <w:rFonts w:ascii="Arial" w:hAnsi="Arial" w:cs="Arial"/>
          <w:sz w:val="20"/>
          <w:szCs w:val="20"/>
          <w:lang w:val="en-US"/>
        </w:rPr>
        <w:t xml:space="preserve"> SMS-3-5. </w:t>
      </w:r>
      <w:r w:rsidRPr="00B36AD8">
        <w:rPr>
          <w:rFonts w:ascii="Arial" w:hAnsi="Arial" w:cs="Arial"/>
          <w:i/>
          <w:iCs/>
          <w:sz w:val="20"/>
          <w:szCs w:val="20"/>
          <w:lang w:val="en-US"/>
        </w:rPr>
        <w:t>Journal of bacteriology</w:t>
      </w:r>
      <w:r w:rsidRPr="00B36AD8">
        <w:rPr>
          <w:rFonts w:ascii="Arial" w:hAnsi="Arial" w:cs="Arial"/>
          <w:sz w:val="20"/>
          <w:szCs w:val="20"/>
          <w:lang w:val="en-US"/>
        </w:rPr>
        <w:t>, 190(20), pp.6779-6794</w:t>
      </w:r>
    </w:p>
    <w:p w14:paraId="6F80D03A" w14:textId="4753D9F4" w:rsidR="00F30E30" w:rsidRPr="00B36AD8" w:rsidRDefault="00F30E30" w:rsidP="004B155E">
      <w:pPr>
        <w:pStyle w:val="ListParagraph"/>
        <w:numPr>
          <w:ilvl w:val="0"/>
          <w:numId w:val="1"/>
        </w:numPr>
        <w:spacing w:line="360" w:lineRule="auto"/>
        <w:jc w:val="both"/>
        <w:rPr>
          <w:rFonts w:ascii="Arial" w:hAnsi="Arial" w:cs="Arial"/>
          <w:sz w:val="20"/>
          <w:szCs w:val="20"/>
          <w:lang w:val="en-US"/>
        </w:rPr>
      </w:pPr>
      <w:r w:rsidRPr="00B36AD8">
        <w:rPr>
          <w:rFonts w:ascii="Arial" w:hAnsi="Arial" w:cs="Arial"/>
          <w:sz w:val="20"/>
          <w:szCs w:val="20"/>
          <w:lang w:val="en-US"/>
        </w:rPr>
        <w:t xml:space="preserve">Ferrero, L., Cameron, B., Manse, B., Lagneaux, D., Crouzet, J., </w:t>
      </w:r>
      <w:proofErr w:type="spellStart"/>
      <w:r w:rsidRPr="00B36AD8">
        <w:rPr>
          <w:rFonts w:ascii="Arial" w:hAnsi="Arial" w:cs="Arial"/>
          <w:sz w:val="20"/>
          <w:szCs w:val="20"/>
          <w:lang w:val="en-US"/>
        </w:rPr>
        <w:t>Famechon</w:t>
      </w:r>
      <w:proofErr w:type="spellEnd"/>
      <w:r w:rsidRPr="00B36AD8">
        <w:rPr>
          <w:rFonts w:ascii="Arial" w:hAnsi="Arial" w:cs="Arial"/>
          <w:sz w:val="20"/>
          <w:szCs w:val="20"/>
          <w:lang w:val="en-US"/>
        </w:rPr>
        <w:t xml:space="preserve">, A. and Blanche, F. (1994). Cloning and primary structure of </w:t>
      </w:r>
      <w:r w:rsidRPr="00B36AD8">
        <w:rPr>
          <w:rFonts w:ascii="Arial" w:hAnsi="Arial" w:cs="Arial"/>
          <w:i/>
          <w:iCs/>
          <w:sz w:val="20"/>
          <w:szCs w:val="20"/>
          <w:lang w:val="en-US"/>
        </w:rPr>
        <w:t>Staphylococcus aureus</w:t>
      </w:r>
      <w:r w:rsidRPr="00B36AD8">
        <w:rPr>
          <w:rFonts w:ascii="Arial" w:hAnsi="Arial" w:cs="Arial"/>
          <w:sz w:val="20"/>
          <w:szCs w:val="20"/>
          <w:lang w:val="en-US"/>
        </w:rPr>
        <w:t xml:space="preserve"> DNA topoisomerase IV: a primary target of fluoroquinolones. </w:t>
      </w:r>
      <w:r w:rsidRPr="00B36AD8">
        <w:rPr>
          <w:rFonts w:ascii="Arial" w:hAnsi="Arial" w:cs="Arial"/>
          <w:i/>
          <w:iCs/>
          <w:sz w:val="20"/>
          <w:szCs w:val="20"/>
          <w:lang w:val="en-US"/>
        </w:rPr>
        <w:t>Molecular Microbiology</w:t>
      </w:r>
      <w:r w:rsidRPr="00B36AD8">
        <w:rPr>
          <w:rFonts w:ascii="Arial" w:hAnsi="Arial" w:cs="Arial"/>
          <w:sz w:val="20"/>
          <w:szCs w:val="20"/>
          <w:lang w:val="en-US"/>
        </w:rPr>
        <w:t>, 13(4), pp.641-653.</w:t>
      </w:r>
    </w:p>
    <w:p w14:paraId="5F1CBF4D" w14:textId="77777777" w:rsidR="00F30E30" w:rsidRPr="00B36AD8" w:rsidRDefault="00F30E30" w:rsidP="00F30E30">
      <w:pPr>
        <w:pStyle w:val="ListParagraph"/>
        <w:numPr>
          <w:ilvl w:val="0"/>
          <w:numId w:val="1"/>
        </w:numPr>
        <w:spacing w:line="360" w:lineRule="auto"/>
        <w:jc w:val="both"/>
        <w:rPr>
          <w:rFonts w:ascii="Arial" w:hAnsi="Arial" w:cs="Arial"/>
          <w:sz w:val="20"/>
          <w:szCs w:val="20"/>
        </w:rPr>
      </w:pPr>
      <w:r w:rsidRPr="00B36AD8">
        <w:rPr>
          <w:rFonts w:ascii="Arial" w:hAnsi="Arial" w:cs="Arial"/>
          <w:sz w:val="20"/>
          <w:szCs w:val="20"/>
        </w:rPr>
        <w:t xml:space="preserve">Joers, A. and Tenson, T. (2016). Growth resumption from stationary phase reveals memory in </w:t>
      </w:r>
      <w:r w:rsidRPr="00B36AD8">
        <w:rPr>
          <w:rFonts w:ascii="Arial" w:hAnsi="Arial" w:cs="Arial"/>
          <w:i/>
          <w:iCs/>
          <w:sz w:val="20"/>
          <w:szCs w:val="20"/>
        </w:rPr>
        <w:t>Escherichia coli</w:t>
      </w:r>
      <w:r w:rsidRPr="00B36AD8">
        <w:rPr>
          <w:rFonts w:ascii="Arial" w:hAnsi="Arial" w:cs="Arial"/>
          <w:sz w:val="20"/>
          <w:szCs w:val="20"/>
        </w:rPr>
        <w:t xml:space="preserve"> cultures. </w:t>
      </w:r>
      <w:r w:rsidRPr="00B36AD8">
        <w:rPr>
          <w:rFonts w:ascii="Arial" w:hAnsi="Arial" w:cs="Arial"/>
          <w:i/>
          <w:iCs/>
          <w:sz w:val="20"/>
          <w:szCs w:val="20"/>
        </w:rPr>
        <w:t>Scientific reports</w:t>
      </w:r>
      <w:r w:rsidRPr="00B36AD8">
        <w:rPr>
          <w:rFonts w:ascii="Arial" w:hAnsi="Arial" w:cs="Arial"/>
          <w:sz w:val="20"/>
          <w:szCs w:val="20"/>
        </w:rPr>
        <w:t>, </w:t>
      </w:r>
      <w:r w:rsidRPr="00B36AD8">
        <w:rPr>
          <w:rFonts w:ascii="Arial" w:hAnsi="Arial" w:cs="Arial"/>
          <w:i/>
          <w:iCs/>
          <w:sz w:val="20"/>
          <w:szCs w:val="20"/>
        </w:rPr>
        <w:t>6</w:t>
      </w:r>
      <w:r w:rsidRPr="00B36AD8">
        <w:rPr>
          <w:rFonts w:ascii="Arial" w:hAnsi="Arial" w:cs="Arial"/>
          <w:sz w:val="20"/>
          <w:szCs w:val="20"/>
        </w:rPr>
        <w:t>(1), p.24055.</w:t>
      </w:r>
    </w:p>
    <w:p w14:paraId="745D6BE6" w14:textId="77777777" w:rsidR="004B49A7" w:rsidRPr="00B36AD8" w:rsidRDefault="004B49A7" w:rsidP="004B49A7">
      <w:pPr>
        <w:numPr>
          <w:ilvl w:val="0"/>
          <w:numId w:val="1"/>
        </w:numPr>
        <w:spacing w:line="360" w:lineRule="auto"/>
        <w:jc w:val="both"/>
        <w:rPr>
          <w:rFonts w:ascii="Arial" w:hAnsi="Arial" w:cs="Arial"/>
          <w:sz w:val="20"/>
        </w:rPr>
      </w:pPr>
      <w:proofErr w:type="spellStart"/>
      <w:r w:rsidRPr="00B36AD8">
        <w:rPr>
          <w:rFonts w:ascii="Arial" w:hAnsi="Arial" w:cs="Arial"/>
          <w:sz w:val="20"/>
        </w:rPr>
        <w:t>Kussell</w:t>
      </w:r>
      <w:proofErr w:type="spellEnd"/>
      <w:r w:rsidRPr="00B36AD8">
        <w:rPr>
          <w:rFonts w:ascii="Arial" w:hAnsi="Arial" w:cs="Arial"/>
          <w:sz w:val="20"/>
        </w:rPr>
        <w:t xml:space="preserve">, E., </w:t>
      </w:r>
      <w:proofErr w:type="spellStart"/>
      <w:r w:rsidRPr="00B36AD8">
        <w:rPr>
          <w:rFonts w:ascii="Arial" w:hAnsi="Arial" w:cs="Arial"/>
          <w:sz w:val="20"/>
        </w:rPr>
        <w:t>Kishony</w:t>
      </w:r>
      <w:proofErr w:type="spellEnd"/>
      <w:r w:rsidRPr="00B36AD8">
        <w:rPr>
          <w:rFonts w:ascii="Arial" w:hAnsi="Arial" w:cs="Arial"/>
          <w:sz w:val="20"/>
        </w:rPr>
        <w:t xml:space="preserve">, R., Balaban, N.Q. and </w:t>
      </w:r>
      <w:proofErr w:type="spellStart"/>
      <w:r w:rsidRPr="00B36AD8">
        <w:rPr>
          <w:rFonts w:ascii="Arial" w:hAnsi="Arial" w:cs="Arial"/>
          <w:sz w:val="20"/>
        </w:rPr>
        <w:t>Leibler</w:t>
      </w:r>
      <w:proofErr w:type="spellEnd"/>
      <w:r w:rsidRPr="00B36AD8">
        <w:rPr>
          <w:rFonts w:ascii="Arial" w:hAnsi="Arial" w:cs="Arial"/>
          <w:sz w:val="20"/>
        </w:rPr>
        <w:t>, S. (2005). Bacterial persistence: a model of survival in changing environments. </w:t>
      </w:r>
      <w:r w:rsidRPr="00B36AD8">
        <w:rPr>
          <w:rFonts w:ascii="Arial" w:hAnsi="Arial" w:cs="Arial"/>
          <w:i/>
          <w:iCs/>
          <w:sz w:val="20"/>
        </w:rPr>
        <w:t>Genetics</w:t>
      </w:r>
      <w:r w:rsidRPr="00B36AD8">
        <w:rPr>
          <w:rFonts w:ascii="Arial" w:hAnsi="Arial" w:cs="Arial"/>
          <w:sz w:val="20"/>
        </w:rPr>
        <w:t>, </w:t>
      </w:r>
      <w:r w:rsidRPr="00B36AD8">
        <w:rPr>
          <w:rFonts w:ascii="Arial" w:hAnsi="Arial" w:cs="Arial"/>
          <w:i/>
          <w:iCs/>
          <w:sz w:val="20"/>
        </w:rPr>
        <w:t>169</w:t>
      </w:r>
      <w:r w:rsidRPr="00B36AD8">
        <w:rPr>
          <w:rFonts w:ascii="Arial" w:hAnsi="Arial" w:cs="Arial"/>
          <w:sz w:val="20"/>
        </w:rPr>
        <w:t>(4), pp.1807-1814.</w:t>
      </w:r>
    </w:p>
    <w:p w14:paraId="425F9087" w14:textId="3FC58D3B" w:rsidR="004B49A7" w:rsidRPr="00B36AD8" w:rsidRDefault="004B49A7" w:rsidP="004B49A7">
      <w:pPr>
        <w:numPr>
          <w:ilvl w:val="0"/>
          <w:numId w:val="1"/>
        </w:numPr>
        <w:spacing w:line="360" w:lineRule="auto"/>
        <w:jc w:val="both"/>
        <w:rPr>
          <w:rFonts w:ascii="Arial" w:hAnsi="Arial" w:cs="Arial"/>
          <w:sz w:val="20"/>
        </w:rPr>
      </w:pPr>
      <w:r w:rsidRPr="00B36AD8">
        <w:rPr>
          <w:rFonts w:ascii="Arial" w:hAnsi="Arial" w:cs="Arial"/>
          <w:sz w:val="20"/>
        </w:rPr>
        <w:lastRenderedPageBreak/>
        <w:t xml:space="preserve">Keren, I., </w:t>
      </w:r>
      <w:proofErr w:type="spellStart"/>
      <w:r w:rsidRPr="00B36AD8">
        <w:rPr>
          <w:rFonts w:ascii="Arial" w:hAnsi="Arial" w:cs="Arial"/>
          <w:sz w:val="20"/>
        </w:rPr>
        <w:t>Kaldalu</w:t>
      </w:r>
      <w:proofErr w:type="spellEnd"/>
      <w:r w:rsidRPr="00B36AD8">
        <w:rPr>
          <w:rFonts w:ascii="Arial" w:hAnsi="Arial" w:cs="Arial"/>
          <w:sz w:val="20"/>
        </w:rPr>
        <w:t>, N., Spoering, A., Wang, Y. and Lewis, K. (2004). Persister cells and tolerance to antimicrobials. </w:t>
      </w:r>
      <w:r w:rsidRPr="00B36AD8">
        <w:rPr>
          <w:rFonts w:ascii="Arial" w:hAnsi="Arial" w:cs="Arial"/>
          <w:i/>
          <w:iCs/>
          <w:sz w:val="20"/>
        </w:rPr>
        <w:t>FEMS microbiology letters</w:t>
      </w:r>
      <w:r w:rsidRPr="00B36AD8">
        <w:rPr>
          <w:rFonts w:ascii="Arial" w:hAnsi="Arial" w:cs="Arial"/>
          <w:sz w:val="20"/>
        </w:rPr>
        <w:t>, </w:t>
      </w:r>
      <w:r w:rsidRPr="00B36AD8">
        <w:rPr>
          <w:rFonts w:ascii="Arial" w:hAnsi="Arial" w:cs="Arial"/>
          <w:i/>
          <w:iCs/>
          <w:sz w:val="20"/>
        </w:rPr>
        <w:t>230</w:t>
      </w:r>
      <w:r w:rsidRPr="00B36AD8">
        <w:rPr>
          <w:rFonts w:ascii="Arial" w:hAnsi="Arial" w:cs="Arial"/>
          <w:sz w:val="20"/>
        </w:rPr>
        <w:t>(1), pp.13-18.</w:t>
      </w:r>
    </w:p>
    <w:bookmarkEnd w:id="2"/>
    <w:p w14:paraId="70B47DDA" w14:textId="77777777" w:rsidR="00F30E30" w:rsidRPr="00B36AD8" w:rsidRDefault="00F30E30" w:rsidP="004B49A7">
      <w:pPr>
        <w:numPr>
          <w:ilvl w:val="0"/>
          <w:numId w:val="1"/>
        </w:numPr>
        <w:spacing w:line="360" w:lineRule="auto"/>
        <w:jc w:val="both"/>
        <w:rPr>
          <w:rFonts w:ascii="Arial" w:hAnsi="Arial" w:cs="Arial"/>
          <w:sz w:val="20"/>
        </w:rPr>
      </w:pPr>
      <w:r w:rsidRPr="00B36AD8">
        <w:rPr>
          <w:rFonts w:ascii="Arial" w:hAnsi="Arial" w:cs="Arial"/>
          <w:sz w:val="20"/>
        </w:rPr>
        <w:t xml:space="preserve">Libby, J.M., 1998. </w:t>
      </w:r>
      <w:r w:rsidRPr="00B36AD8">
        <w:rPr>
          <w:rFonts w:ascii="Arial" w:hAnsi="Arial" w:cs="Arial"/>
          <w:i/>
          <w:iCs/>
          <w:sz w:val="20"/>
        </w:rPr>
        <w:t>Escherichia coli</w:t>
      </w:r>
      <w:r w:rsidRPr="00B36AD8">
        <w:rPr>
          <w:rFonts w:ascii="Arial" w:hAnsi="Arial" w:cs="Arial"/>
          <w:sz w:val="20"/>
        </w:rPr>
        <w:t xml:space="preserve"> Post antibiotic Effect in. </w:t>
      </w:r>
      <w:proofErr w:type="spellStart"/>
      <w:r w:rsidRPr="00B36AD8">
        <w:rPr>
          <w:rFonts w:ascii="Arial" w:hAnsi="Arial" w:cs="Arial"/>
          <w:i/>
          <w:iCs/>
          <w:sz w:val="20"/>
        </w:rPr>
        <w:t>Antimicrob</w:t>
      </w:r>
      <w:proofErr w:type="spellEnd"/>
      <w:r w:rsidRPr="00B36AD8">
        <w:rPr>
          <w:rFonts w:ascii="Arial" w:hAnsi="Arial" w:cs="Arial"/>
          <w:i/>
          <w:iCs/>
          <w:sz w:val="20"/>
        </w:rPr>
        <w:t>. Agents Chemother</w:t>
      </w:r>
      <w:r w:rsidRPr="00B36AD8">
        <w:rPr>
          <w:rFonts w:ascii="Arial" w:hAnsi="Arial" w:cs="Arial"/>
          <w:sz w:val="20"/>
        </w:rPr>
        <w:t>, </w:t>
      </w:r>
      <w:r w:rsidRPr="00B36AD8">
        <w:rPr>
          <w:rFonts w:ascii="Arial" w:hAnsi="Arial" w:cs="Arial"/>
          <w:i/>
          <w:iCs/>
          <w:sz w:val="20"/>
        </w:rPr>
        <w:t>42</w:t>
      </w:r>
      <w:r w:rsidRPr="00B36AD8">
        <w:rPr>
          <w:rFonts w:ascii="Arial" w:hAnsi="Arial" w:cs="Arial"/>
          <w:sz w:val="20"/>
        </w:rPr>
        <w:t>(1), p.78</w:t>
      </w:r>
    </w:p>
    <w:p w14:paraId="6CF937BE" w14:textId="77777777" w:rsidR="00F30E30" w:rsidRPr="00B36AD8" w:rsidRDefault="00F30E30" w:rsidP="00F30E30">
      <w:pPr>
        <w:numPr>
          <w:ilvl w:val="0"/>
          <w:numId w:val="1"/>
        </w:numPr>
        <w:spacing w:line="360" w:lineRule="auto"/>
        <w:jc w:val="both"/>
        <w:rPr>
          <w:rFonts w:ascii="Arial" w:hAnsi="Arial" w:cs="Arial"/>
          <w:sz w:val="20"/>
        </w:rPr>
      </w:pPr>
      <w:r w:rsidRPr="00B36AD8">
        <w:rPr>
          <w:rFonts w:ascii="Arial" w:hAnsi="Arial" w:cs="Arial"/>
          <w:sz w:val="20"/>
        </w:rPr>
        <w:t xml:space="preserve">Lee, J.J., Lee, S.K., Song, N., Nathan, T.O., Swarts, B.M., </w:t>
      </w:r>
      <w:proofErr w:type="spellStart"/>
      <w:r w:rsidRPr="00B36AD8">
        <w:rPr>
          <w:rFonts w:ascii="Arial" w:hAnsi="Arial" w:cs="Arial"/>
          <w:sz w:val="20"/>
        </w:rPr>
        <w:t>Eum</w:t>
      </w:r>
      <w:proofErr w:type="spellEnd"/>
      <w:r w:rsidRPr="00B36AD8">
        <w:rPr>
          <w:rFonts w:ascii="Arial" w:hAnsi="Arial" w:cs="Arial"/>
          <w:sz w:val="20"/>
        </w:rPr>
        <w:t xml:space="preserve">, S.Y., </w:t>
      </w:r>
      <w:proofErr w:type="spellStart"/>
      <w:r w:rsidRPr="00B36AD8">
        <w:rPr>
          <w:rFonts w:ascii="Arial" w:hAnsi="Arial" w:cs="Arial"/>
          <w:sz w:val="20"/>
        </w:rPr>
        <w:t>Ehrt</w:t>
      </w:r>
      <w:proofErr w:type="spellEnd"/>
      <w:r w:rsidRPr="00B36AD8">
        <w:rPr>
          <w:rFonts w:ascii="Arial" w:hAnsi="Arial" w:cs="Arial"/>
          <w:sz w:val="20"/>
        </w:rPr>
        <w:t xml:space="preserve">, S., Cho, S.N. and Eoh, H. (2019). Transient drug-tolerance and permanent drug-resistance rely on the trehalose-catalytic shift in </w:t>
      </w:r>
      <w:r w:rsidRPr="00B36AD8">
        <w:rPr>
          <w:rFonts w:ascii="Arial" w:hAnsi="Arial" w:cs="Arial"/>
          <w:i/>
          <w:iCs/>
          <w:sz w:val="20"/>
        </w:rPr>
        <w:t>Mycobacterium tuberculosis</w:t>
      </w:r>
      <w:r w:rsidRPr="00B36AD8">
        <w:rPr>
          <w:rFonts w:ascii="Arial" w:hAnsi="Arial" w:cs="Arial"/>
          <w:sz w:val="20"/>
        </w:rPr>
        <w:t>. </w:t>
      </w:r>
      <w:r w:rsidRPr="00B36AD8">
        <w:rPr>
          <w:rFonts w:ascii="Arial" w:hAnsi="Arial" w:cs="Arial"/>
          <w:i/>
          <w:iCs/>
          <w:sz w:val="20"/>
        </w:rPr>
        <w:t>Nature communications</w:t>
      </w:r>
      <w:r w:rsidRPr="00B36AD8">
        <w:rPr>
          <w:rFonts w:ascii="Arial" w:hAnsi="Arial" w:cs="Arial"/>
          <w:sz w:val="20"/>
        </w:rPr>
        <w:t>, </w:t>
      </w:r>
      <w:r w:rsidRPr="00B36AD8">
        <w:rPr>
          <w:rFonts w:ascii="Arial" w:hAnsi="Arial" w:cs="Arial"/>
          <w:i/>
          <w:iCs/>
          <w:sz w:val="20"/>
        </w:rPr>
        <w:t>10</w:t>
      </w:r>
      <w:r w:rsidRPr="00B36AD8">
        <w:rPr>
          <w:rFonts w:ascii="Arial" w:hAnsi="Arial" w:cs="Arial"/>
          <w:sz w:val="20"/>
        </w:rPr>
        <w:t>(1), p.2928.</w:t>
      </w:r>
    </w:p>
    <w:p w14:paraId="2311B1AD" w14:textId="77777777" w:rsidR="00F30E30" w:rsidRPr="00B36AD8" w:rsidRDefault="00F30E30" w:rsidP="00F30E30">
      <w:pPr>
        <w:pStyle w:val="ListParagraph"/>
        <w:numPr>
          <w:ilvl w:val="0"/>
          <w:numId w:val="1"/>
        </w:numPr>
        <w:spacing w:line="360" w:lineRule="auto"/>
        <w:jc w:val="both"/>
        <w:rPr>
          <w:rFonts w:ascii="Arial" w:hAnsi="Arial" w:cs="Arial"/>
          <w:sz w:val="20"/>
          <w:szCs w:val="20"/>
          <w:lang w:val="en-US"/>
        </w:rPr>
      </w:pPr>
      <w:r w:rsidRPr="00B36AD8">
        <w:rPr>
          <w:rFonts w:ascii="Arial" w:hAnsi="Arial" w:cs="Arial"/>
          <w:sz w:val="20"/>
          <w:szCs w:val="20"/>
          <w:lang w:val="en-US"/>
        </w:rPr>
        <w:t xml:space="preserve">Liu, T., Kang, J. and Liu, L. (2021). Thymol as a critical component of </w:t>
      </w:r>
      <w:r w:rsidRPr="00B36AD8">
        <w:rPr>
          <w:rFonts w:ascii="Arial" w:hAnsi="Arial" w:cs="Arial"/>
          <w:i/>
          <w:iCs/>
          <w:sz w:val="20"/>
          <w:szCs w:val="20"/>
          <w:lang w:val="en-US"/>
        </w:rPr>
        <w:t>Thymus vulgaris</w:t>
      </w:r>
      <w:r w:rsidRPr="00B36AD8">
        <w:rPr>
          <w:rFonts w:ascii="Arial" w:hAnsi="Arial" w:cs="Arial"/>
          <w:sz w:val="20"/>
          <w:szCs w:val="20"/>
          <w:lang w:val="en-US"/>
        </w:rPr>
        <w:t xml:space="preserve"> L. essential oil combats </w:t>
      </w:r>
      <w:r w:rsidRPr="00B36AD8">
        <w:rPr>
          <w:rFonts w:ascii="Arial" w:hAnsi="Arial" w:cs="Arial"/>
          <w:i/>
          <w:iCs/>
          <w:sz w:val="20"/>
          <w:szCs w:val="20"/>
          <w:lang w:val="en-US"/>
        </w:rPr>
        <w:t>Pseudomonas aeruginosa</w:t>
      </w:r>
      <w:r w:rsidRPr="00B36AD8">
        <w:rPr>
          <w:rFonts w:ascii="Arial" w:hAnsi="Arial" w:cs="Arial"/>
          <w:sz w:val="20"/>
          <w:szCs w:val="20"/>
          <w:lang w:val="en-US"/>
        </w:rPr>
        <w:t xml:space="preserve"> by intercalating DNA and inactivating biofilm. </w:t>
      </w:r>
      <w:proofErr w:type="spellStart"/>
      <w:r w:rsidRPr="00B36AD8">
        <w:rPr>
          <w:rFonts w:ascii="Arial" w:hAnsi="Arial" w:cs="Arial"/>
          <w:sz w:val="20"/>
          <w:szCs w:val="20"/>
          <w:lang w:val="en-US"/>
        </w:rPr>
        <w:t>Lwt</w:t>
      </w:r>
      <w:proofErr w:type="spellEnd"/>
      <w:r w:rsidRPr="00B36AD8">
        <w:rPr>
          <w:rFonts w:ascii="Arial" w:hAnsi="Arial" w:cs="Arial"/>
          <w:sz w:val="20"/>
          <w:szCs w:val="20"/>
          <w:lang w:val="en-US"/>
        </w:rPr>
        <w:t>, 136, p.110354.</w:t>
      </w:r>
    </w:p>
    <w:p w14:paraId="2162F90D" w14:textId="70046873" w:rsidR="00F30E30" w:rsidRPr="00B36AD8" w:rsidRDefault="00F30E30" w:rsidP="004B155E">
      <w:pPr>
        <w:numPr>
          <w:ilvl w:val="0"/>
          <w:numId w:val="1"/>
        </w:numPr>
        <w:spacing w:line="360" w:lineRule="auto"/>
        <w:jc w:val="both"/>
        <w:rPr>
          <w:rFonts w:ascii="Arial" w:hAnsi="Arial" w:cs="Arial"/>
          <w:sz w:val="20"/>
        </w:rPr>
      </w:pPr>
      <w:r w:rsidRPr="00B36AD8">
        <w:rPr>
          <w:rFonts w:ascii="Arial" w:hAnsi="Arial" w:cs="Arial"/>
          <w:sz w:val="20"/>
        </w:rPr>
        <w:t>Li, L., Peng, H., Liu, L., Heymann, D., Robert, C., Vallette, F. and Shen, S. (2023). Drug-tolerant persister cells in cancer: the cutting edges and future directions. </w:t>
      </w:r>
      <w:r w:rsidRPr="00B36AD8">
        <w:rPr>
          <w:rFonts w:ascii="Arial" w:hAnsi="Arial" w:cs="Arial"/>
          <w:i/>
          <w:iCs/>
          <w:sz w:val="20"/>
        </w:rPr>
        <w:t>Nature Reviews Clinical Oncology</w:t>
      </w:r>
      <w:r w:rsidRPr="00B36AD8">
        <w:rPr>
          <w:rFonts w:ascii="Arial" w:hAnsi="Arial" w:cs="Arial"/>
          <w:sz w:val="20"/>
        </w:rPr>
        <w:t>, 20(11), pp.799-813.</w:t>
      </w:r>
    </w:p>
    <w:p w14:paraId="63951649" w14:textId="786FB660" w:rsidR="004B49A7" w:rsidRPr="00B36AD8" w:rsidRDefault="004B49A7" w:rsidP="004B49A7">
      <w:pPr>
        <w:numPr>
          <w:ilvl w:val="0"/>
          <w:numId w:val="1"/>
        </w:numPr>
        <w:spacing w:line="360" w:lineRule="auto"/>
        <w:jc w:val="both"/>
        <w:rPr>
          <w:rFonts w:ascii="Arial" w:hAnsi="Arial" w:cs="Arial"/>
          <w:sz w:val="20"/>
        </w:rPr>
      </w:pPr>
      <w:r w:rsidRPr="00B36AD8">
        <w:rPr>
          <w:rFonts w:ascii="Arial" w:hAnsi="Arial" w:cs="Arial"/>
          <w:sz w:val="20"/>
        </w:rPr>
        <w:t>Meylan, S., Andrews, I.W. and Collins, J.J. (2018). Targeting antibiotic tolerance, pathogen by pathogen. </w:t>
      </w:r>
      <w:r w:rsidRPr="00B36AD8">
        <w:rPr>
          <w:rFonts w:ascii="Arial" w:hAnsi="Arial" w:cs="Arial"/>
          <w:i/>
          <w:iCs/>
          <w:sz w:val="20"/>
        </w:rPr>
        <w:t>Cell</w:t>
      </w:r>
      <w:r w:rsidRPr="00B36AD8">
        <w:rPr>
          <w:rFonts w:ascii="Arial" w:hAnsi="Arial" w:cs="Arial"/>
          <w:sz w:val="20"/>
        </w:rPr>
        <w:t>, </w:t>
      </w:r>
      <w:r w:rsidRPr="00B36AD8">
        <w:rPr>
          <w:rFonts w:ascii="Arial" w:hAnsi="Arial" w:cs="Arial"/>
          <w:i/>
          <w:iCs/>
          <w:sz w:val="20"/>
        </w:rPr>
        <w:t>172</w:t>
      </w:r>
      <w:r w:rsidRPr="00B36AD8">
        <w:rPr>
          <w:rFonts w:ascii="Arial" w:hAnsi="Arial" w:cs="Arial"/>
          <w:sz w:val="20"/>
        </w:rPr>
        <w:t>(6), pp.1228-1238.</w:t>
      </w:r>
    </w:p>
    <w:p w14:paraId="1527531F" w14:textId="77777777" w:rsidR="004B49A7" w:rsidRPr="00B36AD8" w:rsidRDefault="004B49A7" w:rsidP="004B49A7">
      <w:pPr>
        <w:pStyle w:val="ListParagraph"/>
        <w:numPr>
          <w:ilvl w:val="0"/>
          <w:numId w:val="1"/>
        </w:numPr>
        <w:spacing w:line="360" w:lineRule="auto"/>
        <w:jc w:val="both"/>
        <w:rPr>
          <w:rFonts w:ascii="Arial" w:hAnsi="Arial" w:cs="Arial"/>
          <w:sz w:val="20"/>
          <w:szCs w:val="20"/>
        </w:rPr>
      </w:pPr>
      <w:r w:rsidRPr="00B36AD8">
        <w:rPr>
          <w:rFonts w:ascii="Arial" w:hAnsi="Arial" w:cs="Arial"/>
          <w:sz w:val="20"/>
          <w:szCs w:val="20"/>
        </w:rPr>
        <w:t xml:space="preserve">Patel, H., </w:t>
      </w:r>
      <w:proofErr w:type="spellStart"/>
      <w:r w:rsidRPr="00B36AD8">
        <w:rPr>
          <w:rFonts w:ascii="Arial" w:hAnsi="Arial" w:cs="Arial"/>
          <w:sz w:val="20"/>
          <w:szCs w:val="20"/>
        </w:rPr>
        <w:t>Buchad</w:t>
      </w:r>
      <w:proofErr w:type="spellEnd"/>
      <w:r w:rsidRPr="00B36AD8">
        <w:rPr>
          <w:rFonts w:ascii="Arial" w:hAnsi="Arial" w:cs="Arial"/>
          <w:sz w:val="20"/>
          <w:szCs w:val="20"/>
        </w:rPr>
        <w:t>, H. and Gajjar, D. (2022). Pseudomonas aeruginosa persister cell formation upon antibiotic exposure in planktonic and biofilm state. Scientific Reports, 12(1), p.16151.</w:t>
      </w:r>
    </w:p>
    <w:p w14:paraId="0C640B9C" w14:textId="77777777" w:rsidR="0024697A" w:rsidRPr="00B36AD8" w:rsidRDefault="0024697A" w:rsidP="0024697A">
      <w:pPr>
        <w:pStyle w:val="ListParagraph"/>
        <w:numPr>
          <w:ilvl w:val="0"/>
          <w:numId w:val="1"/>
        </w:numPr>
        <w:spacing w:line="360" w:lineRule="auto"/>
        <w:jc w:val="both"/>
        <w:rPr>
          <w:rFonts w:ascii="Arial" w:hAnsi="Arial" w:cs="Arial"/>
          <w:sz w:val="20"/>
          <w:szCs w:val="20"/>
        </w:rPr>
      </w:pPr>
      <w:r w:rsidRPr="00B36AD8">
        <w:rPr>
          <w:rFonts w:ascii="Arial" w:hAnsi="Arial" w:cs="Arial"/>
          <w:sz w:val="20"/>
          <w:szCs w:val="20"/>
        </w:rPr>
        <w:t xml:space="preserve">Proma, F.H., Shourav, M.K. and Choi, J. (2020). Post-antibiotic effect of ampicillin and levofloxacin to </w:t>
      </w:r>
      <w:r w:rsidRPr="00B36AD8">
        <w:rPr>
          <w:rFonts w:ascii="Arial" w:hAnsi="Arial" w:cs="Arial"/>
          <w:i/>
          <w:iCs/>
          <w:sz w:val="20"/>
          <w:szCs w:val="20"/>
        </w:rPr>
        <w:t>Escherichia coli</w:t>
      </w:r>
      <w:r w:rsidRPr="00B36AD8">
        <w:rPr>
          <w:rFonts w:ascii="Arial" w:hAnsi="Arial" w:cs="Arial"/>
          <w:sz w:val="20"/>
          <w:szCs w:val="20"/>
        </w:rPr>
        <w:t xml:space="preserve"> and </w:t>
      </w:r>
      <w:r w:rsidRPr="00B36AD8">
        <w:rPr>
          <w:rFonts w:ascii="Arial" w:hAnsi="Arial" w:cs="Arial"/>
          <w:i/>
          <w:iCs/>
          <w:sz w:val="20"/>
          <w:szCs w:val="20"/>
        </w:rPr>
        <w:t>Staphylococcus aureus</w:t>
      </w:r>
      <w:r w:rsidRPr="00B36AD8">
        <w:rPr>
          <w:rFonts w:ascii="Arial" w:hAnsi="Arial" w:cs="Arial"/>
          <w:sz w:val="20"/>
          <w:szCs w:val="20"/>
        </w:rPr>
        <w:t xml:space="preserve"> based on microscopic imaging analysis. </w:t>
      </w:r>
      <w:r w:rsidRPr="00B36AD8">
        <w:rPr>
          <w:rFonts w:ascii="Arial" w:hAnsi="Arial" w:cs="Arial"/>
          <w:i/>
          <w:iCs/>
          <w:sz w:val="20"/>
          <w:szCs w:val="20"/>
        </w:rPr>
        <w:t>Antibiotics</w:t>
      </w:r>
      <w:r w:rsidRPr="00B36AD8">
        <w:rPr>
          <w:rFonts w:ascii="Arial" w:hAnsi="Arial" w:cs="Arial"/>
          <w:sz w:val="20"/>
          <w:szCs w:val="20"/>
        </w:rPr>
        <w:t>, </w:t>
      </w:r>
      <w:r w:rsidRPr="00B36AD8">
        <w:rPr>
          <w:rFonts w:ascii="Arial" w:hAnsi="Arial" w:cs="Arial"/>
          <w:i/>
          <w:iCs/>
          <w:sz w:val="20"/>
          <w:szCs w:val="20"/>
        </w:rPr>
        <w:t>9</w:t>
      </w:r>
      <w:r w:rsidRPr="00B36AD8">
        <w:rPr>
          <w:rFonts w:ascii="Arial" w:hAnsi="Arial" w:cs="Arial"/>
          <w:sz w:val="20"/>
          <w:szCs w:val="20"/>
        </w:rPr>
        <w:t xml:space="preserve">(8), p.458. </w:t>
      </w:r>
    </w:p>
    <w:p w14:paraId="62258253" w14:textId="77777777" w:rsidR="0024697A" w:rsidRPr="00B36AD8" w:rsidRDefault="0024697A" w:rsidP="0024697A">
      <w:pPr>
        <w:numPr>
          <w:ilvl w:val="0"/>
          <w:numId w:val="1"/>
        </w:numPr>
        <w:spacing w:line="360" w:lineRule="auto"/>
        <w:jc w:val="both"/>
        <w:rPr>
          <w:rFonts w:ascii="Arial" w:hAnsi="Arial" w:cs="Arial"/>
          <w:sz w:val="20"/>
        </w:rPr>
      </w:pPr>
      <w:r w:rsidRPr="00B36AD8">
        <w:rPr>
          <w:rFonts w:ascii="Arial" w:hAnsi="Arial" w:cs="Arial"/>
          <w:sz w:val="20"/>
        </w:rPr>
        <w:t>Pattnaik, S., Mohanty, S., Sahoo, S.K. and Mohanty, C. (2023). A mechanistic perspective on the role of phytoconstituents-based pharmacotherapeutics and their topical formulations in chronic wound management. </w:t>
      </w:r>
      <w:r w:rsidRPr="00B36AD8">
        <w:rPr>
          <w:rFonts w:ascii="Arial" w:hAnsi="Arial" w:cs="Arial"/>
          <w:i/>
          <w:iCs/>
          <w:sz w:val="20"/>
        </w:rPr>
        <w:t>Journal of Drug Delivery Science and Technology</w:t>
      </w:r>
      <w:r w:rsidRPr="00B36AD8">
        <w:rPr>
          <w:rFonts w:ascii="Arial" w:hAnsi="Arial" w:cs="Arial"/>
          <w:sz w:val="20"/>
        </w:rPr>
        <w:t>, </w:t>
      </w:r>
      <w:r w:rsidRPr="00B36AD8">
        <w:rPr>
          <w:rFonts w:ascii="Arial" w:hAnsi="Arial" w:cs="Arial"/>
          <w:i/>
          <w:iCs/>
          <w:sz w:val="20"/>
        </w:rPr>
        <w:t>84</w:t>
      </w:r>
      <w:r w:rsidRPr="00B36AD8">
        <w:rPr>
          <w:rFonts w:ascii="Arial" w:hAnsi="Arial" w:cs="Arial"/>
          <w:sz w:val="20"/>
        </w:rPr>
        <w:t>, p.104546.</w:t>
      </w:r>
    </w:p>
    <w:p w14:paraId="7B6F144B" w14:textId="77777777" w:rsidR="0024697A" w:rsidRPr="00B36AD8" w:rsidRDefault="0024697A" w:rsidP="0024697A">
      <w:pPr>
        <w:numPr>
          <w:ilvl w:val="0"/>
          <w:numId w:val="1"/>
        </w:numPr>
        <w:spacing w:line="360" w:lineRule="auto"/>
        <w:jc w:val="both"/>
        <w:rPr>
          <w:rFonts w:ascii="Arial" w:hAnsi="Arial" w:cs="Arial"/>
          <w:sz w:val="20"/>
        </w:rPr>
      </w:pPr>
      <w:proofErr w:type="spellStart"/>
      <w:r w:rsidRPr="00B36AD8">
        <w:rPr>
          <w:rFonts w:ascii="Arial" w:hAnsi="Arial" w:cs="Arial"/>
          <w:sz w:val="20"/>
        </w:rPr>
        <w:t>Parsek</w:t>
      </w:r>
      <w:proofErr w:type="spellEnd"/>
      <w:r w:rsidRPr="00B36AD8">
        <w:rPr>
          <w:rFonts w:ascii="Arial" w:hAnsi="Arial" w:cs="Arial"/>
          <w:sz w:val="20"/>
        </w:rPr>
        <w:t xml:space="preserve">, M.R. and Greenberg, E.P. (2000). Acyl-homoserine lactone quorum sensing in gram-negative bacteria: a </w:t>
      </w:r>
      <w:proofErr w:type="spellStart"/>
      <w:r w:rsidRPr="00B36AD8">
        <w:rPr>
          <w:rFonts w:ascii="Arial" w:hAnsi="Arial" w:cs="Arial"/>
          <w:sz w:val="20"/>
        </w:rPr>
        <w:t>signaling</w:t>
      </w:r>
      <w:proofErr w:type="spellEnd"/>
      <w:r w:rsidRPr="00B36AD8">
        <w:rPr>
          <w:rFonts w:ascii="Arial" w:hAnsi="Arial" w:cs="Arial"/>
          <w:sz w:val="20"/>
        </w:rPr>
        <w:t xml:space="preserve"> mechanism involved in associations with higher organisms. </w:t>
      </w:r>
      <w:r w:rsidRPr="00B36AD8">
        <w:rPr>
          <w:rFonts w:ascii="Arial" w:hAnsi="Arial" w:cs="Arial"/>
          <w:i/>
          <w:iCs/>
          <w:sz w:val="20"/>
        </w:rPr>
        <w:t>Proceedings of the National Academy of Sciences</w:t>
      </w:r>
      <w:r w:rsidRPr="00B36AD8">
        <w:rPr>
          <w:rFonts w:ascii="Arial" w:hAnsi="Arial" w:cs="Arial"/>
          <w:sz w:val="20"/>
        </w:rPr>
        <w:t>, </w:t>
      </w:r>
      <w:r w:rsidRPr="00B36AD8">
        <w:rPr>
          <w:rFonts w:ascii="Arial" w:hAnsi="Arial" w:cs="Arial"/>
          <w:i/>
          <w:iCs/>
          <w:sz w:val="20"/>
        </w:rPr>
        <w:t>97</w:t>
      </w:r>
      <w:r w:rsidRPr="00B36AD8">
        <w:rPr>
          <w:rFonts w:ascii="Arial" w:hAnsi="Arial" w:cs="Arial"/>
          <w:sz w:val="20"/>
        </w:rPr>
        <w:t>(16), pp.8789-8793.</w:t>
      </w:r>
    </w:p>
    <w:p w14:paraId="6F0CB2D0" w14:textId="3220E8E8" w:rsidR="00765D3B" w:rsidRPr="00B36AD8" w:rsidRDefault="0024697A" w:rsidP="00F30E30">
      <w:pPr>
        <w:numPr>
          <w:ilvl w:val="0"/>
          <w:numId w:val="1"/>
        </w:numPr>
        <w:spacing w:line="360" w:lineRule="auto"/>
        <w:jc w:val="both"/>
        <w:rPr>
          <w:rFonts w:ascii="Arial" w:hAnsi="Arial" w:cs="Arial"/>
          <w:sz w:val="20"/>
        </w:rPr>
      </w:pPr>
      <w:r w:rsidRPr="00B36AD8">
        <w:rPr>
          <w:rFonts w:ascii="Arial" w:hAnsi="Arial" w:cs="Arial"/>
          <w:sz w:val="20"/>
        </w:rPr>
        <w:t>Pan, H., Zhao, X., Zhou, X., Yan, H., Han, X., Wu, M. and Chen, F. (2023). Research progress on the role of biofilm in heavy metals adsorption-desorption characteristics of microplastics: A review. </w:t>
      </w:r>
      <w:r w:rsidRPr="00B36AD8">
        <w:rPr>
          <w:rFonts w:ascii="Arial" w:hAnsi="Arial" w:cs="Arial"/>
          <w:i/>
          <w:iCs/>
          <w:sz w:val="20"/>
        </w:rPr>
        <w:t>Environmental Pollution</w:t>
      </w:r>
      <w:r w:rsidRPr="00B36AD8">
        <w:rPr>
          <w:rFonts w:ascii="Arial" w:hAnsi="Arial" w:cs="Arial"/>
          <w:sz w:val="20"/>
        </w:rPr>
        <w:t>, </w:t>
      </w:r>
      <w:r w:rsidRPr="00B36AD8">
        <w:rPr>
          <w:rFonts w:ascii="Arial" w:hAnsi="Arial" w:cs="Arial"/>
          <w:i/>
          <w:iCs/>
          <w:sz w:val="20"/>
        </w:rPr>
        <w:t>336</w:t>
      </w:r>
      <w:r w:rsidRPr="00B36AD8">
        <w:rPr>
          <w:rFonts w:ascii="Arial" w:hAnsi="Arial" w:cs="Arial"/>
          <w:sz w:val="20"/>
        </w:rPr>
        <w:t>, p.122448.</w:t>
      </w:r>
    </w:p>
    <w:p w14:paraId="537442B2" w14:textId="1ACFA9F2" w:rsidR="00F30E30" w:rsidRPr="00B36AD8" w:rsidRDefault="00765D3B" w:rsidP="00F30E30">
      <w:pPr>
        <w:pStyle w:val="ListParagraph"/>
        <w:numPr>
          <w:ilvl w:val="0"/>
          <w:numId w:val="1"/>
        </w:numPr>
        <w:spacing w:line="360" w:lineRule="auto"/>
        <w:jc w:val="both"/>
        <w:rPr>
          <w:rFonts w:ascii="Arial" w:hAnsi="Arial" w:cs="Arial"/>
          <w:sz w:val="20"/>
          <w:szCs w:val="20"/>
        </w:rPr>
      </w:pPr>
      <w:r w:rsidRPr="00B36AD8">
        <w:rPr>
          <w:rFonts w:ascii="Arial" w:hAnsi="Arial" w:cs="Arial"/>
          <w:sz w:val="20"/>
          <w:szCs w:val="20"/>
        </w:rPr>
        <w:t xml:space="preserve">Pattnaik, S. (2018). Induction of bioactive compounds in a co-cultured strain of </w:t>
      </w:r>
      <w:proofErr w:type="spellStart"/>
      <w:r w:rsidRPr="00B36AD8">
        <w:rPr>
          <w:rFonts w:ascii="Arial" w:hAnsi="Arial" w:cs="Arial"/>
          <w:i/>
          <w:iCs/>
          <w:sz w:val="20"/>
          <w:szCs w:val="20"/>
        </w:rPr>
        <w:t>Micromonosperma</w:t>
      </w:r>
      <w:proofErr w:type="spellEnd"/>
      <w:r w:rsidRPr="00B36AD8">
        <w:rPr>
          <w:rFonts w:ascii="Arial" w:hAnsi="Arial" w:cs="Arial"/>
          <w:i/>
          <w:iCs/>
          <w:sz w:val="20"/>
          <w:szCs w:val="20"/>
        </w:rPr>
        <w:t xml:space="preserve"> </w:t>
      </w:r>
      <w:proofErr w:type="spellStart"/>
      <w:r w:rsidRPr="00B36AD8">
        <w:rPr>
          <w:rFonts w:ascii="Arial" w:hAnsi="Arial" w:cs="Arial"/>
          <w:i/>
          <w:iCs/>
          <w:sz w:val="20"/>
          <w:szCs w:val="20"/>
        </w:rPr>
        <w:t>echinospora</w:t>
      </w:r>
      <w:proofErr w:type="spellEnd"/>
      <w:r w:rsidRPr="00B36AD8">
        <w:rPr>
          <w:rFonts w:ascii="Arial" w:hAnsi="Arial" w:cs="Arial"/>
          <w:sz w:val="20"/>
          <w:szCs w:val="20"/>
        </w:rPr>
        <w:t xml:space="preserve"> (DST-4) isolated from secluded Hirakud dyke soil. </w:t>
      </w:r>
      <w:r w:rsidRPr="00B36AD8">
        <w:rPr>
          <w:rFonts w:ascii="Arial" w:hAnsi="Arial" w:cs="Arial"/>
          <w:i/>
          <w:iCs/>
          <w:sz w:val="20"/>
          <w:szCs w:val="20"/>
        </w:rPr>
        <w:t>Indian journal of Biotechnology,</w:t>
      </w:r>
      <w:r w:rsidRPr="00B36AD8">
        <w:rPr>
          <w:rFonts w:ascii="Arial" w:hAnsi="Arial" w:cs="Arial"/>
          <w:sz w:val="20"/>
          <w:szCs w:val="20"/>
        </w:rPr>
        <w:t>17, pp.586-594.</w:t>
      </w:r>
    </w:p>
    <w:p w14:paraId="26B20C76" w14:textId="77777777" w:rsidR="000C6618" w:rsidRPr="00B36AD8" w:rsidRDefault="000C6618" w:rsidP="000C6618">
      <w:pPr>
        <w:pStyle w:val="ListParagraph"/>
        <w:numPr>
          <w:ilvl w:val="0"/>
          <w:numId w:val="1"/>
        </w:numPr>
        <w:spacing w:line="360" w:lineRule="auto"/>
        <w:jc w:val="both"/>
        <w:rPr>
          <w:rFonts w:ascii="Arial" w:hAnsi="Arial" w:cs="Arial"/>
          <w:sz w:val="20"/>
          <w:szCs w:val="20"/>
          <w:lang w:val="en-US"/>
        </w:rPr>
      </w:pPr>
      <w:r w:rsidRPr="00B36AD8">
        <w:rPr>
          <w:rFonts w:ascii="Arial" w:hAnsi="Arial" w:cs="Arial"/>
          <w:sz w:val="20"/>
          <w:szCs w:val="20"/>
          <w:lang w:val="en-US"/>
        </w:rPr>
        <w:t xml:space="preserve">Renier Vélez-Cruz and N. Osheroff (2004). DNA topoisomerases: Type II In book: Encyclopedia of Biological Chemistry (pp.806-811) Publisher: </w:t>
      </w:r>
      <w:r w:rsidRPr="00B36AD8">
        <w:rPr>
          <w:rFonts w:ascii="Arial" w:hAnsi="Arial" w:cs="Arial"/>
          <w:i/>
          <w:iCs/>
          <w:sz w:val="20"/>
          <w:szCs w:val="20"/>
          <w:lang w:val="en-US"/>
        </w:rPr>
        <w:t xml:space="preserve">Elsevier </w:t>
      </w:r>
      <w:r w:rsidRPr="00B36AD8">
        <w:rPr>
          <w:rFonts w:ascii="Arial" w:hAnsi="Arial" w:cs="Arial"/>
          <w:sz w:val="20"/>
          <w:szCs w:val="20"/>
          <w:lang w:val="en-US"/>
        </w:rPr>
        <w:t>Oxford Editors: Lennarz and Lane.</w:t>
      </w:r>
    </w:p>
    <w:p w14:paraId="1BD85C43" w14:textId="56583F65" w:rsidR="00F30E30" w:rsidRPr="00B36AD8" w:rsidRDefault="00F30E30" w:rsidP="000C6618">
      <w:pPr>
        <w:pStyle w:val="ListParagraph"/>
        <w:numPr>
          <w:ilvl w:val="0"/>
          <w:numId w:val="1"/>
        </w:numPr>
        <w:spacing w:line="360" w:lineRule="auto"/>
        <w:jc w:val="both"/>
        <w:rPr>
          <w:rFonts w:ascii="Arial" w:hAnsi="Arial" w:cs="Arial"/>
          <w:sz w:val="20"/>
          <w:szCs w:val="20"/>
          <w:lang w:val="en-US"/>
        </w:rPr>
      </w:pPr>
      <w:r w:rsidRPr="00B36AD8">
        <w:rPr>
          <w:rFonts w:ascii="Arial" w:hAnsi="Arial" w:cs="Arial"/>
          <w:sz w:val="20"/>
          <w:szCs w:val="20"/>
        </w:rPr>
        <w:lastRenderedPageBreak/>
        <w:t xml:space="preserve">Svenningsen, M.S., Veress, A., Harms, A., Mitarai, N. and Semsey, S. (2019). Birth and resuscitation of (p) </w:t>
      </w:r>
      <w:proofErr w:type="spellStart"/>
      <w:r w:rsidRPr="00B36AD8">
        <w:rPr>
          <w:rFonts w:ascii="Arial" w:hAnsi="Arial" w:cs="Arial"/>
          <w:sz w:val="20"/>
          <w:szCs w:val="20"/>
        </w:rPr>
        <w:t>ppGpp</w:t>
      </w:r>
      <w:proofErr w:type="spellEnd"/>
      <w:r w:rsidRPr="00B36AD8">
        <w:rPr>
          <w:rFonts w:ascii="Arial" w:hAnsi="Arial" w:cs="Arial"/>
          <w:sz w:val="20"/>
          <w:szCs w:val="20"/>
        </w:rPr>
        <w:t xml:space="preserve"> induced antibiotic tolerant persister cells</w:t>
      </w:r>
      <w:r w:rsidRPr="00B36AD8">
        <w:rPr>
          <w:rFonts w:ascii="Arial" w:hAnsi="Arial" w:cs="Arial"/>
          <w:i/>
          <w:iCs/>
          <w:sz w:val="20"/>
          <w:szCs w:val="20"/>
        </w:rPr>
        <w:t>. Scientific Reports</w:t>
      </w:r>
      <w:r w:rsidRPr="00B36AD8">
        <w:rPr>
          <w:rFonts w:ascii="Arial" w:hAnsi="Arial" w:cs="Arial"/>
          <w:sz w:val="20"/>
          <w:szCs w:val="20"/>
        </w:rPr>
        <w:t>, 9(1), p.6056</w:t>
      </w:r>
    </w:p>
    <w:p w14:paraId="03F1F264" w14:textId="159218F6" w:rsidR="004B155E" w:rsidRPr="00B36AD8" w:rsidRDefault="004B155E" w:rsidP="004B155E">
      <w:pPr>
        <w:pStyle w:val="ListParagraph"/>
        <w:numPr>
          <w:ilvl w:val="0"/>
          <w:numId w:val="1"/>
        </w:numPr>
        <w:spacing w:line="360" w:lineRule="auto"/>
        <w:jc w:val="both"/>
        <w:rPr>
          <w:rFonts w:ascii="Arial" w:hAnsi="Arial" w:cs="Arial"/>
          <w:sz w:val="20"/>
          <w:szCs w:val="20"/>
        </w:rPr>
      </w:pPr>
      <w:r w:rsidRPr="00B36AD8">
        <w:rPr>
          <w:rFonts w:ascii="Arial" w:hAnsi="Arial" w:cs="Arial"/>
          <w:sz w:val="20"/>
          <w:szCs w:val="20"/>
        </w:rPr>
        <w:t xml:space="preserve">Stubbings, W.J., Bostock, J.M., Ingham, E. and Chopra, I. (2004). Assessment of a microplate method for determining the post-antibiotic effect in </w:t>
      </w:r>
      <w:r w:rsidRPr="00B36AD8">
        <w:rPr>
          <w:rFonts w:ascii="Arial" w:hAnsi="Arial" w:cs="Arial"/>
          <w:i/>
          <w:iCs/>
          <w:sz w:val="20"/>
          <w:szCs w:val="20"/>
        </w:rPr>
        <w:t>Staphylococcus aureus</w:t>
      </w:r>
      <w:r w:rsidRPr="00B36AD8">
        <w:rPr>
          <w:rFonts w:ascii="Arial" w:hAnsi="Arial" w:cs="Arial"/>
          <w:sz w:val="20"/>
          <w:szCs w:val="20"/>
        </w:rPr>
        <w:t xml:space="preserve"> and </w:t>
      </w:r>
      <w:r w:rsidRPr="00B36AD8">
        <w:rPr>
          <w:rFonts w:ascii="Arial" w:hAnsi="Arial" w:cs="Arial"/>
          <w:i/>
          <w:iCs/>
          <w:sz w:val="20"/>
          <w:szCs w:val="20"/>
        </w:rPr>
        <w:t>Escherichia coli</w:t>
      </w:r>
      <w:r w:rsidRPr="00B36AD8">
        <w:rPr>
          <w:rFonts w:ascii="Arial" w:hAnsi="Arial" w:cs="Arial"/>
          <w:sz w:val="20"/>
          <w:szCs w:val="20"/>
        </w:rPr>
        <w:t xml:space="preserve">. </w:t>
      </w:r>
      <w:r w:rsidRPr="00B36AD8">
        <w:rPr>
          <w:rFonts w:ascii="Arial" w:hAnsi="Arial" w:cs="Arial"/>
          <w:i/>
          <w:iCs/>
          <w:sz w:val="20"/>
          <w:szCs w:val="20"/>
        </w:rPr>
        <w:t>Journal of Antimicrobial Chemotherapy</w:t>
      </w:r>
      <w:r w:rsidRPr="00B36AD8">
        <w:rPr>
          <w:rFonts w:ascii="Arial" w:hAnsi="Arial" w:cs="Arial"/>
          <w:sz w:val="20"/>
          <w:szCs w:val="20"/>
        </w:rPr>
        <w:t>, 54(1), pp.139-143.</w:t>
      </w:r>
    </w:p>
    <w:p w14:paraId="0996F694" w14:textId="77777777" w:rsidR="00B14A87" w:rsidRPr="00B36AD8" w:rsidRDefault="00B14A87" w:rsidP="00B14A87">
      <w:pPr>
        <w:pStyle w:val="ListParagraph"/>
        <w:numPr>
          <w:ilvl w:val="0"/>
          <w:numId w:val="1"/>
        </w:numPr>
        <w:spacing w:line="360" w:lineRule="auto"/>
        <w:jc w:val="both"/>
        <w:rPr>
          <w:rFonts w:ascii="Arial" w:hAnsi="Arial" w:cs="Arial"/>
          <w:sz w:val="20"/>
          <w:szCs w:val="20"/>
          <w:lang w:val="en-US"/>
        </w:rPr>
      </w:pPr>
      <w:r w:rsidRPr="00B36AD8">
        <w:rPr>
          <w:rFonts w:ascii="Arial" w:hAnsi="Arial" w:cs="Arial"/>
          <w:sz w:val="20"/>
          <w:szCs w:val="20"/>
          <w:lang w:val="en-US"/>
        </w:rPr>
        <w:t xml:space="preserve">Yuan, C. and Hao, X. (2023). Antibacterial mechanism of action and in silico molecular docking studies of </w:t>
      </w:r>
      <w:r w:rsidRPr="00B36AD8">
        <w:rPr>
          <w:rFonts w:ascii="Arial" w:hAnsi="Arial" w:cs="Arial"/>
          <w:i/>
          <w:iCs/>
          <w:sz w:val="20"/>
          <w:szCs w:val="20"/>
          <w:lang w:val="en-US"/>
        </w:rPr>
        <w:t xml:space="preserve">Cupressus </w:t>
      </w:r>
      <w:proofErr w:type="spellStart"/>
      <w:r w:rsidRPr="00B36AD8">
        <w:rPr>
          <w:rFonts w:ascii="Arial" w:hAnsi="Arial" w:cs="Arial"/>
          <w:i/>
          <w:iCs/>
          <w:sz w:val="20"/>
          <w:szCs w:val="20"/>
          <w:lang w:val="en-US"/>
        </w:rPr>
        <w:t>funebris</w:t>
      </w:r>
      <w:proofErr w:type="spellEnd"/>
      <w:r w:rsidRPr="00B36AD8">
        <w:rPr>
          <w:rFonts w:ascii="Arial" w:hAnsi="Arial" w:cs="Arial"/>
          <w:sz w:val="20"/>
          <w:szCs w:val="20"/>
          <w:lang w:val="en-US"/>
        </w:rPr>
        <w:t xml:space="preserve"> essential oil against drug resistant bacterial strains. </w:t>
      </w:r>
      <w:proofErr w:type="spellStart"/>
      <w:r w:rsidRPr="00B36AD8">
        <w:rPr>
          <w:rFonts w:ascii="Arial" w:hAnsi="Arial" w:cs="Arial"/>
          <w:i/>
          <w:iCs/>
          <w:sz w:val="20"/>
          <w:szCs w:val="20"/>
          <w:lang w:val="en-US"/>
        </w:rPr>
        <w:t>Heliyon</w:t>
      </w:r>
      <w:proofErr w:type="spellEnd"/>
      <w:r w:rsidRPr="00B36AD8">
        <w:rPr>
          <w:rFonts w:ascii="Arial" w:hAnsi="Arial" w:cs="Arial"/>
          <w:sz w:val="20"/>
          <w:szCs w:val="20"/>
          <w:lang w:val="en-US"/>
        </w:rPr>
        <w:t>, 9(8).</w:t>
      </w:r>
    </w:p>
    <w:p w14:paraId="65E43CBF" w14:textId="6EFC57C3" w:rsidR="00F30E30" w:rsidRDefault="00F30E30" w:rsidP="00F30E30">
      <w:pPr>
        <w:pStyle w:val="ListParagraph"/>
        <w:numPr>
          <w:ilvl w:val="0"/>
          <w:numId w:val="1"/>
        </w:numPr>
        <w:spacing w:line="360" w:lineRule="auto"/>
        <w:jc w:val="both"/>
        <w:rPr>
          <w:rFonts w:ascii="Arial" w:hAnsi="Arial" w:cs="Arial"/>
          <w:sz w:val="20"/>
          <w:szCs w:val="20"/>
        </w:rPr>
      </w:pPr>
      <w:r w:rsidRPr="00B36AD8">
        <w:rPr>
          <w:rFonts w:ascii="Arial" w:hAnsi="Arial" w:cs="Arial"/>
          <w:sz w:val="20"/>
          <w:szCs w:val="20"/>
        </w:rPr>
        <w:t xml:space="preserve">Yan, J. and Bassler, B.L. (2019). Surviving as a community: antibiotic tolerance and persistence in bacterial biofilms. </w:t>
      </w:r>
      <w:r w:rsidRPr="00B36AD8">
        <w:rPr>
          <w:rFonts w:ascii="Arial" w:hAnsi="Arial" w:cs="Arial"/>
          <w:i/>
          <w:iCs/>
          <w:sz w:val="20"/>
          <w:szCs w:val="20"/>
        </w:rPr>
        <w:t>Cell host &amp; microbe</w:t>
      </w:r>
      <w:r w:rsidRPr="00B36AD8">
        <w:rPr>
          <w:rFonts w:ascii="Arial" w:hAnsi="Arial" w:cs="Arial"/>
          <w:sz w:val="20"/>
          <w:szCs w:val="20"/>
        </w:rPr>
        <w:t>, 26(1), pp.15-21.</w:t>
      </w:r>
    </w:p>
    <w:p w14:paraId="61BFC6B4" w14:textId="3151B2BB" w:rsidR="00910FD0" w:rsidRPr="00B36AD8" w:rsidRDefault="00910FD0" w:rsidP="00F30E30">
      <w:pPr>
        <w:pStyle w:val="ListParagraph"/>
        <w:numPr>
          <w:ilvl w:val="0"/>
          <w:numId w:val="1"/>
        </w:numPr>
        <w:spacing w:line="360" w:lineRule="auto"/>
        <w:jc w:val="both"/>
        <w:rPr>
          <w:rFonts w:ascii="Arial" w:hAnsi="Arial" w:cs="Arial"/>
          <w:sz w:val="20"/>
          <w:szCs w:val="20"/>
        </w:rPr>
      </w:pPr>
      <w:proofErr w:type="spellStart"/>
      <w:r w:rsidRPr="00910FD0">
        <w:rPr>
          <w:rFonts w:ascii="Arial" w:hAnsi="Arial" w:cs="Arial"/>
          <w:sz w:val="20"/>
          <w:szCs w:val="20"/>
        </w:rPr>
        <w:t>Visan</w:t>
      </w:r>
      <w:proofErr w:type="spellEnd"/>
      <w:r w:rsidRPr="00910FD0">
        <w:rPr>
          <w:rFonts w:ascii="Arial" w:hAnsi="Arial" w:cs="Arial"/>
          <w:sz w:val="20"/>
          <w:szCs w:val="20"/>
        </w:rPr>
        <w:t xml:space="preserve">, A. I., &amp; </w:t>
      </w:r>
      <w:proofErr w:type="spellStart"/>
      <w:r w:rsidRPr="00910FD0">
        <w:rPr>
          <w:rFonts w:ascii="Arial" w:hAnsi="Arial" w:cs="Arial"/>
          <w:sz w:val="20"/>
          <w:szCs w:val="20"/>
        </w:rPr>
        <w:t>Negut</w:t>
      </w:r>
      <w:proofErr w:type="spellEnd"/>
      <w:r w:rsidRPr="00910FD0">
        <w:rPr>
          <w:rFonts w:ascii="Arial" w:hAnsi="Arial" w:cs="Arial"/>
          <w:sz w:val="20"/>
          <w:szCs w:val="20"/>
        </w:rPr>
        <w:t>, I. (2024). Coatings based on essential oils for combating antibiotic resistance. Antibiotics, 13(7), 625.</w:t>
      </w:r>
    </w:p>
    <w:p w14:paraId="0DE65692" w14:textId="77777777" w:rsidR="000C6618" w:rsidRPr="00B36AD8" w:rsidRDefault="000C6618" w:rsidP="00B36AD8">
      <w:pPr>
        <w:pStyle w:val="ListParagraph"/>
        <w:spacing w:line="360" w:lineRule="auto"/>
        <w:ind w:left="502"/>
        <w:jc w:val="both"/>
        <w:rPr>
          <w:rFonts w:ascii="Arial" w:hAnsi="Arial" w:cs="Arial"/>
          <w:sz w:val="20"/>
          <w:szCs w:val="20"/>
        </w:rPr>
      </w:pPr>
    </w:p>
    <w:p w14:paraId="3FDBF547" w14:textId="77777777" w:rsidR="004B49A7" w:rsidRPr="00B36AD8" w:rsidRDefault="004B49A7" w:rsidP="009E566B">
      <w:pPr>
        <w:spacing w:after="0" w:line="360" w:lineRule="auto"/>
        <w:jc w:val="both"/>
        <w:rPr>
          <w:rFonts w:ascii="Arial" w:hAnsi="Arial" w:cs="Arial"/>
          <w:b/>
          <w:bCs/>
          <w:sz w:val="20"/>
          <w:lang w:val="en-US"/>
        </w:rPr>
      </w:pPr>
    </w:p>
    <w:p w14:paraId="3EFFAF99" w14:textId="77777777" w:rsidR="004B49A7" w:rsidRPr="00AD5FD1" w:rsidRDefault="004B49A7" w:rsidP="009E566B">
      <w:pPr>
        <w:spacing w:after="0" w:line="360" w:lineRule="auto"/>
        <w:jc w:val="both"/>
        <w:rPr>
          <w:rFonts w:ascii="Arial" w:hAnsi="Arial" w:cs="Arial"/>
          <w:sz w:val="24"/>
          <w:szCs w:val="24"/>
          <w:lang w:val="en-US"/>
        </w:rPr>
      </w:pPr>
    </w:p>
    <w:sectPr w:rsidR="004B49A7" w:rsidRPr="00AD5FD1">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0CFD0" w14:textId="77777777" w:rsidR="00792A67" w:rsidRDefault="00792A67" w:rsidP="00E4304A">
      <w:pPr>
        <w:spacing w:after="0" w:line="240" w:lineRule="auto"/>
      </w:pPr>
      <w:r>
        <w:separator/>
      </w:r>
    </w:p>
  </w:endnote>
  <w:endnote w:type="continuationSeparator" w:id="0">
    <w:p w14:paraId="291AC586" w14:textId="77777777" w:rsidR="00792A67" w:rsidRDefault="00792A67" w:rsidP="00E43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60250" w14:textId="77777777" w:rsidR="00E4304A" w:rsidRDefault="00E430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F90F9" w14:textId="77777777" w:rsidR="00E4304A" w:rsidRDefault="00E430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84749" w14:textId="77777777" w:rsidR="00E4304A" w:rsidRDefault="00E430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04604C" w14:textId="77777777" w:rsidR="00792A67" w:rsidRDefault="00792A67" w:rsidP="00E4304A">
      <w:pPr>
        <w:spacing w:after="0" w:line="240" w:lineRule="auto"/>
      </w:pPr>
      <w:r>
        <w:separator/>
      </w:r>
    </w:p>
  </w:footnote>
  <w:footnote w:type="continuationSeparator" w:id="0">
    <w:p w14:paraId="16E3F611" w14:textId="77777777" w:rsidR="00792A67" w:rsidRDefault="00792A67" w:rsidP="00E430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48CCE" w14:textId="419D3BE2" w:rsidR="00E4304A" w:rsidRDefault="00E4304A">
    <w:pPr>
      <w:pStyle w:val="Header"/>
    </w:pPr>
    <w:r>
      <w:rPr>
        <w:noProof/>
      </w:rPr>
      <w:pict w14:anchorId="3CEBE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48586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FEB21" w14:textId="3134F1DD" w:rsidR="00E4304A" w:rsidRDefault="00E4304A">
    <w:pPr>
      <w:pStyle w:val="Header"/>
    </w:pPr>
    <w:r>
      <w:rPr>
        <w:noProof/>
      </w:rPr>
      <w:pict w14:anchorId="379D8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48586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7EF06" w14:textId="1BE421DC" w:rsidR="00E4304A" w:rsidRDefault="00E4304A">
    <w:pPr>
      <w:pStyle w:val="Header"/>
    </w:pPr>
    <w:r>
      <w:rPr>
        <w:noProof/>
      </w:rPr>
      <w:pict w14:anchorId="561FC5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48586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7D6269"/>
    <w:multiLevelType w:val="hybridMultilevel"/>
    <w:tmpl w:val="C4B85480"/>
    <w:lvl w:ilvl="0" w:tplc="32B23A26">
      <w:start w:val="1"/>
      <w:numFmt w:val="decimal"/>
      <w:lvlText w:val="%1."/>
      <w:lvlJc w:val="left"/>
      <w:pPr>
        <w:ind w:left="720" w:hanging="360"/>
      </w:pPr>
      <w:rPr>
        <w:b w:val="0"/>
        <w:b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4C291379"/>
    <w:multiLevelType w:val="hybridMultilevel"/>
    <w:tmpl w:val="860266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30063BD"/>
    <w:multiLevelType w:val="hybridMultilevel"/>
    <w:tmpl w:val="819E1CF8"/>
    <w:lvl w:ilvl="0" w:tplc="A710C3CA">
      <w:start w:val="1"/>
      <w:numFmt w:val="decimal"/>
      <w:lvlText w:val="%1."/>
      <w:lvlJc w:val="left"/>
      <w:pPr>
        <w:ind w:left="502"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A6662C3"/>
    <w:multiLevelType w:val="hybridMultilevel"/>
    <w:tmpl w:val="28C677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W0NDI3NDQzMTK0NDVT0lEKTi0uzszPAykwrAUAKNxTwywAAAA="/>
  </w:docVars>
  <w:rsids>
    <w:rsidRoot w:val="006560BB"/>
    <w:rsid w:val="00015ADC"/>
    <w:rsid w:val="0003385C"/>
    <w:rsid w:val="000A4649"/>
    <w:rsid w:val="000C6618"/>
    <w:rsid w:val="001256D4"/>
    <w:rsid w:val="0024697A"/>
    <w:rsid w:val="00275956"/>
    <w:rsid w:val="002D67FD"/>
    <w:rsid w:val="00365A89"/>
    <w:rsid w:val="00370A58"/>
    <w:rsid w:val="00384352"/>
    <w:rsid w:val="00440830"/>
    <w:rsid w:val="004B155E"/>
    <w:rsid w:val="004B49A7"/>
    <w:rsid w:val="00502AC7"/>
    <w:rsid w:val="00580F85"/>
    <w:rsid w:val="0059043F"/>
    <w:rsid w:val="00611C38"/>
    <w:rsid w:val="006560BB"/>
    <w:rsid w:val="006A2EF9"/>
    <w:rsid w:val="006C4836"/>
    <w:rsid w:val="00765D3B"/>
    <w:rsid w:val="00792A67"/>
    <w:rsid w:val="007D1A68"/>
    <w:rsid w:val="00834E9B"/>
    <w:rsid w:val="008B02B8"/>
    <w:rsid w:val="00910FD0"/>
    <w:rsid w:val="009243CC"/>
    <w:rsid w:val="00925720"/>
    <w:rsid w:val="009D7AC4"/>
    <w:rsid w:val="009E21A5"/>
    <w:rsid w:val="009E566B"/>
    <w:rsid w:val="00A20F9C"/>
    <w:rsid w:val="00AC7052"/>
    <w:rsid w:val="00AD5FD1"/>
    <w:rsid w:val="00B14A87"/>
    <w:rsid w:val="00B16B0D"/>
    <w:rsid w:val="00B36AD8"/>
    <w:rsid w:val="00B85555"/>
    <w:rsid w:val="00CB498D"/>
    <w:rsid w:val="00D904BE"/>
    <w:rsid w:val="00DF0DBE"/>
    <w:rsid w:val="00E355F8"/>
    <w:rsid w:val="00E4304A"/>
    <w:rsid w:val="00EC1F31"/>
    <w:rsid w:val="00F30E30"/>
    <w:rsid w:val="00F5262F"/>
    <w:rsid w:val="00FD51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BFB2A1"/>
  <w15:chartTrackingRefBased/>
  <w15:docId w15:val="{FAA7CB20-91DA-455F-BE62-417DF384B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385C"/>
    <w:pPr>
      <w:spacing w:line="259" w:lineRule="auto"/>
    </w:pPr>
    <w:rPr>
      <w:sz w:val="22"/>
      <w:szCs w:val="20"/>
      <w:lang w:bidi="hi-IN"/>
    </w:rPr>
  </w:style>
  <w:style w:type="paragraph" w:styleId="Heading1">
    <w:name w:val="heading 1"/>
    <w:basedOn w:val="Normal"/>
    <w:next w:val="Normal"/>
    <w:link w:val="Heading1Char"/>
    <w:uiPriority w:val="9"/>
    <w:qFormat/>
    <w:rsid w:val="006560BB"/>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lang w:bidi="ar-SA"/>
    </w:rPr>
  </w:style>
  <w:style w:type="paragraph" w:styleId="Heading2">
    <w:name w:val="heading 2"/>
    <w:basedOn w:val="Normal"/>
    <w:next w:val="Normal"/>
    <w:link w:val="Heading2Char"/>
    <w:uiPriority w:val="9"/>
    <w:semiHidden/>
    <w:unhideWhenUsed/>
    <w:qFormat/>
    <w:rsid w:val="006560BB"/>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lang w:bidi="ar-SA"/>
    </w:rPr>
  </w:style>
  <w:style w:type="paragraph" w:styleId="Heading3">
    <w:name w:val="heading 3"/>
    <w:basedOn w:val="Normal"/>
    <w:next w:val="Normal"/>
    <w:link w:val="Heading3Char"/>
    <w:uiPriority w:val="9"/>
    <w:semiHidden/>
    <w:unhideWhenUsed/>
    <w:qFormat/>
    <w:rsid w:val="006560BB"/>
    <w:pPr>
      <w:keepNext/>
      <w:keepLines/>
      <w:spacing w:before="160" w:after="80" w:line="278" w:lineRule="auto"/>
      <w:outlineLvl w:val="2"/>
    </w:pPr>
    <w:rPr>
      <w:rFonts w:eastAsiaTheme="majorEastAsia" w:cstheme="majorBidi"/>
      <w:color w:val="2F5496" w:themeColor="accent1" w:themeShade="BF"/>
      <w:sz w:val="28"/>
      <w:szCs w:val="28"/>
      <w:lang w:bidi="ar-SA"/>
    </w:rPr>
  </w:style>
  <w:style w:type="paragraph" w:styleId="Heading4">
    <w:name w:val="heading 4"/>
    <w:basedOn w:val="Normal"/>
    <w:next w:val="Normal"/>
    <w:link w:val="Heading4Char"/>
    <w:uiPriority w:val="9"/>
    <w:semiHidden/>
    <w:unhideWhenUsed/>
    <w:qFormat/>
    <w:rsid w:val="006560BB"/>
    <w:pPr>
      <w:keepNext/>
      <w:keepLines/>
      <w:spacing w:before="80" w:after="40" w:line="278" w:lineRule="auto"/>
      <w:outlineLvl w:val="3"/>
    </w:pPr>
    <w:rPr>
      <w:rFonts w:eastAsiaTheme="majorEastAsia" w:cstheme="majorBidi"/>
      <w:i/>
      <w:iCs/>
      <w:color w:val="2F5496" w:themeColor="accent1" w:themeShade="BF"/>
      <w:sz w:val="24"/>
      <w:szCs w:val="24"/>
      <w:lang w:bidi="ar-SA"/>
    </w:rPr>
  </w:style>
  <w:style w:type="paragraph" w:styleId="Heading5">
    <w:name w:val="heading 5"/>
    <w:basedOn w:val="Normal"/>
    <w:next w:val="Normal"/>
    <w:link w:val="Heading5Char"/>
    <w:uiPriority w:val="9"/>
    <w:semiHidden/>
    <w:unhideWhenUsed/>
    <w:qFormat/>
    <w:rsid w:val="006560BB"/>
    <w:pPr>
      <w:keepNext/>
      <w:keepLines/>
      <w:spacing w:before="80" w:after="40" w:line="278" w:lineRule="auto"/>
      <w:outlineLvl w:val="4"/>
    </w:pPr>
    <w:rPr>
      <w:rFonts w:eastAsiaTheme="majorEastAsia" w:cstheme="majorBidi"/>
      <w:color w:val="2F5496" w:themeColor="accent1" w:themeShade="BF"/>
      <w:sz w:val="24"/>
      <w:szCs w:val="24"/>
      <w:lang w:bidi="ar-SA"/>
    </w:rPr>
  </w:style>
  <w:style w:type="paragraph" w:styleId="Heading6">
    <w:name w:val="heading 6"/>
    <w:basedOn w:val="Normal"/>
    <w:next w:val="Normal"/>
    <w:link w:val="Heading6Char"/>
    <w:uiPriority w:val="9"/>
    <w:semiHidden/>
    <w:unhideWhenUsed/>
    <w:qFormat/>
    <w:rsid w:val="006560BB"/>
    <w:pPr>
      <w:keepNext/>
      <w:keepLines/>
      <w:spacing w:before="40" w:after="0" w:line="278" w:lineRule="auto"/>
      <w:outlineLvl w:val="5"/>
    </w:pPr>
    <w:rPr>
      <w:rFonts w:eastAsiaTheme="majorEastAsia" w:cstheme="majorBidi"/>
      <w:i/>
      <w:iCs/>
      <w:color w:val="595959" w:themeColor="text1" w:themeTint="A6"/>
      <w:sz w:val="24"/>
      <w:szCs w:val="24"/>
      <w:lang w:bidi="ar-SA"/>
    </w:rPr>
  </w:style>
  <w:style w:type="paragraph" w:styleId="Heading7">
    <w:name w:val="heading 7"/>
    <w:basedOn w:val="Normal"/>
    <w:next w:val="Normal"/>
    <w:link w:val="Heading7Char"/>
    <w:uiPriority w:val="9"/>
    <w:semiHidden/>
    <w:unhideWhenUsed/>
    <w:qFormat/>
    <w:rsid w:val="006560BB"/>
    <w:pPr>
      <w:keepNext/>
      <w:keepLines/>
      <w:spacing w:before="40" w:after="0" w:line="278" w:lineRule="auto"/>
      <w:outlineLvl w:val="6"/>
    </w:pPr>
    <w:rPr>
      <w:rFonts w:eastAsiaTheme="majorEastAsia" w:cstheme="majorBidi"/>
      <w:color w:val="595959" w:themeColor="text1" w:themeTint="A6"/>
      <w:sz w:val="24"/>
      <w:szCs w:val="24"/>
      <w:lang w:bidi="ar-SA"/>
    </w:rPr>
  </w:style>
  <w:style w:type="paragraph" w:styleId="Heading8">
    <w:name w:val="heading 8"/>
    <w:basedOn w:val="Normal"/>
    <w:next w:val="Normal"/>
    <w:link w:val="Heading8Char"/>
    <w:uiPriority w:val="9"/>
    <w:semiHidden/>
    <w:unhideWhenUsed/>
    <w:qFormat/>
    <w:rsid w:val="006560BB"/>
    <w:pPr>
      <w:keepNext/>
      <w:keepLines/>
      <w:spacing w:after="0" w:line="278" w:lineRule="auto"/>
      <w:outlineLvl w:val="7"/>
    </w:pPr>
    <w:rPr>
      <w:rFonts w:eastAsiaTheme="majorEastAsia" w:cstheme="majorBidi"/>
      <w:i/>
      <w:iCs/>
      <w:color w:val="272727" w:themeColor="text1" w:themeTint="D8"/>
      <w:sz w:val="24"/>
      <w:szCs w:val="24"/>
      <w:lang w:bidi="ar-SA"/>
    </w:rPr>
  </w:style>
  <w:style w:type="paragraph" w:styleId="Heading9">
    <w:name w:val="heading 9"/>
    <w:basedOn w:val="Normal"/>
    <w:next w:val="Normal"/>
    <w:link w:val="Heading9Char"/>
    <w:uiPriority w:val="9"/>
    <w:semiHidden/>
    <w:unhideWhenUsed/>
    <w:qFormat/>
    <w:rsid w:val="006560BB"/>
    <w:pPr>
      <w:keepNext/>
      <w:keepLines/>
      <w:spacing w:after="0" w:line="278" w:lineRule="auto"/>
      <w:outlineLvl w:val="8"/>
    </w:pPr>
    <w:rPr>
      <w:rFonts w:eastAsiaTheme="majorEastAsia" w:cstheme="majorBidi"/>
      <w:color w:val="272727" w:themeColor="text1" w:themeTint="D8"/>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0B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560B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560B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560B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560B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560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60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60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60BB"/>
    <w:rPr>
      <w:rFonts w:eastAsiaTheme="majorEastAsia" w:cstheme="majorBidi"/>
      <w:color w:val="272727" w:themeColor="text1" w:themeTint="D8"/>
    </w:rPr>
  </w:style>
  <w:style w:type="paragraph" w:styleId="Title">
    <w:name w:val="Title"/>
    <w:basedOn w:val="Normal"/>
    <w:next w:val="Normal"/>
    <w:link w:val="TitleChar"/>
    <w:uiPriority w:val="10"/>
    <w:qFormat/>
    <w:rsid w:val="006560BB"/>
    <w:pPr>
      <w:spacing w:after="80" w:line="240" w:lineRule="auto"/>
      <w:contextualSpacing/>
    </w:pPr>
    <w:rPr>
      <w:rFonts w:asciiTheme="majorHAnsi" w:eastAsiaTheme="majorEastAsia" w:hAnsiTheme="majorHAnsi" w:cstheme="majorBidi"/>
      <w:spacing w:val="-10"/>
      <w:kern w:val="28"/>
      <w:sz w:val="56"/>
      <w:szCs w:val="56"/>
      <w:lang w:bidi="ar-SA"/>
    </w:rPr>
  </w:style>
  <w:style w:type="character" w:customStyle="1" w:styleId="TitleChar">
    <w:name w:val="Title Char"/>
    <w:basedOn w:val="DefaultParagraphFont"/>
    <w:link w:val="Title"/>
    <w:uiPriority w:val="10"/>
    <w:rsid w:val="006560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60BB"/>
    <w:pPr>
      <w:numPr>
        <w:ilvl w:val="1"/>
      </w:numPr>
      <w:spacing w:line="278" w:lineRule="auto"/>
    </w:pPr>
    <w:rPr>
      <w:rFonts w:eastAsiaTheme="majorEastAsia" w:cstheme="majorBidi"/>
      <w:color w:val="595959" w:themeColor="text1" w:themeTint="A6"/>
      <w:spacing w:val="15"/>
      <w:sz w:val="28"/>
      <w:szCs w:val="28"/>
      <w:lang w:bidi="ar-SA"/>
    </w:rPr>
  </w:style>
  <w:style w:type="character" w:customStyle="1" w:styleId="SubtitleChar">
    <w:name w:val="Subtitle Char"/>
    <w:basedOn w:val="DefaultParagraphFont"/>
    <w:link w:val="Subtitle"/>
    <w:uiPriority w:val="11"/>
    <w:rsid w:val="006560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60BB"/>
    <w:pPr>
      <w:spacing w:before="160" w:line="278" w:lineRule="auto"/>
      <w:jc w:val="center"/>
    </w:pPr>
    <w:rPr>
      <w:i/>
      <w:iCs/>
      <w:color w:val="404040" w:themeColor="text1" w:themeTint="BF"/>
      <w:sz w:val="24"/>
      <w:szCs w:val="24"/>
      <w:lang w:bidi="ar-SA"/>
    </w:rPr>
  </w:style>
  <w:style w:type="character" w:customStyle="1" w:styleId="QuoteChar">
    <w:name w:val="Quote Char"/>
    <w:basedOn w:val="DefaultParagraphFont"/>
    <w:link w:val="Quote"/>
    <w:uiPriority w:val="29"/>
    <w:rsid w:val="006560BB"/>
    <w:rPr>
      <w:i/>
      <w:iCs/>
      <w:color w:val="404040" w:themeColor="text1" w:themeTint="BF"/>
    </w:rPr>
  </w:style>
  <w:style w:type="paragraph" w:styleId="ListParagraph">
    <w:name w:val="List Paragraph"/>
    <w:basedOn w:val="Normal"/>
    <w:uiPriority w:val="34"/>
    <w:qFormat/>
    <w:rsid w:val="006560BB"/>
    <w:pPr>
      <w:spacing w:line="278" w:lineRule="auto"/>
      <w:ind w:left="720"/>
      <w:contextualSpacing/>
    </w:pPr>
    <w:rPr>
      <w:sz w:val="24"/>
      <w:szCs w:val="24"/>
      <w:lang w:bidi="ar-SA"/>
    </w:rPr>
  </w:style>
  <w:style w:type="character" w:styleId="IntenseEmphasis">
    <w:name w:val="Intense Emphasis"/>
    <w:basedOn w:val="DefaultParagraphFont"/>
    <w:uiPriority w:val="21"/>
    <w:qFormat/>
    <w:rsid w:val="006560BB"/>
    <w:rPr>
      <w:i/>
      <w:iCs/>
      <w:color w:val="2F5496" w:themeColor="accent1" w:themeShade="BF"/>
    </w:rPr>
  </w:style>
  <w:style w:type="paragraph" w:styleId="IntenseQuote">
    <w:name w:val="Intense Quote"/>
    <w:basedOn w:val="Normal"/>
    <w:next w:val="Normal"/>
    <w:link w:val="IntenseQuoteChar"/>
    <w:uiPriority w:val="30"/>
    <w:qFormat/>
    <w:rsid w:val="006560BB"/>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lang w:bidi="ar-SA"/>
    </w:rPr>
  </w:style>
  <w:style w:type="character" w:customStyle="1" w:styleId="IntenseQuoteChar">
    <w:name w:val="Intense Quote Char"/>
    <w:basedOn w:val="DefaultParagraphFont"/>
    <w:link w:val="IntenseQuote"/>
    <w:uiPriority w:val="30"/>
    <w:rsid w:val="006560BB"/>
    <w:rPr>
      <w:i/>
      <w:iCs/>
      <w:color w:val="2F5496" w:themeColor="accent1" w:themeShade="BF"/>
    </w:rPr>
  </w:style>
  <w:style w:type="character" w:styleId="IntenseReference">
    <w:name w:val="Intense Reference"/>
    <w:basedOn w:val="DefaultParagraphFont"/>
    <w:uiPriority w:val="32"/>
    <w:qFormat/>
    <w:rsid w:val="006560BB"/>
    <w:rPr>
      <w:b/>
      <w:bCs/>
      <w:smallCaps/>
      <w:color w:val="2F5496" w:themeColor="accent1" w:themeShade="BF"/>
      <w:spacing w:val="5"/>
    </w:rPr>
  </w:style>
  <w:style w:type="paragraph" w:customStyle="1" w:styleId="AcknHead">
    <w:name w:val="Ackn Head"/>
    <w:basedOn w:val="Normal"/>
    <w:rsid w:val="00B36AD8"/>
    <w:pPr>
      <w:keepNext/>
      <w:spacing w:after="240" w:line="240" w:lineRule="auto"/>
    </w:pPr>
    <w:rPr>
      <w:rFonts w:ascii="Helvetica" w:eastAsia="Times New Roman" w:hAnsi="Helvetica" w:cs="Times New Roman"/>
      <w:b/>
      <w:caps/>
      <w:kern w:val="0"/>
      <w:lang w:val="en-US" w:bidi="ar-SA"/>
      <w14:ligatures w14:val="none"/>
    </w:rPr>
  </w:style>
  <w:style w:type="paragraph" w:customStyle="1" w:styleId="ReferHead">
    <w:name w:val="Refer Head"/>
    <w:basedOn w:val="Normal"/>
    <w:rsid w:val="00B36AD8"/>
    <w:pPr>
      <w:keepNext/>
      <w:spacing w:after="240" w:line="240" w:lineRule="auto"/>
    </w:pPr>
    <w:rPr>
      <w:rFonts w:ascii="Helvetica" w:eastAsia="Times New Roman" w:hAnsi="Helvetica" w:cs="Times New Roman"/>
      <w:b/>
      <w:caps/>
      <w:kern w:val="0"/>
      <w:lang w:val="en-US" w:bidi="ar-SA"/>
      <w14:ligatures w14:val="none"/>
    </w:rPr>
  </w:style>
  <w:style w:type="character" w:styleId="Hyperlink">
    <w:name w:val="Hyperlink"/>
    <w:basedOn w:val="DefaultParagraphFont"/>
    <w:uiPriority w:val="99"/>
    <w:unhideWhenUsed/>
    <w:rsid w:val="009E21A5"/>
    <w:rPr>
      <w:color w:val="0563C1" w:themeColor="hyperlink"/>
      <w:u w:val="single"/>
    </w:rPr>
  </w:style>
  <w:style w:type="character" w:styleId="UnresolvedMention">
    <w:name w:val="Unresolved Mention"/>
    <w:basedOn w:val="DefaultParagraphFont"/>
    <w:uiPriority w:val="99"/>
    <w:semiHidden/>
    <w:unhideWhenUsed/>
    <w:rsid w:val="009E21A5"/>
    <w:rPr>
      <w:color w:val="605E5C"/>
      <w:shd w:val="clear" w:color="auto" w:fill="E1DFDD"/>
    </w:rPr>
  </w:style>
  <w:style w:type="paragraph" w:styleId="Header">
    <w:name w:val="header"/>
    <w:basedOn w:val="Normal"/>
    <w:link w:val="HeaderChar"/>
    <w:uiPriority w:val="99"/>
    <w:unhideWhenUsed/>
    <w:rsid w:val="00E4304A"/>
    <w:pPr>
      <w:tabs>
        <w:tab w:val="center" w:pos="4680"/>
        <w:tab w:val="right" w:pos="9360"/>
      </w:tabs>
      <w:spacing w:after="0" w:line="240" w:lineRule="auto"/>
    </w:pPr>
    <w:rPr>
      <w:rFonts w:cs="Mangal"/>
    </w:rPr>
  </w:style>
  <w:style w:type="character" w:customStyle="1" w:styleId="HeaderChar">
    <w:name w:val="Header Char"/>
    <w:basedOn w:val="DefaultParagraphFont"/>
    <w:link w:val="Header"/>
    <w:uiPriority w:val="99"/>
    <w:rsid w:val="00E4304A"/>
    <w:rPr>
      <w:rFonts w:cs="Mangal"/>
      <w:sz w:val="22"/>
      <w:szCs w:val="20"/>
      <w:lang w:bidi="hi-IN"/>
    </w:rPr>
  </w:style>
  <w:style w:type="paragraph" w:styleId="Footer">
    <w:name w:val="footer"/>
    <w:basedOn w:val="Normal"/>
    <w:link w:val="FooterChar"/>
    <w:uiPriority w:val="99"/>
    <w:unhideWhenUsed/>
    <w:rsid w:val="00E4304A"/>
    <w:pPr>
      <w:tabs>
        <w:tab w:val="center" w:pos="4680"/>
        <w:tab w:val="right" w:pos="9360"/>
      </w:tabs>
      <w:spacing w:after="0" w:line="240" w:lineRule="auto"/>
    </w:pPr>
    <w:rPr>
      <w:rFonts w:cs="Mangal"/>
    </w:rPr>
  </w:style>
  <w:style w:type="character" w:customStyle="1" w:styleId="FooterChar">
    <w:name w:val="Footer Char"/>
    <w:basedOn w:val="DefaultParagraphFont"/>
    <w:link w:val="Footer"/>
    <w:uiPriority w:val="99"/>
    <w:rsid w:val="00E4304A"/>
    <w:rPr>
      <w:rFonts w:cs="Mangal"/>
      <w:sz w:val="22"/>
      <w:szCs w:val="20"/>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diagramData" Target="diagrams/data1.xml"/><Relationship Id="rId26" Type="http://schemas.openxmlformats.org/officeDocument/2006/relationships/image" Target="media/image9.emf"/><Relationship Id="rId21" Type="http://schemas.openxmlformats.org/officeDocument/2006/relationships/diagramColors" Target="diagrams/colors1.xml"/><Relationship Id="rId34" Type="http://schemas.openxmlformats.org/officeDocument/2006/relationships/footer" Target="footer2.xml"/><Relationship Id="rId7" Type="http://schemas.openxmlformats.org/officeDocument/2006/relationships/hyperlink" Target="https://www.frontiersin.org/articles/10.3389/fmicb.2020.01924/full" TargetMode="Externa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diagramQuickStyle" Target="diagrams/quickStyle1.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6.png"/><Relationship Id="rId28" Type="http://schemas.microsoft.com/office/2007/relationships/hdphoto" Target="media/hdphoto6.wdp"/><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diagramLayout" Target="diagrams/layout1.xml"/><Relationship Id="rId31" Type="http://schemas.openxmlformats.org/officeDocument/2006/relationships/header" Target="head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diagramDrawing" Target="diagrams/drawing1.xml"/><Relationship Id="rId27" Type="http://schemas.openxmlformats.org/officeDocument/2006/relationships/image" Target="media/image10.png"/><Relationship Id="rId30" Type="http://schemas.microsoft.com/office/2007/relationships/hdphoto" Target="media/hdphoto7.wdp"/><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6A6839-CC61-4339-A4BC-7E918B7CD2AB}" type="doc">
      <dgm:prSet loTypeId="urn:microsoft.com/office/officeart/2008/layout/RadialCluster" loCatId="relationship" qsTypeId="urn:microsoft.com/office/officeart/2005/8/quickstyle/3d1" qsCatId="3D" csTypeId="urn:microsoft.com/office/officeart/2005/8/colors/accent1_2" csCatId="accent1" phldr="1"/>
      <dgm:spPr/>
      <dgm:t>
        <a:bodyPr/>
        <a:lstStyle/>
        <a:p>
          <a:endParaRPr lang="en-IN"/>
        </a:p>
      </dgm:t>
    </dgm:pt>
    <dgm:pt modelId="{04224F0C-7150-430B-A099-991BCE15991B}">
      <dgm:prSet phldrT="[Text]" custT="1"/>
      <dgm:spPr/>
      <dgm:t>
        <a:bodyPr/>
        <a:lstStyle/>
        <a:p>
          <a:r>
            <a:rPr lang="en-IN" sz="900"/>
            <a:t>E.</a:t>
          </a:r>
          <a:r>
            <a:rPr lang="en-IN" sz="1200"/>
            <a:t>coli Topoisomerases</a:t>
          </a:r>
          <a:endParaRPr lang="en-IN" sz="900"/>
        </a:p>
      </dgm:t>
    </dgm:pt>
    <dgm:pt modelId="{AD92958A-878D-4A23-AFBB-13D1497C4D3B}" type="parTrans" cxnId="{97012982-1EB1-4664-9B75-913125905FAC}">
      <dgm:prSet/>
      <dgm:spPr/>
      <dgm:t>
        <a:bodyPr/>
        <a:lstStyle/>
        <a:p>
          <a:endParaRPr lang="en-IN"/>
        </a:p>
      </dgm:t>
    </dgm:pt>
    <dgm:pt modelId="{3C68E1D7-4DD2-47AB-B1B0-A1AB953BD54C}" type="sibTrans" cxnId="{97012982-1EB1-4664-9B75-913125905FAC}">
      <dgm:prSet/>
      <dgm:spPr/>
      <dgm:t>
        <a:bodyPr/>
        <a:lstStyle/>
        <a:p>
          <a:endParaRPr lang="en-IN"/>
        </a:p>
      </dgm:t>
    </dgm:pt>
    <dgm:pt modelId="{58D08FFF-1787-4492-A030-793A4DE945AD}">
      <dgm:prSet phldrT="[Text]"/>
      <dgm:spPr/>
      <dgm:t>
        <a:bodyPr/>
        <a:lstStyle/>
        <a:p>
          <a:r>
            <a:rPr lang="en-IN"/>
            <a:t>Topoisomerase I relaxes supercoiled DNA</a:t>
          </a:r>
        </a:p>
      </dgm:t>
    </dgm:pt>
    <dgm:pt modelId="{E40950BA-D196-4860-B0BC-95D62719DB7C}" type="parTrans" cxnId="{66D88C4D-A477-4621-8B3C-9C96688B1CFE}">
      <dgm:prSet/>
      <dgm:spPr/>
      <dgm:t>
        <a:bodyPr/>
        <a:lstStyle/>
        <a:p>
          <a:endParaRPr lang="en-IN"/>
        </a:p>
      </dgm:t>
    </dgm:pt>
    <dgm:pt modelId="{F2B7247E-5EB0-4609-987A-B5CBD9EFB5D1}" type="sibTrans" cxnId="{66D88C4D-A477-4621-8B3C-9C96688B1CFE}">
      <dgm:prSet/>
      <dgm:spPr/>
      <dgm:t>
        <a:bodyPr/>
        <a:lstStyle/>
        <a:p>
          <a:endParaRPr lang="en-IN"/>
        </a:p>
      </dgm:t>
    </dgm:pt>
    <dgm:pt modelId="{9D671B18-2F7C-4541-8BC4-456F271AEC2D}">
      <dgm:prSet phldrT="[Text]"/>
      <dgm:spPr/>
      <dgm:t>
        <a:bodyPr/>
        <a:lstStyle/>
        <a:p>
          <a:r>
            <a:rPr lang="en-IN"/>
            <a:t>Topoisomerase III chromosome stability and plasmid segreggation </a:t>
          </a:r>
        </a:p>
      </dgm:t>
    </dgm:pt>
    <dgm:pt modelId="{3B936130-B9BA-400F-8D40-694BBA57B718}" type="parTrans" cxnId="{F6C10E72-0E64-46F0-9BE3-02010A7D0AFC}">
      <dgm:prSet/>
      <dgm:spPr/>
      <dgm:t>
        <a:bodyPr/>
        <a:lstStyle/>
        <a:p>
          <a:endParaRPr lang="en-IN"/>
        </a:p>
      </dgm:t>
    </dgm:pt>
    <dgm:pt modelId="{8DB3FA5A-1571-4FCC-8388-F1FACA2E493C}" type="sibTrans" cxnId="{F6C10E72-0E64-46F0-9BE3-02010A7D0AFC}">
      <dgm:prSet/>
      <dgm:spPr/>
      <dgm:t>
        <a:bodyPr/>
        <a:lstStyle/>
        <a:p>
          <a:endParaRPr lang="en-IN"/>
        </a:p>
      </dgm:t>
    </dgm:pt>
    <dgm:pt modelId="{81B0A823-9C1B-4324-8769-27031E620B98}">
      <dgm:prSet phldrT="[Text]"/>
      <dgm:spPr/>
      <dgm:t>
        <a:bodyPr/>
        <a:lstStyle/>
        <a:p>
          <a:r>
            <a:rPr lang="en-IN"/>
            <a:t>Topoisomerase (Type II) gyrase introduce negative supercoiling  for DNA replication</a:t>
          </a:r>
        </a:p>
      </dgm:t>
    </dgm:pt>
    <dgm:pt modelId="{F1B9793F-E825-415B-B510-DF9536E5FFA4}" type="parTrans" cxnId="{B29E4C71-7C6A-411E-95CF-9EACD5126121}">
      <dgm:prSet/>
      <dgm:spPr/>
      <dgm:t>
        <a:bodyPr/>
        <a:lstStyle/>
        <a:p>
          <a:endParaRPr lang="en-IN"/>
        </a:p>
      </dgm:t>
    </dgm:pt>
    <dgm:pt modelId="{584CA8FC-44D0-4146-9CA7-EF3D94888661}" type="sibTrans" cxnId="{B29E4C71-7C6A-411E-95CF-9EACD5126121}">
      <dgm:prSet/>
      <dgm:spPr/>
      <dgm:t>
        <a:bodyPr/>
        <a:lstStyle/>
        <a:p>
          <a:endParaRPr lang="en-IN"/>
        </a:p>
      </dgm:t>
    </dgm:pt>
    <dgm:pt modelId="{8CBA22AB-1F77-47C0-925D-5EFB9379A407}">
      <dgm:prSet/>
      <dgm:spPr/>
      <dgm:t>
        <a:bodyPr/>
        <a:lstStyle/>
        <a:p>
          <a:r>
            <a:rPr lang="en-IN"/>
            <a:t>Topoisomerase (Type II) IV No supervoiling activity</a:t>
          </a:r>
        </a:p>
      </dgm:t>
    </dgm:pt>
    <dgm:pt modelId="{95463F5B-6926-4488-AFF3-19E357BD0E4B}" type="parTrans" cxnId="{EB845911-6081-4366-BC0B-6042DD2CA1FD}">
      <dgm:prSet/>
      <dgm:spPr/>
      <dgm:t>
        <a:bodyPr/>
        <a:lstStyle/>
        <a:p>
          <a:endParaRPr lang="en-IN"/>
        </a:p>
      </dgm:t>
    </dgm:pt>
    <dgm:pt modelId="{657100B6-9195-486B-9EEF-B1866BE1D979}" type="sibTrans" cxnId="{EB845911-6081-4366-BC0B-6042DD2CA1FD}">
      <dgm:prSet/>
      <dgm:spPr/>
      <dgm:t>
        <a:bodyPr/>
        <a:lstStyle/>
        <a:p>
          <a:endParaRPr lang="en-IN"/>
        </a:p>
      </dgm:t>
    </dgm:pt>
    <dgm:pt modelId="{9B0D6B65-04F3-4002-AE2D-DB0479865703}" type="pres">
      <dgm:prSet presAssocID="{BE6A6839-CC61-4339-A4BC-7E918B7CD2AB}" presName="Name0" presStyleCnt="0">
        <dgm:presLayoutVars>
          <dgm:chMax val="1"/>
          <dgm:chPref val="1"/>
          <dgm:dir/>
          <dgm:animOne val="branch"/>
          <dgm:animLvl val="lvl"/>
        </dgm:presLayoutVars>
      </dgm:prSet>
      <dgm:spPr/>
    </dgm:pt>
    <dgm:pt modelId="{7E1AE47E-3A21-450D-9D6C-1C2F7014C50A}" type="pres">
      <dgm:prSet presAssocID="{04224F0C-7150-430B-A099-991BCE15991B}" presName="singleCycle" presStyleCnt="0"/>
      <dgm:spPr/>
    </dgm:pt>
    <dgm:pt modelId="{178CA76B-9479-42E9-A0D8-07A7BD1A47B0}" type="pres">
      <dgm:prSet presAssocID="{04224F0C-7150-430B-A099-991BCE15991B}" presName="singleCenter" presStyleLbl="node1" presStyleIdx="0" presStyleCnt="5" custScaleX="127632" custScaleY="117008">
        <dgm:presLayoutVars>
          <dgm:chMax val="7"/>
          <dgm:chPref val="7"/>
        </dgm:presLayoutVars>
      </dgm:prSet>
      <dgm:spPr/>
    </dgm:pt>
    <dgm:pt modelId="{28527A8C-C7B9-4D49-A078-FF0267C84338}" type="pres">
      <dgm:prSet presAssocID="{E40950BA-D196-4860-B0BC-95D62719DB7C}" presName="Name56" presStyleLbl="parChTrans1D2" presStyleIdx="0" presStyleCnt="4"/>
      <dgm:spPr/>
    </dgm:pt>
    <dgm:pt modelId="{F50A5BE2-A04B-4973-9407-5BCFB5ED5477}" type="pres">
      <dgm:prSet presAssocID="{58D08FFF-1787-4492-A030-793A4DE945AD}" presName="text0" presStyleLbl="node1" presStyleIdx="1" presStyleCnt="5" custScaleX="302555" custScaleY="124209">
        <dgm:presLayoutVars>
          <dgm:bulletEnabled val="1"/>
        </dgm:presLayoutVars>
      </dgm:prSet>
      <dgm:spPr/>
    </dgm:pt>
    <dgm:pt modelId="{689FA110-402B-425E-9E42-5CD54DF482ED}" type="pres">
      <dgm:prSet presAssocID="{3B936130-B9BA-400F-8D40-694BBA57B718}" presName="Name56" presStyleLbl="parChTrans1D2" presStyleIdx="1" presStyleCnt="4"/>
      <dgm:spPr/>
    </dgm:pt>
    <dgm:pt modelId="{437BF79E-7AF2-4F1C-9B24-96CDFE620A8F}" type="pres">
      <dgm:prSet presAssocID="{9D671B18-2F7C-4541-8BC4-456F271AEC2D}" presName="text0" presStyleLbl="node1" presStyleIdx="2" presStyleCnt="5" custScaleX="193154" custScaleY="137164">
        <dgm:presLayoutVars>
          <dgm:bulletEnabled val="1"/>
        </dgm:presLayoutVars>
      </dgm:prSet>
      <dgm:spPr/>
    </dgm:pt>
    <dgm:pt modelId="{10675115-18F8-4178-B03B-64F01A98263A}" type="pres">
      <dgm:prSet presAssocID="{F1B9793F-E825-415B-B510-DF9536E5FFA4}" presName="Name56" presStyleLbl="parChTrans1D2" presStyleIdx="2" presStyleCnt="4"/>
      <dgm:spPr/>
    </dgm:pt>
    <dgm:pt modelId="{1D77FA75-0C82-40DC-8D5C-FD45F1376F97}" type="pres">
      <dgm:prSet presAssocID="{81B0A823-9C1B-4324-8769-27031E620B98}" presName="text0" presStyleLbl="node1" presStyleIdx="3" presStyleCnt="5" custScaleX="259761" custScaleY="178995">
        <dgm:presLayoutVars>
          <dgm:bulletEnabled val="1"/>
        </dgm:presLayoutVars>
      </dgm:prSet>
      <dgm:spPr/>
    </dgm:pt>
    <dgm:pt modelId="{C79DA0C5-C545-43B6-B973-7604C61084AB}" type="pres">
      <dgm:prSet presAssocID="{95463F5B-6926-4488-AFF3-19E357BD0E4B}" presName="Name56" presStyleLbl="parChTrans1D2" presStyleIdx="3" presStyleCnt="4"/>
      <dgm:spPr/>
    </dgm:pt>
    <dgm:pt modelId="{E8F8BB25-8996-4BBA-BD5D-98482CE99589}" type="pres">
      <dgm:prSet presAssocID="{8CBA22AB-1F77-47C0-925D-5EFB9379A407}" presName="text0" presStyleLbl="node1" presStyleIdx="4" presStyleCnt="5" custScaleX="207051" custScaleY="139489">
        <dgm:presLayoutVars>
          <dgm:bulletEnabled val="1"/>
        </dgm:presLayoutVars>
      </dgm:prSet>
      <dgm:spPr/>
    </dgm:pt>
  </dgm:ptLst>
  <dgm:cxnLst>
    <dgm:cxn modelId="{EB845911-6081-4366-BC0B-6042DD2CA1FD}" srcId="{04224F0C-7150-430B-A099-991BCE15991B}" destId="{8CBA22AB-1F77-47C0-925D-5EFB9379A407}" srcOrd="3" destOrd="0" parTransId="{95463F5B-6926-4488-AFF3-19E357BD0E4B}" sibTransId="{657100B6-9195-486B-9EEF-B1866BE1D979}"/>
    <dgm:cxn modelId="{D784821F-55FA-4F6F-A89A-ECA318DB684A}" type="presOf" srcId="{9D671B18-2F7C-4541-8BC4-456F271AEC2D}" destId="{437BF79E-7AF2-4F1C-9B24-96CDFE620A8F}" srcOrd="0" destOrd="0" presId="urn:microsoft.com/office/officeart/2008/layout/RadialCluster"/>
    <dgm:cxn modelId="{90669020-B7F3-4D44-B0D9-86AB1136657C}" type="presOf" srcId="{95463F5B-6926-4488-AFF3-19E357BD0E4B}" destId="{C79DA0C5-C545-43B6-B973-7604C61084AB}" srcOrd="0" destOrd="0" presId="urn:microsoft.com/office/officeart/2008/layout/RadialCluster"/>
    <dgm:cxn modelId="{3063D733-57A1-41C6-AB2F-B43DC22A56F2}" type="presOf" srcId="{3B936130-B9BA-400F-8D40-694BBA57B718}" destId="{689FA110-402B-425E-9E42-5CD54DF482ED}" srcOrd="0" destOrd="0" presId="urn:microsoft.com/office/officeart/2008/layout/RadialCluster"/>
    <dgm:cxn modelId="{E702455E-3F52-4208-A32D-4C2BA555C51C}" type="presOf" srcId="{F1B9793F-E825-415B-B510-DF9536E5FFA4}" destId="{10675115-18F8-4178-B03B-64F01A98263A}" srcOrd="0" destOrd="0" presId="urn:microsoft.com/office/officeart/2008/layout/RadialCluster"/>
    <dgm:cxn modelId="{EDF33C49-E176-4BAC-8614-B9EA5B71707A}" type="presOf" srcId="{04224F0C-7150-430B-A099-991BCE15991B}" destId="{178CA76B-9479-42E9-A0D8-07A7BD1A47B0}" srcOrd="0" destOrd="0" presId="urn:microsoft.com/office/officeart/2008/layout/RadialCluster"/>
    <dgm:cxn modelId="{79D7B16B-FD8D-466B-93D9-E373F81B5C9B}" type="presOf" srcId="{8CBA22AB-1F77-47C0-925D-5EFB9379A407}" destId="{E8F8BB25-8996-4BBA-BD5D-98482CE99589}" srcOrd="0" destOrd="0" presId="urn:microsoft.com/office/officeart/2008/layout/RadialCluster"/>
    <dgm:cxn modelId="{66D88C4D-A477-4621-8B3C-9C96688B1CFE}" srcId="{04224F0C-7150-430B-A099-991BCE15991B}" destId="{58D08FFF-1787-4492-A030-793A4DE945AD}" srcOrd="0" destOrd="0" parTransId="{E40950BA-D196-4860-B0BC-95D62719DB7C}" sibTransId="{F2B7247E-5EB0-4609-987A-B5CBD9EFB5D1}"/>
    <dgm:cxn modelId="{B29E4C71-7C6A-411E-95CF-9EACD5126121}" srcId="{04224F0C-7150-430B-A099-991BCE15991B}" destId="{81B0A823-9C1B-4324-8769-27031E620B98}" srcOrd="2" destOrd="0" parTransId="{F1B9793F-E825-415B-B510-DF9536E5FFA4}" sibTransId="{584CA8FC-44D0-4146-9CA7-EF3D94888661}"/>
    <dgm:cxn modelId="{F6C10E72-0E64-46F0-9BE3-02010A7D0AFC}" srcId="{04224F0C-7150-430B-A099-991BCE15991B}" destId="{9D671B18-2F7C-4541-8BC4-456F271AEC2D}" srcOrd="1" destOrd="0" parTransId="{3B936130-B9BA-400F-8D40-694BBA57B718}" sibTransId="{8DB3FA5A-1571-4FCC-8388-F1FACA2E493C}"/>
    <dgm:cxn modelId="{45E1B57F-0E9C-4B11-8843-D4716531C6B1}" type="presOf" srcId="{81B0A823-9C1B-4324-8769-27031E620B98}" destId="{1D77FA75-0C82-40DC-8D5C-FD45F1376F97}" srcOrd="0" destOrd="0" presId="urn:microsoft.com/office/officeart/2008/layout/RadialCluster"/>
    <dgm:cxn modelId="{97012982-1EB1-4664-9B75-913125905FAC}" srcId="{BE6A6839-CC61-4339-A4BC-7E918B7CD2AB}" destId="{04224F0C-7150-430B-A099-991BCE15991B}" srcOrd="0" destOrd="0" parTransId="{AD92958A-878D-4A23-AFBB-13D1497C4D3B}" sibTransId="{3C68E1D7-4DD2-47AB-B1B0-A1AB953BD54C}"/>
    <dgm:cxn modelId="{39DB439F-675B-4519-AB45-20E8521D3696}" type="presOf" srcId="{58D08FFF-1787-4492-A030-793A4DE945AD}" destId="{F50A5BE2-A04B-4973-9407-5BCFB5ED5477}" srcOrd="0" destOrd="0" presId="urn:microsoft.com/office/officeart/2008/layout/RadialCluster"/>
    <dgm:cxn modelId="{F887FCD0-D79F-4C53-AAE8-A570110C9E16}" type="presOf" srcId="{E40950BA-D196-4860-B0BC-95D62719DB7C}" destId="{28527A8C-C7B9-4D49-A078-FF0267C84338}" srcOrd="0" destOrd="0" presId="urn:microsoft.com/office/officeart/2008/layout/RadialCluster"/>
    <dgm:cxn modelId="{84A7F1ED-8251-4883-86DD-D33DEDB8709E}" type="presOf" srcId="{BE6A6839-CC61-4339-A4BC-7E918B7CD2AB}" destId="{9B0D6B65-04F3-4002-AE2D-DB0479865703}" srcOrd="0" destOrd="0" presId="urn:microsoft.com/office/officeart/2008/layout/RadialCluster"/>
    <dgm:cxn modelId="{DACC0EC9-9E20-41C9-877D-C4CBA080247A}" type="presParOf" srcId="{9B0D6B65-04F3-4002-AE2D-DB0479865703}" destId="{7E1AE47E-3A21-450D-9D6C-1C2F7014C50A}" srcOrd="0" destOrd="0" presId="urn:microsoft.com/office/officeart/2008/layout/RadialCluster"/>
    <dgm:cxn modelId="{C61CC757-58EA-41D2-83AC-A6AAE7101774}" type="presParOf" srcId="{7E1AE47E-3A21-450D-9D6C-1C2F7014C50A}" destId="{178CA76B-9479-42E9-A0D8-07A7BD1A47B0}" srcOrd="0" destOrd="0" presId="urn:microsoft.com/office/officeart/2008/layout/RadialCluster"/>
    <dgm:cxn modelId="{D1C1FF38-5BB6-4DC6-8C74-CD95C4909D41}" type="presParOf" srcId="{7E1AE47E-3A21-450D-9D6C-1C2F7014C50A}" destId="{28527A8C-C7B9-4D49-A078-FF0267C84338}" srcOrd="1" destOrd="0" presId="urn:microsoft.com/office/officeart/2008/layout/RadialCluster"/>
    <dgm:cxn modelId="{7C9AA570-51D4-4AEF-8847-0B666623E4DA}" type="presParOf" srcId="{7E1AE47E-3A21-450D-9D6C-1C2F7014C50A}" destId="{F50A5BE2-A04B-4973-9407-5BCFB5ED5477}" srcOrd="2" destOrd="0" presId="urn:microsoft.com/office/officeart/2008/layout/RadialCluster"/>
    <dgm:cxn modelId="{2867B88C-3D89-4099-B0A1-294B5B004AA9}" type="presParOf" srcId="{7E1AE47E-3A21-450D-9D6C-1C2F7014C50A}" destId="{689FA110-402B-425E-9E42-5CD54DF482ED}" srcOrd="3" destOrd="0" presId="urn:microsoft.com/office/officeart/2008/layout/RadialCluster"/>
    <dgm:cxn modelId="{6BDA2CF9-63CE-4217-AE3A-D6614CE9FEF4}" type="presParOf" srcId="{7E1AE47E-3A21-450D-9D6C-1C2F7014C50A}" destId="{437BF79E-7AF2-4F1C-9B24-96CDFE620A8F}" srcOrd="4" destOrd="0" presId="urn:microsoft.com/office/officeart/2008/layout/RadialCluster"/>
    <dgm:cxn modelId="{3E196679-68C5-49FD-8BC4-BD76373BF7C0}" type="presParOf" srcId="{7E1AE47E-3A21-450D-9D6C-1C2F7014C50A}" destId="{10675115-18F8-4178-B03B-64F01A98263A}" srcOrd="5" destOrd="0" presId="urn:microsoft.com/office/officeart/2008/layout/RadialCluster"/>
    <dgm:cxn modelId="{1CA43262-B9DA-439E-8B2B-FAEDA6FDAB16}" type="presParOf" srcId="{7E1AE47E-3A21-450D-9D6C-1C2F7014C50A}" destId="{1D77FA75-0C82-40DC-8D5C-FD45F1376F97}" srcOrd="6" destOrd="0" presId="urn:microsoft.com/office/officeart/2008/layout/RadialCluster"/>
    <dgm:cxn modelId="{C9E00E81-9DAD-47E6-8DD2-2B6B542347C3}" type="presParOf" srcId="{7E1AE47E-3A21-450D-9D6C-1C2F7014C50A}" destId="{C79DA0C5-C545-43B6-B973-7604C61084AB}" srcOrd="7" destOrd="0" presId="urn:microsoft.com/office/officeart/2008/layout/RadialCluster"/>
    <dgm:cxn modelId="{AD5B591B-0912-4AD0-9EE6-73E3379E0B06}" type="presParOf" srcId="{7E1AE47E-3A21-450D-9D6C-1C2F7014C50A}" destId="{E8F8BB25-8996-4BBA-BD5D-98482CE99589}" srcOrd="8" destOrd="0" presId="urn:microsoft.com/office/officeart/2008/layout/RadialCluster"/>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8CA76B-9479-42E9-A0D8-07A7BD1A47B0}">
      <dsp:nvSpPr>
        <dsp:cNvPr id="0" name=""/>
        <dsp:cNvSpPr/>
      </dsp:nvSpPr>
      <dsp:spPr>
        <a:xfrm>
          <a:off x="2068945" y="1036371"/>
          <a:ext cx="1336291" cy="1225059"/>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n-IN" sz="900" kern="1200"/>
            <a:t>E.</a:t>
          </a:r>
          <a:r>
            <a:rPr lang="en-IN" sz="1200" kern="1200"/>
            <a:t>coli Topoisomerases</a:t>
          </a:r>
          <a:endParaRPr lang="en-IN" sz="900" kern="1200"/>
        </a:p>
      </dsp:txBody>
      <dsp:txXfrm>
        <a:off x="2128747" y="1096173"/>
        <a:ext cx="1216687" cy="1105455"/>
      </dsp:txXfrm>
    </dsp:sp>
    <dsp:sp modelId="{28527A8C-C7B9-4D49-A078-FF0267C84338}">
      <dsp:nvSpPr>
        <dsp:cNvPr id="0" name=""/>
        <dsp:cNvSpPr/>
      </dsp:nvSpPr>
      <dsp:spPr>
        <a:xfrm rot="16200000">
          <a:off x="2564212" y="863492"/>
          <a:ext cx="345757" cy="0"/>
        </a:xfrm>
        <a:custGeom>
          <a:avLst/>
          <a:gdLst/>
          <a:ahLst/>
          <a:cxnLst/>
          <a:rect l="0" t="0" r="0" b="0"/>
          <a:pathLst>
            <a:path>
              <a:moveTo>
                <a:pt x="0" y="0"/>
              </a:moveTo>
              <a:lnTo>
                <a:pt x="345757"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50A5BE2-A04B-4973-9407-5BCFB5ED5477}">
      <dsp:nvSpPr>
        <dsp:cNvPr id="0" name=""/>
        <dsp:cNvSpPr/>
      </dsp:nvSpPr>
      <dsp:spPr>
        <a:xfrm>
          <a:off x="1675906" y="-180689"/>
          <a:ext cx="2122368" cy="871303"/>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IN" sz="1500" kern="1200"/>
            <a:t>Topoisomerase I relaxes supercoiled DNA</a:t>
          </a:r>
        </a:p>
      </dsp:txBody>
      <dsp:txXfrm>
        <a:off x="1718440" y="-138155"/>
        <a:ext cx="2037300" cy="786235"/>
      </dsp:txXfrm>
    </dsp:sp>
    <dsp:sp modelId="{689FA110-402B-425E-9E42-5CD54DF482ED}">
      <dsp:nvSpPr>
        <dsp:cNvPr id="0" name=""/>
        <dsp:cNvSpPr/>
      </dsp:nvSpPr>
      <dsp:spPr>
        <a:xfrm>
          <a:off x="3405237" y="1648901"/>
          <a:ext cx="48323" cy="0"/>
        </a:xfrm>
        <a:custGeom>
          <a:avLst/>
          <a:gdLst/>
          <a:ahLst/>
          <a:cxnLst/>
          <a:rect l="0" t="0" r="0" b="0"/>
          <a:pathLst>
            <a:path>
              <a:moveTo>
                <a:pt x="0" y="0"/>
              </a:moveTo>
              <a:lnTo>
                <a:pt x="48323"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37BF79E-7AF2-4F1C-9B24-96CDFE620A8F}">
      <dsp:nvSpPr>
        <dsp:cNvPr id="0" name=""/>
        <dsp:cNvSpPr/>
      </dsp:nvSpPr>
      <dsp:spPr>
        <a:xfrm>
          <a:off x="3453560" y="1167811"/>
          <a:ext cx="1354940" cy="96218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IN" sz="1000" kern="1200"/>
            <a:t>Topoisomerase III chromosome stability and plasmid segreggation </a:t>
          </a:r>
        </a:p>
      </dsp:txBody>
      <dsp:txXfrm>
        <a:off x="3500530" y="1214781"/>
        <a:ext cx="1261000" cy="868240"/>
      </dsp:txXfrm>
    </dsp:sp>
    <dsp:sp modelId="{10675115-18F8-4178-B03B-64F01A98263A}">
      <dsp:nvSpPr>
        <dsp:cNvPr id="0" name=""/>
        <dsp:cNvSpPr/>
      </dsp:nvSpPr>
      <dsp:spPr>
        <a:xfrm rot="5400000">
          <a:off x="2660291" y="2338231"/>
          <a:ext cx="153600" cy="0"/>
        </a:xfrm>
        <a:custGeom>
          <a:avLst/>
          <a:gdLst/>
          <a:ahLst/>
          <a:cxnLst/>
          <a:rect l="0" t="0" r="0" b="0"/>
          <a:pathLst>
            <a:path>
              <a:moveTo>
                <a:pt x="0" y="0"/>
              </a:moveTo>
              <a:lnTo>
                <a:pt x="153600"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D77FA75-0C82-40DC-8D5C-FD45F1376F97}">
      <dsp:nvSpPr>
        <dsp:cNvPr id="0" name=""/>
        <dsp:cNvSpPr/>
      </dsp:nvSpPr>
      <dsp:spPr>
        <a:xfrm>
          <a:off x="1826002" y="2415031"/>
          <a:ext cx="1822176" cy="1255617"/>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IN" sz="1400" kern="1200"/>
            <a:t>Topoisomerase (Type II) gyrase introduce negative supercoiling  for DNA replication</a:t>
          </a:r>
        </a:p>
      </dsp:txBody>
      <dsp:txXfrm>
        <a:off x="1887296" y="2476325"/>
        <a:ext cx="1699588" cy="1133029"/>
      </dsp:txXfrm>
    </dsp:sp>
    <dsp:sp modelId="{C79DA0C5-C545-43B6-B973-7604C61084AB}">
      <dsp:nvSpPr>
        <dsp:cNvPr id="0" name=""/>
        <dsp:cNvSpPr/>
      </dsp:nvSpPr>
      <dsp:spPr>
        <a:xfrm>
          <a:off x="2068945" y="1648901"/>
          <a:ext cx="419" cy="0"/>
        </a:xfrm>
        <a:custGeom>
          <a:avLst/>
          <a:gdLst/>
          <a:ahLst/>
          <a:cxnLst/>
          <a:rect l="0" t="0" r="0" b="0"/>
          <a:pathLst>
            <a:path>
              <a:moveTo>
                <a:pt x="0" y="0"/>
              </a:moveTo>
              <a:lnTo>
                <a:pt x="419"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8F8BB25-8996-4BBA-BD5D-98482CE99589}">
      <dsp:nvSpPr>
        <dsp:cNvPr id="0" name=""/>
        <dsp:cNvSpPr/>
      </dsp:nvSpPr>
      <dsp:spPr>
        <a:xfrm>
          <a:off x="616939" y="1159656"/>
          <a:ext cx="1452425" cy="97849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r>
            <a:rPr lang="en-IN" sz="1300" kern="1200"/>
            <a:t>Topoisomerase (Type II) IV No supervoiling activity</a:t>
          </a:r>
        </a:p>
      </dsp:txBody>
      <dsp:txXfrm>
        <a:off x="664705" y="1207422"/>
        <a:ext cx="1356893" cy="882958"/>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14</Pages>
  <Words>4594</Words>
  <Characters>26192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Smaranika Pattnaik</dc:creator>
  <cp:keywords/>
  <dc:description/>
  <cp:lastModifiedBy>SDI 1084</cp:lastModifiedBy>
  <cp:revision>12</cp:revision>
  <dcterms:created xsi:type="dcterms:W3CDTF">2025-07-02T09:08:00Z</dcterms:created>
  <dcterms:modified xsi:type="dcterms:W3CDTF">2025-07-03T08:11:00Z</dcterms:modified>
</cp:coreProperties>
</file>